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E953D" w14:textId="42CD7A6F" w:rsidR="006439E1" w:rsidRPr="00A042A9" w:rsidRDefault="00F879AD" w:rsidP="00497F00">
      <w:pPr>
        <w:jc w:val="both"/>
        <w:rPr>
          <w:rFonts w:ascii="Times New Roman" w:hAnsi="Times New Roman" w:cs="Times New Roman"/>
          <w:b/>
          <w:bCs/>
          <w:sz w:val="28"/>
          <w:szCs w:val="28"/>
          <w:lang w:val="en-US"/>
        </w:rPr>
      </w:pPr>
      <w:r w:rsidRPr="00A042A9">
        <w:rPr>
          <w:rFonts w:ascii="Times New Roman" w:hAnsi="Times New Roman" w:cs="Times New Roman"/>
          <w:b/>
          <w:bCs/>
          <w:sz w:val="28"/>
          <w:szCs w:val="28"/>
          <w:lang w:val="en-US"/>
        </w:rPr>
        <w:t xml:space="preserve">Bank </w:t>
      </w:r>
      <w:r w:rsidR="00C70512" w:rsidRPr="00A042A9">
        <w:rPr>
          <w:rFonts w:ascii="Times New Roman" w:hAnsi="Times New Roman" w:cs="Times New Roman"/>
          <w:b/>
          <w:bCs/>
          <w:sz w:val="28"/>
          <w:szCs w:val="28"/>
          <w:lang w:val="en-US"/>
        </w:rPr>
        <w:t xml:space="preserve">Profitability </w:t>
      </w:r>
      <w:r w:rsidR="00DE036F">
        <w:rPr>
          <w:rFonts w:ascii="Times New Roman" w:hAnsi="Times New Roman" w:cs="Times New Roman"/>
          <w:b/>
          <w:bCs/>
          <w:sz w:val="28"/>
          <w:szCs w:val="28"/>
          <w:lang w:val="en-US"/>
        </w:rPr>
        <w:t xml:space="preserve">and Mergers </w:t>
      </w:r>
      <w:r w:rsidR="00C70512" w:rsidRPr="00A042A9">
        <w:rPr>
          <w:rFonts w:ascii="Times New Roman" w:hAnsi="Times New Roman" w:cs="Times New Roman"/>
          <w:b/>
          <w:bCs/>
          <w:sz w:val="28"/>
          <w:szCs w:val="28"/>
          <w:lang w:val="en-US"/>
        </w:rPr>
        <w:t>in the German Cooperative Banking Sector</w:t>
      </w:r>
    </w:p>
    <w:p w14:paraId="5CAC5118" w14:textId="59AFEC5F" w:rsidR="00F879AD" w:rsidRPr="00F879AD" w:rsidRDefault="00F879AD" w:rsidP="00497F00">
      <w:pPr>
        <w:jc w:val="both"/>
        <w:rPr>
          <w:rFonts w:ascii="Times New Roman" w:hAnsi="Times New Roman" w:cs="Times New Roman"/>
          <w:lang w:val="en-US"/>
        </w:rPr>
      </w:pPr>
    </w:p>
    <w:p w14:paraId="28F151C0" w14:textId="0898D467" w:rsidR="0007153B" w:rsidRDefault="00D6147B" w:rsidP="00497F00">
      <w:pPr>
        <w:jc w:val="both"/>
        <w:rPr>
          <w:rStyle w:val="rynqvb"/>
          <w:rFonts w:ascii="Times New Roman" w:hAnsi="Times New Roman" w:cs="Times New Roman"/>
          <w:lang w:val="en"/>
        </w:rPr>
      </w:pPr>
      <w:r>
        <w:rPr>
          <w:rStyle w:val="rynqvb"/>
          <w:rFonts w:ascii="Times New Roman" w:hAnsi="Times New Roman" w:cs="Times New Roman"/>
          <w:lang w:val="en"/>
        </w:rPr>
        <w:t>Richard Reichel</w:t>
      </w:r>
    </w:p>
    <w:p w14:paraId="6A19210C" w14:textId="0549C53D" w:rsidR="00D6147B" w:rsidRPr="00D6147B" w:rsidRDefault="00D6147B" w:rsidP="00497F00">
      <w:pPr>
        <w:jc w:val="both"/>
        <w:rPr>
          <w:rStyle w:val="rynqvb"/>
          <w:rFonts w:ascii="Times New Roman" w:hAnsi="Times New Roman" w:cs="Times New Roman"/>
          <w:lang w:val="en"/>
        </w:rPr>
      </w:pPr>
      <w:r>
        <w:rPr>
          <w:rStyle w:val="rynqvb"/>
          <w:rFonts w:ascii="Times New Roman" w:hAnsi="Times New Roman" w:cs="Times New Roman"/>
          <w:lang w:val="en"/>
        </w:rPr>
        <w:t>FOM University, Essen, and Nuremberg Research Institute for Cooperative Studies</w:t>
      </w:r>
    </w:p>
    <w:p w14:paraId="489A440B" w14:textId="77777777" w:rsidR="00D6147B" w:rsidRDefault="00D6147B" w:rsidP="00497F00">
      <w:pPr>
        <w:jc w:val="both"/>
        <w:rPr>
          <w:rStyle w:val="rynqvb"/>
          <w:rFonts w:ascii="Times New Roman" w:hAnsi="Times New Roman" w:cs="Times New Roman"/>
          <w:b/>
          <w:bCs/>
          <w:lang w:val="en"/>
        </w:rPr>
      </w:pPr>
    </w:p>
    <w:p w14:paraId="3576833F" w14:textId="7B7CC6FF" w:rsidR="00D6147B" w:rsidRPr="004654FF" w:rsidRDefault="004654FF" w:rsidP="00497F00">
      <w:pPr>
        <w:jc w:val="both"/>
        <w:rPr>
          <w:rStyle w:val="rynqvb"/>
          <w:rFonts w:ascii="Times New Roman" w:hAnsi="Times New Roman" w:cs="Times New Roman"/>
          <w:b/>
          <w:bCs/>
          <w:lang w:val="en"/>
        </w:rPr>
      </w:pPr>
      <w:r w:rsidRPr="004654FF">
        <w:rPr>
          <w:rStyle w:val="rynqvb"/>
          <w:rFonts w:ascii="Times New Roman" w:hAnsi="Times New Roman" w:cs="Times New Roman"/>
          <w:b/>
          <w:bCs/>
          <w:lang w:val="en"/>
        </w:rPr>
        <w:t>Keywords</w:t>
      </w:r>
    </w:p>
    <w:p w14:paraId="27DA6229" w14:textId="45088246" w:rsidR="006A00E6" w:rsidRPr="004654FF" w:rsidRDefault="004654FF" w:rsidP="00497F00">
      <w:pPr>
        <w:jc w:val="both"/>
        <w:rPr>
          <w:rStyle w:val="rynqvb"/>
          <w:rFonts w:ascii="Times New Roman" w:hAnsi="Times New Roman" w:cs="Times New Roman"/>
          <w:lang w:val="en"/>
        </w:rPr>
      </w:pPr>
      <w:r>
        <w:rPr>
          <w:rStyle w:val="rynqvb"/>
          <w:rFonts w:ascii="Times New Roman" w:hAnsi="Times New Roman" w:cs="Times New Roman"/>
          <w:lang w:val="en"/>
        </w:rPr>
        <w:t>Bank mergers, cooperative banks, bank profitability, VEC model</w:t>
      </w:r>
    </w:p>
    <w:p w14:paraId="6441053A" w14:textId="26D48F98" w:rsidR="006A00E6" w:rsidRDefault="006A00E6" w:rsidP="00497F00">
      <w:pPr>
        <w:jc w:val="both"/>
        <w:rPr>
          <w:rStyle w:val="rynqvb"/>
          <w:rFonts w:ascii="Times New Roman" w:hAnsi="Times New Roman" w:cs="Times New Roman"/>
          <w:b/>
          <w:bCs/>
          <w:lang w:val="en"/>
        </w:rPr>
      </w:pPr>
    </w:p>
    <w:p w14:paraId="43958765" w14:textId="75149A10" w:rsidR="007E746F" w:rsidRDefault="007E746F" w:rsidP="00497F00">
      <w:pPr>
        <w:jc w:val="both"/>
        <w:rPr>
          <w:rStyle w:val="rynqvb"/>
          <w:rFonts w:ascii="Times New Roman" w:hAnsi="Times New Roman" w:cs="Times New Roman"/>
          <w:b/>
          <w:bCs/>
          <w:lang w:val="en"/>
        </w:rPr>
      </w:pPr>
      <w:r>
        <w:rPr>
          <w:rStyle w:val="rynqvb"/>
          <w:rFonts w:ascii="Times New Roman" w:hAnsi="Times New Roman" w:cs="Times New Roman"/>
          <w:b/>
          <w:bCs/>
          <w:lang w:val="en"/>
        </w:rPr>
        <w:t>JEL Classification</w:t>
      </w:r>
    </w:p>
    <w:p w14:paraId="326758D7" w14:textId="77777777" w:rsidR="007E746F" w:rsidRPr="007E746F" w:rsidRDefault="007E746F" w:rsidP="00497F00">
      <w:pPr>
        <w:jc w:val="both"/>
        <w:rPr>
          <w:rStyle w:val="rynqvb"/>
          <w:rFonts w:ascii="Times New Roman" w:hAnsi="Times New Roman" w:cs="Times New Roman"/>
          <w:lang w:val="en"/>
        </w:rPr>
      </w:pPr>
    </w:p>
    <w:p w14:paraId="622F80BB" w14:textId="5115B76A" w:rsidR="004654FF" w:rsidRDefault="004654FF" w:rsidP="00497F00">
      <w:pPr>
        <w:jc w:val="both"/>
        <w:rPr>
          <w:rStyle w:val="rynqvb"/>
          <w:rFonts w:ascii="Times New Roman" w:hAnsi="Times New Roman" w:cs="Times New Roman"/>
          <w:b/>
          <w:bCs/>
          <w:lang w:val="en"/>
        </w:rPr>
      </w:pPr>
      <w:r>
        <w:rPr>
          <w:rStyle w:val="rynqvb"/>
          <w:rFonts w:ascii="Times New Roman" w:hAnsi="Times New Roman" w:cs="Times New Roman"/>
          <w:b/>
          <w:bCs/>
          <w:lang w:val="en"/>
        </w:rPr>
        <w:t>Abstract</w:t>
      </w:r>
    </w:p>
    <w:p w14:paraId="492A2DD5" w14:textId="19B9B05B" w:rsidR="004654FF" w:rsidRDefault="004654FF" w:rsidP="00497F00">
      <w:pPr>
        <w:jc w:val="both"/>
        <w:rPr>
          <w:rStyle w:val="rynqvb"/>
          <w:rFonts w:ascii="Times New Roman" w:hAnsi="Times New Roman" w:cs="Times New Roman"/>
          <w:lang w:val="en"/>
        </w:rPr>
      </w:pPr>
      <w:r>
        <w:rPr>
          <w:rStyle w:val="rynqvb"/>
          <w:rFonts w:ascii="Times New Roman" w:hAnsi="Times New Roman" w:cs="Times New Roman"/>
          <w:lang w:val="en"/>
        </w:rPr>
        <w:t>This paper evaluates bank performance as a determinant of mergers in the German cooperative banking sector. Based on annual time series data since 1990, a bivariate vector error correction (VEC) model is specified and estimated. The results identify return on equity (ROE) as a driver of mergers. The higher ROE, the higher the merger intensity, defined as the ratio of mergers by the number of last years</w:t>
      </w:r>
      <w:r w:rsidR="007D6855">
        <w:rPr>
          <w:rStyle w:val="rynqvb"/>
          <w:rFonts w:ascii="Times New Roman" w:hAnsi="Times New Roman" w:cs="Times New Roman"/>
          <w:lang w:val="en"/>
        </w:rPr>
        <w:t>’</w:t>
      </w:r>
      <w:r>
        <w:rPr>
          <w:rStyle w:val="rynqvb"/>
          <w:rFonts w:ascii="Times New Roman" w:hAnsi="Times New Roman" w:cs="Times New Roman"/>
          <w:lang w:val="en"/>
        </w:rPr>
        <w:t xml:space="preserve"> banks. A reverse causality cannot be found as mergers do not significantly affect ROE. Th</w:t>
      </w:r>
      <w:r w:rsidR="00156825">
        <w:rPr>
          <w:rStyle w:val="rynqvb"/>
          <w:rFonts w:ascii="Times New Roman" w:hAnsi="Times New Roman" w:cs="Times New Roman"/>
          <w:lang w:val="en"/>
        </w:rPr>
        <w:t xml:space="preserve">e results confirm some literature findings that were obtained </w:t>
      </w:r>
      <w:r w:rsidR="00D46925">
        <w:rPr>
          <w:rStyle w:val="rynqvb"/>
          <w:rFonts w:ascii="Times New Roman" w:hAnsi="Times New Roman" w:cs="Times New Roman"/>
          <w:lang w:val="en"/>
        </w:rPr>
        <w:t>fr</w:t>
      </w:r>
      <w:r w:rsidR="00156825">
        <w:rPr>
          <w:rStyle w:val="rynqvb"/>
          <w:rFonts w:ascii="Times New Roman" w:hAnsi="Times New Roman" w:cs="Times New Roman"/>
          <w:lang w:val="en"/>
        </w:rPr>
        <w:t>o</w:t>
      </w:r>
      <w:r w:rsidR="00D46925">
        <w:rPr>
          <w:rStyle w:val="rynqvb"/>
          <w:rFonts w:ascii="Times New Roman" w:hAnsi="Times New Roman" w:cs="Times New Roman"/>
          <w:lang w:val="en"/>
        </w:rPr>
        <w:t>m</w:t>
      </w:r>
      <w:r w:rsidR="00156825">
        <w:rPr>
          <w:rStyle w:val="rynqvb"/>
          <w:rFonts w:ascii="Times New Roman" w:hAnsi="Times New Roman" w:cs="Times New Roman"/>
          <w:lang w:val="en"/>
        </w:rPr>
        <w:t xml:space="preserve"> cross-section </w:t>
      </w:r>
      <w:r w:rsidR="00D46925">
        <w:rPr>
          <w:rStyle w:val="rynqvb"/>
          <w:rFonts w:ascii="Times New Roman" w:hAnsi="Times New Roman" w:cs="Times New Roman"/>
          <w:lang w:val="en"/>
        </w:rPr>
        <w:t>data</w:t>
      </w:r>
      <w:r w:rsidR="00156825">
        <w:rPr>
          <w:rStyle w:val="rynqvb"/>
          <w:rFonts w:ascii="Times New Roman" w:hAnsi="Times New Roman" w:cs="Times New Roman"/>
          <w:lang w:val="en"/>
        </w:rPr>
        <w:t>.</w:t>
      </w:r>
      <w:r w:rsidR="00016D27">
        <w:rPr>
          <w:rStyle w:val="rynqvb"/>
          <w:rFonts w:ascii="Times New Roman" w:hAnsi="Times New Roman" w:cs="Times New Roman"/>
          <w:lang w:val="en"/>
        </w:rPr>
        <w:t xml:space="preserve"> </w:t>
      </w:r>
      <w:r w:rsidR="00D46925">
        <w:rPr>
          <w:rStyle w:val="rynqvb"/>
          <w:rFonts w:ascii="Times New Roman" w:hAnsi="Times New Roman" w:cs="Times New Roman"/>
          <w:lang w:val="en"/>
        </w:rPr>
        <w:t>Our findings</w:t>
      </w:r>
      <w:r w:rsidR="00016D27">
        <w:rPr>
          <w:rStyle w:val="rynqvb"/>
          <w:rFonts w:ascii="Times New Roman" w:hAnsi="Times New Roman" w:cs="Times New Roman"/>
          <w:lang w:val="en"/>
        </w:rPr>
        <w:t xml:space="preserve"> do not confirm the hypothesis that mergers are induced by worse economic performance.</w:t>
      </w:r>
    </w:p>
    <w:p w14:paraId="46DA2915" w14:textId="77777777" w:rsidR="00016D27" w:rsidRPr="004654FF" w:rsidRDefault="00016D27" w:rsidP="00497F00">
      <w:pPr>
        <w:jc w:val="both"/>
        <w:rPr>
          <w:rStyle w:val="rynqvb"/>
          <w:rFonts w:ascii="Times New Roman" w:hAnsi="Times New Roman" w:cs="Times New Roman"/>
          <w:lang w:val="en"/>
        </w:rPr>
      </w:pPr>
    </w:p>
    <w:p w14:paraId="1B0E1F59" w14:textId="36DCDBE8" w:rsidR="006A00E6" w:rsidRDefault="00156825" w:rsidP="00497F00">
      <w:pPr>
        <w:jc w:val="both"/>
        <w:rPr>
          <w:rStyle w:val="rynqvb"/>
          <w:rFonts w:ascii="Times New Roman" w:hAnsi="Times New Roman" w:cs="Times New Roman"/>
          <w:b/>
          <w:bCs/>
          <w:lang w:val="en"/>
        </w:rPr>
      </w:pPr>
      <w:r>
        <w:rPr>
          <w:rStyle w:val="rynqvb"/>
          <w:rFonts w:ascii="Times New Roman" w:hAnsi="Times New Roman" w:cs="Times New Roman"/>
          <w:b/>
          <w:bCs/>
          <w:lang w:val="en"/>
        </w:rPr>
        <w:t>Contribution/Originality</w:t>
      </w:r>
    </w:p>
    <w:p w14:paraId="74C847D9" w14:textId="47DA6A89" w:rsidR="00D6147B" w:rsidRPr="00016D27" w:rsidRDefault="00016D27" w:rsidP="00497F00">
      <w:pPr>
        <w:jc w:val="both"/>
        <w:rPr>
          <w:rStyle w:val="rynqvb"/>
          <w:rFonts w:ascii="Times New Roman" w:hAnsi="Times New Roman" w:cs="Times New Roman"/>
          <w:lang w:val="en"/>
        </w:rPr>
      </w:pPr>
      <w:r w:rsidRPr="00016D27">
        <w:rPr>
          <w:rStyle w:val="rynqvb"/>
          <w:rFonts w:ascii="Times New Roman" w:hAnsi="Times New Roman" w:cs="Times New Roman"/>
          <w:lang w:val="en"/>
        </w:rPr>
        <w:t xml:space="preserve">This </w:t>
      </w:r>
      <w:r>
        <w:rPr>
          <w:rStyle w:val="rynqvb"/>
          <w:rFonts w:ascii="Times New Roman" w:hAnsi="Times New Roman" w:cs="Times New Roman"/>
          <w:lang w:val="en"/>
        </w:rPr>
        <w:t xml:space="preserve">study is the first to evaluate the relationship between </w:t>
      </w:r>
      <w:r w:rsidR="007E746F">
        <w:rPr>
          <w:rStyle w:val="rynqvb"/>
          <w:rFonts w:ascii="Times New Roman" w:hAnsi="Times New Roman" w:cs="Times New Roman"/>
          <w:lang w:val="en"/>
        </w:rPr>
        <w:t xml:space="preserve">bank performance and </w:t>
      </w:r>
      <w:r>
        <w:rPr>
          <w:rStyle w:val="rynqvb"/>
          <w:rFonts w:ascii="Times New Roman" w:hAnsi="Times New Roman" w:cs="Times New Roman"/>
          <w:lang w:val="en"/>
        </w:rPr>
        <w:t>mergers in the German cooperative banking sector. Moreover, it is the first study that uses aggregate time series data.</w:t>
      </w:r>
    </w:p>
    <w:p w14:paraId="19BC113B" w14:textId="5EEDD189" w:rsidR="00016D27" w:rsidRDefault="00016D27" w:rsidP="00497F00">
      <w:pPr>
        <w:jc w:val="both"/>
        <w:rPr>
          <w:rStyle w:val="rynqvb"/>
          <w:rFonts w:ascii="Times New Roman" w:hAnsi="Times New Roman" w:cs="Times New Roman"/>
          <w:b/>
          <w:bCs/>
          <w:lang w:val="en"/>
        </w:rPr>
      </w:pPr>
    </w:p>
    <w:p w14:paraId="648C4B16" w14:textId="6D4E4200" w:rsidR="00016D27" w:rsidRPr="00ED2F47" w:rsidRDefault="00B46186" w:rsidP="00497F00">
      <w:pPr>
        <w:jc w:val="both"/>
        <w:rPr>
          <w:rStyle w:val="rynqvb"/>
          <w:rFonts w:ascii="Times New Roman" w:hAnsi="Times New Roman" w:cs="Times New Roman"/>
          <w:b/>
          <w:bCs/>
          <w:lang w:val="fr-FR"/>
        </w:rPr>
      </w:pPr>
      <w:r w:rsidRPr="00ED2F47">
        <w:rPr>
          <w:rStyle w:val="rynqvb"/>
          <w:rFonts w:ascii="Times New Roman" w:hAnsi="Times New Roman" w:cs="Times New Roman"/>
          <w:b/>
          <w:bCs/>
          <w:lang w:val="fr-FR"/>
        </w:rPr>
        <w:t>JEL Classification</w:t>
      </w:r>
    </w:p>
    <w:p w14:paraId="6E46E9CA" w14:textId="2E934070" w:rsidR="00B46186" w:rsidRPr="00ED2F47" w:rsidRDefault="00E8339B" w:rsidP="00497F00">
      <w:pPr>
        <w:jc w:val="both"/>
        <w:rPr>
          <w:rStyle w:val="rynqvb"/>
          <w:rFonts w:ascii="Times New Roman" w:hAnsi="Times New Roman" w:cs="Times New Roman"/>
          <w:lang w:val="fr-FR"/>
        </w:rPr>
      </w:pPr>
      <w:r w:rsidRPr="00ED2F47">
        <w:rPr>
          <w:rStyle w:val="rynqvb"/>
          <w:rFonts w:ascii="Times New Roman" w:hAnsi="Times New Roman" w:cs="Times New Roman"/>
          <w:lang w:val="fr-FR"/>
        </w:rPr>
        <w:t>G21, G34, L25, P13</w:t>
      </w:r>
    </w:p>
    <w:p w14:paraId="517E007F" w14:textId="2C4E8C3B" w:rsidR="00016D27" w:rsidRDefault="00016D27" w:rsidP="00497F00">
      <w:pPr>
        <w:jc w:val="both"/>
        <w:rPr>
          <w:rStyle w:val="rynqvb"/>
          <w:rFonts w:ascii="Times New Roman" w:hAnsi="Times New Roman" w:cs="Times New Roman"/>
          <w:b/>
          <w:bCs/>
          <w:lang w:val="fr-FR"/>
        </w:rPr>
      </w:pPr>
    </w:p>
    <w:p w14:paraId="5C668D59" w14:textId="654967F8" w:rsidR="00FF360C" w:rsidRDefault="00FF360C" w:rsidP="00497F00">
      <w:pPr>
        <w:jc w:val="both"/>
        <w:rPr>
          <w:rStyle w:val="rynqvb"/>
          <w:rFonts w:ascii="Times New Roman" w:hAnsi="Times New Roman" w:cs="Times New Roman"/>
          <w:b/>
          <w:bCs/>
          <w:lang w:val="fr-FR"/>
        </w:rPr>
      </w:pPr>
    </w:p>
    <w:p w14:paraId="4C2690BA" w14:textId="7E8AFE2B" w:rsidR="00FF360C" w:rsidRDefault="00FF360C" w:rsidP="00497F00">
      <w:pPr>
        <w:jc w:val="both"/>
        <w:rPr>
          <w:rStyle w:val="rynqvb"/>
          <w:rFonts w:ascii="Times New Roman" w:hAnsi="Times New Roman" w:cs="Times New Roman"/>
          <w:b/>
          <w:bCs/>
          <w:lang w:val="fr-FR"/>
        </w:rPr>
      </w:pPr>
    </w:p>
    <w:p w14:paraId="3545A637" w14:textId="4C0669B7" w:rsidR="00FF360C" w:rsidRDefault="00FF360C" w:rsidP="00497F00">
      <w:pPr>
        <w:jc w:val="both"/>
        <w:rPr>
          <w:rStyle w:val="rynqvb"/>
          <w:rFonts w:ascii="Times New Roman" w:hAnsi="Times New Roman" w:cs="Times New Roman"/>
          <w:b/>
          <w:bCs/>
          <w:lang w:val="fr-FR"/>
        </w:rPr>
      </w:pPr>
    </w:p>
    <w:p w14:paraId="2D12743D" w14:textId="38020B12" w:rsidR="00FF360C" w:rsidRDefault="00FF360C" w:rsidP="00497F00">
      <w:pPr>
        <w:jc w:val="both"/>
        <w:rPr>
          <w:rStyle w:val="rynqvb"/>
          <w:rFonts w:ascii="Times New Roman" w:hAnsi="Times New Roman" w:cs="Times New Roman"/>
          <w:b/>
          <w:bCs/>
          <w:lang w:val="fr-FR"/>
        </w:rPr>
      </w:pPr>
    </w:p>
    <w:p w14:paraId="416F933F" w14:textId="7070AC54" w:rsidR="00FF360C" w:rsidRDefault="00FF360C" w:rsidP="00497F00">
      <w:pPr>
        <w:jc w:val="both"/>
        <w:rPr>
          <w:rStyle w:val="rynqvb"/>
          <w:rFonts w:ascii="Times New Roman" w:hAnsi="Times New Roman" w:cs="Times New Roman"/>
          <w:b/>
          <w:bCs/>
          <w:lang w:val="fr-FR"/>
        </w:rPr>
      </w:pPr>
    </w:p>
    <w:p w14:paraId="2D90078E" w14:textId="097EA1F0" w:rsidR="00FF360C" w:rsidRDefault="00FF360C" w:rsidP="00497F00">
      <w:pPr>
        <w:jc w:val="both"/>
        <w:rPr>
          <w:rStyle w:val="rynqvb"/>
          <w:rFonts w:ascii="Times New Roman" w:hAnsi="Times New Roman" w:cs="Times New Roman"/>
          <w:b/>
          <w:bCs/>
          <w:lang w:val="fr-FR"/>
        </w:rPr>
      </w:pPr>
    </w:p>
    <w:p w14:paraId="5A173560" w14:textId="77777777" w:rsidR="00FF360C" w:rsidRPr="00ED2F47" w:rsidRDefault="00FF360C" w:rsidP="00497F00">
      <w:pPr>
        <w:jc w:val="both"/>
        <w:rPr>
          <w:rStyle w:val="rynqvb"/>
          <w:rFonts w:ascii="Times New Roman" w:hAnsi="Times New Roman" w:cs="Times New Roman"/>
          <w:b/>
          <w:bCs/>
          <w:lang w:val="fr-FR"/>
        </w:rPr>
      </w:pPr>
    </w:p>
    <w:p w14:paraId="257BEF50" w14:textId="30CE629B" w:rsidR="002910F6" w:rsidRPr="00356403" w:rsidRDefault="00356403" w:rsidP="00356403">
      <w:pPr>
        <w:jc w:val="both"/>
        <w:rPr>
          <w:rStyle w:val="rynqvb"/>
          <w:rFonts w:ascii="Times New Roman" w:hAnsi="Times New Roman" w:cs="Times New Roman"/>
          <w:b/>
          <w:bCs/>
          <w:lang w:val="en"/>
        </w:rPr>
      </w:pPr>
      <w:r>
        <w:rPr>
          <w:rStyle w:val="rynqvb"/>
          <w:rFonts w:ascii="Times New Roman" w:hAnsi="Times New Roman" w:cs="Times New Roman"/>
          <w:b/>
          <w:bCs/>
          <w:lang w:val="en"/>
        </w:rPr>
        <w:lastRenderedPageBreak/>
        <w:t xml:space="preserve">1. </w:t>
      </w:r>
      <w:r w:rsidR="002910F6" w:rsidRPr="00356403">
        <w:rPr>
          <w:rStyle w:val="rynqvb"/>
          <w:rFonts w:ascii="Times New Roman" w:hAnsi="Times New Roman" w:cs="Times New Roman"/>
          <w:b/>
          <w:bCs/>
          <w:lang w:val="en"/>
        </w:rPr>
        <w:t xml:space="preserve">Introduction </w:t>
      </w:r>
    </w:p>
    <w:p w14:paraId="5F2B47B0" w14:textId="47677EC3" w:rsidR="0007153B" w:rsidRDefault="00F879AD" w:rsidP="00497F00">
      <w:pPr>
        <w:jc w:val="both"/>
        <w:rPr>
          <w:rStyle w:val="rynqvb"/>
          <w:rFonts w:ascii="Times New Roman" w:hAnsi="Times New Roman" w:cs="Times New Roman"/>
          <w:lang w:val="en"/>
        </w:rPr>
      </w:pPr>
      <w:r w:rsidRPr="00F879AD">
        <w:rPr>
          <w:rStyle w:val="rynqvb"/>
          <w:rFonts w:ascii="Times New Roman" w:hAnsi="Times New Roman" w:cs="Times New Roman"/>
          <w:lang w:val="en"/>
        </w:rPr>
        <w:t xml:space="preserve">The </w:t>
      </w:r>
      <w:r>
        <w:rPr>
          <w:rStyle w:val="rynqvb"/>
          <w:rFonts w:ascii="Times New Roman" w:hAnsi="Times New Roman" w:cs="Times New Roman"/>
          <w:lang w:val="en"/>
        </w:rPr>
        <w:t>merger wave</w:t>
      </w:r>
      <w:r w:rsidRPr="00F879AD">
        <w:rPr>
          <w:rStyle w:val="rynqvb"/>
          <w:rFonts w:ascii="Times New Roman" w:hAnsi="Times New Roman" w:cs="Times New Roman"/>
          <w:lang w:val="en"/>
        </w:rPr>
        <w:t xml:space="preserve"> </w:t>
      </w:r>
      <w:r>
        <w:rPr>
          <w:rStyle w:val="rynqvb"/>
          <w:rFonts w:ascii="Times New Roman" w:hAnsi="Times New Roman" w:cs="Times New Roman"/>
          <w:lang w:val="en"/>
        </w:rPr>
        <w:t>among</w:t>
      </w:r>
      <w:r w:rsidRPr="00F879AD">
        <w:rPr>
          <w:rStyle w:val="rynqvb"/>
          <w:rFonts w:ascii="Times New Roman" w:hAnsi="Times New Roman" w:cs="Times New Roman"/>
          <w:lang w:val="en"/>
        </w:rPr>
        <w:t xml:space="preserve"> German credit cooperatives continues.</w:t>
      </w:r>
      <w:r w:rsidRPr="00F879AD">
        <w:rPr>
          <w:rStyle w:val="hwtze"/>
          <w:rFonts w:ascii="Times New Roman" w:hAnsi="Times New Roman" w:cs="Times New Roman"/>
          <w:lang w:val="en"/>
        </w:rPr>
        <w:t xml:space="preserve"> </w:t>
      </w:r>
      <w:r>
        <w:rPr>
          <w:rStyle w:val="hwtze"/>
          <w:rFonts w:ascii="Times New Roman" w:hAnsi="Times New Roman" w:cs="Times New Roman"/>
          <w:lang w:val="en"/>
        </w:rPr>
        <w:t>I</w:t>
      </w:r>
      <w:r w:rsidRPr="00F879AD">
        <w:rPr>
          <w:rStyle w:val="rynqvb"/>
          <w:rFonts w:ascii="Times New Roman" w:hAnsi="Times New Roman" w:cs="Times New Roman"/>
          <w:lang w:val="en"/>
        </w:rPr>
        <w:t>n 20</w:t>
      </w:r>
      <w:r>
        <w:rPr>
          <w:rStyle w:val="rynqvb"/>
          <w:rFonts w:ascii="Times New Roman" w:hAnsi="Times New Roman" w:cs="Times New Roman"/>
          <w:lang w:val="en"/>
        </w:rPr>
        <w:t>21</w:t>
      </w:r>
      <w:r w:rsidRPr="00F879AD">
        <w:rPr>
          <w:rStyle w:val="rynqvb"/>
          <w:rFonts w:ascii="Times New Roman" w:hAnsi="Times New Roman" w:cs="Times New Roman"/>
          <w:lang w:val="en"/>
        </w:rPr>
        <w:t xml:space="preserve"> there were </w:t>
      </w:r>
      <w:r>
        <w:rPr>
          <w:rStyle w:val="rynqvb"/>
          <w:rFonts w:ascii="Times New Roman" w:hAnsi="Times New Roman" w:cs="Times New Roman"/>
          <w:lang w:val="en"/>
        </w:rPr>
        <w:t>42</w:t>
      </w:r>
      <w:r w:rsidR="0007153B">
        <w:rPr>
          <w:rStyle w:val="rynqvb"/>
          <w:rFonts w:ascii="Times New Roman" w:hAnsi="Times New Roman" w:cs="Times New Roman"/>
          <w:lang w:val="en"/>
        </w:rPr>
        <w:t xml:space="preserve"> mergers, up from </w:t>
      </w:r>
      <w:r w:rsidRPr="00F879AD">
        <w:rPr>
          <w:rStyle w:val="rynqvb"/>
          <w:rFonts w:ascii="Times New Roman" w:hAnsi="Times New Roman" w:cs="Times New Roman"/>
          <w:lang w:val="en"/>
        </w:rPr>
        <w:t>2</w:t>
      </w:r>
      <w:r>
        <w:rPr>
          <w:rStyle w:val="rynqvb"/>
          <w:rFonts w:ascii="Times New Roman" w:hAnsi="Times New Roman" w:cs="Times New Roman"/>
          <w:lang w:val="en"/>
        </w:rPr>
        <w:t xml:space="preserve">7 </w:t>
      </w:r>
      <w:r w:rsidR="0007153B">
        <w:rPr>
          <w:rStyle w:val="rynqvb"/>
          <w:rFonts w:ascii="Times New Roman" w:hAnsi="Times New Roman" w:cs="Times New Roman"/>
          <w:lang w:val="en"/>
        </w:rPr>
        <w:t>in 2020</w:t>
      </w:r>
      <w:r w:rsidRPr="00F879AD">
        <w:rPr>
          <w:rStyle w:val="rynqvb"/>
          <w:rFonts w:ascii="Times New Roman" w:hAnsi="Times New Roman" w:cs="Times New Roman"/>
          <w:lang w:val="en"/>
        </w:rPr>
        <w:t>;</w:t>
      </w:r>
      <w:r w:rsidRPr="00F879AD">
        <w:rPr>
          <w:rStyle w:val="hwtze"/>
          <w:rFonts w:ascii="Times New Roman" w:hAnsi="Times New Roman" w:cs="Times New Roman"/>
          <w:lang w:val="en"/>
        </w:rPr>
        <w:t xml:space="preserve"> </w:t>
      </w:r>
      <w:r w:rsidRPr="00F879AD">
        <w:rPr>
          <w:rStyle w:val="rynqvb"/>
          <w:rFonts w:ascii="Times New Roman" w:hAnsi="Times New Roman" w:cs="Times New Roman"/>
          <w:lang w:val="en"/>
        </w:rPr>
        <w:t xml:space="preserve">currently there are still </w:t>
      </w:r>
      <w:r w:rsidR="004424F5">
        <w:rPr>
          <w:rStyle w:val="rynqvb"/>
          <w:rFonts w:ascii="Times New Roman" w:hAnsi="Times New Roman" w:cs="Times New Roman"/>
          <w:lang w:val="en"/>
        </w:rPr>
        <w:t xml:space="preserve">772 </w:t>
      </w:r>
      <w:r w:rsidRPr="00F879AD">
        <w:rPr>
          <w:rStyle w:val="rynqvb"/>
          <w:rFonts w:ascii="Times New Roman" w:hAnsi="Times New Roman" w:cs="Times New Roman"/>
          <w:lang w:val="en"/>
        </w:rPr>
        <w:t>independent cooperative banks</w:t>
      </w:r>
      <w:r w:rsidR="00314231">
        <w:rPr>
          <w:rStyle w:val="rynqvb"/>
          <w:rFonts w:ascii="Times New Roman" w:hAnsi="Times New Roman" w:cs="Times New Roman"/>
          <w:lang w:val="en"/>
        </w:rPr>
        <w:t xml:space="preserve"> (</w:t>
      </w:r>
      <w:proofErr w:type="spellStart"/>
      <w:r w:rsidR="00314231">
        <w:rPr>
          <w:rStyle w:val="rynqvb"/>
          <w:rFonts w:ascii="Times New Roman" w:hAnsi="Times New Roman" w:cs="Times New Roman"/>
          <w:lang w:val="en"/>
        </w:rPr>
        <w:t>Stappel</w:t>
      </w:r>
      <w:proofErr w:type="spellEnd"/>
      <w:r w:rsidR="00314231">
        <w:rPr>
          <w:rStyle w:val="rynqvb"/>
          <w:rFonts w:ascii="Times New Roman" w:hAnsi="Times New Roman" w:cs="Times New Roman"/>
          <w:lang w:val="en"/>
        </w:rPr>
        <w:t xml:space="preserve"> 2022)</w:t>
      </w:r>
      <w:r w:rsidRPr="00F879AD">
        <w:rPr>
          <w:rStyle w:val="rynqvb"/>
          <w:rFonts w:ascii="Times New Roman" w:hAnsi="Times New Roman" w:cs="Times New Roman"/>
          <w:lang w:val="en"/>
        </w:rPr>
        <w:t>.</w:t>
      </w:r>
      <w:r w:rsidRPr="00F879AD">
        <w:rPr>
          <w:rStyle w:val="hwtze"/>
          <w:rFonts w:ascii="Times New Roman" w:hAnsi="Times New Roman" w:cs="Times New Roman"/>
          <w:lang w:val="en"/>
        </w:rPr>
        <w:t xml:space="preserve"> </w:t>
      </w:r>
      <w:r w:rsidR="0007153B">
        <w:rPr>
          <w:rStyle w:val="hwtze"/>
          <w:rFonts w:ascii="Times New Roman" w:hAnsi="Times New Roman" w:cs="Times New Roman"/>
          <w:lang w:val="en"/>
        </w:rPr>
        <w:t xml:space="preserve">In 1990 there were 3344 independent credit cooperatives. </w:t>
      </w:r>
      <w:r w:rsidRPr="00F879AD">
        <w:rPr>
          <w:rStyle w:val="rynqvb"/>
          <w:rFonts w:ascii="Times New Roman" w:hAnsi="Times New Roman" w:cs="Times New Roman"/>
          <w:lang w:val="en"/>
        </w:rPr>
        <w:t xml:space="preserve">While various studies on the success of </w:t>
      </w:r>
      <w:r w:rsidR="004424F5">
        <w:rPr>
          <w:rStyle w:val="rynqvb"/>
          <w:rFonts w:ascii="Times New Roman" w:hAnsi="Times New Roman" w:cs="Times New Roman"/>
          <w:lang w:val="en"/>
        </w:rPr>
        <w:t>mergers in Germany</w:t>
      </w:r>
      <w:r w:rsidRPr="00F879AD">
        <w:rPr>
          <w:rStyle w:val="rynqvb"/>
          <w:rFonts w:ascii="Times New Roman" w:hAnsi="Times New Roman" w:cs="Times New Roman"/>
          <w:lang w:val="en"/>
        </w:rPr>
        <w:t xml:space="preserve"> (</w:t>
      </w:r>
      <w:proofErr w:type="spellStart"/>
      <w:r w:rsidRPr="00F879AD">
        <w:rPr>
          <w:rStyle w:val="rynqvb"/>
          <w:rFonts w:ascii="Times New Roman" w:hAnsi="Times New Roman" w:cs="Times New Roman"/>
          <w:lang w:val="en"/>
        </w:rPr>
        <w:t>Abeska</w:t>
      </w:r>
      <w:proofErr w:type="spellEnd"/>
      <w:r w:rsidRPr="00F879AD">
        <w:rPr>
          <w:rStyle w:val="rynqvb"/>
          <w:rFonts w:ascii="Times New Roman" w:hAnsi="Times New Roman" w:cs="Times New Roman"/>
          <w:lang w:val="en"/>
        </w:rPr>
        <w:t xml:space="preserve"> 2014</w:t>
      </w:r>
      <w:r w:rsidR="003C0FDF">
        <w:rPr>
          <w:rStyle w:val="rynqvb"/>
          <w:rFonts w:ascii="Times New Roman" w:hAnsi="Times New Roman" w:cs="Times New Roman"/>
          <w:lang w:val="en"/>
        </w:rPr>
        <w:t xml:space="preserve"> for cooperatives, </w:t>
      </w:r>
      <w:proofErr w:type="spellStart"/>
      <w:r w:rsidR="003C0FDF">
        <w:rPr>
          <w:rStyle w:val="rynqvb"/>
          <w:rFonts w:ascii="Times New Roman" w:hAnsi="Times New Roman" w:cs="Times New Roman"/>
          <w:lang w:val="en"/>
        </w:rPr>
        <w:t>Koetter</w:t>
      </w:r>
      <w:proofErr w:type="spellEnd"/>
      <w:r w:rsidR="003C0FDF">
        <w:rPr>
          <w:rStyle w:val="rynqvb"/>
          <w:rFonts w:ascii="Times New Roman" w:hAnsi="Times New Roman" w:cs="Times New Roman"/>
          <w:lang w:val="en"/>
        </w:rPr>
        <w:t xml:space="preserve"> 2008</w:t>
      </w:r>
      <w:r w:rsidR="00A11AC4">
        <w:rPr>
          <w:rStyle w:val="rynqvb"/>
          <w:rFonts w:ascii="Times New Roman" w:hAnsi="Times New Roman" w:cs="Times New Roman"/>
          <w:lang w:val="en"/>
        </w:rPr>
        <w:t xml:space="preserve">, Lang and </w:t>
      </w:r>
      <w:proofErr w:type="spellStart"/>
      <w:r w:rsidR="00A11AC4">
        <w:rPr>
          <w:rStyle w:val="rynqvb"/>
          <w:rFonts w:ascii="Times New Roman" w:hAnsi="Times New Roman" w:cs="Times New Roman"/>
          <w:lang w:val="en"/>
        </w:rPr>
        <w:t>Welzel</w:t>
      </w:r>
      <w:proofErr w:type="spellEnd"/>
      <w:r w:rsidR="00A11AC4">
        <w:rPr>
          <w:rStyle w:val="rynqvb"/>
          <w:rFonts w:ascii="Times New Roman" w:hAnsi="Times New Roman" w:cs="Times New Roman"/>
          <w:lang w:val="en"/>
        </w:rPr>
        <w:t xml:space="preserve"> 1999</w:t>
      </w:r>
      <w:r w:rsidRPr="00F879AD">
        <w:rPr>
          <w:rStyle w:val="rynqvb"/>
          <w:rFonts w:ascii="Times New Roman" w:hAnsi="Times New Roman" w:cs="Times New Roman"/>
          <w:lang w:val="en"/>
        </w:rPr>
        <w:t xml:space="preserve">) </w:t>
      </w:r>
      <w:r w:rsidR="004424F5">
        <w:rPr>
          <w:rStyle w:val="rynqvb"/>
          <w:rFonts w:ascii="Times New Roman" w:hAnsi="Times New Roman" w:cs="Times New Roman"/>
          <w:lang w:val="en"/>
        </w:rPr>
        <w:t xml:space="preserve">and other countries </w:t>
      </w:r>
      <w:r w:rsidRPr="00F879AD">
        <w:rPr>
          <w:rStyle w:val="rynqvb"/>
          <w:rFonts w:ascii="Times New Roman" w:hAnsi="Times New Roman" w:cs="Times New Roman"/>
          <w:lang w:val="en"/>
        </w:rPr>
        <w:t xml:space="preserve">have been published in the meantime, there are hardly any empirical studies dealing with the determinants of </w:t>
      </w:r>
      <w:r w:rsidR="004424F5">
        <w:rPr>
          <w:rStyle w:val="rynqvb"/>
          <w:rFonts w:ascii="Times New Roman" w:hAnsi="Times New Roman" w:cs="Times New Roman"/>
          <w:lang w:val="en"/>
        </w:rPr>
        <w:t>merger</w:t>
      </w:r>
      <w:r w:rsidRPr="00F879AD">
        <w:rPr>
          <w:rStyle w:val="rynqvb"/>
          <w:rFonts w:ascii="Times New Roman" w:hAnsi="Times New Roman" w:cs="Times New Roman"/>
          <w:lang w:val="en"/>
        </w:rPr>
        <w:t xml:space="preserve"> activity</w:t>
      </w:r>
      <w:r w:rsidR="002331C5">
        <w:rPr>
          <w:rStyle w:val="rynqvb"/>
          <w:rFonts w:ascii="Times New Roman" w:hAnsi="Times New Roman" w:cs="Times New Roman"/>
          <w:lang w:val="en"/>
        </w:rPr>
        <w:t xml:space="preserve"> in the German cooperative banking sector</w:t>
      </w:r>
      <w:r w:rsidRPr="00F879AD">
        <w:rPr>
          <w:rStyle w:val="rynqvb"/>
          <w:rFonts w:ascii="Times New Roman" w:hAnsi="Times New Roman" w:cs="Times New Roman"/>
          <w:lang w:val="en"/>
        </w:rPr>
        <w:t>.</w:t>
      </w:r>
      <w:r w:rsidRPr="00F879AD">
        <w:rPr>
          <w:rStyle w:val="hwtze"/>
          <w:rFonts w:ascii="Times New Roman" w:hAnsi="Times New Roman" w:cs="Times New Roman"/>
          <w:lang w:val="en"/>
        </w:rPr>
        <w:t xml:space="preserve"> </w:t>
      </w:r>
      <w:proofErr w:type="spellStart"/>
      <w:r w:rsidRPr="00F879AD">
        <w:rPr>
          <w:rStyle w:val="rynqvb"/>
          <w:rFonts w:ascii="Times New Roman" w:hAnsi="Times New Roman" w:cs="Times New Roman"/>
          <w:lang w:val="en"/>
        </w:rPr>
        <w:t>Stappel</w:t>
      </w:r>
      <w:proofErr w:type="spellEnd"/>
      <w:r w:rsidRPr="00F879AD">
        <w:rPr>
          <w:rStyle w:val="rynqvb"/>
          <w:rFonts w:ascii="Times New Roman" w:hAnsi="Times New Roman" w:cs="Times New Roman"/>
          <w:lang w:val="en"/>
        </w:rPr>
        <w:t xml:space="preserve"> (</w:t>
      </w:r>
      <w:r w:rsidR="00B971EF">
        <w:rPr>
          <w:rStyle w:val="rynqvb"/>
          <w:rFonts w:ascii="Times New Roman" w:hAnsi="Times New Roman" w:cs="Times New Roman"/>
          <w:lang w:val="en"/>
        </w:rPr>
        <w:t>2022</w:t>
      </w:r>
      <w:r w:rsidRPr="00F879AD">
        <w:rPr>
          <w:rStyle w:val="rynqvb"/>
          <w:rFonts w:ascii="Times New Roman" w:hAnsi="Times New Roman" w:cs="Times New Roman"/>
          <w:lang w:val="en"/>
        </w:rPr>
        <w:t>) explains the various merger waves ad hoc with certain factors (</w:t>
      </w:r>
      <w:r w:rsidR="00314231">
        <w:rPr>
          <w:rStyle w:val="rynqvb"/>
          <w:rFonts w:ascii="Times New Roman" w:hAnsi="Times New Roman" w:cs="Times New Roman"/>
          <w:lang w:val="en"/>
        </w:rPr>
        <w:t xml:space="preserve">re-unification, </w:t>
      </w:r>
      <w:r w:rsidRPr="00F879AD">
        <w:rPr>
          <w:rStyle w:val="rynqvb"/>
          <w:rFonts w:ascii="Times New Roman" w:hAnsi="Times New Roman" w:cs="Times New Roman"/>
          <w:lang w:val="en"/>
        </w:rPr>
        <w:t xml:space="preserve">regulatory requirements, </w:t>
      </w:r>
      <w:r w:rsidR="004424F5">
        <w:rPr>
          <w:rStyle w:val="rynqvb"/>
          <w:rFonts w:ascii="Times New Roman" w:hAnsi="Times New Roman" w:cs="Times New Roman"/>
          <w:lang w:val="en"/>
        </w:rPr>
        <w:t>digitization</w:t>
      </w:r>
      <w:r w:rsidRPr="00F879AD">
        <w:rPr>
          <w:rStyle w:val="rynqvb"/>
          <w:rFonts w:ascii="Times New Roman" w:hAnsi="Times New Roman" w:cs="Times New Roman"/>
          <w:lang w:val="en"/>
        </w:rPr>
        <w:t xml:space="preserve">), but does not </w:t>
      </w:r>
      <w:r w:rsidR="004424F5">
        <w:rPr>
          <w:rStyle w:val="rynqvb"/>
          <w:rFonts w:ascii="Times New Roman" w:hAnsi="Times New Roman" w:cs="Times New Roman"/>
          <w:lang w:val="en"/>
        </w:rPr>
        <w:t xml:space="preserve">perform </w:t>
      </w:r>
      <w:r w:rsidRPr="00F879AD">
        <w:rPr>
          <w:rStyle w:val="rynqvb"/>
          <w:rFonts w:ascii="Times New Roman" w:hAnsi="Times New Roman" w:cs="Times New Roman"/>
          <w:lang w:val="en"/>
        </w:rPr>
        <w:t xml:space="preserve">statistical </w:t>
      </w:r>
      <w:r w:rsidR="0047028F">
        <w:rPr>
          <w:rStyle w:val="rynqvb"/>
          <w:rFonts w:ascii="Times New Roman" w:hAnsi="Times New Roman" w:cs="Times New Roman"/>
          <w:lang w:val="en"/>
        </w:rPr>
        <w:t>hypothesis testing</w:t>
      </w:r>
      <w:r w:rsidRPr="00F879AD">
        <w:rPr>
          <w:rStyle w:val="rynqvb"/>
          <w:rFonts w:ascii="Times New Roman" w:hAnsi="Times New Roman" w:cs="Times New Roman"/>
          <w:lang w:val="en"/>
        </w:rPr>
        <w:t>.</w:t>
      </w:r>
      <w:r w:rsidR="00226E87">
        <w:rPr>
          <w:rStyle w:val="rynqvb"/>
          <w:rFonts w:ascii="Times New Roman" w:hAnsi="Times New Roman" w:cs="Times New Roman"/>
          <w:lang w:val="en"/>
        </w:rPr>
        <w:t xml:space="preserve"> </w:t>
      </w:r>
      <w:proofErr w:type="spellStart"/>
      <w:r w:rsidR="007D6855">
        <w:rPr>
          <w:rStyle w:val="rynqvb"/>
          <w:rFonts w:ascii="Times New Roman" w:hAnsi="Times New Roman" w:cs="Times New Roman"/>
          <w:lang w:val="en"/>
        </w:rPr>
        <w:t>Dreesen</w:t>
      </w:r>
      <w:proofErr w:type="spellEnd"/>
      <w:r w:rsidR="007D6855">
        <w:rPr>
          <w:rStyle w:val="rynqvb"/>
          <w:rFonts w:ascii="Times New Roman" w:hAnsi="Times New Roman" w:cs="Times New Roman"/>
          <w:lang w:val="en"/>
        </w:rPr>
        <w:t xml:space="preserve"> and </w:t>
      </w:r>
      <w:proofErr w:type="spellStart"/>
      <w:r w:rsidR="007D6855">
        <w:rPr>
          <w:rStyle w:val="rynqvb"/>
          <w:rFonts w:ascii="Times New Roman" w:hAnsi="Times New Roman" w:cs="Times New Roman"/>
          <w:lang w:val="en"/>
        </w:rPr>
        <w:t>Horsch</w:t>
      </w:r>
      <w:proofErr w:type="spellEnd"/>
      <w:r w:rsidR="007D6855">
        <w:rPr>
          <w:rStyle w:val="rynqvb"/>
          <w:rFonts w:ascii="Times New Roman" w:hAnsi="Times New Roman" w:cs="Times New Roman"/>
          <w:lang w:val="en"/>
        </w:rPr>
        <w:t xml:space="preserve"> (2022) only present a descriptive analysis of concentration ratios. </w:t>
      </w:r>
      <w:r w:rsidR="00260926">
        <w:rPr>
          <w:rStyle w:val="rynqvb"/>
          <w:rFonts w:ascii="Times New Roman" w:hAnsi="Times New Roman" w:cs="Times New Roman"/>
          <w:lang w:val="en"/>
        </w:rPr>
        <w:t xml:space="preserve">Otherwise, there are no studies </w:t>
      </w:r>
      <w:r w:rsidR="00AF61F9">
        <w:rPr>
          <w:rStyle w:val="rynqvb"/>
          <w:rFonts w:ascii="Times New Roman" w:hAnsi="Times New Roman" w:cs="Times New Roman"/>
          <w:lang w:val="en"/>
        </w:rPr>
        <w:t>that are specifically targeted on the German cooperative sector.</w:t>
      </w:r>
    </w:p>
    <w:p w14:paraId="6876E557" w14:textId="77777777" w:rsidR="00FF360C" w:rsidRDefault="00FF360C" w:rsidP="00497F00">
      <w:pPr>
        <w:jc w:val="both"/>
        <w:rPr>
          <w:rStyle w:val="rynqvb"/>
          <w:rFonts w:ascii="Times New Roman" w:hAnsi="Times New Roman" w:cs="Times New Roman"/>
          <w:lang w:val="en"/>
        </w:rPr>
      </w:pPr>
    </w:p>
    <w:p w14:paraId="0DD48B36" w14:textId="566174F2" w:rsidR="00AF61F9" w:rsidRPr="00356403" w:rsidRDefault="00356403" w:rsidP="00356403">
      <w:pPr>
        <w:jc w:val="both"/>
        <w:rPr>
          <w:rStyle w:val="rynqvb"/>
          <w:rFonts w:ascii="Times New Roman" w:hAnsi="Times New Roman" w:cs="Times New Roman"/>
          <w:b/>
          <w:bCs/>
          <w:lang w:val="en"/>
        </w:rPr>
      </w:pPr>
      <w:r>
        <w:rPr>
          <w:rStyle w:val="rynqvb"/>
          <w:rFonts w:ascii="Times New Roman" w:hAnsi="Times New Roman" w:cs="Times New Roman"/>
          <w:b/>
          <w:bCs/>
          <w:lang w:val="en"/>
        </w:rPr>
        <w:t xml:space="preserve">2. </w:t>
      </w:r>
      <w:r w:rsidR="00AF61F9" w:rsidRPr="00356403">
        <w:rPr>
          <w:rStyle w:val="rynqvb"/>
          <w:rFonts w:ascii="Times New Roman" w:hAnsi="Times New Roman" w:cs="Times New Roman"/>
          <w:b/>
          <w:bCs/>
          <w:lang w:val="en"/>
        </w:rPr>
        <w:t>Literature Findings</w:t>
      </w:r>
    </w:p>
    <w:p w14:paraId="4D0BCC82" w14:textId="701732D1" w:rsidR="00F879AD" w:rsidRDefault="00AF61F9" w:rsidP="00497F00">
      <w:pPr>
        <w:jc w:val="both"/>
        <w:rPr>
          <w:rStyle w:val="rynqvb"/>
          <w:rFonts w:ascii="Times New Roman" w:hAnsi="Times New Roman" w:cs="Times New Roman"/>
          <w:lang w:val="en"/>
        </w:rPr>
      </w:pPr>
      <w:r>
        <w:rPr>
          <w:rStyle w:val="rynqvb"/>
          <w:rFonts w:ascii="Times New Roman" w:hAnsi="Times New Roman" w:cs="Times New Roman"/>
          <w:lang w:val="en"/>
        </w:rPr>
        <w:t xml:space="preserve">There is </w:t>
      </w:r>
      <w:r w:rsidR="00B7045B">
        <w:rPr>
          <w:rStyle w:val="rynqvb"/>
          <w:rFonts w:ascii="Times New Roman" w:hAnsi="Times New Roman" w:cs="Times New Roman"/>
          <w:lang w:val="en"/>
        </w:rPr>
        <w:t xml:space="preserve">some </w:t>
      </w:r>
      <w:r>
        <w:rPr>
          <w:rStyle w:val="rynqvb"/>
          <w:rFonts w:ascii="Times New Roman" w:hAnsi="Times New Roman" w:cs="Times New Roman"/>
          <w:lang w:val="en"/>
        </w:rPr>
        <w:t>literature on merger determinants</w:t>
      </w:r>
      <w:r w:rsidR="00B7045B">
        <w:rPr>
          <w:rStyle w:val="rynqvb"/>
          <w:rFonts w:ascii="Times New Roman" w:hAnsi="Times New Roman" w:cs="Times New Roman"/>
          <w:lang w:val="en"/>
        </w:rPr>
        <w:t xml:space="preserve"> in high-income countries that</w:t>
      </w:r>
      <w:r w:rsidR="00314231">
        <w:rPr>
          <w:rStyle w:val="rynqvb"/>
          <w:rFonts w:ascii="Times New Roman" w:hAnsi="Times New Roman" w:cs="Times New Roman"/>
          <w:lang w:val="en"/>
        </w:rPr>
        <w:t xml:space="preserve"> </w:t>
      </w:r>
      <w:r w:rsidR="00C712FF">
        <w:rPr>
          <w:rStyle w:val="rynqvb"/>
          <w:rFonts w:ascii="Times New Roman" w:hAnsi="Times New Roman" w:cs="Times New Roman"/>
          <w:lang w:val="en"/>
        </w:rPr>
        <w:t xml:space="preserve">allows conclusions about </w:t>
      </w:r>
      <w:r w:rsidR="002B0D71">
        <w:rPr>
          <w:rStyle w:val="rynqvb"/>
          <w:rFonts w:ascii="Times New Roman" w:hAnsi="Times New Roman" w:cs="Times New Roman"/>
          <w:lang w:val="en"/>
        </w:rPr>
        <w:t>potential determinants of merger activity in Germany’s cooperative banking sector.</w:t>
      </w:r>
      <w:r w:rsidR="000D25A8">
        <w:rPr>
          <w:rStyle w:val="rynqvb"/>
          <w:rFonts w:ascii="Times New Roman" w:hAnsi="Times New Roman" w:cs="Times New Roman"/>
          <w:lang w:val="en"/>
        </w:rPr>
        <w:t xml:space="preserve"> </w:t>
      </w:r>
      <w:proofErr w:type="spellStart"/>
      <w:r w:rsidR="00226E87">
        <w:rPr>
          <w:rStyle w:val="rynqvb"/>
          <w:rFonts w:ascii="Times New Roman" w:hAnsi="Times New Roman" w:cs="Times New Roman"/>
          <w:lang w:val="en"/>
        </w:rPr>
        <w:t>Akkus</w:t>
      </w:r>
      <w:proofErr w:type="spellEnd"/>
      <w:r w:rsidR="00226E87">
        <w:rPr>
          <w:rStyle w:val="rynqvb"/>
          <w:rFonts w:ascii="Times New Roman" w:hAnsi="Times New Roman" w:cs="Times New Roman"/>
          <w:lang w:val="en"/>
        </w:rPr>
        <w:t xml:space="preserve"> et al. (2016) </w:t>
      </w:r>
      <w:r w:rsidR="00B971EF">
        <w:rPr>
          <w:rStyle w:val="rynqvb"/>
          <w:rFonts w:ascii="Times New Roman" w:hAnsi="Times New Roman" w:cs="Times New Roman"/>
          <w:lang w:val="en"/>
        </w:rPr>
        <w:t xml:space="preserve">use a micro approach and </w:t>
      </w:r>
      <w:r w:rsidR="00226E87">
        <w:rPr>
          <w:rStyle w:val="rynqvb"/>
          <w:rFonts w:ascii="Times New Roman" w:hAnsi="Times New Roman" w:cs="Times New Roman"/>
          <w:lang w:val="en"/>
        </w:rPr>
        <w:t>evaluate mergers of US bank</w:t>
      </w:r>
      <w:r w:rsidR="00B971EF">
        <w:rPr>
          <w:rStyle w:val="rynqvb"/>
          <w:rFonts w:ascii="Times New Roman" w:hAnsi="Times New Roman" w:cs="Times New Roman"/>
          <w:lang w:val="en"/>
        </w:rPr>
        <w:t>s</w:t>
      </w:r>
      <w:r w:rsidR="00226E87">
        <w:rPr>
          <w:rStyle w:val="rynqvb"/>
          <w:rFonts w:ascii="Times New Roman" w:hAnsi="Times New Roman" w:cs="Times New Roman"/>
          <w:lang w:val="en"/>
        </w:rPr>
        <w:t xml:space="preserve"> from an a</w:t>
      </w:r>
      <w:r w:rsidR="00B971EF">
        <w:rPr>
          <w:rStyle w:val="rynqvb"/>
          <w:rFonts w:ascii="Times New Roman" w:hAnsi="Times New Roman" w:cs="Times New Roman"/>
          <w:lang w:val="en"/>
        </w:rPr>
        <w:t>c</w:t>
      </w:r>
      <w:r w:rsidR="00226E87">
        <w:rPr>
          <w:rStyle w:val="rynqvb"/>
          <w:rFonts w:ascii="Times New Roman" w:hAnsi="Times New Roman" w:cs="Times New Roman"/>
          <w:lang w:val="en"/>
        </w:rPr>
        <w:t>qui</w:t>
      </w:r>
      <w:r w:rsidR="00B971EF">
        <w:rPr>
          <w:rStyle w:val="rynqvb"/>
          <w:rFonts w:ascii="Times New Roman" w:hAnsi="Times New Roman" w:cs="Times New Roman"/>
          <w:lang w:val="en"/>
        </w:rPr>
        <w:t xml:space="preserve">rer’s </w:t>
      </w:r>
      <w:r>
        <w:rPr>
          <w:rStyle w:val="rynqvb"/>
          <w:rFonts w:ascii="Times New Roman" w:hAnsi="Times New Roman" w:cs="Times New Roman"/>
          <w:lang w:val="en"/>
        </w:rPr>
        <w:t>respectively</w:t>
      </w:r>
      <w:r w:rsidR="00B971EF">
        <w:rPr>
          <w:rStyle w:val="rynqvb"/>
          <w:rFonts w:ascii="Times New Roman" w:hAnsi="Times New Roman" w:cs="Times New Roman"/>
          <w:lang w:val="en"/>
        </w:rPr>
        <w:t xml:space="preserve"> target’s perspective. They find that motives as cost reduction, efficiency gains and market concentration play a major role. However, they also find that at least the performance of ta</w:t>
      </w:r>
      <w:r w:rsidR="00094431">
        <w:rPr>
          <w:rStyle w:val="rynqvb"/>
          <w:rFonts w:ascii="Times New Roman" w:hAnsi="Times New Roman" w:cs="Times New Roman"/>
          <w:lang w:val="en"/>
        </w:rPr>
        <w:t>r</w:t>
      </w:r>
      <w:r w:rsidR="00B971EF">
        <w:rPr>
          <w:rStyle w:val="rynqvb"/>
          <w:rFonts w:ascii="Times New Roman" w:hAnsi="Times New Roman" w:cs="Times New Roman"/>
          <w:lang w:val="en"/>
        </w:rPr>
        <w:t>get bank</w:t>
      </w:r>
      <w:r w:rsidR="00094431">
        <w:rPr>
          <w:rStyle w:val="rynqvb"/>
          <w:rFonts w:ascii="Times New Roman" w:hAnsi="Times New Roman" w:cs="Times New Roman"/>
          <w:lang w:val="en"/>
        </w:rPr>
        <w:t xml:space="preserve">s is not a major determinant of mergers. These results can hardly be transferred to the German banking sector as the authors did not consider credit unions, which are strictly separated from ordinary banks in the US. </w:t>
      </w:r>
      <w:r>
        <w:rPr>
          <w:rStyle w:val="rynqvb"/>
          <w:rFonts w:ascii="Times New Roman" w:hAnsi="Times New Roman" w:cs="Times New Roman"/>
          <w:lang w:val="en"/>
        </w:rPr>
        <w:t xml:space="preserve">The same applies to the review study of </w:t>
      </w:r>
      <w:proofErr w:type="spellStart"/>
      <w:r>
        <w:rPr>
          <w:rStyle w:val="rynqvb"/>
          <w:rFonts w:ascii="Times New Roman" w:hAnsi="Times New Roman" w:cs="Times New Roman"/>
          <w:lang w:val="en"/>
        </w:rPr>
        <w:t>Figue</w:t>
      </w:r>
      <w:r w:rsidR="00943470">
        <w:rPr>
          <w:rStyle w:val="rynqvb"/>
          <w:rFonts w:ascii="Times New Roman" w:hAnsi="Times New Roman" w:cs="Times New Roman"/>
          <w:lang w:val="en"/>
        </w:rPr>
        <w:t>i</w:t>
      </w:r>
      <w:r>
        <w:rPr>
          <w:rStyle w:val="rynqvb"/>
          <w:rFonts w:ascii="Times New Roman" w:hAnsi="Times New Roman" w:cs="Times New Roman"/>
          <w:lang w:val="en"/>
        </w:rPr>
        <w:t>ras</w:t>
      </w:r>
      <w:proofErr w:type="spellEnd"/>
      <w:r>
        <w:rPr>
          <w:rStyle w:val="rynqvb"/>
          <w:rFonts w:ascii="Times New Roman" w:hAnsi="Times New Roman" w:cs="Times New Roman"/>
          <w:lang w:val="en"/>
        </w:rPr>
        <w:t xml:space="preserve"> et al. (2021)</w:t>
      </w:r>
      <w:r w:rsidR="002E100D">
        <w:rPr>
          <w:rStyle w:val="rynqvb"/>
          <w:rFonts w:ascii="Times New Roman" w:hAnsi="Times New Roman" w:cs="Times New Roman"/>
          <w:lang w:val="en"/>
        </w:rPr>
        <w:t>. In general, more profitable banks acquire less profitable bank</w:t>
      </w:r>
      <w:r w:rsidR="004D3531">
        <w:rPr>
          <w:rStyle w:val="rynqvb"/>
          <w:rFonts w:ascii="Times New Roman" w:hAnsi="Times New Roman" w:cs="Times New Roman"/>
          <w:lang w:val="en"/>
        </w:rPr>
        <w:t>s</w:t>
      </w:r>
      <w:r w:rsidR="002E100D">
        <w:rPr>
          <w:rStyle w:val="rynqvb"/>
          <w:rFonts w:ascii="Times New Roman" w:hAnsi="Times New Roman" w:cs="Times New Roman"/>
          <w:lang w:val="en"/>
        </w:rPr>
        <w:t>. Unfortunately, the authors seem to have included credit cooperatives,</w:t>
      </w:r>
      <w:r w:rsidR="0019611A">
        <w:rPr>
          <w:rStyle w:val="rynqvb"/>
          <w:rFonts w:ascii="Times New Roman" w:hAnsi="Times New Roman" w:cs="Times New Roman"/>
          <w:lang w:val="en"/>
        </w:rPr>
        <w:t xml:space="preserve"> </w:t>
      </w:r>
      <w:r w:rsidR="002E100D">
        <w:rPr>
          <w:rStyle w:val="rynqvb"/>
          <w:rFonts w:ascii="Times New Roman" w:hAnsi="Times New Roman" w:cs="Times New Roman"/>
          <w:lang w:val="en"/>
        </w:rPr>
        <w:t>but do not distinguish between cooperatives and other banks in their empirical analysis.</w:t>
      </w:r>
      <w:r w:rsidR="00277428">
        <w:rPr>
          <w:rStyle w:val="rynqvb"/>
          <w:rFonts w:ascii="Times New Roman" w:hAnsi="Times New Roman" w:cs="Times New Roman"/>
          <w:lang w:val="en"/>
        </w:rPr>
        <w:t xml:space="preserve"> </w:t>
      </w:r>
      <w:proofErr w:type="spellStart"/>
      <w:r w:rsidR="00277428">
        <w:rPr>
          <w:rStyle w:val="rynqvb"/>
          <w:rFonts w:ascii="Times New Roman" w:hAnsi="Times New Roman" w:cs="Times New Roman"/>
          <w:lang w:val="en"/>
        </w:rPr>
        <w:t>Bongini</w:t>
      </w:r>
      <w:proofErr w:type="spellEnd"/>
      <w:r w:rsidR="00277428">
        <w:rPr>
          <w:rStyle w:val="rynqvb"/>
          <w:rFonts w:ascii="Times New Roman" w:hAnsi="Times New Roman" w:cs="Times New Roman"/>
          <w:lang w:val="en"/>
        </w:rPr>
        <w:t xml:space="preserve"> et al. (2007) specifically assess relationship banking of credit cooperatives</w:t>
      </w:r>
      <w:r w:rsidR="00235F10">
        <w:rPr>
          <w:rStyle w:val="rynqvb"/>
          <w:rFonts w:ascii="Times New Roman" w:hAnsi="Times New Roman" w:cs="Times New Roman"/>
          <w:lang w:val="en"/>
        </w:rPr>
        <w:t xml:space="preserve"> in Italy, which is found highly profitable, even in the case of very small banks. Therefore, the need to create larger units via mergers, must be questioned.</w:t>
      </w:r>
      <w:r w:rsidR="000038BE">
        <w:rPr>
          <w:rStyle w:val="rynqvb"/>
          <w:rFonts w:ascii="Times New Roman" w:hAnsi="Times New Roman" w:cs="Times New Roman"/>
          <w:lang w:val="en"/>
        </w:rPr>
        <w:t xml:space="preserve"> The main motivation behind mergers and acquisitions is expanding financial services and lowering credit risk, according to a study of </w:t>
      </w:r>
      <w:proofErr w:type="spellStart"/>
      <w:r w:rsidR="000038BE">
        <w:rPr>
          <w:rStyle w:val="rynqvb"/>
          <w:rFonts w:ascii="Times New Roman" w:hAnsi="Times New Roman" w:cs="Times New Roman"/>
          <w:lang w:val="en"/>
        </w:rPr>
        <w:t>Focarelli</w:t>
      </w:r>
      <w:proofErr w:type="spellEnd"/>
      <w:r w:rsidR="000038BE">
        <w:rPr>
          <w:rStyle w:val="rynqvb"/>
          <w:rFonts w:ascii="Times New Roman" w:hAnsi="Times New Roman" w:cs="Times New Roman"/>
          <w:lang w:val="en"/>
        </w:rPr>
        <w:t xml:space="preserve"> et al. (2003). But the authors do not include actual bank performance, and their analysis is restricted to Italian commercial banks.</w:t>
      </w:r>
      <w:r w:rsidR="00A026DB">
        <w:rPr>
          <w:rStyle w:val="rynqvb"/>
          <w:rFonts w:ascii="Times New Roman" w:hAnsi="Times New Roman" w:cs="Times New Roman"/>
          <w:lang w:val="en"/>
        </w:rPr>
        <w:t xml:space="preserve"> Specifically directed at credit cooperatives is the study by Cabo and </w:t>
      </w:r>
      <w:proofErr w:type="spellStart"/>
      <w:r w:rsidR="00A026DB">
        <w:rPr>
          <w:rStyle w:val="rynqvb"/>
          <w:rFonts w:ascii="Times New Roman" w:hAnsi="Times New Roman" w:cs="Times New Roman"/>
          <w:lang w:val="en"/>
        </w:rPr>
        <w:t>Rebelo</w:t>
      </w:r>
      <w:proofErr w:type="spellEnd"/>
      <w:r w:rsidR="00A026DB">
        <w:rPr>
          <w:rStyle w:val="rynqvb"/>
          <w:rFonts w:ascii="Times New Roman" w:hAnsi="Times New Roman" w:cs="Times New Roman"/>
          <w:lang w:val="en"/>
        </w:rPr>
        <w:t xml:space="preserve"> (2005). The authors examine the determinants of mergers between agricultural cooperative banks in Portugal. They find, that acquiring banks are typically large and profitable, whereas target banks tend to be small and less profitable. This implies that, on average, there should be a positive relationship between merger intensity and average profitability in a cross-sectional dimension.</w:t>
      </w:r>
      <w:r w:rsidR="00C6227A">
        <w:rPr>
          <w:rStyle w:val="rynqvb"/>
          <w:rFonts w:ascii="Times New Roman" w:hAnsi="Times New Roman" w:cs="Times New Roman"/>
          <w:lang w:val="en"/>
        </w:rPr>
        <w:t xml:space="preserve"> This notion is supported by a study that evaluates the determinants of mergers and acquisitions among Finnish cooperative and savings banks (</w:t>
      </w:r>
      <w:proofErr w:type="spellStart"/>
      <w:r w:rsidR="00C6227A">
        <w:rPr>
          <w:rStyle w:val="rynqvb"/>
          <w:rFonts w:ascii="Times New Roman" w:hAnsi="Times New Roman" w:cs="Times New Roman"/>
          <w:lang w:val="en"/>
        </w:rPr>
        <w:t>Huh</w:t>
      </w:r>
      <w:r w:rsidR="00B7223F">
        <w:rPr>
          <w:rStyle w:val="rynqvb"/>
          <w:rFonts w:ascii="Times New Roman" w:hAnsi="Times New Roman" w:cs="Times New Roman"/>
          <w:lang w:val="en"/>
        </w:rPr>
        <w:t>tilainen</w:t>
      </w:r>
      <w:proofErr w:type="spellEnd"/>
      <w:r w:rsidR="00B7223F">
        <w:rPr>
          <w:rStyle w:val="rynqvb"/>
          <w:rFonts w:ascii="Times New Roman" w:hAnsi="Times New Roman" w:cs="Times New Roman"/>
          <w:lang w:val="en"/>
        </w:rPr>
        <w:t xml:space="preserve"> et al. 2022). Though the sample mixes two types of regional banks, the result is similar. Large and efficient banks tend to merge with smaller and less profitable banks.</w:t>
      </w:r>
    </w:p>
    <w:p w14:paraId="28D48717" w14:textId="77777777" w:rsidR="007E746F" w:rsidRDefault="007E746F" w:rsidP="00497F00">
      <w:pPr>
        <w:jc w:val="both"/>
        <w:rPr>
          <w:rStyle w:val="rynqvb"/>
          <w:rFonts w:ascii="Times New Roman" w:hAnsi="Times New Roman" w:cs="Times New Roman"/>
          <w:lang w:val="en"/>
        </w:rPr>
      </w:pPr>
    </w:p>
    <w:p w14:paraId="28E2BBF5" w14:textId="5D271C26" w:rsidR="002910F6" w:rsidRPr="00356403" w:rsidRDefault="00356403" w:rsidP="00356403">
      <w:pPr>
        <w:jc w:val="both"/>
        <w:rPr>
          <w:rStyle w:val="rynqvb"/>
          <w:rFonts w:ascii="Times New Roman" w:hAnsi="Times New Roman" w:cs="Times New Roman"/>
          <w:b/>
          <w:bCs/>
          <w:lang w:val="en"/>
        </w:rPr>
      </w:pPr>
      <w:r>
        <w:rPr>
          <w:rStyle w:val="rynqvb"/>
          <w:rFonts w:ascii="Times New Roman" w:hAnsi="Times New Roman" w:cs="Times New Roman"/>
          <w:b/>
          <w:bCs/>
          <w:lang w:val="en"/>
        </w:rPr>
        <w:t xml:space="preserve">3. </w:t>
      </w:r>
      <w:r w:rsidR="002910F6" w:rsidRPr="00356403">
        <w:rPr>
          <w:rStyle w:val="rynqvb"/>
          <w:rFonts w:ascii="Times New Roman" w:hAnsi="Times New Roman" w:cs="Times New Roman"/>
          <w:b/>
          <w:bCs/>
          <w:lang w:val="en"/>
        </w:rPr>
        <w:t>Data and Econometric Analysis</w:t>
      </w:r>
    </w:p>
    <w:p w14:paraId="07090E17" w14:textId="2BA6541F" w:rsidR="00E13BF8" w:rsidRDefault="00E13BF8" w:rsidP="00497F00">
      <w:pPr>
        <w:jc w:val="both"/>
        <w:rPr>
          <w:rStyle w:val="rynqvb"/>
          <w:rFonts w:ascii="Times New Roman" w:hAnsi="Times New Roman" w:cs="Times New Roman"/>
          <w:lang w:val="en"/>
        </w:rPr>
      </w:pPr>
      <w:r>
        <w:rPr>
          <w:rStyle w:val="rynqvb"/>
          <w:rFonts w:ascii="Times New Roman" w:hAnsi="Times New Roman" w:cs="Times New Roman"/>
          <w:lang w:val="en"/>
        </w:rPr>
        <w:t>The</w:t>
      </w:r>
      <w:r w:rsidR="00AF61F9">
        <w:rPr>
          <w:rStyle w:val="rynqvb"/>
          <w:rFonts w:ascii="Times New Roman" w:hAnsi="Times New Roman" w:cs="Times New Roman"/>
          <w:lang w:val="en"/>
        </w:rPr>
        <w:t xml:space="preserve"> approach </w:t>
      </w:r>
      <w:r>
        <w:rPr>
          <w:rStyle w:val="rynqvb"/>
          <w:rFonts w:ascii="Times New Roman" w:hAnsi="Times New Roman" w:cs="Times New Roman"/>
          <w:lang w:val="en"/>
        </w:rPr>
        <w:t xml:space="preserve">presented here </w:t>
      </w:r>
      <w:r w:rsidR="00AF61F9">
        <w:rPr>
          <w:rStyle w:val="rynqvb"/>
          <w:rFonts w:ascii="Times New Roman" w:hAnsi="Times New Roman" w:cs="Times New Roman"/>
          <w:lang w:val="en"/>
        </w:rPr>
        <w:t>basically differs from existing studies</w:t>
      </w:r>
      <w:r>
        <w:rPr>
          <w:rStyle w:val="rynqvb"/>
          <w:rFonts w:ascii="Times New Roman" w:hAnsi="Times New Roman" w:cs="Times New Roman"/>
          <w:lang w:val="en"/>
        </w:rPr>
        <w:t>. I do not focus on individual banks, but use the average values for the cooperative banking sector from a time series perspective. The period under consideration is from 1990 to 2021. The following variables will be included.</w:t>
      </w:r>
    </w:p>
    <w:p w14:paraId="505DAD14" w14:textId="77777777" w:rsidR="00E13BF8" w:rsidRDefault="00E13BF8" w:rsidP="00497F00">
      <w:pPr>
        <w:tabs>
          <w:tab w:val="center" w:pos="4536"/>
        </w:tabs>
        <w:jc w:val="both"/>
        <w:rPr>
          <w:rStyle w:val="rynqvb"/>
          <w:rFonts w:ascii="Times New Roman" w:hAnsi="Times New Roman" w:cs="Times New Roman"/>
          <w:lang w:val="en"/>
        </w:rPr>
      </w:pPr>
      <w:r>
        <w:rPr>
          <w:rStyle w:val="rynqvb"/>
          <w:rFonts w:ascii="Times New Roman" w:hAnsi="Times New Roman" w:cs="Times New Roman"/>
          <w:lang w:val="en"/>
        </w:rPr>
        <w:t xml:space="preserve">The merger intensity which is defined as </w:t>
      </w:r>
      <w:r>
        <w:rPr>
          <w:rStyle w:val="rynqvb"/>
          <w:rFonts w:ascii="Times New Roman" w:hAnsi="Times New Roman" w:cs="Times New Roman"/>
          <w:lang w:val="en"/>
        </w:rPr>
        <w:tab/>
      </w:r>
    </w:p>
    <w:p w14:paraId="34C5C237" w14:textId="77777777" w:rsidR="00E13BF8" w:rsidRDefault="00E13BF8" w:rsidP="00497F00">
      <w:pPr>
        <w:jc w:val="both"/>
        <w:rPr>
          <w:rStyle w:val="rynqvb"/>
          <w:rFonts w:ascii="Times New Roman" w:eastAsiaTheme="minorEastAsia" w:hAnsi="Times New Roman" w:cs="Times New Roman"/>
          <w:lang w:val="en"/>
        </w:rPr>
      </w:pPr>
      <m:oMath>
        <m:r>
          <w:rPr>
            <w:rStyle w:val="rynqvb"/>
            <w:rFonts w:ascii="Cambria Math" w:hAnsi="Cambria Math" w:cs="Times New Roman"/>
            <w:lang w:val="en"/>
          </w:rPr>
          <m:t>MI=</m:t>
        </m:r>
        <m:f>
          <m:fPr>
            <m:ctrlPr>
              <w:rPr>
                <w:rStyle w:val="rynqvb"/>
                <w:rFonts w:ascii="Cambria Math" w:hAnsi="Cambria Math" w:cs="Times New Roman"/>
                <w:i/>
                <w:lang w:val="en"/>
              </w:rPr>
            </m:ctrlPr>
          </m:fPr>
          <m:num>
            <m:sSub>
              <m:sSubPr>
                <m:ctrlPr>
                  <w:rPr>
                    <w:rStyle w:val="rynqvb"/>
                    <w:rFonts w:ascii="Cambria Math" w:hAnsi="Cambria Math" w:cs="Times New Roman"/>
                    <w:i/>
                    <w:lang w:val="en"/>
                  </w:rPr>
                </m:ctrlPr>
              </m:sSubPr>
              <m:e>
                <m:r>
                  <w:rPr>
                    <w:rStyle w:val="rynqvb"/>
                    <w:rFonts w:ascii="Cambria Math" w:hAnsi="Cambria Math" w:cs="Times New Roman"/>
                    <w:lang w:val="en"/>
                  </w:rPr>
                  <m:t>No. of Banks</m:t>
                </m:r>
              </m:e>
              <m:sub>
                <m:r>
                  <w:rPr>
                    <w:rStyle w:val="rynqvb"/>
                    <w:rFonts w:ascii="Cambria Math" w:hAnsi="Cambria Math" w:cs="Times New Roman"/>
                    <w:lang w:val="en"/>
                  </w:rPr>
                  <m:t>t</m:t>
                </m:r>
              </m:sub>
            </m:sSub>
            <m:r>
              <w:rPr>
                <w:rStyle w:val="rynqvb"/>
                <w:rFonts w:ascii="Cambria Math" w:hAnsi="Cambria Math" w:cs="Times New Roman"/>
                <w:lang w:val="en"/>
              </w:rPr>
              <m:t>-</m:t>
            </m:r>
            <m:sSub>
              <m:sSubPr>
                <m:ctrlPr>
                  <w:rPr>
                    <w:rStyle w:val="rynqvb"/>
                    <w:rFonts w:ascii="Cambria Math" w:hAnsi="Cambria Math" w:cs="Times New Roman"/>
                    <w:i/>
                    <w:lang w:val="en"/>
                  </w:rPr>
                </m:ctrlPr>
              </m:sSubPr>
              <m:e>
                <m:r>
                  <w:rPr>
                    <w:rStyle w:val="rynqvb"/>
                    <w:rFonts w:ascii="Cambria Math" w:hAnsi="Cambria Math" w:cs="Times New Roman"/>
                    <w:lang w:val="en"/>
                  </w:rPr>
                  <m:t>No. of Banks</m:t>
                </m:r>
              </m:e>
              <m:sub>
                <m:r>
                  <w:rPr>
                    <w:rStyle w:val="rynqvb"/>
                    <w:rFonts w:ascii="Cambria Math" w:hAnsi="Cambria Math" w:cs="Times New Roman"/>
                    <w:lang w:val="en"/>
                  </w:rPr>
                  <m:t>t-1</m:t>
                </m:r>
              </m:sub>
            </m:sSub>
          </m:num>
          <m:den>
            <m:sSub>
              <m:sSubPr>
                <m:ctrlPr>
                  <w:rPr>
                    <w:rStyle w:val="rynqvb"/>
                    <w:rFonts w:ascii="Cambria Math" w:hAnsi="Cambria Math" w:cs="Times New Roman"/>
                    <w:i/>
                    <w:lang w:val="en"/>
                  </w:rPr>
                </m:ctrlPr>
              </m:sSubPr>
              <m:e>
                <m:r>
                  <w:rPr>
                    <w:rStyle w:val="rynqvb"/>
                    <w:rFonts w:ascii="Cambria Math" w:hAnsi="Cambria Math" w:cs="Times New Roman"/>
                    <w:lang w:val="en"/>
                  </w:rPr>
                  <m:t>No.of Banks</m:t>
                </m:r>
              </m:e>
              <m:sub>
                <m:r>
                  <w:rPr>
                    <w:rStyle w:val="rynqvb"/>
                    <w:rFonts w:ascii="Cambria Math" w:hAnsi="Cambria Math" w:cs="Times New Roman"/>
                    <w:lang w:val="en"/>
                  </w:rPr>
                  <m:t>t-1</m:t>
                </m:r>
              </m:sub>
            </m:sSub>
          </m:den>
        </m:f>
      </m:oMath>
      <w:r>
        <w:rPr>
          <w:rStyle w:val="rynqvb"/>
          <w:rFonts w:ascii="Times New Roman" w:eastAsiaTheme="minorEastAsia" w:hAnsi="Times New Roman" w:cs="Times New Roman"/>
          <w:lang w:val="en"/>
        </w:rPr>
        <w:t>,</w:t>
      </w:r>
    </w:p>
    <w:p w14:paraId="21B88BAD" w14:textId="70FB3614" w:rsidR="00E13BF8" w:rsidRPr="00B0021F" w:rsidRDefault="00E13BF8" w:rsidP="00497F00">
      <w:pPr>
        <w:jc w:val="both"/>
        <w:rPr>
          <w:rStyle w:val="rynqvb"/>
          <w:rFonts w:ascii="Times New Roman" w:eastAsiaTheme="minorEastAsia" w:hAnsi="Times New Roman" w:cs="Times New Roman"/>
          <w:lang w:val="en"/>
        </w:rPr>
      </w:pPr>
      <w:proofErr w:type="gramStart"/>
      <w:r>
        <w:rPr>
          <w:rStyle w:val="rynqvb"/>
          <w:rFonts w:ascii="Times New Roman" w:eastAsiaTheme="minorEastAsia" w:hAnsi="Times New Roman" w:cs="Times New Roman"/>
          <w:lang w:val="en"/>
        </w:rPr>
        <w:lastRenderedPageBreak/>
        <w:t>i.</w:t>
      </w:r>
      <w:r w:rsidRPr="00B0021F">
        <w:rPr>
          <w:rStyle w:val="rynqvb"/>
          <w:rFonts w:ascii="Times New Roman" w:eastAsiaTheme="minorEastAsia" w:hAnsi="Times New Roman" w:cs="Times New Roman"/>
          <w:lang w:val="en"/>
        </w:rPr>
        <w:t>e.</w:t>
      </w:r>
      <w:proofErr w:type="gramEnd"/>
      <w:r w:rsidRPr="00B0021F">
        <w:rPr>
          <w:rStyle w:val="rynqvb"/>
          <w:rFonts w:ascii="Times New Roman" w:eastAsiaTheme="minorEastAsia" w:hAnsi="Times New Roman" w:cs="Times New Roman"/>
          <w:lang w:val="en"/>
        </w:rPr>
        <w:t xml:space="preserve"> the</w:t>
      </w:r>
      <w:r>
        <w:rPr>
          <w:rStyle w:val="rynqvb"/>
          <w:rFonts w:ascii="Times New Roman" w:eastAsiaTheme="minorEastAsia" w:hAnsi="Times New Roman" w:cs="Times New Roman"/>
          <w:lang w:val="en"/>
        </w:rPr>
        <w:t xml:space="preserve"> annual percentage change.</w:t>
      </w:r>
      <w:r w:rsidR="00834A39">
        <w:rPr>
          <w:rStyle w:val="rynqvb"/>
          <w:rFonts w:ascii="Times New Roman" w:eastAsiaTheme="minorEastAsia" w:hAnsi="Times New Roman" w:cs="Times New Roman"/>
          <w:lang w:val="en"/>
        </w:rPr>
        <w:t xml:space="preserve"> Data is from BVR (2022).</w:t>
      </w:r>
    </w:p>
    <w:p w14:paraId="234499D1" w14:textId="14CF95C8" w:rsidR="00E13BF8" w:rsidRDefault="00E13BF8" w:rsidP="00497F00">
      <w:pPr>
        <w:jc w:val="both"/>
        <w:rPr>
          <w:rStyle w:val="rynqvb"/>
          <w:rFonts w:ascii="Times New Roman" w:hAnsi="Times New Roman" w:cs="Times New Roman"/>
          <w:lang w:val="en"/>
        </w:rPr>
      </w:pPr>
      <w:r>
        <w:rPr>
          <w:rStyle w:val="rynqvb"/>
          <w:rFonts w:ascii="Times New Roman" w:hAnsi="Times New Roman" w:cs="Times New Roman"/>
          <w:lang w:val="en"/>
        </w:rPr>
        <w:t>The following p</w:t>
      </w:r>
      <w:r w:rsidR="00834A39">
        <w:rPr>
          <w:rStyle w:val="rynqvb"/>
          <w:rFonts w:ascii="Times New Roman" w:hAnsi="Times New Roman" w:cs="Times New Roman"/>
          <w:lang w:val="en"/>
        </w:rPr>
        <w:t>erformance</w:t>
      </w:r>
      <w:r>
        <w:rPr>
          <w:rStyle w:val="rynqvb"/>
          <w:rFonts w:ascii="Times New Roman" w:hAnsi="Times New Roman" w:cs="Times New Roman"/>
          <w:lang w:val="en"/>
        </w:rPr>
        <w:t xml:space="preserve"> indicators are considered:</w:t>
      </w:r>
    </w:p>
    <w:p w14:paraId="19CDBC59" w14:textId="77777777" w:rsidR="00E13BF8" w:rsidRPr="00B0021F" w:rsidRDefault="00E13BF8" w:rsidP="00497F00">
      <w:pPr>
        <w:pStyle w:val="Listenabsatz"/>
        <w:numPr>
          <w:ilvl w:val="0"/>
          <w:numId w:val="3"/>
        </w:numPr>
        <w:jc w:val="both"/>
        <w:rPr>
          <w:rStyle w:val="rynqvb"/>
          <w:rFonts w:ascii="Times New Roman" w:hAnsi="Times New Roman" w:cs="Times New Roman"/>
          <w:lang w:val="en"/>
        </w:rPr>
      </w:pPr>
      <w:r w:rsidRPr="00B0021F">
        <w:rPr>
          <w:rStyle w:val="rynqvb"/>
          <w:rFonts w:ascii="Times New Roman" w:hAnsi="Times New Roman" w:cs="Times New Roman"/>
          <w:lang w:val="en"/>
        </w:rPr>
        <w:t>rate of return on equity (ROE)</w:t>
      </w:r>
    </w:p>
    <w:p w14:paraId="04BF5882" w14:textId="77777777" w:rsidR="00E13BF8" w:rsidRPr="00B0021F" w:rsidRDefault="00E13BF8" w:rsidP="00497F00">
      <w:pPr>
        <w:pStyle w:val="Listenabsatz"/>
        <w:numPr>
          <w:ilvl w:val="0"/>
          <w:numId w:val="3"/>
        </w:numPr>
        <w:jc w:val="both"/>
        <w:rPr>
          <w:rStyle w:val="rynqvb"/>
          <w:rFonts w:ascii="Times New Roman" w:hAnsi="Times New Roman" w:cs="Times New Roman"/>
          <w:lang w:val="en"/>
        </w:rPr>
      </w:pPr>
      <w:r w:rsidRPr="00B0021F">
        <w:rPr>
          <w:rStyle w:val="rynqvb"/>
          <w:rFonts w:ascii="Times New Roman" w:hAnsi="Times New Roman" w:cs="Times New Roman"/>
          <w:lang w:val="en"/>
        </w:rPr>
        <w:t>cost-income ratio (CIR)</w:t>
      </w:r>
    </w:p>
    <w:p w14:paraId="3BB33337" w14:textId="77777777" w:rsidR="00E13BF8" w:rsidRPr="00B0021F" w:rsidRDefault="00E13BF8" w:rsidP="00497F00">
      <w:pPr>
        <w:pStyle w:val="Listenabsatz"/>
        <w:numPr>
          <w:ilvl w:val="0"/>
          <w:numId w:val="3"/>
        </w:numPr>
        <w:jc w:val="both"/>
        <w:rPr>
          <w:rStyle w:val="rynqvb"/>
          <w:rFonts w:ascii="Times New Roman" w:hAnsi="Times New Roman" w:cs="Times New Roman"/>
          <w:lang w:val="en"/>
        </w:rPr>
      </w:pPr>
      <w:r w:rsidRPr="00B0021F">
        <w:rPr>
          <w:rStyle w:val="rynqvb"/>
          <w:rFonts w:ascii="Times New Roman" w:hAnsi="Times New Roman" w:cs="Times New Roman"/>
          <w:lang w:val="en"/>
        </w:rPr>
        <w:t>net income before taxes (NIBT)</w:t>
      </w:r>
    </w:p>
    <w:p w14:paraId="7CFA2C0C" w14:textId="08E17E8C" w:rsidR="00E13BF8" w:rsidRDefault="00834A39" w:rsidP="00497F00">
      <w:pPr>
        <w:jc w:val="both"/>
        <w:rPr>
          <w:rStyle w:val="rynqvb"/>
          <w:rFonts w:ascii="Times New Roman" w:hAnsi="Times New Roman" w:cs="Times New Roman"/>
          <w:lang w:val="en"/>
        </w:rPr>
      </w:pPr>
      <w:r>
        <w:rPr>
          <w:rStyle w:val="rynqvb"/>
          <w:rFonts w:ascii="Times New Roman" w:hAnsi="Times New Roman" w:cs="Times New Roman"/>
          <w:lang w:val="en"/>
        </w:rPr>
        <w:t>Data is retrieved from Deutsche Bundesbank</w:t>
      </w:r>
      <w:r w:rsidR="00D6147B">
        <w:rPr>
          <w:rStyle w:val="rynqvb"/>
          <w:rFonts w:ascii="Times New Roman" w:hAnsi="Times New Roman" w:cs="Times New Roman"/>
          <w:lang w:val="en"/>
        </w:rPr>
        <w:t xml:space="preserve"> (2022)</w:t>
      </w:r>
      <w:r>
        <w:rPr>
          <w:rStyle w:val="rynqvb"/>
          <w:rFonts w:ascii="Times New Roman" w:hAnsi="Times New Roman" w:cs="Times New Roman"/>
          <w:lang w:val="en"/>
        </w:rPr>
        <w:t>.</w:t>
      </w:r>
    </w:p>
    <w:p w14:paraId="055F4939" w14:textId="34492707" w:rsidR="00E57615" w:rsidRDefault="002910F6" w:rsidP="00497F00">
      <w:pPr>
        <w:jc w:val="both"/>
        <w:rPr>
          <w:rStyle w:val="rynqvb"/>
          <w:rFonts w:ascii="Times New Roman" w:hAnsi="Times New Roman" w:cs="Times New Roman"/>
          <w:lang w:val="en"/>
        </w:rPr>
      </w:pPr>
      <w:r>
        <w:rPr>
          <w:rStyle w:val="rynqvb"/>
          <w:rFonts w:ascii="Times New Roman" w:hAnsi="Times New Roman" w:cs="Times New Roman"/>
          <w:lang w:val="en"/>
        </w:rPr>
        <w:t xml:space="preserve">We will study the relationship between mergers and </w:t>
      </w:r>
      <w:r w:rsidR="00C7386D">
        <w:rPr>
          <w:rStyle w:val="rynqvb"/>
          <w:rFonts w:ascii="Times New Roman" w:hAnsi="Times New Roman" w:cs="Times New Roman"/>
          <w:lang w:val="en"/>
        </w:rPr>
        <w:t>firm’s profit indicators not by classical OLS as we do not distinguish dependent and independent variables, but consider all variables endogenous.</w:t>
      </w:r>
      <w:r w:rsidR="006622BC">
        <w:rPr>
          <w:rStyle w:val="rynqvb"/>
          <w:rFonts w:ascii="Times New Roman" w:hAnsi="Times New Roman" w:cs="Times New Roman"/>
          <w:lang w:val="en"/>
        </w:rPr>
        <w:t xml:space="preserve"> Causality will be determined within a Vector Error Correction Model. </w:t>
      </w:r>
      <w:r w:rsidR="00B0021F">
        <w:rPr>
          <w:rStyle w:val="rynqvb"/>
          <w:rFonts w:ascii="Times New Roman" w:hAnsi="Times New Roman" w:cs="Times New Roman"/>
          <w:lang w:val="en"/>
        </w:rPr>
        <w:t>Table 1 presents simple Pearson correlations between these variables (t-statistics in parentheses).</w:t>
      </w:r>
    </w:p>
    <w:p w14:paraId="756B0B03" w14:textId="77777777" w:rsidR="00FF360C" w:rsidRDefault="00FF360C" w:rsidP="00497F00">
      <w:pPr>
        <w:jc w:val="both"/>
        <w:rPr>
          <w:rStyle w:val="rynqvb"/>
          <w:rFonts w:ascii="Times New Roman" w:hAnsi="Times New Roman" w:cs="Times New Roman"/>
          <w:lang w:val="en"/>
        </w:rPr>
      </w:pPr>
    </w:p>
    <w:p w14:paraId="7151BBA0" w14:textId="62E18923" w:rsidR="00E57615" w:rsidRPr="00DD3742" w:rsidRDefault="00DD3742" w:rsidP="00497F00">
      <w:pPr>
        <w:autoSpaceDE w:val="0"/>
        <w:autoSpaceDN w:val="0"/>
        <w:adjustRightInd w:val="0"/>
        <w:spacing w:after="0" w:line="240" w:lineRule="auto"/>
        <w:jc w:val="both"/>
        <w:rPr>
          <w:rFonts w:ascii="Times New Roman" w:hAnsi="Times New Roman" w:cs="Times New Roman"/>
          <w:lang w:val="en-US"/>
        </w:rPr>
      </w:pPr>
      <w:r w:rsidRPr="00DD3742">
        <w:rPr>
          <w:rFonts w:ascii="Times New Roman" w:hAnsi="Times New Roman" w:cs="Times New Roman"/>
          <w:lang w:val="en-US"/>
        </w:rPr>
        <w:t>Table 1: Correlation Matrix</w:t>
      </w:r>
    </w:p>
    <w:tbl>
      <w:tblPr>
        <w:tblW w:w="0" w:type="auto"/>
        <w:tblInd w:w="30" w:type="dxa"/>
        <w:tblLayout w:type="fixed"/>
        <w:tblCellMar>
          <w:left w:w="0" w:type="dxa"/>
          <w:right w:w="0" w:type="dxa"/>
        </w:tblCellMar>
        <w:tblLook w:val="0000" w:firstRow="0" w:lastRow="0" w:firstColumn="0" w:lastColumn="0" w:noHBand="0" w:noVBand="0"/>
      </w:tblPr>
      <w:tblGrid>
        <w:gridCol w:w="1720"/>
        <w:gridCol w:w="1250"/>
        <w:gridCol w:w="1250"/>
        <w:gridCol w:w="1250"/>
        <w:gridCol w:w="1250"/>
      </w:tblGrid>
      <w:tr w:rsidR="00E57615" w:rsidRPr="00F31C48" w14:paraId="2C494DBB" w14:textId="77777777">
        <w:trPr>
          <w:trHeight w:hRule="exact" w:val="88"/>
        </w:trPr>
        <w:tc>
          <w:tcPr>
            <w:tcW w:w="1720" w:type="dxa"/>
            <w:tcBorders>
              <w:top w:val="nil"/>
              <w:left w:val="nil"/>
              <w:bottom w:val="double" w:sz="6" w:space="2" w:color="auto"/>
              <w:right w:val="nil"/>
            </w:tcBorders>
            <w:vAlign w:val="bottom"/>
          </w:tcPr>
          <w:p w14:paraId="6797EAC0" w14:textId="77777777" w:rsidR="00E57615" w:rsidRPr="00F31C48" w:rsidRDefault="00E57615" w:rsidP="00497F00">
            <w:pPr>
              <w:autoSpaceDE w:val="0"/>
              <w:autoSpaceDN w:val="0"/>
              <w:adjustRightInd w:val="0"/>
              <w:spacing w:after="0" w:line="240" w:lineRule="auto"/>
              <w:jc w:val="both"/>
              <w:rPr>
                <w:rFonts w:ascii="Times New Roman" w:hAnsi="Times New Roman" w:cs="Times New Roman"/>
                <w:color w:val="000000"/>
                <w:sz w:val="18"/>
                <w:szCs w:val="18"/>
                <w:lang w:val="en-US"/>
              </w:rPr>
            </w:pPr>
          </w:p>
        </w:tc>
        <w:tc>
          <w:tcPr>
            <w:tcW w:w="1250" w:type="dxa"/>
            <w:tcBorders>
              <w:top w:val="nil"/>
              <w:left w:val="nil"/>
              <w:bottom w:val="double" w:sz="6" w:space="2" w:color="auto"/>
              <w:right w:val="nil"/>
            </w:tcBorders>
            <w:vAlign w:val="bottom"/>
          </w:tcPr>
          <w:p w14:paraId="4A15AAE1" w14:textId="77777777" w:rsidR="00E57615" w:rsidRPr="00F31C48" w:rsidRDefault="00E57615" w:rsidP="00497F00">
            <w:pPr>
              <w:autoSpaceDE w:val="0"/>
              <w:autoSpaceDN w:val="0"/>
              <w:adjustRightInd w:val="0"/>
              <w:spacing w:after="0" w:line="240" w:lineRule="auto"/>
              <w:jc w:val="both"/>
              <w:rPr>
                <w:rFonts w:ascii="Times New Roman" w:hAnsi="Times New Roman" w:cs="Times New Roman"/>
                <w:color w:val="000000"/>
                <w:sz w:val="18"/>
                <w:szCs w:val="18"/>
                <w:lang w:val="en-US"/>
              </w:rPr>
            </w:pPr>
          </w:p>
        </w:tc>
        <w:tc>
          <w:tcPr>
            <w:tcW w:w="1250" w:type="dxa"/>
            <w:tcBorders>
              <w:top w:val="nil"/>
              <w:left w:val="nil"/>
              <w:bottom w:val="double" w:sz="6" w:space="2" w:color="auto"/>
              <w:right w:val="nil"/>
            </w:tcBorders>
            <w:vAlign w:val="bottom"/>
          </w:tcPr>
          <w:p w14:paraId="3C495F7E" w14:textId="77777777" w:rsidR="00E57615" w:rsidRPr="00F31C48" w:rsidRDefault="00E57615" w:rsidP="00497F00">
            <w:pPr>
              <w:autoSpaceDE w:val="0"/>
              <w:autoSpaceDN w:val="0"/>
              <w:adjustRightInd w:val="0"/>
              <w:spacing w:after="0" w:line="240" w:lineRule="auto"/>
              <w:jc w:val="both"/>
              <w:rPr>
                <w:rFonts w:ascii="Times New Roman" w:hAnsi="Times New Roman" w:cs="Times New Roman"/>
                <w:color w:val="000000"/>
                <w:sz w:val="18"/>
                <w:szCs w:val="18"/>
                <w:lang w:val="en-US"/>
              </w:rPr>
            </w:pPr>
          </w:p>
        </w:tc>
        <w:tc>
          <w:tcPr>
            <w:tcW w:w="1250" w:type="dxa"/>
            <w:tcBorders>
              <w:top w:val="nil"/>
              <w:left w:val="nil"/>
              <w:bottom w:val="double" w:sz="6" w:space="2" w:color="auto"/>
              <w:right w:val="nil"/>
            </w:tcBorders>
            <w:vAlign w:val="bottom"/>
          </w:tcPr>
          <w:p w14:paraId="65E131DF" w14:textId="77777777" w:rsidR="00E57615" w:rsidRPr="00F31C48" w:rsidRDefault="00E57615" w:rsidP="00497F00">
            <w:pPr>
              <w:autoSpaceDE w:val="0"/>
              <w:autoSpaceDN w:val="0"/>
              <w:adjustRightInd w:val="0"/>
              <w:spacing w:after="0" w:line="240" w:lineRule="auto"/>
              <w:jc w:val="both"/>
              <w:rPr>
                <w:rFonts w:ascii="Times New Roman" w:hAnsi="Times New Roman" w:cs="Times New Roman"/>
                <w:color w:val="000000"/>
                <w:sz w:val="18"/>
                <w:szCs w:val="18"/>
                <w:lang w:val="en-US"/>
              </w:rPr>
            </w:pPr>
          </w:p>
        </w:tc>
        <w:tc>
          <w:tcPr>
            <w:tcW w:w="1250" w:type="dxa"/>
            <w:tcBorders>
              <w:top w:val="nil"/>
              <w:left w:val="nil"/>
              <w:bottom w:val="double" w:sz="6" w:space="2" w:color="auto"/>
              <w:right w:val="nil"/>
            </w:tcBorders>
            <w:vAlign w:val="bottom"/>
          </w:tcPr>
          <w:p w14:paraId="0B4334B2" w14:textId="77777777" w:rsidR="00E57615" w:rsidRPr="00F31C48" w:rsidRDefault="00E57615" w:rsidP="00497F00">
            <w:pPr>
              <w:autoSpaceDE w:val="0"/>
              <w:autoSpaceDN w:val="0"/>
              <w:adjustRightInd w:val="0"/>
              <w:spacing w:after="0" w:line="240" w:lineRule="auto"/>
              <w:jc w:val="both"/>
              <w:rPr>
                <w:rFonts w:ascii="Times New Roman" w:hAnsi="Times New Roman" w:cs="Times New Roman"/>
                <w:color w:val="000000"/>
                <w:sz w:val="18"/>
                <w:szCs w:val="18"/>
                <w:lang w:val="en-US"/>
              </w:rPr>
            </w:pPr>
          </w:p>
        </w:tc>
      </w:tr>
      <w:tr w:rsidR="00E57615" w:rsidRPr="00F31C48" w14:paraId="276EE367" w14:textId="77777777">
        <w:trPr>
          <w:trHeight w:hRule="exact" w:val="132"/>
        </w:trPr>
        <w:tc>
          <w:tcPr>
            <w:tcW w:w="1720" w:type="dxa"/>
            <w:tcBorders>
              <w:top w:val="nil"/>
              <w:left w:val="nil"/>
              <w:bottom w:val="nil"/>
              <w:right w:val="nil"/>
            </w:tcBorders>
            <w:vAlign w:val="bottom"/>
          </w:tcPr>
          <w:p w14:paraId="1337DA33" w14:textId="77777777" w:rsidR="00E57615" w:rsidRPr="00F31C48" w:rsidRDefault="00E57615" w:rsidP="00497F00">
            <w:pPr>
              <w:autoSpaceDE w:val="0"/>
              <w:autoSpaceDN w:val="0"/>
              <w:adjustRightInd w:val="0"/>
              <w:spacing w:after="0" w:line="240" w:lineRule="auto"/>
              <w:jc w:val="both"/>
              <w:rPr>
                <w:rFonts w:ascii="Times New Roman" w:hAnsi="Times New Roman" w:cs="Times New Roman"/>
                <w:color w:val="000000"/>
                <w:sz w:val="18"/>
                <w:szCs w:val="18"/>
                <w:lang w:val="en-US"/>
              </w:rPr>
            </w:pPr>
          </w:p>
        </w:tc>
        <w:tc>
          <w:tcPr>
            <w:tcW w:w="1250" w:type="dxa"/>
            <w:tcBorders>
              <w:top w:val="nil"/>
              <w:left w:val="nil"/>
              <w:bottom w:val="nil"/>
              <w:right w:val="nil"/>
            </w:tcBorders>
            <w:vAlign w:val="bottom"/>
          </w:tcPr>
          <w:p w14:paraId="60BA9325" w14:textId="77777777" w:rsidR="00E57615" w:rsidRPr="00F31C48" w:rsidRDefault="00E57615" w:rsidP="00497F00">
            <w:pPr>
              <w:autoSpaceDE w:val="0"/>
              <w:autoSpaceDN w:val="0"/>
              <w:adjustRightInd w:val="0"/>
              <w:spacing w:after="0" w:line="240" w:lineRule="auto"/>
              <w:jc w:val="both"/>
              <w:rPr>
                <w:rFonts w:ascii="Times New Roman" w:hAnsi="Times New Roman" w:cs="Times New Roman"/>
                <w:color w:val="000000"/>
                <w:sz w:val="18"/>
                <w:szCs w:val="18"/>
                <w:lang w:val="en-US"/>
              </w:rPr>
            </w:pPr>
          </w:p>
        </w:tc>
        <w:tc>
          <w:tcPr>
            <w:tcW w:w="1250" w:type="dxa"/>
            <w:tcBorders>
              <w:top w:val="nil"/>
              <w:left w:val="nil"/>
              <w:bottom w:val="nil"/>
              <w:right w:val="nil"/>
            </w:tcBorders>
            <w:vAlign w:val="bottom"/>
          </w:tcPr>
          <w:p w14:paraId="70ABCA41" w14:textId="77777777" w:rsidR="00E57615" w:rsidRPr="00F31C48" w:rsidRDefault="00E57615" w:rsidP="00497F00">
            <w:pPr>
              <w:autoSpaceDE w:val="0"/>
              <w:autoSpaceDN w:val="0"/>
              <w:adjustRightInd w:val="0"/>
              <w:spacing w:after="0" w:line="240" w:lineRule="auto"/>
              <w:jc w:val="both"/>
              <w:rPr>
                <w:rFonts w:ascii="Times New Roman" w:hAnsi="Times New Roman" w:cs="Times New Roman"/>
                <w:color w:val="000000"/>
                <w:sz w:val="18"/>
                <w:szCs w:val="18"/>
                <w:lang w:val="en-US"/>
              </w:rPr>
            </w:pPr>
          </w:p>
        </w:tc>
        <w:tc>
          <w:tcPr>
            <w:tcW w:w="1250" w:type="dxa"/>
            <w:tcBorders>
              <w:top w:val="nil"/>
              <w:left w:val="nil"/>
              <w:bottom w:val="nil"/>
              <w:right w:val="nil"/>
            </w:tcBorders>
            <w:vAlign w:val="bottom"/>
          </w:tcPr>
          <w:p w14:paraId="097B1B53" w14:textId="77777777" w:rsidR="00E57615" w:rsidRPr="00F31C48" w:rsidRDefault="00E57615" w:rsidP="00497F00">
            <w:pPr>
              <w:autoSpaceDE w:val="0"/>
              <w:autoSpaceDN w:val="0"/>
              <w:adjustRightInd w:val="0"/>
              <w:spacing w:after="0" w:line="240" w:lineRule="auto"/>
              <w:jc w:val="both"/>
              <w:rPr>
                <w:rFonts w:ascii="Times New Roman" w:hAnsi="Times New Roman" w:cs="Times New Roman"/>
                <w:color w:val="000000"/>
                <w:sz w:val="18"/>
                <w:szCs w:val="18"/>
                <w:lang w:val="en-US"/>
              </w:rPr>
            </w:pPr>
          </w:p>
        </w:tc>
        <w:tc>
          <w:tcPr>
            <w:tcW w:w="1250" w:type="dxa"/>
            <w:tcBorders>
              <w:top w:val="nil"/>
              <w:left w:val="nil"/>
              <w:bottom w:val="nil"/>
              <w:right w:val="nil"/>
            </w:tcBorders>
            <w:vAlign w:val="bottom"/>
          </w:tcPr>
          <w:p w14:paraId="52D3EE6E" w14:textId="77777777" w:rsidR="00E57615" w:rsidRPr="00F31C48" w:rsidRDefault="00E57615" w:rsidP="00497F00">
            <w:pPr>
              <w:autoSpaceDE w:val="0"/>
              <w:autoSpaceDN w:val="0"/>
              <w:adjustRightInd w:val="0"/>
              <w:spacing w:after="0" w:line="240" w:lineRule="auto"/>
              <w:jc w:val="both"/>
              <w:rPr>
                <w:rFonts w:ascii="Times New Roman" w:hAnsi="Times New Roman" w:cs="Times New Roman"/>
                <w:color w:val="000000"/>
                <w:sz w:val="18"/>
                <w:szCs w:val="18"/>
                <w:lang w:val="en-US"/>
              </w:rPr>
            </w:pPr>
          </w:p>
        </w:tc>
      </w:tr>
      <w:tr w:rsidR="00E57615" w:rsidRPr="00E57615" w14:paraId="3B44EFEB" w14:textId="77777777" w:rsidTr="00E57615">
        <w:trPr>
          <w:trHeight w:val="220"/>
        </w:trPr>
        <w:tc>
          <w:tcPr>
            <w:tcW w:w="2970" w:type="dxa"/>
            <w:gridSpan w:val="2"/>
            <w:tcBorders>
              <w:top w:val="nil"/>
              <w:left w:val="nil"/>
              <w:bottom w:val="nil"/>
              <w:right w:val="nil"/>
            </w:tcBorders>
            <w:vAlign w:val="bottom"/>
          </w:tcPr>
          <w:p w14:paraId="6416C068" w14:textId="77777777" w:rsidR="00E57615" w:rsidRPr="006B1F3E" w:rsidRDefault="00E57615" w:rsidP="00497F00">
            <w:pPr>
              <w:autoSpaceDE w:val="0"/>
              <w:autoSpaceDN w:val="0"/>
              <w:adjustRightInd w:val="0"/>
              <w:spacing w:after="0" w:line="240" w:lineRule="auto"/>
              <w:jc w:val="both"/>
              <w:rPr>
                <w:rFonts w:ascii="Times New Roman" w:hAnsi="Times New Roman" w:cs="Times New Roman"/>
                <w:color w:val="000000"/>
              </w:rPr>
            </w:pPr>
            <w:proofErr w:type="spellStart"/>
            <w:r w:rsidRPr="006B1F3E">
              <w:rPr>
                <w:rFonts w:ascii="Times New Roman" w:hAnsi="Times New Roman" w:cs="Times New Roman"/>
                <w:color w:val="000000"/>
              </w:rPr>
              <w:t>Correlation</w:t>
            </w:r>
            <w:proofErr w:type="spellEnd"/>
          </w:p>
        </w:tc>
        <w:tc>
          <w:tcPr>
            <w:tcW w:w="1250" w:type="dxa"/>
            <w:tcBorders>
              <w:top w:val="nil"/>
              <w:left w:val="nil"/>
              <w:bottom w:val="nil"/>
              <w:right w:val="nil"/>
            </w:tcBorders>
            <w:vAlign w:val="bottom"/>
          </w:tcPr>
          <w:p w14:paraId="4F6D0E7A" w14:textId="77777777" w:rsidR="00E57615" w:rsidRPr="006B1F3E" w:rsidRDefault="00E57615"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25D12D4C" w14:textId="77777777" w:rsidR="00E57615" w:rsidRPr="006B1F3E" w:rsidRDefault="00E57615"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64C38151" w14:textId="77777777" w:rsidR="00E57615" w:rsidRPr="006B1F3E" w:rsidRDefault="00E57615" w:rsidP="00497F00">
            <w:pPr>
              <w:autoSpaceDE w:val="0"/>
              <w:autoSpaceDN w:val="0"/>
              <w:adjustRightInd w:val="0"/>
              <w:spacing w:after="0" w:line="240" w:lineRule="auto"/>
              <w:jc w:val="both"/>
              <w:rPr>
                <w:rFonts w:ascii="Times New Roman" w:hAnsi="Times New Roman" w:cs="Times New Roman"/>
                <w:color w:val="000000"/>
              </w:rPr>
            </w:pPr>
          </w:p>
        </w:tc>
      </w:tr>
      <w:tr w:rsidR="00E57615" w:rsidRPr="00E57615" w14:paraId="6EA48599" w14:textId="77777777">
        <w:trPr>
          <w:trHeight w:val="220"/>
        </w:trPr>
        <w:tc>
          <w:tcPr>
            <w:tcW w:w="1720" w:type="dxa"/>
            <w:tcBorders>
              <w:top w:val="nil"/>
              <w:left w:val="nil"/>
              <w:bottom w:val="single" w:sz="6" w:space="0" w:color="auto"/>
              <w:right w:val="single" w:sz="6" w:space="0" w:color="auto"/>
            </w:tcBorders>
            <w:vAlign w:val="bottom"/>
          </w:tcPr>
          <w:p w14:paraId="5EB4EF00" w14:textId="77777777" w:rsidR="00E57615" w:rsidRPr="006B1F3E" w:rsidRDefault="00E57615" w:rsidP="00497F00">
            <w:pPr>
              <w:autoSpaceDE w:val="0"/>
              <w:autoSpaceDN w:val="0"/>
              <w:adjustRightInd w:val="0"/>
              <w:spacing w:after="0" w:line="240" w:lineRule="auto"/>
              <w:jc w:val="both"/>
              <w:rPr>
                <w:rFonts w:ascii="Times New Roman" w:hAnsi="Times New Roman" w:cs="Times New Roman"/>
                <w:color w:val="000000"/>
              </w:rPr>
            </w:pPr>
            <w:r w:rsidRPr="006B1F3E">
              <w:rPr>
                <w:rFonts w:ascii="Times New Roman" w:hAnsi="Times New Roman" w:cs="Times New Roman"/>
                <w:color w:val="000000"/>
              </w:rPr>
              <w:t>t-</w:t>
            </w:r>
            <w:proofErr w:type="spellStart"/>
            <w:r w:rsidRPr="006B1F3E">
              <w:rPr>
                <w:rFonts w:ascii="Times New Roman" w:hAnsi="Times New Roman" w:cs="Times New Roman"/>
                <w:color w:val="000000"/>
              </w:rPr>
              <w:t>Statistic</w:t>
            </w:r>
            <w:proofErr w:type="spellEnd"/>
          </w:p>
        </w:tc>
        <w:tc>
          <w:tcPr>
            <w:tcW w:w="1250" w:type="dxa"/>
            <w:tcBorders>
              <w:top w:val="nil"/>
              <w:left w:val="single" w:sz="6" w:space="0" w:color="auto"/>
              <w:bottom w:val="single" w:sz="6" w:space="0" w:color="auto"/>
              <w:right w:val="nil"/>
            </w:tcBorders>
            <w:vAlign w:val="bottom"/>
          </w:tcPr>
          <w:p w14:paraId="5E41AAAA" w14:textId="77777777" w:rsidR="00E57615" w:rsidRPr="006B1F3E" w:rsidRDefault="00E57615" w:rsidP="00497F00">
            <w:pPr>
              <w:autoSpaceDE w:val="0"/>
              <w:autoSpaceDN w:val="0"/>
              <w:adjustRightInd w:val="0"/>
              <w:spacing w:after="0" w:line="240" w:lineRule="auto"/>
              <w:ind w:right="20"/>
              <w:jc w:val="both"/>
              <w:rPr>
                <w:rFonts w:ascii="Times New Roman" w:hAnsi="Times New Roman" w:cs="Times New Roman"/>
                <w:color w:val="000000"/>
              </w:rPr>
            </w:pPr>
            <w:r w:rsidRPr="006B1F3E">
              <w:rPr>
                <w:rFonts w:ascii="Times New Roman" w:hAnsi="Times New Roman" w:cs="Times New Roman"/>
                <w:color w:val="000000"/>
              </w:rPr>
              <w:t>MI </w:t>
            </w:r>
          </w:p>
        </w:tc>
        <w:tc>
          <w:tcPr>
            <w:tcW w:w="1250" w:type="dxa"/>
            <w:tcBorders>
              <w:top w:val="nil"/>
              <w:left w:val="nil"/>
              <w:bottom w:val="single" w:sz="6" w:space="0" w:color="auto"/>
              <w:right w:val="nil"/>
            </w:tcBorders>
            <w:vAlign w:val="bottom"/>
          </w:tcPr>
          <w:p w14:paraId="183D2988" w14:textId="77777777" w:rsidR="00E57615" w:rsidRPr="006B1F3E" w:rsidRDefault="00E57615" w:rsidP="00497F00">
            <w:pPr>
              <w:autoSpaceDE w:val="0"/>
              <w:autoSpaceDN w:val="0"/>
              <w:adjustRightInd w:val="0"/>
              <w:spacing w:after="0" w:line="240" w:lineRule="auto"/>
              <w:ind w:right="20"/>
              <w:jc w:val="both"/>
              <w:rPr>
                <w:rFonts w:ascii="Times New Roman" w:hAnsi="Times New Roman" w:cs="Times New Roman"/>
                <w:color w:val="000000"/>
              </w:rPr>
            </w:pPr>
            <w:r w:rsidRPr="006B1F3E">
              <w:rPr>
                <w:rFonts w:ascii="Times New Roman" w:hAnsi="Times New Roman" w:cs="Times New Roman"/>
                <w:color w:val="000000"/>
              </w:rPr>
              <w:t>ROE </w:t>
            </w:r>
          </w:p>
        </w:tc>
        <w:tc>
          <w:tcPr>
            <w:tcW w:w="1250" w:type="dxa"/>
            <w:tcBorders>
              <w:top w:val="nil"/>
              <w:left w:val="nil"/>
              <w:bottom w:val="single" w:sz="6" w:space="0" w:color="auto"/>
              <w:right w:val="nil"/>
            </w:tcBorders>
            <w:vAlign w:val="bottom"/>
          </w:tcPr>
          <w:p w14:paraId="7D6EFDDA" w14:textId="77777777" w:rsidR="00E57615" w:rsidRPr="006B1F3E" w:rsidRDefault="00E57615" w:rsidP="00497F00">
            <w:pPr>
              <w:autoSpaceDE w:val="0"/>
              <w:autoSpaceDN w:val="0"/>
              <w:adjustRightInd w:val="0"/>
              <w:spacing w:after="0" w:line="240" w:lineRule="auto"/>
              <w:ind w:right="20"/>
              <w:jc w:val="both"/>
              <w:rPr>
                <w:rFonts w:ascii="Times New Roman" w:hAnsi="Times New Roman" w:cs="Times New Roman"/>
                <w:color w:val="000000"/>
              </w:rPr>
            </w:pPr>
            <w:r w:rsidRPr="006B1F3E">
              <w:rPr>
                <w:rFonts w:ascii="Times New Roman" w:hAnsi="Times New Roman" w:cs="Times New Roman"/>
                <w:color w:val="000000"/>
              </w:rPr>
              <w:t>CIR </w:t>
            </w:r>
          </w:p>
        </w:tc>
        <w:tc>
          <w:tcPr>
            <w:tcW w:w="1250" w:type="dxa"/>
            <w:tcBorders>
              <w:top w:val="nil"/>
              <w:left w:val="nil"/>
              <w:bottom w:val="single" w:sz="6" w:space="0" w:color="auto"/>
              <w:right w:val="nil"/>
            </w:tcBorders>
            <w:vAlign w:val="bottom"/>
          </w:tcPr>
          <w:p w14:paraId="260D7DEC" w14:textId="77777777" w:rsidR="00E57615" w:rsidRPr="006B1F3E" w:rsidRDefault="00E57615" w:rsidP="00497F00">
            <w:pPr>
              <w:autoSpaceDE w:val="0"/>
              <w:autoSpaceDN w:val="0"/>
              <w:adjustRightInd w:val="0"/>
              <w:spacing w:after="0" w:line="240" w:lineRule="auto"/>
              <w:ind w:right="20"/>
              <w:jc w:val="both"/>
              <w:rPr>
                <w:rFonts w:ascii="Times New Roman" w:hAnsi="Times New Roman" w:cs="Times New Roman"/>
                <w:color w:val="000000"/>
              </w:rPr>
            </w:pPr>
            <w:r w:rsidRPr="006B1F3E">
              <w:rPr>
                <w:rFonts w:ascii="Times New Roman" w:hAnsi="Times New Roman" w:cs="Times New Roman"/>
                <w:color w:val="000000"/>
              </w:rPr>
              <w:t>NIBT </w:t>
            </w:r>
          </w:p>
        </w:tc>
      </w:tr>
      <w:tr w:rsidR="00E57615" w:rsidRPr="00E57615" w14:paraId="44D09DBC" w14:textId="77777777">
        <w:trPr>
          <w:trHeight w:val="220"/>
        </w:trPr>
        <w:tc>
          <w:tcPr>
            <w:tcW w:w="1720" w:type="dxa"/>
            <w:tcBorders>
              <w:top w:val="single" w:sz="6" w:space="0" w:color="auto"/>
              <w:left w:val="nil"/>
              <w:bottom w:val="nil"/>
              <w:right w:val="single" w:sz="6" w:space="0" w:color="auto"/>
            </w:tcBorders>
            <w:vAlign w:val="bottom"/>
          </w:tcPr>
          <w:p w14:paraId="38A627A2" w14:textId="77777777" w:rsidR="00E57615" w:rsidRPr="006B1F3E" w:rsidRDefault="00E57615" w:rsidP="00497F00">
            <w:pPr>
              <w:autoSpaceDE w:val="0"/>
              <w:autoSpaceDN w:val="0"/>
              <w:adjustRightInd w:val="0"/>
              <w:spacing w:after="0" w:line="240" w:lineRule="auto"/>
              <w:jc w:val="both"/>
              <w:rPr>
                <w:rFonts w:ascii="Times New Roman" w:hAnsi="Times New Roman" w:cs="Times New Roman"/>
                <w:color w:val="000000"/>
              </w:rPr>
            </w:pPr>
            <w:r w:rsidRPr="006B1F3E">
              <w:rPr>
                <w:rFonts w:ascii="Times New Roman" w:hAnsi="Times New Roman" w:cs="Times New Roman"/>
                <w:color w:val="000000"/>
              </w:rPr>
              <w:t>MI </w:t>
            </w:r>
          </w:p>
        </w:tc>
        <w:tc>
          <w:tcPr>
            <w:tcW w:w="1250" w:type="dxa"/>
            <w:tcBorders>
              <w:top w:val="single" w:sz="6" w:space="0" w:color="auto"/>
              <w:left w:val="single" w:sz="6" w:space="0" w:color="auto"/>
              <w:bottom w:val="nil"/>
              <w:right w:val="nil"/>
            </w:tcBorders>
            <w:vAlign w:val="bottom"/>
          </w:tcPr>
          <w:p w14:paraId="594B3ECD" w14:textId="77777777" w:rsidR="00E57615" w:rsidRPr="006B1F3E" w:rsidRDefault="00E57615" w:rsidP="00497F00">
            <w:pPr>
              <w:autoSpaceDE w:val="0"/>
              <w:autoSpaceDN w:val="0"/>
              <w:adjustRightInd w:val="0"/>
              <w:spacing w:after="0" w:line="240" w:lineRule="auto"/>
              <w:ind w:right="20"/>
              <w:jc w:val="both"/>
              <w:rPr>
                <w:rFonts w:ascii="Times New Roman" w:hAnsi="Times New Roman" w:cs="Times New Roman"/>
                <w:color w:val="000000"/>
              </w:rPr>
            </w:pPr>
            <w:r w:rsidRPr="006B1F3E">
              <w:rPr>
                <w:rFonts w:ascii="Times New Roman" w:hAnsi="Times New Roman" w:cs="Times New Roman"/>
                <w:color w:val="000000"/>
              </w:rPr>
              <w:t>1.000000</w:t>
            </w:r>
          </w:p>
        </w:tc>
        <w:tc>
          <w:tcPr>
            <w:tcW w:w="1250" w:type="dxa"/>
            <w:tcBorders>
              <w:top w:val="single" w:sz="6" w:space="0" w:color="auto"/>
              <w:left w:val="nil"/>
              <w:bottom w:val="nil"/>
              <w:right w:val="nil"/>
            </w:tcBorders>
            <w:vAlign w:val="bottom"/>
          </w:tcPr>
          <w:p w14:paraId="36B52D38" w14:textId="77777777" w:rsidR="00E57615" w:rsidRPr="006B1F3E" w:rsidRDefault="00E57615" w:rsidP="00497F00">
            <w:pPr>
              <w:autoSpaceDE w:val="0"/>
              <w:autoSpaceDN w:val="0"/>
              <w:adjustRightInd w:val="0"/>
              <w:spacing w:after="0" w:line="240" w:lineRule="auto"/>
              <w:ind w:right="20"/>
              <w:jc w:val="both"/>
              <w:rPr>
                <w:rFonts w:ascii="Times New Roman" w:hAnsi="Times New Roman" w:cs="Times New Roman"/>
                <w:color w:val="000000"/>
              </w:rPr>
            </w:pPr>
          </w:p>
        </w:tc>
        <w:tc>
          <w:tcPr>
            <w:tcW w:w="1250" w:type="dxa"/>
            <w:tcBorders>
              <w:top w:val="single" w:sz="6" w:space="0" w:color="auto"/>
              <w:left w:val="nil"/>
              <w:bottom w:val="nil"/>
              <w:right w:val="nil"/>
            </w:tcBorders>
            <w:vAlign w:val="bottom"/>
          </w:tcPr>
          <w:p w14:paraId="5F9482A7" w14:textId="77777777" w:rsidR="00E57615" w:rsidRPr="006B1F3E" w:rsidRDefault="00E57615" w:rsidP="00497F00">
            <w:pPr>
              <w:autoSpaceDE w:val="0"/>
              <w:autoSpaceDN w:val="0"/>
              <w:adjustRightInd w:val="0"/>
              <w:spacing w:after="0" w:line="240" w:lineRule="auto"/>
              <w:ind w:right="20"/>
              <w:jc w:val="both"/>
              <w:rPr>
                <w:rFonts w:ascii="Times New Roman" w:hAnsi="Times New Roman" w:cs="Times New Roman"/>
                <w:color w:val="000000"/>
              </w:rPr>
            </w:pPr>
          </w:p>
        </w:tc>
        <w:tc>
          <w:tcPr>
            <w:tcW w:w="1250" w:type="dxa"/>
            <w:tcBorders>
              <w:top w:val="single" w:sz="6" w:space="0" w:color="auto"/>
              <w:left w:val="nil"/>
              <w:bottom w:val="nil"/>
              <w:right w:val="nil"/>
            </w:tcBorders>
            <w:vAlign w:val="bottom"/>
          </w:tcPr>
          <w:p w14:paraId="5F651B2E" w14:textId="77777777" w:rsidR="00E57615" w:rsidRPr="006B1F3E" w:rsidRDefault="00E57615" w:rsidP="00497F00">
            <w:pPr>
              <w:autoSpaceDE w:val="0"/>
              <w:autoSpaceDN w:val="0"/>
              <w:adjustRightInd w:val="0"/>
              <w:spacing w:after="0" w:line="240" w:lineRule="auto"/>
              <w:ind w:right="20"/>
              <w:jc w:val="both"/>
              <w:rPr>
                <w:rFonts w:ascii="Times New Roman" w:hAnsi="Times New Roman" w:cs="Times New Roman"/>
                <w:color w:val="000000"/>
              </w:rPr>
            </w:pPr>
          </w:p>
        </w:tc>
      </w:tr>
      <w:tr w:rsidR="00E57615" w:rsidRPr="00E57615" w14:paraId="16F68C88" w14:textId="77777777">
        <w:trPr>
          <w:trHeight w:val="220"/>
        </w:trPr>
        <w:tc>
          <w:tcPr>
            <w:tcW w:w="1720" w:type="dxa"/>
            <w:tcBorders>
              <w:top w:val="nil"/>
              <w:left w:val="nil"/>
              <w:bottom w:val="nil"/>
              <w:right w:val="single" w:sz="6" w:space="0" w:color="auto"/>
            </w:tcBorders>
            <w:vAlign w:val="bottom"/>
          </w:tcPr>
          <w:p w14:paraId="12400FF7" w14:textId="77777777" w:rsidR="00E57615" w:rsidRPr="006B1F3E" w:rsidRDefault="00E57615"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single" w:sz="6" w:space="0" w:color="auto"/>
              <w:bottom w:val="nil"/>
              <w:right w:val="nil"/>
            </w:tcBorders>
            <w:vAlign w:val="bottom"/>
          </w:tcPr>
          <w:p w14:paraId="3EB121F7" w14:textId="77777777" w:rsidR="00E57615" w:rsidRPr="006B1F3E" w:rsidRDefault="00E57615" w:rsidP="00497F00">
            <w:pPr>
              <w:autoSpaceDE w:val="0"/>
              <w:autoSpaceDN w:val="0"/>
              <w:adjustRightInd w:val="0"/>
              <w:spacing w:after="0" w:line="240" w:lineRule="auto"/>
              <w:ind w:right="20"/>
              <w:jc w:val="both"/>
              <w:rPr>
                <w:rFonts w:ascii="Times New Roman" w:hAnsi="Times New Roman" w:cs="Times New Roman"/>
                <w:color w:val="000000"/>
              </w:rPr>
            </w:pPr>
            <w:r w:rsidRPr="006B1F3E">
              <w:rPr>
                <w:rFonts w:ascii="Times New Roman" w:hAnsi="Times New Roman" w:cs="Times New Roman"/>
                <w:color w:val="000000"/>
              </w:rPr>
              <w:t>----- </w:t>
            </w:r>
          </w:p>
        </w:tc>
        <w:tc>
          <w:tcPr>
            <w:tcW w:w="1250" w:type="dxa"/>
            <w:tcBorders>
              <w:top w:val="nil"/>
              <w:left w:val="nil"/>
              <w:bottom w:val="nil"/>
              <w:right w:val="nil"/>
            </w:tcBorders>
            <w:vAlign w:val="bottom"/>
          </w:tcPr>
          <w:p w14:paraId="2C70D327" w14:textId="77777777" w:rsidR="00E57615" w:rsidRPr="006B1F3E" w:rsidRDefault="00E57615" w:rsidP="00497F00">
            <w:pPr>
              <w:autoSpaceDE w:val="0"/>
              <w:autoSpaceDN w:val="0"/>
              <w:adjustRightInd w:val="0"/>
              <w:spacing w:after="0" w:line="240" w:lineRule="auto"/>
              <w:ind w:right="20"/>
              <w:jc w:val="both"/>
              <w:rPr>
                <w:rFonts w:ascii="Times New Roman" w:hAnsi="Times New Roman" w:cs="Times New Roman"/>
                <w:color w:val="000000"/>
              </w:rPr>
            </w:pPr>
          </w:p>
        </w:tc>
        <w:tc>
          <w:tcPr>
            <w:tcW w:w="1250" w:type="dxa"/>
            <w:tcBorders>
              <w:top w:val="nil"/>
              <w:left w:val="nil"/>
              <w:bottom w:val="nil"/>
              <w:right w:val="nil"/>
            </w:tcBorders>
            <w:vAlign w:val="bottom"/>
          </w:tcPr>
          <w:p w14:paraId="7F615183" w14:textId="77777777" w:rsidR="00E57615" w:rsidRPr="006B1F3E" w:rsidRDefault="00E57615" w:rsidP="00497F00">
            <w:pPr>
              <w:autoSpaceDE w:val="0"/>
              <w:autoSpaceDN w:val="0"/>
              <w:adjustRightInd w:val="0"/>
              <w:spacing w:after="0" w:line="240" w:lineRule="auto"/>
              <w:ind w:right="20"/>
              <w:jc w:val="both"/>
              <w:rPr>
                <w:rFonts w:ascii="Times New Roman" w:hAnsi="Times New Roman" w:cs="Times New Roman"/>
                <w:color w:val="000000"/>
              </w:rPr>
            </w:pPr>
          </w:p>
        </w:tc>
        <w:tc>
          <w:tcPr>
            <w:tcW w:w="1250" w:type="dxa"/>
            <w:tcBorders>
              <w:top w:val="nil"/>
              <w:left w:val="nil"/>
              <w:bottom w:val="nil"/>
              <w:right w:val="nil"/>
            </w:tcBorders>
            <w:vAlign w:val="bottom"/>
          </w:tcPr>
          <w:p w14:paraId="53810055" w14:textId="77777777" w:rsidR="00E57615" w:rsidRPr="006B1F3E" w:rsidRDefault="00E57615" w:rsidP="00497F00">
            <w:pPr>
              <w:autoSpaceDE w:val="0"/>
              <w:autoSpaceDN w:val="0"/>
              <w:adjustRightInd w:val="0"/>
              <w:spacing w:after="0" w:line="240" w:lineRule="auto"/>
              <w:ind w:right="20"/>
              <w:jc w:val="both"/>
              <w:rPr>
                <w:rFonts w:ascii="Times New Roman" w:hAnsi="Times New Roman" w:cs="Times New Roman"/>
                <w:color w:val="000000"/>
              </w:rPr>
            </w:pPr>
          </w:p>
        </w:tc>
      </w:tr>
      <w:tr w:rsidR="00E57615" w:rsidRPr="00E57615" w14:paraId="4EEF2B35" w14:textId="77777777">
        <w:trPr>
          <w:trHeight w:val="220"/>
        </w:trPr>
        <w:tc>
          <w:tcPr>
            <w:tcW w:w="1720" w:type="dxa"/>
            <w:tcBorders>
              <w:top w:val="nil"/>
              <w:left w:val="nil"/>
              <w:bottom w:val="nil"/>
              <w:right w:val="single" w:sz="6" w:space="0" w:color="auto"/>
            </w:tcBorders>
            <w:vAlign w:val="bottom"/>
          </w:tcPr>
          <w:p w14:paraId="0B79F41C" w14:textId="77777777" w:rsidR="00E57615" w:rsidRPr="006B1F3E" w:rsidRDefault="00E57615"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single" w:sz="6" w:space="0" w:color="auto"/>
              <w:bottom w:val="nil"/>
              <w:right w:val="nil"/>
            </w:tcBorders>
            <w:vAlign w:val="bottom"/>
          </w:tcPr>
          <w:p w14:paraId="60967A36" w14:textId="77777777" w:rsidR="00E57615" w:rsidRPr="006B1F3E" w:rsidRDefault="00E57615"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07DB519F" w14:textId="77777777" w:rsidR="00E57615" w:rsidRPr="006B1F3E" w:rsidRDefault="00E57615"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03D6F8BD" w14:textId="77777777" w:rsidR="00E57615" w:rsidRPr="006B1F3E" w:rsidRDefault="00E57615"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69111212" w14:textId="77777777" w:rsidR="00E57615" w:rsidRPr="006B1F3E" w:rsidRDefault="00E57615" w:rsidP="00497F00">
            <w:pPr>
              <w:autoSpaceDE w:val="0"/>
              <w:autoSpaceDN w:val="0"/>
              <w:adjustRightInd w:val="0"/>
              <w:spacing w:after="0" w:line="240" w:lineRule="auto"/>
              <w:jc w:val="both"/>
              <w:rPr>
                <w:rFonts w:ascii="Times New Roman" w:hAnsi="Times New Roman" w:cs="Times New Roman"/>
                <w:color w:val="000000"/>
              </w:rPr>
            </w:pPr>
          </w:p>
        </w:tc>
      </w:tr>
      <w:tr w:rsidR="00E57615" w:rsidRPr="00E57615" w14:paraId="3848B2A8" w14:textId="77777777">
        <w:trPr>
          <w:trHeight w:val="220"/>
        </w:trPr>
        <w:tc>
          <w:tcPr>
            <w:tcW w:w="1720" w:type="dxa"/>
            <w:tcBorders>
              <w:top w:val="nil"/>
              <w:left w:val="nil"/>
              <w:bottom w:val="nil"/>
              <w:right w:val="single" w:sz="6" w:space="0" w:color="auto"/>
            </w:tcBorders>
            <w:vAlign w:val="bottom"/>
          </w:tcPr>
          <w:p w14:paraId="485974F5" w14:textId="77777777" w:rsidR="00E57615" w:rsidRPr="006B1F3E" w:rsidRDefault="00E57615" w:rsidP="00497F00">
            <w:pPr>
              <w:autoSpaceDE w:val="0"/>
              <w:autoSpaceDN w:val="0"/>
              <w:adjustRightInd w:val="0"/>
              <w:spacing w:after="0" w:line="240" w:lineRule="auto"/>
              <w:jc w:val="both"/>
              <w:rPr>
                <w:rFonts w:ascii="Times New Roman" w:hAnsi="Times New Roman" w:cs="Times New Roman"/>
                <w:color w:val="000000"/>
              </w:rPr>
            </w:pPr>
            <w:r w:rsidRPr="006B1F3E">
              <w:rPr>
                <w:rFonts w:ascii="Times New Roman" w:hAnsi="Times New Roman" w:cs="Times New Roman"/>
                <w:color w:val="000000"/>
              </w:rPr>
              <w:t>ROE </w:t>
            </w:r>
          </w:p>
        </w:tc>
        <w:tc>
          <w:tcPr>
            <w:tcW w:w="1250" w:type="dxa"/>
            <w:tcBorders>
              <w:top w:val="nil"/>
              <w:left w:val="single" w:sz="6" w:space="0" w:color="auto"/>
              <w:bottom w:val="nil"/>
              <w:right w:val="nil"/>
            </w:tcBorders>
            <w:vAlign w:val="bottom"/>
          </w:tcPr>
          <w:p w14:paraId="2AE8B9A4" w14:textId="77777777" w:rsidR="00E57615" w:rsidRPr="006B1F3E" w:rsidRDefault="00E57615" w:rsidP="00497F00">
            <w:pPr>
              <w:autoSpaceDE w:val="0"/>
              <w:autoSpaceDN w:val="0"/>
              <w:adjustRightInd w:val="0"/>
              <w:spacing w:after="0" w:line="240" w:lineRule="auto"/>
              <w:ind w:right="20"/>
              <w:jc w:val="both"/>
              <w:rPr>
                <w:rFonts w:ascii="Times New Roman" w:hAnsi="Times New Roman" w:cs="Times New Roman"/>
                <w:color w:val="000000"/>
              </w:rPr>
            </w:pPr>
            <w:r w:rsidRPr="006B1F3E">
              <w:rPr>
                <w:rFonts w:ascii="Times New Roman" w:hAnsi="Times New Roman" w:cs="Times New Roman"/>
                <w:color w:val="000000"/>
              </w:rPr>
              <w:t>-0.369681</w:t>
            </w:r>
          </w:p>
        </w:tc>
        <w:tc>
          <w:tcPr>
            <w:tcW w:w="1250" w:type="dxa"/>
            <w:tcBorders>
              <w:top w:val="nil"/>
              <w:left w:val="nil"/>
              <w:bottom w:val="nil"/>
              <w:right w:val="nil"/>
            </w:tcBorders>
            <w:vAlign w:val="bottom"/>
          </w:tcPr>
          <w:p w14:paraId="3D268BDD" w14:textId="77777777" w:rsidR="00E57615" w:rsidRPr="006B1F3E" w:rsidRDefault="00E57615" w:rsidP="00497F00">
            <w:pPr>
              <w:autoSpaceDE w:val="0"/>
              <w:autoSpaceDN w:val="0"/>
              <w:adjustRightInd w:val="0"/>
              <w:spacing w:after="0" w:line="240" w:lineRule="auto"/>
              <w:ind w:right="20"/>
              <w:jc w:val="both"/>
              <w:rPr>
                <w:rFonts w:ascii="Times New Roman" w:hAnsi="Times New Roman" w:cs="Times New Roman"/>
                <w:color w:val="000000"/>
              </w:rPr>
            </w:pPr>
            <w:r w:rsidRPr="006B1F3E">
              <w:rPr>
                <w:rFonts w:ascii="Times New Roman" w:hAnsi="Times New Roman" w:cs="Times New Roman"/>
                <w:color w:val="000000"/>
              </w:rPr>
              <w:t>1.000000</w:t>
            </w:r>
          </w:p>
        </w:tc>
        <w:tc>
          <w:tcPr>
            <w:tcW w:w="1250" w:type="dxa"/>
            <w:tcBorders>
              <w:top w:val="nil"/>
              <w:left w:val="nil"/>
              <w:bottom w:val="nil"/>
              <w:right w:val="nil"/>
            </w:tcBorders>
            <w:vAlign w:val="bottom"/>
          </w:tcPr>
          <w:p w14:paraId="0AD07B79" w14:textId="77777777" w:rsidR="00E57615" w:rsidRPr="006B1F3E" w:rsidRDefault="00E57615" w:rsidP="00497F00">
            <w:pPr>
              <w:autoSpaceDE w:val="0"/>
              <w:autoSpaceDN w:val="0"/>
              <w:adjustRightInd w:val="0"/>
              <w:spacing w:after="0" w:line="240" w:lineRule="auto"/>
              <w:ind w:right="20"/>
              <w:jc w:val="both"/>
              <w:rPr>
                <w:rFonts w:ascii="Times New Roman" w:hAnsi="Times New Roman" w:cs="Times New Roman"/>
                <w:color w:val="000000"/>
              </w:rPr>
            </w:pPr>
          </w:p>
        </w:tc>
        <w:tc>
          <w:tcPr>
            <w:tcW w:w="1250" w:type="dxa"/>
            <w:tcBorders>
              <w:top w:val="nil"/>
              <w:left w:val="nil"/>
              <w:bottom w:val="nil"/>
              <w:right w:val="nil"/>
            </w:tcBorders>
            <w:vAlign w:val="bottom"/>
          </w:tcPr>
          <w:p w14:paraId="7B1D90CB" w14:textId="77777777" w:rsidR="00E57615" w:rsidRPr="006B1F3E" w:rsidRDefault="00E57615" w:rsidP="00497F00">
            <w:pPr>
              <w:autoSpaceDE w:val="0"/>
              <w:autoSpaceDN w:val="0"/>
              <w:adjustRightInd w:val="0"/>
              <w:spacing w:after="0" w:line="240" w:lineRule="auto"/>
              <w:ind w:right="20"/>
              <w:jc w:val="both"/>
              <w:rPr>
                <w:rFonts w:ascii="Times New Roman" w:hAnsi="Times New Roman" w:cs="Times New Roman"/>
                <w:color w:val="000000"/>
              </w:rPr>
            </w:pPr>
          </w:p>
        </w:tc>
      </w:tr>
      <w:tr w:rsidR="00E57615" w:rsidRPr="00E57615" w14:paraId="373B02BB" w14:textId="77777777">
        <w:trPr>
          <w:trHeight w:val="220"/>
        </w:trPr>
        <w:tc>
          <w:tcPr>
            <w:tcW w:w="1720" w:type="dxa"/>
            <w:tcBorders>
              <w:top w:val="nil"/>
              <w:left w:val="nil"/>
              <w:bottom w:val="nil"/>
              <w:right w:val="single" w:sz="6" w:space="0" w:color="auto"/>
            </w:tcBorders>
            <w:vAlign w:val="bottom"/>
          </w:tcPr>
          <w:p w14:paraId="57FABB0F" w14:textId="77777777" w:rsidR="00E57615" w:rsidRPr="006B1F3E" w:rsidRDefault="00E57615"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single" w:sz="6" w:space="0" w:color="auto"/>
              <w:bottom w:val="nil"/>
              <w:right w:val="nil"/>
            </w:tcBorders>
            <w:vAlign w:val="bottom"/>
          </w:tcPr>
          <w:p w14:paraId="48E71B18" w14:textId="0EA63E7D" w:rsidR="00E57615" w:rsidRPr="006B1F3E" w:rsidRDefault="00B0021F" w:rsidP="00497F00">
            <w:pPr>
              <w:autoSpaceDE w:val="0"/>
              <w:autoSpaceDN w:val="0"/>
              <w:adjustRightInd w:val="0"/>
              <w:spacing w:after="0" w:line="240" w:lineRule="auto"/>
              <w:ind w:right="20"/>
              <w:jc w:val="both"/>
              <w:rPr>
                <w:rFonts w:ascii="Times New Roman" w:hAnsi="Times New Roman" w:cs="Times New Roman"/>
                <w:color w:val="000000"/>
              </w:rPr>
            </w:pPr>
            <w:r>
              <w:rPr>
                <w:rFonts w:ascii="Times New Roman" w:hAnsi="Times New Roman" w:cs="Times New Roman"/>
                <w:color w:val="000000"/>
              </w:rPr>
              <w:t>(</w:t>
            </w:r>
            <w:r w:rsidR="00E57615" w:rsidRPr="006B1F3E">
              <w:rPr>
                <w:rFonts w:ascii="Times New Roman" w:hAnsi="Times New Roman" w:cs="Times New Roman"/>
                <w:color w:val="000000"/>
              </w:rPr>
              <w:t>-1.989330</w:t>
            </w:r>
            <w:r>
              <w:rPr>
                <w:rFonts w:ascii="Times New Roman" w:hAnsi="Times New Roman" w:cs="Times New Roman"/>
                <w:color w:val="000000"/>
              </w:rPr>
              <w:t>)</w:t>
            </w:r>
          </w:p>
        </w:tc>
        <w:tc>
          <w:tcPr>
            <w:tcW w:w="1250" w:type="dxa"/>
            <w:tcBorders>
              <w:top w:val="nil"/>
              <w:left w:val="nil"/>
              <w:bottom w:val="nil"/>
              <w:right w:val="nil"/>
            </w:tcBorders>
            <w:vAlign w:val="bottom"/>
          </w:tcPr>
          <w:p w14:paraId="65075018" w14:textId="77777777" w:rsidR="00E57615" w:rsidRPr="006B1F3E" w:rsidRDefault="00E57615" w:rsidP="00497F00">
            <w:pPr>
              <w:autoSpaceDE w:val="0"/>
              <w:autoSpaceDN w:val="0"/>
              <w:adjustRightInd w:val="0"/>
              <w:spacing w:after="0" w:line="240" w:lineRule="auto"/>
              <w:ind w:right="20"/>
              <w:jc w:val="both"/>
              <w:rPr>
                <w:rFonts w:ascii="Times New Roman" w:hAnsi="Times New Roman" w:cs="Times New Roman"/>
                <w:color w:val="000000"/>
              </w:rPr>
            </w:pPr>
            <w:r w:rsidRPr="006B1F3E">
              <w:rPr>
                <w:rFonts w:ascii="Times New Roman" w:hAnsi="Times New Roman" w:cs="Times New Roman"/>
                <w:color w:val="000000"/>
              </w:rPr>
              <w:t>----- </w:t>
            </w:r>
          </w:p>
        </w:tc>
        <w:tc>
          <w:tcPr>
            <w:tcW w:w="1250" w:type="dxa"/>
            <w:tcBorders>
              <w:top w:val="nil"/>
              <w:left w:val="nil"/>
              <w:bottom w:val="nil"/>
              <w:right w:val="nil"/>
            </w:tcBorders>
            <w:vAlign w:val="bottom"/>
          </w:tcPr>
          <w:p w14:paraId="64988388" w14:textId="77777777" w:rsidR="00E57615" w:rsidRPr="006B1F3E" w:rsidRDefault="00E57615" w:rsidP="00497F00">
            <w:pPr>
              <w:autoSpaceDE w:val="0"/>
              <w:autoSpaceDN w:val="0"/>
              <w:adjustRightInd w:val="0"/>
              <w:spacing w:after="0" w:line="240" w:lineRule="auto"/>
              <w:ind w:right="20"/>
              <w:jc w:val="both"/>
              <w:rPr>
                <w:rFonts w:ascii="Times New Roman" w:hAnsi="Times New Roman" w:cs="Times New Roman"/>
                <w:color w:val="000000"/>
              </w:rPr>
            </w:pPr>
          </w:p>
        </w:tc>
        <w:tc>
          <w:tcPr>
            <w:tcW w:w="1250" w:type="dxa"/>
            <w:tcBorders>
              <w:top w:val="nil"/>
              <w:left w:val="nil"/>
              <w:bottom w:val="nil"/>
              <w:right w:val="nil"/>
            </w:tcBorders>
            <w:vAlign w:val="bottom"/>
          </w:tcPr>
          <w:p w14:paraId="49FAD7F1" w14:textId="77777777" w:rsidR="00E57615" w:rsidRPr="006B1F3E" w:rsidRDefault="00E57615" w:rsidP="00497F00">
            <w:pPr>
              <w:autoSpaceDE w:val="0"/>
              <w:autoSpaceDN w:val="0"/>
              <w:adjustRightInd w:val="0"/>
              <w:spacing w:after="0" w:line="240" w:lineRule="auto"/>
              <w:ind w:right="20"/>
              <w:jc w:val="both"/>
              <w:rPr>
                <w:rFonts w:ascii="Times New Roman" w:hAnsi="Times New Roman" w:cs="Times New Roman"/>
                <w:color w:val="000000"/>
              </w:rPr>
            </w:pPr>
          </w:p>
        </w:tc>
      </w:tr>
      <w:tr w:rsidR="00E57615" w:rsidRPr="00E57615" w14:paraId="3FD29DC5" w14:textId="77777777">
        <w:trPr>
          <w:trHeight w:val="220"/>
        </w:trPr>
        <w:tc>
          <w:tcPr>
            <w:tcW w:w="1720" w:type="dxa"/>
            <w:tcBorders>
              <w:top w:val="nil"/>
              <w:left w:val="nil"/>
              <w:bottom w:val="nil"/>
              <w:right w:val="single" w:sz="6" w:space="0" w:color="auto"/>
            </w:tcBorders>
            <w:vAlign w:val="bottom"/>
          </w:tcPr>
          <w:p w14:paraId="6DE49307" w14:textId="77777777" w:rsidR="00E57615" w:rsidRPr="006B1F3E" w:rsidRDefault="00E57615"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single" w:sz="6" w:space="0" w:color="auto"/>
              <w:bottom w:val="nil"/>
              <w:right w:val="nil"/>
            </w:tcBorders>
            <w:vAlign w:val="bottom"/>
          </w:tcPr>
          <w:p w14:paraId="74E95E3D" w14:textId="77777777" w:rsidR="00E57615" w:rsidRPr="006B1F3E" w:rsidRDefault="00E57615"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37D13D2D" w14:textId="77777777" w:rsidR="00E57615" w:rsidRPr="006B1F3E" w:rsidRDefault="00E57615"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7124BA4A" w14:textId="77777777" w:rsidR="00E57615" w:rsidRPr="006B1F3E" w:rsidRDefault="00E57615"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290BAC02" w14:textId="77777777" w:rsidR="00E57615" w:rsidRPr="006B1F3E" w:rsidRDefault="00E57615" w:rsidP="00497F00">
            <w:pPr>
              <w:autoSpaceDE w:val="0"/>
              <w:autoSpaceDN w:val="0"/>
              <w:adjustRightInd w:val="0"/>
              <w:spacing w:after="0" w:line="240" w:lineRule="auto"/>
              <w:jc w:val="both"/>
              <w:rPr>
                <w:rFonts w:ascii="Times New Roman" w:hAnsi="Times New Roman" w:cs="Times New Roman"/>
                <w:color w:val="000000"/>
              </w:rPr>
            </w:pPr>
          </w:p>
        </w:tc>
      </w:tr>
      <w:tr w:rsidR="00E57615" w:rsidRPr="00E57615" w14:paraId="4B1226D1" w14:textId="77777777">
        <w:trPr>
          <w:trHeight w:val="220"/>
        </w:trPr>
        <w:tc>
          <w:tcPr>
            <w:tcW w:w="1720" w:type="dxa"/>
            <w:tcBorders>
              <w:top w:val="nil"/>
              <w:left w:val="nil"/>
              <w:bottom w:val="nil"/>
              <w:right w:val="single" w:sz="6" w:space="0" w:color="auto"/>
            </w:tcBorders>
            <w:vAlign w:val="bottom"/>
          </w:tcPr>
          <w:p w14:paraId="0DFB6EA1" w14:textId="77777777" w:rsidR="00E57615" w:rsidRPr="006B1F3E" w:rsidRDefault="00E57615" w:rsidP="00497F00">
            <w:pPr>
              <w:autoSpaceDE w:val="0"/>
              <w:autoSpaceDN w:val="0"/>
              <w:adjustRightInd w:val="0"/>
              <w:spacing w:after="0" w:line="240" w:lineRule="auto"/>
              <w:jc w:val="both"/>
              <w:rPr>
                <w:rFonts w:ascii="Times New Roman" w:hAnsi="Times New Roman" w:cs="Times New Roman"/>
                <w:color w:val="000000"/>
              </w:rPr>
            </w:pPr>
            <w:r w:rsidRPr="006B1F3E">
              <w:rPr>
                <w:rFonts w:ascii="Times New Roman" w:hAnsi="Times New Roman" w:cs="Times New Roman"/>
                <w:color w:val="000000"/>
              </w:rPr>
              <w:t>CIR </w:t>
            </w:r>
          </w:p>
        </w:tc>
        <w:tc>
          <w:tcPr>
            <w:tcW w:w="1250" w:type="dxa"/>
            <w:tcBorders>
              <w:top w:val="nil"/>
              <w:left w:val="single" w:sz="6" w:space="0" w:color="auto"/>
              <w:bottom w:val="nil"/>
              <w:right w:val="nil"/>
            </w:tcBorders>
            <w:vAlign w:val="bottom"/>
          </w:tcPr>
          <w:p w14:paraId="01CFC4B9" w14:textId="77777777" w:rsidR="00E57615" w:rsidRPr="006B1F3E" w:rsidRDefault="00E57615" w:rsidP="00497F00">
            <w:pPr>
              <w:autoSpaceDE w:val="0"/>
              <w:autoSpaceDN w:val="0"/>
              <w:adjustRightInd w:val="0"/>
              <w:spacing w:after="0" w:line="240" w:lineRule="auto"/>
              <w:ind w:right="20"/>
              <w:jc w:val="both"/>
              <w:rPr>
                <w:rFonts w:ascii="Times New Roman" w:hAnsi="Times New Roman" w:cs="Times New Roman"/>
                <w:color w:val="000000"/>
              </w:rPr>
            </w:pPr>
            <w:r w:rsidRPr="006B1F3E">
              <w:rPr>
                <w:rFonts w:ascii="Times New Roman" w:hAnsi="Times New Roman" w:cs="Times New Roman"/>
                <w:color w:val="000000"/>
              </w:rPr>
              <w:t>0.601866</w:t>
            </w:r>
          </w:p>
        </w:tc>
        <w:tc>
          <w:tcPr>
            <w:tcW w:w="1250" w:type="dxa"/>
            <w:tcBorders>
              <w:top w:val="nil"/>
              <w:left w:val="nil"/>
              <w:bottom w:val="nil"/>
              <w:right w:val="nil"/>
            </w:tcBorders>
            <w:vAlign w:val="bottom"/>
          </w:tcPr>
          <w:p w14:paraId="1ABAA375" w14:textId="77777777" w:rsidR="00E57615" w:rsidRPr="006B1F3E" w:rsidRDefault="00E57615" w:rsidP="00497F00">
            <w:pPr>
              <w:autoSpaceDE w:val="0"/>
              <w:autoSpaceDN w:val="0"/>
              <w:adjustRightInd w:val="0"/>
              <w:spacing w:after="0" w:line="240" w:lineRule="auto"/>
              <w:ind w:right="20"/>
              <w:jc w:val="both"/>
              <w:rPr>
                <w:rFonts w:ascii="Times New Roman" w:hAnsi="Times New Roman" w:cs="Times New Roman"/>
                <w:color w:val="000000"/>
              </w:rPr>
            </w:pPr>
            <w:r w:rsidRPr="006B1F3E">
              <w:rPr>
                <w:rFonts w:ascii="Times New Roman" w:hAnsi="Times New Roman" w:cs="Times New Roman"/>
                <w:color w:val="000000"/>
              </w:rPr>
              <w:t>-0.222228</w:t>
            </w:r>
          </w:p>
        </w:tc>
        <w:tc>
          <w:tcPr>
            <w:tcW w:w="1250" w:type="dxa"/>
            <w:tcBorders>
              <w:top w:val="nil"/>
              <w:left w:val="nil"/>
              <w:bottom w:val="nil"/>
              <w:right w:val="nil"/>
            </w:tcBorders>
            <w:vAlign w:val="bottom"/>
          </w:tcPr>
          <w:p w14:paraId="051D8678" w14:textId="77777777" w:rsidR="00E57615" w:rsidRPr="006B1F3E" w:rsidRDefault="00E57615" w:rsidP="00497F00">
            <w:pPr>
              <w:autoSpaceDE w:val="0"/>
              <w:autoSpaceDN w:val="0"/>
              <w:adjustRightInd w:val="0"/>
              <w:spacing w:after="0" w:line="240" w:lineRule="auto"/>
              <w:ind w:right="20"/>
              <w:jc w:val="both"/>
              <w:rPr>
                <w:rFonts w:ascii="Times New Roman" w:hAnsi="Times New Roman" w:cs="Times New Roman"/>
                <w:color w:val="000000"/>
              </w:rPr>
            </w:pPr>
            <w:r w:rsidRPr="006B1F3E">
              <w:rPr>
                <w:rFonts w:ascii="Times New Roman" w:hAnsi="Times New Roman" w:cs="Times New Roman"/>
                <w:color w:val="000000"/>
              </w:rPr>
              <w:t>1.000000</w:t>
            </w:r>
          </w:p>
        </w:tc>
        <w:tc>
          <w:tcPr>
            <w:tcW w:w="1250" w:type="dxa"/>
            <w:tcBorders>
              <w:top w:val="nil"/>
              <w:left w:val="nil"/>
              <w:bottom w:val="nil"/>
              <w:right w:val="nil"/>
            </w:tcBorders>
            <w:vAlign w:val="bottom"/>
          </w:tcPr>
          <w:p w14:paraId="58BC4E3C" w14:textId="77777777" w:rsidR="00E57615" w:rsidRPr="006B1F3E" w:rsidRDefault="00E57615" w:rsidP="00497F00">
            <w:pPr>
              <w:autoSpaceDE w:val="0"/>
              <w:autoSpaceDN w:val="0"/>
              <w:adjustRightInd w:val="0"/>
              <w:spacing w:after="0" w:line="240" w:lineRule="auto"/>
              <w:ind w:right="20"/>
              <w:jc w:val="both"/>
              <w:rPr>
                <w:rFonts w:ascii="Times New Roman" w:hAnsi="Times New Roman" w:cs="Times New Roman"/>
                <w:color w:val="000000"/>
              </w:rPr>
            </w:pPr>
          </w:p>
        </w:tc>
      </w:tr>
      <w:tr w:rsidR="00E57615" w:rsidRPr="00E57615" w14:paraId="1EFC9F1C" w14:textId="77777777">
        <w:trPr>
          <w:trHeight w:val="220"/>
        </w:trPr>
        <w:tc>
          <w:tcPr>
            <w:tcW w:w="1720" w:type="dxa"/>
            <w:tcBorders>
              <w:top w:val="nil"/>
              <w:left w:val="nil"/>
              <w:bottom w:val="nil"/>
              <w:right w:val="single" w:sz="6" w:space="0" w:color="auto"/>
            </w:tcBorders>
            <w:vAlign w:val="bottom"/>
          </w:tcPr>
          <w:p w14:paraId="126803A9" w14:textId="77777777" w:rsidR="00E57615" w:rsidRPr="006B1F3E" w:rsidRDefault="00E57615"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single" w:sz="6" w:space="0" w:color="auto"/>
              <w:bottom w:val="nil"/>
              <w:right w:val="nil"/>
            </w:tcBorders>
            <w:vAlign w:val="bottom"/>
          </w:tcPr>
          <w:p w14:paraId="3B6114CE" w14:textId="1F206FCB" w:rsidR="00E57615" w:rsidRPr="006B1F3E" w:rsidRDefault="00B0021F" w:rsidP="00497F00">
            <w:pPr>
              <w:autoSpaceDE w:val="0"/>
              <w:autoSpaceDN w:val="0"/>
              <w:adjustRightInd w:val="0"/>
              <w:spacing w:after="0" w:line="240" w:lineRule="auto"/>
              <w:ind w:right="20"/>
              <w:jc w:val="both"/>
              <w:rPr>
                <w:rFonts w:ascii="Times New Roman" w:hAnsi="Times New Roman" w:cs="Times New Roman"/>
                <w:color w:val="000000"/>
              </w:rPr>
            </w:pPr>
            <w:r>
              <w:rPr>
                <w:rFonts w:ascii="Times New Roman" w:hAnsi="Times New Roman" w:cs="Times New Roman"/>
                <w:color w:val="000000"/>
              </w:rPr>
              <w:t>(</w:t>
            </w:r>
            <w:r w:rsidR="00E57615" w:rsidRPr="006B1F3E">
              <w:rPr>
                <w:rFonts w:ascii="Times New Roman" w:hAnsi="Times New Roman" w:cs="Times New Roman"/>
                <w:color w:val="000000"/>
              </w:rPr>
              <w:t>3.768275</w:t>
            </w:r>
            <w:r>
              <w:rPr>
                <w:rFonts w:ascii="Times New Roman" w:hAnsi="Times New Roman" w:cs="Times New Roman"/>
                <w:color w:val="000000"/>
              </w:rPr>
              <w:t>)</w:t>
            </w:r>
          </w:p>
        </w:tc>
        <w:tc>
          <w:tcPr>
            <w:tcW w:w="1250" w:type="dxa"/>
            <w:tcBorders>
              <w:top w:val="nil"/>
              <w:left w:val="nil"/>
              <w:bottom w:val="nil"/>
              <w:right w:val="nil"/>
            </w:tcBorders>
            <w:vAlign w:val="bottom"/>
          </w:tcPr>
          <w:p w14:paraId="1667F556" w14:textId="16086C42" w:rsidR="00E57615" w:rsidRPr="006B1F3E" w:rsidRDefault="00B0021F" w:rsidP="00497F00">
            <w:pPr>
              <w:autoSpaceDE w:val="0"/>
              <w:autoSpaceDN w:val="0"/>
              <w:adjustRightInd w:val="0"/>
              <w:spacing w:after="0" w:line="240" w:lineRule="auto"/>
              <w:ind w:right="20"/>
              <w:jc w:val="both"/>
              <w:rPr>
                <w:rFonts w:ascii="Times New Roman" w:hAnsi="Times New Roman" w:cs="Times New Roman"/>
                <w:color w:val="000000"/>
              </w:rPr>
            </w:pPr>
            <w:r>
              <w:rPr>
                <w:rFonts w:ascii="Times New Roman" w:hAnsi="Times New Roman" w:cs="Times New Roman"/>
                <w:color w:val="000000"/>
              </w:rPr>
              <w:t>(</w:t>
            </w:r>
            <w:r w:rsidR="00E57615" w:rsidRPr="006B1F3E">
              <w:rPr>
                <w:rFonts w:ascii="Times New Roman" w:hAnsi="Times New Roman" w:cs="Times New Roman"/>
                <w:color w:val="000000"/>
              </w:rPr>
              <w:t>-1.139639</w:t>
            </w:r>
            <w:r>
              <w:rPr>
                <w:rFonts w:ascii="Times New Roman" w:hAnsi="Times New Roman" w:cs="Times New Roman"/>
                <w:color w:val="000000"/>
              </w:rPr>
              <w:t>)</w:t>
            </w:r>
          </w:p>
        </w:tc>
        <w:tc>
          <w:tcPr>
            <w:tcW w:w="1250" w:type="dxa"/>
            <w:tcBorders>
              <w:top w:val="nil"/>
              <w:left w:val="nil"/>
              <w:bottom w:val="nil"/>
              <w:right w:val="nil"/>
            </w:tcBorders>
            <w:vAlign w:val="bottom"/>
          </w:tcPr>
          <w:p w14:paraId="2D3B9732" w14:textId="77777777" w:rsidR="00E57615" w:rsidRPr="006B1F3E" w:rsidRDefault="00E57615" w:rsidP="00497F00">
            <w:pPr>
              <w:autoSpaceDE w:val="0"/>
              <w:autoSpaceDN w:val="0"/>
              <w:adjustRightInd w:val="0"/>
              <w:spacing w:after="0" w:line="240" w:lineRule="auto"/>
              <w:ind w:right="20"/>
              <w:jc w:val="both"/>
              <w:rPr>
                <w:rFonts w:ascii="Times New Roman" w:hAnsi="Times New Roman" w:cs="Times New Roman"/>
                <w:color w:val="000000"/>
              </w:rPr>
            </w:pPr>
            <w:r w:rsidRPr="006B1F3E">
              <w:rPr>
                <w:rFonts w:ascii="Times New Roman" w:hAnsi="Times New Roman" w:cs="Times New Roman"/>
                <w:color w:val="000000"/>
              </w:rPr>
              <w:t>----- </w:t>
            </w:r>
          </w:p>
        </w:tc>
        <w:tc>
          <w:tcPr>
            <w:tcW w:w="1250" w:type="dxa"/>
            <w:tcBorders>
              <w:top w:val="nil"/>
              <w:left w:val="nil"/>
              <w:bottom w:val="nil"/>
              <w:right w:val="nil"/>
            </w:tcBorders>
            <w:vAlign w:val="bottom"/>
          </w:tcPr>
          <w:p w14:paraId="6224206B" w14:textId="77777777" w:rsidR="00E57615" w:rsidRPr="006B1F3E" w:rsidRDefault="00E57615" w:rsidP="00497F00">
            <w:pPr>
              <w:autoSpaceDE w:val="0"/>
              <w:autoSpaceDN w:val="0"/>
              <w:adjustRightInd w:val="0"/>
              <w:spacing w:after="0" w:line="240" w:lineRule="auto"/>
              <w:ind w:right="20"/>
              <w:jc w:val="both"/>
              <w:rPr>
                <w:rFonts w:ascii="Times New Roman" w:hAnsi="Times New Roman" w:cs="Times New Roman"/>
                <w:color w:val="000000"/>
              </w:rPr>
            </w:pPr>
          </w:p>
        </w:tc>
      </w:tr>
      <w:tr w:rsidR="00E57615" w:rsidRPr="00E57615" w14:paraId="733C9072" w14:textId="77777777">
        <w:trPr>
          <w:trHeight w:val="220"/>
        </w:trPr>
        <w:tc>
          <w:tcPr>
            <w:tcW w:w="1720" w:type="dxa"/>
            <w:tcBorders>
              <w:top w:val="nil"/>
              <w:left w:val="nil"/>
              <w:bottom w:val="nil"/>
              <w:right w:val="single" w:sz="6" w:space="0" w:color="auto"/>
            </w:tcBorders>
            <w:vAlign w:val="bottom"/>
          </w:tcPr>
          <w:p w14:paraId="5C70C0C6" w14:textId="77777777" w:rsidR="00E57615" w:rsidRPr="006B1F3E" w:rsidRDefault="00E57615"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single" w:sz="6" w:space="0" w:color="auto"/>
              <w:bottom w:val="nil"/>
              <w:right w:val="nil"/>
            </w:tcBorders>
            <w:vAlign w:val="bottom"/>
          </w:tcPr>
          <w:p w14:paraId="6CA05055" w14:textId="77777777" w:rsidR="00E57615" w:rsidRPr="006B1F3E" w:rsidRDefault="00E57615"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5D36B600" w14:textId="77777777" w:rsidR="00E57615" w:rsidRPr="006B1F3E" w:rsidRDefault="00E57615"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16F11836" w14:textId="77777777" w:rsidR="00E57615" w:rsidRPr="006B1F3E" w:rsidRDefault="00E57615"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3A3A8CE9" w14:textId="77777777" w:rsidR="00E57615" w:rsidRPr="006B1F3E" w:rsidRDefault="00E57615" w:rsidP="00497F00">
            <w:pPr>
              <w:autoSpaceDE w:val="0"/>
              <w:autoSpaceDN w:val="0"/>
              <w:adjustRightInd w:val="0"/>
              <w:spacing w:after="0" w:line="240" w:lineRule="auto"/>
              <w:jc w:val="both"/>
              <w:rPr>
                <w:rFonts w:ascii="Times New Roman" w:hAnsi="Times New Roman" w:cs="Times New Roman"/>
                <w:color w:val="000000"/>
              </w:rPr>
            </w:pPr>
          </w:p>
        </w:tc>
      </w:tr>
      <w:tr w:rsidR="00E57615" w:rsidRPr="00E57615" w14:paraId="7F832393" w14:textId="77777777">
        <w:trPr>
          <w:trHeight w:val="220"/>
        </w:trPr>
        <w:tc>
          <w:tcPr>
            <w:tcW w:w="1720" w:type="dxa"/>
            <w:tcBorders>
              <w:top w:val="nil"/>
              <w:left w:val="nil"/>
              <w:bottom w:val="nil"/>
              <w:right w:val="single" w:sz="6" w:space="0" w:color="auto"/>
            </w:tcBorders>
            <w:vAlign w:val="bottom"/>
          </w:tcPr>
          <w:p w14:paraId="757E6264" w14:textId="77777777" w:rsidR="00E57615" w:rsidRPr="006B1F3E" w:rsidRDefault="00E57615" w:rsidP="00497F00">
            <w:pPr>
              <w:autoSpaceDE w:val="0"/>
              <w:autoSpaceDN w:val="0"/>
              <w:adjustRightInd w:val="0"/>
              <w:spacing w:after="0" w:line="240" w:lineRule="auto"/>
              <w:jc w:val="both"/>
              <w:rPr>
                <w:rFonts w:ascii="Times New Roman" w:hAnsi="Times New Roman" w:cs="Times New Roman"/>
                <w:color w:val="000000"/>
              </w:rPr>
            </w:pPr>
            <w:r w:rsidRPr="006B1F3E">
              <w:rPr>
                <w:rFonts w:ascii="Times New Roman" w:hAnsi="Times New Roman" w:cs="Times New Roman"/>
                <w:color w:val="000000"/>
              </w:rPr>
              <w:t>NIBT </w:t>
            </w:r>
          </w:p>
        </w:tc>
        <w:tc>
          <w:tcPr>
            <w:tcW w:w="1250" w:type="dxa"/>
            <w:tcBorders>
              <w:top w:val="nil"/>
              <w:left w:val="single" w:sz="6" w:space="0" w:color="auto"/>
              <w:bottom w:val="nil"/>
              <w:right w:val="nil"/>
            </w:tcBorders>
            <w:vAlign w:val="bottom"/>
          </w:tcPr>
          <w:p w14:paraId="0C9195A2" w14:textId="77777777" w:rsidR="00E57615" w:rsidRPr="006B1F3E" w:rsidRDefault="00E57615" w:rsidP="00497F00">
            <w:pPr>
              <w:autoSpaceDE w:val="0"/>
              <w:autoSpaceDN w:val="0"/>
              <w:adjustRightInd w:val="0"/>
              <w:spacing w:after="0" w:line="240" w:lineRule="auto"/>
              <w:ind w:right="20"/>
              <w:jc w:val="both"/>
              <w:rPr>
                <w:rFonts w:ascii="Times New Roman" w:hAnsi="Times New Roman" w:cs="Times New Roman"/>
                <w:color w:val="000000"/>
              </w:rPr>
            </w:pPr>
            <w:r w:rsidRPr="006B1F3E">
              <w:rPr>
                <w:rFonts w:ascii="Times New Roman" w:hAnsi="Times New Roman" w:cs="Times New Roman"/>
                <w:color w:val="000000"/>
              </w:rPr>
              <w:t>-0.540037</w:t>
            </w:r>
          </w:p>
        </w:tc>
        <w:tc>
          <w:tcPr>
            <w:tcW w:w="1250" w:type="dxa"/>
            <w:tcBorders>
              <w:top w:val="nil"/>
              <w:left w:val="nil"/>
              <w:bottom w:val="nil"/>
              <w:right w:val="nil"/>
            </w:tcBorders>
            <w:vAlign w:val="bottom"/>
          </w:tcPr>
          <w:p w14:paraId="482632B4" w14:textId="77777777" w:rsidR="00E57615" w:rsidRPr="006B1F3E" w:rsidRDefault="00E57615" w:rsidP="00497F00">
            <w:pPr>
              <w:autoSpaceDE w:val="0"/>
              <w:autoSpaceDN w:val="0"/>
              <w:adjustRightInd w:val="0"/>
              <w:spacing w:after="0" w:line="240" w:lineRule="auto"/>
              <w:ind w:right="20"/>
              <w:jc w:val="both"/>
              <w:rPr>
                <w:rFonts w:ascii="Times New Roman" w:hAnsi="Times New Roman" w:cs="Times New Roman"/>
                <w:color w:val="000000"/>
              </w:rPr>
            </w:pPr>
            <w:r w:rsidRPr="006B1F3E">
              <w:rPr>
                <w:rFonts w:ascii="Times New Roman" w:hAnsi="Times New Roman" w:cs="Times New Roman"/>
                <w:color w:val="000000"/>
              </w:rPr>
              <w:t>0.629128</w:t>
            </w:r>
          </w:p>
        </w:tc>
        <w:tc>
          <w:tcPr>
            <w:tcW w:w="1250" w:type="dxa"/>
            <w:tcBorders>
              <w:top w:val="nil"/>
              <w:left w:val="nil"/>
              <w:bottom w:val="nil"/>
              <w:right w:val="nil"/>
            </w:tcBorders>
            <w:vAlign w:val="bottom"/>
          </w:tcPr>
          <w:p w14:paraId="7C740ED6" w14:textId="77777777" w:rsidR="00E57615" w:rsidRPr="006B1F3E" w:rsidRDefault="00E57615" w:rsidP="00497F00">
            <w:pPr>
              <w:autoSpaceDE w:val="0"/>
              <w:autoSpaceDN w:val="0"/>
              <w:adjustRightInd w:val="0"/>
              <w:spacing w:after="0" w:line="240" w:lineRule="auto"/>
              <w:ind w:right="20"/>
              <w:jc w:val="both"/>
              <w:rPr>
                <w:rFonts w:ascii="Times New Roman" w:hAnsi="Times New Roman" w:cs="Times New Roman"/>
                <w:color w:val="000000"/>
              </w:rPr>
            </w:pPr>
            <w:r w:rsidRPr="006B1F3E">
              <w:rPr>
                <w:rFonts w:ascii="Times New Roman" w:hAnsi="Times New Roman" w:cs="Times New Roman"/>
                <w:color w:val="000000"/>
              </w:rPr>
              <w:t>-0.789146</w:t>
            </w:r>
          </w:p>
        </w:tc>
        <w:tc>
          <w:tcPr>
            <w:tcW w:w="1250" w:type="dxa"/>
            <w:tcBorders>
              <w:top w:val="nil"/>
              <w:left w:val="nil"/>
              <w:bottom w:val="nil"/>
              <w:right w:val="nil"/>
            </w:tcBorders>
            <w:vAlign w:val="bottom"/>
          </w:tcPr>
          <w:p w14:paraId="0B6A13B8" w14:textId="77777777" w:rsidR="00E57615" w:rsidRPr="006B1F3E" w:rsidRDefault="00E57615" w:rsidP="00497F00">
            <w:pPr>
              <w:autoSpaceDE w:val="0"/>
              <w:autoSpaceDN w:val="0"/>
              <w:adjustRightInd w:val="0"/>
              <w:spacing w:after="0" w:line="240" w:lineRule="auto"/>
              <w:ind w:right="20"/>
              <w:jc w:val="both"/>
              <w:rPr>
                <w:rFonts w:ascii="Times New Roman" w:hAnsi="Times New Roman" w:cs="Times New Roman"/>
                <w:color w:val="000000"/>
              </w:rPr>
            </w:pPr>
            <w:r w:rsidRPr="006B1F3E">
              <w:rPr>
                <w:rFonts w:ascii="Times New Roman" w:hAnsi="Times New Roman" w:cs="Times New Roman"/>
                <w:color w:val="000000"/>
              </w:rPr>
              <w:t>1.000000</w:t>
            </w:r>
          </w:p>
        </w:tc>
      </w:tr>
      <w:tr w:rsidR="00E57615" w:rsidRPr="00E57615" w14:paraId="1785812D" w14:textId="77777777">
        <w:trPr>
          <w:trHeight w:val="220"/>
        </w:trPr>
        <w:tc>
          <w:tcPr>
            <w:tcW w:w="1720" w:type="dxa"/>
            <w:tcBorders>
              <w:top w:val="nil"/>
              <w:left w:val="nil"/>
              <w:bottom w:val="nil"/>
              <w:right w:val="single" w:sz="6" w:space="0" w:color="auto"/>
            </w:tcBorders>
            <w:vAlign w:val="bottom"/>
          </w:tcPr>
          <w:p w14:paraId="64F8C545" w14:textId="77777777" w:rsidR="00E57615" w:rsidRPr="006B1F3E" w:rsidRDefault="00E57615"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single" w:sz="6" w:space="0" w:color="auto"/>
              <w:bottom w:val="nil"/>
              <w:right w:val="nil"/>
            </w:tcBorders>
            <w:vAlign w:val="bottom"/>
          </w:tcPr>
          <w:p w14:paraId="36B4E679" w14:textId="66BF47AC" w:rsidR="00E57615" w:rsidRPr="006B1F3E" w:rsidRDefault="00B0021F" w:rsidP="00497F00">
            <w:pPr>
              <w:autoSpaceDE w:val="0"/>
              <w:autoSpaceDN w:val="0"/>
              <w:adjustRightInd w:val="0"/>
              <w:spacing w:after="0" w:line="240" w:lineRule="auto"/>
              <w:ind w:right="20"/>
              <w:jc w:val="both"/>
              <w:rPr>
                <w:rFonts w:ascii="Times New Roman" w:hAnsi="Times New Roman" w:cs="Times New Roman"/>
                <w:color w:val="000000"/>
              </w:rPr>
            </w:pPr>
            <w:r>
              <w:rPr>
                <w:rFonts w:ascii="Times New Roman" w:hAnsi="Times New Roman" w:cs="Times New Roman"/>
                <w:color w:val="000000"/>
              </w:rPr>
              <w:t>(</w:t>
            </w:r>
            <w:r w:rsidR="00E57615" w:rsidRPr="006B1F3E">
              <w:rPr>
                <w:rFonts w:ascii="Times New Roman" w:hAnsi="Times New Roman" w:cs="Times New Roman"/>
                <w:color w:val="000000"/>
              </w:rPr>
              <w:t>-3.208237</w:t>
            </w:r>
            <w:r>
              <w:rPr>
                <w:rFonts w:ascii="Times New Roman" w:hAnsi="Times New Roman" w:cs="Times New Roman"/>
                <w:color w:val="000000"/>
              </w:rPr>
              <w:t>)</w:t>
            </w:r>
          </w:p>
        </w:tc>
        <w:tc>
          <w:tcPr>
            <w:tcW w:w="1250" w:type="dxa"/>
            <w:tcBorders>
              <w:top w:val="nil"/>
              <w:left w:val="nil"/>
              <w:bottom w:val="nil"/>
              <w:right w:val="nil"/>
            </w:tcBorders>
            <w:vAlign w:val="bottom"/>
          </w:tcPr>
          <w:p w14:paraId="54FA73D7" w14:textId="10FF5AE1" w:rsidR="00E57615" w:rsidRPr="006B1F3E" w:rsidRDefault="00B0021F" w:rsidP="00497F00">
            <w:pPr>
              <w:autoSpaceDE w:val="0"/>
              <w:autoSpaceDN w:val="0"/>
              <w:adjustRightInd w:val="0"/>
              <w:spacing w:after="0" w:line="240" w:lineRule="auto"/>
              <w:ind w:right="20"/>
              <w:jc w:val="both"/>
              <w:rPr>
                <w:rFonts w:ascii="Times New Roman" w:hAnsi="Times New Roman" w:cs="Times New Roman"/>
                <w:color w:val="000000"/>
              </w:rPr>
            </w:pPr>
            <w:r>
              <w:rPr>
                <w:rFonts w:ascii="Times New Roman" w:hAnsi="Times New Roman" w:cs="Times New Roman"/>
                <w:color w:val="000000"/>
              </w:rPr>
              <w:t>(</w:t>
            </w:r>
            <w:r w:rsidR="00E57615" w:rsidRPr="006B1F3E">
              <w:rPr>
                <w:rFonts w:ascii="Times New Roman" w:hAnsi="Times New Roman" w:cs="Times New Roman"/>
                <w:color w:val="000000"/>
              </w:rPr>
              <w:t>4.046869</w:t>
            </w:r>
            <w:r>
              <w:rPr>
                <w:rFonts w:ascii="Times New Roman" w:hAnsi="Times New Roman" w:cs="Times New Roman"/>
                <w:color w:val="000000"/>
              </w:rPr>
              <w:t>)</w:t>
            </w:r>
          </w:p>
        </w:tc>
        <w:tc>
          <w:tcPr>
            <w:tcW w:w="1250" w:type="dxa"/>
            <w:tcBorders>
              <w:top w:val="nil"/>
              <w:left w:val="nil"/>
              <w:bottom w:val="nil"/>
              <w:right w:val="nil"/>
            </w:tcBorders>
            <w:vAlign w:val="bottom"/>
          </w:tcPr>
          <w:p w14:paraId="273AEEAD" w14:textId="6308958C" w:rsidR="00E57615" w:rsidRPr="006B1F3E" w:rsidRDefault="00B0021F" w:rsidP="00497F00">
            <w:pPr>
              <w:autoSpaceDE w:val="0"/>
              <w:autoSpaceDN w:val="0"/>
              <w:adjustRightInd w:val="0"/>
              <w:spacing w:after="0" w:line="240" w:lineRule="auto"/>
              <w:ind w:right="20"/>
              <w:jc w:val="both"/>
              <w:rPr>
                <w:rFonts w:ascii="Times New Roman" w:hAnsi="Times New Roman" w:cs="Times New Roman"/>
                <w:color w:val="000000"/>
              </w:rPr>
            </w:pPr>
            <w:r>
              <w:rPr>
                <w:rFonts w:ascii="Times New Roman" w:hAnsi="Times New Roman" w:cs="Times New Roman"/>
                <w:color w:val="000000"/>
              </w:rPr>
              <w:t>(</w:t>
            </w:r>
            <w:r w:rsidR="00E57615" w:rsidRPr="006B1F3E">
              <w:rPr>
                <w:rFonts w:ascii="Times New Roman" w:hAnsi="Times New Roman" w:cs="Times New Roman"/>
                <w:color w:val="000000"/>
              </w:rPr>
              <w:t>-6.424108</w:t>
            </w:r>
            <w:r>
              <w:rPr>
                <w:rFonts w:ascii="Times New Roman" w:hAnsi="Times New Roman" w:cs="Times New Roman"/>
                <w:color w:val="000000"/>
              </w:rPr>
              <w:t>)</w:t>
            </w:r>
          </w:p>
        </w:tc>
        <w:tc>
          <w:tcPr>
            <w:tcW w:w="1250" w:type="dxa"/>
            <w:tcBorders>
              <w:top w:val="nil"/>
              <w:left w:val="nil"/>
              <w:bottom w:val="nil"/>
              <w:right w:val="nil"/>
            </w:tcBorders>
            <w:vAlign w:val="bottom"/>
          </w:tcPr>
          <w:p w14:paraId="1AE32816" w14:textId="77777777" w:rsidR="00E57615" w:rsidRPr="006B1F3E" w:rsidRDefault="00E57615" w:rsidP="00497F00">
            <w:pPr>
              <w:autoSpaceDE w:val="0"/>
              <w:autoSpaceDN w:val="0"/>
              <w:adjustRightInd w:val="0"/>
              <w:spacing w:after="0" w:line="240" w:lineRule="auto"/>
              <w:ind w:right="20"/>
              <w:jc w:val="both"/>
              <w:rPr>
                <w:rFonts w:ascii="Times New Roman" w:hAnsi="Times New Roman" w:cs="Times New Roman"/>
                <w:color w:val="000000"/>
              </w:rPr>
            </w:pPr>
            <w:r w:rsidRPr="006B1F3E">
              <w:rPr>
                <w:rFonts w:ascii="Times New Roman" w:hAnsi="Times New Roman" w:cs="Times New Roman"/>
                <w:color w:val="000000"/>
              </w:rPr>
              <w:t>----- </w:t>
            </w:r>
          </w:p>
        </w:tc>
      </w:tr>
      <w:tr w:rsidR="00E57615" w:rsidRPr="00E57615" w14:paraId="17C40632" w14:textId="77777777">
        <w:trPr>
          <w:trHeight w:hRule="exact" w:val="88"/>
        </w:trPr>
        <w:tc>
          <w:tcPr>
            <w:tcW w:w="1720" w:type="dxa"/>
            <w:tcBorders>
              <w:top w:val="nil"/>
              <w:left w:val="nil"/>
              <w:bottom w:val="double" w:sz="6" w:space="0" w:color="auto"/>
              <w:right w:val="nil"/>
            </w:tcBorders>
            <w:vAlign w:val="bottom"/>
          </w:tcPr>
          <w:p w14:paraId="77B96320" w14:textId="77777777" w:rsidR="00E57615" w:rsidRPr="00E57615" w:rsidRDefault="00E57615" w:rsidP="00497F00">
            <w:pPr>
              <w:autoSpaceDE w:val="0"/>
              <w:autoSpaceDN w:val="0"/>
              <w:adjustRightInd w:val="0"/>
              <w:spacing w:after="0" w:line="240" w:lineRule="auto"/>
              <w:jc w:val="both"/>
              <w:rPr>
                <w:rFonts w:ascii="Times New Roman" w:hAnsi="Times New Roman" w:cs="Times New Roman"/>
                <w:color w:val="000000"/>
                <w:sz w:val="18"/>
                <w:szCs w:val="18"/>
              </w:rPr>
            </w:pPr>
          </w:p>
        </w:tc>
        <w:tc>
          <w:tcPr>
            <w:tcW w:w="1250" w:type="dxa"/>
            <w:tcBorders>
              <w:top w:val="nil"/>
              <w:left w:val="nil"/>
              <w:bottom w:val="double" w:sz="6" w:space="0" w:color="auto"/>
              <w:right w:val="nil"/>
            </w:tcBorders>
            <w:vAlign w:val="bottom"/>
          </w:tcPr>
          <w:p w14:paraId="1E1CC347" w14:textId="77777777" w:rsidR="00E57615" w:rsidRPr="00E57615" w:rsidRDefault="00E57615" w:rsidP="00497F00">
            <w:pPr>
              <w:autoSpaceDE w:val="0"/>
              <w:autoSpaceDN w:val="0"/>
              <w:adjustRightInd w:val="0"/>
              <w:spacing w:after="0" w:line="240" w:lineRule="auto"/>
              <w:jc w:val="both"/>
              <w:rPr>
                <w:rFonts w:ascii="Times New Roman" w:hAnsi="Times New Roman" w:cs="Times New Roman"/>
                <w:color w:val="000000"/>
                <w:sz w:val="18"/>
                <w:szCs w:val="18"/>
              </w:rPr>
            </w:pPr>
          </w:p>
        </w:tc>
        <w:tc>
          <w:tcPr>
            <w:tcW w:w="1250" w:type="dxa"/>
            <w:tcBorders>
              <w:top w:val="nil"/>
              <w:left w:val="nil"/>
              <w:bottom w:val="double" w:sz="6" w:space="0" w:color="auto"/>
              <w:right w:val="nil"/>
            </w:tcBorders>
            <w:vAlign w:val="bottom"/>
          </w:tcPr>
          <w:p w14:paraId="507C4FFC" w14:textId="77777777" w:rsidR="00E57615" w:rsidRPr="00E57615" w:rsidRDefault="00E57615" w:rsidP="00497F00">
            <w:pPr>
              <w:autoSpaceDE w:val="0"/>
              <w:autoSpaceDN w:val="0"/>
              <w:adjustRightInd w:val="0"/>
              <w:spacing w:after="0" w:line="240" w:lineRule="auto"/>
              <w:jc w:val="both"/>
              <w:rPr>
                <w:rFonts w:ascii="Times New Roman" w:hAnsi="Times New Roman" w:cs="Times New Roman"/>
                <w:color w:val="000000"/>
                <w:sz w:val="18"/>
                <w:szCs w:val="18"/>
              </w:rPr>
            </w:pPr>
          </w:p>
        </w:tc>
        <w:tc>
          <w:tcPr>
            <w:tcW w:w="1250" w:type="dxa"/>
            <w:tcBorders>
              <w:top w:val="nil"/>
              <w:left w:val="nil"/>
              <w:bottom w:val="double" w:sz="6" w:space="0" w:color="auto"/>
              <w:right w:val="nil"/>
            </w:tcBorders>
            <w:vAlign w:val="bottom"/>
          </w:tcPr>
          <w:p w14:paraId="4C15648B" w14:textId="77777777" w:rsidR="00E57615" w:rsidRPr="00E57615" w:rsidRDefault="00E57615" w:rsidP="00497F00">
            <w:pPr>
              <w:autoSpaceDE w:val="0"/>
              <w:autoSpaceDN w:val="0"/>
              <w:adjustRightInd w:val="0"/>
              <w:spacing w:after="0" w:line="240" w:lineRule="auto"/>
              <w:jc w:val="both"/>
              <w:rPr>
                <w:rFonts w:ascii="Times New Roman" w:hAnsi="Times New Roman" w:cs="Times New Roman"/>
                <w:color w:val="000000"/>
                <w:sz w:val="18"/>
                <w:szCs w:val="18"/>
              </w:rPr>
            </w:pPr>
          </w:p>
        </w:tc>
        <w:tc>
          <w:tcPr>
            <w:tcW w:w="1250" w:type="dxa"/>
            <w:tcBorders>
              <w:top w:val="nil"/>
              <w:left w:val="nil"/>
              <w:bottom w:val="double" w:sz="6" w:space="0" w:color="auto"/>
              <w:right w:val="nil"/>
            </w:tcBorders>
            <w:vAlign w:val="bottom"/>
          </w:tcPr>
          <w:p w14:paraId="6BBEF4D8" w14:textId="77777777" w:rsidR="00E57615" w:rsidRPr="00E57615" w:rsidRDefault="00E57615" w:rsidP="00497F00">
            <w:pPr>
              <w:autoSpaceDE w:val="0"/>
              <w:autoSpaceDN w:val="0"/>
              <w:adjustRightInd w:val="0"/>
              <w:spacing w:after="0" w:line="240" w:lineRule="auto"/>
              <w:jc w:val="both"/>
              <w:rPr>
                <w:rFonts w:ascii="Times New Roman" w:hAnsi="Times New Roman" w:cs="Times New Roman"/>
                <w:color w:val="000000"/>
                <w:sz w:val="18"/>
                <w:szCs w:val="18"/>
              </w:rPr>
            </w:pPr>
          </w:p>
        </w:tc>
      </w:tr>
      <w:tr w:rsidR="00E57615" w:rsidRPr="00E57615" w14:paraId="5D1AD830" w14:textId="77777777">
        <w:trPr>
          <w:trHeight w:hRule="exact" w:val="132"/>
        </w:trPr>
        <w:tc>
          <w:tcPr>
            <w:tcW w:w="1720" w:type="dxa"/>
            <w:tcBorders>
              <w:top w:val="nil"/>
              <w:left w:val="nil"/>
              <w:bottom w:val="nil"/>
              <w:right w:val="nil"/>
            </w:tcBorders>
            <w:vAlign w:val="bottom"/>
          </w:tcPr>
          <w:p w14:paraId="0AAC1133" w14:textId="77777777" w:rsidR="00E57615" w:rsidRDefault="00E57615" w:rsidP="00497F00">
            <w:pPr>
              <w:autoSpaceDE w:val="0"/>
              <w:autoSpaceDN w:val="0"/>
              <w:adjustRightInd w:val="0"/>
              <w:spacing w:after="0" w:line="240" w:lineRule="auto"/>
              <w:jc w:val="both"/>
              <w:rPr>
                <w:rFonts w:ascii="Times New Roman" w:hAnsi="Times New Roman" w:cs="Times New Roman"/>
                <w:color w:val="000000"/>
                <w:sz w:val="18"/>
                <w:szCs w:val="18"/>
              </w:rPr>
            </w:pPr>
          </w:p>
          <w:p w14:paraId="562E6C3A" w14:textId="42F2AE4F" w:rsidR="001E0644" w:rsidRPr="00E57615" w:rsidRDefault="001E0644" w:rsidP="00497F00">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At </w:t>
            </w:r>
            <w:proofErr w:type="spellStart"/>
            <w:r>
              <w:rPr>
                <w:rFonts w:ascii="Times New Roman" w:hAnsi="Times New Roman" w:cs="Times New Roman"/>
                <w:color w:val="000000"/>
                <w:sz w:val="18"/>
                <w:szCs w:val="18"/>
              </w:rPr>
              <w:t>first</w:t>
            </w:r>
            <w:proofErr w:type="spellEnd"/>
          </w:p>
        </w:tc>
        <w:tc>
          <w:tcPr>
            <w:tcW w:w="1250" w:type="dxa"/>
            <w:tcBorders>
              <w:top w:val="nil"/>
              <w:left w:val="nil"/>
              <w:bottom w:val="nil"/>
              <w:right w:val="nil"/>
            </w:tcBorders>
            <w:vAlign w:val="bottom"/>
          </w:tcPr>
          <w:p w14:paraId="4DFAD286" w14:textId="77777777" w:rsidR="00E57615" w:rsidRPr="00E57615" w:rsidRDefault="00E57615" w:rsidP="00497F00">
            <w:pPr>
              <w:autoSpaceDE w:val="0"/>
              <w:autoSpaceDN w:val="0"/>
              <w:adjustRightInd w:val="0"/>
              <w:spacing w:after="0" w:line="240" w:lineRule="auto"/>
              <w:jc w:val="both"/>
              <w:rPr>
                <w:rFonts w:ascii="Times New Roman" w:hAnsi="Times New Roman" w:cs="Times New Roman"/>
                <w:color w:val="000000"/>
                <w:sz w:val="18"/>
                <w:szCs w:val="18"/>
              </w:rPr>
            </w:pPr>
          </w:p>
        </w:tc>
        <w:tc>
          <w:tcPr>
            <w:tcW w:w="1250" w:type="dxa"/>
            <w:tcBorders>
              <w:top w:val="nil"/>
              <w:left w:val="nil"/>
              <w:bottom w:val="nil"/>
              <w:right w:val="nil"/>
            </w:tcBorders>
            <w:vAlign w:val="bottom"/>
          </w:tcPr>
          <w:p w14:paraId="2A6B3646" w14:textId="77777777" w:rsidR="00E57615" w:rsidRPr="00E57615" w:rsidRDefault="00E57615" w:rsidP="00497F00">
            <w:pPr>
              <w:autoSpaceDE w:val="0"/>
              <w:autoSpaceDN w:val="0"/>
              <w:adjustRightInd w:val="0"/>
              <w:spacing w:after="0" w:line="240" w:lineRule="auto"/>
              <w:jc w:val="both"/>
              <w:rPr>
                <w:rFonts w:ascii="Times New Roman" w:hAnsi="Times New Roman" w:cs="Times New Roman"/>
                <w:color w:val="000000"/>
                <w:sz w:val="18"/>
                <w:szCs w:val="18"/>
              </w:rPr>
            </w:pPr>
          </w:p>
        </w:tc>
        <w:tc>
          <w:tcPr>
            <w:tcW w:w="1250" w:type="dxa"/>
            <w:tcBorders>
              <w:top w:val="nil"/>
              <w:left w:val="nil"/>
              <w:bottom w:val="nil"/>
              <w:right w:val="nil"/>
            </w:tcBorders>
            <w:vAlign w:val="bottom"/>
          </w:tcPr>
          <w:p w14:paraId="6E0DDBDE" w14:textId="77777777" w:rsidR="00E57615" w:rsidRPr="00E57615" w:rsidRDefault="00E57615" w:rsidP="00497F00">
            <w:pPr>
              <w:autoSpaceDE w:val="0"/>
              <w:autoSpaceDN w:val="0"/>
              <w:adjustRightInd w:val="0"/>
              <w:spacing w:after="0" w:line="240" w:lineRule="auto"/>
              <w:jc w:val="both"/>
              <w:rPr>
                <w:rFonts w:ascii="Times New Roman" w:hAnsi="Times New Roman" w:cs="Times New Roman"/>
                <w:color w:val="000000"/>
                <w:sz w:val="18"/>
                <w:szCs w:val="18"/>
              </w:rPr>
            </w:pPr>
          </w:p>
        </w:tc>
        <w:tc>
          <w:tcPr>
            <w:tcW w:w="1250" w:type="dxa"/>
            <w:tcBorders>
              <w:top w:val="nil"/>
              <w:left w:val="nil"/>
              <w:bottom w:val="nil"/>
              <w:right w:val="nil"/>
            </w:tcBorders>
            <w:vAlign w:val="bottom"/>
          </w:tcPr>
          <w:p w14:paraId="24B8B595" w14:textId="77777777" w:rsidR="00E57615" w:rsidRPr="00E57615" w:rsidRDefault="00E57615" w:rsidP="00497F00">
            <w:pPr>
              <w:autoSpaceDE w:val="0"/>
              <w:autoSpaceDN w:val="0"/>
              <w:adjustRightInd w:val="0"/>
              <w:spacing w:after="0" w:line="240" w:lineRule="auto"/>
              <w:jc w:val="both"/>
              <w:rPr>
                <w:rFonts w:ascii="Times New Roman" w:hAnsi="Times New Roman" w:cs="Times New Roman"/>
                <w:color w:val="000000"/>
                <w:sz w:val="18"/>
                <w:szCs w:val="18"/>
              </w:rPr>
            </w:pPr>
          </w:p>
        </w:tc>
      </w:tr>
    </w:tbl>
    <w:p w14:paraId="3AAD2059" w14:textId="77777777" w:rsidR="00321507" w:rsidRDefault="00321507" w:rsidP="00497F00">
      <w:pPr>
        <w:jc w:val="both"/>
        <w:rPr>
          <w:rFonts w:ascii="Times New Roman" w:hAnsi="Times New Roman" w:cs="Times New Roman"/>
          <w:lang w:val="en-US"/>
        </w:rPr>
      </w:pPr>
    </w:p>
    <w:p w14:paraId="09FB777A" w14:textId="533104A5" w:rsidR="00EA41ED" w:rsidRDefault="001E0644" w:rsidP="00497F00">
      <w:pPr>
        <w:jc w:val="both"/>
        <w:rPr>
          <w:rStyle w:val="rynqvb"/>
          <w:rFonts w:ascii="Times New Roman" w:hAnsi="Times New Roman" w:cs="Times New Roman"/>
          <w:lang w:val="en"/>
        </w:rPr>
      </w:pPr>
      <w:r>
        <w:rPr>
          <w:rFonts w:ascii="Times New Roman" w:hAnsi="Times New Roman" w:cs="Times New Roman"/>
          <w:lang w:val="en-US"/>
        </w:rPr>
        <w:t>At first sight merger intensity is positively correlated</w:t>
      </w:r>
      <w:r w:rsidR="00A33D81">
        <w:rPr>
          <w:rFonts w:ascii="Times New Roman" w:hAnsi="Times New Roman" w:cs="Times New Roman"/>
          <w:lang w:val="en-US"/>
        </w:rPr>
        <w:t xml:space="preserve"> with the cost-income ratio and negatively with return on equity and net income. Thus</w:t>
      </w:r>
      <w:r w:rsidR="000C4276">
        <w:rPr>
          <w:rFonts w:ascii="Times New Roman" w:hAnsi="Times New Roman" w:cs="Times New Roman"/>
          <w:lang w:val="en-US"/>
        </w:rPr>
        <w:t>,</w:t>
      </w:r>
      <w:r w:rsidR="00A33D81">
        <w:rPr>
          <w:rFonts w:ascii="Times New Roman" w:hAnsi="Times New Roman" w:cs="Times New Roman"/>
          <w:lang w:val="en-US"/>
        </w:rPr>
        <w:t xml:space="preserve"> it could be concluded that an unfavorable operational </w:t>
      </w:r>
      <w:r w:rsidR="00321507">
        <w:rPr>
          <w:rFonts w:ascii="Times New Roman" w:hAnsi="Times New Roman" w:cs="Times New Roman"/>
          <w:lang w:val="en-US"/>
        </w:rPr>
        <w:t>status</w:t>
      </w:r>
      <w:r w:rsidR="00A33D81">
        <w:rPr>
          <w:rFonts w:ascii="Times New Roman" w:hAnsi="Times New Roman" w:cs="Times New Roman"/>
          <w:lang w:val="en-US"/>
        </w:rPr>
        <w:t xml:space="preserve"> is associated with a higher merger rate.</w:t>
      </w:r>
      <w:r w:rsidR="000C4276">
        <w:rPr>
          <w:rFonts w:ascii="Times New Roman" w:hAnsi="Times New Roman" w:cs="Times New Roman"/>
          <w:lang w:val="en-US"/>
        </w:rPr>
        <w:t xml:space="preserve"> </w:t>
      </w:r>
      <w:r w:rsidR="000C4276" w:rsidRPr="000C4276">
        <w:rPr>
          <w:rStyle w:val="rynqvb"/>
          <w:rFonts w:ascii="Times New Roman" w:hAnsi="Times New Roman" w:cs="Times New Roman"/>
          <w:lang w:val="en"/>
        </w:rPr>
        <w:t xml:space="preserve">However, nothing can be said about </w:t>
      </w:r>
      <w:r w:rsidR="000C4276">
        <w:rPr>
          <w:rStyle w:val="rynqvb"/>
          <w:rFonts w:ascii="Times New Roman" w:hAnsi="Times New Roman" w:cs="Times New Roman"/>
          <w:lang w:val="en"/>
        </w:rPr>
        <w:t>the</w:t>
      </w:r>
      <w:r w:rsidR="000C4276" w:rsidRPr="000C4276">
        <w:rPr>
          <w:rStyle w:val="rynqvb"/>
          <w:rFonts w:ascii="Times New Roman" w:hAnsi="Times New Roman" w:cs="Times New Roman"/>
          <w:lang w:val="en"/>
        </w:rPr>
        <w:t xml:space="preserve"> direction of causality from </w:t>
      </w:r>
      <w:r w:rsidR="000C4276">
        <w:rPr>
          <w:rStyle w:val="rynqvb"/>
          <w:rFonts w:ascii="Times New Roman" w:hAnsi="Times New Roman" w:cs="Times New Roman"/>
          <w:lang w:val="en"/>
        </w:rPr>
        <w:t>these</w:t>
      </w:r>
      <w:r w:rsidR="000C4276" w:rsidRPr="000C4276">
        <w:rPr>
          <w:rStyle w:val="rynqvb"/>
          <w:rFonts w:ascii="Times New Roman" w:hAnsi="Times New Roman" w:cs="Times New Roman"/>
          <w:lang w:val="en"/>
        </w:rPr>
        <w:t xml:space="preserve"> correlation</w:t>
      </w:r>
      <w:r w:rsidR="000C4276">
        <w:rPr>
          <w:rStyle w:val="rynqvb"/>
          <w:rFonts w:ascii="Times New Roman" w:hAnsi="Times New Roman" w:cs="Times New Roman"/>
          <w:lang w:val="en"/>
        </w:rPr>
        <w:t>s</w:t>
      </w:r>
      <w:r w:rsidR="00F31C48">
        <w:rPr>
          <w:rStyle w:val="rynqvb"/>
          <w:rFonts w:ascii="Times New Roman" w:hAnsi="Times New Roman" w:cs="Times New Roman"/>
          <w:lang w:val="en"/>
        </w:rPr>
        <w:t>, which</w:t>
      </w:r>
      <w:r w:rsidR="000C4276" w:rsidRPr="000C4276">
        <w:rPr>
          <w:rStyle w:val="rynqvb"/>
          <w:rFonts w:ascii="Times New Roman" w:hAnsi="Times New Roman" w:cs="Times New Roman"/>
          <w:lang w:val="en"/>
        </w:rPr>
        <w:t xml:space="preserve"> are also consistent with the reverse direction of causality</w:t>
      </w:r>
      <w:r w:rsidR="00F31C48">
        <w:rPr>
          <w:rStyle w:val="rynqvb"/>
          <w:rFonts w:ascii="Times New Roman" w:hAnsi="Times New Roman" w:cs="Times New Roman"/>
          <w:lang w:val="en"/>
        </w:rPr>
        <w:t>.</w:t>
      </w:r>
      <w:r w:rsidR="000C4276" w:rsidRPr="000C4276">
        <w:rPr>
          <w:rStyle w:val="hwtze"/>
          <w:rFonts w:ascii="Times New Roman" w:hAnsi="Times New Roman" w:cs="Times New Roman"/>
          <w:lang w:val="en"/>
        </w:rPr>
        <w:t xml:space="preserve"> </w:t>
      </w:r>
      <w:r w:rsidR="00F31C48">
        <w:rPr>
          <w:rStyle w:val="hwtze"/>
          <w:rFonts w:ascii="Times New Roman" w:hAnsi="Times New Roman" w:cs="Times New Roman"/>
          <w:lang w:val="en"/>
        </w:rPr>
        <w:t xml:space="preserve">Mergers may trigger lower profitability. </w:t>
      </w:r>
      <w:r w:rsidR="000C4276" w:rsidRPr="000C4276">
        <w:rPr>
          <w:rStyle w:val="rynqvb"/>
          <w:rFonts w:ascii="Times New Roman" w:hAnsi="Times New Roman" w:cs="Times New Roman"/>
          <w:lang w:val="en"/>
        </w:rPr>
        <w:t xml:space="preserve">An analysis of the direction of causality is therefore </w:t>
      </w:r>
      <w:r w:rsidR="00321507">
        <w:rPr>
          <w:rStyle w:val="rynqvb"/>
          <w:rFonts w:ascii="Times New Roman" w:hAnsi="Times New Roman" w:cs="Times New Roman"/>
          <w:lang w:val="en"/>
        </w:rPr>
        <w:t>essential.</w:t>
      </w:r>
    </w:p>
    <w:p w14:paraId="76524352" w14:textId="77777777" w:rsidR="00834A39" w:rsidRDefault="00834A39" w:rsidP="00497F00">
      <w:pPr>
        <w:jc w:val="both"/>
        <w:rPr>
          <w:rStyle w:val="rynqvb"/>
          <w:rFonts w:ascii="Times New Roman" w:hAnsi="Times New Roman" w:cs="Times New Roman"/>
          <w:lang w:val="en"/>
        </w:rPr>
      </w:pPr>
    </w:p>
    <w:p w14:paraId="50750D07" w14:textId="0BAC620A" w:rsidR="00005962" w:rsidRPr="00356403" w:rsidRDefault="00356403" w:rsidP="00356403">
      <w:pPr>
        <w:jc w:val="both"/>
        <w:rPr>
          <w:rStyle w:val="rynqvb"/>
          <w:rFonts w:ascii="Times New Roman" w:hAnsi="Times New Roman" w:cs="Times New Roman"/>
          <w:b/>
          <w:bCs/>
          <w:lang w:val="en"/>
        </w:rPr>
      </w:pPr>
      <w:r>
        <w:rPr>
          <w:rStyle w:val="rynqvb"/>
          <w:rFonts w:ascii="Times New Roman" w:hAnsi="Times New Roman" w:cs="Times New Roman"/>
          <w:b/>
          <w:bCs/>
          <w:lang w:val="en"/>
        </w:rPr>
        <w:t xml:space="preserve">3.1. </w:t>
      </w:r>
      <w:r w:rsidR="00005962" w:rsidRPr="00356403">
        <w:rPr>
          <w:rStyle w:val="rynqvb"/>
          <w:rFonts w:ascii="Times New Roman" w:hAnsi="Times New Roman" w:cs="Times New Roman"/>
          <w:b/>
          <w:bCs/>
          <w:lang w:val="en"/>
        </w:rPr>
        <w:t>Order of Integration</w:t>
      </w:r>
      <w:r w:rsidR="00773238" w:rsidRPr="00356403">
        <w:rPr>
          <w:rStyle w:val="rynqvb"/>
          <w:rFonts w:ascii="Times New Roman" w:hAnsi="Times New Roman" w:cs="Times New Roman"/>
          <w:b/>
          <w:bCs/>
          <w:lang w:val="en"/>
        </w:rPr>
        <w:t xml:space="preserve"> and Cointegration Test</w:t>
      </w:r>
    </w:p>
    <w:p w14:paraId="6223D898" w14:textId="42C87175" w:rsidR="00005962" w:rsidRDefault="007603D5" w:rsidP="00497F00">
      <w:pPr>
        <w:jc w:val="both"/>
        <w:rPr>
          <w:rFonts w:ascii="Times New Roman" w:hAnsi="Times New Roman" w:cs="Times New Roman"/>
          <w:lang w:val="en-US"/>
        </w:rPr>
      </w:pPr>
      <w:r>
        <w:rPr>
          <w:rFonts w:ascii="Times New Roman" w:hAnsi="Times New Roman" w:cs="Times New Roman"/>
          <w:lang w:val="en-US"/>
        </w:rPr>
        <w:t xml:space="preserve">The time series are first tested for the order of integration. </w:t>
      </w:r>
      <w:proofErr w:type="spellStart"/>
      <w:r w:rsidR="00925A2C">
        <w:rPr>
          <w:rFonts w:ascii="Times New Roman" w:hAnsi="Times New Roman" w:cs="Times New Roman"/>
          <w:lang w:val="en-US"/>
        </w:rPr>
        <w:t>Arltova</w:t>
      </w:r>
      <w:proofErr w:type="spellEnd"/>
      <w:r w:rsidR="00925A2C">
        <w:rPr>
          <w:rFonts w:ascii="Times New Roman" w:hAnsi="Times New Roman" w:cs="Times New Roman"/>
          <w:lang w:val="en-US"/>
        </w:rPr>
        <w:t xml:space="preserve"> and Fedorova</w:t>
      </w:r>
      <w:r w:rsidR="004777EB">
        <w:rPr>
          <w:rFonts w:ascii="Times New Roman" w:hAnsi="Times New Roman" w:cs="Times New Roman"/>
          <w:lang w:val="en-US"/>
        </w:rPr>
        <w:t xml:space="preserve"> (2016)</w:t>
      </w:r>
      <w:r w:rsidR="00D9059A">
        <w:rPr>
          <w:rFonts w:ascii="Times New Roman" w:hAnsi="Times New Roman" w:cs="Times New Roman"/>
          <w:lang w:val="en-US"/>
        </w:rPr>
        <w:t xml:space="preserve"> tested the properties of </w:t>
      </w:r>
      <w:r w:rsidR="00321507">
        <w:rPr>
          <w:rFonts w:ascii="Times New Roman" w:hAnsi="Times New Roman" w:cs="Times New Roman"/>
          <w:lang w:val="en-US"/>
        </w:rPr>
        <w:t>widely applied</w:t>
      </w:r>
      <w:r w:rsidR="00D9059A">
        <w:rPr>
          <w:rFonts w:ascii="Times New Roman" w:hAnsi="Times New Roman" w:cs="Times New Roman"/>
          <w:lang w:val="en-US"/>
        </w:rPr>
        <w:t xml:space="preserve"> unit root tests for different lengths of time series. As in our case the time series are very short</w:t>
      </w:r>
      <w:r w:rsidR="004777EB">
        <w:rPr>
          <w:rFonts w:ascii="Times New Roman" w:hAnsi="Times New Roman" w:cs="Times New Roman"/>
          <w:lang w:val="en-US"/>
        </w:rPr>
        <w:t xml:space="preserve"> </w:t>
      </w:r>
      <m:oMath>
        <m:r>
          <w:rPr>
            <w:rFonts w:ascii="Cambria Math" w:hAnsi="Cambria Math" w:cs="Times New Roman"/>
            <w:lang w:val="en-US"/>
          </w:rPr>
          <m:t>(n≈30)</m:t>
        </m:r>
      </m:oMath>
      <w:r w:rsidR="00D9059A">
        <w:rPr>
          <w:rFonts w:ascii="Times New Roman" w:hAnsi="Times New Roman" w:cs="Times New Roman"/>
          <w:lang w:val="en-US"/>
        </w:rPr>
        <w:t>, the most powerful tests are the ADF- und PP-tests</w:t>
      </w:r>
      <w:r w:rsidR="00164A6E">
        <w:rPr>
          <w:rFonts w:ascii="Times New Roman" w:hAnsi="Times New Roman" w:cs="Times New Roman"/>
          <w:lang w:val="en-US"/>
        </w:rPr>
        <w:t>, irrespective of the AR-term</w:t>
      </w:r>
      <w:r w:rsidR="00D9059A">
        <w:rPr>
          <w:rFonts w:ascii="Times New Roman" w:hAnsi="Times New Roman" w:cs="Times New Roman"/>
          <w:lang w:val="en-US"/>
        </w:rPr>
        <w:t xml:space="preserve">. </w:t>
      </w:r>
      <w:r w:rsidR="004777EB">
        <w:rPr>
          <w:rFonts w:ascii="Times New Roman" w:hAnsi="Times New Roman" w:cs="Times New Roman"/>
          <w:lang w:val="en-US"/>
        </w:rPr>
        <w:t>The following table reports test results for ADF- and PP-test with a constant.</w:t>
      </w:r>
    </w:p>
    <w:p w14:paraId="3F743E00" w14:textId="26925945" w:rsidR="00DD3742" w:rsidRDefault="00DD3742" w:rsidP="00497F00">
      <w:pPr>
        <w:jc w:val="both"/>
        <w:rPr>
          <w:rFonts w:ascii="Times New Roman" w:hAnsi="Times New Roman" w:cs="Times New Roman"/>
          <w:lang w:val="en-US"/>
        </w:rPr>
      </w:pPr>
    </w:p>
    <w:p w14:paraId="57776430" w14:textId="1A4B6127" w:rsidR="00FF360C" w:rsidRDefault="00FF360C" w:rsidP="00497F00">
      <w:pPr>
        <w:jc w:val="both"/>
        <w:rPr>
          <w:rFonts w:ascii="Times New Roman" w:hAnsi="Times New Roman" w:cs="Times New Roman"/>
          <w:lang w:val="en-US"/>
        </w:rPr>
      </w:pPr>
    </w:p>
    <w:p w14:paraId="58DAD53B" w14:textId="77777777" w:rsidR="00FF360C" w:rsidRDefault="00FF360C" w:rsidP="00497F00">
      <w:pPr>
        <w:jc w:val="both"/>
        <w:rPr>
          <w:rFonts w:ascii="Times New Roman" w:hAnsi="Times New Roman" w:cs="Times New Roman"/>
          <w:lang w:val="en-US"/>
        </w:rPr>
      </w:pPr>
    </w:p>
    <w:p w14:paraId="3E409F75" w14:textId="4C7E9B48" w:rsidR="00DD3742" w:rsidRDefault="00DD3742" w:rsidP="00497F00">
      <w:pPr>
        <w:jc w:val="both"/>
        <w:rPr>
          <w:rFonts w:ascii="Times New Roman" w:hAnsi="Times New Roman" w:cs="Times New Roman"/>
          <w:lang w:val="en-US"/>
        </w:rPr>
      </w:pPr>
      <w:r>
        <w:rPr>
          <w:rFonts w:ascii="Times New Roman" w:hAnsi="Times New Roman" w:cs="Times New Roman"/>
          <w:lang w:val="en-US"/>
        </w:rPr>
        <w:lastRenderedPageBreak/>
        <w:t>Table 2: Unit Root Tests</w:t>
      </w:r>
    </w:p>
    <w:tbl>
      <w:tblPr>
        <w:tblW w:w="7900" w:type="dxa"/>
        <w:tblCellMar>
          <w:left w:w="70" w:type="dxa"/>
          <w:right w:w="70" w:type="dxa"/>
        </w:tblCellMar>
        <w:tblLook w:val="04A0" w:firstRow="1" w:lastRow="0" w:firstColumn="1" w:lastColumn="0" w:noHBand="0" w:noVBand="1"/>
      </w:tblPr>
      <w:tblGrid>
        <w:gridCol w:w="980"/>
        <w:gridCol w:w="940"/>
        <w:gridCol w:w="1160"/>
        <w:gridCol w:w="1080"/>
        <w:gridCol w:w="1580"/>
        <w:gridCol w:w="960"/>
        <w:gridCol w:w="1200"/>
      </w:tblGrid>
      <w:tr w:rsidR="00DD3742" w:rsidRPr="00DD3742" w14:paraId="425C4697" w14:textId="77777777" w:rsidTr="00DD3742">
        <w:trPr>
          <w:trHeight w:val="280"/>
        </w:trPr>
        <w:tc>
          <w:tcPr>
            <w:tcW w:w="980" w:type="dxa"/>
            <w:tcBorders>
              <w:top w:val="single" w:sz="4" w:space="0" w:color="auto"/>
              <w:left w:val="nil"/>
              <w:bottom w:val="nil"/>
              <w:right w:val="nil"/>
            </w:tcBorders>
            <w:shd w:val="clear" w:color="auto" w:fill="auto"/>
            <w:noWrap/>
            <w:vAlign w:val="bottom"/>
            <w:hideMark/>
          </w:tcPr>
          <w:p w14:paraId="40F6535B"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Variable</w:t>
            </w:r>
          </w:p>
        </w:tc>
        <w:tc>
          <w:tcPr>
            <w:tcW w:w="940" w:type="dxa"/>
            <w:tcBorders>
              <w:top w:val="single" w:sz="4" w:space="0" w:color="auto"/>
              <w:left w:val="nil"/>
              <w:bottom w:val="nil"/>
              <w:right w:val="nil"/>
            </w:tcBorders>
            <w:shd w:val="clear" w:color="auto" w:fill="auto"/>
            <w:noWrap/>
            <w:vAlign w:val="bottom"/>
            <w:hideMark/>
          </w:tcPr>
          <w:p w14:paraId="44E8B1E9"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Test</w:t>
            </w:r>
          </w:p>
        </w:tc>
        <w:tc>
          <w:tcPr>
            <w:tcW w:w="1160" w:type="dxa"/>
            <w:tcBorders>
              <w:top w:val="single" w:sz="4" w:space="0" w:color="auto"/>
              <w:left w:val="nil"/>
              <w:bottom w:val="nil"/>
              <w:right w:val="nil"/>
            </w:tcBorders>
            <w:shd w:val="clear" w:color="auto" w:fill="auto"/>
            <w:noWrap/>
            <w:vAlign w:val="bottom"/>
            <w:hideMark/>
          </w:tcPr>
          <w:p w14:paraId="2DFE080B"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Level</w:t>
            </w:r>
          </w:p>
        </w:tc>
        <w:tc>
          <w:tcPr>
            <w:tcW w:w="1080" w:type="dxa"/>
            <w:tcBorders>
              <w:top w:val="single" w:sz="4" w:space="0" w:color="auto"/>
              <w:left w:val="nil"/>
              <w:bottom w:val="nil"/>
              <w:right w:val="nil"/>
            </w:tcBorders>
            <w:shd w:val="clear" w:color="auto" w:fill="auto"/>
            <w:noWrap/>
            <w:vAlign w:val="bottom"/>
            <w:hideMark/>
          </w:tcPr>
          <w:p w14:paraId="05876405"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p-Value</w:t>
            </w:r>
          </w:p>
        </w:tc>
        <w:tc>
          <w:tcPr>
            <w:tcW w:w="1580" w:type="dxa"/>
            <w:tcBorders>
              <w:top w:val="single" w:sz="4" w:space="0" w:color="auto"/>
              <w:left w:val="nil"/>
              <w:bottom w:val="nil"/>
              <w:right w:val="nil"/>
            </w:tcBorders>
            <w:shd w:val="clear" w:color="auto" w:fill="auto"/>
            <w:noWrap/>
            <w:vAlign w:val="bottom"/>
            <w:hideMark/>
          </w:tcPr>
          <w:p w14:paraId="3614B503"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 xml:space="preserve">First </w:t>
            </w:r>
            <w:proofErr w:type="spellStart"/>
            <w:r w:rsidRPr="00DD3742">
              <w:rPr>
                <w:rFonts w:ascii="Times New Roman" w:eastAsia="Times New Roman" w:hAnsi="Times New Roman" w:cs="Times New Roman"/>
                <w:color w:val="000000"/>
                <w:lang w:eastAsia="de-DE"/>
              </w:rPr>
              <w:t>Difference</w:t>
            </w:r>
            <w:proofErr w:type="spellEnd"/>
          </w:p>
        </w:tc>
        <w:tc>
          <w:tcPr>
            <w:tcW w:w="960" w:type="dxa"/>
            <w:tcBorders>
              <w:top w:val="single" w:sz="4" w:space="0" w:color="auto"/>
              <w:left w:val="nil"/>
              <w:bottom w:val="nil"/>
              <w:right w:val="nil"/>
            </w:tcBorders>
            <w:shd w:val="clear" w:color="auto" w:fill="auto"/>
            <w:noWrap/>
            <w:vAlign w:val="bottom"/>
            <w:hideMark/>
          </w:tcPr>
          <w:p w14:paraId="5370F979"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p-Value</w:t>
            </w:r>
          </w:p>
        </w:tc>
        <w:tc>
          <w:tcPr>
            <w:tcW w:w="1200" w:type="dxa"/>
            <w:tcBorders>
              <w:top w:val="single" w:sz="4" w:space="0" w:color="auto"/>
              <w:left w:val="nil"/>
              <w:bottom w:val="nil"/>
              <w:right w:val="nil"/>
            </w:tcBorders>
            <w:shd w:val="clear" w:color="auto" w:fill="auto"/>
            <w:noWrap/>
            <w:vAlign w:val="bottom"/>
            <w:hideMark/>
          </w:tcPr>
          <w:p w14:paraId="301F7871"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proofErr w:type="spellStart"/>
            <w:r w:rsidRPr="00DD3742">
              <w:rPr>
                <w:rFonts w:ascii="Times New Roman" w:eastAsia="Times New Roman" w:hAnsi="Times New Roman" w:cs="Times New Roman"/>
                <w:color w:val="000000"/>
                <w:lang w:eastAsia="de-DE"/>
              </w:rPr>
              <w:t>Conclusion</w:t>
            </w:r>
            <w:proofErr w:type="spellEnd"/>
          </w:p>
        </w:tc>
      </w:tr>
      <w:tr w:rsidR="00DD3742" w:rsidRPr="00DD3742" w14:paraId="7FC900D9" w14:textId="77777777" w:rsidTr="00DD3742">
        <w:trPr>
          <w:trHeight w:val="280"/>
        </w:trPr>
        <w:tc>
          <w:tcPr>
            <w:tcW w:w="980" w:type="dxa"/>
            <w:tcBorders>
              <w:top w:val="single" w:sz="4" w:space="0" w:color="auto"/>
              <w:left w:val="nil"/>
              <w:bottom w:val="nil"/>
              <w:right w:val="nil"/>
            </w:tcBorders>
            <w:shd w:val="clear" w:color="auto" w:fill="auto"/>
            <w:noWrap/>
            <w:vAlign w:val="bottom"/>
            <w:hideMark/>
          </w:tcPr>
          <w:p w14:paraId="690CE9E4"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MI</w:t>
            </w:r>
          </w:p>
        </w:tc>
        <w:tc>
          <w:tcPr>
            <w:tcW w:w="940" w:type="dxa"/>
            <w:tcBorders>
              <w:top w:val="single" w:sz="4" w:space="0" w:color="auto"/>
              <w:left w:val="nil"/>
              <w:bottom w:val="nil"/>
              <w:right w:val="nil"/>
            </w:tcBorders>
            <w:shd w:val="clear" w:color="auto" w:fill="auto"/>
            <w:noWrap/>
            <w:vAlign w:val="bottom"/>
            <w:hideMark/>
          </w:tcPr>
          <w:p w14:paraId="2F75C445"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ADF</w:t>
            </w:r>
          </w:p>
        </w:tc>
        <w:tc>
          <w:tcPr>
            <w:tcW w:w="1160" w:type="dxa"/>
            <w:tcBorders>
              <w:top w:val="single" w:sz="4" w:space="0" w:color="auto"/>
              <w:left w:val="nil"/>
              <w:bottom w:val="nil"/>
              <w:right w:val="nil"/>
            </w:tcBorders>
            <w:shd w:val="clear" w:color="auto" w:fill="auto"/>
            <w:noWrap/>
            <w:vAlign w:val="bottom"/>
            <w:hideMark/>
          </w:tcPr>
          <w:p w14:paraId="53F748E2"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-2.517809</w:t>
            </w:r>
          </w:p>
        </w:tc>
        <w:tc>
          <w:tcPr>
            <w:tcW w:w="1080" w:type="dxa"/>
            <w:tcBorders>
              <w:top w:val="single" w:sz="4" w:space="0" w:color="auto"/>
              <w:left w:val="nil"/>
              <w:bottom w:val="nil"/>
              <w:right w:val="nil"/>
            </w:tcBorders>
            <w:shd w:val="clear" w:color="auto" w:fill="auto"/>
            <w:noWrap/>
            <w:vAlign w:val="bottom"/>
            <w:hideMark/>
          </w:tcPr>
          <w:p w14:paraId="50B3DA52"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 xml:space="preserve"> 0.1218</w:t>
            </w:r>
          </w:p>
        </w:tc>
        <w:tc>
          <w:tcPr>
            <w:tcW w:w="1580" w:type="dxa"/>
            <w:tcBorders>
              <w:top w:val="single" w:sz="4" w:space="0" w:color="auto"/>
              <w:left w:val="nil"/>
              <w:bottom w:val="nil"/>
              <w:right w:val="nil"/>
            </w:tcBorders>
            <w:shd w:val="clear" w:color="auto" w:fill="auto"/>
            <w:noWrap/>
            <w:vAlign w:val="bottom"/>
            <w:hideMark/>
          </w:tcPr>
          <w:p w14:paraId="1ECB5BED"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-3.943042</w:t>
            </w:r>
          </w:p>
        </w:tc>
        <w:tc>
          <w:tcPr>
            <w:tcW w:w="960" w:type="dxa"/>
            <w:tcBorders>
              <w:top w:val="single" w:sz="4" w:space="0" w:color="auto"/>
              <w:left w:val="nil"/>
              <w:bottom w:val="nil"/>
              <w:right w:val="nil"/>
            </w:tcBorders>
            <w:shd w:val="clear" w:color="auto" w:fill="auto"/>
            <w:noWrap/>
            <w:vAlign w:val="bottom"/>
            <w:hideMark/>
          </w:tcPr>
          <w:p w14:paraId="7A92484B"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 xml:space="preserve"> 0.0053</w:t>
            </w:r>
          </w:p>
        </w:tc>
        <w:tc>
          <w:tcPr>
            <w:tcW w:w="1200" w:type="dxa"/>
            <w:tcBorders>
              <w:top w:val="single" w:sz="4" w:space="0" w:color="auto"/>
              <w:left w:val="nil"/>
              <w:bottom w:val="nil"/>
              <w:right w:val="nil"/>
            </w:tcBorders>
            <w:shd w:val="clear" w:color="auto" w:fill="auto"/>
            <w:noWrap/>
            <w:vAlign w:val="bottom"/>
            <w:hideMark/>
          </w:tcPr>
          <w:p w14:paraId="58EC6419"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proofErr w:type="gramStart"/>
            <w:r w:rsidRPr="00DD3742">
              <w:rPr>
                <w:rFonts w:ascii="Times New Roman" w:eastAsia="Times New Roman" w:hAnsi="Times New Roman" w:cs="Times New Roman"/>
                <w:color w:val="000000"/>
                <w:lang w:eastAsia="de-DE"/>
              </w:rPr>
              <w:t>I(</w:t>
            </w:r>
            <w:proofErr w:type="gramEnd"/>
            <w:r w:rsidRPr="00DD3742">
              <w:rPr>
                <w:rFonts w:ascii="Times New Roman" w:eastAsia="Times New Roman" w:hAnsi="Times New Roman" w:cs="Times New Roman"/>
                <w:color w:val="000000"/>
                <w:lang w:eastAsia="de-DE"/>
              </w:rPr>
              <w:t>1)</w:t>
            </w:r>
          </w:p>
        </w:tc>
      </w:tr>
      <w:tr w:rsidR="00DD3742" w:rsidRPr="00DD3742" w14:paraId="232359CF" w14:textId="77777777" w:rsidTr="00DD3742">
        <w:trPr>
          <w:trHeight w:val="280"/>
        </w:trPr>
        <w:tc>
          <w:tcPr>
            <w:tcW w:w="980" w:type="dxa"/>
            <w:tcBorders>
              <w:top w:val="nil"/>
              <w:left w:val="nil"/>
              <w:bottom w:val="nil"/>
              <w:right w:val="nil"/>
            </w:tcBorders>
            <w:shd w:val="clear" w:color="auto" w:fill="auto"/>
            <w:noWrap/>
            <w:vAlign w:val="bottom"/>
            <w:hideMark/>
          </w:tcPr>
          <w:p w14:paraId="5D328901"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p>
        </w:tc>
        <w:tc>
          <w:tcPr>
            <w:tcW w:w="940" w:type="dxa"/>
            <w:tcBorders>
              <w:top w:val="nil"/>
              <w:left w:val="nil"/>
              <w:bottom w:val="nil"/>
              <w:right w:val="nil"/>
            </w:tcBorders>
            <w:shd w:val="clear" w:color="auto" w:fill="auto"/>
            <w:noWrap/>
            <w:vAlign w:val="bottom"/>
            <w:hideMark/>
          </w:tcPr>
          <w:p w14:paraId="76BED516"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PP</w:t>
            </w:r>
          </w:p>
        </w:tc>
        <w:tc>
          <w:tcPr>
            <w:tcW w:w="1160" w:type="dxa"/>
            <w:tcBorders>
              <w:top w:val="nil"/>
              <w:left w:val="nil"/>
              <w:bottom w:val="nil"/>
              <w:right w:val="nil"/>
            </w:tcBorders>
            <w:shd w:val="clear" w:color="auto" w:fill="auto"/>
            <w:noWrap/>
            <w:vAlign w:val="bottom"/>
            <w:hideMark/>
          </w:tcPr>
          <w:p w14:paraId="12019226"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-1.711471</w:t>
            </w:r>
          </w:p>
        </w:tc>
        <w:tc>
          <w:tcPr>
            <w:tcW w:w="1080" w:type="dxa"/>
            <w:tcBorders>
              <w:top w:val="nil"/>
              <w:left w:val="nil"/>
              <w:bottom w:val="nil"/>
              <w:right w:val="nil"/>
            </w:tcBorders>
            <w:shd w:val="clear" w:color="auto" w:fill="auto"/>
            <w:noWrap/>
            <w:vAlign w:val="bottom"/>
            <w:hideMark/>
          </w:tcPr>
          <w:p w14:paraId="615077AC"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 xml:space="preserve"> 0.4155</w:t>
            </w:r>
          </w:p>
        </w:tc>
        <w:tc>
          <w:tcPr>
            <w:tcW w:w="1580" w:type="dxa"/>
            <w:tcBorders>
              <w:top w:val="nil"/>
              <w:left w:val="nil"/>
              <w:bottom w:val="nil"/>
              <w:right w:val="nil"/>
            </w:tcBorders>
            <w:shd w:val="clear" w:color="auto" w:fill="auto"/>
            <w:noWrap/>
            <w:vAlign w:val="bottom"/>
            <w:hideMark/>
          </w:tcPr>
          <w:p w14:paraId="670BE057"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-4.058384</w:t>
            </w:r>
          </w:p>
        </w:tc>
        <w:tc>
          <w:tcPr>
            <w:tcW w:w="960" w:type="dxa"/>
            <w:tcBorders>
              <w:top w:val="nil"/>
              <w:left w:val="nil"/>
              <w:bottom w:val="nil"/>
              <w:right w:val="nil"/>
            </w:tcBorders>
            <w:shd w:val="clear" w:color="auto" w:fill="auto"/>
            <w:noWrap/>
            <w:vAlign w:val="bottom"/>
            <w:hideMark/>
          </w:tcPr>
          <w:p w14:paraId="4DAA6829"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 xml:space="preserve"> 0.0040</w:t>
            </w:r>
          </w:p>
        </w:tc>
        <w:tc>
          <w:tcPr>
            <w:tcW w:w="1200" w:type="dxa"/>
            <w:tcBorders>
              <w:top w:val="nil"/>
              <w:left w:val="nil"/>
              <w:bottom w:val="nil"/>
              <w:right w:val="nil"/>
            </w:tcBorders>
            <w:shd w:val="clear" w:color="auto" w:fill="auto"/>
            <w:noWrap/>
            <w:vAlign w:val="bottom"/>
            <w:hideMark/>
          </w:tcPr>
          <w:p w14:paraId="1D6ABEB8"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proofErr w:type="gramStart"/>
            <w:r w:rsidRPr="00DD3742">
              <w:rPr>
                <w:rFonts w:ascii="Times New Roman" w:eastAsia="Times New Roman" w:hAnsi="Times New Roman" w:cs="Times New Roman"/>
                <w:color w:val="000000"/>
                <w:lang w:eastAsia="de-DE"/>
              </w:rPr>
              <w:t>I(</w:t>
            </w:r>
            <w:proofErr w:type="gramEnd"/>
            <w:r w:rsidRPr="00DD3742">
              <w:rPr>
                <w:rFonts w:ascii="Times New Roman" w:eastAsia="Times New Roman" w:hAnsi="Times New Roman" w:cs="Times New Roman"/>
                <w:color w:val="000000"/>
                <w:lang w:eastAsia="de-DE"/>
              </w:rPr>
              <w:t>1)</w:t>
            </w:r>
          </w:p>
        </w:tc>
      </w:tr>
      <w:tr w:rsidR="00DD3742" w:rsidRPr="00DD3742" w14:paraId="6776879A" w14:textId="77777777" w:rsidTr="00DD3742">
        <w:trPr>
          <w:trHeight w:val="280"/>
        </w:trPr>
        <w:tc>
          <w:tcPr>
            <w:tcW w:w="980" w:type="dxa"/>
            <w:tcBorders>
              <w:top w:val="single" w:sz="4" w:space="0" w:color="auto"/>
              <w:left w:val="nil"/>
              <w:bottom w:val="nil"/>
              <w:right w:val="nil"/>
            </w:tcBorders>
            <w:shd w:val="clear" w:color="auto" w:fill="auto"/>
            <w:noWrap/>
            <w:vAlign w:val="bottom"/>
            <w:hideMark/>
          </w:tcPr>
          <w:p w14:paraId="1E39202F"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CIR</w:t>
            </w:r>
          </w:p>
        </w:tc>
        <w:tc>
          <w:tcPr>
            <w:tcW w:w="940" w:type="dxa"/>
            <w:tcBorders>
              <w:top w:val="single" w:sz="4" w:space="0" w:color="auto"/>
              <w:left w:val="nil"/>
              <w:bottom w:val="nil"/>
              <w:right w:val="nil"/>
            </w:tcBorders>
            <w:shd w:val="clear" w:color="auto" w:fill="auto"/>
            <w:noWrap/>
            <w:vAlign w:val="bottom"/>
            <w:hideMark/>
          </w:tcPr>
          <w:p w14:paraId="10947794"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ADF</w:t>
            </w:r>
          </w:p>
        </w:tc>
        <w:tc>
          <w:tcPr>
            <w:tcW w:w="1160" w:type="dxa"/>
            <w:tcBorders>
              <w:top w:val="single" w:sz="4" w:space="0" w:color="auto"/>
              <w:left w:val="nil"/>
              <w:bottom w:val="nil"/>
              <w:right w:val="nil"/>
            </w:tcBorders>
            <w:shd w:val="clear" w:color="auto" w:fill="auto"/>
            <w:noWrap/>
            <w:vAlign w:val="bottom"/>
            <w:hideMark/>
          </w:tcPr>
          <w:p w14:paraId="2ABC2DB4"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-1.327374</w:t>
            </w:r>
          </w:p>
        </w:tc>
        <w:tc>
          <w:tcPr>
            <w:tcW w:w="1080" w:type="dxa"/>
            <w:tcBorders>
              <w:top w:val="single" w:sz="4" w:space="0" w:color="auto"/>
              <w:left w:val="nil"/>
              <w:bottom w:val="nil"/>
              <w:right w:val="nil"/>
            </w:tcBorders>
            <w:shd w:val="clear" w:color="auto" w:fill="auto"/>
            <w:noWrap/>
            <w:vAlign w:val="bottom"/>
            <w:hideMark/>
          </w:tcPr>
          <w:p w14:paraId="10320A11"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 xml:space="preserve"> 0.6012</w:t>
            </w:r>
          </w:p>
        </w:tc>
        <w:tc>
          <w:tcPr>
            <w:tcW w:w="1580" w:type="dxa"/>
            <w:tcBorders>
              <w:top w:val="single" w:sz="4" w:space="0" w:color="auto"/>
              <w:left w:val="nil"/>
              <w:bottom w:val="nil"/>
              <w:right w:val="nil"/>
            </w:tcBorders>
            <w:shd w:val="clear" w:color="auto" w:fill="auto"/>
            <w:noWrap/>
            <w:vAlign w:val="bottom"/>
            <w:hideMark/>
          </w:tcPr>
          <w:p w14:paraId="6AB8E013"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-5.754666</w:t>
            </w:r>
          </w:p>
        </w:tc>
        <w:tc>
          <w:tcPr>
            <w:tcW w:w="960" w:type="dxa"/>
            <w:tcBorders>
              <w:top w:val="single" w:sz="4" w:space="0" w:color="auto"/>
              <w:left w:val="nil"/>
              <w:bottom w:val="nil"/>
              <w:right w:val="nil"/>
            </w:tcBorders>
            <w:shd w:val="clear" w:color="auto" w:fill="auto"/>
            <w:noWrap/>
            <w:vAlign w:val="bottom"/>
            <w:hideMark/>
          </w:tcPr>
          <w:p w14:paraId="5179380E"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 xml:space="preserve"> 0.0001</w:t>
            </w:r>
          </w:p>
        </w:tc>
        <w:tc>
          <w:tcPr>
            <w:tcW w:w="1200" w:type="dxa"/>
            <w:tcBorders>
              <w:top w:val="single" w:sz="4" w:space="0" w:color="auto"/>
              <w:left w:val="nil"/>
              <w:bottom w:val="nil"/>
              <w:right w:val="nil"/>
            </w:tcBorders>
            <w:shd w:val="clear" w:color="auto" w:fill="auto"/>
            <w:noWrap/>
            <w:vAlign w:val="bottom"/>
            <w:hideMark/>
          </w:tcPr>
          <w:p w14:paraId="3268544B"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proofErr w:type="gramStart"/>
            <w:r w:rsidRPr="00DD3742">
              <w:rPr>
                <w:rFonts w:ascii="Times New Roman" w:eastAsia="Times New Roman" w:hAnsi="Times New Roman" w:cs="Times New Roman"/>
                <w:color w:val="000000"/>
                <w:lang w:eastAsia="de-DE"/>
              </w:rPr>
              <w:t>I(</w:t>
            </w:r>
            <w:proofErr w:type="gramEnd"/>
            <w:r w:rsidRPr="00DD3742">
              <w:rPr>
                <w:rFonts w:ascii="Times New Roman" w:eastAsia="Times New Roman" w:hAnsi="Times New Roman" w:cs="Times New Roman"/>
                <w:color w:val="000000"/>
                <w:lang w:eastAsia="de-DE"/>
              </w:rPr>
              <w:t>1)</w:t>
            </w:r>
          </w:p>
        </w:tc>
      </w:tr>
      <w:tr w:rsidR="00DD3742" w:rsidRPr="00DD3742" w14:paraId="68C979D3" w14:textId="77777777" w:rsidTr="00DD3742">
        <w:trPr>
          <w:trHeight w:val="280"/>
        </w:trPr>
        <w:tc>
          <w:tcPr>
            <w:tcW w:w="980" w:type="dxa"/>
            <w:tcBorders>
              <w:top w:val="nil"/>
              <w:left w:val="nil"/>
              <w:bottom w:val="nil"/>
              <w:right w:val="nil"/>
            </w:tcBorders>
            <w:shd w:val="clear" w:color="auto" w:fill="auto"/>
            <w:noWrap/>
            <w:vAlign w:val="bottom"/>
            <w:hideMark/>
          </w:tcPr>
          <w:p w14:paraId="493D0E4A"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p>
        </w:tc>
        <w:tc>
          <w:tcPr>
            <w:tcW w:w="940" w:type="dxa"/>
            <w:tcBorders>
              <w:top w:val="nil"/>
              <w:left w:val="nil"/>
              <w:bottom w:val="nil"/>
              <w:right w:val="nil"/>
            </w:tcBorders>
            <w:shd w:val="clear" w:color="auto" w:fill="auto"/>
            <w:noWrap/>
            <w:vAlign w:val="bottom"/>
            <w:hideMark/>
          </w:tcPr>
          <w:p w14:paraId="465A0393"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PP</w:t>
            </w:r>
          </w:p>
        </w:tc>
        <w:tc>
          <w:tcPr>
            <w:tcW w:w="1160" w:type="dxa"/>
            <w:tcBorders>
              <w:top w:val="nil"/>
              <w:left w:val="nil"/>
              <w:bottom w:val="nil"/>
              <w:right w:val="nil"/>
            </w:tcBorders>
            <w:shd w:val="clear" w:color="auto" w:fill="auto"/>
            <w:noWrap/>
            <w:vAlign w:val="bottom"/>
            <w:hideMark/>
          </w:tcPr>
          <w:p w14:paraId="0647FE50"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-1.193900</w:t>
            </w:r>
          </w:p>
        </w:tc>
        <w:tc>
          <w:tcPr>
            <w:tcW w:w="1080" w:type="dxa"/>
            <w:tcBorders>
              <w:top w:val="nil"/>
              <w:left w:val="nil"/>
              <w:bottom w:val="nil"/>
              <w:right w:val="nil"/>
            </w:tcBorders>
            <w:shd w:val="clear" w:color="auto" w:fill="auto"/>
            <w:noWrap/>
            <w:vAlign w:val="bottom"/>
            <w:hideMark/>
          </w:tcPr>
          <w:p w14:paraId="12F409B9"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 xml:space="preserve"> 0.6613</w:t>
            </w:r>
          </w:p>
        </w:tc>
        <w:tc>
          <w:tcPr>
            <w:tcW w:w="1580" w:type="dxa"/>
            <w:tcBorders>
              <w:top w:val="nil"/>
              <w:left w:val="nil"/>
              <w:bottom w:val="nil"/>
              <w:right w:val="nil"/>
            </w:tcBorders>
            <w:shd w:val="clear" w:color="auto" w:fill="auto"/>
            <w:noWrap/>
            <w:vAlign w:val="bottom"/>
            <w:hideMark/>
          </w:tcPr>
          <w:p w14:paraId="3725BCB3"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-5.810889</w:t>
            </w:r>
          </w:p>
        </w:tc>
        <w:tc>
          <w:tcPr>
            <w:tcW w:w="960" w:type="dxa"/>
            <w:tcBorders>
              <w:top w:val="nil"/>
              <w:left w:val="nil"/>
              <w:bottom w:val="nil"/>
              <w:right w:val="nil"/>
            </w:tcBorders>
            <w:shd w:val="clear" w:color="auto" w:fill="auto"/>
            <w:noWrap/>
            <w:vAlign w:val="bottom"/>
            <w:hideMark/>
          </w:tcPr>
          <w:p w14:paraId="3DC4E53C"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 xml:space="preserve"> 0.0001</w:t>
            </w:r>
          </w:p>
        </w:tc>
        <w:tc>
          <w:tcPr>
            <w:tcW w:w="1200" w:type="dxa"/>
            <w:tcBorders>
              <w:top w:val="nil"/>
              <w:left w:val="nil"/>
              <w:bottom w:val="nil"/>
              <w:right w:val="nil"/>
            </w:tcBorders>
            <w:shd w:val="clear" w:color="auto" w:fill="auto"/>
            <w:noWrap/>
            <w:vAlign w:val="bottom"/>
            <w:hideMark/>
          </w:tcPr>
          <w:p w14:paraId="459B1034"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proofErr w:type="gramStart"/>
            <w:r w:rsidRPr="00DD3742">
              <w:rPr>
                <w:rFonts w:ascii="Times New Roman" w:eastAsia="Times New Roman" w:hAnsi="Times New Roman" w:cs="Times New Roman"/>
                <w:color w:val="000000"/>
                <w:lang w:eastAsia="de-DE"/>
              </w:rPr>
              <w:t>I(</w:t>
            </w:r>
            <w:proofErr w:type="gramEnd"/>
            <w:r w:rsidRPr="00DD3742">
              <w:rPr>
                <w:rFonts w:ascii="Times New Roman" w:eastAsia="Times New Roman" w:hAnsi="Times New Roman" w:cs="Times New Roman"/>
                <w:color w:val="000000"/>
                <w:lang w:eastAsia="de-DE"/>
              </w:rPr>
              <w:t>1)</w:t>
            </w:r>
          </w:p>
        </w:tc>
      </w:tr>
      <w:tr w:rsidR="00DD3742" w:rsidRPr="00DD3742" w14:paraId="5E77D436" w14:textId="77777777" w:rsidTr="00DD3742">
        <w:trPr>
          <w:trHeight w:val="280"/>
        </w:trPr>
        <w:tc>
          <w:tcPr>
            <w:tcW w:w="980" w:type="dxa"/>
            <w:tcBorders>
              <w:top w:val="single" w:sz="4" w:space="0" w:color="auto"/>
              <w:left w:val="nil"/>
              <w:bottom w:val="nil"/>
              <w:right w:val="nil"/>
            </w:tcBorders>
            <w:shd w:val="clear" w:color="auto" w:fill="auto"/>
            <w:noWrap/>
            <w:vAlign w:val="bottom"/>
            <w:hideMark/>
          </w:tcPr>
          <w:p w14:paraId="145372D0"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ROE</w:t>
            </w:r>
          </w:p>
        </w:tc>
        <w:tc>
          <w:tcPr>
            <w:tcW w:w="940" w:type="dxa"/>
            <w:tcBorders>
              <w:top w:val="single" w:sz="4" w:space="0" w:color="auto"/>
              <w:left w:val="nil"/>
              <w:bottom w:val="nil"/>
              <w:right w:val="nil"/>
            </w:tcBorders>
            <w:shd w:val="clear" w:color="auto" w:fill="auto"/>
            <w:noWrap/>
            <w:vAlign w:val="bottom"/>
            <w:hideMark/>
          </w:tcPr>
          <w:p w14:paraId="60686343"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ADF</w:t>
            </w:r>
          </w:p>
        </w:tc>
        <w:tc>
          <w:tcPr>
            <w:tcW w:w="1160" w:type="dxa"/>
            <w:tcBorders>
              <w:top w:val="single" w:sz="4" w:space="0" w:color="auto"/>
              <w:left w:val="nil"/>
              <w:bottom w:val="nil"/>
              <w:right w:val="nil"/>
            </w:tcBorders>
            <w:shd w:val="clear" w:color="auto" w:fill="auto"/>
            <w:noWrap/>
            <w:vAlign w:val="bottom"/>
            <w:hideMark/>
          </w:tcPr>
          <w:p w14:paraId="1FB4E90B"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-3.603950</w:t>
            </w:r>
          </w:p>
        </w:tc>
        <w:tc>
          <w:tcPr>
            <w:tcW w:w="1080" w:type="dxa"/>
            <w:tcBorders>
              <w:top w:val="single" w:sz="4" w:space="0" w:color="auto"/>
              <w:left w:val="nil"/>
              <w:bottom w:val="nil"/>
              <w:right w:val="nil"/>
            </w:tcBorders>
            <w:shd w:val="clear" w:color="auto" w:fill="auto"/>
            <w:noWrap/>
            <w:vAlign w:val="bottom"/>
            <w:hideMark/>
          </w:tcPr>
          <w:p w14:paraId="7A5D0D74"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 xml:space="preserve"> 0.0128</w:t>
            </w:r>
          </w:p>
        </w:tc>
        <w:tc>
          <w:tcPr>
            <w:tcW w:w="1580" w:type="dxa"/>
            <w:tcBorders>
              <w:top w:val="single" w:sz="4" w:space="0" w:color="auto"/>
              <w:left w:val="nil"/>
              <w:bottom w:val="nil"/>
              <w:right w:val="nil"/>
            </w:tcBorders>
            <w:shd w:val="clear" w:color="auto" w:fill="auto"/>
            <w:noWrap/>
            <w:vAlign w:val="bottom"/>
            <w:hideMark/>
          </w:tcPr>
          <w:p w14:paraId="5EDA1FC3"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-3.844755</w:t>
            </w:r>
          </w:p>
        </w:tc>
        <w:tc>
          <w:tcPr>
            <w:tcW w:w="960" w:type="dxa"/>
            <w:tcBorders>
              <w:top w:val="single" w:sz="4" w:space="0" w:color="auto"/>
              <w:left w:val="nil"/>
              <w:bottom w:val="nil"/>
              <w:right w:val="nil"/>
            </w:tcBorders>
            <w:shd w:val="clear" w:color="auto" w:fill="auto"/>
            <w:noWrap/>
            <w:vAlign w:val="bottom"/>
            <w:hideMark/>
          </w:tcPr>
          <w:p w14:paraId="71016928"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 xml:space="preserve"> 0.0073</w:t>
            </w:r>
          </w:p>
        </w:tc>
        <w:tc>
          <w:tcPr>
            <w:tcW w:w="1200" w:type="dxa"/>
            <w:tcBorders>
              <w:top w:val="single" w:sz="4" w:space="0" w:color="auto"/>
              <w:left w:val="nil"/>
              <w:bottom w:val="nil"/>
              <w:right w:val="nil"/>
            </w:tcBorders>
            <w:shd w:val="clear" w:color="auto" w:fill="auto"/>
            <w:noWrap/>
            <w:vAlign w:val="bottom"/>
            <w:hideMark/>
          </w:tcPr>
          <w:p w14:paraId="5E2C2442"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proofErr w:type="gramStart"/>
            <w:r w:rsidRPr="00DD3742">
              <w:rPr>
                <w:rFonts w:ascii="Times New Roman" w:eastAsia="Times New Roman" w:hAnsi="Times New Roman" w:cs="Times New Roman"/>
                <w:color w:val="000000"/>
                <w:lang w:eastAsia="de-DE"/>
              </w:rPr>
              <w:t>I(</w:t>
            </w:r>
            <w:proofErr w:type="gramEnd"/>
            <w:r w:rsidRPr="00DD3742">
              <w:rPr>
                <w:rFonts w:ascii="Times New Roman" w:eastAsia="Times New Roman" w:hAnsi="Times New Roman" w:cs="Times New Roman"/>
                <w:color w:val="000000"/>
                <w:lang w:eastAsia="de-DE"/>
              </w:rPr>
              <w:t>1)</w:t>
            </w:r>
          </w:p>
        </w:tc>
      </w:tr>
      <w:tr w:rsidR="00DD3742" w:rsidRPr="00DD3742" w14:paraId="40001A99" w14:textId="77777777" w:rsidTr="00DD3742">
        <w:trPr>
          <w:trHeight w:val="280"/>
        </w:trPr>
        <w:tc>
          <w:tcPr>
            <w:tcW w:w="980" w:type="dxa"/>
            <w:tcBorders>
              <w:top w:val="nil"/>
              <w:left w:val="nil"/>
              <w:bottom w:val="nil"/>
              <w:right w:val="nil"/>
            </w:tcBorders>
            <w:shd w:val="clear" w:color="auto" w:fill="auto"/>
            <w:noWrap/>
            <w:vAlign w:val="bottom"/>
            <w:hideMark/>
          </w:tcPr>
          <w:p w14:paraId="36150C76"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p>
        </w:tc>
        <w:tc>
          <w:tcPr>
            <w:tcW w:w="940" w:type="dxa"/>
            <w:tcBorders>
              <w:top w:val="nil"/>
              <w:left w:val="nil"/>
              <w:bottom w:val="nil"/>
              <w:right w:val="nil"/>
            </w:tcBorders>
            <w:shd w:val="clear" w:color="auto" w:fill="auto"/>
            <w:noWrap/>
            <w:vAlign w:val="bottom"/>
            <w:hideMark/>
          </w:tcPr>
          <w:p w14:paraId="608BD379"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PP</w:t>
            </w:r>
          </w:p>
        </w:tc>
        <w:tc>
          <w:tcPr>
            <w:tcW w:w="1160" w:type="dxa"/>
            <w:tcBorders>
              <w:top w:val="nil"/>
              <w:left w:val="nil"/>
              <w:bottom w:val="nil"/>
              <w:right w:val="nil"/>
            </w:tcBorders>
            <w:shd w:val="clear" w:color="auto" w:fill="auto"/>
            <w:noWrap/>
            <w:vAlign w:val="bottom"/>
            <w:hideMark/>
          </w:tcPr>
          <w:p w14:paraId="6F3CA32B"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-2.147489</w:t>
            </w:r>
          </w:p>
        </w:tc>
        <w:tc>
          <w:tcPr>
            <w:tcW w:w="1080" w:type="dxa"/>
            <w:tcBorders>
              <w:top w:val="nil"/>
              <w:left w:val="nil"/>
              <w:bottom w:val="nil"/>
              <w:right w:val="nil"/>
            </w:tcBorders>
            <w:shd w:val="clear" w:color="auto" w:fill="auto"/>
            <w:noWrap/>
            <w:vAlign w:val="bottom"/>
            <w:hideMark/>
          </w:tcPr>
          <w:p w14:paraId="044C9D23"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 xml:space="preserve"> 0.2289</w:t>
            </w:r>
          </w:p>
        </w:tc>
        <w:tc>
          <w:tcPr>
            <w:tcW w:w="1580" w:type="dxa"/>
            <w:tcBorders>
              <w:top w:val="nil"/>
              <w:left w:val="nil"/>
              <w:bottom w:val="nil"/>
              <w:right w:val="nil"/>
            </w:tcBorders>
            <w:shd w:val="clear" w:color="auto" w:fill="auto"/>
            <w:noWrap/>
            <w:vAlign w:val="bottom"/>
            <w:hideMark/>
          </w:tcPr>
          <w:p w14:paraId="0A350C94"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-3.879692</w:t>
            </w:r>
          </w:p>
        </w:tc>
        <w:tc>
          <w:tcPr>
            <w:tcW w:w="960" w:type="dxa"/>
            <w:tcBorders>
              <w:top w:val="nil"/>
              <w:left w:val="nil"/>
              <w:bottom w:val="nil"/>
              <w:right w:val="nil"/>
            </w:tcBorders>
            <w:shd w:val="clear" w:color="auto" w:fill="auto"/>
            <w:noWrap/>
            <w:vAlign w:val="bottom"/>
            <w:hideMark/>
          </w:tcPr>
          <w:p w14:paraId="30303A78"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 xml:space="preserve"> 0.0067</w:t>
            </w:r>
          </w:p>
        </w:tc>
        <w:tc>
          <w:tcPr>
            <w:tcW w:w="1200" w:type="dxa"/>
            <w:tcBorders>
              <w:top w:val="nil"/>
              <w:left w:val="nil"/>
              <w:bottom w:val="nil"/>
              <w:right w:val="nil"/>
            </w:tcBorders>
            <w:shd w:val="clear" w:color="auto" w:fill="auto"/>
            <w:noWrap/>
            <w:vAlign w:val="bottom"/>
            <w:hideMark/>
          </w:tcPr>
          <w:p w14:paraId="453FE9FB"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proofErr w:type="gramStart"/>
            <w:r w:rsidRPr="00DD3742">
              <w:rPr>
                <w:rFonts w:ascii="Times New Roman" w:eastAsia="Times New Roman" w:hAnsi="Times New Roman" w:cs="Times New Roman"/>
                <w:color w:val="000000"/>
                <w:lang w:eastAsia="de-DE"/>
              </w:rPr>
              <w:t>I(</w:t>
            </w:r>
            <w:proofErr w:type="gramEnd"/>
            <w:r w:rsidRPr="00DD3742">
              <w:rPr>
                <w:rFonts w:ascii="Times New Roman" w:eastAsia="Times New Roman" w:hAnsi="Times New Roman" w:cs="Times New Roman"/>
                <w:color w:val="000000"/>
                <w:lang w:eastAsia="de-DE"/>
              </w:rPr>
              <w:t>1)</w:t>
            </w:r>
          </w:p>
        </w:tc>
      </w:tr>
      <w:tr w:rsidR="00DD3742" w:rsidRPr="00DD3742" w14:paraId="652E6080" w14:textId="77777777" w:rsidTr="00DD3742">
        <w:trPr>
          <w:trHeight w:val="280"/>
        </w:trPr>
        <w:tc>
          <w:tcPr>
            <w:tcW w:w="980" w:type="dxa"/>
            <w:tcBorders>
              <w:top w:val="single" w:sz="4" w:space="0" w:color="auto"/>
              <w:left w:val="nil"/>
              <w:bottom w:val="nil"/>
              <w:right w:val="nil"/>
            </w:tcBorders>
            <w:shd w:val="clear" w:color="auto" w:fill="auto"/>
            <w:noWrap/>
            <w:vAlign w:val="bottom"/>
            <w:hideMark/>
          </w:tcPr>
          <w:p w14:paraId="5F09464F"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NIBT</w:t>
            </w:r>
          </w:p>
        </w:tc>
        <w:tc>
          <w:tcPr>
            <w:tcW w:w="940" w:type="dxa"/>
            <w:tcBorders>
              <w:top w:val="single" w:sz="4" w:space="0" w:color="auto"/>
              <w:left w:val="nil"/>
              <w:bottom w:val="nil"/>
              <w:right w:val="nil"/>
            </w:tcBorders>
            <w:shd w:val="clear" w:color="auto" w:fill="auto"/>
            <w:noWrap/>
            <w:vAlign w:val="bottom"/>
            <w:hideMark/>
          </w:tcPr>
          <w:p w14:paraId="01DB1FAB"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ADF</w:t>
            </w:r>
          </w:p>
        </w:tc>
        <w:tc>
          <w:tcPr>
            <w:tcW w:w="1160" w:type="dxa"/>
            <w:tcBorders>
              <w:top w:val="single" w:sz="4" w:space="0" w:color="auto"/>
              <w:left w:val="nil"/>
              <w:bottom w:val="nil"/>
              <w:right w:val="nil"/>
            </w:tcBorders>
            <w:shd w:val="clear" w:color="auto" w:fill="auto"/>
            <w:noWrap/>
            <w:vAlign w:val="bottom"/>
            <w:hideMark/>
          </w:tcPr>
          <w:p w14:paraId="4E5A83DD"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-1.832111</w:t>
            </w:r>
          </w:p>
        </w:tc>
        <w:tc>
          <w:tcPr>
            <w:tcW w:w="1080" w:type="dxa"/>
            <w:tcBorders>
              <w:top w:val="single" w:sz="4" w:space="0" w:color="auto"/>
              <w:left w:val="nil"/>
              <w:bottom w:val="nil"/>
              <w:right w:val="nil"/>
            </w:tcBorders>
            <w:shd w:val="clear" w:color="auto" w:fill="auto"/>
            <w:noWrap/>
            <w:vAlign w:val="bottom"/>
            <w:hideMark/>
          </w:tcPr>
          <w:p w14:paraId="01819D98"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 xml:space="preserve"> 0.3587</w:t>
            </w:r>
          </w:p>
        </w:tc>
        <w:tc>
          <w:tcPr>
            <w:tcW w:w="1580" w:type="dxa"/>
            <w:tcBorders>
              <w:top w:val="single" w:sz="4" w:space="0" w:color="auto"/>
              <w:left w:val="nil"/>
              <w:bottom w:val="nil"/>
              <w:right w:val="nil"/>
            </w:tcBorders>
            <w:shd w:val="clear" w:color="auto" w:fill="auto"/>
            <w:noWrap/>
            <w:vAlign w:val="bottom"/>
            <w:hideMark/>
          </w:tcPr>
          <w:p w14:paraId="64876E57"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-5.205158</w:t>
            </w:r>
          </w:p>
        </w:tc>
        <w:tc>
          <w:tcPr>
            <w:tcW w:w="960" w:type="dxa"/>
            <w:tcBorders>
              <w:top w:val="single" w:sz="4" w:space="0" w:color="auto"/>
              <w:left w:val="nil"/>
              <w:bottom w:val="nil"/>
              <w:right w:val="nil"/>
            </w:tcBorders>
            <w:shd w:val="clear" w:color="auto" w:fill="auto"/>
            <w:noWrap/>
            <w:vAlign w:val="bottom"/>
            <w:hideMark/>
          </w:tcPr>
          <w:p w14:paraId="3AA0DA32"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 xml:space="preserve"> 0.0002</w:t>
            </w:r>
          </w:p>
        </w:tc>
        <w:tc>
          <w:tcPr>
            <w:tcW w:w="1200" w:type="dxa"/>
            <w:tcBorders>
              <w:top w:val="single" w:sz="4" w:space="0" w:color="auto"/>
              <w:left w:val="nil"/>
              <w:bottom w:val="nil"/>
              <w:right w:val="nil"/>
            </w:tcBorders>
            <w:shd w:val="clear" w:color="auto" w:fill="auto"/>
            <w:noWrap/>
            <w:vAlign w:val="bottom"/>
            <w:hideMark/>
          </w:tcPr>
          <w:p w14:paraId="47DF8642"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proofErr w:type="gramStart"/>
            <w:r w:rsidRPr="00DD3742">
              <w:rPr>
                <w:rFonts w:ascii="Times New Roman" w:eastAsia="Times New Roman" w:hAnsi="Times New Roman" w:cs="Times New Roman"/>
                <w:color w:val="000000"/>
                <w:lang w:eastAsia="de-DE"/>
              </w:rPr>
              <w:t>I(</w:t>
            </w:r>
            <w:proofErr w:type="gramEnd"/>
            <w:r w:rsidRPr="00DD3742">
              <w:rPr>
                <w:rFonts w:ascii="Times New Roman" w:eastAsia="Times New Roman" w:hAnsi="Times New Roman" w:cs="Times New Roman"/>
                <w:color w:val="000000"/>
                <w:lang w:eastAsia="de-DE"/>
              </w:rPr>
              <w:t>1)</w:t>
            </w:r>
          </w:p>
        </w:tc>
      </w:tr>
      <w:tr w:rsidR="00DD3742" w:rsidRPr="00DD3742" w14:paraId="1558C94A" w14:textId="77777777" w:rsidTr="00DD3742">
        <w:trPr>
          <w:trHeight w:val="280"/>
        </w:trPr>
        <w:tc>
          <w:tcPr>
            <w:tcW w:w="980" w:type="dxa"/>
            <w:tcBorders>
              <w:top w:val="nil"/>
              <w:left w:val="nil"/>
              <w:bottom w:val="single" w:sz="4" w:space="0" w:color="auto"/>
              <w:right w:val="nil"/>
            </w:tcBorders>
            <w:shd w:val="clear" w:color="auto" w:fill="auto"/>
            <w:noWrap/>
            <w:vAlign w:val="bottom"/>
            <w:hideMark/>
          </w:tcPr>
          <w:p w14:paraId="3F38F620"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 </w:t>
            </w:r>
          </w:p>
        </w:tc>
        <w:tc>
          <w:tcPr>
            <w:tcW w:w="940" w:type="dxa"/>
            <w:tcBorders>
              <w:top w:val="nil"/>
              <w:left w:val="nil"/>
              <w:bottom w:val="single" w:sz="4" w:space="0" w:color="auto"/>
              <w:right w:val="nil"/>
            </w:tcBorders>
            <w:shd w:val="clear" w:color="auto" w:fill="auto"/>
            <w:noWrap/>
            <w:vAlign w:val="bottom"/>
            <w:hideMark/>
          </w:tcPr>
          <w:p w14:paraId="07470B7C"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PP</w:t>
            </w:r>
          </w:p>
        </w:tc>
        <w:tc>
          <w:tcPr>
            <w:tcW w:w="1160" w:type="dxa"/>
            <w:tcBorders>
              <w:top w:val="nil"/>
              <w:left w:val="nil"/>
              <w:bottom w:val="single" w:sz="4" w:space="0" w:color="auto"/>
              <w:right w:val="nil"/>
            </w:tcBorders>
            <w:shd w:val="clear" w:color="auto" w:fill="auto"/>
            <w:noWrap/>
            <w:vAlign w:val="bottom"/>
            <w:hideMark/>
          </w:tcPr>
          <w:p w14:paraId="4B905010"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-1.832111</w:t>
            </w:r>
          </w:p>
        </w:tc>
        <w:tc>
          <w:tcPr>
            <w:tcW w:w="1080" w:type="dxa"/>
            <w:tcBorders>
              <w:top w:val="nil"/>
              <w:left w:val="nil"/>
              <w:bottom w:val="single" w:sz="4" w:space="0" w:color="auto"/>
              <w:right w:val="nil"/>
            </w:tcBorders>
            <w:shd w:val="clear" w:color="auto" w:fill="auto"/>
            <w:noWrap/>
            <w:vAlign w:val="bottom"/>
            <w:hideMark/>
          </w:tcPr>
          <w:p w14:paraId="7A5C629B"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 xml:space="preserve"> 0.3587</w:t>
            </w:r>
          </w:p>
        </w:tc>
        <w:tc>
          <w:tcPr>
            <w:tcW w:w="1580" w:type="dxa"/>
            <w:tcBorders>
              <w:top w:val="nil"/>
              <w:left w:val="nil"/>
              <w:bottom w:val="single" w:sz="4" w:space="0" w:color="auto"/>
              <w:right w:val="nil"/>
            </w:tcBorders>
            <w:shd w:val="clear" w:color="auto" w:fill="auto"/>
            <w:noWrap/>
            <w:vAlign w:val="bottom"/>
            <w:hideMark/>
          </w:tcPr>
          <w:p w14:paraId="453FCA9F"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-5.207129</w:t>
            </w:r>
          </w:p>
        </w:tc>
        <w:tc>
          <w:tcPr>
            <w:tcW w:w="960" w:type="dxa"/>
            <w:tcBorders>
              <w:top w:val="nil"/>
              <w:left w:val="nil"/>
              <w:bottom w:val="single" w:sz="4" w:space="0" w:color="auto"/>
              <w:right w:val="nil"/>
            </w:tcBorders>
            <w:shd w:val="clear" w:color="auto" w:fill="auto"/>
            <w:noWrap/>
            <w:vAlign w:val="bottom"/>
            <w:hideMark/>
          </w:tcPr>
          <w:p w14:paraId="3B4D0869"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r w:rsidRPr="00DD3742">
              <w:rPr>
                <w:rFonts w:ascii="Times New Roman" w:eastAsia="Times New Roman" w:hAnsi="Times New Roman" w:cs="Times New Roman"/>
                <w:color w:val="000000"/>
                <w:lang w:eastAsia="de-DE"/>
              </w:rPr>
              <w:t xml:space="preserve"> 0.0002</w:t>
            </w:r>
          </w:p>
        </w:tc>
        <w:tc>
          <w:tcPr>
            <w:tcW w:w="1200" w:type="dxa"/>
            <w:tcBorders>
              <w:top w:val="nil"/>
              <w:left w:val="nil"/>
              <w:bottom w:val="single" w:sz="4" w:space="0" w:color="auto"/>
              <w:right w:val="nil"/>
            </w:tcBorders>
            <w:shd w:val="clear" w:color="auto" w:fill="auto"/>
            <w:noWrap/>
            <w:vAlign w:val="bottom"/>
            <w:hideMark/>
          </w:tcPr>
          <w:p w14:paraId="15486509" w14:textId="77777777" w:rsidR="00DD3742" w:rsidRPr="00DD3742" w:rsidRDefault="00DD3742" w:rsidP="00497F00">
            <w:pPr>
              <w:spacing w:after="0" w:line="240" w:lineRule="auto"/>
              <w:jc w:val="both"/>
              <w:rPr>
                <w:rFonts w:ascii="Times New Roman" w:eastAsia="Times New Roman" w:hAnsi="Times New Roman" w:cs="Times New Roman"/>
                <w:color w:val="000000"/>
                <w:lang w:eastAsia="de-DE"/>
              </w:rPr>
            </w:pPr>
            <w:proofErr w:type="gramStart"/>
            <w:r w:rsidRPr="00DD3742">
              <w:rPr>
                <w:rFonts w:ascii="Times New Roman" w:eastAsia="Times New Roman" w:hAnsi="Times New Roman" w:cs="Times New Roman"/>
                <w:color w:val="000000"/>
                <w:lang w:eastAsia="de-DE"/>
              </w:rPr>
              <w:t>I(</w:t>
            </w:r>
            <w:proofErr w:type="gramEnd"/>
            <w:r w:rsidRPr="00DD3742">
              <w:rPr>
                <w:rFonts w:ascii="Times New Roman" w:eastAsia="Times New Roman" w:hAnsi="Times New Roman" w:cs="Times New Roman"/>
                <w:color w:val="000000"/>
                <w:lang w:eastAsia="de-DE"/>
              </w:rPr>
              <w:t>1)</w:t>
            </w:r>
          </w:p>
        </w:tc>
      </w:tr>
    </w:tbl>
    <w:p w14:paraId="72AA8AC2" w14:textId="322FEBBC" w:rsidR="00005962" w:rsidRDefault="00005962" w:rsidP="00497F00">
      <w:pPr>
        <w:jc w:val="both"/>
        <w:rPr>
          <w:rFonts w:ascii="Times New Roman" w:hAnsi="Times New Roman" w:cs="Times New Roman"/>
          <w:lang w:val="en-US"/>
        </w:rPr>
      </w:pPr>
    </w:p>
    <w:p w14:paraId="425F5280" w14:textId="6FFE26E9" w:rsidR="00DD4F20" w:rsidRDefault="00DD4F20" w:rsidP="00497F00">
      <w:pPr>
        <w:jc w:val="both"/>
        <w:rPr>
          <w:rFonts w:ascii="Times New Roman" w:hAnsi="Times New Roman" w:cs="Times New Roman"/>
          <w:lang w:val="en-US"/>
        </w:rPr>
      </w:pPr>
      <w:r>
        <w:rPr>
          <w:rFonts w:ascii="Times New Roman" w:hAnsi="Times New Roman" w:cs="Times New Roman"/>
          <w:lang w:val="en-US"/>
        </w:rPr>
        <w:t xml:space="preserve">The tests reveal that all variables are </w:t>
      </w:r>
      <w:proofErr w:type="gramStart"/>
      <w:r>
        <w:rPr>
          <w:rFonts w:ascii="Times New Roman" w:hAnsi="Times New Roman" w:cs="Times New Roman"/>
          <w:lang w:val="en-US"/>
        </w:rPr>
        <w:t>I(</w:t>
      </w:r>
      <w:proofErr w:type="gramEnd"/>
      <w:r>
        <w:rPr>
          <w:rFonts w:ascii="Times New Roman" w:hAnsi="Times New Roman" w:cs="Times New Roman"/>
          <w:lang w:val="en-US"/>
        </w:rPr>
        <w:t xml:space="preserve">1), i.e. difference-stationary. ROE may be already considered </w:t>
      </w:r>
      <w:proofErr w:type="gramStart"/>
      <w:r>
        <w:rPr>
          <w:rFonts w:ascii="Times New Roman" w:hAnsi="Times New Roman" w:cs="Times New Roman"/>
          <w:lang w:val="en-US"/>
        </w:rPr>
        <w:t>I(</w:t>
      </w:r>
      <w:proofErr w:type="gramEnd"/>
      <w:r>
        <w:rPr>
          <w:rFonts w:ascii="Times New Roman" w:hAnsi="Times New Roman" w:cs="Times New Roman"/>
          <w:lang w:val="en-US"/>
        </w:rPr>
        <w:t xml:space="preserve">0), but the level test statistic only exceeds the 5 percent critical value, but not the 1 percent critical value. The PP test clearly shows that ROE is not </w:t>
      </w:r>
      <w:proofErr w:type="gramStart"/>
      <w:r>
        <w:rPr>
          <w:rFonts w:ascii="Times New Roman" w:hAnsi="Times New Roman" w:cs="Times New Roman"/>
          <w:lang w:val="en-US"/>
        </w:rPr>
        <w:t>I(</w:t>
      </w:r>
      <w:proofErr w:type="gramEnd"/>
      <w:r>
        <w:rPr>
          <w:rFonts w:ascii="Times New Roman" w:hAnsi="Times New Roman" w:cs="Times New Roman"/>
          <w:lang w:val="en-US"/>
        </w:rPr>
        <w:t>0)</w:t>
      </w:r>
      <w:r w:rsidR="00773238">
        <w:rPr>
          <w:rFonts w:ascii="Times New Roman" w:hAnsi="Times New Roman" w:cs="Times New Roman"/>
          <w:lang w:val="en-US"/>
        </w:rPr>
        <w:t>,</w:t>
      </w:r>
      <w:r>
        <w:rPr>
          <w:rFonts w:ascii="Times New Roman" w:hAnsi="Times New Roman" w:cs="Times New Roman"/>
          <w:lang w:val="en-US"/>
        </w:rPr>
        <w:t xml:space="preserve"> but I(1).</w:t>
      </w:r>
      <w:r w:rsidR="00834A39">
        <w:rPr>
          <w:rFonts w:ascii="Times New Roman" w:hAnsi="Times New Roman" w:cs="Times New Roman"/>
          <w:lang w:val="en-US"/>
        </w:rPr>
        <w:t xml:space="preserve"> </w:t>
      </w:r>
      <w:r>
        <w:rPr>
          <w:rFonts w:ascii="Times New Roman" w:hAnsi="Times New Roman" w:cs="Times New Roman"/>
          <w:lang w:val="en-US"/>
        </w:rPr>
        <w:t xml:space="preserve">As all variables contain a stochastic trend, OLS </w:t>
      </w:r>
      <w:r w:rsidR="00773238">
        <w:rPr>
          <w:rFonts w:ascii="Times New Roman" w:hAnsi="Times New Roman" w:cs="Times New Roman"/>
          <w:lang w:val="en-US"/>
        </w:rPr>
        <w:t>and Vector Autoregression</w:t>
      </w:r>
      <w:r>
        <w:rPr>
          <w:rFonts w:ascii="Times New Roman" w:hAnsi="Times New Roman" w:cs="Times New Roman"/>
          <w:lang w:val="en-US"/>
        </w:rPr>
        <w:t xml:space="preserve"> </w:t>
      </w:r>
      <w:r w:rsidR="00773238">
        <w:rPr>
          <w:rFonts w:ascii="Times New Roman" w:hAnsi="Times New Roman" w:cs="Times New Roman"/>
          <w:lang w:val="en-US"/>
        </w:rPr>
        <w:t xml:space="preserve">models are </w:t>
      </w:r>
      <w:r>
        <w:rPr>
          <w:rFonts w:ascii="Times New Roman" w:hAnsi="Times New Roman" w:cs="Times New Roman"/>
          <w:lang w:val="en-US"/>
        </w:rPr>
        <w:t xml:space="preserve">inappropriate. </w:t>
      </w:r>
      <w:r w:rsidR="00773238">
        <w:rPr>
          <w:rFonts w:ascii="Times New Roman" w:hAnsi="Times New Roman" w:cs="Times New Roman"/>
          <w:lang w:val="en-US"/>
        </w:rPr>
        <w:t>We have to test for cointegration and finally estimate a Vector Error Correction Model (VECM).</w:t>
      </w:r>
    </w:p>
    <w:p w14:paraId="1C0F3DF7" w14:textId="3BFDD56B" w:rsidR="00005962" w:rsidRDefault="00773238" w:rsidP="00497F00">
      <w:pPr>
        <w:tabs>
          <w:tab w:val="left" w:pos="1258"/>
        </w:tabs>
        <w:jc w:val="both"/>
        <w:rPr>
          <w:rFonts w:ascii="Times New Roman" w:hAnsi="Times New Roman" w:cs="Times New Roman"/>
          <w:lang w:val="en-US"/>
        </w:rPr>
      </w:pPr>
      <w:r>
        <w:rPr>
          <w:rFonts w:ascii="Times New Roman" w:hAnsi="Times New Roman" w:cs="Times New Roman"/>
          <w:lang w:val="en-US"/>
        </w:rPr>
        <w:t xml:space="preserve">In order to test for cointegration we apply the Johansen-Test. For the variable pairing MI-CIR no cointegration was found at all. </w:t>
      </w:r>
      <w:r w:rsidR="00043F87">
        <w:rPr>
          <w:rFonts w:ascii="Times New Roman" w:hAnsi="Times New Roman" w:cs="Times New Roman"/>
          <w:lang w:val="en-US"/>
        </w:rPr>
        <w:t xml:space="preserve">Dubious results were obtained for the relationship between MI and NIBT. </w:t>
      </w:r>
      <w:r w:rsidR="00C55245">
        <w:rPr>
          <w:rFonts w:ascii="Times New Roman" w:hAnsi="Times New Roman" w:cs="Times New Roman"/>
          <w:lang w:val="en-US"/>
        </w:rPr>
        <w:t>T</w:t>
      </w:r>
      <w:r w:rsidR="00043F87">
        <w:rPr>
          <w:rFonts w:ascii="Times New Roman" w:hAnsi="Times New Roman" w:cs="Times New Roman"/>
          <w:lang w:val="en-US"/>
        </w:rPr>
        <w:t>he Johansen</w:t>
      </w:r>
      <w:r w:rsidR="00C55245">
        <w:rPr>
          <w:rFonts w:ascii="Times New Roman" w:hAnsi="Times New Roman" w:cs="Times New Roman"/>
          <w:lang w:val="en-US"/>
        </w:rPr>
        <w:t xml:space="preserve"> trace</w:t>
      </w:r>
      <w:r w:rsidR="00043F87">
        <w:rPr>
          <w:rFonts w:ascii="Times New Roman" w:hAnsi="Times New Roman" w:cs="Times New Roman"/>
          <w:lang w:val="en-US"/>
        </w:rPr>
        <w:t xml:space="preserve"> test found cointegration, but only at the 5 percent</w:t>
      </w:r>
      <w:r w:rsidR="00C55245">
        <w:rPr>
          <w:rFonts w:ascii="Times New Roman" w:hAnsi="Times New Roman" w:cs="Times New Roman"/>
          <w:lang w:val="en-US"/>
        </w:rPr>
        <w:t>. The Max-eigenvalue test rejected cointegration. We therefore decided for an overall rejection of cointegration. On the other hand, cointegration of MI and ROE is confirmed by both tests. The test results are presented in table 3.</w:t>
      </w:r>
    </w:p>
    <w:p w14:paraId="7F255A07" w14:textId="77777777" w:rsidR="00834A39" w:rsidRDefault="00834A39" w:rsidP="00497F00">
      <w:pPr>
        <w:tabs>
          <w:tab w:val="left" w:pos="1258"/>
        </w:tabs>
        <w:jc w:val="both"/>
        <w:rPr>
          <w:rFonts w:ascii="Times New Roman" w:hAnsi="Times New Roman" w:cs="Times New Roman"/>
          <w:lang w:val="en-US"/>
        </w:rPr>
      </w:pPr>
    </w:p>
    <w:p w14:paraId="75DD1736" w14:textId="04279FAD" w:rsidR="00005962" w:rsidRDefault="00ED765F" w:rsidP="00497F00">
      <w:pPr>
        <w:tabs>
          <w:tab w:val="left" w:pos="1258"/>
        </w:tabs>
        <w:jc w:val="both"/>
        <w:rPr>
          <w:rFonts w:ascii="Times New Roman" w:hAnsi="Times New Roman" w:cs="Times New Roman"/>
          <w:lang w:val="en-US"/>
        </w:rPr>
      </w:pPr>
      <w:r>
        <w:rPr>
          <w:rFonts w:ascii="Times New Roman" w:hAnsi="Times New Roman" w:cs="Times New Roman"/>
          <w:lang w:val="en-US"/>
        </w:rPr>
        <w:t xml:space="preserve">Table 3: </w:t>
      </w:r>
      <w:r w:rsidR="00005962">
        <w:rPr>
          <w:rFonts w:ascii="Times New Roman" w:hAnsi="Times New Roman" w:cs="Times New Roman"/>
          <w:lang w:val="en-US"/>
        </w:rPr>
        <w:t>Cointegration Test</w:t>
      </w:r>
    </w:p>
    <w:p w14:paraId="0BABE8F2" w14:textId="2822FB46" w:rsidR="00ED765F" w:rsidRPr="00ED765F" w:rsidRDefault="00ED765F" w:rsidP="00497F00">
      <w:pPr>
        <w:autoSpaceDE w:val="0"/>
        <w:autoSpaceDN w:val="0"/>
        <w:adjustRightInd w:val="0"/>
        <w:spacing w:after="0" w:line="240" w:lineRule="auto"/>
        <w:jc w:val="both"/>
        <w:rPr>
          <w:rFonts w:ascii="Times New Roman" w:hAnsi="Times New Roman" w:cs="Times New Roman"/>
          <w:lang w:val="en-US"/>
        </w:rPr>
      </w:pPr>
      <w:bookmarkStart w:id="0" w:name="_Hlk125033297"/>
      <w:r w:rsidRPr="00ED765F">
        <w:rPr>
          <w:rFonts w:ascii="Times New Roman" w:hAnsi="Times New Roman" w:cs="Times New Roman"/>
          <w:lang w:val="en-US"/>
        </w:rPr>
        <w:t>Unrestricted Cointegration Rank Test (T</w:t>
      </w:r>
      <w:r>
        <w:rPr>
          <w:rFonts w:ascii="Times New Roman" w:hAnsi="Times New Roman" w:cs="Times New Roman"/>
          <w:lang w:val="en-US"/>
        </w:rPr>
        <w:t>race)</w:t>
      </w:r>
    </w:p>
    <w:bookmarkEnd w:id="0"/>
    <w:tbl>
      <w:tblPr>
        <w:tblW w:w="0" w:type="auto"/>
        <w:tblInd w:w="30" w:type="dxa"/>
        <w:tblLayout w:type="fixed"/>
        <w:tblCellMar>
          <w:left w:w="0" w:type="dxa"/>
          <w:right w:w="0" w:type="dxa"/>
        </w:tblCellMar>
        <w:tblLook w:val="0000" w:firstRow="0" w:lastRow="0" w:firstColumn="0" w:lastColumn="0" w:noHBand="0" w:noVBand="0"/>
      </w:tblPr>
      <w:tblGrid>
        <w:gridCol w:w="1320"/>
        <w:gridCol w:w="1350"/>
        <w:gridCol w:w="1350"/>
        <w:gridCol w:w="1350"/>
        <w:gridCol w:w="1350"/>
      </w:tblGrid>
      <w:tr w:rsidR="00ED765F" w:rsidRPr="00943470" w14:paraId="3CD08794" w14:textId="77777777">
        <w:trPr>
          <w:trHeight w:hRule="exact" w:val="88"/>
        </w:trPr>
        <w:tc>
          <w:tcPr>
            <w:tcW w:w="1320" w:type="dxa"/>
            <w:tcBorders>
              <w:top w:val="nil"/>
              <w:left w:val="nil"/>
              <w:bottom w:val="double" w:sz="6" w:space="2" w:color="auto"/>
              <w:right w:val="nil"/>
            </w:tcBorders>
            <w:vAlign w:val="bottom"/>
          </w:tcPr>
          <w:p w14:paraId="5D1455A4"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lang w:val="en-US"/>
              </w:rPr>
            </w:pPr>
          </w:p>
        </w:tc>
        <w:tc>
          <w:tcPr>
            <w:tcW w:w="1350" w:type="dxa"/>
            <w:tcBorders>
              <w:top w:val="nil"/>
              <w:left w:val="nil"/>
              <w:bottom w:val="double" w:sz="6" w:space="2" w:color="auto"/>
              <w:right w:val="nil"/>
            </w:tcBorders>
            <w:vAlign w:val="bottom"/>
          </w:tcPr>
          <w:p w14:paraId="70266A96"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lang w:val="en-US"/>
              </w:rPr>
            </w:pPr>
          </w:p>
        </w:tc>
        <w:tc>
          <w:tcPr>
            <w:tcW w:w="1350" w:type="dxa"/>
            <w:tcBorders>
              <w:top w:val="nil"/>
              <w:left w:val="nil"/>
              <w:bottom w:val="double" w:sz="6" w:space="2" w:color="auto"/>
              <w:right w:val="nil"/>
            </w:tcBorders>
            <w:vAlign w:val="bottom"/>
          </w:tcPr>
          <w:p w14:paraId="0CD3FFEB"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lang w:val="en-US"/>
              </w:rPr>
            </w:pPr>
          </w:p>
        </w:tc>
        <w:tc>
          <w:tcPr>
            <w:tcW w:w="1350" w:type="dxa"/>
            <w:tcBorders>
              <w:top w:val="nil"/>
              <w:left w:val="nil"/>
              <w:bottom w:val="double" w:sz="6" w:space="2" w:color="auto"/>
              <w:right w:val="nil"/>
            </w:tcBorders>
            <w:vAlign w:val="bottom"/>
          </w:tcPr>
          <w:p w14:paraId="3C0DA4ED"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lang w:val="en-US"/>
              </w:rPr>
            </w:pPr>
          </w:p>
        </w:tc>
        <w:tc>
          <w:tcPr>
            <w:tcW w:w="1350" w:type="dxa"/>
            <w:tcBorders>
              <w:top w:val="nil"/>
              <w:left w:val="nil"/>
              <w:bottom w:val="double" w:sz="6" w:space="2" w:color="auto"/>
              <w:right w:val="nil"/>
            </w:tcBorders>
            <w:vAlign w:val="bottom"/>
          </w:tcPr>
          <w:p w14:paraId="727CE7AB"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lang w:val="en-US"/>
              </w:rPr>
            </w:pPr>
          </w:p>
        </w:tc>
      </w:tr>
      <w:tr w:rsidR="00ED765F" w:rsidRPr="00943470" w14:paraId="51E18E46" w14:textId="77777777">
        <w:trPr>
          <w:trHeight w:hRule="exact" w:val="132"/>
        </w:trPr>
        <w:tc>
          <w:tcPr>
            <w:tcW w:w="1320" w:type="dxa"/>
            <w:tcBorders>
              <w:top w:val="nil"/>
              <w:left w:val="nil"/>
              <w:bottom w:val="nil"/>
              <w:right w:val="nil"/>
            </w:tcBorders>
            <w:vAlign w:val="bottom"/>
          </w:tcPr>
          <w:p w14:paraId="26EE075E"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lang w:val="en-US"/>
              </w:rPr>
            </w:pPr>
          </w:p>
        </w:tc>
        <w:tc>
          <w:tcPr>
            <w:tcW w:w="1350" w:type="dxa"/>
            <w:tcBorders>
              <w:top w:val="nil"/>
              <w:left w:val="nil"/>
              <w:bottom w:val="nil"/>
              <w:right w:val="nil"/>
            </w:tcBorders>
            <w:vAlign w:val="bottom"/>
          </w:tcPr>
          <w:p w14:paraId="149D6962"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lang w:val="en-US"/>
              </w:rPr>
            </w:pPr>
          </w:p>
        </w:tc>
        <w:tc>
          <w:tcPr>
            <w:tcW w:w="1350" w:type="dxa"/>
            <w:tcBorders>
              <w:top w:val="nil"/>
              <w:left w:val="nil"/>
              <w:bottom w:val="nil"/>
              <w:right w:val="nil"/>
            </w:tcBorders>
            <w:vAlign w:val="bottom"/>
          </w:tcPr>
          <w:p w14:paraId="75E08BF8"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lang w:val="en-US"/>
              </w:rPr>
            </w:pPr>
          </w:p>
        </w:tc>
        <w:tc>
          <w:tcPr>
            <w:tcW w:w="1350" w:type="dxa"/>
            <w:tcBorders>
              <w:top w:val="nil"/>
              <w:left w:val="nil"/>
              <w:bottom w:val="nil"/>
              <w:right w:val="nil"/>
            </w:tcBorders>
            <w:vAlign w:val="bottom"/>
          </w:tcPr>
          <w:p w14:paraId="4266B236"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lang w:val="en-US"/>
              </w:rPr>
            </w:pPr>
          </w:p>
        </w:tc>
        <w:tc>
          <w:tcPr>
            <w:tcW w:w="1350" w:type="dxa"/>
            <w:tcBorders>
              <w:top w:val="nil"/>
              <w:left w:val="nil"/>
              <w:bottom w:val="nil"/>
              <w:right w:val="nil"/>
            </w:tcBorders>
            <w:vAlign w:val="bottom"/>
          </w:tcPr>
          <w:p w14:paraId="78CFAB0A"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lang w:val="en-US"/>
              </w:rPr>
            </w:pPr>
          </w:p>
        </w:tc>
      </w:tr>
      <w:tr w:rsidR="00ED765F" w:rsidRPr="00ED765F" w14:paraId="58FA0ED2" w14:textId="77777777">
        <w:trPr>
          <w:trHeight w:val="220"/>
        </w:trPr>
        <w:tc>
          <w:tcPr>
            <w:tcW w:w="1320" w:type="dxa"/>
            <w:tcBorders>
              <w:top w:val="nil"/>
              <w:left w:val="nil"/>
              <w:bottom w:val="nil"/>
              <w:right w:val="nil"/>
            </w:tcBorders>
            <w:vAlign w:val="bottom"/>
          </w:tcPr>
          <w:p w14:paraId="551C0625"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roofErr w:type="spellStart"/>
            <w:r w:rsidRPr="00ED765F">
              <w:rPr>
                <w:rFonts w:ascii="Times New Roman" w:hAnsi="Times New Roman" w:cs="Times New Roman"/>
                <w:color w:val="000000"/>
              </w:rPr>
              <w:t>Hypothesized</w:t>
            </w:r>
            <w:proofErr w:type="spellEnd"/>
          </w:p>
        </w:tc>
        <w:tc>
          <w:tcPr>
            <w:tcW w:w="1350" w:type="dxa"/>
            <w:tcBorders>
              <w:top w:val="nil"/>
              <w:left w:val="nil"/>
              <w:bottom w:val="nil"/>
              <w:right w:val="nil"/>
            </w:tcBorders>
            <w:vAlign w:val="bottom"/>
          </w:tcPr>
          <w:p w14:paraId="2F2496CE"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c>
          <w:tcPr>
            <w:tcW w:w="1350" w:type="dxa"/>
            <w:tcBorders>
              <w:top w:val="nil"/>
              <w:left w:val="nil"/>
              <w:bottom w:val="nil"/>
              <w:right w:val="nil"/>
            </w:tcBorders>
            <w:vAlign w:val="bottom"/>
          </w:tcPr>
          <w:p w14:paraId="29BA1CC0"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r w:rsidRPr="00ED765F">
              <w:rPr>
                <w:rFonts w:ascii="Times New Roman" w:hAnsi="Times New Roman" w:cs="Times New Roman"/>
                <w:color w:val="000000"/>
              </w:rPr>
              <w:t>Trace</w:t>
            </w:r>
          </w:p>
        </w:tc>
        <w:tc>
          <w:tcPr>
            <w:tcW w:w="1350" w:type="dxa"/>
            <w:tcBorders>
              <w:top w:val="nil"/>
              <w:left w:val="nil"/>
              <w:bottom w:val="nil"/>
              <w:right w:val="nil"/>
            </w:tcBorders>
            <w:vAlign w:val="bottom"/>
          </w:tcPr>
          <w:p w14:paraId="63EDC944"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r w:rsidRPr="00ED765F">
              <w:rPr>
                <w:rFonts w:ascii="Times New Roman" w:hAnsi="Times New Roman" w:cs="Times New Roman"/>
                <w:color w:val="000000"/>
              </w:rPr>
              <w:t>0.05</w:t>
            </w:r>
          </w:p>
        </w:tc>
        <w:tc>
          <w:tcPr>
            <w:tcW w:w="1350" w:type="dxa"/>
            <w:tcBorders>
              <w:top w:val="nil"/>
              <w:left w:val="nil"/>
              <w:bottom w:val="nil"/>
              <w:right w:val="nil"/>
            </w:tcBorders>
            <w:vAlign w:val="bottom"/>
          </w:tcPr>
          <w:p w14:paraId="344F158A"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roofErr w:type="gramStart"/>
            <w:r w:rsidRPr="00ED765F">
              <w:rPr>
                <w:rFonts w:ascii="Times New Roman" w:hAnsi="Times New Roman" w:cs="Times New Roman"/>
                <w:color w:val="000000"/>
              </w:rPr>
              <w:t>Prob.*</w:t>
            </w:r>
            <w:proofErr w:type="gramEnd"/>
            <w:r w:rsidRPr="00ED765F">
              <w:rPr>
                <w:rFonts w:ascii="Times New Roman" w:hAnsi="Times New Roman" w:cs="Times New Roman"/>
                <w:color w:val="000000"/>
              </w:rPr>
              <w:t>*</w:t>
            </w:r>
          </w:p>
        </w:tc>
      </w:tr>
      <w:tr w:rsidR="00ED765F" w:rsidRPr="00ED765F" w14:paraId="75E7AC6A" w14:textId="77777777">
        <w:trPr>
          <w:trHeight w:val="220"/>
        </w:trPr>
        <w:tc>
          <w:tcPr>
            <w:tcW w:w="1320" w:type="dxa"/>
            <w:tcBorders>
              <w:top w:val="nil"/>
              <w:left w:val="nil"/>
              <w:bottom w:val="nil"/>
              <w:right w:val="nil"/>
            </w:tcBorders>
            <w:vAlign w:val="bottom"/>
          </w:tcPr>
          <w:p w14:paraId="0C177744"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roofErr w:type="spellStart"/>
            <w:r w:rsidRPr="00ED765F">
              <w:rPr>
                <w:rFonts w:ascii="Times New Roman" w:hAnsi="Times New Roman" w:cs="Times New Roman"/>
                <w:color w:val="000000"/>
              </w:rPr>
              <w:t>No</w:t>
            </w:r>
            <w:proofErr w:type="spellEnd"/>
            <w:r w:rsidRPr="00ED765F">
              <w:rPr>
                <w:rFonts w:ascii="Times New Roman" w:hAnsi="Times New Roman" w:cs="Times New Roman"/>
                <w:color w:val="000000"/>
              </w:rPr>
              <w:t xml:space="preserve">. </w:t>
            </w:r>
            <w:proofErr w:type="spellStart"/>
            <w:r w:rsidRPr="00ED765F">
              <w:rPr>
                <w:rFonts w:ascii="Times New Roman" w:hAnsi="Times New Roman" w:cs="Times New Roman"/>
                <w:color w:val="000000"/>
              </w:rPr>
              <w:t>of</w:t>
            </w:r>
            <w:proofErr w:type="spellEnd"/>
            <w:r w:rsidRPr="00ED765F">
              <w:rPr>
                <w:rFonts w:ascii="Times New Roman" w:hAnsi="Times New Roman" w:cs="Times New Roman"/>
                <w:color w:val="000000"/>
              </w:rPr>
              <w:t xml:space="preserve"> CE(s)</w:t>
            </w:r>
          </w:p>
        </w:tc>
        <w:tc>
          <w:tcPr>
            <w:tcW w:w="1350" w:type="dxa"/>
            <w:tcBorders>
              <w:top w:val="nil"/>
              <w:left w:val="nil"/>
              <w:bottom w:val="nil"/>
              <w:right w:val="nil"/>
            </w:tcBorders>
            <w:vAlign w:val="bottom"/>
          </w:tcPr>
          <w:p w14:paraId="7B473188"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r w:rsidRPr="00ED765F">
              <w:rPr>
                <w:rFonts w:ascii="Times New Roman" w:hAnsi="Times New Roman" w:cs="Times New Roman"/>
                <w:color w:val="000000"/>
              </w:rPr>
              <w:t>Eigenvalue</w:t>
            </w:r>
          </w:p>
        </w:tc>
        <w:tc>
          <w:tcPr>
            <w:tcW w:w="1350" w:type="dxa"/>
            <w:tcBorders>
              <w:top w:val="nil"/>
              <w:left w:val="nil"/>
              <w:bottom w:val="nil"/>
              <w:right w:val="nil"/>
            </w:tcBorders>
            <w:vAlign w:val="bottom"/>
          </w:tcPr>
          <w:p w14:paraId="754439B2"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roofErr w:type="spellStart"/>
            <w:r w:rsidRPr="00ED765F">
              <w:rPr>
                <w:rFonts w:ascii="Times New Roman" w:hAnsi="Times New Roman" w:cs="Times New Roman"/>
                <w:color w:val="000000"/>
              </w:rPr>
              <w:t>Statistic</w:t>
            </w:r>
            <w:proofErr w:type="spellEnd"/>
          </w:p>
        </w:tc>
        <w:tc>
          <w:tcPr>
            <w:tcW w:w="1350" w:type="dxa"/>
            <w:tcBorders>
              <w:top w:val="nil"/>
              <w:left w:val="nil"/>
              <w:bottom w:val="nil"/>
              <w:right w:val="nil"/>
            </w:tcBorders>
            <w:vAlign w:val="bottom"/>
          </w:tcPr>
          <w:p w14:paraId="55665547"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r w:rsidRPr="00ED765F">
              <w:rPr>
                <w:rFonts w:ascii="Times New Roman" w:hAnsi="Times New Roman" w:cs="Times New Roman"/>
                <w:color w:val="000000"/>
              </w:rPr>
              <w:t>Critical Value</w:t>
            </w:r>
          </w:p>
        </w:tc>
        <w:tc>
          <w:tcPr>
            <w:tcW w:w="1350" w:type="dxa"/>
            <w:tcBorders>
              <w:top w:val="nil"/>
              <w:left w:val="nil"/>
              <w:bottom w:val="nil"/>
              <w:right w:val="nil"/>
            </w:tcBorders>
            <w:vAlign w:val="bottom"/>
          </w:tcPr>
          <w:p w14:paraId="51E2691F"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r w:rsidRPr="00ED765F">
              <w:rPr>
                <w:rFonts w:ascii="Times New Roman" w:hAnsi="Times New Roman" w:cs="Times New Roman"/>
                <w:color w:val="000000"/>
              </w:rPr>
              <w:t>Critical Value</w:t>
            </w:r>
          </w:p>
        </w:tc>
      </w:tr>
      <w:tr w:rsidR="00ED765F" w:rsidRPr="00ED765F" w14:paraId="42E9574C" w14:textId="77777777">
        <w:trPr>
          <w:trHeight w:hRule="exact" w:val="88"/>
        </w:trPr>
        <w:tc>
          <w:tcPr>
            <w:tcW w:w="1320" w:type="dxa"/>
            <w:tcBorders>
              <w:top w:val="nil"/>
              <w:left w:val="nil"/>
              <w:bottom w:val="double" w:sz="6" w:space="2" w:color="auto"/>
              <w:right w:val="nil"/>
            </w:tcBorders>
            <w:vAlign w:val="bottom"/>
          </w:tcPr>
          <w:p w14:paraId="53CE5CC3"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c>
          <w:tcPr>
            <w:tcW w:w="1350" w:type="dxa"/>
            <w:tcBorders>
              <w:top w:val="nil"/>
              <w:left w:val="nil"/>
              <w:bottom w:val="double" w:sz="6" w:space="2" w:color="auto"/>
              <w:right w:val="nil"/>
            </w:tcBorders>
            <w:vAlign w:val="bottom"/>
          </w:tcPr>
          <w:p w14:paraId="2EC9813A"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c>
          <w:tcPr>
            <w:tcW w:w="1350" w:type="dxa"/>
            <w:tcBorders>
              <w:top w:val="nil"/>
              <w:left w:val="nil"/>
              <w:bottom w:val="double" w:sz="6" w:space="2" w:color="auto"/>
              <w:right w:val="nil"/>
            </w:tcBorders>
            <w:vAlign w:val="bottom"/>
          </w:tcPr>
          <w:p w14:paraId="036F667D"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c>
          <w:tcPr>
            <w:tcW w:w="1350" w:type="dxa"/>
            <w:tcBorders>
              <w:top w:val="nil"/>
              <w:left w:val="nil"/>
              <w:bottom w:val="double" w:sz="6" w:space="2" w:color="auto"/>
              <w:right w:val="nil"/>
            </w:tcBorders>
            <w:vAlign w:val="bottom"/>
          </w:tcPr>
          <w:p w14:paraId="63BB89C6"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c>
          <w:tcPr>
            <w:tcW w:w="1350" w:type="dxa"/>
            <w:tcBorders>
              <w:top w:val="nil"/>
              <w:left w:val="nil"/>
              <w:bottom w:val="double" w:sz="6" w:space="2" w:color="auto"/>
              <w:right w:val="nil"/>
            </w:tcBorders>
            <w:vAlign w:val="bottom"/>
          </w:tcPr>
          <w:p w14:paraId="2CA14BE5"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r>
      <w:tr w:rsidR="00ED765F" w:rsidRPr="00ED765F" w14:paraId="1EA93C6A" w14:textId="77777777">
        <w:trPr>
          <w:trHeight w:hRule="exact" w:val="132"/>
        </w:trPr>
        <w:tc>
          <w:tcPr>
            <w:tcW w:w="1320" w:type="dxa"/>
            <w:tcBorders>
              <w:top w:val="nil"/>
              <w:left w:val="nil"/>
              <w:bottom w:val="nil"/>
              <w:right w:val="nil"/>
            </w:tcBorders>
            <w:vAlign w:val="bottom"/>
          </w:tcPr>
          <w:p w14:paraId="0CC6E6EA"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c>
          <w:tcPr>
            <w:tcW w:w="1350" w:type="dxa"/>
            <w:tcBorders>
              <w:top w:val="nil"/>
              <w:left w:val="nil"/>
              <w:bottom w:val="nil"/>
              <w:right w:val="nil"/>
            </w:tcBorders>
            <w:vAlign w:val="bottom"/>
          </w:tcPr>
          <w:p w14:paraId="45954C7D"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c>
          <w:tcPr>
            <w:tcW w:w="1350" w:type="dxa"/>
            <w:tcBorders>
              <w:top w:val="nil"/>
              <w:left w:val="nil"/>
              <w:bottom w:val="nil"/>
              <w:right w:val="nil"/>
            </w:tcBorders>
            <w:vAlign w:val="bottom"/>
          </w:tcPr>
          <w:p w14:paraId="0BA43B11"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c>
          <w:tcPr>
            <w:tcW w:w="1350" w:type="dxa"/>
            <w:tcBorders>
              <w:top w:val="nil"/>
              <w:left w:val="nil"/>
              <w:bottom w:val="nil"/>
              <w:right w:val="nil"/>
            </w:tcBorders>
            <w:vAlign w:val="bottom"/>
          </w:tcPr>
          <w:p w14:paraId="367AC4FB"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c>
          <w:tcPr>
            <w:tcW w:w="1350" w:type="dxa"/>
            <w:tcBorders>
              <w:top w:val="nil"/>
              <w:left w:val="nil"/>
              <w:bottom w:val="nil"/>
              <w:right w:val="nil"/>
            </w:tcBorders>
            <w:vAlign w:val="bottom"/>
          </w:tcPr>
          <w:p w14:paraId="1EE3A7CE"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r>
      <w:tr w:rsidR="00ED765F" w:rsidRPr="00ED765F" w14:paraId="01C20335" w14:textId="77777777">
        <w:trPr>
          <w:trHeight w:val="220"/>
        </w:trPr>
        <w:tc>
          <w:tcPr>
            <w:tcW w:w="1320" w:type="dxa"/>
            <w:tcBorders>
              <w:top w:val="nil"/>
              <w:left w:val="nil"/>
              <w:bottom w:val="nil"/>
              <w:right w:val="nil"/>
            </w:tcBorders>
            <w:vAlign w:val="bottom"/>
          </w:tcPr>
          <w:p w14:paraId="5D7F7949"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r w:rsidRPr="00ED765F">
              <w:rPr>
                <w:rFonts w:ascii="Times New Roman" w:hAnsi="Times New Roman" w:cs="Times New Roman"/>
                <w:color w:val="000000"/>
              </w:rPr>
              <w:t>None *</w:t>
            </w:r>
          </w:p>
        </w:tc>
        <w:tc>
          <w:tcPr>
            <w:tcW w:w="1350" w:type="dxa"/>
            <w:tcBorders>
              <w:top w:val="nil"/>
              <w:left w:val="nil"/>
              <w:bottom w:val="nil"/>
              <w:right w:val="nil"/>
            </w:tcBorders>
            <w:vAlign w:val="bottom"/>
          </w:tcPr>
          <w:p w14:paraId="7E5CC9FF"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r w:rsidRPr="00ED765F">
              <w:rPr>
                <w:rFonts w:ascii="Times New Roman" w:hAnsi="Times New Roman" w:cs="Times New Roman"/>
                <w:color w:val="000000"/>
              </w:rPr>
              <w:t> 0.477499</w:t>
            </w:r>
          </w:p>
        </w:tc>
        <w:tc>
          <w:tcPr>
            <w:tcW w:w="1350" w:type="dxa"/>
            <w:tcBorders>
              <w:top w:val="nil"/>
              <w:left w:val="nil"/>
              <w:bottom w:val="nil"/>
              <w:right w:val="nil"/>
            </w:tcBorders>
            <w:vAlign w:val="bottom"/>
          </w:tcPr>
          <w:p w14:paraId="48BE2BBB"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r w:rsidRPr="00ED765F">
              <w:rPr>
                <w:rFonts w:ascii="Times New Roman" w:hAnsi="Times New Roman" w:cs="Times New Roman"/>
                <w:color w:val="000000"/>
              </w:rPr>
              <w:t> 20.53933</w:t>
            </w:r>
          </w:p>
        </w:tc>
        <w:tc>
          <w:tcPr>
            <w:tcW w:w="1350" w:type="dxa"/>
            <w:tcBorders>
              <w:top w:val="nil"/>
              <w:left w:val="nil"/>
              <w:bottom w:val="nil"/>
              <w:right w:val="nil"/>
            </w:tcBorders>
            <w:vAlign w:val="bottom"/>
          </w:tcPr>
          <w:p w14:paraId="42A07495"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r w:rsidRPr="00ED765F">
              <w:rPr>
                <w:rFonts w:ascii="Times New Roman" w:hAnsi="Times New Roman" w:cs="Times New Roman"/>
                <w:color w:val="000000"/>
              </w:rPr>
              <w:t> 15.49471</w:t>
            </w:r>
          </w:p>
        </w:tc>
        <w:tc>
          <w:tcPr>
            <w:tcW w:w="1350" w:type="dxa"/>
            <w:tcBorders>
              <w:top w:val="nil"/>
              <w:left w:val="nil"/>
              <w:bottom w:val="nil"/>
              <w:right w:val="nil"/>
            </w:tcBorders>
            <w:vAlign w:val="bottom"/>
          </w:tcPr>
          <w:p w14:paraId="20A55531"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r w:rsidRPr="00ED765F">
              <w:rPr>
                <w:rFonts w:ascii="Times New Roman" w:hAnsi="Times New Roman" w:cs="Times New Roman"/>
                <w:color w:val="000000"/>
              </w:rPr>
              <w:t> 0.0080</w:t>
            </w:r>
          </w:p>
        </w:tc>
      </w:tr>
      <w:tr w:rsidR="00ED765F" w:rsidRPr="00ED765F" w14:paraId="562DB6F5" w14:textId="77777777">
        <w:trPr>
          <w:trHeight w:val="220"/>
        </w:trPr>
        <w:tc>
          <w:tcPr>
            <w:tcW w:w="1320" w:type="dxa"/>
            <w:tcBorders>
              <w:top w:val="nil"/>
              <w:left w:val="nil"/>
              <w:bottom w:val="nil"/>
              <w:right w:val="nil"/>
            </w:tcBorders>
            <w:vAlign w:val="bottom"/>
          </w:tcPr>
          <w:p w14:paraId="0B01C9E5"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r w:rsidRPr="00ED765F">
              <w:rPr>
                <w:rFonts w:ascii="Times New Roman" w:hAnsi="Times New Roman" w:cs="Times New Roman"/>
                <w:color w:val="000000"/>
              </w:rPr>
              <w:t xml:space="preserve">At </w:t>
            </w:r>
            <w:proofErr w:type="spellStart"/>
            <w:r w:rsidRPr="00ED765F">
              <w:rPr>
                <w:rFonts w:ascii="Times New Roman" w:hAnsi="Times New Roman" w:cs="Times New Roman"/>
                <w:color w:val="000000"/>
              </w:rPr>
              <w:t>most</w:t>
            </w:r>
            <w:proofErr w:type="spellEnd"/>
            <w:r w:rsidRPr="00ED765F">
              <w:rPr>
                <w:rFonts w:ascii="Times New Roman" w:hAnsi="Times New Roman" w:cs="Times New Roman"/>
                <w:color w:val="000000"/>
              </w:rPr>
              <w:t xml:space="preserve"> 1</w:t>
            </w:r>
          </w:p>
        </w:tc>
        <w:tc>
          <w:tcPr>
            <w:tcW w:w="1350" w:type="dxa"/>
            <w:tcBorders>
              <w:top w:val="nil"/>
              <w:left w:val="nil"/>
              <w:bottom w:val="nil"/>
              <w:right w:val="nil"/>
            </w:tcBorders>
            <w:vAlign w:val="bottom"/>
          </w:tcPr>
          <w:p w14:paraId="5EAB0E2A"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r w:rsidRPr="00ED765F">
              <w:rPr>
                <w:rFonts w:ascii="Times New Roman" w:hAnsi="Times New Roman" w:cs="Times New Roman"/>
                <w:color w:val="000000"/>
              </w:rPr>
              <w:t> 0.131377</w:t>
            </w:r>
          </w:p>
        </w:tc>
        <w:tc>
          <w:tcPr>
            <w:tcW w:w="1350" w:type="dxa"/>
            <w:tcBorders>
              <w:top w:val="nil"/>
              <w:left w:val="nil"/>
              <w:bottom w:val="nil"/>
              <w:right w:val="nil"/>
            </w:tcBorders>
            <w:vAlign w:val="bottom"/>
          </w:tcPr>
          <w:p w14:paraId="634B4606"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r w:rsidRPr="00ED765F">
              <w:rPr>
                <w:rFonts w:ascii="Times New Roman" w:hAnsi="Times New Roman" w:cs="Times New Roman"/>
                <w:color w:val="000000"/>
              </w:rPr>
              <w:t> 3.662007</w:t>
            </w:r>
          </w:p>
        </w:tc>
        <w:tc>
          <w:tcPr>
            <w:tcW w:w="1350" w:type="dxa"/>
            <w:tcBorders>
              <w:top w:val="nil"/>
              <w:left w:val="nil"/>
              <w:bottom w:val="nil"/>
              <w:right w:val="nil"/>
            </w:tcBorders>
            <w:vAlign w:val="bottom"/>
          </w:tcPr>
          <w:p w14:paraId="59CA50DC"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r w:rsidRPr="00ED765F">
              <w:rPr>
                <w:rFonts w:ascii="Times New Roman" w:hAnsi="Times New Roman" w:cs="Times New Roman"/>
                <w:color w:val="000000"/>
              </w:rPr>
              <w:t> 3.841465</w:t>
            </w:r>
          </w:p>
        </w:tc>
        <w:tc>
          <w:tcPr>
            <w:tcW w:w="1350" w:type="dxa"/>
            <w:tcBorders>
              <w:top w:val="nil"/>
              <w:left w:val="nil"/>
              <w:bottom w:val="nil"/>
              <w:right w:val="nil"/>
            </w:tcBorders>
            <w:vAlign w:val="bottom"/>
          </w:tcPr>
          <w:p w14:paraId="418CEB5A"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r w:rsidRPr="00ED765F">
              <w:rPr>
                <w:rFonts w:ascii="Times New Roman" w:hAnsi="Times New Roman" w:cs="Times New Roman"/>
                <w:color w:val="000000"/>
              </w:rPr>
              <w:t> 0.0557</w:t>
            </w:r>
          </w:p>
        </w:tc>
      </w:tr>
      <w:tr w:rsidR="00ED765F" w:rsidRPr="00ED765F" w14:paraId="5880558F" w14:textId="77777777">
        <w:trPr>
          <w:trHeight w:hRule="exact" w:val="88"/>
        </w:trPr>
        <w:tc>
          <w:tcPr>
            <w:tcW w:w="1320" w:type="dxa"/>
            <w:tcBorders>
              <w:top w:val="nil"/>
              <w:left w:val="nil"/>
              <w:bottom w:val="double" w:sz="6" w:space="2" w:color="auto"/>
              <w:right w:val="nil"/>
            </w:tcBorders>
            <w:vAlign w:val="bottom"/>
          </w:tcPr>
          <w:p w14:paraId="32D0B7FC"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c>
          <w:tcPr>
            <w:tcW w:w="1350" w:type="dxa"/>
            <w:tcBorders>
              <w:top w:val="nil"/>
              <w:left w:val="nil"/>
              <w:bottom w:val="double" w:sz="6" w:space="2" w:color="auto"/>
              <w:right w:val="nil"/>
            </w:tcBorders>
            <w:vAlign w:val="bottom"/>
          </w:tcPr>
          <w:p w14:paraId="0C2F165E"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c>
          <w:tcPr>
            <w:tcW w:w="1350" w:type="dxa"/>
            <w:tcBorders>
              <w:top w:val="nil"/>
              <w:left w:val="nil"/>
              <w:bottom w:val="double" w:sz="6" w:space="2" w:color="auto"/>
              <w:right w:val="nil"/>
            </w:tcBorders>
            <w:vAlign w:val="bottom"/>
          </w:tcPr>
          <w:p w14:paraId="0579C322"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c>
          <w:tcPr>
            <w:tcW w:w="1350" w:type="dxa"/>
            <w:tcBorders>
              <w:top w:val="nil"/>
              <w:left w:val="nil"/>
              <w:bottom w:val="double" w:sz="6" w:space="2" w:color="auto"/>
              <w:right w:val="nil"/>
            </w:tcBorders>
            <w:vAlign w:val="bottom"/>
          </w:tcPr>
          <w:p w14:paraId="2B3F9E8F"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c>
          <w:tcPr>
            <w:tcW w:w="1350" w:type="dxa"/>
            <w:tcBorders>
              <w:top w:val="nil"/>
              <w:left w:val="nil"/>
              <w:bottom w:val="double" w:sz="6" w:space="2" w:color="auto"/>
              <w:right w:val="nil"/>
            </w:tcBorders>
            <w:vAlign w:val="bottom"/>
          </w:tcPr>
          <w:p w14:paraId="42B2980F"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r>
      <w:tr w:rsidR="00ED765F" w:rsidRPr="00ED765F" w14:paraId="2D77E147" w14:textId="77777777">
        <w:trPr>
          <w:trHeight w:hRule="exact" w:val="132"/>
        </w:trPr>
        <w:tc>
          <w:tcPr>
            <w:tcW w:w="1320" w:type="dxa"/>
            <w:tcBorders>
              <w:top w:val="nil"/>
              <w:left w:val="nil"/>
              <w:bottom w:val="nil"/>
              <w:right w:val="nil"/>
            </w:tcBorders>
            <w:vAlign w:val="bottom"/>
          </w:tcPr>
          <w:p w14:paraId="4E5F2E2F"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c>
          <w:tcPr>
            <w:tcW w:w="1350" w:type="dxa"/>
            <w:tcBorders>
              <w:top w:val="nil"/>
              <w:left w:val="nil"/>
              <w:bottom w:val="nil"/>
              <w:right w:val="nil"/>
            </w:tcBorders>
            <w:vAlign w:val="bottom"/>
          </w:tcPr>
          <w:p w14:paraId="347B95BF"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c>
          <w:tcPr>
            <w:tcW w:w="1350" w:type="dxa"/>
            <w:tcBorders>
              <w:top w:val="nil"/>
              <w:left w:val="nil"/>
              <w:bottom w:val="nil"/>
              <w:right w:val="nil"/>
            </w:tcBorders>
            <w:vAlign w:val="bottom"/>
          </w:tcPr>
          <w:p w14:paraId="042C7D9B"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c>
          <w:tcPr>
            <w:tcW w:w="1350" w:type="dxa"/>
            <w:tcBorders>
              <w:top w:val="nil"/>
              <w:left w:val="nil"/>
              <w:bottom w:val="nil"/>
              <w:right w:val="nil"/>
            </w:tcBorders>
            <w:vAlign w:val="bottom"/>
          </w:tcPr>
          <w:p w14:paraId="39DB6625"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c>
          <w:tcPr>
            <w:tcW w:w="1350" w:type="dxa"/>
            <w:tcBorders>
              <w:top w:val="nil"/>
              <w:left w:val="nil"/>
              <w:bottom w:val="nil"/>
              <w:right w:val="nil"/>
            </w:tcBorders>
            <w:vAlign w:val="bottom"/>
          </w:tcPr>
          <w:p w14:paraId="30EA742E"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r>
      <w:tr w:rsidR="00ED765F" w:rsidRPr="00943470" w14:paraId="69341A92" w14:textId="77777777" w:rsidTr="00ED765F">
        <w:trPr>
          <w:trHeight w:val="220"/>
        </w:trPr>
        <w:tc>
          <w:tcPr>
            <w:tcW w:w="6720" w:type="dxa"/>
            <w:gridSpan w:val="5"/>
            <w:tcBorders>
              <w:top w:val="nil"/>
              <w:left w:val="nil"/>
              <w:bottom w:val="nil"/>
              <w:right w:val="nil"/>
            </w:tcBorders>
            <w:vAlign w:val="bottom"/>
          </w:tcPr>
          <w:p w14:paraId="6B0A2F17"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lang w:val="en-US"/>
              </w:rPr>
            </w:pPr>
            <w:r w:rsidRPr="00ED765F">
              <w:rPr>
                <w:rFonts w:ascii="Times New Roman" w:hAnsi="Times New Roman" w:cs="Times New Roman"/>
                <w:color w:val="000000"/>
                <w:lang w:val="en-US"/>
              </w:rPr>
              <w:t> Trace test indicates 1 cointegrating equation(s) at the 0.05 level</w:t>
            </w:r>
          </w:p>
        </w:tc>
      </w:tr>
      <w:tr w:rsidR="00ED765F" w:rsidRPr="00943470" w14:paraId="37F9EAE9" w14:textId="77777777" w:rsidTr="00ED765F">
        <w:trPr>
          <w:trHeight w:val="220"/>
        </w:trPr>
        <w:tc>
          <w:tcPr>
            <w:tcW w:w="6720" w:type="dxa"/>
            <w:gridSpan w:val="5"/>
            <w:tcBorders>
              <w:top w:val="nil"/>
              <w:left w:val="nil"/>
              <w:bottom w:val="nil"/>
              <w:right w:val="nil"/>
            </w:tcBorders>
            <w:vAlign w:val="bottom"/>
          </w:tcPr>
          <w:p w14:paraId="0EEC4037"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lang w:val="en-US"/>
              </w:rPr>
            </w:pPr>
            <w:r w:rsidRPr="00ED765F">
              <w:rPr>
                <w:rFonts w:ascii="Times New Roman" w:hAnsi="Times New Roman" w:cs="Times New Roman"/>
                <w:color w:val="000000"/>
                <w:lang w:val="en-US"/>
              </w:rPr>
              <w:t> * denotes rejection of the hypothesis at the 0.05 level</w:t>
            </w:r>
          </w:p>
        </w:tc>
      </w:tr>
      <w:tr w:rsidR="00ED765F" w:rsidRPr="00943470" w14:paraId="40B3EE9C" w14:textId="77777777" w:rsidTr="00ED765F">
        <w:trPr>
          <w:trHeight w:val="220"/>
        </w:trPr>
        <w:tc>
          <w:tcPr>
            <w:tcW w:w="6720" w:type="dxa"/>
            <w:gridSpan w:val="5"/>
            <w:tcBorders>
              <w:top w:val="nil"/>
              <w:left w:val="nil"/>
              <w:bottom w:val="nil"/>
              <w:right w:val="nil"/>
            </w:tcBorders>
            <w:vAlign w:val="bottom"/>
          </w:tcPr>
          <w:p w14:paraId="09B5C43D"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lang w:val="fr-FR"/>
              </w:rPr>
            </w:pPr>
            <w:r w:rsidRPr="00ED765F">
              <w:rPr>
                <w:rFonts w:ascii="Times New Roman" w:hAnsi="Times New Roman" w:cs="Times New Roman"/>
                <w:color w:val="000000"/>
                <w:lang w:val="en-US"/>
              </w:rPr>
              <w:t> </w:t>
            </w:r>
            <w:r w:rsidRPr="00ED765F">
              <w:rPr>
                <w:rFonts w:ascii="Times New Roman" w:hAnsi="Times New Roman" w:cs="Times New Roman"/>
                <w:color w:val="000000"/>
                <w:lang w:val="fr-FR"/>
              </w:rPr>
              <w:t>**MacKinnon-Haug-</w:t>
            </w:r>
            <w:proofErr w:type="spellStart"/>
            <w:r w:rsidRPr="00ED765F">
              <w:rPr>
                <w:rFonts w:ascii="Times New Roman" w:hAnsi="Times New Roman" w:cs="Times New Roman"/>
                <w:color w:val="000000"/>
                <w:lang w:val="fr-FR"/>
              </w:rPr>
              <w:t>Michelis</w:t>
            </w:r>
            <w:proofErr w:type="spellEnd"/>
            <w:r w:rsidRPr="00ED765F">
              <w:rPr>
                <w:rFonts w:ascii="Times New Roman" w:hAnsi="Times New Roman" w:cs="Times New Roman"/>
                <w:color w:val="000000"/>
                <w:lang w:val="fr-FR"/>
              </w:rPr>
              <w:t xml:space="preserve"> (1999) p-values</w:t>
            </w:r>
          </w:p>
        </w:tc>
      </w:tr>
    </w:tbl>
    <w:p w14:paraId="2E617501" w14:textId="6A95550D" w:rsidR="00834A39" w:rsidRPr="007E746F" w:rsidRDefault="00ED765F" w:rsidP="00497F00">
      <w:pPr>
        <w:autoSpaceDE w:val="0"/>
        <w:autoSpaceDN w:val="0"/>
        <w:adjustRightInd w:val="0"/>
        <w:spacing w:after="0" w:line="240" w:lineRule="auto"/>
        <w:jc w:val="both"/>
        <w:rPr>
          <w:rFonts w:ascii="Times New Roman" w:hAnsi="Times New Roman" w:cs="Times New Roman"/>
          <w:lang w:val="fr-FR"/>
        </w:rPr>
      </w:pPr>
      <w:r w:rsidRPr="007E746F">
        <w:rPr>
          <w:rFonts w:ascii="Times New Roman" w:hAnsi="Times New Roman" w:cs="Times New Roman"/>
          <w:lang w:val="fr-FR"/>
        </w:rPr>
        <w:br/>
      </w:r>
    </w:p>
    <w:p w14:paraId="2C0F929E" w14:textId="7B5CB38F" w:rsidR="00ED765F" w:rsidRPr="00ED765F" w:rsidRDefault="00ED765F" w:rsidP="00497F00">
      <w:pPr>
        <w:autoSpaceDE w:val="0"/>
        <w:autoSpaceDN w:val="0"/>
        <w:adjustRightInd w:val="0"/>
        <w:spacing w:after="0" w:line="240" w:lineRule="auto"/>
        <w:jc w:val="both"/>
        <w:rPr>
          <w:rFonts w:ascii="Times New Roman" w:hAnsi="Times New Roman" w:cs="Times New Roman"/>
          <w:lang w:val="en-US"/>
        </w:rPr>
      </w:pPr>
      <w:r w:rsidRPr="00ED765F">
        <w:rPr>
          <w:rFonts w:ascii="Times New Roman" w:hAnsi="Times New Roman" w:cs="Times New Roman"/>
          <w:lang w:val="en-US"/>
        </w:rPr>
        <w:t>Unrestricted Cointegration Rank Test (</w:t>
      </w:r>
      <w:r>
        <w:rPr>
          <w:rFonts w:ascii="Times New Roman" w:hAnsi="Times New Roman" w:cs="Times New Roman"/>
          <w:lang w:val="en-US"/>
        </w:rPr>
        <w:t>Max-Eigenvalue)</w:t>
      </w:r>
    </w:p>
    <w:tbl>
      <w:tblPr>
        <w:tblW w:w="0" w:type="auto"/>
        <w:tblInd w:w="30" w:type="dxa"/>
        <w:tblLayout w:type="fixed"/>
        <w:tblCellMar>
          <w:left w:w="0" w:type="dxa"/>
          <w:right w:w="0" w:type="dxa"/>
        </w:tblCellMar>
        <w:tblLook w:val="0000" w:firstRow="0" w:lastRow="0" w:firstColumn="0" w:lastColumn="0" w:noHBand="0" w:noVBand="0"/>
      </w:tblPr>
      <w:tblGrid>
        <w:gridCol w:w="1320"/>
        <w:gridCol w:w="1350"/>
        <w:gridCol w:w="1350"/>
        <w:gridCol w:w="1350"/>
        <w:gridCol w:w="1350"/>
      </w:tblGrid>
      <w:tr w:rsidR="00ED765F" w:rsidRPr="00943470" w14:paraId="649DB314" w14:textId="77777777">
        <w:trPr>
          <w:trHeight w:hRule="exact" w:val="88"/>
        </w:trPr>
        <w:tc>
          <w:tcPr>
            <w:tcW w:w="1320" w:type="dxa"/>
            <w:tcBorders>
              <w:top w:val="nil"/>
              <w:left w:val="nil"/>
              <w:bottom w:val="double" w:sz="6" w:space="2" w:color="auto"/>
              <w:right w:val="nil"/>
            </w:tcBorders>
            <w:vAlign w:val="bottom"/>
          </w:tcPr>
          <w:p w14:paraId="48BA346B"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lang w:val="en-US"/>
              </w:rPr>
            </w:pPr>
          </w:p>
        </w:tc>
        <w:tc>
          <w:tcPr>
            <w:tcW w:w="1350" w:type="dxa"/>
            <w:tcBorders>
              <w:top w:val="nil"/>
              <w:left w:val="nil"/>
              <w:bottom w:val="double" w:sz="6" w:space="2" w:color="auto"/>
              <w:right w:val="nil"/>
            </w:tcBorders>
            <w:vAlign w:val="bottom"/>
          </w:tcPr>
          <w:p w14:paraId="2A79C7B0"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lang w:val="en-US"/>
              </w:rPr>
            </w:pPr>
          </w:p>
        </w:tc>
        <w:tc>
          <w:tcPr>
            <w:tcW w:w="1350" w:type="dxa"/>
            <w:tcBorders>
              <w:top w:val="nil"/>
              <w:left w:val="nil"/>
              <w:bottom w:val="double" w:sz="6" w:space="2" w:color="auto"/>
              <w:right w:val="nil"/>
            </w:tcBorders>
            <w:vAlign w:val="bottom"/>
          </w:tcPr>
          <w:p w14:paraId="1CEE641C"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lang w:val="en-US"/>
              </w:rPr>
            </w:pPr>
          </w:p>
        </w:tc>
        <w:tc>
          <w:tcPr>
            <w:tcW w:w="1350" w:type="dxa"/>
            <w:tcBorders>
              <w:top w:val="nil"/>
              <w:left w:val="nil"/>
              <w:bottom w:val="double" w:sz="6" w:space="2" w:color="auto"/>
              <w:right w:val="nil"/>
            </w:tcBorders>
            <w:vAlign w:val="bottom"/>
          </w:tcPr>
          <w:p w14:paraId="0083505B"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lang w:val="en-US"/>
              </w:rPr>
            </w:pPr>
          </w:p>
        </w:tc>
        <w:tc>
          <w:tcPr>
            <w:tcW w:w="1350" w:type="dxa"/>
            <w:tcBorders>
              <w:top w:val="nil"/>
              <w:left w:val="nil"/>
              <w:bottom w:val="double" w:sz="6" w:space="2" w:color="auto"/>
              <w:right w:val="nil"/>
            </w:tcBorders>
            <w:vAlign w:val="bottom"/>
          </w:tcPr>
          <w:p w14:paraId="48AE5FCA"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lang w:val="en-US"/>
              </w:rPr>
            </w:pPr>
          </w:p>
        </w:tc>
      </w:tr>
      <w:tr w:rsidR="00ED765F" w:rsidRPr="00943470" w14:paraId="38FE0F40" w14:textId="77777777">
        <w:trPr>
          <w:trHeight w:hRule="exact" w:val="132"/>
        </w:trPr>
        <w:tc>
          <w:tcPr>
            <w:tcW w:w="1320" w:type="dxa"/>
            <w:tcBorders>
              <w:top w:val="nil"/>
              <w:left w:val="nil"/>
              <w:bottom w:val="nil"/>
              <w:right w:val="nil"/>
            </w:tcBorders>
            <w:vAlign w:val="bottom"/>
          </w:tcPr>
          <w:p w14:paraId="10EC04BF"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lang w:val="en-US"/>
              </w:rPr>
            </w:pPr>
          </w:p>
        </w:tc>
        <w:tc>
          <w:tcPr>
            <w:tcW w:w="1350" w:type="dxa"/>
            <w:tcBorders>
              <w:top w:val="nil"/>
              <w:left w:val="nil"/>
              <w:bottom w:val="nil"/>
              <w:right w:val="nil"/>
            </w:tcBorders>
            <w:vAlign w:val="bottom"/>
          </w:tcPr>
          <w:p w14:paraId="497EDE3D"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lang w:val="en-US"/>
              </w:rPr>
            </w:pPr>
          </w:p>
        </w:tc>
        <w:tc>
          <w:tcPr>
            <w:tcW w:w="1350" w:type="dxa"/>
            <w:tcBorders>
              <w:top w:val="nil"/>
              <w:left w:val="nil"/>
              <w:bottom w:val="nil"/>
              <w:right w:val="nil"/>
            </w:tcBorders>
            <w:vAlign w:val="bottom"/>
          </w:tcPr>
          <w:p w14:paraId="2320B59C"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lang w:val="en-US"/>
              </w:rPr>
            </w:pPr>
          </w:p>
        </w:tc>
        <w:tc>
          <w:tcPr>
            <w:tcW w:w="1350" w:type="dxa"/>
            <w:tcBorders>
              <w:top w:val="nil"/>
              <w:left w:val="nil"/>
              <w:bottom w:val="nil"/>
              <w:right w:val="nil"/>
            </w:tcBorders>
            <w:vAlign w:val="bottom"/>
          </w:tcPr>
          <w:p w14:paraId="38E3E748"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lang w:val="en-US"/>
              </w:rPr>
            </w:pPr>
          </w:p>
        </w:tc>
        <w:tc>
          <w:tcPr>
            <w:tcW w:w="1350" w:type="dxa"/>
            <w:tcBorders>
              <w:top w:val="nil"/>
              <w:left w:val="nil"/>
              <w:bottom w:val="nil"/>
              <w:right w:val="nil"/>
            </w:tcBorders>
            <w:vAlign w:val="bottom"/>
          </w:tcPr>
          <w:p w14:paraId="1A2C852F"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lang w:val="en-US"/>
              </w:rPr>
            </w:pPr>
          </w:p>
        </w:tc>
      </w:tr>
      <w:tr w:rsidR="00ED765F" w:rsidRPr="00ED765F" w14:paraId="2D331C66" w14:textId="77777777">
        <w:trPr>
          <w:trHeight w:val="220"/>
        </w:trPr>
        <w:tc>
          <w:tcPr>
            <w:tcW w:w="1320" w:type="dxa"/>
            <w:tcBorders>
              <w:top w:val="nil"/>
              <w:left w:val="nil"/>
              <w:bottom w:val="nil"/>
              <w:right w:val="nil"/>
            </w:tcBorders>
            <w:vAlign w:val="bottom"/>
          </w:tcPr>
          <w:p w14:paraId="059BE66A"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roofErr w:type="spellStart"/>
            <w:r w:rsidRPr="00ED765F">
              <w:rPr>
                <w:rFonts w:ascii="Times New Roman" w:hAnsi="Times New Roman" w:cs="Times New Roman"/>
                <w:color w:val="000000"/>
              </w:rPr>
              <w:t>Hypothesized</w:t>
            </w:r>
            <w:proofErr w:type="spellEnd"/>
          </w:p>
        </w:tc>
        <w:tc>
          <w:tcPr>
            <w:tcW w:w="1350" w:type="dxa"/>
            <w:tcBorders>
              <w:top w:val="nil"/>
              <w:left w:val="nil"/>
              <w:bottom w:val="nil"/>
              <w:right w:val="nil"/>
            </w:tcBorders>
            <w:vAlign w:val="bottom"/>
          </w:tcPr>
          <w:p w14:paraId="48E33405"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c>
          <w:tcPr>
            <w:tcW w:w="1350" w:type="dxa"/>
            <w:tcBorders>
              <w:top w:val="nil"/>
              <w:left w:val="nil"/>
              <w:bottom w:val="nil"/>
              <w:right w:val="nil"/>
            </w:tcBorders>
            <w:vAlign w:val="bottom"/>
          </w:tcPr>
          <w:p w14:paraId="4F4F708B"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r w:rsidRPr="00ED765F">
              <w:rPr>
                <w:rFonts w:ascii="Times New Roman" w:hAnsi="Times New Roman" w:cs="Times New Roman"/>
                <w:color w:val="000000"/>
              </w:rPr>
              <w:t>Max-Eigen</w:t>
            </w:r>
          </w:p>
        </w:tc>
        <w:tc>
          <w:tcPr>
            <w:tcW w:w="1350" w:type="dxa"/>
            <w:tcBorders>
              <w:top w:val="nil"/>
              <w:left w:val="nil"/>
              <w:bottom w:val="nil"/>
              <w:right w:val="nil"/>
            </w:tcBorders>
            <w:vAlign w:val="bottom"/>
          </w:tcPr>
          <w:p w14:paraId="359D5E56"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r w:rsidRPr="00ED765F">
              <w:rPr>
                <w:rFonts w:ascii="Times New Roman" w:hAnsi="Times New Roman" w:cs="Times New Roman"/>
                <w:color w:val="000000"/>
              </w:rPr>
              <w:t>0.05</w:t>
            </w:r>
          </w:p>
        </w:tc>
        <w:tc>
          <w:tcPr>
            <w:tcW w:w="1350" w:type="dxa"/>
            <w:tcBorders>
              <w:top w:val="nil"/>
              <w:left w:val="nil"/>
              <w:bottom w:val="nil"/>
              <w:right w:val="nil"/>
            </w:tcBorders>
            <w:vAlign w:val="bottom"/>
          </w:tcPr>
          <w:p w14:paraId="7138DAE9"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roofErr w:type="gramStart"/>
            <w:r w:rsidRPr="00ED765F">
              <w:rPr>
                <w:rFonts w:ascii="Times New Roman" w:hAnsi="Times New Roman" w:cs="Times New Roman"/>
                <w:color w:val="000000"/>
              </w:rPr>
              <w:t>Prob.*</w:t>
            </w:r>
            <w:proofErr w:type="gramEnd"/>
            <w:r w:rsidRPr="00ED765F">
              <w:rPr>
                <w:rFonts w:ascii="Times New Roman" w:hAnsi="Times New Roman" w:cs="Times New Roman"/>
                <w:color w:val="000000"/>
              </w:rPr>
              <w:t>*</w:t>
            </w:r>
          </w:p>
        </w:tc>
      </w:tr>
      <w:tr w:rsidR="00ED765F" w:rsidRPr="00ED765F" w14:paraId="6BEDAB28" w14:textId="77777777">
        <w:trPr>
          <w:trHeight w:val="220"/>
        </w:trPr>
        <w:tc>
          <w:tcPr>
            <w:tcW w:w="1320" w:type="dxa"/>
            <w:tcBorders>
              <w:top w:val="nil"/>
              <w:left w:val="nil"/>
              <w:bottom w:val="nil"/>
              <w:right w:val="nil"/>
            </w:tcBorders>
            <w:vAlign w:val="bottom"/>
          </w:tcPr>
          <w:p w14:paraId="1CD5435B"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roofErr w:type="spellStart"/>
            <w:r w:rsidRPr="00ED765F">
              <w:rPr>
                <w:rFonts w:ascii="Times New Roman" w:hAnsi="Times New Roman" w:cs="Times New Roman"/>
                <w:color w:val="000000"/>
              </w:rPr>
              <w:t>No</w:t>
            </w:r>
            <w:proofErr w:type="spellEnd"/>
            <w:r w:rsidRPr="00ED765F">
              <w:rPr>
                <w:rFonts w:ascii="Times New Roman" w:hAnsi="Times New Roman" w:cs="Times New Roman"/>
                <w:color w:val="000000"/>
              </w:rPr>
              <w:t xml:space="preserve">. </w:t>
            </w:r>
            <w:proofErr w:type="spellStart"/>
            <w:r w:rsidRPr="00ED765F">
              <w:rPr>
                <w:rFonts w:ascii="Times New Roman" w:hAnsi="Times New Roman" w:cs="Times New Roman"/>
                <w:color w:val="000000"/>
              </w:rPr>
              <w:t>of</w:t>
            </w:r>
            <w:proofErr w:type="spellEnd"/>
            <w:r w:rsidRPr="00ED765F">
              <w:rPr>
                <w:rFonts w:ascii="Times New Roman" w:hAnsi="Times New Roman" w:cs="Times New Roman"/>
                <w:color w:val="000000"/>
              </w:rPr>
              <w:t xml:space="preserve"> CE(s)</w:t>
            </w:r>
          </w:p>
        </w:tc>
        <w:tc>
          <w:tcPr>
            <w:tcW w:w="1350" w:type="dxa"/>
            <w:tcBorders>
              <w:top w:val="nil"/>
              <w:left w:val="nil"/>
              <w:bottom w:val="nil"/>
              <w:right w:val="nil"/>
            </w:tcBorders>
            <w:vAlign w:val="bottom"/>
          </w:tcPr>
          <w:p w14:paraId="3C85CCC8"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r w:rsidRPr="00ED765F">
              <w:rPr>
                <w:rFonts w:ascii="Times New Roman" w:hAnsi="Times New Roman" w:cs="Times New Roman"/>
                <w:color w:val="000000"/>
              </w:rPr>
              <w:t>Eigenvalue</w:t>
            </w:r>
          </w:p>
        </w:tc>
        <w:tc>
          <w:tcPr>
            <w:tcW w:w="1350" w:type="dxa"/>
            <w:tcBorders>
              <w:top w:val="nil"/>
              <w:left w:val="nil"/>
              <w:bottom w:val="nil"/>
              <w:right w:val="nil"/>
            </w:tcBorders>
            <w:vAlign w:val="bottom"/>
          </w:tcPr>
          <w:p w14:paraId="740DDC82"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roofErr w:type="spellStart"/>
            <w:r w:rsidRPr="00ED765F">
              <w:rPr>
                <w:rFonts w:ascii="Times New Roman" w:hAnsi="Times New Roman" w:cs="Times New Roman"/>
                <w:color w:val="000000"/>
              </w:rPr>
              <w:t>Statistic</w:t>
            </w:r>
            <w:proofErr w:type="spellEnd"/>
          </w:p>
        </w:tc>
        <w:tc>
          <w:tcPr>
            <w:tcW w:w="1350" w:type="dxa"/>
            <w:tcBorders>
              <w:top w:val="nil"/>
              <w:left w:val="nil"/>
              <w:bottom w:val="nil"/>
              <w:right w:val="nil"/>
            </w:tcBorders>
            <w:vAlign w:val="bottom"/>
          </w:tcPr>
          <w:p w14:paraId="52D16ED9"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r w:rsidRPr="00ED765F">
              <w:rPr>
                <w:rFonts w:ascii="Times New Roman" w:hAnsi="Times New Roman" w:cs="Times New Roman"/>
                <w:color w:val="000000"/>
              </w:rPr>
              <w:t>Critical Value</w:t>
            </w:r>
          </w:p>
        </w:tc>
        <w:tc>
          <w:tcPr>
            <w:tcW w:w="1350" w:type="dxa"/>
            <w:tcBorders>
              <w:top w:val="nil"/>
              <w:left w:val="nil"/>
              <w:bottom w:val="nil"/>
              <w:right w:val="nil"/>
            </w:tcBorders>
            <w:vAlign w:val="bottom"/>
          </w:tcPr>
          <w:p w14:paraId="47964BFB"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r w:rsidRPr="00ED765F">
              <w:rPr>
                <w:rFonts w:ascii="Times New Roman" w:hAnsi="Times New Roman" w:cs="Times New Roman"/>
                <w:color w:val="000000"/>
              </w:rPr>
              <w:t>Critical Value</w:t>
            </w:r>
          </w:p>
        </w:tc>
      </w:tr>
      <w:tr w:rsidR="00ED765F" w:rsidRPr="00ED765F" w14:paraId="02ECAFCF" w14:textId="77777777">
        <w:trPr>
          <w:trHeight w:hRule="exact" w:val="88"/>
        </w:trPr>
        <w:tc>
          <w:tcPr>
            <w:tcW w:w="1320" w:type="dxa"/>
            <w:tcBorders>
              <w:top w:val="nil"/>
              <w:left w:val="nil"/>
              <w:bottom w:val="double" w:sz="6" w:space="2" w:color="auto"/>
              <w:right w:val="nil"/>
            </w:tcBorders>
            <w:vAlign w:val="bottom"/>
          </w:tcPr>
          <w:p w14:paraId="17CC089B"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c>
          <w:tcPr>
            <w:tcW w:w="1350" w:type="dxa"/>
            <w:tcBorders>
              <w:top w:val="nil"/>
              <w:left w:val="nil"/>
              <w:bottom w:val="double" w:sz="6" w:space="2" w:color="auto"/>
              <w:right w:val="nil"/>
            </w:tcBorders>
            <w:vAlign w:val="bottom"/>
          </w:tcPr>
          <w:p w14:paraId="0972EB84"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c>
          <w:tcPr>
            <w:tcW w:w="1350" w:type="dxa"/>
            <w:tcBorders>
              <w:top w:val="nil"/>
              <w:left w:val="nil"/>
              <w:bottom w:val="double" w:sz="6" w:space="2" w:color="auto"/>
              <w:right w:val="nil"/>
            </w:tcBorders>
            <w:vAlign w:val="bottom"/>
          </w:tcPr>
          <w:p w14:paraId="18C1EC31"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c>
          <w:tcPr>
            <w:tcW w:w="1350" w:type="dxa"/>
            <w:tcBorders>
              <w:top w:val="nil"/>
              <w:left w:val="nil"/>
              <w:bottom w:val="double" w:sz="6" w:space="2" w:color="auto"/>
              <w:right w:val="nil"/>
            </w:tcBorders>
            <w:vAlign w:val="bottom"/>
          </w:tcPr>
          <w:p w14:paraId="628EC0FB"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c>
          <w:tcPr>
            <w:tcW w:w="1350" w:type="dxa"/>
            <w:tcBorders>
              <w:top w:val="nil"/>
              <w:left w:val="nil"/>
              <w:bottom w:val="double" w:sz="6" w:space="2" w:color="auto"/>
              <w:right w:val="nil"/>
            </w:tcBorders>
            <w:vAlign w:val="bottom"/>
          </w:tcPr>
          <w:p w14:paraId="198E4B55"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r>
      <w:tr w:rsidR="00ED765F" w:rsidRPr="00ED765F" w14:paraId="38B1C74F" w14:textId="77777777">
        <w:trPr>
          <w:trHeight w:hRule="exact" w:val="132"/>
        </w:trPr>
        <w:tc>
          <w:tcPr>
            <w:tcW w:w="1320" w:type="dxa"/>
            <w:tcBorders>
              <w:top w:val="nil"/>
              <w:left w:val="nil"/>
              <w:bottom w:val="nil"/>
              <w:right w:val="nil"/>
            </w:tcBorders>
            <w:vAlign w:val="bottom"/>
          </w:tcPr>
          <w:p w14:paraId="4D2146F4"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c>
          <w:tcPr>
            <w:tcW w:w="1350" w:type="dxa"/>
            <w:tcBorders>
              <w:top w:val="nil"/>
              <w:left w:val="nil"/>
              <w:bottom w:val="nil"/>
              <w:right w:val="nil"/>
            </w:tcBorders>
            <w:vAlign w:val="bottom"/>
          </w:tcPr>
          <w:p w14:paraId="10ABE5AC"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c>
          <w:tcPr>
            <w:tcW w:w="1350" w:type="dxa"/>
            <w:tcBorders>
              <w:top w:val="nil"/>
              <w:left w:val="nil"/>
              <w:bottom w:val="nil"/>
              <w:right w:val="nil"/>
            </w:tcBorders>
            <w:vAlign w:val="bottom"/>
          </w:tcPr>
          <w:p w14:paraId="2D96B899"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c>
          <w:tcPr>
            <w:tcW w:w="1350" w:type="dxa"/>
            <w:tcBorders>
              <w:top w:val="nil"/>
              <w:left w:val="nil"/>
              <w:bottom w:val="nil"/>
              <w:right w:val="nil"/>
            </w:tcBorders>
            <w:vAlign w:val="bottom"/>
          </w:tcPr>
          <w:p w14:paraId="0A349981"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c>
          <w:tcPr>
            <w:tcW w:w="1350" w:type="dxa"/>
            <w:tcBorders>
              <w:top w:val="nil"/>
              <w:left w:val="nil"/>
              <w:bottom w:val="nil"/>
              <w:right w:val="nil"/>
            </w:tcBorders>
            <w:vAlign w:val="bottom"/>
          </w:tcPr>
          <w:p w14:paraId="1EF1AE20"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r>
      <w:tr w:rsidR="00ED765F" w:rsidRPr="00ED765F" w14:paraId="3B873D51" w14:textId="77777777">
        <w:trPr>
          <w:trHeight w:val="220"/>
        </w:trPr>
        <w:tc>
          <w:tcPr>
            <w:tcW w:w="1320" w:type="dxa"/>
            <w:tcBorders>
              <w:top w:val="nil"/>
              <w:left w:val="nil"/>
              <w:bottom w:val="nil"/>
              <w:right w:val="nil"/>
            </w:tcBorders>
            <w:vAlign w:val="bottom"/>
          </w:tcPr>
          <w:p w14:paraId="1737F8B2"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r w:rsidRPr="00ED765F">
              <w:rPr>
                <w:rFonts w:ascii="Times New Roman" w:hAnsi="Times New Roman" w:cs="Times New Roman"/>
                <w:color w:val="000000"/>
              </w:rPr>
              <w:t>None *</w:t>
            </w:r>
          </w:p>
        </w:tc>
        <w:tc>
          <w:tcPr>
            <w:tcW w:w="1350" w:type="dxa"/>
            <w:tcBorders>
              <w:top w:val="nil"/>
              <w:left w:val="nil"/>
              <w:bottom w:val="nil"/>
              <w:right w:val="nil"/>
            </w:tcBorders>
            <w:vAlign w:val="bottom"/>
          </w:tcPr>
          <w:p w14:paraId="594C73B8"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r w:rsidRPr="00ED765F">
              <w:rPr>
                <w:rFonts w:ascii="Times New Roman" w:hAnsi="Times New Roman" w:cs="Times New Roman"/>
                <w:color w:val="000000"/>
              </w:rPr>
              <w:t> 0.477499</w:t>
            </w:r>
          </w:p>
        </w:tc>
        <w:tc>
          <w:tcPr>
            <w:tcW w:w="1350" w:type="dxa"/>
            <w:tcBorders>
              <w:top w:val="nil"/>
              <w:left w:val="nil"/>
              <w:bottom w:val="nil"/>
              <w:right w:val="nil"/>
            </w:tcBorders>
            <w:vAlign w:val="bottom"/>
          </w:tcPr>
          <w:p w14:paraId="65003661"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r w:rsidRPr="00ED765F">
              <w:rPr>
                <w:rFonts w:ascii="Times New Roman" w:hAnsi="Times New Roman" w:cs="Times New Roman"/>
                <w:color w:val="000000"/>
              </w:rPr>
              <w:t> 16.87733</w:t>
            </w:r>
          </w:p>
        </w:tc>
        <w:tc>
          <w:tcPr>
            <w:tcW w:w="1350" w:type="dxa"/>
            <w:tcBorders>
              <w:top w:val="nil"/>
              <w:left w:val="nil"/>
              <w:bottom w:val="nil"/>
              <w:right w:val="nil"/>
            </w:tcBorders>
            <w:vAlign w:val="bottom"/>
          </w:tcPr>
          <w:p w14:paraId="54330D97"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r w:rsidRPr="00ED765F">
              <w:rPr>
                <w:rFonts w:ascii="Times New Roman" w:hAnsi="Times New Roman" w:cs="Times New Roman"/>
                <w:color w:val="000000"/>
              </w:rPr>
              <w:t> 14.26460</w:t>
            </w:r>
          </w:p>
        </w:tc>
        <w:tc>
          <w:tcPr>
            <w:tcW w:w="1350" w:type="dxa"/>
            <w:tcBorders>
              <w:top w:val="nil"/>
              <w:left w:val="nil"/>
              <w:bottom w:val="nil"/>
              <w:right w:val="nil"/>
            </w:tcBorders>
            <w:vAlign w:val="bottom"/>
          </w:tcPr>
          <w:p w14:paraId="459D3857"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r w:rsidRPr="00ED765F">
              <w:rPr>
                <w:rFonts w:ascii="Times New Roman" w:hAnsi="Times New Roman" w:cs="Times New Roman"/>
                <w:color w:val="000000"/>
              </w:rPr>
              <w:t> 0.0189</w:t>
            </w:r>
          </w:p>
        </w:tc>
      </w:tr>
      <w:tr w:rsidR="00ED765F" w:rsidRPr="00ED765F" w14:paraId="1B953A3E" w14:textId="77777777">
        <w:trPr>
          <w:trHeight w:val="220"/>
        </w:trPr>
        <w:tc>
          <w:tcPr>
            <w:tcW w:w="1320" w:type="dxa"/>
            <w:tcBorders>
              <w:top w:val="nil"/>
              <w:left w:val="nil"/>
              <w:bottom w:val="nil"/>
              <w:right w:val="nil"/>
            </w:tcBorders>
            <w:vAlign w:val="bottom"/>
          </w:tcPr>
          <w:p w14:paraId="4E4832DA"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r w:rsidRPr="00ED765F">
              <w:rPr>
                <w:rFonts w:ascii="Times New Roman" w:hAnsi="Times New Roman" w:cs="Times New Roman"/>
                <w:color w:val="000000"/>
              </w:rPr>
              <w:t xml:space="preserve">At </w:t>
            </w:r>
            <w:proofErr w:type="spellStart"/>
            <w:r w:rsidRPr="00ED765F">
              <w:rPr>
                <w:rFonts w:ascii="Times New Roman" w:hAnsi="Times New Roman" w:cs="Times New Roman"/>
                <w:color w:val="000000"/>
              </w:rPr>
              <w:t>most</w:t>
            </w:r>
            <w:proofErr w:type="spellEnd"/>
            <w:r w:rsidRPr="00ED765F">
              <w:rPr>
                <w:rFonts w:ascii="Times New Roman" w:hAnsi="Times New Roman" w:cs="Times New Roman"/>
                <w:color w:val="000000"/>
              </w:rPr>
              <w:t xml:space="preserve"> 1</w:t>
            </w:r>
          </w:p>
        </w:tc>
        <w:tc>
          <w:tcPr>
            <w:tcW w:w="1350" w:type="dxa"/>
            <w:tcBorders>
              <w:top w:val="nil"/>
              <w:left w:val="nil"/>
              <w:bottom w:val="nil"/>
              <w:right w:val="nil"/>
            </w:tcBorders>
            <w:vAlign w:val="bottom"/>
          </w:tcPr>
          <w:p w14:paraId="42D3BAA6"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r w:rsidRPr="00ED765F">
              <w:rPr>
                <w:rFonts w:ascii="Times New Roman" w:hAnsi="Times New Roman" w:cs="Times New Roman"/>
                <w:color w:val="000000"/>
              </w:rPr>
              <w:t> 0.131377</w:t>
            </w:r>
          </w:p>
        </w:tc>
        <w:tc>
          <w:tcPr>
            <w:tcW w:w="1350" w:type="dxa"/>
            <w:tcBorders>
              <w:top w:val="nil"/>
              <w:left w:val="nil"/>
              <w:bottom w:val="nil"/>
              <w:right w:val="nil"/>
            </w:tcBorders>
            <w:vAlign w:val="bottom"/>
          </w:tcPr>
          <w:p w14:paraId="4FAC49E5"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r w:rsidRPr="00ED765F">
              <w:rPr>
                <w:rFonts w:ascii="Times New Roman" w:hAnsi="Times New Roman" w:cs="Times New Roman"/>
                <w:color w:val="000000"/>
              </w:rPr>
              <w:t> 3.662007</w:t>
            </w:r>
          </w:p>
        </w:tc>
        <w:tc>
          <w:tcPr>
            <w:tcW w:w="1350" w:type="dxa"/>
            <w:tcBorders>
              <w:top w:val="nil"/>
              <w:left w:val="nil"/>
              <w:bottom w:val="nil"/>
              <w:right w:val="nil"/>
            </w:tcBorders>
            <w:vAlign w:val="bottom"/>
          </w:tcPr>
          <w:p w14:paraId="1F9BBCFF"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r w:rsidRPr="00ED765F">
              <w:rPr>
                <w:rFonts w:ascii="Times New Roman" w:hAnsi="Times New Roman" w:cs="Times New Roman"/>
                <w:color w:val="000000"/>
              </w:rPr>
              <w:t> 3.841465</w:t>
            </w:r>
          </w:p>
        </w:tc>
        <w:tc>
          <w:tcPr>
            <w:tcW w:w="1350" w:type="dxa"/>
            <w:tcBorders>
              <w:top w:val="nil"/>
              <w:left w:val="nil"/>
              <w:bottom w:val="nil"/>
              <w:right w:val="nil"/>
            </w:tcBorders>
            <w:vAlign w:val="bottom"/>
          </w:tcPr>
          <w:p w14:paraId="34AE3E35"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r w:rsidRPr="00ED765F">
              <w:rPr>
                <w:rFonts w:ascii="Times New Roman" w:hAnsi="Times New Roman" w:cs="Times New Roman"/>
                <w:color w:val="000000"/>
              </w:rPr>
              <w:t> 0.0557</w:t>
            </w:r>
          </w:p>
        </w:tc>
      </w:tr>
      <w:tr w:rsidR="00ED765F" w:rsidRPr="00ED765F" w14:paraId="4D0A847B" w14:textId="77777777">
        <w:trPr>
          <w:trHeight w:hRule="exact" w:val="88"/>
        </w:trPr>
        <w:tc>
          <w:tcPr>
            <w:tcW w:w="1320" w:type="dxa"/>
            <w:tcBorders>
              <w:top w:val="nil"/>
              <w:left w:val="nil"/>
              <w:bottom w:val="double" w:sz="6" w:space="2" w:color="auto"/>
              <w:right w:val="nil"/>
            </w:tcBorders>
            <w:vAlign w:val="bottom"/>
          </w:tcPr>
          <w:p w14:paraId="46E81ED6"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c>
          <w:tcPr>
            <w:tcW w:w="1350" w:type="dxa"/>
            <w:tcBorders>
              <w:top w:val="nil"/>
              <w:left w:val="nil"/>
              <w:bottom w:val="double" w:sz="6" w:space="2" w:color="auto"/>
              <w:right w:val="nil"/>
            </w:tcBorders>
            <w:vAlign w:val="bottom"/>
          </w:tcPr>
          <w:p w14:paraId="51F3C811"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c>
          <w:tcPr>
            <w:tcW w:w="1350" w:type="dxa"/>
            <w:tcBorders>
              <w:top w:val="nil"/>
              <w:left w:val="nil"/>
              <w:bottom w:val="double" w:sz="6" w:space="2" w:color="auto"/>
              <w:right w:val="nil"/>
            </w:tcBorders>
            <w:vAlign w:val="bottom"/>
          </w:tcPr>
          <w:p w14:paraId="104F033A"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c>
          <w:tcPr>
            <w:tcW w:w="1350" w:type="dxa"/>
            <w:tcBorders>
              <w:top w:val="nil"/>
              <w:left w:val="nil"/>
              <w:bottom w:val="double" w:sz="6" w:space="2" w:color="auto"/>
              <w:right w:val="nil"/>
            </w:tcBorders>
            <w:vAlign w:val="bottom"/>
          </w:tcPr>
          <w:p w14:paraId="423B93C0"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c>
          <w:tcPr>
            <w:tcW w:w="1350" w:type="dxa"/>
            <w:tcBorders>
              <w:top w:val="nil"/>
              <w:left w:val="nil"/>
              <w:bottom w:val="double" w:sz="6" w:space="2" w:color="auto"/>
              <w:right w:val="nil"/>
            </w:tcBorders>
            <w:vAlign w:val="bottom"/>
          </w:tcPr>
          <w:p w14:paraId="029FF1C3"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r>
      <w:tr w:rsidR="00ED765F" w:rsidRPr="00ED765F" w14:paraId="5D75CE73" w14:textId="77777777">
        <w:trPr>
          <w:trHeight w:hRule="exact" w:val="132"/>
        </w:trPr>
        <w:tc>
          <w:tcPr>
            <w:tcW w:w="1320" w:type="dxa"/>
            <w:tcBorders>
              <w:top w:val="nil"/>
              <w:left w:val="nil"/>
              <w:bottom w:val="nil"/>
              <w:right w:val="nil"/>
            </w:tcBorders>
            <w:vAlign w:val="bottom"/>
          </w:tcPr>
          <w:p w14:paraId="278936D5"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c>
          <w:tcPr>
            <w:tcW w:w="1350" w:type="dxa"/>
            <w:tcBorders>
              <w:top w:val="nil"/>
              <w:left w:val="nil"/>
              <w:bottom w:val="nil"/>
              <w:right w:val="nil"/>
            </w:tcBorders>
            <w:vAlign w:val="bottom"/>
          </w:tcPr>
          <w:p w14:paraId="5609532F"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c>
          <w:tcPr>
            <w:tcW w:w="1350" w:type="dxa"/>
            <w:tcBorders>
              <w:top w:val="nil"/>
              <w:left w:val="nil"/>
              <w:bottom w:val="nil"/>
              <w:right w:val="nil"/>
            </w:tcBorders>
            <w:vAlign w:val="bottom"/>
          </w:tcPr>
          <w:p w14:paraId="3EC908B1"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c>
          <w:tcPr>
            <w:tcW w:w="1350" w:type="dxa"/>
            <w:tcBorders>
              <w:top w:val="nil"/>
              <w:left w:val="nil"/>
              <w:bottom w:val="nil"/>
              <w:right w:val="nil"/>
            </w:tcBorders>
            <w:vAlign w:val="bottom"/>
          </w:tcPr>
          <w:p w14:paraId="415F473E"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c>
          <w:tcPr>
            <w:tcW w:w="1350" w:type="dxa"/>
            <w:tcBorders>
              <w:top w:val="nil"/>
              <w:left w:val="nil"/>
              <w:bottom w:val="nil"/>
              <w:right w:val="nil"/>
            </w:tcBorders>
            <w:vAlign w:val="bottom"/>
          </w:tcPr>
          <w:p w14:paraId="7F3CE04C"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rPr>
            </w:pPr>
          </w:p>
        </w:tc>
      </w:tr>
      <w:tr w:rsidR="00ED765F" w:rsidRPr="00943470" w14:paraId="72AB6A49" w14:textId="77777777" w:rsidTr="00ED765F">
        <w:trPr>
          <w:trHeight w:val="220"/>
        </w:trPr>
        <w:tc>
          <w:tcPr>
            <w:tcW w:w="6720" w:type="dxa"/>
            <w:gridSpan w:val="5"/>
            <w:tcBorders>
              <w:top w:val="nil"/>
              <w:left w:val="nil"/>
              <w:bottom w:val="nil"/>
              <w:right w:val="nil"/>
            </w:tcBorders>
            <w:vAlign w:val="bottom"/>
          </w:tcPr>
          <w:p w14:paraId="0B7E01F3"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lang w:val="en-US"/>
              </w:rPr>
            </w:pPr>
            <w:r w:rsidRPr="00ED765F">
              <w:rPr>
                <w:rFonts w:ascii="Times New Roman" w:hAnsi="Times New Roman" w:cs="Times New Roman"/>
                <w:color w:val="000000"/>
                <w:lang w:val="en-US"/>
              </w:rPr>
              <w:t> Max-eigenvalue test indicates 1 cointegrating equation(s) at the 0.05 level</w:t>
            </w:r>
          </w:p>
        </w:tc>
      </w:tr>
      <w:tr w:rsidR="00ED765F" w:rsidRPr="002613BC" w14:paraId="6B9BE3CE" w14:textId="77777777" w:rsidTr="00ED765F">
        <w:trPr>
          <w:trHeight w:val="220"/>
        </w:trPr>
        <w:tc>
          <w:tcPr>
            <w:tcW w:w="6720" w:type="dxa"/>
            <w:gridSpan w:val="5"/>
            <w:tcBorders>
              <w:top w:val="nil"/>
              <w:left w:val="nil"/>
              <w:bottom w:val="nil"/>
              <w:right w:val="nil"/>
            </w:tcBorders>
            <w:vAlign w:val="bottom"/>
          </w:tcPr>
          <w:p w14:paraId="351968FB"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lang w:val="en-US"/>
              </w:rPr>
            </w:pPr>
            <w:r w:rsidRPr="00ED765F">
              <w:rPr>
                <w:rFonts w:ascii="Times New Roman" w:hAnsi="Times New Roman" w:cs="Times New Roman"/>
                <w:color w:val="000000"/>
                <w:lang w:val="en-US"/>
              </w:rPr>
              <w:t xml:space="preserve"> * </w:t>
            </w:r>
            <w:proofErr w:type="gramStart"/>
            <w:r w:rsidRPr="00ED765F">
              <w:rPr>
                <w:rFonts w:ascii="Times New Roman" w:hAnsi="Times New Roman" w:cs="Times New Roman"/>
                <w:color w:val="000000"/>
                <w:lang w:val="en-US"/>
              </w:rPr>
              <w:t>denotes</w:t>
            </w:r>
            <w:proofErr w:type="gramEnd"/>
            <w:r w:rsidRPr="00ED765F">
              <w:rPr>
                <w:rFonts w:ascii="Times New Roman" w:hAnsi="Times New Roman" w:cs="Times New Roman"/>
                <w:color w:val="000000"/>
                <w:lang w:val="en-US"/>
              </w:rPr>
              <w:t xml:space="preserve"> rejection of the hypothesis at the 0.05 level</w:t>
            </w:r>
          </w:p>
        </w:tc>
      </w:tr>
      <w:tr w:rsidR="00ED765F" w:rsidRPr="00943470" w14:paraId="71D22C50" w14:textId="77777777" w:rsidTr="00ED765F">
        <w:trPr>
          <w:trHeight w:val="220"/>
        </w:trPr>
        <w:tc>
          <w:tcPr>
            <w:tcW w:w="6720" w:type="dxa"/>
            <w:gridSpan w:val="5"/>
            <w:tcBorders>
              <w:top w:val="nil"/>
              <w:left w:val="nil"/>
              <w:bottom w:val="nil"/>
              <w:right w:val="nil"/>
            </w:tcBorders>
            <w:vAlign w:val="bottom"/>
          </w:tcPr>
          <w:p w14:paraId="567F3B23" w14:textId="77777777" w:rsidR="00ED765F" w:rsidRPr="00ED765F" w:rsidRDefault="00ED765F" w:rsidP="00497F00">
            <w:pPr>
              <w:autoSpaceDE w:val="0"/>
              <w:autoSpaceDN w:val="0"/>
              <w:adjustRightInd w:val="0"/>
              <w:spacing w:after="0" w:line="240" w:lineRule="auto"/>
              <w:jc w:val="both"/>
              <w:rPr>
                <w:rFonts w:ascii="Times New Roman" w:hAnsi="Times New Roman" w:cs="Times New Roman"/>
                <w:color w:val="000000"/>
                <w:lang w:val="fr-FR"/>
              </w:rPr>
            </w:pPr>
            <w:r w:rsidRPr="00ED765F">
              <w:rPr>
                <w:rFonts w:ascii="Times New Roman" w:hAnsi="Times New Roman" w:cs="Times New Roman"/>
                <w:color w:val="000000"/>
                <w:lang w:val="en-US"/>
              </w:rPr>
              <w:t> </w:t>
            </w:r>
            <w:r w:rsidRPr="00ED765F">
              <w:rPr>
                <w:rFonts w:ascii="Times New Roman" w:hAnsi="Times New Roman" w:cs="Times New Roman"/>
                <w:color w:val="000000"/>
                <w:lang w:val="fr-FR"/>
              </w:rPr>
              <w:t>**MacKinnon-Haug-</w:t>
            </w:r>
            <w:proofErr w:type="spellStart"/>
            <w:r w:rsidRPr="00ED765F">
              <w:rPr>
                <w:rFonts w:ascii="Times New Roman" w:hAnsi="Times New Roman" w:cs="Times New Roman"/>
                <w:color w:val="000000"/>
                <w:lang w:val="fr-FR"/>
              </w:rPr>
              <w:t>Michelis</w:t>
            </w:r>
            <w:proofErr w:type="spellEnd"/>
            <w:r w:rsidRPr="00ED765F">
              <w:rPr>
                <w:rFonts w:ascii="Times New Roman" w:hAnsi="Times New Roman" w:cs="Times New Roman"/>
                <w:color w:val="000000"/>
                <w:lang w:val="fr-FR"/>
              </w:rPr>
              <w:t xml:space="preserve"> (1999) p-values</w:t>
            </w:r>
          </w:p>
        </w:tc>
      </w:tr>
    </w:tbl>
    <w:p w14:paraId="619ADA48" w14:textId="77777777" w:rsidR="00321507" w:rsidRPr="00B0021F" w:rsidRDefault="00321507" w:rsidP="00497F00">
      <w:pPr>
        <w:tabs>
          <w:tab w:val="left" w:pos="1258"/>
        </w:tabs>
        <w:jc w:val="both"/>
        <w:rPr>
          <w:rFonts w:ascii="Arial" w:hAnsi="Arial" w:cs="Arial"/>
          <w:sz w:val="18"/>
          <w:szCs w:val="18"/>
          <w:lang w:val="fr-FR"/>
        </w:rPr>
      </w:pPr>
    </w:p>
    <w:p w14:paraId="1564D10E" w14:textId="5B43ABB8" w:rsidR="00321507" w:rsidRPr="00321507" w:rsidRDefault="00321507" w:rsidP="00497F00">
      <w:pPr>
        <w:tabs>
          <w:tab w:val="left" w:pos="1258"/>
        </w:tabs>
        <w:jc w:val="both"/>
        <w:rPr>
          <w:rFonts w:ascii="Times New Roman" w:hAnsi="Times New Roman" w:cs="Times New Roman"/>
          <w:lang w:val="en-US"/>
        </w:rPr>
      </w:pPr>
      <w:r>
        <w:rPr>
          <w:rFonts w:ascii="Times New Roman" w:hAnsi="Times New Roman" w:cs="Times New Roman"/>
          <w:lang w:val="en-US"/>
        </w:rPr>
        <w:t>The Trace test statistic as well as the Max-Eigenvalue statistic exceed their critical value thus confirming the existence of a cointegrating relation.</w:t>
      </w:r>
    </w:p>
    <w:p w14:paraId="38172E2D" w14:textId="77777777" w:rsidR="00D6147B" w:rsidRDefault="00D6147B" w:rsidP="00497F00">
      <w:pPr>
        <w:tabs>
          <w:tab w:val="left" w:pos="1258"/>
        </w:tabs>
        <w:jc w:val="both"/>
        <w:rPr>
          <w:rFonts w:ascii="Times New Roman" w:hAnsi="Times New Roman" w:cs="Times New Roman"/>
          <w:lang w:val="en-US"/>
        </w:rPr>
      </w:pPr>
    </w:p>
    <w:p w14:paraId="4F9B5F43" w14:textId="594DD9ED" w:rsidR="00D6147B" w:rsidRPr="00356403" w:rsidRDefault="00356403" w:rsidP="00356403">
      <w:pPr>
        <w:tabs>
          <w:tab w:val="left" w:pos="1258"/>
        </w:tabs>
        <w:jc w:val="both"/>
        <w:rPr>
          <w:rFonts w:ascii="Times New Roman" w:hAnsi="Times New Roman" w:cs="Times New Roman"/>
          <w:b/>
          <w:bCs/>
          <w:lang w:val="en-US"/>
        </w:rPr>
      </w:pPr>
      <w:r>
        <w:rPr>
          <w:rFonts w:ascii="Times New Roman" w:hAnsi="Times New Roman" w:cs="Times New Roman"/>
          <w:b/>
          <w:bCs/>
          <w:lang w:val="en-US"/>
        </w:rPr>
        <w:t xml:space="preserve">3.2. </w:t>
      </w:r>
      <w:r w:rsidR="00D6147B" w:rsidRPr="00356403">
        <w:rPr>
          <w:rFonts w:ascii="Times New Roman" w:hAnsi="Times New Roman" w:cs="Times New Roman"/>
          <w:b/>
          <w:bCs/>
          <w:lang w:val="en-US"/>
        </w:rPr>
        <w:t>Vector Error Correction Model</w:t>
      </w:r>
    </w:p>
    <w:p w14:paraId="0B44F85F" w14:textId="6C533815" w:rsidR="00005962" w:rsidRDefault="006B1F3E" w:rsidP="00497F00">
      <w:pPr>
        <w:tabs>
          <w:tab w:val="left" w:pos="1258"/>
        </w:tabs>
        <w:jc w:val="both"/>
        <w:rPr>
          <w:rFonts w:ascii="Times New Roman" w:hAnsi="Times New Roman" w:cs="Times New Roman"/>
          <w:lang w:val="en-US"/>
        </w:rPr>
      </w:pPr>
      <w:r w:rsidRPr="006B1F3E">
        <w:rPr>
          <w:rFonts w:ascii="Times New Roman" w:hAnsi="Times New Roman" w:cs="Times New Roman"/>
          <w:lang w:val="en-US"/>
        </w:rPr>
        <w:t>Next t</w:t>
      </w:r>
      <w:r>
        <w:rPr>
          <w:rFonts w:ascii="Times New Roman" w:hAnsi="Times New Roman" w:cs="Times New Roman"/>
          <w:lang w:val="en-US"/>
        </w:rPr>
        <w:t xml:space="preserve">he </w:t>
      </w:r>
      <w:r w:rsidR="00005962">
        <w:rPr>
          <w:rFonts w:ascii="Times New Roman" w:hAnsi="Times New Roman" w:cs="Times New Roman"/>
          <w:lang w:val="en-US"/>
        </w:rPr>
        <w:t>Vector Error Correction Model</w:t>
      </w:r>
      <w:r>
        <w:rPr>
          <w:rFonts w:ascii="Times New Roman" w:hAnsi="Times New Roman" w:cs="Times New Roman"/>
          <w:lang w:val="en-US"/>
        </w:rPr>
        <w:t xml:space="preserve"> (VECM) is estimated. A VECM treats all variables as endogenous and simultaneously estimates the relationship in levels and in first differences. </w:t>
      </w:r>
      <w:r w:rsidR="00B87478">
        <w:rPr>
          <w:rFonts w:ascii="Times New Roman" w:hAnsi="Times New Roman" w:cs="Times New Roman"/>
          <w:lang w:val="en-US"/>
        </w:rPr>
        <w:t xml:space="preserve">Long-run and short-run causality is determined within the model. </w:t>
      </w:r>
      <w:r>
        <w:rPr>
          <w:rFonts w:ascii="Times New Roman" w:hAnsi="Times New Roman" w:cs="Times New Roman"/>
          <w:lang w:val="en-US"/>
        </w:rPr>
        <w:t>In our bivariate case it takes the following form.</w:t>
      </w:r>
    </w:p>
    <w:p w14:paraId="4062B53D" w14:textId="0F18478C" w:rsidR="00B87478" w:rsidRPr="00B56577" w:rsidRDefault="00B87478" w:rsidP="00497F00">
      <w:pPr>
        <w:tabs>
          <w:tab w:val="left" w:pos="1258"/>
        </w:tabs>
        <w:rPr>
          <w:rFonts w:ascii="Times New Roman" w:eastAsiaTheme="minorEastAsia" w:hAnsi="Times New Roman" w:cs="Times New Roman"/>
          <w:sz w:val="24"/>
          <w:szCs w:val="24"/>
          <w:lang w:val="en-US"/>
        </w:rPr>
      </w:pPr>
      <m:oMath>
        <m:r>
          <w:rPr>
            <w:rFonts w:ascii="Cambria Math" w:hAnsi="Times New Roman"/>
            <w:sz w:val="24"/>
            <w:szCs w:val="24"/>
          </w:rPr>
          <m:t>Δ</m:t>
        </m:r>
        <m:sSub>
          <m:sSubPr>
            <m:ctrlPr>
              <w:rPr>
                <w:rFonts w:ascii="Cambria Math" w:hAnsi="Times New Roman"/>
                <w:i/>
                <w:sz w:val="24"/>
                <w:szCs w:val="24"/>
              </w:rPr>
            </m:ctrlPr>
          </m:sSubPr>
          <m:e>
            <m:r>
              <w:rPr>
                <w:rFonts w:ascii="Cambria Math" w:hAnsi="Times New Roman"/>
                <w:sz w:val="24"/>
                <w:szCs w:val="24"/>
              </w:rPr>
              <m:t>MI</m:t>
            </m:r>
          </m:e>
          <m:sub>
            <m:r>
              <w:rPr>
                <w:rFonts w:ascii="Cambria Math" w:hAnsi="Times New Roman"/>
                <w:sz w:val="24"/>
                <w:szCs w:val="24"/>
              </w:rPr>
              <m:t>t</m:t>
            </m:r>
          </m:sub>
        </m:sSub>
        <m:r>
          <w:rPr>
            <w:rFonts w:ascii="Cambria Math" w:hAnsi="Times New Roman"/>
            <w:sz w:val="24"/>
            <w:szCs w:val="24"/>
            <w:lang w:val="en-US"/>
          </w:rPr>
          <m:t>=</m:t>
        </m:r>
        <m:sSub>
          <m:sSubPr>
            <m:ctrlPr>
              <w:rPr>
                <w:rFonts w:ascii="Cambria Math" w:hAnsi="Times New Roman"/>
                <w:i/>
                <w:sz w:val="24"/>
                <w:szCs w:val="24"/>
              </w:rPr>
            </m:ctrlPr>
          </m:sSubPr>
          <m:e>
            <m:r>
              <w:rPr>
                <w:rFonts w:ascii="Cambria Math" w:hAnsi="Times New Roman"/>
                <w:sz w:val="24"/>
                <w:szCs w:val="24"/>
              </w:rPr>
              <m:t>β</m:t>
            </m:r>
          </m:e>
          <m:sub>
            <m:r>
              <w:rPr>
                <w:rFonts w:ascii="Cambria Math" w:hAnsi="Times New Roman"/>
                <w:sz w:val="24"/>
                <w:szCs w:val="24"/>
                <w:lang w:val="en-US"/>
              </w:rPr>
              <m:t>0</m:t>
            </m:r>
          </m:sub>
        </m:sSub>
        <m:r>
          <w:rPr>
            <w:rFonts w:ascii="Cambria Math" w:hAnsi="Times New Roman"/>
            <w:sz w:val="24"/>
            <w:szCs w:val="24"/>
            <w:lang w:val="en-US"/>
          </w:rPr>
          <m:t>+</m:t>
        </m:r>
        <m:nary>
          <m:naryPr>
            <m:chr m:val="∑"/>
            <m:ctrlPr>
              <w:rPr>
                <w:rFonts w:ascii="Cambria Math" w:hAnsi="Times New Roman"/>
                <w:i/>
                <w:sz w:val="24"/>
                <w:szCs w:val="24"/>
              </w:rPr>
            </m:ctrlPr>
          </m:naryPr>
          <m:sub>
            <m:r>
              <w:rPr>
                <w:rFonts w:ascii="Cambria Math" w:hAnsi="Times New Roman"/>
                <w:sz w:val="24"/>
                <w:szCs w:val="24"/>
              </w:rPr>
              <m:t>i</m:t>
            </m:r>
            <m:r>
              <w:rPr>
                <w:rFonts w:ascii="Cambria Math" w:hAnsi="Times New Roman"/>
                <w:sz w:val="24"/>
                <w:szCs w:val="24"/>
                <w:lang w:val="en-US"/>
              </w:rPr>
              <m:t>=1</m:t>
            </m:r>
          </m:sub>
          <m:sup>
            <m:r>
              <w:rPr>
                <w:rFonts w:ascii="Cambria Math" w:hAnsi="Times New Roman"/>
                <w:sz w:val="24"/>
                <w:szCs w:val="24"/>
              </w:rPr>
              <m:t>n</m:t>
            </m:r>
          </m:sup>
          <m:e>
            <m:sSub>
              <m:sSubPr>
                <m:ctrlPr>
                  <w:rPr>
                    <w:rFonts w:ascii="Cambria Math" w:hAnsi="Times New Roman"/>
                    <w:i/>
                    <w:sz w:val="24"/>
                    <w:szCs w:val="24"/>
                  </w:rPr>
                </m:ctrlPr>
              </m:sSubPr>
              <m:e>
                <m:r>
                  <w:rPr>
                    <w:rFonts w:ascii="Cambria Math" w:hAnsi="Times New Roman"/>
                    <w:sz w:val="24"/>
                    <w:szCs w:val="24"/>
                  </w:rPr>
                  <m:t>β</m:t>
                </m:r>
              </m:e>
              <m:sub>
                <m:r>
                  <w:rPr>
                    <w:rFonts w:ascii="Cambria Math" w:hAnsi="Times New Roman"/>
                    <w:sz w:val="24"/>
                    <w:szCs w:val="24"/>
                    <w:lang w:val="en-US"/>
                  </w:rPr>
                  <m:t>1</m:t>
                </m:r>
                <m:r>
                  <w:rPr>
                    <w:rFonts w:ascii="Cambria Math" w:hAnsi="Times New Roman"/>
                    <w:sz w:val="24"/>
                    <w:szCs w:val="24"/>
                  </w:rPr>
                  <m:t>i</m:t>
                </m:r>
              </m:sub>
            </m:sSub>
            <m:r>
              <w:rPr>
                <w:rFonts w:ascii="Cambria Math" w:hAnsi="Times New Roman"/>
                <w:sz w:val="24"/>
                <w:szCs w:val="24"/>
              </w:rPr>
              <m:t>ΔM</m:t>
            </m:r>
            <m:sSub>
              <m:sSubPr>
                <m:ctrlPr>
                  <w:rPr>
                    <w:rFonts w:ascii="Cambria Math" w:hAnsi="Times New Roman"/>
                    <w:i/>
                    <w:sz w:val="24"/>
                    <w:szCs w:val="24"/>
                  </w:rPr>
                </m:ctrlPr>
              </m:sSubPr>
              <m:e>
                <m:r>
                  <w:rPr>
                    <w:rFonts w:ascii="Cambria Math" w:hAnsi="Times New Roman"/>
                    <w:sz w:val="24"/>
                    <w:szCs w:val="24"/>
                  </w:rPr>
                  <m:t>I</m:t>
                </m:r>
              </m:e>
              <m:sub>
                <m:r>
                  <w:rPr>
                    <w:rFonts w:ascii="Cambria Math" w:hAnsi="Times New Roman"/>
                    <w:sz w:val="24"/>
                    <w:szCs w:val="24"/>
                  </w:rPr>
                  <m:t>t</m:t>
                </m:r>
                <m:r>
                  <w:rPr>
                    <w:rFonts w:ascii="Cambria Math" w:hAnsi="Times New Roman"/>
                    <w:sz w:val="24"/>
                    <w:szCs w:val="24"/>
                    <w:lang w:val="en-US"/>
                  </w:rPr>
                  <m:t>-</m:t>
                </m:r>
                <m:r>
                  <w:rPr>
                    <w:rFonts w:ascii="Cambria Math" w:hAnsi="Times New Roman"/>
                    <w:sz w:val="24"/>
                    <w:szCs w:val="24"/>
                  </w:rPr>
                  <m:t>i</m:t>
                </m:r>
              </m:sub>
            </m:sSub>
            <m:r>
              <w:rPr>
                <w:rFonts w:ascii="Cambria Math" w:hAnsi="Times New Roman"/>
                <w:sz w:val="24"/>
                <w:szCs w:val="24"/>
                <w:lang w:val="en-US"/>
              </w:rPr>
              <m:t>+</m:t>
            </m:r>
            <m:nary>
              <m:naryPr>
                <m:chr m:val="∑"/>
                <m:ctrlPr>
                  <w:rPr>
                    <w:rFonts w:ascii="Cambria Math" w:hAnsi="Times New Roman"/>
                    <w:i/>
                    <w:sz w:val="24"/>
                    <w:szCs w:val="24"/>
                  </w:rPr>
                </m:ctrlPr>
              </m:naryPr>
              <m:sub>
                <m:r>
                  <w:rPr>
                    <w:rFonts w:ascii="Cambria Math" w:hAnsi="Times New Roman"/>
                    <w:sz w:val="24"/>
                    <w:szCs w:val="24"/>
                  </w:rPr>
                  <m:t>i</m:t>
                </m:r>
                <m:r>
                  <w:rPr>
                    <w:rFonts w:ascii="Cambria Math" w:hAnsi="Times New Roman"/>
                    <w:sz w:val="24"/>
                    <w:szCs w:val="24"/>
                    <w:lang w:val="en-US"/>
                  </w:rPr>
                  <m:t>=1</m:t>
                </m:r>
              </m:sub>
              <m:sup>
                <m:r>
                  <w:rPr>
                    <w:rFonts w:ascii="Cambria Math" w:hAnsi="Times New Roman"/>
                    <w:sz w:val="24"/>
                    <w:szCs w:val="24"/>
                  </w:rPr>
                  <m:t>n</m:t>
                </m:r>
              </m:sup>
              <m:e>
                <m:sSub>
                  <m:sSubPr>
                    <m:ctrlPr>
                      <w:rPr>
                        <w:rFonts w:ascii="Cambria Math" w:hAnsi="Times New Roman"/>
                        <w:i/>
                        <w:sz w:val="24"/>
                        <w:szCs w:val="24"/>
                      </w:rPr>
                    </m:ctrlPr>
                  </m:sSubPr>
                  <m:e>
                    <m:r>
                      <w:rPr>
                        <w:rFonts w:ascii="Cambria Math" w:hAnsi="Times New Roman"/>
                        <w:sz w:val="24"/>
                        <w:szCs w:val="24"/>
                      </w:rPr>
                      <m:t>β</m:t>
                    </m:r>
                  </m:e>
                  <m:sub>
                    <m:r>
                      <w:rPr>
                        <w:rFonts w:ascii="Cambria Math" w:hAnsi="Times New Roman"/>
                        <w:sz w:val="24"/>
                        <w:szCs w:val="24"/>
                        <w:lang w:val="en-US"/>
                      </w:rPr>
                      <m:t>2</m:t>
                    </m:r>
                    <m:r>
                      <w:rPr>
                        <w:rFonts w:ascii="Cambria Math" w:hAnsi="Times New Roman"/>
                        <w:sz w:val="24"/>
                        <w:szCs w:val="24"/>
                      </w:rPr>
                      <m:t>i</m:t>
                    </m:r>
                  </m:sub>
                </m:sSub>
                <m:r>
                  <w:rPr>
                    <w:rFonts w:ascii="Cambria Math" w:hAnsi="Times New Roman"/>
                    <w:sz w:val="24"/>
                    <w:szCs w:val="24"/>
                  </w:rPr>
                  <m:t>Δ</m:t>
                </m:r>
                <m:sSub>
                  <m:sSubPr>
                    <m:ctrlPr>
                      <w:rPr>
                        <w:rFonts w:ascii="Cambria Math" w:hAnsi="Times New Roman"/>
                        <w:i/>
                        <w:sz w:val="24"/>
                        <w:szCs w:val="24"/>
                      </w:rPr>
                    </m:ctrlPr>
                  </m:sSubPr>
                  <m:e>
                    <m:r>
                      <w:rPr>
                        <w:rFonts w:ascii="Cambria Math" w:hAnsi="Times New Roman"/>
                        <w:sz w:val="24"/>
                        <w:szCs w:val="24"/>
                      </w:rPr>
                      <m:t>ROE</m:t>
                    </m:r>
                  </m:e>
                  <m:sub>
                    <m:r>
                      <w:rPr>
                        <w:rFonts w:ascii="Cambria Math" w:hAnsi="Times New Roman"/>
                        <w:sz w:val="24"/>
                        <w:szCs w:val="24"/>
                      </w:rPr>
                      <m:t>t</m:t>
                    </m:r>
                    <m:r>
                      <w:rPr>
                        <w:rFonts w:ascii="Cambria Math" w:hAnsi="Times New Roman"/>
                        <w:sz w:val="24"/>
                        <w:szCs w:val="24"/>
                        <w:lang w:val="en-US"/>
                      </w:rPr>
                      <m:t>-</m:t>
                    </m:r>
                    <m:r>
                      <w:rPr>
                        <w:rFonts w:ascii="Cambria Math" w:hAnsi="Times New Roman"/>
                        <w:sz w:val="24"/>
                        <w:szCs w:val="24"/>
                      </w:rPr>
                      <m:t>i</m:t>
                    </m:r>
                  </m:sub>
                </m:sSub>
                <m:r>
                  <w:rPr>
                    <w:rFonts w:ascii="Cambria Math" w:hAnsi="Times New Roman"/>
                    <w:sz w:val="24"/>
                    <w:szCs w:val="24"/>
                    <w:lang w:val="en-US"/>
                  </w:rPr>
                  <m:t>+</m:t>
                </m:r>
              </m:e>
            </m:nary>
            <m:ctrlPr>
              <w:rPr>
                <w:rFonts w:ascii="Cambria Math" w:hAnsi="Cambria Math"/>
                <w:i/>
                <w:sz w:val="24"/>
                <w:szCs w:val="24"/>
              </w:rPr>
            </m:ctrlPr>
          </m:e>
        </m:nary>
        <m:sSub>
          <m:sSubPr>
            <m:ctrlPr>
              <w:rPr>
                <w:rFonts w:ascii="Cambria Math" w:hAnsi="Times New Roman"/>
                <w:i/>
                <w:sz w:val="24"/>
                <w:szCs w:val="24"/>
              </w:rPr>
            </m:ctrlPr>
          </m:sSubPr>
          <m:e>
            <m:r>
              <w:rPr>
                <w:rFonts w:ascii="Cambria Math" w:hAnsi="Cambria Math"/>
                <w:sz w:val="24"/>
                <w:szCs w:val="24"/>
              </w:rPr>
              <m:t>δ</m:t>
            </m:r>
          </m:e>
          <m:sub>
            <m:r>
              <w:rPr>
                <w:rFonts w:ascii="Cambria Math" w:hAnsi="Times New Roman"/>
                <w:sz w:val="24"/>
                <w:szCs w:val="24"/>
                <w:lang w:val="en-US"/>
              </w:rPr>
              <m:t>1</m:t>
            </m:r>
          </m:sub>
        </m:sSub>
        <m:r>
          <w:rPr>
            <w:rFonts w:ascii="Cambria Math" w:hAnsi="Times New Roman"/>
            <w:sz w:val="24"/>
            <w:szCs w:val="24"/>
          </w:rPr>
          <m:t>EC</m:t>
        </m:r>
        <m:sSub>
          <m:sSubPr>
            <m:ctrlPr>
              <w:rPr>
                <w:rFonts w:ascii="Cambria Math" w:hAnsi="Times New Roman"/>
                <w:i/>
                <w:sz w:val="24"/>
                <w:szCs w:val="24"/>
              </w:rPr>
            </m:ctrlPr>
          </m:sSubPr>
          <m:e>
            <m:r>
              <w:rPr>
                <w:rFonts w:ascii="Cambria Math" w:hAnsi="Times New Roman"/>
                <w:sz w:val="24"/>
                <w:szCs w:val="24"/>
              </w:rPr>
              <m:t>T</m:t>
            </m:r>
          </m:e>
          <m:sub>
            <m:r>
              <w:rPr>
                <w:rFonts w:ascii="Cambria Math" w:hAnsi="Times New Roman"/>
                <w:sz w:val="24"/>
                <w:szCs w:val="24"/>
              </w:rPr>
              <m:t>t</m:t>
            </m:r>
            <m:r>
              <w:rPr>
                <w:rFonts w:ascii="Cambria Math" w:hAnsi="Times New Roman"/>
                <w:sz w:val="24"/>
                <w:szCs w:val="24"/>
                <w:lang w:val="en-US"/>
              </w:rPr>
              <m:t>-</m:t>
            </m:r>
            <m:r>
              <w:rPr>
                <w:rFonts w:ascii="Cambria Math" w:hAnsi="Times New Roman"/>
                <w:sz w:val="24"/>
                <w:szCs w:val="24"/>
                <w:lang w:val="en-US"/>
              </w:rPr>
              <m:t>1</m:t>
            </m:r>
          </m:sub>
        </m:sSub>
        <m:r>
          <w:rPr>
            <w:rFonts w:ascii="Cambria Math" w:hAnsi="Times New Roman"/>
            <w:sz w:val="24"/>
            <w:szCs w:val="24"/>
            <w:lang w:val="en-US"/>
          </w:rPr>
          <m:t>+</m:t>
        </m:r>
        <m:sSub>
          <m:sSubPr>
            <m:ctrlPr>
              <w:rPr>
                <w:rFonts w:ascii="Cambria Math" w:hAnsi="Times New Roman"/>
                <w:i/>
                <w:sz w:val="24"/>
                <w:szCs w:val="24"/>
              </w:rPr>
            </m:ctrlPr>
          </m:sSubPr>
          <m:e>
            <m:r>
              <w:rPr>
                <w:rFonts w:ascii="Cambria Math" w:hAnsi="Times New Roman"/>
                <w:sz w:val="24"/>
                <w:szCs w:val="24"/>
              </w:rPr>
              <m:t>φ</m:t>
            </m:r>
          </m:e>
          <m:sub>
            <m:r>
              <w:rPr>
                <w:rFonts w:ascii="Cambria Math" w:hAnsi="Times New Roman"/>
                <w:sz w:val="24"/>
                <w:szCs w:val="24"/>
                <w:lang w:val="en-US"/>
              </w:rPr>
              <m:t>1</m:t>
            </m:r>
            <m:r>
              <w:rPr>
                <w:rFonts w:ascii="Cambria Math" w:hAnsi="Times New Roman"/>
                <w:sz w:val="24"/>
                <w:szCs w:val="24"/>
              </w:rPr>
              <m:t>t</m:t>
            </m:r>
          </m:sub>
        </m:sSub>
      </m:oMath>
      <w:r w:rsidR="00B56577" w:rsidRPr="00B56577">
        <w:rPr>
          <w:rFonts w:ascii="Times New Roman" w:eastAsiaTheme="minorEastAsia" w:hAnsi="Times New Roman" w:cs="Times New Roman"/>
          <w:sz w:val="24"/>
          <w:szCs w:val="24"/>
          <w:lang w:val="en-US"/>
        </w:rPr>
        <w:t xml:space="preserve"> </w:t>
      </w:r>
      <w:r w:rsidR="00B56577">
        <w:rPr>
          <w:rFonts w:ascii="Times New Roman" w:eastAsiaTheme="minorEastAsia" w:hAnsi="Times New Roman" w:cs="Times New Roman"/>
          <w:sz w:val="24"/>
          <w:szCs w:val="24"/>
          <w:lang w:val="en-US"/>
        </w:rPr>
        <w:t xml:space="preserve">   </w:t>
      </w:r>
      <w:r w:rsidR="006F05AD">
        <w:rPr>
          <w:rFonts w:ascii="Times New Roman" w:eastAsiaTheme="minorEastAsia" w:hAnsi="Times New Roman" w:cs="Times New Roman"/>
          <w:sz w:val="24"/>
          <w:szCs w:val="24"/>
          <w:lang w:val="en-US"/>
        </w:rPr>
        <w:tab/>
      </w:r>
      <w:r w:rsidR="00B56577">
        <w:rPr>
          <w:rFonts w:ascii="Times New Roman" w:eastAsiaTheme="minorEastAsia" w:hAnsi="Times New Roman" w:cs="Times New Roman"/>
          <w:sz w:val="24"/>
          <w:szCs w:val="24"/>
          <w:lang w:val="en-US"/>
        </w:rPr>
        <w:t>equation</w:t>
      </w:r>
      <w:r w:rsidR="00497F00">
        <w:rPr>
          <w:rFonts w:ascii="Times New Roman" w:eastAsiaTheme="minorEastAsia" w:hAnsi="Times New Roman" w:cs="Times New Roman"/>
          <w:sz w:val="24"/>
          <w:szCs w:val="24"/>
          <w:lang w:val="en-US"/>
        </w:rPr>
        <w:t xml:space="preserve"> </w:t>
      </w:r>
      <w:r w:rsidR="00B56577">
        <w:rPr>
          <w:rFonts w:ascii="Times New Roman" w:eastAsiaTheme="minorEastAsia" w:hAnsi="Times New Roman" w:cs="Times New Roman"/>
          <w:sz w:val="24"/>
          <w:szCs w:val="24"/>
          <w:lang w:val="en-US"/>
        </w:rPr>
        <w:t xml:space="preserve">(1) </w:t>
      </w:r>
      <m:oMath>
        <m:r>
          <w:rPr>
            <w:rFonts w:ascii="Cambria Math" w:hAnsi="Times New Roman"/>
            <w:sz w:val="24"/>
            <w:szCs w:val="24"/>
          </w:rPr>
          <m:t>Δ</m:t>
        </m:r>
        <m:sSub>
          <m:sSubPr>
            <m:ctrlPr>
              <w:rPr>
                <w:rFonts w:ascii="Cambria Math" w:hAnsi="Times New Roman"/>
                <w:i/>
                <w:sz w:val="24"/>
                <w:szCs w:val="24"/>
              </w:rPr>
            </m:ctrlPr>
          </m:sSubPr>
          <m:e>
            <m:r>
              <w:rPr>
                <w:rFonts w:ascii="Cambria Math" w:hAnsi="Times New Roman"/>
                <w:sz w:val="24"/>
                <w:szCs w:val="24"/>
              </w:rPr>
              <m:t>ROE</m:t>
            </m:r>
          </m:e>
          <m:sub>
            <m:r>
              <w:rPr>
                <w:rFonts w:ascii="Cambria Math" w:hAnsi="Times New Roman"/>
                <w:sz w:val="24"/>
                <w:szCs w:val="24"/>
              </w:rPr>
              <m:t>t</m:t>
            </m:r>
          </m:sub>
        </m:sSub>
        <m:r>
          <w:rPr>
            <w:rFonts w:ascii="Cambria Math" w:hAnsi="Times New Roman"/>
            <w:sz w:val="24"/>
            <w:szCs w:val="24"/>
            <w:lang w:val="en-US"/>
          </w:rPr>
          <m:t>=</m:t>
        </m:r>
        <m:sSub>
          <m:sSubPr>
            <m:ctrlPr>
              <w:rPr>
                <w:rFonts w:ascii="Cambria Math" w:hAnsi="Times New Roman"/>
                <w:i/>
                <w:sz w:val="24"/>
                <w:szCs w:val="24"/>
              </w:rPr>
            </m:ctrlPr>
          </m:sSubPr>
          <m:e>
            <m:r>
              <w:rPr>
                <w:rFonts w:ascii="Cambria Math" w:hAnsi="Cambria Math"/>
                <w:sz w:val="24"/>
                <w:szCs w:val="24"/>
              </w:rPr>
              <m:t>γ</m:t>
            </m:r>
          </m:e>
          <m:sub>
            <m:r>
              <w:rPr>
                <w:rFonts w:ascii="Cambria Math" w:hAnsi="Times New Roman"/>
                <w:sz w:val="24"/>
                <w:szCs w:val="24"/>
                <w:lang w:val="en-US"/>
              </w:rPr>
              <m:t>0</m:t>
            </m:r>
          </m:sub>
        </m:sSub>
        <m:r>
          <w:rPr>
            <w:rFonts w:ascii="Cambria Math" w:hAnsi="Times New Roman"/>
            <w:sz w:val="24"/>
            <w:szCs w:val="24"/>
            <w:lang w:val="en-US"/>
          </w:rPr>
          <m:t>+</m:t>
        </m:r>
        <m:nary>
          <m:naryPr>
            <m:chr m:val="∑"/>
            <m:ctrlPr>
              <w:rPr>
                <w:rFonts w:ascii="Cambria Math" w:hAnsi="Times New Roman"/>
                <w:i/>
                <w:sz w:val="24"/>
                <w:szCs w:val="24"/>
              </w:rPr>
            </m:ctrlPr>
          </m:naryPr>
          <m:sub>
            <m:r>
              <w:rPr>
                <w:rFonts w:ascii="Cambria Math" w:hAnsi="Times New Roman"/>
                <w:sz w:val="24"/>
                <w:szCs w:val="24"/>
              </w:rPr>
              <m:t>i</m:t>
            </m:r>
            <m:r>
              <w:rPr>
                <w:rFonts w:ascii="Cambria Math" w:hAnsi="Times New Roman"/>
                <w:sz w:val="24"/>
                <w:szCs w:val="24"/>
                <w:lang w:val="en-US"/>
              </w:rPr>
              <m:t>=1</m:t>
            </m:r>
          </m:sub>
          <m:sup>
            <m:r>
              <w:rPr>
                <w:rFonts w:ascii="Cambria Math" w:hAnsi="Times New Roman"/>
                <w:sz w:val="24"/>
                <w:szCs w:val="24"/>
              </w:rPr>
              <m:t>n</m:t>
            </m:r>
          </m:sup>
          <m:e>
            <m:sSub>
              <m:sSubPr>
                <m:ctrlPr>
                  <w:rPr>
                    <w:rFonts w:ascii="Cambria Math" w:hAnsi="Times New Roman"/>
                    <w:i/>
                    <w:sz w:val="24"/>
                    <w:szCs w:val="24"/>
                  </w:rPr>
                </m:ctrlPr>
              </m:sSubPr>
              <m:e>
                <m:r>
                  <w:rPr>
                    <w:rFonts w:ascii="Cambria Math" w:hAnsi="Cambria Math"/>
                    <w:sz w:val="24"/>
                    <w:szCs w:val="24"/>
                  </w:rPr>
                  <m:t>γ</m:t>
                </m:r>
              </m:e>
              <m:sub>
                <m:r>
                  <w:rPr>
                    <w:rFonts w:ascii="Cambria Math" w:hAnsi="Times New Roman"/>
                    <w:sz w:val="24"/>
                    <w:szCs w:val="24"/>
                    <w:lang w:val="en-US"/>
                  </w:rPr>
                  <m:t>1</m:t>
                </m:r>
                <m:r>
                  <w:rPr>
                    <w:rFonts w:ascii="Cambria Math" w:hAnsi="Times New Roman"/>
                    <w:sz w:val="24"/>
                    <w:szCs w:val="24"/>
                  </w:rPr>
                  <m:t>i</m:t>
                </m:r>
              </m:sub>
            </m:sSub>
            <m:r>
              <w:rPr>
                <w:rFonts w:ascii="Cambria Math" w:hAnsi="Times New Roman"/>
                <w:sz w:val="24"/>
                <w:szCs w:val="24"/>
              </w:rPr>
              <m:t>Δ</m:t>
            </m:r>
            <m:sSub>
              <m:sSubPr>
                <m:ctrlPr>
                  <w:rPr>
                    <w:rFonts w:ascii="Cambria Math" w:hAnsi="Times New Roman"/>
                    <w:i/>
                    <w:sz w:val="24"/>
                    <w:szCs w:val="24"/>
                  </w:rPr>
                </m:ctrlPr>
              </m:sSubPr>
              <m:e>
                <m:r>
                  <w:rPr>
                    <w:rFonts w:ascii="Cambria Math" w:hAnsi="Times New Roman"/>
                    <w:sz w:val="24"/>
                    <w:szCs w:val="24"/>
                  </w:rPr>
                  <m:t>ROE</m:t>
                </m:r>
              </m:e>
              <m:sub>
                <m:r>
                  <w:rPr>
                    <w:rFonts w:ascii="Cambria Math" w:hAnsi="Times New Roman"/>
                    <w:sz w:val="24"/>
                    <w:szCs w:val="24"/>
                  </w:rPr>
                  <m:t>t</m:t>
                </m:r>
                <m:r>
                  <w:rPr>
                    <w:rFonts w:ascii="Cambria Math" w:hAnsi="Times New Roman"/>
                    <w:sz w:val="24"/>
                    <w:szCs w:val="24"/>
                    <w:lang w:val="en-US"/>
                  </w:rPr>
                  <m:t>-</m:t>
                </m:r>
                <m:r>
                  <w:rPr>
                    <w:rFonts w:ascii="Cambria Math" w:hAnsi="Times New Roman"/>
                    <w:sz w:val="24"/>
                    <w:szCs w:val="24"/>
                  </w:rPr>
                  <m:t>i</m:t>
                </m:r>
              </m:sub>
            </m:sSub>
            <m:r>
              <w:rPr>
                <w:rFonts w:ascii="Cambria Math" w:hAnsi="Times New Roman"/>
                <w:sz w:val="24"/>
                <w:szCs w:val="24"/>
                <w:lang w:val="en-US"/>
              </w:rPr>
              <m:t>+</m:t>
            </m:r>
            <m:nary>
              <m:naryPr>
                <m:chr m:val="∑"/>
                <m:ctrlPr>
                  <w:rPr>
                    <w:rFonts w:ascii="Cambria Math" w:hAnsi="Times New Roman"/>
                    <w:i/>
                    <w:sz w:val="24"/>
                    <w:szCs w:val="24"/>
                  </w:rPr>
                </m:ctrlPr>
              </m:naryPr>
              <m:sub>
                <m:r>
                  <w:rPr>
                    <w:rFonts w:ascii="Cambria Math" w:hAnsi="Times New Roman"/>
                    <w:sz w:val="24"/>
                    <w:szCs w:val="24"/>
                  </w:rPr>
                  <m:t>i</m:t>
                </m:r>
                <m:r>
                  <w:rPr>
                    <w:rFonts w:ascii="Cambria Math" w:hAnsi="Times New Roman"/>
                    <w:sz w:val="24"/>
                    <w:szCs w:val="24"/>
                    <w:lang w:val="en-US"/>
                  </w:rPr>
                  <m:t>=1</m:t>
                </m:r>
              </m:sub>
              <m:sup>
                <m:r>
                  <w:rPr>
                    <w:rFonts w:ascii="Cambria Math" w:hAnsi="Times New Roman"/>
                    <w:sz w:val="24"/>
                    <w:szCs w:val="24"/>
                  </w:rPr>
                  <m:t>n</m:t>
                </m:r>
              </m:sup>
              <m:e>
                <m:sSub>
                  <m:sSubPr>
                    <m:ctrlPr>
                      <w:rPr>
                        <w:rFonts w:ascii="Cambria Math" w:hAnsi="Times New Roman"/>
                        <w:i/>
                        <w:sz w:val="24"/>
                        <w:szCs w:val="24"/>
                      </w:rPr>
                    </m:ctrlPr>
                  </m:sSubPr>
                  <m:e>
                    <m:r>
                      <w:rPr>
                        <w:rFonts w:ascii="Cambria Math" w:hAnsi="Cambria Math"/>
                        <w:sz w:val="24"/>
                        <w:szCs w:val="24"/>
                      </w:rPr>
                      <m:t>γ</m:t>
                    </m:r>
                  </m:e>
                  <m:sub>
                    <m:r>
                      <w:rPr>
                        <w:rFonts w:ascii="Cambria Math" w:hAnsi="Times New Roman"/>
                        <w:sz w:val="24"/>
                        <w:szCs w:val="24"/>
                        <w:lang w:val="en-US"/>
                      </w:rPr>
                      <m:t>2</m:t>
                    </m:r>
                    <m:r>
                      <w:rPr>
                        <w:rFonts w:ascii="Cambria Math" w:hAnsi="Times New Roman"/>
                        <w:sz w:val="24"/>
                        <w:szCs w:val="24"/>
                      </w:rPr>
                      <m:t>i</m:t>
                    </m:r>
                  </m:sub>
                </m:sSub>
                <m:r>
                  <w:rPr>
                    <w:rFonts w:ascii="Cambria Math" w:hAnsi="Times New Roman"/>
                    <w:sz w:val="24"/>
                    <w:szCs w:val="24"/>
                  </w:rPr>
                  <m:t>Δ</m:t>
                </m:r>
                <m:sSub>
                  <m:sSubPr>
                    <m:ctrlPr>
                      <w:rPr>
                        <w:rFonts w:ascii="Cambria Math" w:hAnsi="Times New Roman"/>
                        <w:i/>
                        <w:sz w:val="24"/>
                        <w:szCs w:val="24"/>
                      </w:rPr>
                    </m:ctrlPr>
                  </m:sSubPr>
                  <m:e>
                    <m:r>
                      <w:rPr>
                        <w:rFonts w:ascii="Cambria Math" w:hAnsi="Times New Roman"/>
                        <w:sz w:val="24"/>
                        <w:szCs w:val="24"/>
                      </w:rPr>
                      <m:t>MI</m:t>
                    </m:r>
                  </m:e>
                  <m:sub>
                    <m:r>
                      <w:rPr>
                        <w:rFonts w:ascii="Cambria Math" w:hAnsi="Times New Roman"/>
                        <w:sz w:val="24"/>
                        <w:szCs w:val="24"/>
                      </w:rPr>
                      <m:t>t</m:t>
                    </m:r>
                    <m:r>
                      <w:rPr>
                        <w:rFonts w:ascii="Cambria Math" w:hAnsi="Times New Roman"/>
                        <w:sz w:val="24"/>
                        <w:szCs w:val="24"/>
                        <w:lang w:val="en-US"/>
                      </w:rPr>
                      <m:t>-</m:t>
                    </m:r>
                    <m:r>
                      <w:rPr>
                        <w:rFonts w:ascii="Cambria Math" w:hAnsi="Times New Roman"/>
                        <w:sz w:val="24"/>
                        <w:szCs w:val="24"/>
                      </w:rPr>
                      <m:t>i</m:t>
                    </m:r>
                  </m:sub>
                </m:sSub>
                <m:r>
                  <w:rPr>
                    <w:rFonts w:ascii="Cambria Math" w:hAnsi="Times New Roman"/>
                    <w:sz w:val="24"/>
                    <w:szCs w:val="24"/>
                    <w:lang w:val="en-US"/>
                  </w:rPr>
                  <m:t>+</m:t>
                </m:r>
              </m:e>
            </m:nary>
            <m:ctrlPr>
              <w:rPr>
                <w:rFonts w:ascii="Cambria Math" w:hAnsi="Cambria Math"/>
                <w:i/>
                <w:sz w:val="24"/>
                <w:szCs w:val="24"/>
              </w:rPr>
            </m:ctrlPr>
          </m:e>
        </m:nary>
        <m:sSub>
          <m:sSubPr>
            <m:ctrlPr>
              <w:rPr>
                <w:rFonts w:ascii="Cambria Math" w:hAnsi="Times New Roman"/>
                <w:i/>
                <w:sz w:val="24"/>
                <w:szCs w:val="24"/>
              </w:rPr>
            </m:ctrlPr>
          </m:sSubPr>
          <m:e>
            <m:r>
              <w:rPr>
                <w:rFonts w:ascii="Cambria Math" w:hAnsi="Cambria Math"/>
                <w:sz w:val="24"/>
                <w:szCs w:val="24"/>
              </w:rPr>
              <m:t>ε</m:t>
            </m:r>
          </m:e>
          <m:sub>
            <m:r>
              <w:rPr>
                <w:rFonts w:ascii="Cambria Math" w:hAnsi="Times New Roman"/>
                <w:sz w:val="24"/>
                <w:szCs w:val="24"/>
                <w:lang w:val="en-US"/>
              </w:rPr>
              <m:t>1</m:t>
            </m:r>
          </m:sub>
        </m:sSub>
        <m:r>
          <w:rPr>
            <w:rFonts w:ascii="Cambria Math" w:hAnsi="Times New Roman"/>
            <w:sz w:val="24"/>
            <w:szCs w:val="24"/>
          </w:rPr>
          <m:t>EC</m:t>
        </m:r>
        <m:sSub>
          <m:sSubPr>
            <m:ctrlPr>
              <w:rPr>
                <w:rFonts w:ascii="Cambria Math" w:hAnsi="Times New Roman"/>
                <w:i/>
                <w:sz w:val="24"/>
                <w:szCs w:val="24"/>
              </w:rPr>
            </m:ctrlPr>
          </m:sSubPr>
          <m:e>
            <m:r>
              <w:rPr>
                <w:rFonts w:ascii="Cambria Math" w:hAnsi="Times New Roman"/>
                <w:sz w:val="24"/>
                <w:szCs w:val="24"/>
              </w:rPr>
              <m:t>T</m:t>
            </m:r>
          </m:e>
          <m:sub>
            <m:r>
              <w:rPr>
                <w:rFonts w:ascii="Cambria Math" w:hAnsi="Times New Roman"/>
                <w:sz w:val="24"/>
                <w:szCs w:val="24"/>
              </w:rPr>
              <m:t>t</m:t>
            </m:r>
            <m:r>
              <w:rPr>
                <w:rFonts w:ascii="Cambria Math" w:hAnsi="Times New Roman"/>
                <w:sz w:val="24"/>
                <w:szCs w:val="24"/>
                <w:lang w:val="en-US"/>
              </w:rPr>
              <m:t>-</m:t>
            </m:r>
            <m:r>
              <w:rPr>
                <w:rFonts w:ascii="Cambria Math" w:hAnsi="Times New Roman"/>
                <w:sz w:val="24"/>
                <w:szCs w:val="24"/>
                <w:lang w:val="en-US"/>
              </w:rPr>
              <m:t>1</m:t>
            </m:r>
          </m:sub>
        </m:sSub>
        <m:r>
          <w:rPr>
            <w:rFonts w:ascii="Cambria Math" w:hAnsi="Times New Roman"/>
            <w:sz w:val="24"/>
            <w:szCs w:val="24"/>
            <w:lang w:val="en-US"/>
          </w:rPr>
          <m:t>+</m:t>
        </m:r>
        <m:sSub>
          <m:sSubPr>
            <m:ctrlPr>
              <w:rPr>
                <w:rFonts w:ascii="Cambria Math" w:hAnsi="Times New Roman"/>
                <w:i/>
                <w:sz w:val="24"/>
                <w:szCs w:val="24"/>
              </w:rPr>
            </m:ctrlPr>
          </m:sSubPr>
          <m:e>
            <m:r>
              <w:rPr>
                <w:rFonts w:ascii="Cambria Math" w:hAnsi="Cambria Math"/>
                <w:sz w:val="24"/>
                <w:szCs w:val="24"/>
              </w:rPr>
              <m:t>θ</m:t>
            </m:r>
          </m:e>
          <m:sub>
            <m:r>
              <w:rPr>
                <w:rFonts w:ascii="Cambria Math" w:hAnsi="Times New Roman"/>
                <w:sz w:val="24"/>
                <w:szCs w:val="24"/>
                <w:lang w:val="en-US"/>
              </w:rPr>
              <m:t>1</m:t>
            </m:r>
            <m:r>
              <w:rPr>
                <w:rFonts w:ascii="Cambria Math" w:hAnsi="Times New Roman"/>
                <w:sz w:val="24"/>
                <w:szCs w:val="24"/>
              </w:rPr>
              <m:t>t</m:t>
            </m:r>
          </m:sub>
        </m:sSub>
      </m:oMath>
      <w:r w:rsidR="00B56577" w:rsidRPr="00B56577">
        <w:rPr>
          <w:rFonts w:ascii="Times New Roman" w:eastAsiaTheme="minorEastAsia" w:hAnsi="Times New Roman" w:cs="Times New Roman"/>
          <w:sz w:val="24"/>
          <w:szCs w:val="24"/>
          <w:lang w:val="en-US"/>
        </w:rPr>
        <w:t xml:space="preserve"> </w:t>
      </w:r>
      <w:r w:rsidR="00B56577">
        <w:rPr>
          <w:rFonts w:ascii="Times New Roman" w:eastAsiaTheme="minorEastAsia" w:hAnsi="Times New Roman" w:cs="Times New Roman"/>
          <w:sz w:val="24"/>
          <w:szCs w:val="24"/>
          <w:lang w:val="en-US"/>
        </w:rPr>
        <w:t xml:space="preserve">  </w:t>
      </w:r>
      <w:r w:rsidR="006F05AD">
        <w:rPr>
          <w:rFonts w:ascii="Times New Roman" w:eastAsiaTheme="minorEastAsia" w:hAnsi="Times New Roman" w:cs="Times New Roman"/>
          <w:sz w:val="24"/>
          <w:szCs w:val="24"/>
          <w:lang w:val="en-US"/>
        </w:rPr>
        <w:tab/>
      </w:r>
      <w:r w:rsidR="00B56577">
        <w:rPr>
          <w:rFonts w:ascii="Times New Roman" w:eastAsiaTheme="minorEastAsia" w:hAnsi="Times New Roman" w:cs="Times New Roman"/>
          <w:sz w:val="24"/>
          <w:szCs w:val="24"/>
          <w:lang w:val="en-US"/>
        </w:rPr>
        <w:t>equation (2)</w:t>
      </w:r>
    </w:p>
    <w:p w14:paraId="113A1A8E" w14:textId="62A25B64" w:rsidR="00B87478" w:rsidRDefault="00A60B01" w:rsidP="00497F00">
      <w:pPr>
        <w:tabs>
          <w:tab w:val="left" w:pos="1258"/>
        </w:tabs>
        <w:jc w:val="both"/>
        <w:rPr>
          <w:rFonts w:ascii="Times New Roman" w:hAnsi="Times New Roman" w:cs="Times New Roman"/>
          <w:lang w:val="en-US"/>
        </w:rPr>
      </w:pPr>
      <w:r>
        <w:rPr>
          <w:rFonts w:ascii="Times New Roman" w:hAnsi="Times New Roman" w:cs="Times New Roman"/>
          <w:lang w:val="en-US"/>
        </w:rPr>
        <w:t xml:space="preserve">Cointegration requires </w:t>
      </w:r>
      <m:oMath>
        <m:sSub>
          <m:sSubPr>
            <m:ctrlPr>
              <w:rPr>
                <w:rFonts w:ascii="Cambria Math" w:hAnsi="Cambria Math" w:cs="Times New Roman"/>
                <w:i/>
                <w:lang w:val="en-US"/>
              </w:rPr>
            </m:ctrlPr>
          </m:sSubPr>
          <m:e>
            <m:r>
              <w:rPr>
                <w:rFonts w:ascii="Cambria Math" w:hAnsi="Cambria Math" w:cs="Times New Roman"/>
                <w:lang w:val="en-US"/>
              </w:rPr>
              <m:t>δ</m:t>
            </m:r>
          </m:e>
          <m:sub>
            <m:r>
              <w:rPr>
                <w:rFonts w:ascii="Cambria Math" w:hAnsi="Cambria Math" w:cs="Times New Roman"/>
                <w:lang w:val="en-US"/>
              </w:rPr>
              <m:t>1</m:t>
            </m:r>
          </m:sub>
        </m:sSub>
      </m:oMath>
      <w:r>
        <w:rPr>
          <w:rFonts w:ascii="Times New Roman" w:hAnsi="Times New Roman" w:cs="Times New Roman"/>
          <w:lang w:val="en-US"/>
        </w:rPr>
        <w:t xml:space="preserve">and </w:t>
      </w:r>
      <m:oMath>
        <m:sSub>
          <m:sSubPr>
            <m:ctrlPr>
              <w:rPr>
                <w:rFonts w:ascii="Cambria Math" w:hAnsi="Cambria Math" w:cs="Times New Roman"/>
                <w:i/>
                <w:lang w:val="en-US"/>
              </w:rPr>
            </m:ctrlPr>
          </m:sSubPr>
          <m:e>
            <m:r>
              <w:rPr>
                <w:rFonts w:ascii="Cambria Math" w:hAnsi="Cambria Math" w:cs="Times New Roman"/>
                <w:lang w:val="en-US"/>
              </w:rPr>
              <m:t>ε</m:t>
            </m:r>
          </m:e>
          <m:sub>
            <m:r>
              <w:rPr>
                <w:rFonts w:ascii="Cambria Math" w:hAnsi="Cambria Math" w:cs="Times New Roman"/>
                <w:lang w:val="en-US"/>
              </w:rPr>
              <m:t>1</m:t>
            </m:r>
          </m:sub>
        </m:sSub>
      </m:oMath>
      <w:r>
        <w:rPr>
          <w:rFonts w:ascii="Times New Roman" w:eastAsiaTheme="minorEastAsia" w:hAnsi="Times New Roman" w:cs="Times New Roman"/>
          <w:lang w:val="en-US"/>
        </w:rPr>
        <w:t xml:space="preserve"> being significantly negative.</w:t>
      </w:r>
      <w:r>
        <w:rPr>
          <w:rFonts w:ascii="Times New Roman" w:hAnsi="Times New Roman" w:cs="Times New Roman"/>
          <w:lang w:val="en-US"/>
        </w:rPr>
        <w:t xml:space="preserve"> </w:t>
      </w:r>
      <w:r w:rsidR="00732A4A">
        <w:rPr>
          <w:rFonts w:ascii="Times New Roman" w:hAnsi="Times New Roman" w:cs="Times New Roman"/>
          <w:lang w:val="en-US"/>
        </w:rPr>
        <w:t>The Error Correction Term (ECT) captures the long-run cointegrating relation</w:t>
      </w:r>
      <w:r>
        <w:rPr>
          <w:rFonts w:ascii="Times New Roman" w:hAnsi="Times New Roman" w:cs="Times New Roman"/>
          <w:lang w:val="en-US"/>
        </w:rPr>
        <w:t>. Estimation with the Johansen system estimator gives the following result.</w:t>
      </w:r>
    </w:p>
    <w:p w14:paraId="6F8646D2" w14:textId="492F48B3" w:rsidR="00A60B01" w:rsidRPr="00932711" w:rsidRDefault="00E8339B" w:rsidP="00497F00">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Tab</w:t>
      </w:r>
      <w:r w:rsidR="00991CBB">
        <w:rPr>
          <w:rFonts w:ascii="Times New Roman" w:hAnsi="Times New Roman" w:cs="Times New Roman"/>
          <w:lang w:val="en-US"/>
        </w:rPr>
        <w:t xml:space="preserve">le 4: </w:t>
      </w:r>
      <w:r w:rsidR="00932711">
        <w:rPr>
          <w:rFonts w:ascii="Times New Roman" w:hAnsi="Times New Roman" w:cs="Times New Roman"/>
          <w:lang w:val="en-US"/>
        </w:rPr>
        <w:t>Vector Error Correction Model Estimates</w:t>
      </w:r>
    </w:p>
    <w:tbl>
      <w:tblPr>
        <w:tblW w:w="0" w:type="auto"/>
        <w:tblInd w:w="30" w:type="dxa"/>
        <w:tblLayout w:type="fixed"/>
        <w:tblCellMar>
          <w:left w:w="0" w:type="dxa"/>
          <w:right w:w="0" w:type="dxa"/>
        </w:tblCellMar>
        <w:tblLook w:val="0000" w:firstRow="0" w:lastRow="0" w:firstColumn="0" w:lastColumn="0" w:noHBand="0" w:noVBand="0"/>
      </w:tblPr>
      <w:tblGrid>
        <w:gridCol w:w="2120"/>
        <w:gridCol w:w="1250"/>
        <w:gridCol w:w="1250"/>
        <w:gridCol w:w="1250"/>
      </w:tblGrid>
      <w:tr w:rsidR="00A60B01" w:rsidRPr="00A60B01" w14:paraId="6F732FC1" w14:textId="77777777" w:rsidTr="00A60B01">
        <w:trPr>
          <w:trHeight w:val="220"/>
        </w:trPr>
        <w:tc>
          <w:tcPr>
            <w:tcW w:w="5870" w:type="dxa"/>
            <w:gridSpan w:val="4"/>
            <w:tcBorders>
              <w:top w:val="nil"/>
              <w:left w:val="nil"/>
              <w:bottom w:val="nil"/>
              <w:right w:val="nil"/>
            </w:tcBorders>
            <w:vAlign w:val="bottom"/>
          </w:tcPr>
          <w:p w14:paraId="0D57D70F"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 xml:space="preserve">Standard </w:t>
            </w:r>
            <w:proofErr w:type="spellStart"/>
            <w:r w:rsidRPr="00A60B01">
              <w:rPr>
                <w:rFonts w:ascii="Times New Roman" w:hAnsi="Times New Roman" w:cs="Times New Roman"/>
                <w:color w:val="000000"/>
              </w:rPr>
              <w:t>errors</w:t>
            </w:r>
            <w:proofErr w:type="spellEnd"/>
            <w:r w:rsidRPr="00A60B01">
              <w:rPr>
                <w:rFonts w:ascii="Times New Roman" w:hAnsi="Times New Roman" w:cs="Times New Roman"/>
                <w:color w:val="000000"/>
              </w:rPr>
              <w:t xml:space="preserve"> in </w:t>
            </w:r>
            <w:proofErr w:type="gramStart"/>
            <w:r w:rsidRPr="00A60B01">
              <w:rPr>
                <w:rFonts w:ascii="Times New Roman" w:hAnsi="Times New Roman" w:cs="Times New Roman"/>
                <w:color w:val="000000"/>
              </w:rPr>
              <w:t>( )</w:t>
            </w:r>
            <w:proofErr w:type="gramEnd"/>
            <w:r w:rsidRPr="00A60B01">
              <w:rPr>
                <w:rFonts w:ascii="Times New Roman" w:hAnsi="Times New Roman" w:cs="Times New Roman"/>
                <w:color w:val="000000"/>
              </w:rPr>
              <w:t xml:space="preserve"> &amp; t-</w:t>
            </w:r>
            <w:proofErr w:type="spellStart"/>
            <w:r w:rsidRPr="00A60B01">
              <w:rPr>
                <w:rFonts w:ascii="Times New Roman" w:hAnsi="Times New Roman" w:cs="Times New Roman"/>
                <w:color w:val="000000"/>
              </w:rPr>
              <w:t>statistics</w:t>
            </w:r>
            <w:proofErr w:type="spellEnd"/>
            <w:r w:rsidRPr="00A60B01">
              <w:rPr>
                <w:rFonts w:ascii="Times New Roman" w:hAnsi="Times New Roman" w:cs="Times New Roman"/>
                <w:color w:val="000000"/>
              </w:rPr>
              <w:t xml:space="preserve"> in [ ]</w:t>
            </w:r>
          </w:p>
        </w:tc>
      </w:tr>
      <w:tr w:rsidR="00A60B01" w:rsidRPr="00943470" w14:paraId="04DB0B15" w14:textId="77777777" w:rsidTr="00A60B01">
        <w:trPr>
          <w:trHeight w:val="220"/>
        </w:trPr>
        <w:tc>
          <w:tcPr>
            <w:tcW w:w="5870" w:type="dxa"/>
            <w:gridSpan w:val="4"/>
            <w:tcBorders>
              <w:top w:val="nil"/>
              <w:left w:val="nil"/>
              <w:bottom w:val="nil"/>
              <w:right w:val="nil"/>
            </w:tcBorders>
            <w:vAlign w:val="bottom"/>
          </w:tcPr>
          <w:p w14:paraId="30FBE072"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lang w:val="en-US"/>
              </w:rPr>
            </w:pPr>
            <w:r w:rsidRPr="00A60B01">
              <w:rPr>
                <w:rFonts w:ascii="Times New Roman" w:hAnsi="Times New Roman" w:cs="Times New Roman"/>
                <w:color w:val="000000"/>
                <w:lang w:val="en-US"/>
              </w:rPr>
              <w:t>Lags interval (in first differences): 1 to 2</w:t>
            </w:r>
          </w:p>
        </w:tc>
      </w:tr>
      <w:tr w:rsidR="00A60B01" w:rsidRPr="00A60B01" w14:paraId="62032C23" w14:textId="77777777" w:rsidTr="00A60B01">
        <w:trPr>
          <w:trHeight w:val="220"/>
        </w:trPr>
        <w:tc>
          <w:tcPr>
            <w:tcW w:w="5870" w:type="dxa"/>
            <w:gridSpan w:val="4"/>
            <w:tcBorders>
              <w:top w:val="nil"/>
              <w:left w:val="nil"/>
              <w:bottom w:val="nil"/>
              <w:right w:val="nil"/>
            </w:tcBorders>
            <w:vAlign w:val="bottom"/>
          </w:tcPr>
          <w:p w14:paraId="6244D8C7"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roofErr w:type="spellStart"/>
            <w:r w:rsidRPr="00A60B01">
              <w:rPr>
                <w:rFonts w:ascii="Times New Roman" w:hAnsi="Times New Roman" w:cs="Times New Roman"/>
                <w:color w:val="000000"/>
              </w:rPr>
              <w:t>Endogenous</w:t>
            </w:r>
            <w:proofErr w:type="spellEnd"/>
            <w:r w:rsidRPr="00A60B01">
              <w:rPr>
                <w:rFonts w:ascii="Times New Roman" w:hAnsi="Times New Roman" w:cs="Times New Roman"/>
                <w:color w:val="000000"/>
              </w:rPr>
              <w:t xml:space="preserve"> variables: MI ROE</w:t>
            </w:r>
          </w:p>
        </w:tc>
      </w:tr>
      <w:tr w:rsidR="00A60B01" w:rsidRPr="00943470" w14:paraId="7595550B" w14:textId="77777777" w:rsidTr="00A60B01">
        <w:trPr>
          <w:trHeight w:val="220"/>
        </w:trPr>
        <w:tc>
          <w:tcPr>
            <w:tcW w:w="5870" w:type="dxa"/>
            <w:gridSpan w:val="4"/>
            <w:tcBorders>
              <w:top w:val="nil"/>
              <w:left w:val="nil"/>
              <w:bottom w:val="nil"/>
              <w:right w:val="nil"/>
            </w:tcBorders>
            <w:vAlign w:val="bottom"/>
          </w:tcPr>
          <w:p w14:paraId="2EC11408"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lang w:val="en-US"/>
              </w:rPr>
            </w:pPr>
            <w:r w:rsidRPr="00A60B01">
              <w:rPr>
                <w:rFonts w:ascii="Times New Roman" w:hAnsi="Times New Roman" w:cs="Times New Roman"/>
                <w:color w:val="000000"/>
                <w:lang w:val="en-US"/>
              </w:rPr>
              <w:t>Deterministic assumptions: Case 3 (Johansen-Hendry-</w:t>
            </w:r>
            <w:proofErr w:type="spellStart"/>
            <w:r w:rsidRPr="00A60B01">
              <w:rPr>
                <w:rFonts w:ascii="Times New Roman" w:hAnsi="Times New Roman" w:cs="Times New Roman"/>
                <w:color w:val="000000"/>
                <w:lang w:val="en-US"/>
              </w:rPr>
              <w:t>Juselius</w:t>
            </w:r>
            <w:proofErr w:type="spellEnd"/>
            <w:r w:rsidRPr="00A60B01">
              <w:rPr>
                <w:rFonts w:ascii="Times New Roman" w:hAnsi="Times New Roman" w:cs="Times New Roman"/>
                <w:color w:val="000000"/>
                <w:lang w:val="en-US"/>
              </w:rPr>
              <w:t>):</w:t>
            </w:r>
          </w:p>
        </w:tc>
      </w:tr>
      <w:tr w:rsidR="00A60B01" w:rsidRPr="00A60B01" w14:paraId="07C3D0C8" w14:textId="77777777" w:rsidTr="00A60B01">
        <w:trPr>
          <w:trHeight w:val="220"/>
        </w:trPr>
        <w:tc>
          <w:tcPr>
            <w:tcW w:w="5870" w:type="dxa"/>
            <w:gridSpan w:val="4"/>
            <w:tcBorders>
              <w:top w:val="nil"/>
              <w:left w:val="nil"/>
              <w:bottom w:val="nil"/>
              <w:right w:val="nil"/>
            </w:tcBorders>
            <w:vAlign w:val="bottom"/>
          </w:tcPr>
          <w:p w14:paraId="7CEC701E"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lang w:val="en-US"/>
              </w:rPr>
              <w:t xml:space="preserve">        Cointegrating relationship includes a constant. </w:t>
            </w:r>
            <w:r w:rsidRPr="00A60B01">
              <w:rPr>
                <w:rFonts w:ascii="Times New Roman" w:hAnsi="Times New Roman" w:cs="Times New Roman"/>
                <w:color w:val="000000"/>
              </w:rPr>
              <w:t>Short-run</w:t>
            </w:r>
          </w:p>
        </w:tc>
      </w:tr>
      <w:tr w:rsidR="00A60B01" w:rsidRPr="00A60B01" w14:paraId="5B949AC3" w14:textId="77777777" w:rsidTr="00A60B01">
        <w:trPr>
          <w:trHeight w:val="220"/>
        </w:trPr>
        <w:tc>
          <w:tcPr>
            <w:tcW w:w="5870" w:type="dxa"/>
            <w:gridSpan w:val="4"/>
            <w:tcBorders>
              <w:top w:val="nil"/>
              <w:left w:val="nil"/>
              <w:bottom w:val="nil"/>
              <w:right w:val="nil"/>
            </w:tcBorders>
            <w:vAlign w:val="bottom"/>
          </w:tcPr>
          <w:p w14:paraId="7E2D3B9B"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        </w:t>
            </w:r>
            <w:proofErr w:type="spellStart"/>
            <w:r w:rsidRPr="00A60B01">
              <w:rPr>
                <w:rFonts w:ascii="Times New Roman" w:hAnsi="Times New Roman" w:cs="Times New Roman"/>
                <w:color w:val="000000"/>
              </w:rPr>
              <w:t>dynamics</w:t>
            </w:r>
            <w:proofErr w:type="spellEnd"/>
            <w:r w:rsidRPr="00A60B01">
              <w:rPr>
                <w:rFonts w:ascii="Times New Roman" w:hAnsi="Times New Roman" w:cs="Times New Roman"/>
                <w:color w:val="000000"/>
              </w:rPr>
              <w:t xml:space="preserve"> </w:t>
            </w:r>
            <w:proofErr w:type="spellStart"/>
            <w:r w:rsidRPr="00A60B01">
              <w:rPr>
                <w:rFonts w:ascii="Times New Roman" w:hAnsi="Times New Roman" w:cs="Times New Roman"/>
                <w:color w:val="000000"/>
              </w:rPr>
              <w:t>include</w:t>
            </w:r>
            <w:proofErr w:type="spellEnd"/>
            <w:r w:rsidRPr="00A60B01">
              <w:rPr>
                <w:rFonts w:ascii="Times New Roman" w:hAnsi="Times New Roman" w:cs="Times New Roman"/>
                <w:color w:val="000000"/>
              </w:rPr>
              <w:t xml:space="preserve"> a </w:t>
            </w:r>
            <w:proofErr w:type="spellStart"/>
            <w:r w:rsidRPr="00A60B01">
              <w:rPr>
                <w:rFonts w:ascii="Times New Roman" w:hAnsi="Times New Roman" w:cs="Times New Roman"/>
                <w:color w:val="000000"/>
              </w:rPr>
              <w:t>constant</w:t>
            </w:r>
            <w:proofErr w:type="spellEnd"/>
            <w:r w:rsidRPr="00A60B01">
              <w:rPr>
                <w:rFonts w:ascii="Times New Roman" w:hAnsi="Times New Roman" w:cs="Times New Roman"/>
                <w:color w:val="000000"/>
              </w:rPr>
              <w:t>.</w:t>
            </w:r>
          </w:p>
        </w:tc>
      </w:tr>
      <w:tr w:rsidR="00A60B01" w:rsidRPr="00A60B01" w14:paraId="253260C4" w14:textId="77777777">
        <w:trPr>
          <w:trHeight w:hRule="exact" w:val="88"/>
        </w:trPr>
        <w:tc>
          <w:tcPr>
            <w:tcW w:w="2120" w:type="dxa"/>
            <w:tcBorders>
              <w:top w:val="nil"/>
              <w:left w:val="nil"/>
              <w:bottom w:val="double" w:sz="6" w:space="2" w:color="auto"/>
              <w:right w:val="nil"/>
            </w:tcBorders>
            <w:vAlign w:val="bottom"/>
          </w:tcPr>
          <w:p w14:paraId="6F021456"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double" w:sz="6" w:space="2" w:color="auto"/>
              <w:right w:val="nil"/>
            </w:tcBorders>
            <w:vAlign w:val="bottom"/>
          </w:tcPr>
          <w:p w14:paraId="3DD31DDB"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double" w:sz="6" w:space="2" w:color="auto"/>
              <w:right w:val="nil"/>
            </w:tcBorders>
            <w:vAlign w:val="bottom"/>
          </w:tcPr>
          <w:p w14:paraId="672D22B6"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double" w:sz="6" w:space="2" w:color="auto"/>
              <w:right w:val="nil"/>
            </w:tcBorders>
            <w:vAlign w:val="bottom"/>
          </w:tcPr>
          <w:p w14:paraId="49999D3F"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1A5D89EC" w14:textId="77777777">
        <w:trPr>
          <w:trHeight w:hRule="exact" w:val="132"/>
        </w:trPr>
        <w:tc>
          <w:tcPr>
            <w:tcW w:w="2120" w:type="dxa"/>
            <w:tcBorders>
              <w:top w:val="nil"/>
              <w:left w:val="nil"/>
              <w:bottom w:val="nil"/>
              <w:right w:val="nil"/>
            </w:tcBorders>
            <w:vAlign w:val="bottom"/>
          </w:tcPr>
          <w:p w14:paraId="18B701BE"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3FCA94E3"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59BEB183"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03ACE1C2"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3517AF32" w14:textId="77777777">
        <w:trPr>
          <w:trHeight w:val="220"/>
        </w:trPr>
        <w:tc>
          <w:tcPr>
            <w:tcW w:w="2120" w:type="dxa"/>
            <w:tcBorders>
              <w:top w:val="nil"/>
              <w:left w:val="nil"/>
              <w:bottom w:val="nil"/>
              <w:right w:val="nil"/>
            </w:tcBorders>
            <w:vAlign w:val="bottom"/>
          </w:tcPr>
          <w:p w14:paraId="1180F04A"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roofErr w:type="spellStart"/>
            <w:r w:rsidRPr="00A60B01">
              <w:rPr>
                <w:rFonts w:ascii="Times New Roman" w:hAnsi="Times New Roman" w:cs="Times New Roman"/>
                <w:color w:val="000000"/>
              </w:rPr>
              <w:t>Cointegrating</w:t>
            </w:r>
            <w:proofErr w:type="spellEnd"/>
            <w:r w:rsidRPr="00A60B01">
              <w:rPr>
                <w:rFonts w:ascii="Times New Roman" w:hAnsi="Times New Roman" w:cs="Times New Roman"/>
                <w:color w:val="000000"/>
              </w:rPr>
              <w:t xml:space="preserve"> </w:t>
            </w:r>
            <w:proofErr w:type="spellStart"/>
            <w:r w:rsidRPr="00A60B01">
              <w:rPr>
                <w:rFonts w:ascii="Times New Roman" w:hAnsi="Times New Roman" w:cs="Times New Roman"/>
                <w:color w:val="000000"/>
              </w:rPr>
              <w:t>Eq</w:t>
            </w:r>
            <w:proofErr w:type="spellEnd"/>
            <w:r w:rsidRPr="00A60B01">
              <w:rPr>
                <w:rFonts w:ascii="Times New Roman" w:hAnsi="Times New Roman" w:cs="Times New Roman"/>
                <w:color w:val="000000"/>
              </w:rPr>
              <w:t>: </w:t>
            </w:r>
          </w:p>
        </w:tc>
        <w:tc>
          <w:tcPr>
            <w:tcW w:w="1250" w:type="dxa"/>
            <w:tcBorders>
              <w:top w:val="nil"/>
              <w:left w:val="nil"/>
              <w:bottom w:val="nil"/>
              <w:right w:val="nil"/>
            </w:tcBorders>
            <w:vAlign w:val="bottom"/>
          </w:tcPr>
          <w:p w14:paraId="1A8EFA49" w14:textId="550E8E9F"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roofErr w:type="gramStart"/>
            <w:r>
              <w:rPr>
                <w:rFonts w:ascii="Times New Roman" w:hAnsi="Times New Roman" w:cs="Times New Roman"/>
                <w:color w:val="000000"/>
              </w:rPr>
              <w:t>ECT</w:t>
            </w:r>
            <w:r w:rsidR="002F6ACF">
              <w:rPr>
                <w:rFonts w:ascii="Times New Roman" w:hAnsi="Times New Roman" w:cs="Times New Roman"/>
                <w:color w:val="000000"/>
              </w:rPr>
              <w:t>(</w:t>
            </w:r>
            <w:proofErr w:type="gramEnd"/>
            <w:r w:rsidR="002F6ACF">
              <w:rPr>
                <w:rFonts w:ascii="Times New Roman" w:hAnsi="Times New Roman" w:cs="Times New Roman"/>
                <w:color w:val="000000"/>
              </w:rPr>
              <w:t>-1)</w:t>
            </w:r>
          </w:p>
        </w:tc>
        <w:tc>
          <w:tcPr>
            <w:tcW w:w="1250" w:type="dxa"/>
            <w:tcBorders>
              <w:top w:val="nil"/>
              <w:left w:val="nil"/>
              <w:bottom w:val="nil"/>
              <w:right w:val="nil"/>
            </w:tcBorders>
            <w:vAlign w:val="bottom"/>
          </w:tcPr>
          <w:p w14:paraId="7A248D38"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674AA137"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5AD2F27C" w14:textId="77777777">
        <w:trPr>
          <w:trHeight w:hRule="exact" w:val="88"/>
        </w:trPr>
        <w:tc>
          <w:tcPr>
            <w:tcW w:w="2120" w:type="dxa"/>
            <w:tcBorders>
              <w:top w:val="nil"/>
              <w:left w:val="nil"/>
              <w:bottom w:val="double" w:sz="6" w:space="2" w:color="auto"/>
              <w:right w:val="nil"/>
            </w:tcBorders>
            <w:vAlign w:val="bottom"/>
          </w:tcPr>
          <w:p w14:paraId="68A8E070"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double" w:sz="6" w:space="2" w:color="auto"/>
              <w:right w:val="nil"/>
            </w:tcBorders>
            <w:vAlign w:val="bottom"/>
          </w:tcPr>
          <w:p w14:paraId="31B70945"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double" w:sz="6" w:space="2" w:color="auto"/>
              <w:right w:val="nil"/>
            </w:tcBorders>
            <w:vAlign w:val="bottom"/>
          </w:tcPr>
          <w:p w14:paraId="55EB7B13"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double" w:sz="6" w:space="2" w:color="auto"/>
              <w:right w:val="nil"/>
            </w:tcBorders>
            <w:vAlign w:val="bottom"/>
          </w:tcPr>
          <w:p w14:paraId="45DD6E08"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66DD0D21" w14:textId="77777777">
        <w:trPr>
          <w:trHeight w:hRule="exact" w:val="132"/>
        </w:trPr>
        <w:tc>
          <w:tcPr>
            <w:tcW w:w="2120" w:type="dxa"/>
            <w:tcBorders>
              <w:top w:val="nil"/>
              <w:left w:val="nil"/>
              <w:bottom w:val="nil"/>
              <w:right w:val="nil"/>
            </w:tcBorders>
            <w:vAlign w:val="bottom"/>
          </w:tcPr>
          <w:p w14:paraId="69AD671F"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3C59F591"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622E8554"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2DBDD690"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58AC45D8" w14:textId="77777777">
        <w:trPr>
          <w:trHeight w:val="220"/>
        </w:trPr>
        <w:tc>
          <w:tcPr>
            <w:tcW w:w="2120" w:type="dxa"/>
            <w:tcBorders>
              <w:top w:val="nil"/>
              <w:left w:val="nil"/>
              <w:bottom w:val="nil"/>
              <w:right w:val="nil"/>
            </w:tcBorders>
            <w:vAlign w:val="bottom"/>
          </w:tcPr>
          <w:p w14:paraId="494D9B61"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roofErr w:type="gramStart"/>
            <w:r w:rsidRPr="00A60B01">
              <w:rPr>
                <w:rFonts w:ascii="Times New Roman" w:hAnsi="Times New Roman" w:cs="Times New Roman"/>
                <w:color w:val="000000"/>
              </w:rPr>
              <w:t>MI(</w:t>
            </w:r>
            <w:proofErr w:type="gramEnd"/>
            <w:r w:rsidRPr="00A60B01">
              <w:rPr>
                <w:rFonts w:ascii="Times New Roman" w:hAnsi="Times New Roman" w:cs="Times New Roman"/>
                <w:color w:val="000000"/>
              </w:rPr>
              <w:t>-1)</w:t>
            </w:r>
          </w:p>
        </w:tc>
        <w:tc>
          <w:tcPr>
            <w:tcW w:w="1250" w:type="dxa"/>
            <w:tcBorders>
              <w:top w:val="nil"/>
              <w:left w:val="nil"/>
              <w:bottom w:val="nil"/>
              <w:right w:val="nil"/>
            </w:tcBorders>
            <w:vAlign w:val="bottom"/>
          </w:tcPr>
          <w:p w14:paraId="414EC3C3"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 1.000000</w:t>
            </w:r>
          </w:p>
        </w:tc>
        <w:tc>
          <w:tcPr>
            <w:tcW w:w="1250" w:type="dxa"/>
            <w:tcBorders>
              <w:top w:val="nil"/>
              <w:left w:val="nil"/>
              <w:bottom w:val="nil"/>
              <w:right w:val="nil"/>
            </w:tcBorders>
            <w:vAlign w:val="bottom"/>
          </w:tcPr>
          <w:p w14:paraId="05B8DC6C"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1FECC0C7"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31645B29" w14:textId="77777777" w:rsidTr="00321507">
        <w:trPr>
          <w:trHeight w:val="101"/>
        </w:trPr>
        <w:tc>
          <w:tcPr>
            <w:tcW w:w="2120" w:type="dxa"/>
            <w:tcBorders>
              <w:top w:val="nil"/>
              <w:left w:val="nil"/>
              <w:bottom w:val="nil"/>
              <w:right w:val="nil"/>
            </w:tcBorders>
            <w:vAlign w:val="bottom"/>
          </w:tcPr>
          <w:p w14:paraId="6400481B"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79DB2F70"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68B7D0A6"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6ECC5EF9"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0052D495" w14:textId="77777777">
        <w:trPr>
          <w:trHeight w:val="220"/>
        </w:trPr>
        <w:tc>
          <w:tcPr>
            <w:tcW w:w="2120" w:type="dxa"/>
            <w:tcBorders>
              <w:top w:val="nil"/>
              <w:left w:val="nil"/>
              <w:bottom w:val="nil"/>
              <w:right w:val="nil"/>
            </w:tcBorders>
            <w:vAlign w:val="bottom"/>
          </w:tcPr>
          <w:p w14:paraId="720A1287"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roofErr w:type="gramStart"/>
            <w:r w:rsidRPr="00A60B01">
              <w:rPr>
                <w:rFonts w:ascii="Times New Roman" w:hAnsi="Times New Roman" w:cs="Times New Roman"/>
                <w:color w:val="000000"/>
              </w:rPr>
              <w:t>ROE(</w:t>
            </w:r>
            <w:proofErr w:type="gramEnd"/>
            <w:r w:rsidRPr="00A60B01">
              <w:rPr>
                <w:rFonts w:ascii="Times New Roman" w:hAnsi="Times New Roman" w:cs="Times New Roman"/>
                <w:color w:val="000000"/>
              </w:rPr>
              <w:t>-1)</w:t>
            </w:r>
          </w:p>
        </w:tc>
        <w:tc>
          <w:tcPr>
            <w:tcW w:w="1250" w:type="dxa"/>
            <w:tcBorders>
              <w:top w:val="nil"/>
              <w:left w:val="nil"/>
              <w:bottom w:val="nil"/>
              <w:right w:val="nil"/>
            </w:tcBorders>
            <w:vAlign w:val="bottom"/>
          </w:tcPr>
          <w:p w14:paraId="0775AEB2"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-0.025286</w:t>
            </w:r>
          </w:p>
        </w:tc>
        <w:tc>
          <w:tcPr>
            <w:tcW w:w="1250" w:type="dxa"/>
            <w:tcBorders>
              <w:top w:val="nil"/>
              <w:left w:val="nil"/>
              <w:bottom w:val="nil"/>
              <w:right w:val="nil"/>
            </w:tcBorders>
            <w:vAlign w:val="bottom"/>
          </w:tcPr>
          <w:p w14:paraId="48BB9AA3"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60282CFD"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42789AD7" w14:textId="77777777">
        <w:trPr>
          <w:trHeight w:val="220"/>
        </w:trPr>
        <w:tc>
          <w:tcPr>
            <w:tcW w:w="2120" w:type="dxa"/>
            <w:tcBorders>
              <w:top w:val="nil"/>
              <w:left w:val="nil"/>
              <w:bottom w:val="nil"/>
              <w:right w:val="nil"/>
            </w:tcBorders>
            <w:vAlign w:val="bottom"/>
          </w:tcPr>
          <w:p w14:paraId="04B21679"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3F14D83B"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 (0.00758)</w:t>
            </w:r>
          </w:p>
        </w:tc>
        <w:tc>
          <w:tcPr>
            <w:tcW w:w="1250" w:type="dxa"/>
            <w:tcBorders>
              <w:top w:val="nil"/>
              <w:left w:val="nil"/>
              <w:bottom w:val="nil"/>
              <w:right w:val="nil"/>
            </w:tcBorders>
            <w:vAlign w:val="bottom"/>
          </w:tcPr>
          <w:p w14:paraId="1DB82118"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3BDA5841"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61E1AD3F" w14:textId="77777777">
        <w:trPr>
          <w:trHeight w:val="220"/>
        </w:trPr>
        <w:tc>
          <w:tcPr>
            <w:tcW w:w="2120" w:type="dxa"/>
            <w:tcBorders>
              <w:top w:val="nil"/>
              <w:left w:val="nil"/>
              <w:bottom w:val="nil"/>
              <w:right w:val="nil"/>
            </w:tcBorders>
            <w:vAlign w:val="bottom"/>
          </w:tcPr>
          <w:p w14:paraId="27D91328"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4DC0B255"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[-3.33689]</w:t>
            </w:r>
          </w:p>
        </w:tc>
        <w:tc>
          <w:tcPr>
            <w:tcW w:w="1250" w:type="dxa"/>
            <w:tcBorders>
              <w:top w:val="nil"/>
              <w:left w:val="nil"/>
              <w:bottom w:val="nil"/>
              <w:right w:val="nil"/>
            </w:tcBorders>
            <w:vAlign w:val="bottom"/>
          </w:tcPr>
          <w:p w14:paraId="748647AF"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5E78F87D"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38045941" w14:textId="77777777">
        <w:trPr>
          <w:trHeight w:val="220"/>
        </w:trPr>
        <w:tc>
          <w:tcPr>
            <w:tcW w:w="2120" w:type="dxa"/>
            <w:tcBorders>
              <w:top w:val="nil"/>
              <w:left w:val="nil"/>
              <w:bottom w:val="nil"/>
              <w:right w:val="nil"/>
            </w:tcBorders>
            <w:vAlign w:val="bottom"/>
          </w:tcPr>
          <w:p w14:paraId="29C041EC"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4FADD420"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5AAF9DD9"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1E477FF3"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57A71A16" w14:textId="77777777">
        <w:trPr>
          <w:trHeight w:val="220"/>
        </w:trPr>
        <w:tc>
          <w:tcPr>
            <w:tcW w:w="2120" w:type="dxa"/>
            <w:tcBorders>
              <w:top w:val="nil"/>
              <w:left w:val="nil"/>
              <w:bottom w:val="nil"/>
              <w:right w:val="nil"/>
            </w:tcBorders>
            <w:vAlign w:val="bottom"/>
          </w:tcPr>
          <w:p w14:paraId="19E0F380"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C</w:t>
            </w:r>
          </w:p>
        </w:tc>
        <w:tc>
          <w:tcPr>
            <w:tcW w:w="1250" w:type="dxa"/>
            <w:tcBorders>
              <w:top w:val="nil"/>
              <w:left w:val="nil"/>
              <w:bottom w:val="nil"/>
              <w:right w:val="nil"/>
            </w:tcBorders>
            <w:vAlign w:val="bottom"/>
          </w:tcPr>
          <w:p w14:paraId="65EA23A7"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 0.236962</w:t>
            </w:r>
          </w:p>
        </w:tc>
        <w:tc>
          <w:tcPr>
            <w:tcW w:w="1250" w:type="dxa"/>
            <w:tcBorders>
              <w:top w:val="nil"/>
              <w:left w:val="nil"/>
              <w:bottom w:val="nil"/>
              <w:right w:val="nil"/>
            </w:tcBorders>
            <w:vAlign w:val="bottom"/>
          </w:tcPr>
          <w:p w14:paraId="6266B9AC"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19EDECEE"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5C0D7DBF" w14:textId="77777777">
        <w:trPr>
          <w:trHeight w:hRule="exact" w:val="88"/>
        </w:trPr>
        <w:tc>
          <w:tcPr>
            <w:tcW w:w="2120" w:type="dxa"/>
            <w:tcBorders>
              <w:top w:val="nil"/>
              <w:left w:val="nil"/>
              <w:bottom w:val="double" w:sz="6" w:space="2" w:color="auto"/>
              <w:right w:val="nil"/>
            </w:tcBorders>
            <w:vAlign w:val="bottom"/>
          </w:tcPr>
          <w:p w14:paraId="40A09D9A"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double" w:sz="6" w:space="2" w:color="auto"/>
              <w:right w:val="nil"/>
            </w:tcBorders>
            <w:vAlign w:val="bottom"/>
          </w:tcPr>
          <w:p w14:paraId="6CCAEE17"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double" w:sz="6" w:space="2" w:color="auto"/>
              <w:right w:val="nil"/>
            </w:tcBorders>
            <w:vAlign w:val="bottom"/>
          </w:tcPr>
          <w:p w14:paraId="401CDDB2"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double" w:sz="6" w:space="2" w:color="auto"/>
              <w:right w:val="nil"/>
            </w:tcBorders>
            <w:vAlign w:val="bottom"/>
          </w:tcPr>
          <w:p w14:paraId="2E71BA86"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28DBF099" w14:textId="77777777">
        <w:trPr>
          <w:trHeight w:hRule="exact" w:val="132"/>
        </w:trPr>
        <w:tc>
          <w:tcPr>
            <w:tcW w:w="2120" w:type="dxa"/>
            <w:tcBorders>
              <w:top w:val="nil"/>
              <w:left w:val="nil"/>
              <w:bottom w:val="nil"/>
              <w:right w:val="nil"/>
            </w:tcBorders>
            <w:vAlign w:val="bottom"/>
          </w:tcPr>
          <w:p w14:paraId="0C9DE4C7"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205E5859"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5E700EB2"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0BF09DA1"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26B7633D" w14:textId="77777777">
        <w:trPr>
          <w:trHeight w:val="220"/>
        </w:trPr>
        <w:tc>
          <w:tcPr>
            <w:tcW w:w="2120" w:type="dxa"/>
            <w:tcBorders>
              <w:top w:val="nil"/>
              <w:left w:val="nil"/>
              <w:bottom w:val="nil"/>
              <w:right w:val="nil"/>
            </w:tcBorders>
            <w:vAlign w:val="bottom"/>
          </w:tcPr>
          <w:p w14:paraId="18A9DF86"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 xml:space="preserve">Error </w:t>
            </w:r>
            <w:proofErr w:type="spellStart"/>
            <w:r w:rsidRPr="00A60B01">
              <w:rPr>
                <w:rFonts w:ascii="Times New Roman" w:hAnsi="Times New Roman" w:cs="Times New Roman"/>
                <w:color w:val="000000"/>
              </w:rPr>
              <w:t>Correction</w:t>
            </w:r>
            <w:proofErr w:type="spellEnd"/>
            <w:r w:rsidRPr="00A60B01">
              <w:rPr>
                <w:rFonts w:ascii="Times New Roman" w:hAnsi="Times New Roman" w:cs="Times New Roman"/>
                <w:color w:val="000000"/>
              </w:rPr>
              <w:t>:</w:t>
            </w:r>
          </w:p>
        </w:tc>
        <w:tc>
          <w:tcPr>
            <w:tcW w:w="1250" w:type="dxa"/>
            <w:tcBorders>
              <w:top w:val="nil"/>
              <w:left w:val="nil"/>
              <w:bottom w:val="nil"/>
              <w:right w:val="nil"/>
            </w:tcBorders>
            <w:vAlign w:val="bottom"/>
          </w:tcPr>
          <w:p w14:paraId="47F0C529"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D(MI)</w:t>
            </w:r>
          </w:p>
        </w:tc>
        <w:tc>
          <w:tcPr>
            <w:tcW w:w="1250" w:type="dxa"/>
            <w:tcBorders>
              <w:top w:val="nil"/>
              <w:left w:val="nil"/>
              <w:bottom w:val="nil"/>
              <w:right w:val="nil"/>
            </w:tcBorders>
            <w:vAlign w:val="bottom"/>
          </w:tcPr>
          <w:p w14:paraId="7AC8998C"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D(ROE)</w:t>
            </w:r>
          </w:p>
        </w:tc>
        <w:tc>
          <w:tcPr>
            <w:tcW w:w="1250" w:type="dxa"/>
            <w:tcBorders>
              <w:top w:val="nil"/>
              <w:left w:val="nil"/>
              <w:bottom w:val="nil"/>
              <w:right w:val="nil"/>
            </w:tcBorders>
            <w:vAlign w:val="bottom"/>
          </w:tcPr>
          <w:p w14:paraId="7CB78006"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02CB9309" w14:textId="77777777">
        <w:trPr>
          <w:trHeight w:hRule="exact" w:val="88"/>
        </w:trPr>
        <w:tc>
          <w:tcPr>
            <w:tcW w:w="2120" w:type="dxa"/>
            <w:tcBorders>
              <w:top w:val="nil"/>
              <w:left w:val="nil"/>
              <w:bottom w:val="double" w:sz="6" w:space="2" w:color="auto"/>
              <w:right w:val="nil"/>
            </w:tcBorders>
            <w:vAlign w:val="bottom"/>
          </w:tcPr>
          <w:p w14:paraId="6466D4C7"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double" w:sz="6" w:space="2" w:color="auto"/>
              <w:right w:val="nil"/>
            </w:tcBorders>
            <w:vAlign w:val="bottom"/>
          </w:tcPr>
          <w:p w14:paraId="57FDCA48"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double" w:sz="6" w:space="2" w:color="auto"/>
              <w:right w:val="nil"/>
            </w:tcBorders>
            <w:vAlign w:val="bottom"/>
          </w:tcPr>
          <w:p w14:paraId="3E460CE4"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double" w:sz="6" w:space="2" w:color="auto"/>
              <w:right w:val="nil"/>
            </w:tcBorders>
            <w:vAlign w:val="bottom"/>
          </w:tcPr>
          <w:p w14:paraId="20694D6A"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201B7DAF" w14:textId="77777777">
        <w:trPr>
          <w:trHeight w:hRule="exact" w:val="132"/>
        </w:trPr>
        <w:tc>
          <w:tcPr>
            <w:tcW w:w="2120" w:type="dxa"/>
            <w:tcBorders>
              <w:top w:val="nil"/>
              <w:left w:val="nil"/>
              <w:bottom w:val="nil"/>
              <w:right w:val="nil"/>
            </w:tcBorders>
            <w:vAlign w:val="bottom"/>
          </w:tcPr>
          <w:p w14:paraId="56D4643C"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2D1632D5"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47A8E879"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35EB54A8"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0D1B49EC" w14:textId="77777777">
        <w:trPr>
          <w:trHeight w:val="220"/>
        </w:trPr>
        <w:tc>
          <w:tcPr>
            <w:tcW w:w="2120" w:type="dxa"/>
            <w:tcBorders>
              <w:top w:val="nil"/>
              <w:left w:val="nil"/>
              <w:bottom w:val="nil"/>
              <w:right w:val="nil"/>
            </w:tcBorders>
            <w:vAlign w:val="bottom"/>
          </w:tcPr>
          <w:p w14:paraId="59B17572" w14:textId="786DB6BF"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roofErr w:type="gramStart"/>
            <w:r>
              <w:rPr>
                <w:rFonts w:ascii="Times New Roman" w:hAnsi="Times New Roman" w:cs="Times New Roman"/>
                <w:color w:val="000000"/>
              </w:rPr>
              <w:t>ECT</w:t>
            </w:r>
            <w:r w:rsidR="002F6ACF">
              <w:rPr>
                <w:rFonts w:ascii="Times New Roman" w:hAnsi="Times New Roman" w:cs="Times New Roman"/>
                <w:color w:val="000000"/>
              </w:rPr>
              <w:t>(</w:t>
            </w:r>
            <w:proofErr w:type="gramEnd"/>
            <w:r w:rsidR="002F6ACF">
              <w:rPr>
                <w:rFonts w:ascii="Times New Roman" w:hAnsi="Times New Roman" w:cs="Times New Roman"/>
                <w:color w:val="000000"/>
              </w:rPr>
              <w:t>-1)</w:t>
            </w:r>
          </w:p>
        </w:tc>
        <w:tc>
          <w:tcPr>
            <w:tcW w:w="1250" w:type="dxa"/>
            <w:tcBorders>
              <w:top w:val="nil"/>
              <w:left w:val="nil"/>
              <w:bottom w:val="nil"/>
              <w:right w:val="nil"/>
            </w:tcBorders>
            <w:vAlign w:val="bottom"/>
          </w:tcPr>
          <w:p w14:paraId="07F36C36"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-0.109605</w:t>
            </w:r>
          </w:p>
        </w:tc>
        <w:tc>
          <w:tcPr>
            <w:tcW w:w="1250" w:type="dxa"/>
            <w:tcBorders>
              <w:top w:val="nil"/>
              <w:left w:val="nil"/>
              <w:bottom w:val="nil"/>
              <w:right w:val="nil"/>
            </w:tcBorders>
            <w:vAlign w:val="bottom"/>
          </w:tcPr>
          <w:p w14:paraId="208B0645"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 10.21108</w:t>
            </w:r>
          </w:p>
        </w:tc>
        <w:tc>
          <w:tcPr>
            <w:tcW w:w="1250" w:type="dxa"/>
            <w:tcBorders>
              <w:top w:val="nil"/>
              <w:left w:val="nil"/>
              <w:bottom w:val="nil"/>
              <w:right w:val="nil"/>
            </w:tcBorders>
            <w:vAlign w:val="bottom"/>
          </w:tcPr>
          <w:p w14:paraId="107C56D1"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16DBBC39" w14:textId="77777777">
        <w:trPr>
          <w:trHeight w:val="220"/>
        </w:trPr>
        <w:tc>
          <w:tcPr>
            <w:tcW w:w="2120" w:type="dxa"/>
            <w:tcBorders>
              <w:top w:val="nil"/>
              <w:left w:val="nil"/>
              <w:bottom w:val="nil"/>
              <w:right w:val="nil"/>
            </w:tcBorders>
            <w:vAlign w:val="bottom"/>
          </w:tcPr>
          <w:p w14:paraId="6AEFACD6"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07C6803D"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 (0.03928)</w:t>
            </w:r>
          </w:p>
        </w:tc>
        <w:tc>
          <w:tcPr>
            <w:tcW w:w="1250" w:type="dxa"/>
            <w:tcBorders>
              <w:top w:val="nil"/>
              <w:left w:val="nil"/>
              <w:bottom w:val="nil"/>
              <w:right w:val="nil"/>
            </w:tcBorders>
            <w:vAlign w:val="bottom"/>
          </w:tcPr>
          <w:p w14:paraId="65324640"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 (5.68625)</w:t>
            </w:r>
          </w:p>
        </w:tc>
        <w:tc>
          <w:tcPr>
            <w:tcW w:w="1250" w:type="dxa"/>
            <w:tcBorders>
              <w:top w:val="nil"/>
              <w:left w:val="nil"/>
              <w:bottom w:val="nil"/>
              <w:right w:val="nil"/>
            </w:tcBorders>
            <w:vAlign w:val="bottom"/>
          </w:tcPr>
          <w:p w14:paraId="54BDF7E4"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1667F49F" w14:textId="77777777">
        <w:trPr>
          <w:trHeight w:val="220"/>
        </w:trPr>
        <w:tc>
          <w:tcPr>
            <w:tcW w:w="2120" w:type="dxa"/>
            <w:tcBorders>
              <w:top w:val="nil"/>
              <w:left w:val="nil"/>
              <w:bottom w:val="nil"/>
              <w:right w:val="nil"/>
            </w:tcBorders>
            <w:vAlign w:val="bottom"/>
          </w:tcPr>
          <w:p w14:paraId="06D09ABF"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0BCD422B"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[-2.79025]</w:t>
            </w:r>
          </w:p>
        </w:tc>
        <w:tc>
          <w:tcPr>
            <w:tcW w:w="1250" w:type="dxa"/>
            <w:tcBorders>
              <w:top w:val="nil"/>
              <w:left w:val="nil"/>
              <w:bottom w:val="nil"/>
              <w:right w:val="nil"/>
            </w:tcBorders>
            <w:vAlign w:val="bottom"/>
          </w:tcPr>
          <w:p w14:paraId="5C70289C"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[1.79575]</w:t>
            </w:r>
          </w:p>
        </w:tc>
        <w:tc>
          <w:tcPr>
            <w:tcW w:w="1250" w:type="dxa"/>
            <w:tcBorders>
              <w:top w:val="nil"/>
              <w:left w:val="nil"/>
              <w:bottom w:val="nil"/>
              <w:right w:val="nil"/>
            </w:tcBorders>
            <w:vAlign w:val="bottom"/>
          </w:tcPr>
          <w:p w14:paraId="55D2E354"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53023AB1" w14:textId="77777777">
        <w:trPr>
          <w:trHeight w:val="220"/>
        </w:trPr>
        <w:tc>
          <w:tcPr>
            <w:tcW w:w="2120" w:type="dxa"/>
            <w:tcBorders>
              <w:top w:val="nil"/>
              <w:left w:val="nil"/>
              <w:bottom w:val="nil"/>
              <w:right w:val="nil"/>
            </w:tcBorders>
            <w:vAlign w:val="bottom"/>
          </w:tcPr>
          <w:p w14:paraId="2D2028D7"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45CB98F8"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2EB84C45"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6F52B54D"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3A05F19E" w14:textId="77777777">
        <w:trPr>
          <w:trHeight w:val="220"/>
        </w:trPr>
        <w:tc>
          <w:tcPr>
            <w:tcW w:w="2120" w:type="dxa"/>
            <w:tcBorders>
              <w:top w:val="nil"/>
              <w:left w:val="nil"/>
              <w:bottom w:val="nil"/>
              <w:right w:val="nil"/>
            </w:tcBorders>
            <w:vAlign w:val="bottom"/>
          </w:tcPr>
          <w:p w14:paraId="17926B8D"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D(</w:t>
            </w:r>
            <w:proofErr w:type="gramStart"/>
            <w:r w:rsidRPr="00A60B01">
              <w:rPr>
                <w:rFonts w:ascii="Times New Roman" w:hAnsi="Times New Roman" w:cs="Times New Roman"/>
                <w:color w:val="000000"/>
              </w:rPr>
              <w:t>MI(</w:t>
            </w:r>
            <w:proofErr w:type="gramEnd"/>
            <w:r w:rsidRPr="00A60B01">
              <w:rPr>
                <w:rFonts w:ascii="Times New Roman" w:hAnsi="Times New Roman" w:cs="Times New Roman"/>
                <w:color w:val="000000"/>
              </w:rPr>
              <w:t>-1))</w:t>
            </w:r>
          </w:p>
        </w:tc>
        <w:tc>
          <w:tcPr>
            <w:tcW w:w="1250" w:type="dxa"/>
            <w:tcBorders>
              <w:top w:val="nil"/>
              <w:left w:val="nil"/>
              <w:bottom w:val="nil"/>
              <w:right w:val="nil"/>
            </w:tcBorders>
            <w:vAlign w:val="bottom"/>
          </w:tcPr>
          <w:p w14:paraId="6734AC21"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 0.067727</w:t>
            </w:r>
          </w:p>
        </w:tc>
        <w:tc>
          <w:tcPr>
            <w:tcW w:w="1250" w:type="dxa"/>
            <w:tcBorders>
              <w:top w:val="nil"/>
              <w:left w:val="nil"/>
              <w:bottom w:val="nil"/>
              <w:right w:val="nil"/>
            </w:tcBorders>
            <w:vAlign w:val="bottom"/>
          </w:tcPr>
          <w:p w14:paraId="6ABC58C2"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-54.60447</w:t>
            </w:r>
          </w:p>
        </w:tc>
        <w:tc>
          <w:tcPr>
            <w:tcW w:w="1250" w:type="dxa"/>
            <w:tcBorders>
              <w:top w:val="nil"/>
              <w:left w:val="nil"/>
              <w:bottom w:val="nil"/>
              <w:right w:val="nil"/>
            </w:tcBorders>
            <w:vAlign w:val="bottom"/>
          </w:tcPr>
          <w:p w14:paraId="56A60475"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5763266B" w14:textId="77777777">
        <w:trPr>
          <w:trHeight w:val="220"/>
        </w:trPr>
        <w:tc>
          <w:tcPr>
            <w:tcW w:w="2120" w:type="dxa"/>
            <w:tcBorders>
              <w:top w:val="nil"/>
              <w:left w:val="nil"/>
              <w:bottom w:val="nil"/>
              <w:right w:val="nil"/>
            </w:tcBorders>
            <w:vAlign w:val="bottom"/>
          </w:tcPr>
          <w:p w14:paraId="11131092"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236F602C"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 (0.21333)</w:t>
            </w:r>
          </w:p>
        </w:tc>
        <w:tc>
          <w:tcPr>
            <w:tcW w:w="1250" w:type="dxa"/>
            <w:tcBorders>
              <w:top w:val="nil"/>
              <w:left w:val="nil"/>
              <w:bottom w:val="nil"/>
              <w:right w:val="nil"/>
            </w:tcBorders>
            <w:vAlign w:val="bottom"/>
          </w:tcPr>
          <w:p w14:paraId="02C93521"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 (30.8814)</w:t>
            </w:r>
          </w:p>
        </w:tc>
        <w:tc>
          <w:tcPr>
            <w:tcW w:w="1250" w:type="dxa"/>
            <w:tcBorders>
              <w:top w:val="nil"/>
              <w:left w:val="nil"/>
              <w:bottom w:val="nil"/>
              <w:right w:val="nil"/>
            </w:tcBorders>
            <w:vAlign w:val="bottom"/>
          </w:tcPr>
          <w:p w14:paraId="7C07EEDA"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164648B1" w14:textId="77777777">
        <w:trPr>
          <w:trHeight w:val="220"/>
        </w:trPr>
        <w:tc>
          <w:tcPr>
            <w:tcW w:w="2120" w:type="dxa"/>
            <w:tcBorders>
              <w:top w:val="nil"/>
              <w:left w:val="nil"/>
              <w:bottom w:val="nil"/>
              <w:right w:val="nil"/>
            </w:tcBorders>
            <w:vAlign w:val="bottom"/>
          </w:tcPr>
          <w:p w14:paraId="11C5C625"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6B4F22CD"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[0.31747]</w:t>
            </w:r>
          </w:p>
        </w:tc>
        <w:tc>
          <w:tcPr>
            <w:tcW w:w="1250" w:type="dxa"/>
            <w:tcBorders>
              <w:top w:val="nil"/>
              <w:left w:val="nil"/>
              <w:bottom w:val="nil"/>
              <w:right w:val="nil"/>
            </w:tcBorders>
            <w:vAlign w:val="bottom"/>
          </w:tcPr>
          <w:p w14:paraId="55F6F680"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[-1.76820]</w:t>
            </w:r>
          </w:p>
        </w:tc>
        <w:tc>
          <w:tcPr>
            <w:tcW w:w="1250" w:type="dxa"/>
            <w:tcBorders>
              <w:top w:val="nil"/>
              <w:left w:val="nil"/>
              <w:bottom w:val="nil"/>
              <w:right w:val="nil"/>
            </w:tcBorders>
            <w:vAlign w:val="bottom"/>
          </w:tcPr>
          <w:p w14:paraId="7E5B7938"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7AC88C66" w14:textId="77777777">
        <w:trPr>
          <w:trHeight w:val="220"/>
        </w:trPr>
        <w:tc>
          <w:tcPr>
            <w:tcW w:w="2120" w:type="dxa"/>
            <w:tcBorders>
              <w:top w:val="nil"/>
              <w:left w:val="nil"/>
              <w:bottom w:val="nil"/>
              <w:right w:val="nil"/>
            </w:tcBorders>
            <w:vAlign w:val="bottom"/>
          </w:tcPr>
          <w:p w14:paraId="215F5EC8"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62C3E623"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1060B17F"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68861460"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4E13521F" w14:textId="77777777">
        <w:trPr>
          <w:trHeight w:val="220"/>
        </w:trPr>
        <w:tc>
          <w:tcPr>
            <w:tcW w:w="2120" w:type="dxa"/>
            <w:tcBorders>
              <w:top w:val="nil"/>
              <w:left w:val="nil"/>
              <w:bottom w:val="nil"/>
              <w:right w:val="nil"/>
            </w:tcBorders>
            <w:vAlign w:val="bottom"/>
          </w:tcPr>
          <w:p w14:paraId="7ABF29F9"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D(</w:t>
            </w:r>
            <w:proofErr w:type="gramStart"/>
            <w:r w:rsidRPr="00A60B01">
              <w:rPr>
                <w:rFonts w:ascii="Times New Roman" w:hAnsi="Times New Roman" w:cs="Times New Roman"/>
                <w:color w:val="000000"/>
              </w:rPr>
              <w:t>MI(</w:t>
            </w:r>
            <w:proofErr w:type="gramEnd"/>
            <w:r w:rsidRPr="00A60B01">
              <w:rPr>
                <w:rFonts w:ascii="Times New Roman" w:hAnsi="Times New Roman" w:cs="Times New Roman"/>
                <w:color w:val="000000"/>
              </w:rPr>
              <w:t>-2))</w:t>
            </w:r>
          </w:p>
        </w:tc>
        <w:tc>
          <w:tcPr>
            <w:tcW w:w="1250" w:type="dxa"/>
            <w:tcBorders>
              <w:top w:val="nil"/>
              <w:left w:val="nil"/>
              <w:bottom w:val="nil"/>
              <w:right w:val="nil"/>
            </w:tcBorders>
            <w:vAlign w:val="bottom"/>
          </w:tcPr>
          <w:p w14:paraId="12BA3EA7"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 0.016731</w:t>
            </w:r>
          </w:p>
        </w:tc>
        <w:tc>
          <w:tcPr>
            <w:tcW w:w="1250" w:type="dxa"/>
            <w:tcBorders>
              <w:top w:val="nil"/>
              <w:left w:val="nil"/>
              <w:bottom w:val="nil"/>
              <w:right w:val="nil"/>
            </w:tcBorders>
            <w:vAlign w:val="bottom"/>
          </w:tcPr>
          <w:p w14:paraId="0E0256A0"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 26.08744</w:t>
            </w:r>
          </w:p>
        </w:tc>
        <w:tc>
          <w:tcPr>
            <w:tcW w:w="1250" w:type="dxa"/>
            <w:tcBorders>
              <w:top w:val="nil"/>
              <w:left w:val="nil"/>
              <w:bottom w:val="nil"/>
              <w:right w:val="nil"/>
            </w:tcBorders>
            <w:vAlign w:val="bottom"/>
          </w:tcPr>
          <w:p w14:paraId="0AC1F652"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27C98060" w14:textId="77777777">
        <w:trPr>
          <w:trHeight w:val="220"/>
        </w:trPr>
        <w:tc>
          <w:tcPr>
            <w:tcW w:w="2120" w:type="dxa"/>
            <w:tcBorders>
              <w:top w:val="nil"/>
              <w:left w:val="nil"/>
              <w:bottom w:val="nil"/>
              <w:right w:val="nil"/>
            </w:tcBorders>
            <w:vAlign w:val="bottom"/>
          </w:tcPr>
          <w:p w14:paraId="56426127"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4B95F29A"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 (0.20974)</w:t>
            </w:r>
          </w:p>
        </w:tc>
        <w:tc>
          <w:tcPr>
            <w:tcW w:w="1250" w:type="dxa"/>
            <w:tcBorders>
              <w:top w:val="nil"/>
              <w:left w:val="nil"/>
              <w:bottom w:val="nil"/>
              <w:right w:val="nil"/>
            </w:tcBorders>
            <w:vAlign w:val="bottom"/>
          </w:tcPr>
          <w:p w14:paraId="5288EB31"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 (30.3606)</w:t>
            </w:r>
          </w:p>
        </w:tc>
        <w:tc>
          <w:tcPr>
            <w:tcW w:w="1250" w:type="dxa"/>
            <w:tcBorders>
              <w:top w:val="nil"/>
              <w:left w:val="nil"/>
              <w:bottom w:val="nil"/>
              <w:right w:val="nil"/>
            </w:tcBorders>
            <w:vAlign w:val="bottom"/>
          </w:tcPr>
          <w:p w14:paraId="69B38A32"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3CAC8EA1" w14:textId="77777777">
        <w:trPr>
          <w:trHeight w:val="220"/>
        </w:trPr>
        <w:tc>
          <w:tcPr>
            <w:tcW w:w="2120" w:type="dxa"/>
            <w:tcBorders>
              <w:top w:val="nil"/>
              <w:left w:val="nil"/>
              <w:bottom w:val="nil"/>
              <w:right w:val="nil"/>
            </w:tcBorders>
            <w:vAlign w:val="bottom"/>
          </w:tcPr>
          <w:p w14:paraId="784E9F0A"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7B383D5D"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[0.07977]</w:t>
            </w:r>
          </w:p>
        </w:tc>
        <w:tc>
          <w:tcPr>
            <w:tcW w:w="1250" w:type="dxa"/>
            <w:tcBorders>
              <w:top w:val="nil"/>
              <w:left w:val="nil"/>
              <w:bottom w:val="nil"/>
              <w:right w:val="nil"/>
            </w:tcBorders>
            <w:vAlign w:val="bottom"/>
          </w:tcPr>
          <w:p w14:paraId="37970701"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[0.85925]</w:t>
            </w:r>
          </w:p>
        </w:tc>
        <w:tc>
          <w:tcPr>
            <w:tcW w:w="1250" w:type="dxa"/>
            <w:tcBorders>
              <w:top w:val="nil"/>
              <w:left w:val="nil"/>
              <w:bottom w:val="nil"/>
              <w:right w:val="nil"/>
            </w:tcBorders>
            <w:vAlign w:val="bottom"/>
          </w:tcPr>
          <w:p w14:paraId="37F492B2"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29F0CFA4" w14:textId="77777777">
        <w:trPr>
          <w:trHeight w:val="220"/>
        </w:trPr>
        <w:tc>
          <w:tcPr>
            <w:tcW w:w="2120" w:type="dxa"/>
            <w:tcBorders>
              <w:top w:val="nil"/>
              <w:left w:val="nil"/>
              <w:bottom w:val="nil"/>
              <w:right w:val="nil"/>
            </w:tcBorders>
            <w:vAlign w:val="bottom"/>
          </w:tcPr>
          <w:p w14:paraId="42E899C5"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705FE7E4"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2A50010D"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5A4526DD"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373E11C0" w14:textId="77777777">
        <w:trPr>
          <w:trHeight w:val="220"/>
        </w:trPr>
        <w:tc>
          <w:tcPr>
            <w:tcW w:w="2120" w:type="dxa"/>
            <w:tcBorders>
              <w:top w:val="nil"/>
              <w:left w:val="nil"/>
              <w:bottom w:val="nil"/>
              <w:right w:val="nil"/>
            </w:tcBorders>
            <w:vAlign w:val="bottom"/>
          </w:tcPr>
          <w:p w14:paraId="165A9AE0"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bookmarkStart w:id="1" w:name="_Hlk125036964"/>
            <w:r w:rsidRPr="00A60B01">
              <w:rPr>
                <w:rFonts w:ascii="Times New Roman" w:hAnsi="Times New Roman" w:cs="Times New Roman"/>
                <w:color w:val="000000"/>
              </w:rPr>
              <w:t>D(</w:t>
            </w:r>
            <w:proofErr w:type="gramStart"/>
            <w:r w:rsidRPr="00A60B01">
              <w:rPr>
                <w:rFonts w:ascii="Times New Roman" w:hAnsi="Times New Roman" w:cs="Times New Roman"/>
                <w:color w:val="000000"/>
              </w:rPr>
              <w:t>ROE(</w:t>
            </w:r>
            <w:proofErr w:type="gramEnd"/>
            <w:r w:rsidRPr="00A60B01">
              <w:rPr>
                <w:rFonts w:ascii="Times New Roman" w:hAnsi="Times New Roman" w:cs="Times New Roman"/>
                <w:color w:val="000000"/>
              </w:rPr>
              <w:t>-1))</w:t>
            </w:r>
            <w:bookmarkEnd w:id="1"/>
          </w:p>
        </w:tc>
        <w:tc>
          <w:tcPr>
            <w:tcW w:w="1250" w:type="dxa"/>
            <w:tcBorders>
              <w:top w:val="nil"/>
              <w:left w:val="nil"/>
              <w:bottom w:val="nil"/>
              <w:right w:val="nil"/>
            </w:tcBorders>
            <w:vAlign w:val="bottom"/>
          </w:tcPr>
          <w:p w14:paraId="2CF4441D"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-0.002676</w:t>
            </w:r>
          </w:p>
        </w:tc>
        <w:tc>
          <w:tcPr>
            <w:tcW w:w="1250" w:type="dxa"/>
            <w:tcBorders>
              <w:top w:val="nil"/>
              <w:left w:val="nil"/>
              <w:bottom w:val="nil"/>
              <w:right w:val="nil"/>
            </w:tcBorders>
            <w:vAlign w:val="bottom"/>
          </w:tcPr>
          <w:p w14:paraId="31E5E3FA"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 0.346909</w:t>
            </w:r>
          </w:p>
        </w:tc>
        <w:tc>
          <w:tcPr>
            <w:tcW w:w="1250" w:type="dxa"/>
            <w:tcBorders>
              <w:top w:val="nil"/>
              <w:left w:val="nil"/>
              <w:bottom w:val="nil"/>
              <w:right w:val="nil"/>
            </w:tcBorders>
            <w:vAlign w:val="bottom"/>
          </w:tcPr>
          <w:p w14:paraId="5B67C6AF"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11EE15BF" w14:textId="77777777">
        <w:trPr>
          <w:trHeight w:val="220"/>
        </w:trPr>
        <w:tc>
          <w:tcPr>
            <w:tcW w:w="2120" w:type="dxa"/>
            <w:tcBorders>
              <w:top w:val="nil"/>
              <w:left w:val="nil"/>
              <w:bottom w:val="nil"/>
              <w:right w:val="nil"/>
            </w:tcBorders>
            <w:vAlign w:val="bottom"/>
          </w:tcPr>
          <w:p w14:paraId="633BB4FC"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049B1745"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 (0.00133)</w:t>
            </w:r>
          </w:p>
        </w:tc>
        <w:tc>
          <w:tcPr>
            <w:tcW w:w="1250" w:type="dxa"/>
            <w:tcBorders>
              <w:top w:val="nil"/>
              <w:left w:val="nil"/>
              <w:bottom w:val="nil"/>
              <w:right w:val="nil"/>
            </w:tcBorders>
            <w:vAlign w:val="bottom"/>
          </w:tcPr>
          <w:p w14:paraId="4CD85EE0"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 (0.19253)</w:t>
            </w:r>
          </w:p>
        </w:tc>
        <w:tc>
          <w:tcPr>
            <w:tcW w:w="1250" w:type="dxa"/>
            <w:tcBorders>
              <w:top w:val="nil"/>
              <w:left w:val="nil"/>
              <w:bottom w:val="nil"/>
              <w:right w:val="nil"/>
            </w:tcBorders>
            <w:vAlign w:val="bottom"/>
          </w:tcPr>
          <w:p w14:paraId="23BC82AE"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3BA01C6F" w14:textId="77777777">
        <w:trPr>
          <w:trHeight w:val="220"/>
        </w:trPr>
        <w:tc>
          <w:tcPr>
            <w:tcW w:w="2120" w:type="dxa"/>
            <w:tcBorders>
              <w:top w:val="nil"/>
              <w:left w:val="nil"/>
              <w:bottom w:val="nil"/>
              <w:right w:val="nil"/>
            </w:tcBorders>
            <w:vAlign w:val="bottom"/>
          </w:tcPr>
          <w:p w14:paraId="75C4ED44"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1ECF4257"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[-2.01180]</w:t>
            </w:r>
          </w:p>
        </w:tc>
        <w:tc>
          <w:tcPr>
            <w:tcW w:w="1250" w:type="dxa"/>
            <w:tcBorders>
              <w:top w:val="nil"/>
              <w:left w:val="nil"/>
              <w:bottom w:val="nil"/>
              <w:right w:val="nil"/>
            </w:tcBorders>
            <w:vAlign w:val="bottom"/>
          </w:tcPr>
          <w:p w14:paraId="1030C82B"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[1.80188]</w:t>
            </w:r>
          </w:p>
        </w:tc>
        <w:tc>
          <w:tcPr>
            <w:tcW w:w="1250" w:type="dxa"/>
            <w:tcBorders>
              <w:top w:val="nil"/>
              <w:left w:val="nil"/>
              <w:bottom w:val="nil"/>
              <w:right w:val="nil"/>
            </w:tcBorders>
            <w:vAlign w:val="bottom"/>
          </w:tcPr>
          <w:p w14:paraId="3A7BD4D1"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77E4AF98" w14:textId="77777777">
        <w:trPr>
          <w:trHeight w:val="220"/>
        </w:trPr>
        <w:tc>
          <w:tcPr>
            <w:tcW w:w="2120" w:type="dxa"/>
            <w:tcBorders>
              <w:top w:val="nil"/>
              <w:left w:val="nil"/>
              <w:bottom w:val="nil"/>
              <w:right w:val="nil"/>
            </w:tcBorders>
            <w:vAlign w:val="bottom"/>
          </w:tcPr>
          <w:p w14:paraId="086FA53F"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3E2309F9"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6142761D"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4DBA1C83"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589A8AD8" w14:textId="77777777">
        <w:trPr>
          <w:trHeight w:val="220"/>
        </w:trPr>
        <w:tc>
          <w:tcPr>
            <w:tcW w:w="2120" w:type="dxa"/>
            <w:tcBorders>
              <w:top w:val="nil"/>
              <w:left w:val="nil"/>
              <w:bottom w:val="nil"/>
              <w:right w:val="nil"/>
            </w:tcBorders>
            <w:vAlign w:val="bottom"/>
          </w:tcPr>
          <w:p w14:paraId="1B314A8A"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D(</w:t>
            </w:r>
            <w:proofErr w:type="gramStart"/>
            <w:r w:rsidRPr="00A60B01">
              <w:rPr>
                <w:rFonts w:ascii="Times New Roman" w:hAnsi="Times New Roman" w:cs="Times New Roman"/>
                <w:color w:val="000000"/>
              </w:rPr>
              <w:t>ROE(</w:t>
            </w:r>
            <w:proofErr w:type="gramEnd"/>
            <w:r w:rsidRPr="00A60B01">
              <w:rPr>
                <w:rFonts w:ascii="Times New Roman" w:hAnsi="Times New Roman" w:cs="Times New Roman"/>
                <w:color w:val="000000"/>
              </w:rPr>
              <w:t>-2))</w:t>
            </w:r>
          </w:p>
        </w:tc>
        <w:tc>
          <w:tcPr>
            <w:tcW w:w="1250" w:type="dxa"/>
            <w:tcBorders>
              <w:top w:val="nil"/>
              <w:left w:val="nil"/>
              <w:bottom w:val="nil"/>
              <w:right w:val="nil"/>
            </w:tcBorders>
            <w:vAlign w:val="bottom"/>
          </w:tcPr>
          <w:p w14:paraId="4D054E66"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-0.002958</w:t>
            </w:r>
          </w:p>
        </w:tc>
        <w:tc>
          <w:tcPr>
            <w:tcW w:w="1250" w:type="dxa"/>
            <w:tcBorders>
              <w:top w:val="nil"/>
              <w:left w:val="nil"/>
              <w:bottom w:val="nil"/>
              <w:right w:val="nil"/>
            </w:tcBorders>
            <w:vAlign w:val="bottom"/>
          </w:tcPr>
          <w:p w14:paraId="5F9D76B8"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 0.044366</w:t>
            </w:r>
          </w:p>
        </w:tc>
        <w:tc>
          <w:tcPr>
            <w:tcW w:w="1250" w:type="dxa"/>
            <w:tcBorders>
              <w:top w:val="nil"/>
              <w:left w:val="nil"/>
              <w:bottom w:val="nil"/>
              <w:right w:val="nil"/>
            </w:tcBorders>
            <w:vAlign w:val="bottom"/>
          </w:tcPr>
          <w:p w14:paraId="36E05E9D"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68E32C6B" w14:textId="77777777">
        <w:trPr>
          <w:trHeight w:val="220"/>
        </w:trPr>
        <w:tc>
          <w:tcPr>
            <w:tcW w:w="2120" w:type="dxa"/>
            <w:tcBorders>
              <w:top w:val="nil"/>
              <w:left w:val="nil"/>
              <w:bottom w:val="nil"/>
              <w:right w:val="nil"/>
            </w:tcBorders>
            <w:vAlign w:val="bottom"/>
          </w:tcPr>
          <w:p w14:paraId="3BCD6A31"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526FBEF4"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 (0.00155)</w:t>
            </w:r>
          </w:p>
        </w:tc>
        <w:tc>
          <w:tcPr>
            <w:tcW w:w="1250" w:type="dxa"/>
            <w:tcBorders>
              <w:top w:val="nil"/>
              <w:left w:val="nil"/>
              <w:bottom w:val="nil"/>
              <w:right w:val="nil"/>
            </w:tcBorders>
            <w:vAlign w:val="bottom"/>
          </w:tcPr>
          <w:p w14:paraId="23FD78B9"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 (0.22472)</w:t>
            </w:r>
          </w:p>
        </w:tc>
        <w:tc>
          <w:tcPr>
            <w:tcW w:w="1250" w:type="dxa"/>
            <w:tcBorders>
              <w:top w:val="nil"/>
              <w:left w:val="nil"/>
              <w:bottom w:val="nil"/>
              <w:right w:val="nil"/>
            </w:tcBorders>
            <w:vAlign w:val="bottom"/>
          </w:tcPr>
          <w:p w14:paraId="4E0D2221"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22F313EE" w14:textId="77777777">
        <w:trPr>
          <w:trHeight w:val="220"/>
        </w:trPr>
        <w:tc>
          <w:tcPr>
            <w:tcW w:w="2120" w:type="dxa"/>
            <w:tcBorders>
              <w:top w:val="nil"/>
              <w:left w:val="nil"/>
              <w:bottom w:val="nil"/>
              <w:right w:val="nil"/>
            </w:tcBorders>
            <w:vAlign w:val="bottom"/>
          </w:tcPr>
          <w:p w14:paraId="6E2BFC4E"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287B2AB5"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[-1.90562]</w:t>
            </w:r>
          </w:p>
        </w:tc>
        <w:tc>
          <w:tcPr>
            <w:tcW w:w="1250" w:type="dxa"/>
            <w:tcBorders>
              <w:top w:val="nil"/>
              <w:left w:val="nil"/>
              <w:bottom w:val="nil"/>
              <w:right w:val="nil"/>
            </w:tcBorders>
            <w:vAlign w:val="bottom"/>
          </w:tcPr>
          <w:p w14:paraId="18222AA9"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[0.19743]</w:t>
            </w:r>
          </w:p>
        </w:tc>
        <w:tc>
          <w:tcPr>
            <w:tcW w:w="1250" w:type="dxa"/>
            <w:tcBorders>
              <w:top w:val="nil"/>
              <w:left w:val="nil"/>
              <w:bottom w:val="nil"/>
              <w:right w:val="nil"/>
            </w:tcBorders>
            <w:vAlign w:val="bottom"/>
          </w:tcPr>
          <w:p w14:paraId="71CB651E"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4BED279F" w14:textId="77777777">
        <w:trPr>
          <w:trHeight w:val="220"/>
        </w:trPr>
        <w:tc>
          <w:tcPr>
            <w:tcW w:w="2120" w:type="dxa"/>
            <w:tcBorders>
              <w:top w:val="nil"/>
              <w:left w:val="nil"/>
              <w:bottom w:val="nil"/>
              <w:right w:val="nil"/>
            </w:tcBorders>
            <w:vAlign w:val="bottom"/>
          </w:tcPr>
          <w:p w14:paraId="625057D1"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3F45DC45"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762019C1"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48890762"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3EEBC5BE" w14:textId="77777777">
        <w:trPr>
          <w:trHeight w:val="220"/>
        </w:trPr>
        <w:tc>
          <w:tcPr>
            <w:tcW w:w="2120" w:type="dxa"/>
            <w:tcBorders>
              <w:top w:val="nil"/>
              <w:left w:val="nil"/>
              <w:bottom w:val="nil"/>
              <w:right w:val="nil"/>
            </w:tcBorders>
            <w:vAlign w:val="bottom"/>
          </w:tcPr>
          <w:p w14:paraId="6415E39D"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C</w:t>
            </w:r>
          </w:p>
        </w:tc>
        <w:tc>
          <w:tcPr>
            <w:tcW w:w="1250" w:type="dxa"/>
            <w:tcBorders>
              <w:top w:val="nil"/>
              <w:left w:val="nil"/>
              <w:bottom w:val="nil"/>
              <w:right w:val="nil"/>
            </w:tcBorders>
            <w:vAlign w:val="bottom"/>
          </w:tcPr>
          <w:p w14:paraId="36C9EA9B"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-0.001538</w:t>
            </w:r>
          </w:p>
        </w:tc>
        <w:tc>
          <w:tcPr>
            <w:tcW w:w="1250" w:type="dxa"/>
            <w:tcBorders>
              <w:top w:val="nil"/>
              <w:left w:val="nil"/>
              <w:bottom w:val="nil"/>
              <w:right w:val="nil"/>
            </w:tcBorders>
            <w:vAlign w:val="bottom"/>
          </w:tcPr>
          <w:p w14:paraId="7B3A1DB6"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-0.173604</w:t>
            </w:r>
          </w:p>
        </w:tc>
        <w:tc>
          <w:tcPr>
            <w:tcW w:w="1250" w:type="dxa"/>
            <w:tcBorders>
              <w:top w:val="nil"/>
              <w:left w:val="nil"/>
              <w:bottom w:val="nil"/>
              <w:right w:val="nil"/>
            </w:tcBorders>
            <w:vAlign w:val="bottom"/>
          </w:tcPr>
          <w:p w14:paraId="7F92D469"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544CDFD0" w14:textId="77777777">
        <w:trPr>
          <w:trHeight w:val="220"/>
        </w:trPr>
        <w:tc>
          <w:tcPr>
            <w:tcW w:w="2120" w:type="dxa"/>
            <w:tcBorders>
              <w:top w:val="nil"/>
              <w:left w:val="nil"/>
              <w:bottom w:val="nil"/>
              <w:right w:val="nil"/>
            </w:tcBorders>
            <w:vAlign w:val="bottom"/>
          </w:tcPr>
          <w:p w14:paraId="760DDEC4"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0D27EFC1"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 (0.00273)</w:t>
            </w:r>
          </w:p>
        </w:tc>
        <w:tc>
          <w:tcPr>
            <w:tcW w:w="1250" w:type="dxa"/>
            <w:tcBorders>
              <w:top w:val="nil"/>
              <w:left w:val="nil"/>
              <w:bottom w:val="nil"/>
              <w:right w:val="nil"/>
            </w:tcBorders>
            <w:vAlign w:val="bottom"/>
          </w:tcPr>
          <w:p w14:paraId="50257DFA"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 (0.39454)</w:t>
            </w:r>
          </w:p>
        </w:tc>
        <w:tc>
          <w:tcPr>
            <w:tcW w:w="1250" w:type="dxa"/>
            <w:tcBorders>
              <w:top w:val="nil"/>
              <w:left w:val="nil"/>
              <w:bottom w:val="nil"/>
              <w:right w:val="nil"/>
            </w:tcBorders>
            <w:vAlign w:val="bottom"/>
          </w:tcPr>
          <w:p w14:paraId="495EC8DF"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072DD91C" w14:textId="77777777">
        <w:trPr>
          <w:trHeight w:val="220"/>
        </w:trPr>
        <w:tc>
          <w:tcPr>
            <w:tcW w:w="2120" w:type="dxa"/>
            <w:tcBorders>
              <w:top w:val="nil"/>
              <w:left w:val="nil"/>
              <w:bottom w:val="nil"/>
              <w:right w:val="nil"/>
            </w:tcBorders>
            <w:vAlign w:val="bottom"/>
          </w:tcPr>
          <w:p w14:paraId="24330F5F"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55E17D10"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[-0.56440]</w:t>
            </w:r>
          </w:p>
        </w:tc>
        <w:tc>
          <w:tcPr>
            <w:tcW w:w="1250" w:type="dxa"/>
            <w:tcBorders>
              <w:top w:val="nil"/>
              <w:left w:val="nil"/>
              <w:bottom w:val="nil"/>
              <w:right w:val="nil"/>
            </w:tcBorders>
            <w:vAlign w:val="bottom"/>
          </w:tcPr>
          <w:p w14:paraId="4687A894"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[-0.44002]</w:t>
            </w:r>
          </w:p>
        </w:tc>
        <w:tc>
          <w:tcPr>
            <w:tcW w:w="1250" w:type="dxa"/>
            <w:tcBorders>
              <w:top w:val="nil"/>
              <w:left w:val="nil"/>
              <w:bottom w:val="nil"/>
              <w:right w:val="nil"/>
            </w:tcBorders>
            <w:vAlign w:val="bottom"/>
          </w:tcPr>
          <w:p w14:paraId="5D5B0078"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478CDF2F" w14:textId="77777777">
        <w:trPr>
          <w:trHeight w:hRule="exact" w:val="88"/>
        </w:trPr>
        <w:tc>
          <w:tcPr>
            <w:tcW w:w="2120" w:type="dxa"/>
            <w:tcBorders>
              <w:top w:val="nil"/>
              <w:left w:val="nil"/>
              <w:bottom w:val="double" w:sz="6" w:space="2" w:color="auto"/>
              <w:right w:val="nil"/>
            </w:tcBorders>
            <w:vAlign w:val="bottom"/>
          </w:tcPr>
          <w:p w14:paraId="04EEAEAA"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double" w:sz="6" w:space="2" w:color="auto"/>
              <w:right w:val="nil"/>
            </w:tcBorders>
            <w:vAlign w:val="bottom"/>
          </w:tcPr>
          <w:p w14:paraId="53AF58AB"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double" w:sz="6" w:space="2" w:color="auto"/>
              <w:right w:val="nil"/>
            </w:tcBorders>
            <w:vAlign w:val="bottom"/>
          </w:tcPr>
          <w:p w14:paraId="08E978B5"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double" w:sz="6" w:space="2" w:color="auto"/>
              <w:right w:val="nil"/>
            </w:tcBorders>
            <w:vAlign w:val="bottom"/>
          </w:tcPr>
          <w:p w14:paraId="7FC87065"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6DD78B54" w14:textId="77777777">
        <w:trPr>
          <w:trHeight w:hRule="exact" w:val="132"/>
        </w:trPr>
        <w:tc>
          <w:tcPr>
            <w:tcW w:w="2120" w:type="dxa"/>
            <w:tcBorders>
              <w:top w:val="nil"/>
              <w:left w:val="nil"/>
              <w:bottom w:val="nil"/>
              <w:right w:val="nil"/>
            </w:tcBorders>
            <w:vAlign w:val="bottom"/>
          </w:tcPr>
          <w:p w14:paraId="025AD7BC"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7212E99C"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5A990D38"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c>
          <w:tcPr>
            <w:tcW w:w="1250" w:type="dxa"/>
            <w:tcBorders>
              <w:top w:val="nil"/>
              <w:left w:val="nil"/>
              <w:bottom w:val="nil"/>
              <w:right w:val="nil"/>
            </w:tcBorders>
            <w:vAlign w:val="bottom"/>
          </w:tcPr>
          <w:p w14:paraId="3C9CFE60"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2C348715" w14:textId="77777777">
        <w:trPr>
          <w:trHeight w:val="220"/>
        </w:trPr>
        <w:tc>
          <w:tcPr>
            <w:tcW w:w="2120" w:type="dxa"/>
            <w:tcBorders>
              <w:top w:val="nil"/>
              <w:left w:val="nil"/>
              <w:bottom w:val="nil"/>
              <w:right w:val="nil"/>
            </w:tcBorders>
            <w:vAlign w:val="bottom"/>
          </w:tcPr>
          <w:p w14:paraId="01090949"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R-</w:t>
            </w:r>
            <w:proofErr w:type="spellStart"/>
            <w:r w:rsidRPr="00A60B01">
              <w:rPr>
                <w:rFonts w:ascii="Times New Roman" w:hAnsi="Times New Roman" w:cs="Times New Roman"/>
                <w:color w:val="000000"/>
              </w:rPr>
              <w:t>squared</w:t>
            </w:r>
            <w:proofErr w:type="spellEnd"/>
          </w:p>
        </w:tc>
        <w:tc>
          <w:tcPr>
            <w:tcW w:w="1250" w:type="dxa"/>
            <w:tcBorders>
              <w:top w:val="nil"/>
              <w:left w:val="nil"/>
              <w:bottom w:val="nil"/>
              <w:right w:val="nil"/>
            </w:tcBorders>
            <w:vAlign w:val="bottom"/>
          </w:tcPr>
          <w:p w14:paraId="52B5DB0F"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 0.460469</w:t>
            </w:r>
          </w:p>
        </w:tc>
        <w:tc>
          <w:tcPr>
            <w:tcW w:w="1250" w:type="dxa"/>
            <w:tcBorders>
              <w:top w:val="nil"/>
              <w:left w:val="nil"/>
              <w:bottom w:val="nil"/>
              <w:right w:val="nil"/>
            </w:tcBorders>
            <w:vAlign w:val="bottom"/>
          </w:tcPr>
          <w:p w14:paraId="25A1A85E"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 0.442306</w:t>
            </w:r>
          </w:p>
        </w:tc>
        <w:tc>
          <w:tcPr>
            <w:tcW w:w="1250" w:type="dxa"/>
            <w:tcBorders>
              <w:top w:val="nil"/>
              <w:left w:val="nil"/>
              <w:bottom w:val="nil"/>
              <w:right w:val="nil"/>
            </w:tcBorders>
            <w:vAlign w:val="bottom"/>
          </w:tcPr>
          <w:p w14:paraId="45C4DBE4"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1ADECB63" w14:textId="77777777">
        <w:trPr>
          <w:trHeight w:val="220"/>
        </w:trPr>
        <w:tc>
          <w:tcPr>
            <w:tcW w:w="2120" w:type="dxa"/>
            <w:tcBorders>
              <w:top w:val="nil"/>
              <w:left w:val="nil"/>
              <w:bottom w:val="nil"/>
              <w:right w:val="nil"/>
            </w:tcBorders>
            <w:vAlign w:val="bottom"/>
          </w:tcPr>
          <w:p w14:paraId="762EEE84"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Adj. R-</w:t>
            </w:r>
            <w:proofErr w:type="spellStart"/>
            <w:r w:rsidRPr="00A60B01">
              <w:rPr>
                <w:rFonts w:ascii="Times New Roman" w:hAnsi="Times New Roman" w:cs="Times New Roman"/>
                <w:color w:val="000000"/>
              </w:rPr>
              <w:t>squared</w:t>
            </w:r>
            <w:proofErr w:type="spellEnd"/>
          </w:p>
        </w:tc>
        <w:tc>
          <w:tcPr>
            <w:tcW w:w="1250" w:type="dxa"/>
            <w:tcBorders>
              <w:top w:val="nil"/>
              <w:left w:val="nil"/>
              <w:bottom w:val="nil"/>
              <w:right w:val="nil"/>
            </w:tcBorders>
            <w:vAlign w:val="bottom"/>
          </w:tcPr>
          <w:p w14:paraId="01813F82"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 0.325586</w:t>
            </w:r>
          </w:p>
        </w:tc>
        <w:tc>
          <w:tcPr>
            <w:tcW w:w="1250" w:type="dxa"/>
            <w:tcBorders>
              <w:top w:val="nil"/>
              <w:left w:val="nil"/>
              <w:bottom w:val="nil"/>
              <w:right w:val="nil"/>
            </w:tcBorders>
            <w:vAlign w:val="bottom"/>
          </w:tcPr>
          <w:p w14:paraId="566E13F3"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 0.302882</w:t>
            </w:r>
          </w:p>
        </w:tc>
        <w:tc>
          <w:tcPr>
            <w:tcW w:w="1250" w:type="dxa"/>
            <w:tcBorders>
              <w:top w:val="nil"/>
              <w:left w:val="nil"/>
              <w:bottom w:val="nil"/>
              <w:right w:val="nil"/>
            </w:tcBorders>
            <w:vAlign w:val="bottom"/>
          </w:tcPr>
          <w:p w14:paraId="5800342F"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03EF4156" w14:textId="77777777">
        <w:trPr>
          <w:trHeight w:val="220"/>
        </w:trPr>
        <w:tc>
          <w:tcPr>
            <w:tcW w:w="2120" w:type="dxa"/>
            <w:tcBorders>
              <w:top w:val="nil"/>
              <w:left w:val="nil"/>
              <w:bottom w:val="nil"/>
              <w:right w:val="nil"/>
            </w:tcBorders>
            <w:vAlign w:val="bottom"/>
          </w:tcPr>
          <w:p w14:paraId="702D6669"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roofErr w:type="spellStart"/>
            <w:r w:rsidRPr="00A60B01">
              <w:rPr>
                <w:rFonts w:ascii="Times New Roman" w:hAnsi="Times New Roman" w:cs="Times New Roman"/>
                <w:color w:val="000000"/>
              </w:rPr>
              <w:t>Sum</w:t>
            </w:r>
            <w:proofErr w:type="spellEnd"/>
            <w:r w:rsidRPr="00A60B01">
              <w:rPr>
                <w:rFonts w:ascii="Times New Roman" w:hAnsi="Times New Roman" w:cs="Times New Roman"/>
                <w:color w:val="000000"/>
              </w:rPr>
              <w:t xml:space="preserve"> </w:t>
            </w:r>
            <w:proofErr w:type="spellStart"/>
            <w:r w:rsidRPr="00A60B01">
              <w:rPr>
                <w:rFonts w:ascii="Times New Roman" w:hAnsi="Times New Roman" w:cs="Times New Roman"/>
                <w:color w:val="000000"/>
              </w:rPr>
              <w:t>sq</w:t>
            </w:r>
            <w:proofErr w:type="spellEnd"/>
            <w:r w:rsidRPr="00A60B01">
              <w:rPr>
                <w:rFonts w:ascii="Times New Roman" w:hAnsi="Times New Roman" w:cs="Times New Roman"/>
                <w:color w:val="000000"/>
              </w:rPr>
              <w:t xml:space="preserve">. </w:t>
            </w:r>
            <w:proofErr w:type="spellStart"/>
            <w:r w:rsidRPr="00A60B01">
              <w:rPr>
                <w:rFonts w:ascii="Times New Roman" w:hAnsi="Times New Roman" w:cs="Times New Roman"/>
                <w:color w:val="000000"/>
              </w:rPr>
              <w:t>resids</w:t>
            </w:r>
            <w:proofErr w:type="spellEnd"/>
          </w:p>
        </w:tc>
        <w:tc>
          <w:tcPr>
            <w:tcW w:w="1250" w:type="dxa"/>
            <w:tcBorders>
              <w:top w:val="nil"/>
              <w:left w:val="nil"/>
              <w:bottom w:val="nil"/>
              <w:right w:val="nil"/>
            </w:tcBorders>
            <w:vAlign w:val="bottom"/>
          </w:tcPr>
          <w:p w14:paraId="18BEB4FF"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 0.003238</w:t>
            </w:r>
          </w:p>
        </w:tc>
        <w:tc>
          <w:tcPr>
            <w:tcW w:w="1250" w:type="dxa"/>
            <w:tcBorders>
              <w:top w:val="nil"/>
              <w:left w:val="nil"/>
              <w:bottom w:val="nil"/>
              <w:right w:val="nil"/>
            </w:tcBorders>
            <w:vAlign w:val="bottom"/>
          </w:tcPr>
          <w:p w14:paraId="67324F02"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 67.84825</w:t>
            </w:r>
          </w:p>
        </w:tc>
        <w:tc>
          <w:tcPr>
            <w:tcW w:w="1250" w:type="dxa"/>
            <w:tcBorders>
              <w:top w:val="nil"/>
              <w:left w:val="nil"/>
              <w:bottom w:val="nil"/>
              <w:right w:val="nil"/>
            </w:tcBorders>
            <w:vAlign w:val="bottom"/>
          </w:tcPr>
          <w:p w14:paraId="100DFEA9"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0F6D639B" w14:textId="77777777">
        <w:trPr>
          <w:trHeight w:val="220"/>
        </w:trPr>
        <w:tc>
          <w:tcPr>
            <w:tcW w:w="2120" w:type="dxa"/>
            <w:tcBorders>
              <w:top w:val="nil"/>
              <w:left w:val="nil"/>
              <w:bottom w:val="nil"/>
              <w:right w:val="nil"/>
            </w:tcBorders>
            <w:vAlign w:val="bottom"/>
          </w:tcPr>
          <w:p w14:paraId="0CAA2C9A"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 xml:space="preserve">S.E. </w:t>
            </w:r>
            <w:proofErr w:type="spellStart"/>
            <w:r w:rsidRPr="00A60B01">
              <w:rPr>
                <w:rFonts w:ascii="Times New Roman" w:hAnsi="Times New Roman" w:cs="Times New Roman"/>
                <w:color w:val="000000"/>
              </w:rPr>
              <w:t>equation</w:t>
            </w:r>
            <w:proofErr w:type="spellEnd"/>
          </w:p>
        </w:tc>
        <w:tc>
          <w:tcPr>
            <w:tcW w:w="1250" w:type="dxa"/>
            <w:tcBorders>
              <w:top w:val="nil"/>
              <w:left w:val="nil"/>
              <w:bottom w:val="nil"/>
              <w:right w:val="nil"/>
            </w:tcBorders>
            <w:vAlign w:val="bottom"/>
          </w:tcPr>
          <w:p w14:paraId="777DD7CC"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 0.012724</w:t>
            </w:r>
          </w:p>
        </w:tc>
        <w:tc>
          <w:tcPr>
            <w:tcW w:w="1250" w:type="dxa"/>
            <w:tcBorders>
              <w:top w:val="nil"/>
              <w:left w:val="nil"/>
              <w:bottom w:val="nil"/>
              <w:right w:val="nil"/>
            </w:tcBorders>
            <w:vAlign w:val="bottom"/>
          </w:tcPr>
          <w:p w14:paraId="31CCB4BB"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 1.841850</w:t>
            </w:r>
          </w:p>
        </w:tc>
        <w:tc>
          <w:tcPr>
            <w:tcW w:w="1250" w:type="dxa"/>
            <w:tcBorders>
              <w:top w:val="nil"/>
              <w:left w:val="nil"/>
              <w:bottom w:val="nil"/>
              <w:right w:val="nil"/>
            </w:tcBorders>
            <w:vAlign w:val="bottom"/>
          </w:tcPr>
          <w:p w14:paraId="153E3B15"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r w:rsidR="00A60B01" w:rsidRPr="00A60B01" w14:paraId="0E6F74D1" w14:textId="77777777">
        <w:trPr>
          <w:trHeight w:val="220"/>
        </w:trPr>
        <w:tc>
          <w:tcPr>
            <w:tcW w:w="2120" w:type="dxa"/>
            <w:tcBorders>
              <w:top w:val="nil"/>
              <w:left w:val="nil"/>
              <w:bottom w:val="nil"/>
              <w:right w:val="nil"/>
            </w:tcBorders>
            <w:vAlign w:val="bottom"/>
          </w:tcPr>
          <w:p w14:paraId="7292F604"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F-</w:t>
            </w:r>
            <w:proofErr w:type="spellStart"/>
            <w:r w:rsidRPr="00A60B01">
              <w:rPr>
                <w:rFonts w:ascii="Times New Roman" w:hAnsi="Times New Roman" w:cs="Times New Roman"/>
                <w:color w:val="000000"/>
              </w:rPr>
              <w:t>statistic</w:t>
            </w:r>
            <w:proofErr w:type="spellEnd"/>
          </w:p>
        </w:tc>
        <w:tc>
          <w:tcPr>
            <w:tcW w:w="1250" w:type="dxa"/>
            <w:tcBorders>
              <w:top w:val="nil"/>
              <w:left w:val="nil"/>
              <w:bottom w:val="nil"/>
              <w:right w:val="nil"/>
            </w:tcBorders>
            <w:vAlign w:val="bottom"/>
          </w:tcPr>
          <w:p w14:paraId="0AF4E6F3"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 3.413842</w:t>
            </w:r>
          </w:p>
        </w:tc>
        <w:tc>
          <w:tcPr>
            <w:tcW w:w="1250" w:type="dxa"/>
            <w:tcBorders>
              <w:top w:val="nil"/>
              <w:left w:val="nil"/>
              <w:bottom w:val="nil"/>
              <w:right w:val="nil"/>
            </w:tcBorders>
            <w:vAlign w:val="bottom"/>
          </w:tcPr>
          <w:p w14:paraId="704CB68A"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r w:rsidRPr="00A60B01">
              <w:rPr>
                <w:rFonts w:ascii="Times New Roman" w:hAnsi="Times New Roman" w:cs="Times New Roman"/>
                <w:color w:val="000000"/>
              </w:rPr>
              <w:t> 3.172391</w:t>
            </w:r>
          </w:p>
        </w:tc>
        <w:tc>
          <w:tcPr>
            <w:tcW w:w="1250" w:type="dxa"/>
            <w:tcBorders>
              <w:top w:val="nil"/>
              <w:left w:val="nil"/>
              <w:bottom w:val="nil"/>
              <w:right w:val="nil"/>
            </w:tcBorders>
            <w:vAlign w:val="bottom"/>
          </w:tcPr>
          <w:p w14:paraId="4A03CA29" w14:textId="77777777" w:rsidR="00A60B01" w:rsidRPr="00A60B01" w:rsidRDefault="00A60B01" w:rsidP="00497F00">
            <w:pPr>
              <w:autoSpaceDE w:val="0"/>
              <w:autoSpaceDN w:val="0"/>
              <w:adjustRightInd w:val="0"/>
              <w:spacing w:after="0" w:line="240" w:lineRule="auto"/>
              <w:jc w:val="both"/>
              <w:rPr>
                <w:rFonts w:ascii="Times New Roman" w:hAnsi="Times New Roman" w:cs="Times New Roman"/>
                <w:color w:val="000000"/>
              </w:rPr>
            </w:pPr>
          </w:p>
        </w:tc>
      </w:tr>
    </w:tbl>
    <w:p w14:paraId="6C7FFE94" w14:textId="77777777" w:rsidR="00B0021F" w:rsidRDefault="00B0021F" w:rsidP="00497F00">
      <w:pPr>
        <w:tabs>
          <w:tab w:val="left" w:pos="0"/>
          <w:tab w:val="left" w:pos="260"/>
          <w:tab w:val="left" w:pos="520"/>
          <w:tab w:val="left" w:pos="780"/>
          <w:tab w:val="left" w:pos="1040"/>
          <w:tab w:val="left" w:pos="1300"/>
          <w:tab w:val="left" w:pos="1560"/>
          <w:tab w:val="left" w:pos="1820"/>
          <w:tab w:val="left" w:pos="2080"/>
          <w:tab w:val="left" w:pos="2340"/>
          <w:tab w:val="left" w:pos="2600"/>
          <w:tab w:val="left" w:pos="2860"/>
          <w:tab w:val="left" w:pos="3120"/>
          <w:tab w:val="left" w:pos="3380"/>
          <w:tab w:val="left" w:pos="3640"/>
          <w:tab w:val="left" w:pos="3900"/>
          <w:tab w:val="left" w:pos="4160"/>
          <w:tab w:val="left" w:pos="4420"/>
          <w:tab w:val="left" w:pos="4680"/>
          <w:tab w:val="left" w:pos="4940"/>
          <w:tab w:val="left" w:pos="5200"/>
          <w:tab w:val="left" w:pos="5460"/>
          <w:tab w:val="left" w:pos="5720"/>
          <w:tab w:val="left" w:pos="5980"/>
          <w:tab w:val="left" w:pos="6240"/>
          <w:tab w:val="left" w:pos="6500"/>
          <w:tab w:val="left" w:pos="6760"/>
          <w:tab w:val="left" w:pos="7020"/>
          <w:tab w:val="left" w:pos="7280"/>
          <w:tab w:val="left" w:pos="7540"/>
          <w:tab w:val="left" w:pos="7800"/>
          <w:tab w:val="left" w:pos="8060"/>
        </w:tabs>
        <w:autoSpaceDE w:val="0"/>
        <w:autoSpaceDN w:val="0"/>
        <w:adjustRightInd w:val="0"/>
        <w:spacing w:after="0" w:line="240" w:lineRule="auto"/>
        <w:jc w:val="both"/>
        <w:rPr>
          <w:rFonts w:ascii="Times New Roman" w:hAnsi="Times New Roman" w:cs="Times New Roman"/>
          <w:lang w:val="en-US"/>
        </w:rPr>
      </w:pPr>
    </w:p>
    <w:p w14:paraId="5F10B542" w14:textId="77777777" w:rsidR="00B0021F" w:rsidRDefault="00B0021F" w:rsidP="00497F00">
      <w:pPr>
        <w:tabs>
          <w:tab w:val="left" w:pos="0"/>
          <w:tab w:val="left" w:pos="260"/>
          <w:tab w:val="left" w:pos="520"/>
          <w:tab w:val="left" w:pos="780"/>
          <w:tab w:val="left" w:pos="1040"/>
          <w:tab w:val="left" w:pos="1300"/>
          <w:tab w:val="left" w:pos="1560"/>
          <w:tab w:val="left" w:pos="1820"/>
          <w:tab w:val="left" w:pos="2080"/>
          <w:tab w:val="left" w:pos="2340"/>
          <w:tab w:val="left" w:pos="2600"/>
          <w:tab w:val="left" w:pos="2860"/>
          <w:tab w:val="left" w:pos="3120"/>
          <w:tab w:val="left" w:pos="3380"/>
          <w:tab w:val="left" w:pos="3640"/>
          <w:tab w:val="left" w:pos="3900"/>
          <w:tab w:val="left" w:pos="4160"/>
          <w:tab w:val="left" w:pos="4420"/>
          <w:tab w:val="left" w:pos="4680"/>
          <w:tab w:val="left" w:pos="4940"/>
          <w:tab w:val="left" w:pos="5200"/>
          <w:tab w:val="left" w:pos="5460"/>
          <w:tab w:val="left" w:pos="5720"/>
          <w:tab w:val="left" w:pos="5980"/>
          <w:tab w:val="left" w:pos="6240"/>
          <w:tab w:val="left" w:pos="6500"/>
          <w:tab w:val="left" w:pos="6760"/>
          <w:tab w:val="left" w:pos="7020"/>
          <w:tab w:val="left" w:pos="7280"/>
          <w:tab w:val="left" w:pos="7540"/>
          <w:tab w:val="left" w:pos="7800"/>
          <w:tab w:val="left" w:pos="8060"/>
        </w:tabs>
        <w:autoSpaceDE w:val="0"/>
        <w:autoSpaceDN w:val="0"/>
        <w:adjustRightInd w:val="0"/>
        <w:spacing w:after="0" w:line="240" w:lineRule="auto"/>
        <w:jc w:val="both"/>
        <w:rPr>
          <w:rFonts w:ascii="Times New Roman" w:hAnsi="Times New Roman" w:cs="Times New Roman"/>
          <w:lang w:val="en-US"/>
        </w:rPr>
      </w:pPr>
    </w:p>
    <w:p w14:paraId="593E7272" w14:textId="77777777" w:rsidR="00B0021F" w:rsidRDefault="00B0021F" w:rsidP="00497F00">
      <w:pPr>
        <w:tabs>
          <w:tab w:val="left" w:pos="0"/>
          <w:tab w:val="left" w:pos="260"/>
          <w:tab w:val="left" w:pos="520"/>
          <w:tab w:val="left" w:pos="780"/>
          <w:tab w:val="left" w:pos="1040"/>
          <w:tab w:val="left" w:pos="1300"/>
          <w:tab w:val="left" w:pos="1560"/>
          <w:tab w:val="left" w:pos="1820"/>
          <w:tab w:val="left" w:pos="2080"/>
          <w:tab w:val="left" w:pos="2340"/>
          <w:tab w:val="left" w:pos="2600"/>
          <w:tab w:val="left" w:pos="2860"/>
          <w:tab w:val="left" w:pos="3120"/>
          <w:tab w:val="left" w:pos="3380"/>
          <w:tab w:val="left" w:pos="3640"/>
          <w:tab w:val="left" w:pos="3900"/>
          <w:tab w:val="left" w:pos="4160"/>
          <w:tab w:val="left" w:pos="4420"/>
          <w:tab w:val="left" w:pos="4680"/>
          <w:tab w:val="left" w:pos="4940"/>
          <w:tab w:val="left" w:pos="5200"/>
          <w:tab w:val="left" w:pos="5460"/>
          <w:tab w:val="left" w:pos="5720"/>
          <w:tab w:val="left" w:pos="5980"/>
          <w:tab w:val="left" w:pos="6240"/>
          <w:tab w:val="left" w:pos="6500"/>
          <w:tab w:val="left" w:pos="6760"/>
          <w:tab w:val="left" w:pos="7020"/>
          <w:tab w:val="left" w:pos="7280"/>
          <w:tab w:val="left" w:pos="7540"/>
          <w:tab w:val="left" w:pos="7800"/>
          <w:tab w:val="left" w:pos="8060"/>
        </w:tabs>
        <w:autoSpaceDE w:val="0"/>
        <w:autoSpaceDN w:val="0"/>
        <w:adjustRightInd w:val="0"/>
        <w:spacing w:after="0" w:line="240" w:lineRule="auto"/>
        <w:jc w:val="both"/>
        <w:rPr>
          <w:rFonts w:ascii="Times New Roman" w:hAnsi="Times New Roman" w:cs="Times New Roman"/>
          <w:lang w:val="en-US"/>
        </w:rPr>
      </w:pPr>
    </w:p>
    <w:p w14:paraId="34DE5554" w14:textId="1F068C3B" w:rsidR="00991CBB" w:rsidRPr="00321507" w:rsidRDefault="00321507" w:rsidP="00497F00">
      <w:pPr>
        <w:tabs>
          <w:tab w:val="left" w:pos="0"/>
          <w:tab w:val="left" w:pos="260"/>
          <w:tab w:val="left" w:pos="520"/>
          <w:tab w:val="left" w:pos="780"/>
          <w:tab w:val="left" w:pos="1040"/>
          <w:tab w:val="left" w:pos="1300"/>
          <w:tab w:val="left" w:pos="1560"/>
          <w:tab w:val="left" w:pos="1820"/>
          <w:tab w:val="left" w:pos="2080"/>
          <w:tab w:val="left" w:pos="2340"/>
          <w:tab w:val="left" w:pos="2600"/>
          <w:tab w:val="left" w:pos="2860"/>
          <w:tab w:val="left" w:pos="3120"/>
          <w:tab w:val="left" w:pos="3380"/>
          <w:tab w:val="left" w:pos="3640"/>
          <w:tab w:val="left" w:pos="3900"/>
          <w:tab w:val="left" w:pos="4160"/>
          <w:tab w:val="left" w:pos="4420"/>
          <w:tab w:val="left" w:pos="4680"/>
          <w:tab w:val="left" w:pos="4940"/>
          <w:tab w:val="left" w:pos="5200"/>
          <w:tab w:val="left" w:pos="5460"/>
          <w:tab w:val="left" w:pos="5720"/>
          <w:tab w:val="left" w:pos="5980"/>
          <w:tab w:val="left" w:pos="6240"/>
          <w:tab w:val="left" w:pos="6500"/>
          <w:tab w:val="left" w:pos="6760"/>
          <w:tab w:val="left" w:pos="7020"/>
          <w:tab w:val="left" w:pos="7280"/>
          <w:tab w:val="left" w:pos="7540"/>
          <w:tab w:val="left" w:pos="7800"/>
          <w:tab w:val="left" w:pos="8060"/>
        </w:tabs>
        <w:autoSpaceDE w:val="0"/>
        <w:autoSpaceDN w:val="0"/>
        <w:adjustRightInd w:val="0"/>
        <w:spacing w:after="0" w:line="240" w:lineRule="auto"/>
        <w:jc w:val="both"/>
        <w:rPr>
          <w:rFonts w:ascii="Times New Roman" w:hAnsi="Times New Roman" w:cs="Times New Roman"/>
          <w:color w:val="000000"/>
          <w:lang w:val="en-US"/>
        </w:rPr>
      </w:pPr>
      <w:r w:rsidRPr="00321507">
        <w:rPr>
          <w:rFonts w:ascii="Times New Roman" w:hAnsi="Times New Roman" w:cs="Times New Roman"/>
          <w:lang w:val="en-US"/>
        </w:rPr>
        <w:t>According to the estimated p</w:t>
      </w:r>
      <w:r>
        <w:rPr>
          <w:rFonts w:ascii="Times New Roman" w:hAnsi="Times New Roman" w:cs="Times New Roman"/>
          <w:lang w:val="en-US"/>
        </w:rPr>
        <w:t>arameters the equations are as follows:</w:t>
      </w:r>
      <w:r w:rsidR="00A60B01" w:rsidRPr="00321507">
        <w:rPr>
          <w:rFonts w:ascii="Times New Roman" w:hAnsi="Times New Roman" w:cs="Times New Roman"/>
          <w:lang w:val="en-US"/>
        </w:rPr>
        <w:br/>
      </w:r>
    </w:p>
    <w:p w14:paraId="355E4B21" w14:textId="4712BCB5" w:rsidR="00B56577" w:rsidRPr="00991CBB" w:rsidRDefault="00991CBB" w:rsidP="00497F00">
      <w:pPr>
        <w:tabs>
          <w:tab w:val="left" w:pos="0"/>
          <w:tab w:val="left" w:pos="260"/>
          <w:tab w:val="left" w:pos="520"/>
          <w:tab w:val="left" w:pos="780"/>
          <w:tab w:val="left" w:pos="1040"/>
          <w:tab w:val="left" w:pos="1300"/>
          <w:tab w:val="left" w:pos="1560"/>
          <w:tab w:val="left" w:pos="1820"/>
          <w:tab w:val="left" w:pos="2080"/>
          <w:tab w:val="left" w:pos="2340"/>
          <w:tab w:val="left" w:pos="2600"/>
          <w:tab w:val="left" w:pos="2860"/>
          <w:tab w:val="left" w:pos="3120"/>
          <w:tab w:val="left" w:pos="3380"/>
          <w:tab w:val="left" w:pos="3640"/>
          <w:tab w:val="left" w:pos="3900"/>
          <w:tab w:val="left" w:pos="4160"/>
          <w:tab w:val="left" w:pos="4420"/>
          <w:tab w:val="left" w:pos="4680"/>
          <w:tab w:val="left" w:pos="4940"/>
          <w:tab w:val="left" w:pos="5200"/>
          <w:tab w:val="left" w:pos="5460"/>
          <w:tab w:val="left" w:pos="5720"/>
          <w:tab w:val="left" w:pos="5980"/>
          <w:tab w:val="left" w:pos="6240"/>
          <w:tab w:val="left" w:pos="6500"/>
          <w:tab w:val="left" w:pos="6760"/>
          <w:tab w:val="left" w:pos="7020"/>
          <w:tab w:val="left" w:pos="7280"/>
          <w:tab w:val="left" w:pos="7540"/>
          <w:tab w:val="left" w:pos="7800"/>
          <w:tab w:val="left" w:pos="8060"/>
        </w:tabs>
        <w:autoSpaceDE w:val="0"/>
        <w:autoSpaceDN w:val="0"/>
        <w:adjustRightInd w:val="0"/>
        <w:spacing w:after="0" w:line="240" w:lineRule="auto"/>
        <w:jc w:val="both"/>
        <w:rPr>
          <w:rFonts w:ascii="Times New Roman" w:hAnsi="Times New Roman" w:cs="Times New Roman"/>
          <w:color w:val="000000"/>
        </w:rPr>
      </w:pPr>
      <w:proofErr w:type="spellStart"/>
      <w:r w:rsidRPr="00991CBB">
        <w:rPr>
          <w:rFonts w:ascii="Times New Roman" w:hAnsi="Times New Roman" w:cs="Times New Roman"/>
          <w:color w:val="000000"/>
        </w:rPr>
        <w:t>equation</w:t>
      </w:r>
      <w:proofErr w:type="spellEnd"/>
      <w:r w:rsidRPr="00991CBB">
        <w:rPr>
          <w:rFonts w:ascii="Times New Roman" w:hAnsi="Times New Roman" w:cs="Times New Roman"/>
          <w:color w:val="000000"/>
        </w:rPr>
        <w:t xml:space="preserve"> (1) </w:t>
      </w:r>
    </w:p>
    <w:p w14:paraId="39490688" w14:textId="49AA4643" w:rsidR="00B56577" w:rsidRPr="00B56577" w:rsidRDefault="00B56577" w:rsidP="00497F00">
      <w:pPr>
        <w:tabs>
          <w:tab w:val="left" w:pos="0"/>
          <w:tab w:val="left" w:pos="260"/>
          <w:tab w:val="left" w:pos="520"/>
          <w:tab w:val="left" w:pos="780"/>
          <w:tab w:val="left" w:pos="1040"/>
          <w:tab w:val="left" w:pos="1300"/>
          <w:tab w:val="left" w:pos="1560"/>
          <w:tab w:val="left" w:pos="1820"/>
          <w:tab w:val="left" w:pos="2080"/>
          <w:tab w:val="left" w:pos="2340"/>
          <w:tab w:val="left" w:pos="2600"/>
          <w:tab w:val="left" w:pos="2860"/>
          <w:tab w:val="left" w:pos="3120"/>
          <w:tab w:val="left" w:pos="3380"/>
          <w:tab w:val="left" w:pos="3640"/>
          <w:tab w:val="left" w:pos="3900"/>
          <w:tab w:val="left" w:pos="4160"/>
          <w:tab w:val="left" w:pos="4420"/>
          <w:tab w:val="left" w:pos="4680"/>
          <w:tab w:val="left" w:pos="4940"/>
          <w:tab w:val="left" w:pos="5200"/>
          <w:tab w:val="left" w:pos="5460"/>
          <w:tab w:val="left" w:pos="5720"/>
          <w:tab w:val="left" w:pos="5980"/>
          <w:tab w:val="left" w:pos="6240"/>
          <w:tab w:val="left" w:pos="6500"/>
          <w:tab w:val="left" w:pos="6760"/>
          <w:tab w:val="left" w:pos="7020"/>
          <w:tab w:val="left" w:pos="7280"/>
          <w:tab w:val="left" w:pos="7540"/>
          <w:tab w:val="left" w:pos="7800"/>
          <w:tab w:val="left" w:pos="8060"/>
        </w:tabs>
        <w:autoSpaceDE w:val="0"/>
        <w:autoSpaceDN w:val="0"/>
        <w:adjustRightInd w:val="0"/>
        <w:spacing w:after="0" w:line="240" w:lineRule="auto"/>
        <w:jc w:val="both"/>
        <w:rPr>
          <w:rFonts w:ascii="Times New Roman" w:hAnsi="Times New Roman" w:cs="Times New Roman"/>
          <w:color w:val="000000"/>
        </w:rPr>
      </w:pPr>
      <m:oMath>
        <m:r>
          <w:rPr>
            <w:rFonts w:ascii="Cambria Math" w:hAnsi="Cambria Math" w:cs="Times New Roman"/>
            <w:color w:val="000000"/>
          </w:rPr>
          <m:t>∆</m:t>
        </m:r>
      </m:oMath>
      <w:r w:rsidRPr="00B56577">
        <w:rPr>
          <w:rFonts w:ascii="Times New Roman" w:hAnsi="Times New Roman" w:cs="Times New Roman"/>
          <w:color w:val="000000"/>
        </w:rPr>
        <w:t xml:space="preserve">MI </w:t>
      </w:r>
      <w:proofErr w:type="gramStart"/>
      <w:r w:rsidRPr="00B56577">
        <w:rPr>
          <w:rFonts w:ascii="Times New Roman" w:hAnsi="Times New Roman" w:cs="Times New Roman"/>
          <w:color w:val="000000"/>
        </w:rPr>
        <w:t>=  -</w:t>
      </w:r>
      <w:proofErr w:type="gramEnd"/>
      <w:r w:rsidRPr="00B56577">
        <w:rPr>
          <w:rFonts w:ascii="Times New Roman" w:hAnsi="Times New Roman" w:cs="Times New Roman"/>
          <w:color w:val="000000"/>
        </w:rPr>
        <w:t xml:space="preserve"> 0.1096*</w:t>
      </w:r>
      <w:r w:rsidR="00991CBB">
        <w:rPr>
          <w:rFonts w:ascii="Times New Roman" w:hAnsi="Times New Roman" w:cs="Times New Roman"/>
          <w:color w:val="000000"/>
        </w:rPr>
        <w:t>[</w:t>
      </w:r>
      <w:r w:rsidRPr="00B56577">
        <w:rPr>
          <w:rFonts w:ascii="Times New Roman" w:hAnsi="Times New Roman" w:cs="Times New Roman"/>
          <w:color w:val="000000"/>
        </w:rPr>
        <w:t xml:space="preserve"> MI(-1) - 0.0253*ROE(-1) + 0.2369 </w:t>
      </w:r>
      <w:r w:rsidR="00991CBB">
        <w:rPr>
          <w:rFonts w:ascii="Times New Roman" w:hAnsi="Times New Roman" w:cs="Times New Roman"/>
          <w:color w:val="000000"/>
        </w:rPr>
        <w:t>]</w:t>
      </w:r>
      <w:r w:rsidRPr="00B56577">
        <w:rPr>
          <w:rFonts w:ascii="Times New Roman" w:hAnsi="Times New Roman" w:cs="Times New Roman"/>
          <w:color w:val="000000"/>
        </w:rPr>
        <w:t xml:space="preserve"> + 0.0677*</w:t>
      </w:r>
      <w:r>
        <w:rPr>
          <w:rFonts w:ascii="Cambria Math" w:hAnsi="Cambria Math" w:cs="Times New Roman"/>
          <w:i/>
          <w:color w:val="000000"/>
        </w:rPr>
        <w:t xml:space="preserve"> </w:t>
      </w:r>
      <m:oMath>
        <m:r>
          <w:rPr>
            <w:rFonts w:ascii="Cambria Math" w:hAnsi="Cambria Math" w:cs="Times New Roman"/>
            <w:color w:val="000000"/>
          </w:rPr>
          <m:t>∆</m:t>
        </m:r>
      </m:oMath>
      <w:r w:rsidRPr="00B56577">
        <w:rPr>
          <w:rFonts w:ascii="Times New Roman" w:hAnsi="Times New Roman" w:cs="Times New Roman"/>
          <w:color w:val="000000"/>
        </w:rPr>
        <w:t>MI(-1) + 0.0167*</w:t>
      </w:r>
      <m:oMath>
        <m:r>
          <w:rPr>
            <w:rFonts w:ascii="Cambria Math" w:hAnsi="Cambria Math" w:cs="Times New Roman"/>
            <w:color w:val="000000"/>
          </w:rPr>
          <m:t>∆</m:t>
        </m:r>
      </m:oMath>
      <w:r w:rsidRPr="00B56577">
        <w:rPr>
          <w:rFonts w:ascii="Times New Roman" w:hAnsi="Times New Roman" w:cs="Times New Roman"/>
          <w:color w:val="000000"/>
        </w:rPr>
        <w:t>MI(-2) - 0.0027*</w:t>
      </w:r>
      <m:oMath>
        <m:r>
          <w:rPr>
            <w:rFonts w:ascii="Cambria Math" w:hAnsi="Cambria Math" w:cs="Times New Roman"/>
            <w:color w:val="000000"/>
          </w:rPr>
          <m:t>∆</m:t>
        </m:r>
      </m:oMath>
      <w:r w:rsidRPr="00B56577">
        <w:rPr>
          <w:rFonts w:ascii="Times New Roman" w:hAnsi="Times New Roman" w:cs="Times New Roman"/>
          <w:color w:val="000000"/>
        </w:rPr>
        <w:t>ROE(-1) - 0.0029*</w:t>
      </w:r>
      <m:oMath>
        <m:r>
          <w:rPr>
            <w:rFonts w:ascii="Cambria Math" w:hAnsi="Cambria Math" w:cs="Times New Roman"/>
            <w:color w:val="000000"/>
          </w:rPr>
          <m:t>∆</m:t>
        </m:r>
      </m:oMath>
      <w:r w:rsidRPr="00B56577">
        <w:rPr>
          <w:rFonts w:ascii="Times New Roman" w:hAnsi="Times New Roman" w:cs="Times New Roman"/>
          <w:color w:val="000000"/>
        </w:rPr>
        <w:t>ROE(-2) - 0.0015</w:t>
      </w:r>
    </w:p>
    <w:p w14:paraId="418C5EFB" w14:textId="4B2D6289" w:rsidR="00B56577" w:rsidRDefault="00B56577" w:rsidP="00497F00">
      <w:pPr>
        <w:tabs>
          <w:tab w:val="left" w:pos="0"/>
          <w:tab w:val="left" w:pos="260"/>
          <w:tab w:val="left" w:pos="520"/>
          <w:tab w:val="left" w:pos="780"/>
          <w:tab w:val="left" w:pos="1040"/>
          <w:tab w:val="left" w:pos="1300"/>
          <w:tab w:val="left" w:pos="1560"/>
          <w:tab w:val="left" w:pos="1820"/>
          <w:tab w:val="left" w:pos="2080"/>
          <w:tab w:val="left" w:pos="2340"/>
          <w:tab w:val="left" w:pos="2600"/>
          <w:tab w:val="left" w:pos="2860"/>
          <w:tab w:val="left" w:pos="3120"/>
          <w:tab w:val="left" w:pos="3380"/>
          <w:tab w:val="left" w:pos="3640"/>
          <w:tab w:val="left" w:pos="3900"/>
          <w:tab w:val="left" w:pos="4160"/>
          <w:tab w:val="left" w:pos="4420"/>
          <w:tab w:val="left" w:pos="4680"/>
          <w:tab w:val="left" w:pos="4940"/>
          <w:tab w:val="left" w:pos="5200"/>
          <w:tab w:val="left" w:pos="5460"/>
          <w:tab w:val="left" w:pos="5720"/>
          <w:tab w:val="left" w:pos="5980"/>
          <w:tab w:val="left" w:pos="6240"/>
          <w:tab w:val="left" w:pos="6500"/>
          <w:tab w:val="left" w:pos="6760"/>
          <w:tab w:val="left" w:pos="7020"/>
          <w:tab w:val="left" w:pos="7280"/>
          <w:tab w:val="left" w:pos="7540"/>
          <w:tab w:val="left" w:pos="7800"/>
          <w:tab w:val="left" w:pos="8060"/>
        </w:tabs>
        <w:autoSpaceDE w:val="0"/>
        <w:autoSpaceDN w:val="0"/>
        <w:adjustRightInd w:val="0"/>
        <w:spacing w:after="0" w:line="240" w:lineRule="auto"/>
        <w:jc w:val="both"/>
        <w:rPr>
          <w:rFonts w:ascii="Times New Roman" w:hAnsi="Times New Roman" w:cs="Times New Roman"/>
          <w:color w:val="000000"/>
        </w:rPr>
      </w:pPr>
    </w:p>
    <w:p w14:paraId="2729EBF3" w14:textId="62B32E9A" w:rsidR="00991CBB" w:rsidRPr="00B56577" w:rsidRDefault="00991CBB" w:rsidP="00497F00">
      <w:pPr>
        <w:tabs>
          <w:tab w:val="left" w:pos="0"/>
          <w:tab w:val="left" w:pos="260"/>
          <w:tab w:val="left" w:pos="520"/>
          <w:tab w:val="left" w:pos="780"/>
          <w:tab w:val="left" w:pos="1040"/>
          <w:tab w:val="left" w:pos="1300"/>
          <w:tab w:val="left" w:pos="1560"/>
          <w:tab w:val="left" w:pos="1820"/>
          <w:tab w:val="left" w:pos="2080"/>
          <w:tab w:val="left" w:pos="2340"/>
          <w:tab w:val="left" w:pos="2600"/>
          <w:tab w:val="left" w:pos="2860"/>
          <w:tab w:val="left" w:pos="3120"/>
          <w:tab w:val="left" w:pos="3380"/>
          <w:tab w:val="left" w:pos="3640"/>
          <w:tab w:val="left" w:pos="3900"/>
          <w:tab w:val="left" w:pos="4160"/>
          <w:tab w:val="left" w:pos="4420"/>
          <w:tab w:val="left" w:pos="4680"/>
          <w:tab w:val="left" w:pos="4940"/>
          <w:tab w:val="left" w:pos="5200"/>
          <w:tab w:val="left" w:pos="5460"/>
          <w:tab w:val="left" w:pos="5720"/>
          <w:tab w:val="left" w:pos="5980"/>
          <w:tab w:val="left" w:pos="6240"/>
          <w:tab w:val="left" w:pos="6500"/>
          <w:tab w:val="left" w:pos="6760"/>
          <w:tab w:val="left" w:pos="7020"/>
          <w:tab w:val="left" w:pos="7280"/>
          <w:tab w:val="left" w:pos="7540"/>
          <w:tab w:val="left" w:pos="7800"/>
          <w:tab w:val="left" w:pos="8060"/>
        </w:tabs>
        <w:autoSpaceDE w:val="0"/>
        <w:autoSpaceDN w:val="0"/>
        <w:adjustRightInd w:val="0"/>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equation</w:t>
      </w:r>
      <w:proofErr w:type="spellEnd"/>
      <w:r>
        <w:rPr>
          <w:rFonts w:ascii="Times New Roman" w:hAnsi="Times New Roman" w:cs="Times New Roman"/>
          <w:color w:val="000000"/>
        </w:rPr>
        <w:t xml:space="preserve"> (2)</w:t>
      </w:r>
    </w:p>
    <w:p w14:paraId="41249947" w14:textId="631BDE09" w:rsidR="00B56577" w:rsidRPr="00B56577" w:rsidRDefault="00991CBB" w:rsidP="00497F00">
      <w:pPr>
        <w:tabs>
          <w:tab w:val="left" w:pos="0"/>
          <w:tab w:val="left" w:pos="260"/>
          <w:tab w:val="left" w:pos="520"/>
          <w:tab w:val="left" w:pos="780"/>
          <w:tab w:val="left" w:pos="1040"/>
          <w:tab w:val="left" w:pos="1300"/>
          <w:tab w:val="left" w:pos="1560"/>
          <w:tab w:val="left" w:pos="1820"/>
          <w:tab w:val="left" w:pos="2080"/>
          <w:tab w:val="left" w:pos="2340"/>
          <w:tab w:val="left" w:pos="2600"/>
          <w:tab w:val="left" w:pos="2860"/>
          <w:tab w:val="left" w:pos="3120"/>
          <w:tab w:val="left" w:pos="3380"/>
          <w:tab w:val="left" w:pos="3640"/>
          <w:tab w:val="left" w:pos="3900"/>
          <w:tab w:val="left" w:pos="4160"/>
          <w:tab w:val="left" w:pos="4420"/>
          <w:tab w:val="left" w:pos="4680"/>
          <w:tab w:val="left" w:pos="4940"/>
          <w:tab w:val="left" w:pos="5200"/>
          <w:tab w:val="left" w:pos="5460"/>
          <w:tab w:val="left" w:pos="5720"/>
          <w:tab w:val="left" w:pos="5980"/>
          <w:tab w:val="left" w:pos="6240"/>
          <w:tab w:val="left" w:pos="6500"/>
          <w:tab w:val="left" w:pos="6760"/>
          <w:tab w:val="left" w:pos="7020"/>
          <w:tab w:val="left" w:pos="7280"/>
          <w:tab w:val="left" w:pos="7540"/>
          <w:tab w:val="left" w:pos="7800"/>
          <w:tab w:val="left" w:pos="8060"/>
        </w:tabs>
        <w:autoSpaceDE w:val="0"/>
        <w:autoSpaceDN w:val="0"/>
        <w:adjustRightInd w:val="0"/>
        <w:spacing w:after="0" w:line="240" w:lineRule="auto"/>
        <w:jc w:val="both"/>
        <w:rPr>
          <w:rFonts w:ascii="Times New Roman" w:hAnsi="Times New Roman" w:cs="Times New Roman"/>
          <w:color w:val="000000"/>
        </w:rPr>
      </w:pPr>
      <m:oMath>
        <m:r>
          <w:rPr>
            <w:rFonts w:ascii="Cambria Math" w:hAnsi="Cambria Math" w:cs="Times New Roman"/>
            <w:color w:val="000000"/>
          </w:rPr>
          <m:t>∆</m:t>
        </m:r>
      </m:oMath>
      <w:r w:rsidR="00B56577" w:rsidRPr="00B56577">
        <w:rPr>
          <w:rFonts w:ascii="Times New Roman" w:hAnsi="Times New Roman" w:cs="Times New Roman"/>
          <w:color w:val="000000"/>
        </w:rPr>
        <w:t>(ROE) = 10.211</w:t>
      </w:r>
      <w:r w:rsidR="00B56577">
        <w:rPr>
          <w:rFonts w:ascii="Times New Roman" w:hAnsi="Times New Roman" w:cs="Times New Roman"/>
          <w:color w:val="000000"/>
        </w:rPr>
        <w:t>1</w:t>
      </w:r>
      <w:r w:rsidR="00B56577" w:rsidRPr="00B56577">
        <w:rPr>
          <w:rFonts w:ascii="Times New Roman" w:hAnsi="Times New Roman" w:cs="Times New Roman"/>
          <w:color w:val="000000"/>
        </w:rPr>
        <w:t>*</w:t>
      </w:r>
      <w:r>
        <w:rPr>
          <w:rFonts w:ascii="Times New Roman" w:hAnsi="Times New Roman" w:cs="Times New Roman"/>
          <w:color w:val="000000"/>
        </w:rPr>
        <w:t>[</w:t>
      </w:r>
      <w:r w:rsidR="00B56577" w:rsidRPr="00B56577">
        <w:rPr>
          <w:rFonts w:ascii="Times New Roman" w:hAnsi="Times New Roman" w:cs="Times New Roman"/>
          <w:color w:val="000000"/>
        </w:rPr>
        <w:t xml:space="preserve"> </w:t>
      </w:r>
      <w:proofErr w:type="gramStart"/>
      <w:r w:rsidR="00B56577" w:rsidRPr="00B56577">
        <w:rPr>
          <w:rFonts w:ascii="Times New Roman" w:hAnsi="Times New Roman" w:cs="Times New Roman"/>
          <w:color w:val="000000"/>
        </w:rPr>
        <w:t>MI(</w:t>
      </w:r>
      <w:proofErr w:type="gramEnd"/>
      <w:r w:rsidR="00B56577" w:rsidRPr="00B56577">
        <w:rPr>
          <w:rFonts w:ascii="Times New Roman" w:hAnsi="Times New Roman" w:cs="Times New Roman"/>
          <w:color w:val="000000"/>
        </w:rPr>
        <w:t>-1) - 0.025</w:t>
      </w:r>
      <w:r w:rsidR="00B56577">
        <w:rPr>
          <w:rFonts w:ascii="Times New Roman" w:hAnsi="Times New Roman" w:cs="Times New Roman"/>
          <w:color w:val="000000"/>
        </w:rPr>
        <w:t>3</w:t>
      </w:r>
      <w:r w:rsidR="00B56577" w:rsidRPr="00B56577">
        <w:rPr>
          <w:rFonts w:ascii="Times New Roman" w:hAnsi="Times New Roman" w:cs="Times New Roman"/>
          <w:color w:val="000000"/>
        </w:rPr>
        <w:t xml:space="preserve">*ROE(-1) + 0.2369 </w:t>
      </w:r>
      <w:r>
        <w:rPr>
          <w:rFonts w:ascii="Times New Roman" w:hAnsi="Times New Roman" w:cs="Times New Roman"/>
          <w:color w:val="000000"/>
        </w:rPr>
        <w:t>]</w:t>
      </w:r>
      <w:r w:rsidR="00B56577" w:rsidRPr="00B56577">
        <w:rPr>
          <w:rFonts w:ascii="Times New Roman" w:hAnsi="Times New Roman" w:cs="Times New Roman"/>
          <w:color w:val="000000"/>
        </w:rPr>
        <w:t xml:space="preserve"> - 54.604</w:t>
      </w:r>
      <w:r w:rsidR="00B56577">
        <w:rPr>
          <w:rFonts w:ascii="Times New Roman" w:hAnsi="Times New Roman" w:cs="Times New Roman"/>
          <w:color w:val="000000"/>
        </w:rPr>
        <w:t>5</w:t>
      </w:r>
      <w:r w:rsidR="00B56577" w:rsidRPr="00B56577">
        <w:rPr>
          <w:rFonts w:ascii="Times New Roman" w:hAnsi="Times New Roman" w:cs="Times New Roman"/>
          <w:color w:val="000000"/>
        </w:rPr>
        <w:t>*</w:t>
      </w:r>
      <m:oMath>
        <m:r>
          <w:rPr>
            <w:rFonts w:ascii="Cambria Math" w:hAnsi="Cambria Math" w:cs="Times New Roman"/>
            <w:color w:val="000000"/>
          </w:rPr>
          <m:t>∆</m:t>
        </m:r>
      </m:oMath>
      <w:r w:rsidR="00B56577" w:rsidRPr="00B56577">
        <w:rPr>
          <w:rFonts w:ascii="Times New Roman" w:hAnsi="Times New Roman" w:cs="Times New Roman"/>
          <w:color w:val="000000"/>
        </w:rPr>
        <w:t>MI(-1) + 26.0874*</w:t>
      </w:r>
      <m:oMath>
        <m:r>
          <w:rPr>
            <w:rFonts w:ascii="Cambria Math" w:hAnsi="Cambria Math" w:cs="Times New Roman"/>
            <w:color w:val="000000"/>
          </w:rPr>
          <m:t>∆</m:t>
        </m:r>
      </m:oMath>
      <w:r w:rsidR="00B56577" w:rsidRPr="00B56577">
        <w:rPr>
          <w:rFonts w:ascii="Times New Roman" w:hAnsi="Times New Roman" w:cs="Times New Roman"/>
          <w:color w:val="000000"/>
        </w:rPr>
        <w:t>MI(-2) + 0.3469*</w:t>
      </w:r>
      <m:oMath>
        <m:r>
          <w:rPr>
            <w:rFonts w:ascii="Cambria Math" w:hAnsi="Cambria Math" w:cs="Times New Roman"/>
            <w:color w:val="000000"/>
          </w:rPr>
          <m:t>∆</m:t>
        </m:r>
      </m:oMath>
      <w:r w:rsidR="00B56577" w:rsidRPr="00B56577">
        <w:rPr>
          <w:rFonts w:ascii="Times New Roman" w:hAnsi="Times New Roman" w:cs="Times New Roman"/>
          <w:color w:val="000000"/>
        </w:rPr>
        <w:t>ROE(-1) + 0.044</w:t>
      </w:r>
      <w:r w:rsidR="00B56577">
        <w:rPr>
          <w:rFonts w:ascii="Times New Roman" w:hAnsi="Times New Roman" w:cs="Times New Roman"/>
          <w:color w:val="000000"/>
        </w:rPr>
        <w:t>4</w:t>
      </w:r>
      <w:r w:rsidR="00B56577" w:rsidRPr="00B56577">
        <w:rPr>
          <w:rFonts w:ascii="Times New Roman" w:hAnsi="Times New Roman" w:cs="Times New Roman"/>
          <w:color w:val="000000"/>
        </w:rPr>
        <w:t>*</w:t>
      </w:r>
      <m:oMath>
        <m:r>
          <w:rPr>
            <w:rFonts w:ascii="Cambria Math" w:hAnsi="Cambria Math" w:cs="Times New Roman"/>
            <w:color w:val="000000"/>
          </w:rPr>
          <m:t>∆</m:t>
        </m:r>
      </m:oMath>
      <w:r w:rsidR="00B56577" w:rsidRPr="00B56577">
        <w:rPr>
          <w:rFonts w:ascii="Times New Roman" w:hAnsi="Times New Roman" w:cs="Times New Roman"/>
          <w:color w:val="000000"/>
        </w:rPr>
        <w:t>ROE(-2) - 0.1736</w:t>
      </w:r>
    </w:p>
    <w:p w14:paraId="66DCFE40" w14:textId="77777777" w:rsidR="00991CBB" w:rsidRPr="00991CBB" w:rsidRDefault="00991CBB" w:rsidP="00497F00">
      <w:pPr>
        <w:tabs>
          <w:tab w:val="left" w:pos="1258"/>
        </w:tabs>
        <w:jc w:val="both"/>
        <w:rPr>
          <w:rFonts w:ascii="Times New Roman" w:hAnsi="Times New Roman" w:cs="Times New Roman"/>
        </w:rPr>
      </w:pPr>
    </w:p>
    <w:p w14:paraId="7C823301" w14:textId="645645FF" w:rsidR="00991CBB" w:rsidRDefault="0075560E" w:rsidP="00497F00">
      <w:pPr>
        <w:tabs>
          <w:tab w:val="left" w:pos="1258"/>
        </w:tabs>
        <w:jc w:val="both"/>
        <w:rPr>
          <w:rFonts w:ascii="Times New Roman" w:hAnsi="Times New Roman" w:cs="Times New Roman"/>
          <w:color w:val="000000"/>
          <w:lang w:val="en-US"/>
        </w:rPr>
      </w:pPr>
      <w:r>
        <w:rPr>
          <w:rFonts w:ascii="Times New Roman" w:hAnsi="Times New Roman" w:cs="Times New Roman"/>
          <w:lang w:val="en-US"/>
        </w:rPr>
        <w:t xml:space="preserve">The first </w:t>
      </w:r>
      <w:r w:rsidR="00991CBB">
        <w:rPr>
          <w:rFonts w:ascii="Times New Roman" w:hAnsi="Times New Roman" w:cs="Times New Roman"/>
          <w:lang w:val="en-US"/>
        </w:rPr>
        <w:t>part in par</w:t>
      </w:r>
      <w:r w:rsidR="0047028F">
        <w:rPr>
          <w:rFonts w:ascii="Times New Roman" w:hAnsi="Times New Roman" w:cs="Times New Roman"/>
          <w:lang w:val="en-US"/>
        </w:rPr>
        <w:t>e</w:t>
      </w:r>
      <w:r w:rsidR="00991CBB">
        <w:rPr>
          <w:rFonts w:ascii="Times New Roman" w:hAnsi="Times New Roman" w:cs="Times New Roman"/>
          <w:lang w:val="en-US"/>
        </w:rPr>
        <w:t>ntheses […]</w:t>
      </w:r>
      <w:r>
        <w:rPr>
          <w:rFonts w:ascii="Times New Roman" w:hAnsi="Times New Roman" w:cs="Times New Roman"/>
          <w:lang w:val="en-US"/>
        </w:rPr>
        <w:t xml:space="preserve"> shows the cointegrating relationship which reveals a positive long-run relation between MI and ROE (the signs have to be reversed) which is highly significant (t-statistic = 3.336). This implies that </w:t>
      </w:r>
      <w:r w:rsidR="00FE5738">
        <w:rPr>
          <w:rFonts w:ascii="Times New Roman" w:hAnsi="Times New Roman" w:cs="Times New Roman"/>
          <w:lang w:val="en-US"/>
        </w:rPr>
        <w:t>higher profitability as proxied by return on equity triggers merger activity in the long-run.</w:t>
      </w:r>
      <w:r w:rsidR="002F6ACF">
        <w:rPr>
          <w:rFonts w:ascii="Times New Roman" w:hAnsi="Times New Roman" w:cs="Times New Roman"/>
          <w:lang w:val="en-US"/>
        </w:rPr>
        <w:t xml:space="preserve"> The coefficient of the lagged error correction term is significantly negative only in the first equation with D(MI) as dependent variable. We can thus conclude that there is long-run Granger-causality that runs from ROE to MI. </w:t>
      </w:r>
      <w:r w:rsidR="0074458E">
        <w:rPr>
          <w:rFonts w:ascii="Times New Roman" w:hAnsi="Times New Roman" w:cs="Times New Roman"/>
          <w:lang w:val="en-US"/>
        </w:rPr>
        <w:t xml:space="preserve">There is no causality from MI to ROE as the ECT-coefficient is barely significant (t-statistic = 1.79). </w:t>
      </w:r>
      <w:r w:rsidR="00FE5738">
        <w:rPr>
          <w:rFonts w:ascii="Times New Roman" w:hAnsi="Times New Roman" w:cs="Times New Roman"/>
          <w:lang w:val="en-US"/>
        </w:rPr>
        <w:t xml:space="preserve">In the short-run, however, the relationship </w:t>
      </w:r>
      <w:r w:rsidR="0074458E">
        <w:rPr>
          <w:rFonts w:ascii="Times New Roman" w:hAnsi="Times New Roman" w:cs="Times New Roman"/>
          <w:lang w:val="en-US"/>
        </w:rPr>
        <w:t xml:space="preserve">between MI and ROE </w:t>
      </w:r>
      <w:r w:rsidR="00FE5738">
        <w:rPr>
          <w:rFonts w:ascii="Times New Roman" w:hAnsi="Times New Roman" w:cs="Times New Roman"/>
          <w:lang w:val="en-US"/>
        </w:rPr>
        <w:t xml:space="preserve">is negative as indicated by the coefficients of </w:t>
      </w:r>
      <m:oMath>
        <m:r>
          <w:rPr>
            <w:rFonts w:ascii="Cambria Math" w:hAnsi="Cambria Math" w:cs="Times New Roman"/>
            <w:color w:val="000000"/>
            <w:lang w:val="en-US"/>
          </w:rPr>
          <m:t>∆</m:t>
        </m:r>
      </m:oMath>
      <w:r w:rsidR="00FE5738" w:rsidRPr="00FE5738">
        <w:rPr>
          <w:rFonts w:ascii="Times New Roman" w:hAnsi="Times New Roman" w:cs="Times New Roman"/>
          <w:color w:val="000000"/>
          <w:lang w:val="en-US"/>
        </w:rPr>
        <w:t>ROE(-1)</w:t>
      </w:r>
      <w:r w:rsidR="00FE5738">
        <w:rPr>
          <w:rFonts w:ascii="Times New Roman" w:hAnsi="Times New Roman" w:cs="Times New Roman"/>
          <w:color w:val="000000"/>
          <w:lang w:val="en-US"/>
        </w:rPr>
        <w:t xml:space="preserve"> and </w:t>
      </w:r>
      <m:oMath>
        <m:r>
          <w:rPr>
            <w:rFonts w:ascii="Cambria Math" w:hAnsi="Cambria Math" w:cs="Times New Roman"/>
            <w:color w:val="000000"/>
            <w:lang w:val="en-US"/>
          </w:rPr>
          <m:t>∆</m:t>
        </m:r>
      </m:oMath>
      <w:r w:rsidR="00FE5738">
        <w:rPr>
          <w:rFonts w:ascii="Times New Roman" w:hAnsi="Times New Roman" w:cs="Times New Roman"/>
          <w:color w:val="000000"/>
          <w:lang w:val="en-US"/>
        </w:rPr>
        <w:t>ROE(-2)</w:t>
      </w:r>
      <w:r w:rsidR="002F6ACF">
        <w:rPr>
          <w:rFonts w:ascii="Times New Roman" w:hAnsi="Times New Roman" w:cs="Times New Roman"/>
          <w:color w:val="000000"/>
          <w:lang w:val="en-US"/>
        </w:rPr>
        <w:t xml:space="preserve">, though the coefficients are very small in magnitude. </w:t>
      </w:r>
      <w:r w:rsidR="0074458E">
        <w:rPr>
          <w:rFonts w:ascii="Times New Roman" w:hAnsi="Times New Roman" w:cs="Times New Roman"/>
          <w:color w:val="000000"/>
          <w:lang w:val="en-US"/>
        </w:rPr>
        <w:t>The following impulse responses show the com</w:t>
      </w:r>
      <w:r w:rsidR="002F6ACF">
        <w:rPr>
          <w:rFonts w:ascii="Times New Roman" w:hAnsi="Times New Roman" w:cs="Times New Roman"/>
          <w:color w:val="000000"/>
          <w:lang w:val="en-US"/>
        </w:rPr>
        <w:t>bined effect</w:t>
      </w:r>
      <w:r w:rsidR="0074458E">
        <w:rPr>
          <w:rFonts w:ascii="Times New Roman" w:hAnsi="Times New Roman" w:cs="Times New Roman"/>
          <w:color w:val="000000"/>
          <w:lang w:val="en-US"/>
        </w:rPr>
        <w:t>.</w:t>
      </w:r>
    </w:p>
    <w:p w14:paraId="2AE7AEFE" w14:textId="77777777" w:rsidR="00991CBB" w:rsidRDefault="00991CBB" w:rsidP="00497F00">
      <w:pPr>
        <w:tabs>
          <w:tab w:val="left" w:pos="1258"/>
        </w:tabs>
        <w:jc w:val="both"/>
        <w:rPr>
          <w:rFonts w:ascii="Times New Roman" w:hAnsi="Times New Roman" w:cs="Times New Roman"/>
          <w:color w:val="000000"/>
          <w:lang w:val="en-US"/>
        </w:rPr>
      </w:pPr>
    </w:p>
    <w:p w14:paraId="70FAE4E3" w14:textId="104685A8" w:rsidR="0074458E" w:rsidRDefault="00DF2E41" w:rsidP="00497F00">
      <w:pPr>
        <w:tabs>
          <w:tab w:val="left" w:pos="1258"/>
        </w:tabs>
        <w:jc w:val="both"/>
        <w:rPr>
          <w:rFonts w:ascii="Times New Roman" w:hAnsi="Times New Roman" w:cs="Times New Roman"/>
          <w:color w:val="000000"/>
          <w:lang w:val="en-US"/>
        </w:rPr>
      </w:pPr>
      <w:r>
        <w:object w:dxaOrig="10111" w:dyaOrig="7160" w14:anchorId="27A3FA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pt;height:321pt" o:ole="">
            <v:imagedata r:id="rId8" o:title=""/>
          </v:shape>
          <o:OLEObject Type="Embed" ProgID="EViews.Workfile.2" ShapeID="_x0000_i1025" DrawAspect="Content" ObjectID="_1739207670" r:id="rId9"/>
        </w:object>
      </w:r>
    </w:p>
    <w:p w14:paraId="7D35D721" w14:textId="7A6519CD" w:rsidR="0074458E" w:rsidRPr="00FE5738" w:rsidRDefault="0074458E" w:rsidP="00497F00">
      <w:pPr>
        <w:tabs>
          <w:tab w:val="left" w:pos="1258"/>
        </w:tabs>
        <w:jc w:val="both"/>
        <w:rPr>
          <w:rFonts w:ascii="Times New Roman" w:hAnsi="Times New Roman" w:cs="Times New Roman"/>
          <w:lang w:val="en-US"/>
        </w:rPr>
      </w:pPr>
    </w:p>
    <w:p w14:paraId="250011FB" w14:textId="77777777" w:rsidR="00B0021F" w:rsidRDefault="00B0021F" w:rsidP="00497F00">
      <w:pPr>
        <w:tabs>
          <w:tab w:val="left" w:pos="1258"/>
        </w:tabs>
        <w:jc w:val="both"/>
        <w:rPr>
          <w:rFonts w:ascii="Times New Roman" w:hAnsi="Times New Roman" w:cs="Times New Roman"/>
          <w:lang w:val="en-US"/>
        </w:rPr>
      </w:pPr>
    </w:p>
    <w:p w14:paraId="2088028C" w14:textId="52DF9756" w:rsidR="00A60B01" w:rsidRPr="00591CF2" w:rsidRDefault="00DF2E41" w:rsidP="00497F00">
      <w:pPr>
        <w:tabs>
          <w:tab w:val="left" w:pos="1258"/>
        </w:tabs>
        <w:jc w:val="both"/>
        <w:rPr>
          <w:rFonts w:ascii="Times New Roman" w:hAnsi="Times New Roman" w:cs="Times New Roman"/>
          <w:lang w:val="en-US"/>
        </w:rPr>
      </w:pPr>
      <w:r>
        <w:rPr>
          <w:rFonts w:ascii="Times New Roman" w:hAnsi="Times New Roman" w:cs="Times New Roman"/>
          <w:lang w:val="en-US"/>
        </w:rPr>
        <w:t xml:space="preserve">There is a strong positive impact of ROE on MI </w:t>
      </w:r>
      <w:r w:rsidR="00932711">
        <w:rPr>
          <w:rFonts w:ascii="Times New Roman" w:hAnsi="Times New Roman" w:cs="Times New Roman"/>
          <w:lang w:val="en-US"/>
        </w:rPr>
        <w:t>i</w:t>
      </w:r>
      <w:r>
        <w:rPr>
          <w:rFonts w:ascii="Times New Roman" w:hAnsi="Times New Roman" w:cs="Times New Roman"/>
          <w:lang w:val="en-US"/>
        </w:rPr>
        <w:t xml:space="preserve">ndicating that cooperative banks on average merge from a position of economic strength. </w:t>
      </w:r>
      <w:r w:rsidR="00C9176E">
        <w:rPr>
          <w:rFonts w:ascii="Times New Roman" w:hAnsi="Times New Roman" w:cs="Times New Roman"/>
          <w:lang w:val="en-US"/>
        </w:rPr>
        <w:t>That speaks against the hypothesis of restructuring mergers as a cause of merger waves.</w:t>
      </w:r>
      <w:r w:rsidR="00045D99">
        <w:rPr>
          <w:rFonts w:ascii="Times New Roman" w:hAnsi="Times New Roman" w:cs="Times New Roman"/>
          <w:lang w:val="en-US"/>
        </w:rPr>
        <w:t xml:space="preserve"> </w:t>
      </w:r>
      <w:r w:rsidR="00E36930">
        <w:rPr>
          <w:rFonts w:ascii="Times New Roman" w:hAnsi="Times New Roman" w:cs="Times New Roman"/>
          <w:lang w:val="en-US"/>
        </w:rPr>
        <w:t>However, it takes up to seven years for the effect to fully manifest.</w:t>
      </w:r>
      <w:r w:rsidR="00636488">
        <w:rPr>
          <w:rFonts w:ascii="Times New Roman" w:hAnsi="Times New Roman" w:cs="Times New Roman"/>
          <w:lang w:val="en-US"/>
        </w:rPr>
        <w:t xml:space="preserve"> This is likely due to long organizational delays in the merger process from first negotiations to official court registration. </w:t>
      </w:r>
      <w:r w:rsidR="00DB5C64">
        <w:rPr>
          <w:rFonts w:ascii="Times New Roman" w:hAnsi="Times New Roman" w:cs="Times New Roman"/>
          <w:lang w:val="en-US"/>
        </w:rPr>
        <w:t xml:space="preserve">The </w:t>
      </w:r>
      <w:r w:rsidR="00A026DB">
        <w:rPr>
          <w:rFonts w:ascii="Times New Roman" w:hAnsi="Times New Roman" w:cs="Times New Roman"/>
          <w:lang w:val="en-US"/>
        </w:rPr>
        <w:t xml:space="preserve">Cabo and </w:t>
      </w:r>
      <w:proofErr w:type="spellStart"/>
      <w:r w:rsidR="00A026DB">
        <w:rPr>
          <w:rFonts w:ascii="Times New Roman" w:hAnsi="Times New Roman" w:cs="Times New Roman"/>
          <w:lang w:val="en-US"/>
        </w:rPr>
        <w:t>Rebelo</w:t>
      </w:r>
      <w:proofErr w:type="spellEnd"/>
      <w:r w:rsidR="00A026DB">
        <w:rPr>
          <w:rFonts w:ascii="Times New Roman" w:hAnsi="Times New Roman" w:cs="Times New Roman"/>
          <w:lang w:val="en-US"/>
        </w:rPr>
        <w:t xml:space="preserve"> </w:t>
      </w:r>
      <w:r w:rsidR="00DB5C64">
        <w:rPr>
          <w:rFonts w:ascii="Times New Roman" w:hAnsi="Times New Roman" w:cs="Times New Roman"/>
          <w:lang w:val="en-US"/>
        </w:rPr>
        <w:t xml:space="preserve">(2005) </w:t>
      </w:r>
      <w:r w:rsidR="00834A39">
        <w:rPr>
          <w:rFonts w:ascii="Times New Roman" w:hAnsi="Times New Roman" w:cs="Times New Roman"/>
          <w:lang w:val="en-US"/>
        </w:rPr>
        <w:t xml:space="preserve">and </w:t>
      </w:r>
      <w:proofErr w:type="spellStart"/>
      <w:r w:rsidR="00834A39">
        <w:rPr>
          <w:rFonts w:ascii="Times New Roman" w:hAnsi="Times New Roman" w:cs="Times New Roman"/>
          <w:lang w:val="en-US"/>
        </w:rPr>
        <w:t>Huhtilainen</w:t>
      </w:r>
      <w:proofErr w:type="spellEnd"/>
      <w:r w:rsidR="00834A39">
        <w:rPr>
          <w:rFonts w:ascii="Times New Roman" w:hAnsi="Times New Roman" w:cs="Times New Roman"/>
          <w:lang w:val="en-US"/>
        </w:rPr>
        <w:t xml:space="preserve"> et al. (2022) </w:t>
      </w:r>
      <w:r w:rsidR="00A026DB">
        <w:rPr>
          <w:rFonts w:ascii="Times New Roman" w:hAnsi="Times New Roman" w:cs="Times New Roman"/>
          <w:lang w:val="en-US"/>
        </w:rPr>
        <w:t xml:space="preserve">results </w:t>
      </w:r>
      <w:r w:rsidR="00DB5C64">
        <w:rPr>
          <w:rFonts w:ascii="Times New Roman" w:hAnsi="Times New Roman" w:cs="Times New Roman"/>
          <w:lang w:val="en-US"/>
        </w:rPr>
        <w:t xml:space="preserve">so far are confirmed, on a time series basis. </w:t>
      </w:r>
      <w:r w:rsidR="008416E2">
        <w:rPr>
          <w:rFonts w:ascii="Times New Roman" w:hAnsi="Times New Roman" w:cs="Times New Roman"/>
          <w:lang w:val="en-US"/>
        </w:rPr>
        <w:t>The response of ROE to MI innovation</w:t>
      </w:r>
      <w:r w:rsidR="00AA0040">
        <w:rPr>
          <w:rFonts w:ascii="Times New Roman" w:hAnsi="Times New Roman" w:cs="Times New Roman"/>
          <w:lang w:val="en-US"/>
        </w:rPr>
        <w:t>, though positive,</w:t>
      </w:r>
      <w:r w:rsidR="008416E2">
        <w:rPr>
          <w:rFonts w:ascii="Times New Roman" w:hAnsi="Times New Roman" w:cs="Times New Roman"/>
          <w:lang w:val="en-US"/>
        </w:rPr>
        <w:t xml:space="preserve"> is not significant which confirms the unclear and contradicting results of the literature on merger success. </w:t>
      </w:r>
      <w:r w:rsidR="00591CF2">
        <w:rPr>
          <w:rStyle w:val="rynqvb"/>
          <w:rFonts w:ascii="Times New Roman" w:hAnsi="Times New Roman" w:cs="Times New Roman"/>
          <w:lang w:val="en"/>
        </w:rPr>
        <w:t>T</w:t>
      </w:r>
      <w:r w:rsidR="00591CF2" w:rsidRPr="00591CF2">
        <w:rPr>
          <w:rStyle w:val="rynqvb"/>
          <w:rFonts w:ascii="Times New Roman" w:hAnsi="Times New Roman" w:cs="Times New Roman"/>
          <w:lang w:val="en"/>
        </w:rPr>
        <w:t>his also implies that the</w:t>
      </w:r>
      <w:r w:rsidR="00591CF2">
        <w:rPr>
          <w:rStyle w:val="rynqvb"/>
          <w:rFonts w:ascii="Times New Roman" w:hAnsi="Times New Roman" w:cs="Times New Roman"/>
          <w:lang w:val="en"/>
        </w:rPr>
        <w:t xml:space="preserve"> alleged</w:t>
      </w:r>
      <w:r w:rsidR="00591CF2" w:rsidRPr="00591CF2">
        <w:rPr>
          <w:rStyle w:val="rynqvb"/>
          <w:rFonts w:ascii="Times New Roman" w:hAnsi="Times New Roman" w:cs="Times New Roman"/>
          <w:lang w:val="en"/>
        </w:rPr>
        <w:t xml:space="preserve"> positive effects on fixed costs and economies of scale in the case of mergers, cannot be </w:t>
      </w:r>
      <w:r w:rsidR="00591CF2">
        <w:rPr>
          <w:rStyle w:val="rynqvb"/>
          <w:rFonts w:ascii="Times New Roman" w:hAnsi="Times New Roman" w:cs="Times New Roman"/>
          <w:lang w:val="en"/>
        </w:rPr>
        <w:t>confirmed</w:t>
      </w:r>
      <w:r w:rsidR="00636488">
        <w:rPr>
          <w:rStyle w:val="rynqvb"/>
          <w:rFonts w:ascii="Times New Roman" w:hAnsi="Times New Roman" w:cs="Times New Roman"/>
          <w:lang w:val="en"/>
        </w:rPr>
        <w:t>, at least not in Germany’s cooperative banking sector.</w:t>
      </w:r>
    </w:p>
    <w:p w14:paraId="6C80EDF7" w14:textId="0A8CCAFD" w:rsidR="00A60B01" w:rsidRDefault="00A60B01" w:rsidP="00497F00">
      <w:pPr>
        <w:tabs>
          <w:tab w:val="left" w:pos="1258"/>
        </w:tabs>
        <w:jc w:val="both"/>
        <w:rPr>
          <w:rFonts w:ascii="Times New Roman" w:hAnsi="Times New Roman" w:cs="Times New Roman"/>
          <w:lang w:val="en-US"/>
        </w:rPr>
      </w:pPr>
    </w:p>
    <w:p w14:paraId="56540B26" w14:textId="74A1902F" w:rsidR="005822B7" w:rsidRPr="0078412E" w:rsidRDefault="00356403" w:rsidP="00356403">
      <w:pPr>
        <w:tabs>
          <w:tab w:val="left" w:pos="1258"/>
        </w:tabs>
        <w:jc w:val="both"/>
        <w:rPr>
          <w:rFonts w:ascii="Times New Roman" w:hAnsi="Times New Roman" w:cs="Times New Roman"/>
          <w:b/>
          <w:bCs/>
          <w:lang w:val="en-GB"/>
        </w:rPr>
      </w:pPr>
      <w:r w:rsidRPr="0078412E">
        <w:rPr>
          <w:rFonts w:ascii="Times New Roman" w:hAnsi="Times New Roman" w:cs="Times New Roman"/>
          <w:b/>
          <w:bCs/>
          <w:lang w:val="en-GB"/>
        </w:rPr>
        <w:t xml:space="preserve">4. </w:t>
      </w:r>
      <w:r w:rsidR="005822B7" w:rsidRPr="0078412E">
        <w:rPr>
          <w:rFonts w:ascii="Times New Roman" w:hAnsi="Times New Roman" w:cs="Times New Roman"/>
          <w:b/>
          <w:bCs/>
          <w:lang w:val="en-GB"/>
        </w:rPr>
        <w:t>Conclusion</w:t>
      </w:r>
    </w:p>
    <w:p w14:paraId="203E1A4B" w14:textId="0ACF12A2" w:rsidR="005822B7" w:rsidRPr="006129CE" w:rsidRDefault="006129CE" w:rsidP="00497F00">
      <w:pPr>
        <w:tabs>
          <w:tab w:val="left" w:pos="1258"/>
        </w:tabs>
        <w:jc w:val="both"/>
        <w:rPr>
          <w:rFonts w:ascii="Times New Roman" w:hAnsi="Times New Roman" w:cs="Times New Roman"/>
          <w:lang w:val="en-US"/>
        </w:rPr>
      </w:pPr>
      <w:r w:rsidRPr="006129CE">
        <w:rPr>
          <w:rFonts w:ascii="Times New Roman" w:hAnsi="Times New Roman" w:cs="Times New Roman"/>
          <w:lang w:val="en-US"/>
        </w:rPr>
        <w:t>The relationship between bank p</w:t>
      </w:r>
      <w:r>
        <w:rPr>
          <w:rFonts w:ascii="Times New Roman" w:hAnsi="Times New Roman" w:cs="Times New Roman"/>
          <w:lang w:val="en-US"/>
        </w:rPr>
        <w:t xml:space="preserve">erformance indicators and mergers in the sector of German cooperative banks has been explored. A </w:t>
      </w:r>
      <w:r w:rsidR="001B1433">
        <w:rPr>
          <w:rFonts w:ascii="Times New Roman" w:hAnsi="Times New Roman" w:cs="Times New Roman"/>
          <w:lang w:val="en-US"/>
        </w:rPr>
        <w:t>V</w:t>
      </w:r>
      <w:r>
        <w:rPr>
          <w:rFonts w:ascii="Times New Roman" w:hAnsi="Times New Roman" w:cs="Times New Roman"/>
          <w:lang w:val="en-US"/>
        </w:rPr>
        <w:t>ector</w:t>
      </w:r>
      <w:r w:rsidR="001B1433">
        <w:rPr>
          <w:rFonts w:ascii="Times New Roman" w:hAnsi="Times New Roman" w:cs="Times New Roman"/>
          <w:lang w:val="en-US"/>
        </w:rPr>
        <w:t xml:space="preserve"> Error Correction </w:t>
      </w:r>
      <w:r>
        <w:rPr>
          <w:rFonts w:ascii="Times New Roman" w:hAnsi="Times New Roman" w:cs="Times New Roman"/>
          <w:lang w:val="en-US"/>
        </w:rPr>
        <w:t>model has been estimated based on time series data after German re-unification. The main result is that bank performance, as proxied by return on equity positively affects merger activity. Cooperative banks on average do not merge by necessity. Unidirectional causality is found, as mergers do not affect bank performance. These results confirm findings of earlier cross-section studies.</w:t>
      </w:r>
    </w:p>
    <w:p w14:paraId="0766BB4D" w14:textId="0B2C2722" w:rsidR="00D55C85" w:rsidRPr="006129CE" w:rsidRDefault="00D55C85" w:rsidP="00B87478">
      <w:pPr>
        <w:tabs>
          <w:tab w:val="left" w:pos="1258"/>
        </w:tabs>
        <w:rPr>
          <w:rFonts w:ascii="Times New Roman" w:hAnsi="Times New Roman" w:cs="Times New Roman"/>
          <w:lang w:val="en-US"/>
        </w:rPr>
      </w:pPr>
    </w:p>
    <w:p w14:paraId="4C806ACA" w14:textId="1FF4B248" w:rsidR="00252D3A" w:rsidRDefault="00D55C85" w:rsidP="00B87478">
      <w:pPr>
        <w:tabs>
          <w:tab w:val="left" w:pos="1258"/>
        </w:tabs>
        <w:rPr>
          <w:rFonts w:ascii="Times New Roman" w:hAnsi="Times New Roman" w:cs="Times New Roman"/>
          <w:b/>
          <w:bCs/>
          <w:lang w:val="en-US"/>
        </w:rPr>
      </w:pPr>
      <w:r w:rsidRPr="006129CE">
        <w:rPr>
          <w:rFonts w:ascii="Times New Roman" w:hAnsi="Times New Roman" w:cs="Times New Roman"/>
          <w:b/>
          <w:bCs/>
          <w:lang w:val="en-US"/>
        </w:rPr>
        <w:lastRenderedPageBreak/>
        <w:t>References</w:t>
      </w:r>
    </w:p>
    <w:p w14:paraId="62E7595D" w14:textId="786ACC01" w:rsidR="00A62D35" w:rsidRPr="00A62D35" w:rsidRDefault="00A62D35" w:rsidP="00B87478">
      <w:pPr>
        <w:tabs>
          <w:tab w:val="left" w:pos="1258"/>
        </w:tabs>
        <w:rPr>
          <w:rFonts w:ascii="Times New Roman" w:hAnsi="Times New Roman" w:cs="Times New Roman"/>
          <w:bCs/>
          <w:u w:val="single"/>
          <w:lang w:val="en-US"/>
        </w:rPr>
      </w:pPr>
    </w:p>
    <w:p w14:paraId="5F3EFB83" w14:textId="6B56BA08" w:rsidR="0078412E" w:rsidRPr="0078412E" w:rsidRDefault="00252D3A" w:rsidP="00FF3C29">
      <w:pPr>
        <w:pStyle w:val="Listenabsatz"/>
        <w:numPr>
          <w:ilvl w:val="0"/>
          <w:numId w:val="5"/>
        </w:numPr>
        <w:tabs>
          <w:tab w:val="left" w:pos="1258"/>
        </w:tabs>
        <w:ind w:left="709" w:hanging="709"/>
        <w:rPr>
          <w:rFonts w:ascii="Times New Roman" w:hAnsi="Times New Roman" w:cs="Times New Roman"/>
        </w:rPr>
      </w:pPr>
      <w:bookmarkStart w:id="2" w:name="_Hlk128502008"/>
      <w:proofErr w:type="spellStart"/>
      <w:r w:rsidRPr="0078412E">
        <w:rPr>
          <w:rFonts w:ascii="Times New Roman" w:hAnsi="Times New Roman" w:cs="Times New Roman"/>
        </w:rPr>
        <w:t>Stappel</w:t>
      </w:r>
      <w:proofErr w:type="spellEnd"/>
      <w:r w:rsidRPr="0078412E">
        <w:rPr>
          <w:rFonts w:ascii="Times New Roman" w:hAnsi="Times New Roman" w:cs="Times New Roman"/>
        </w:rPr>
        <w:t>, M. (2022): Genossenschaftsbanken in Deutschland 2021: Statistik, DZ Bank Research and</w:t>
      </w:r>
      <w:r w:rsidR="0078412E" w:rsidRPr="0078412E">
        <w:rPr>
          <w:rFonts w:ascii="Times New Roman" w:hAnsi="Times New Roman" w:cs="Times New Roman"/>
        </w:rPr>
        <w:t xml:space="preserve"> </w:t>
      </w:r>
      <w:r w:rsidRPr="0078412E">
        <w:rPr>
          <w:rFonts w:ascii="Times New Roman" w:hAnsi="Times New Roman" w:cs="Times New Roman"/>
        </w:rPr>
        <w:t>Economics Department, Frankfurt.</w:t>
      </w:r>
      <w:r w:rsidR="0078412E">
        <w:rPr>
          <w:rFonts w:ascii="Times New Roman" w:hAnsi="Times New Roman" w:cs="Times New Roman"/>
        </w:rPr>
        <w:br/>
      </w:r>
    </w:p>
    <w:p w14:paraId="7F2EF727" w14:textId="792BC28F" w:rsidR="0078412E" w:rsidRPr="0078412E" w:rsidRDefault="006E59F5" w:rsidP="00FF3C29">
      <w:pPr>
        <w:pStyle w:val="Listenabsatz"/>
        <w:numPr>
          <w:ilvl w:val="0"/>
          <w:numId w:val="5"/>
        </w:numPr>
        <w:tabs>
          <w:tab w:val="left" w:pos="1258"/>
        </w:tabs>
        <w:ind w:left="709" w:hanging="709"/>
        <w:rPr>
          <w:rFonts w:ascii="Times New Roman" w:hAnsi="Times New Roman" w:cs="Times New Roman"/>
        </w:rPr>
      </w:pPr>
      <w:proofErr w:type="spellStart"/>
      <w:r w:rsidRPr="0078412E">
        <w:rPr>
          <w:rFonts w:ascii="Times New Roman" w:hAnsi="Times New Roman" w:cs="Times New Roman"/>
        </w:rPr>
        <w:t>Abeska</w:t>
      </w:r>
      <w:proofErr w:type="spellEnd"/>
      <w:r w:rsidRPr="0078412E">
        <w:rPr>
          <w:rFonts w:ascii="Times New Roman" w:hAnsi="Times New Roman" w:cs="Times New Roman"/>
        </w:rPr>
        <w:t xml:space="preserve">-Fritsch, A. (2014): Fusionserfolg bayerischer Kreditgenossenschaften, Nürnberg, </w:t>
      </w:r>
      <w:proofErr w:type="spellStart"/>
      <w:r w:rsidRPr="0078412E">
        <w:rPr>
          <w:rFonts w:ascii="Times New Roman" w:hAnsi="Times New Roman" w:cs="Times New Roman"/>
        </w:rPr>
        <w:t>Nuremberg</w:t>
      </w:r>
      <w:proofErr w:type="spellEnd"/>
      <w:r w:rsidRPr="0078412E">
        <w:rPr>
          <w:rFonts w:ascii="Times New Roman" w:hAnsi="Times New Roman" w:cs="Times New Roman"/>
        </w:rPr>
        <w:t xml:space="preserve"> Research Institute </w:t>
      </w:r>
      <w:proofErr w:type="spellStart"/>
      <w:r w:rsidRPr="0078412E">
        <w:rPr>
          <w:rFonts w:ascii="Times New Roman" w:hAnsi="Times New Roman" w:cs="Times New Roman"/>
        </w:rPr>
        <w:t>for</w:t>
      </w:r>
      <w:proofErr w:type="spellEnd"/>
      <w:r w:rsidRPr="0078412E">
        <w:rPr>
          <w:rFonts w:ascii="Times New Roman" w:hAnsi="Times New Roman" w:cs="Times New Roman"/>
        </w:rPr>
        <w:t xml:space="preserve"> </w:t>
      </w:r>
      <w:proofErr w:type="spellStart"/>
      <w:r w:rsidRPr="0078412E">
        <w:rPr>
          <w:rFonts w:ascii="Times New Roman" w:hAnsi="Times New Roman" w:cs="Times New Roman"/>
        </w:rPr>
        <w:t>Cooperative</w:t>
      </w:r>
      <w:proofErr w:type="spellEnd"/>
      <w:r w:rsidRPr="0078412E">
        <w:rPr>
          <w:rFonts w:ascii="Times New Roman" w:hAnsi="Times New Roman" w:cs="Times New Roman"/>
        </w:rPr>
        <w:t xml:space="preserve"> Studies.</w:t>
      </w:r>
      <w:r w:rsidR="0078412E">
        <w:rPr>
          <w:rFonts w:ascii="Times New Roman" w:hAnsi="Times New Roman" w:cs="Times New Roman"/>
        </w:rPr>
        <w:br/>
      </w:r>
    </w:p>
    <w:p w14:paraId="69FD399E" w14:textId="77777777" w:rsidR="0078412E" w:rsidRPr="0078412E" w:rsidRDefault="00252D3A" w:rsidP="00FF3C29">
      <w:pPr>
        <w:pStyle w:val="Listenabsatz"/>
        <w:numPr>
          <w:ilvl w:val="0"/>
          <w:numId w:val="5"/>
        </w:numPr>
        <w:tabs>
          <w:tab w:val="left" w:pos="1258"/>
        </w:tabs>
        <w:ind w:left="709" w:hanging="709"/>
        <w:rPr>
          <w:rFonts w:ascii="Times New Roman" w:hAnsi="Times New Roman" w:cs="Times New Roman"/>
          <w:lang w:val="en-US"/>
        </w:rPr>
      </w:pPr>
      <w:proofErr w:type="spellStart"/>
      <w:r w:rsidRPr="0078412E">
        <w:rPr>
          <w:rFonts w:ascii="Times New Roman" w:hAnsi="Times New Roman" w:cs="Times New Roman"/>
          <w:lang w:val="en-US"/>
        </w:rPr>
        <w:t>Koetter</w:t>
      </w:r>
      <w:proofErr w:type="spellEnd"/>
      <w:r w:rsidRPr="0078412E">
        <w:rPr>
          <w:rFonts w:ascii="Times New Roman" w:hAnsi="Times New Roman" w:cs="Times New Roman"/>
          <w:lang w:val="en-US"/>
        </w:rPr>
        <w:t xml:space="preserve">, M. (2008): An Assessment of Bank Merger Success in Germany, German Economic Review, Vol. 9, No. 2, 232-264, </w:t>
      </w:r>
      <w:hyperlink r:id="rId10" w:history="1">
        <w:r w:rsidRPr="0078412E">
          <w:rPr>
            <w:rFonts w:ascii="Times New Roman" w:eastAsia="Times New Roman" w:hAnsi="Times New Roman" w:cs="Times New Roman"/>
            <w:color w:val="0000FF"/>
            <w:sz w:val="24"/>
            <w:szCs w:val="24"/>
            <w:u w:val="single"/>
            <w:lang w:val="en-US" w:eastAsia="de-DE"/>
          </w:rPr>
          <w:t>https://doi.org/10.1111/j.1468-0475.2008.00432.x</w:t>
        </w:r>
      </w:hyperlink>
      <w:r w:rsidR="0078412E">
        <w:rPr>
          <w:rFonts w:ascii="Times New Roman" w:eastAsia="Times New Roman" w:hAnsi="Times New Roman" w:cs="Times New Roman"/>
          <w:color w:val="0000FF"/>
          <w:sz w:val="24"/>
          <w:szCs w:val="24"/>
          <w:u w:val="single"/>
          <w:lang w:val="en-US" w:eastAsia="de-DE"/>
        </w:rPr>
        <w:br/>
      </w:r>
    </w:p>
    <w:p w14:paraId="1942A01E" w14:textId="77777777" w:rsidR="0078412E" w:rsidRPr="00943470" w:rsidRDefault="00252D3A" w:rsidP="00FF3C29">
      <w:pPr>
        <w:pStyle w:val="Listenabsatz"/>
        <w:numPr>
          <w:ilvl w:val="0"/>
          <w:numId w:val="5"/>
        </w:numPr>
        <w:tabs>
          <w:tab w:val="left" w:pos="1258"/>
        </w:tabs>
        <w:ind w:left="709" w:hanging="709"/>
        <w:rPr>
          <w:rFonts w:ascii="Times New Roman" w:hAnsi="Times New Roman" w:cs="Times New Roman"/>
          <w:lang w:val="en-US"/>
        </w:rPr>
      </w:pPr>
      <w:r w:rsidRPr="0078412E">
        <w:rPr>
          <w:rFonts w:ascii="Times New Roman" w:hAnsi="Times New Roman" w:cs="Times New Roman"/>
          <w:lang w:val="en-US"/>
        </w:rPr>
        <w:t>Lang, G./</w:t>
      </w:r>
      <w:proofErr w:type="spellStart"/>
      <w:r w:rsidRPr="0078412E">
        <w:rPr>
          <w:rFonts w:ascii="Times New Roman" w:hAnsi="Times New Roman" w:cs="Times New Roman"/>
          <w:lang w:val="en-US"/>
        </w:rPr>
        <w:t>Welzel</w:t>
      </w:r>
      <w:proofErr w:type="spellEnd"/>
      <w:r w:rsidRPr="0078412E">
        <w:rPr>
          <w:rFonts w:ascii="Times New Roman" w:hAnsi="Times New Roman" w:cs="Times New Roman"/>
          <w:lang w:val="en-US"/>
        </w:rPr>
        <w:t>, P. (1999): Mergers Among German Cooperative Banks: A Panel-based Stochastic Frontier Analysis, Small Business Economics, Vol. 13, 273-286.</w:t>
      </w:r>
      <w:r w:rsidR="0078412E">
        <w:rPr>
          <w:rFonts w:ascii="Times New Roman" w:hAnsi="Times New Roman" w:cs="Times New Roman"/>
          <w:lang w:val="en-US"/>
        </w:rPr>
        <w:br/>
      </w:r>
    </w:p>
    <w:p w14:paraId="392A3712" w14:textId="77777777" w:rsidR="0078412E" w:rsidRPr="00943470" w:rsidRDefault="00907E9C" w:rsidP="00FF3C29">
      <w:pPr>
        <w:pStyle w:val="Listenabsatz"/>
        <w:numPr>
          <w:ilvl w:val="0"/>
          <w:numId w:val="5"/>
        </w:numPr>
        <w:tabs>
          <w:tab w:val="left" w:pos="1258"/>
        </w:tabs>
        <w:ind w:left="709" w:hanging="709"/>
        <w:rPr>
          <w:rFonts w:ascii="Times New Roman" w:hAnsi="Times New Roman" w:cs="Times New Roman"/>
        </w:rPr>
      </w:pPr>
      <w:r w:rsidRPr="007D6855">
        <w:rPr>
          <w:rFonts w:ascii="Times New Roman" w:hAnsi="Times New Roman" w:cs="Times New Roman"/>
        </w:rPr>
        <w:t>Dreesen, H./Horsch, A. (2022): K</w:t>
      </w:r>
      <w:r>
        <w:rPr>
          <w:rFonts w:ascii="Times New Roman" w:hAnsi="Times New Roman" w:cs="Times New Roman"/>
        </w:rPr>
        <w:t xml:space="preserve">onzentration deutscher Kreditgenossenschaften – Eine empirische Analyse der Jahre 2000 bis 2020, Zeitschrift für das gesamte Genossenschaftswesen, Vol. 72, </w:t>
      </w:r>
      <w:proofErr w:type="spellStart"/>
      <w:r>
        <w:rPr>
          <w:rFonts w:ascii="Times New Roman" w:hAnsi="Times New Roman" w:cs="Times New Roman"/>
        </w:rPr>
        <w:t>No</w:t>
      </w:r>
      <w:proofErr w:type="spellEnd"/>
      <w:r>
        <w:rPr>
          <w:rFonts w:ascii="Times New Roman" w:hAnsi="Times New Roman" w:cs="Times New Roman"/>
        </w:rPr>
        <w:t>. 4, 290-314</w:t>
      </w:r>
      <w:r w:rsidR="0078412E" w:rsidRPr="00943470">
        <w:rPr>
          <w:rFonts w:ascii="Times New Roman" w:hAnsi="Times New Roman" w:cs="Times New Roman"/>
        </w:rPr>
        <w:br/>
      </w:r>
    </w:p>
    <w:p w14:paraId="14AC3570" w14:textId="77777777" w:rsidR="0078412E" w:rsidRPr="0078412E" w:rsidRDefault="00D55C85" w:rsidP="00FF3C29">
      <w:pPr>
        <w:pStyle w:val="Listenabsatz"/>
        <w:numPr>
          <w:ilvl w:val="0"/>
          <w:numId w:val="5"/>
        </w:numPr>
        <w:tabs>
          <w:tab w:val="left" w:pos="1258"/>
        </w:tabs>
        <w:ind w:left="709" w:hanging="709"/>
        <w:rPr>
          <w:rFonts w:ascii="Times New Roman" w:eastAsia="Times New Roman" w:hAnsi="Times New Roman" w:cs="Times New Roman"/>
          <w:lang w:val="en-US" w:eastAsia="de-DE"/>
        </w:rPr>
      </w:pPr>
      <w:proofErr w:type="spellStart"/>
      <w:r>
        <w:rPr>
          <w:rFonts w:ascii="Times New Roman" w:hAnsi="Times New Roman" w:cs="Times New Roman"/>
          <w:lang w:val="en-US"/>
        </w:rPr>
        <w:t>Akkus</w:t>
      </w:r>
      <w:proofErr w:type="spellEnd"/>
      <w:r>
        <w:rPr>
          <w:rFonts w:ascii="Times New Roman" w:hAnsi="Times New Roman" w:cs="Times New Roman"/>
          <w:lang w:val="en-US"/>
        </w:rPr>
        <w:t>, O./Cookson, J. A./</w:t>
      </w:r>
      <w:proofErr w:type="spellStart"/>
      <w:r>
        <w:rPr>
          <w:rFonts w:ascii="Times New Roman" w:hAnsi="Times New Roman" w:cs="Times New Roman"/>
          <w:lang w:val="en-US"/>
        </w:rPr>
        <w:t>Hortacsu</w:t>
      </w:r>
      <w:proofErr w:type="spellEnd"/>
      <w:r>
        <w:rPr>
          <w:rFonts w:ascii="Times New Roman" w:hAnsi="Times New Roman" w:cs="Times New Roman"/>
          <w:lang w:val="en-US"/>
        </w:rPr>
        <w:t>, A.</w:t>
      </w:r>
      <w:r w:rsidR="00EF66F4">
        <w:rPr>
          <w:rFonts w:ascii="Times New Roman" w:hAnsi="Times New Roman" w:cs="Times New Roman"/>
          <w:lang w:val="en-US"/>
        </w:rPr>
        <w:t xml:space="preserve"> (2016)</w:t>
      </w:r>
      <w:r>
        <w:rPr>
          <w:rFonts w:ascii="Times New Roman" w:hAnsi="Times New Roman" w:cs="Times New Roman"/>
          <w:lang w:val="en-US"/>
        </w:rPr>
        <w:t xml:space="preserve">: The Determinants of Bank Mergers: A Revealed Preference Analysis, Management Science 62(8), 2149-2455, </w:t>
      </w:r>
      <w:hyperlink r:id="rId11" w:history="1">
        <w:r w:rsidRPr="00CA6DD6">
          <w:rPr>
            <w:rStyle w:val="Hyperlink"/>
            <w:rFonts w:ascii="Times New Roman" w:hAnsi="Times New Roman" w:cs="Times New Roman"/>
            <w:lang w:val="en-US"/>
          </w:rPr>
          <w:t>https://doi.org/10.1287/mnsc.2015.2245</w:t>
        </w:r>
      </w:hyperlink>
      <w:r w:rsidR="0078412E">
        <w:rPr>
          <w:rFonts w:ascii="Times New Roman" w:hAnsi="Times New Roman" w:cs="Times New Roman"/>
          <w:lang w:val="en-US"/>
        </w:rPr>
        <w:br/>
      </w:r>
    </w:p>
    <w:p w14:paraId="6FF3953B" w14:textId="77777777" w:rsidR="0078412E" w:rsidRPr="0078412E" w:rsidRDefault="00907E9C" w:rsidP="00FF3C29">
      <w:pPr>
        <w:pStyle w:val="Listenabsatz"/>
        <w:numPr>
          <w:ilvl w:val="0"/>
          <w:numId w:val="5"/>
        </w:numPr>
        <w:tabs>
          <w:tab w:val="left" w:pos="1258"/>
        </w:tabs>
        <w:ind w:left="709" w:hanging="709"/>
        <w:rPr>
          <w:rFonts w:ascii="Times New Roman" w:eastAsia="Times New Roman" w:hAnsi="Times New Roman" w:cs="Times New Roman"/>
          <w:sz w:val="24"/>
          <w:szCs w:val="24"/>
          <w:lang w:val="en-US" w:eastAsia="de-DE"/>
        </w:rPr>
      </w:pPr>
      <w:proofErr w:type="spellStart"/>
      <w:r w:rsidRPr="00BB235B">
        <w:rPr>
          <w:rFonts w:ascii="Times New Roman" w:hAnsi="Times New Roman" w:cs="Times New Roman"/>
          <w:lang w:val="en-US"/>
        </w:rPr>
        <w:t>Figueiras</w:t>
      </w:r>
      <w:proofErr w:type="spellEnd"/>
      <w:r w:rsidRPr="00BB235B">
        <w:rPr>
          <w:rFonts w:ascii="Times New Roman" w:hAnsi="Times New Roman" w:cs="Times New Roman"/>
          <w:lang w:val="en-US"/>
        </w:rPr>
        <w:t>, I./Gardo, S./</w:t>
      </w:r>
      <w:proofErr w:type="spellStart"/>
      <w:r w:rsidRPr="00BB235B">
        <w:rPr>
          <w:rFonts w:ascii="Times New Roman" w:hAnsi="Times New Roman" w:cs="Times New Roman"/>
          <w:lang w:val="en-US"/>
        </w:rPr>
        <w:t>Grodzicki</w:t>
      </w:r>
      <w:proofErr w:type="spellEnd"/>
      <w:r w:rsidRPr="00BB235B">
        <w:rPr>
          <w:rFonts w:ascii="Times New Roman" w:hAnsi="Times New Roman" w:cs="Times New Roman"/>
          <w:lang w:val="en-US"/>
        </w:rPr>
        <w:t>, M./Klaus, B./</w:t>
      </w:r>
      <w:proofErr w:type="spellStart"/>
      <w:r w:rsidRPr="00BB235B">
        <w:rPr>
          <w:rFonts w:ascii="Times New Roman" w:hAnsi="Times New Roman" w:cs="Times New Roman"/>
          <w:lang w:val="en-US"/>
        </w:rPr>
        <w:t>Lebastard</w:t>
      </w:r>
      <w:proofErr w:type="spellEnd"/>
      <w:r w:rsidRPr="00BB235B">
        <w:rPr>
          <w:rFonts w:ascii="Times New Roman" w:hAnsi="Times New Roman" w:cs="Times New Roman"/>
          <w:lang w:val="en-US"/>
        </w:rPr>
        <w:t>, L./</w:t>
      </w:r>
      <w:proofErr w:type="spellStart"/>
      <w:r w:rsidRPr="00BB235B">
        <w:rPr>
          <w:rFonts w:ascii="Times New Roman" w:hAnsi="Times New Roman" w:cs="Times New Roman"/>
          <w:lang w:val="en-US"/>
        </w:rPr>
        <w:t>Meller</w:t>
      </w:r>
      <w:proofErr w:type="spellEnd"/>
      <w:r w:rsidRPr="00BB235B">
        <w:rPr>
          <w:rFonts w:ascii="Times New Roman" w:hAnsi="Times New Roman" w:cs="Times New Roman"/>
          <w:lang w:val="en-US"/>
        </w:rPr>
        <w:t>, B./</w:t>
      </w:r>
      <w:proofErr w:type="spellStart"/>
      <w:r w:rsidRPr="00BB235B">
        <w:rPr>
          <w:rFonts w:ascii="Times New Roman" w:hAnsi="Times New Roman" w:cs="Times New Roman"/>
          <w:lang w:val="en-US"/>
        </w:rPr>
        <w:t>Wakker</w:t>
      </w:r>
      <w:proofErr w:type="spellEnd"/>
      <w:r w:rsidRPr="00BB235B">
        <w:rPr>
          <w:rFonts w:ascii="Times New Roman" w:hAnsi="Times New Roman" w:cs="Times New Roman"/>
          <w:lang w:val="en-US"/>
        </w:rPr>
        <w:t xml:space="preserve">, W. (2021): </w:t>
      </w:r>
      <w:r w:rsidRPr="00BB235B">
        <w:rPr>
          <w:rFonts w:ascii="Times New Roman" w:eastAsia="Times New Roman" w:hAnsi="Times New Roman" w:cs="Times New Roman"/>
          <w:kern w:val="36"/>
          <w:lang w:val="en-US" w:eastAsia="de-DE"/>
        </w:rPr>
        <w:t>Bank mergers and acquisitions in the euro area: drivers and implications for bank performance</w:t>
      </w:r>
      <w:r>
        <w:rPr>
          <w:rFonts w:ascii="Times New Roman" w:eastAsia="Times New Roman" w:hAnsi="Times New Roman" w:cs="Times New Roman"/>
          <w:kern w:val="36"/>
          <w:lang w:val="en-US" w:eastAsia="de-DE"/>
        </w:rPr>
        <w:t xml:space="preserve">, </w:t>
      </w:r>
      <w:r w:rsidRPr="00BB235B">
        <w:rPr>
          <w:rFonts w:ascii="Times New Roman" w:eastAsia="Times New Roman" w:hAnsi="Times New Roman" w:cs="Times New Roman"/>
          <w:lang w:val="en-US" w:eastAsia="de-DE"/>
        </w:rPr>
        <w:t xml:space="preserve">Published as part of the </w:t>
      </w:r>
      <w:hyperlink r:id="rId12" w:history="1">
        <w:r w:rsidRPr="000038BE">
          <w:rPr>
            <w:rFonts w:ascii="Times New Roman" w:eastAsia="Times New Roman" w:hAnsi="Times New Roman" w:cs="Times New Roman"/>
            <w:color w:val="000000" w:themeColor="text1"/>
            <w:lang w:val="en-US" w:eastAsia="de-DE"/>
          </w:rPr>
          <w:t>Financial Stability Review, November 2021</w:t>
        </w:r>
      </w:hyperlink>
      <w:r>
        <w:rPr>
          <w:rFonts w:ascii="Times New Roman" w:eastAsia="Times New Roman" w:hAnsi="Times New Roman" w:cs="Times New Roman"/>
          <w:sz w:val="24"/>
          <w:szCs w:val="24"/>
          <w:lang w:val="en-US" w:eastAsia="de-DE"/>
        </w:rPr>
        <w:t xml:space="preserve">, </w:t>
      </w:r>
      <w:hyperlink r:id="rId13" w:anchor="toc4" w:history="1">
        <w:r w:rsidRPr="00AD789C">
          <w:rPr>
            <w:rStyle w:val="Hyperlink"/>
            <w:rFonts w:ascii="Times New Roman" w:eastAsia="Times New Roman" w:hAnsi="Times New Roman" w:cs="Times New Roman"/>
            <w:lang w:val="en-US" w:eastAsia="de-DE"/>
          </w:rPr>
          <w:t>https://www.ecb.europa.eu/pub/financial-stability/fsr/special/html/ecb.fsrart202111_02~33910adb15.en.html#toc4</w:t>
        </w:r>
      </w:hyperlink>
      <w:r w:rsidR="0078412E">
        <w:rPr>
          <w:rFonts w:ascii="Times New Roman" w:hAnsi="Times New Roman" w:cs="Times New Roman"/>
          <w:lang w:val="en-US"/>
        </w:rPr>
        <w:br/>
      </w:r>
    </w:p>
    <w:p w14:paraId="1EDC7E3A" w14:textId="54F73DD7" w:rsidR="0078412E" w:rsidRDefault="00907E9C" w:rsidP="00FF3C29">
      <w:pPr>
        <w:pStyle w:val="Listenabsatz"/>
        <w:numPr>
          <w:ilvl w:val="0"/>
          <w:numId w:val="5"/>
        </w:numPr>
        <w:tabs>
          <w:tab w:val="left" w:pos="1258"/>
        </w:tabs>
        <w:ind w:left="709" w:hanging="709"/>
        <w:rPr>
          <w:rFonts w:ascii="Times New Roman" w:hAnsi="Times New Roman" w:cs="Times New Roman"/>
          <w:lang w:val="en-US"/>
        </w:rPr>
      </w:pPr>
      <w:proofErr w:type="spellStart"/>
      <w:r w:rsidRPr="00664710">
        <w:rPr>
          <w:rFonts w:ascii="Times New Roman" w:hAnsi="Times New Roman" w:cs="Times New Roman"/>
          <w:lang w:val="en-US"/>
        </w:rPr>
        <w:t>Bongini</w:t>
      </w:r>
      <w:proofErr w:type="spellEnd"/>
      <w:r w:rsidRPr="00664710">
        <w:rPr>
          <w:rFonts w:ascii="Times New Roman" w:hAnsi="Times New Roman" w:cs="Times New Roman"/>
          <w:lang w:val="en-US"/>
        </w:rPr>
        <w:t>, P./Di Battista, M. L./</w:t>
      </w:r>
      <w:proofErr w:type="spellStart"/>
      <w:r w:rsidRPr="00664710">
        <w:rPr>
          <w:rFonts w:ascii="Times New Roman" w:hAnsi="Times New Roman" w:cs="Times New Roman"/>
          <w:lang w:val="en-US"/>
        </w:rPr>
        <w:t>Zavarrone</w:t>
      </w:r>
      <w:proofErr w:type="spellEnd"/>
      <w:r w:rsidRPr="00664710">
        <w:rPr>
          <w:rFonts w:ascii="Times New Roman" w:hAnsi="Times New Roman" w:cs="Times New Roman"/>
          <w:lang w:val="en-US"/>
        </w:rPr>
        <w:t>, E. (2007):  The Value of Relationship Lending: Small</w:t>
      </w:r>
      <w:r w:rsidR="00FF3C29">
        <w:rPr>
          <w:rFonts w:ascii="Times New Roman" w:hAnsi="Times New Roman" w:cs="Times New Roman"/>
          <w:lang w:val="en-US"/>
        </w:rPr>
        <w:t xml:space="preserve"> </w:t>
      </w:r>
      <w:r w:rsidRPr="00664710">
        <w:rPr>
          <w:rFonts w:ascii="Times New Roman" w:hAnsi="Times New Roman" w:cs="Times New Roman"/>
          <w:lang w:val="en-US"/>
        </w:rPr>
        <w:t>Banks in an Era of Consolidation</w:t>
      </w:r>
      <w:r>
        <w:rPr>
          <w:rFonts w:ascii="Times New Roman" w:hAnsi="Times New Roman" w:cs="Times New Roman"/>
          <w:lang w:val="en-US"/>
        </w:rPr>
        <w:t xml:space="preserve">, </w:t>
      </w:r>
      <w:r w:rsidRPr="00664710">
        <w:rPr>
          <w:rFonts w:ascii="Times New Roman" w:hAnsi="Times New Roman" w:cs="Times New Roman"/>
          <w:lang w:val="en-US"/>
        </w:rPr>
        <w:t xml:space="preserve">Economic Notes by Banca Monte </w:t>
      </w:r>
      <w:proofErr w:type="spellStart"/>
      <w:r w:rsidRPr="00664710">
        <w:rPr>
          <w:rFonts w:ascii="Times New Roman" w:hAnsi="Times New Roman" w:cs="Times New Roman"/>
          <w:lang w:val="en-US"/>
        </w:rPr>
        <w:t>dei</w:t>
      </w:r>
      <w:proofErr w:type="spellEnd"/>
      <w:r w:rsidRPr="00664710">
        <w:rPr>
          <w:rFonts w:ascii="Times New Roman" w:hAnsi="Times New Roman" w:cs="Times New Roman"/>
          <w:lang w:val="en-US"/>
        </w:rPr>
        <w:t xml:space="preserve"> Paschi di Siena </w:t>
      </w:r>
      <w:proofErr w:type="spellStart"/>
      <w:r w:rsidRPr="00664710">
        <w:rPr>
          <w:rFonts w:ascii="Times New Roman" w:hAnsi="Times New Roman" w:cs="Times New Roman"/>
          <w:lang w:val="en-US"/>
        </w:rPr>
        <w:t>SpA</w:t>
      </w:r>
      <w:proofErr w:type="spellEnd"/>
      <w:r w:rsidRPr="00664710">
        <w:rPr>
          <w:rFonts w:ascii="Times New Roman" w:hAnsi="Times New Roman" w:cs="Times New Roman"/>
          <w:lang w:val="en-US"/>
        </w:rPr>
        <w:t>,</w:t>
      </w:r>
      <w:r w:rsidR="00FF3C29">
        <w:rPr>
          <w:rFonts w:ascii="Times New Roman" w:hAnsi="Times New Roman" w:cs="Times New Roman"/>
          <w:lang w:val="en-US"/>
        </w:rPr>
        <w:t xml:space="preserve"> </w:t>
      </w:r>
      <w:r>
        <w:rPr>
          <w:rFonts w:ascii="Times New Roman" w:hAnsi="Times New Roman" w:cs="Times New Roman"/>
          <w:lang w:val="en-US"/>
        </w:rPr>
        <w:t>V</w:t>
      </w:r>
      <w:r w:rsidRPr="00664710">
        <w:rPr>
          <w:rFonts w:ascii="Times New Roman" w:hAnsi="Times New Roman" w:cs="Times New Roman"/>
          <w:lang w:val="en-US"/>
        </w:rPr>
        <w:t xml:space="preserve">ol. 36, </w:t>
      </w:r>
      <w:r>
        <w:rPr>
          <w:rFonts w:ascii="Times New Roman" w:hAnsi="Times New Roman" w:cs="Times New Roman"/>
          <w:lang w:val="en-US"/>
        </w:rPr>
        <w:t>N</w:t>
      </w:r>
      <w:r w:rsidRPr="00664710">
        <w:rPr>
          <w:rFonts w:ascii="Times New Roman" w:hAnsi="Times New Roman" w:cs="Times New Roman"/>
          <w:lang w:val="en-US"/>
        </w:rPr>
        <w:t>o. 3-2007, 209–23</w:t>
      </w:r>
      <w:r>
        <w:rPr>
          <w:rFonts w:ascii="Times New Roman" w:hAnsi="Times New Roman" w:cs="Times New Roman"/>
          <w:lang w:val="en-US"/>
        </w:rPr>
        <w:t xml:space="preserve">0, </w:t>
      </w:r>
      <w:hyperlink r:id="rId14" w:history="1">
        <w:r w:rsidRPr="00664710">
          <w:rPr>
            <w:rStyle w:val="Hyperlink"/>
            <w:rFonts w:ascii="Times New Roman" w:eastAsia="Times New Roman" w:hAnsi="Times New Roman" w:cs="Times New Roman"/>
            <w:sz w:val="24"/>
            <w:szCs w:val="24"/>
            <w:lang w:val="en-US" w:eastAsia="de-DE"/>
          </w:rPr>
          <w:t>https://doi.org/10.1111/j.1468-0475.2008.00432.x</w:t>
        </w:r>
      </w:hyperlink>
      <w:r w:rsidR="0078412E">
        <w:rPr>
          <w:rFonts w:ascii="Times New Roman" w:hAnsi="Times New Roman" w:cs="Times New Roman"/>
          <w:lang w:val="en-US"/>
        </w:rPr>
        <w:br/>
      </w:r>
    </w:p>
    <w:p w14:paraId="79135B5C" w14:textId="77777777" w:rsidR="0078412E" w:rsidRDefault="00091E36" w:rsidP="00FF3C29">
      <w:pPr>
        <w:pStyle w:val="Listenabsatz"/>
        <w:numPr>
          <w:ilvl w:val="0"/>
          <w:numId w:val="5"/>
        </w:numPr>
        <w:tabs>
          <w:tab w:val="left" w:pos="1258"/>
        </w:tabs>
        <w:ind w:left="709" w:hanging="709"/>
        <w:rPr>
          <w:rFonts w:ascii="Times New Roman" w:hAnsi="Times New Roman" w:cs="Times New Roman"/>
          <w:lang w:val="en-US"/>
        </w:rPr>
      </w:pPr>
      <w:proofErr w:type="spellStart"/>
      <w:r w:rsidRPr="0078412E">
        <w:rPr>
          <w:rFonts w:ascii="Times New Roman" w:hAnsi="Times New Roman" w:cs="Times New Roman"/>
          <w:lang w:val="en-US"/>
        </w:rPr>
        <w:t>Focarelli</w:t>
      </w:r>
      <w:proofErr w:type="spellEnd"/>
      <w:r w:rsidRPr="0078412E">
        <w:rPr>
          <w:rFonts w:ascii="Times New Roman" w:hAnsi="Times New Roman" w:cs="Times New Roman"/>
          <w:lang w:val="en-US"/>
        </w:rPr>
        <w:t>, D./Panetta, F./</w:t>
      </w:r>
      <w:proofErr w:type="spellStart"/>
      <w:r w:rsidRPr="0078412E">
        <w:rPr>
          <w:rFonts w:ascii="Times New Roman" w:hAnsi="Times New Roman" w:cs="Times New Roman"/>
          <w:lang w:val="en-US"/>
        </w:rPr>
        <w:t>Salleo</w:t>
      </w:r>
      <w:proofErr w:type="spellEnd"/>
      <w:r w:rsidRPr="0078412E">
        <w:rPr>
          <w:rFonts w:ascii="Times New Roman" w:hAnsi="Times New Roman" w:cs="Times New Roman"/>
          <w:lang w:val="en-US"/>
        </w:rPr>
        <w:t xml:space="preserve">, C. (2003): Why do Banks Merge? Working Paper No. 3, CEIS To </w:t>
      </w:r>
      <w:proofErr w:type="spellStart"/>
      <w:r w:rsidRPr="0078412E">
        <w:rPr>
          <w:rFonts w:ascii="Times New Roman" w:hAnsi="Times New Roman" w:cs="Times New Roman"/>
          <w:lang w:val="en-US"/>
        </w:rPr>
        <w:t>Vergata</w:t>
      </w:r>
      <w:proofErr w:type="spellEnd"/>
      <w:r w:rsidRPr="0078412E">
        <w:rPr>
          <w:rFonts w:ascii="Times New Roman" w:hAnsi="Times New Roman" w:cs="Times New Roman"/>
          <w:lang w:val="en-US"/>
        </w:rPr>
        <w:t xml:space="preserve"> Research Paper Series, January 2003</w:t>
      </w:r>
      <w:r w:rsidR="0078412E">
        <w:rPr>
          <w:rFonts w:ascii="Times New Roman" w:hAnsi="Times New Roman" w:cs="Times New Roman"/>
          <w:lang w:val="en-US"/>
        </w:rPr>
        <w:br/>
      </w:r>
    </w:p>
    <w:p w14:paraId="5ABEC3FF" w14:textId="77777777" w:rsidR="0078412E" w:rsidRDefault="00091E36" w:rsidP="00FF3C29">
      <w:pPr>
        <w:pStyle w:val="Listenabsatz"/>
        <w:numPr>
          <w:ilvl w:val="0"/>
          <w:numId w:val="5"/>
        </w:numPr>
        <w:tabs>
          <w:tab w:val="left" w:pos="1258"/>
        </w:tabs>
        <w:ind w:left="709" w:hanging="709"/>
        <w:rPr>
          <w:rFonts w:ascii="Times New Roman" w:hAnsi="Times New Roman" w:cs="Times New Roman"/>
          <w:lang w:val="en-US"/>
        </w:rPr>
      </w:pPr>
      <w:r w:rsidRPr="0078412E">
        <w:rPr>
          <w:rFonts w:ascii="Times New Roman" w:hAnsi="Times New Roman" w:cs="Times New Roman"/>
          <w:lang w:val="en-US"/>
        </w:rPr>
        <w:t>Cabo, P./</w:t>
      </w:r>
      <w:proofErr w:type="spellStart"/>
      <w:r w:rsidRPr="0078412E">
        <w:rPr>
          <w:rFonts w:ascii="Times New Roman" w:hAnsi="Times New Roman" w:cs="Times New Roman"/>
          <w:lang w:val="en-US"/>
        </w:rPr>
        <w:t>Rebelo</w:t>
      </w:r>
      <w:proofErr w:type="spellEnd"/>
      <w:r w:rsidRPr="0078412E">
        <w:rPr>
          <w:rFonts w:ascii="Times New Roman" w:hAnsi="Times New Roman" w:cs="Times New Roman"/>
          <w:lang w:val="en-US"/>
        </w:rPr>
        <w:t xml:space="preserve">, J. (2005): Why do Agricultural Credit Cooperatives Merge? The Portuguese Experience, Annals of Public and Cooperative Economics, Vol. 76, No. 3, 491-516, </w:t>
      </w:r>
      <w:hyperlink r:id="rId15" w:history="1">
        <w:r w:rsidRPr="0078412E">
          <w:rPr>
            <w:rStyle w:val="Hyperlink"/>
            <w:rFonts w:ascii="Times New Roman" w:hAnsi="Times New Roman" w:cs="Times New Roman"/>
            <w:lang w:val="en-US"/>
          </w:rPr>
          <w:t>https://doi.org/10.1111/j.1370-4788.2005.00287.x</w:t>
        </w:r>
      </w:hyperlink>
      <w:r w:rsidRPr="0078412E">
        <w:rPr>
          <w:rFonts w:ascii="Times New Roman" w:hAnsi="Times New Roman" w:cs="Times New Roman"/>
          <w:lang w:val="en-US"/>
        </w:rPr>
        <w:t>.</w:t>
      </w:r>
      <w:r w:rsidR="0078412E">
        <w:rPr>
          <w:rFonts w:ascii="Times New Roman" w:hAnsi="Times New Roman" w:cs="Times New Roman"/>
          <w:lang w:val="en-US"/>
        </w:rPr>
        <w:br/>
      </w:r>
    </w:p>
    <w:p w14:paraId="4F92B385" w14:textId="354BABAD" w:rsidR="00FF3C29" w:rsidRPr="00FF3C29" w:rsidRDefault="00091E36" w:rsidP="00FF3C29">
      <w:pPr>
        <w:pStyle w:val="Listenabsatz"/>
        <w:numPr>
          <w:ilvl w:val="0"/>
          <w:numId w:val="5"/>
        </w:numPr>
        <w:tabs>
          <w:tab w:val="left" w:pos="1258"/>
        </w:tabs>
        <w:ind w:left="709" w:hanging="709"/>
        <w:rPr>
          <w:rStyle w:val="Hyperlink"/>
          <w:rFonts w:ascii="Times New Roman" w:hAnsi="Times New Roman" w:cs="Times New Roman"/>
          <w:color w:val="auto"/>
          <w:u w:val="none"/>
          <w:lang w:val="en-US"/>
        </w:rPr>
      </w:pPr>
      <w:proofErr w:type="spellStart"/>
      <w:r w:rsidRPr="00FF3C29">
        <w:rPr>
          <w:rFonts w:ascii="Times New Roman" w:hAnsi="Times New Roman" w:cs="Times New Roman"/>
          <w:lang w:val="en-US"/>
        </w:rPr>
        <w:t>Huhtilainen</w:t>
      </w:r>
      <w:proofErr w:type="spellEnd"/>
      <w:r w:rsidRPr="00FF3C29">
        <w:rPr>
          <w:rFonts w:ascii="Times New Roman" w:hAnsi="Times New Roman" w:cs="Times New Roman"/>
          <w:lang w:val="en-US"/>
        </w:rPr>
        <w:t>, M./</w:t>
      </w:r>
      <w:proofErr w:type="spellStart"/>
      <w:r w:rsidRPr="00FF3C29">
        <w:rPr>
          <w:rFonts w:ascii="Times New Roman" w:hAnsi="Times New Roman" w:cs="Times New Roman"/>
          <w:lang w:val="en-US"/>
        </w:rPr>
        <w:t>Saastamoinen</w:t>
      </w:r>
      <w:proofErr w:type="spellEnd"/>
      <w:r w:rsidRPr="00FF3C29">
        <w:rPr>
          <w:rFonts w:ascii="Times New Roman" w:hAnsi="Times New Roman" w:cs="Times New Roman"/>
          <w:lang w:val="en-US"/>
        </w:rPr>
        <w:t>, J./</w:t>
      </w:r>
      <w:proofErr w:type="spellStart"/>
      <w:r w:rsidRPr="00FF3C29">
        <w:rPr>
          <w:rFonts w:ascii="Times New Roman" w:hAnsi="Times New Roman" w:cs="Times New Roman"/>
          <w:lang w:val="en-US"/>
        </w:rPr>
        <w:t>Suhonen</w:t>
      </w:r>
      <w:proofErr w:type="spellEnd"/>
      <w:r w:rsidRPr="00FF3C29">
        <w:rPr>
          <w:rFonts w:ascii="Times New Roman" w:hAnsi="Times New Roman" w:cs="Times New Roman"/>
          <w:lang w:val="en-US"/>
        </w:rPr>
        <w:t xml:space="preserve">, N. (2022): Determinants of mergers and acquisitions among Finnish cooperative and savings banks, Journal of Banking Regulation, Vol. 22, 339-349, </w:t>
      </w:r>
      <w:hyperlink r:id="rId16" w:history="1">
        <w:r w:rsidRPr="00FF3C29">
          <w:rPr>
            <w:rStyle w:val="Hyperlink"/>
            <w:rFonts w:ascii="Times New Roman" w:hAnsi="Times New Roman" w:cs="Times New Roman"/>
            <w:lang w:val="en-US"/>
          </w:rPr>
          <w:t>Https://doi.org/10.1057/s41261-021-00170-4</w:t>
        </w:r>
      </w:hyperlink>
      <w:r w:rsidR="00FF3C29">
        <w:rPr>
          <w:rStyle w:val="Hyperlink"/>
          <w:rFonts w:ascii="Times New Roman" w:hAnsi="Times New Roman" w:cs="Times New Roman"/>
          <w:lang w:val="en-US"/>
        </w:rPr>
        <w:br/>
      </w:r>
      <w:r w:rsidR="00FF3C29">
        <w:rPr>
          <w:rStyle w:val="Hyperlink"/>
          <w:rFonts w:ascii="Times New Roman" w:hAnsi="Times New Roman" w:cs="Times New Roman"/>
          <w:lang w:val="en-US"/>
        </w:rPr>
        <w:br/>
      </w:r>
      <w:r w:rsidR="00FF3C29">
        <w:rPr>
          <w:rStyle w:val="Hyperlink"/>
          <w:rFonts w:ascii="Times New Roman" w:hAnsi="Times New Roman" w:cs="Times New Roman"/>
          <w:lang w:val="en-US"/>
        </w:rPr>
        <w:br/>
      </w:r>
      <w:r w:rsidR="00FF3C29">
        <w:rPr>
          <w:rStyle w:val="Hyperlink"/>
          <w:rFonts w:ascii="Times New Roman" w:hAnsi="Times New Roman" w:cs="Times New Roman"/>
          <w:lang w:val="en-US"/>
        </w:rPr>
        <w:br/>
      </w:r>
    </w:p>
    <w:p w14:paraId="1B0786EE" w14:textId="07B3D97C" w:rsidR="00FF3C29" w:rsidRPr="00FF3C29" w:rsidRDefault="00091E36" w:rsidP="00FF3C29">
      <w:pPr>
        <w:pStyle w:val="Listenabsatz"/>
        <w:numPr>
          <w:ilvl w:val="0"/>
          <w:numId w:val="5"/>
        </w:numPr>
        <w:tabs>
          <w:tab w:val="left" w:pos="1258"/>
        </w:tabs>
        <w:ind w:left="709" w:hanging="709"/>
        <w:rPr>
          <w:rFonts w:ascii="Times New Roman" w:hAnsi="Times New Roman"/>
        </w:rPr>
      </w:pPr>
      <w:r w:rsidRPr="00FF3C29">
        <w:rPr>
          <w:rFonts w:ascii="Times New Roman" w:hAnsi="Times New Roman" w:cs="Times New Roman"/>
        </w:rPr>
        <w:lastRenderedPageBreak/>
        <w:t xml:space="preserve">BVR (Bundesverband der </w:t>
      </w:r>
      <w:proofErr w:type="spellStart"/>
      <w:r w:rsidRPr="00FF3C29">
        <w:rPr>
          <w:rFonts w:ascii="Times New Roman" w:hAnsi="Times New Roman" w:cs="Times New Roman"/>
        </w:rPr>
        <w:t>deutschen</w:t>
      </w:r>
      <w:proofErr w:type="spellEnd"/>
      <w:r w:rsidRPr="00FF3C29">
        <w:rPr>
          <w:rFonts w:ascii="Times New Roman" w:hAnsi="Times New Roman" w:cs="Times New Roman"/>
        </w:rPr>
        <w:t xml:space="preserve"> Volksbanken und Raiffeisenbanken): Entwicklung der Volksbanken und Raiffeisenbanken von 1970 bis Ende 2021, March 2022, </w:t>
      </w:r>
      <w:hyperlink r:id="rId17" w:history="1">
        <w:r w:rsidRPr="00FF3C29">
          <w:rPr>
            <w:rStyle w:val="Hyperlink"/>
            <w:rFonts w:ascii="Times New Roman" w:hAnsi="Times New Roman" w:cs="Times New Roman"/>
          </w:rPr>
          <w:t>https://www.bvr.de/p.nsf/0/F0F8A6D1636D3A1CC1257D0A00540564/$file/Entwicklung%20der%20Banken%20seit%201970_SB.pdf</w:t>
        </w:r>
      </w:hyperlink>
      <w:r w:rsidR="00FF3C29" w:rsidRPr="00FF3C29">
        <w:br/>
      </w:r>
    </w:p>
    <w:p w14:paraId="485841BE" w14:textId="11DB097C" w:rsidR="00FF3C29" w:rsidRPr="00943470" w:rsidRDefault="00091E36" w:rsidP="00FF3C29">
      <w:pPr>
        <w:pStyle w:val="Listenabsatz"/>
        <w:numPr>
          <w:ilvl w:val="0"/>
          <w:numId w:val="5"/>
        </w:numPr>
        <w:tabs>
          <w:tab w:val="left" w:pos="1258"/>
        </w:tabs>
        <w:ind w:left="709" w:hanging="709"/>
        <w:rPr>
          <w:rStyle w:val="Hyperlink"/>
          <w:rFonts w:ascii="Times New Roman" w:hAnsi="Times New Roman"/>
          <w:color w:val="auto"/>
          <w:u w:val="none"/>
        </w:rPr>
      </w:pPr>
      <w:r w:rsidRPr="00943470">
        <w:rPr>
          <w:rFonts w:ascii="Times New Roman" w:hAnsi="Times New Roman" w:cs="Times New Roman"/>
        </w:rPr>
        <w:t xml:space="preserve">Deutsche Bundesbank: Die Ertragslage der deutschen Kreditinstitute, Monatsbericht </w:t>
      </w:r>
      <w:proofErr w:type="gramStart"/>
      <w:r w:rsidRPr="00943470">
        <w:rPr>
          <w:rFonts w:ascii="Times New Roman" w:hAnsi="Times New Roman" w:cs="Times New Roman"/>
        </w:rPr>
        <w:t xml:space="preserve">September,  </w:t>
      </w:r>
      <w:proofErr w:type="spellStart"/>
      <w:r w:rsidRPr="00943470">
        <w:rPr>
          <w:rFonts w:ascii="Times New Roman" w:hAnsi="Times New Roman" w:cs="Times New Roman"/>
        </w:rPr>
        <w:t>various</w:t>
      </w:r>
      <w:proofErr w:type="spellEnd"/>
      <w:proofErr w:type="gramEnd"/>
      <w:r w:rsidRPr="00943470">
        <w:rPr>
          <w:rFonts w:ascii="Times New Roman" w:hAnsi="Times New Roman" w:cs="Times New Roman"/>
        </w:rPr>
        <w:t xml:space="preserve"> </w:t>
      </w:r>
      <w:proofErr w:type="spellStart"/>
      <w:r w:rsidRPr="00943470">
        <w:rPr>
          <w:rFonts w:ascii="Times New Roman" w:hAnsi="Times New Roman" w:cs="Times New Roman"/>
        </w:rPr>
        <w:t>issues</w:t>
      </w:r>
      <w:proofErr w:type="spellEnd"/>
      <w:r w:rsidRPr="00943470">
        <w:rPr>
          <w:rFonts w:ascii="Times New Roman" w:hAnsi="Times New Roman" w:cs="Times New Roman"/>
        </w:rPr>
        <w:t xml:space="preserve">, </w:t>
      </w:r>
      <w:proofErr w:type="spellStart"/>
      <w:r w:rsidRPr="00943470">
        <w:rPr>
          <w:rFonts w:ascii="Times New Roman" w:hAnsi="Times New Roman" w:cs="Times New Roman"/>
        </w:rPr>
        <w:t>annually</w:t>
      </w:r>
      <w:proofErr w:type="spellEnd"/>
      <w:r w:rsidRPr="00943470">
        <w:rPr>
          <w:rFonts w:ascii="Times New Roman" w:hAnsi="Times New Roman" w:cs="Times New Roman"/>
        </w:rPr>
        <w:t xml:space="preserve"> </w:t>
      </w:r>
      <w:proofErr w:type="spellStart"/>
      <w:r w:rsidRPr="00943470">
        <w:rPr>
          <w:rFonts w:ascii="Times New Roman" w:hAnsi="Times New Roman" w:cs="Times New Roman"/>
        </w:rPr>
        <w:t>published</w:t>
      </w:r>
      <w:proofErr w:type="spellEnd"/>
      <w:r w:rsidRPr="00943470">
        <w:rPr>
          <w:rFonts w:ascii="Times New Roman" w:hAnsi="Times New Roman" w:cs="Times New Roman"/>
        </w:rPr>
        <w:t xml:space="preserve">, </w:t>
      </w:r>
      <w:proofErr w:type="spellStart"/>
      <w:r w:rsidRPr="00943470">
        <w:rPr>
          <w:rFonts w:ascii="Times New Roman" w:hAnsi="Times New Roman" w:cs="Times New Roman"/>
        </w:rPr>
        <w:t>most</w:t>
      </w:r>
      <w:proofErr w:type="spellEnd"/>
      <w:r w:rsidRPr="00943470">
        <w:rPr>
          <w:rFonts w:ascii="Times New Roman" w:hAnsi="Times New Roman" w:cs="Times New Roman"/>
        </w:rPr>
        <w:t xml:space="preserve"> </w:t>
      </w:r>
      <w:proofErr w:type="spellStart"/>
      <w:r w:rsidRPr="00943470">
        <w:rPr>
          <w:rFonts w:ascii="Times New Roman" w:hAnsi="Times New Roman" w:cs="Times New Roman"/>
        </w:rPr>
        <w:t>recent</w:t>
      </w:r>
      <w:proofErr w:type="spellEnd"/>
      <w:r w:rsidRPr="00943470">
        <w:rPr>
          <w:rFonts w:ascii="Times New Roman" w:hAnsi="Times New Roman" w:cs="Times New Roman"/>
        </w:rPr>
        <w:t xml:space="preserve"> </w:t>
      </w:r>
      <w:proofErr w:type="spellStart"/>
      <w:r w:rsidRPr="00943470">
        <w:rPr>
          <w:rFonts w:ascii="Times New Roman" w:hAnsi="Times New Roman" w:cs="Times New Roman"/>
        </w:rPr>
        <w:t>issue</w:t>
      </w:r>
      <w:proofErr w:type="spellEnd"/>
      <w:r w:rsidRPr="00943470">
        <w:rPr>
          <w:rFonts w:ascii="Times New Roman" w:hAnsi="Times New Roman" w:cs="Times New Roman"/>
        </w:rPr>
        <w:t xml:space="preserve">: </w:t>
      </w:r>
      <w:hyperlink r:id="rId18" w:history="1">
        <w:r w:rsidRPr="00943470">
          <w:rPr>
            <w:rStyle w:val="Hyperlink"/>
            <w:rFonts w:ascii="Times New Roman" w:hAnsi="Times New Roman" w:cs="Times New Roman"/>
          </w:rPr>
          <w:t>https://www.bundesbank.de/resource/blob/897188/faa1c85badf347f8ad5b6593588f1eca/mL/2022-09-ertragslage-data.pdf</w:t>
        </w:r>
      </w:hyperlink>
      <w:r w:rsidR="00FF3C29" w:rsidRPr="00943470">
        <w:rPr>
          <w:rStyle w:val="Hyperlink"/>
          <w:rFonts w:ascii="Times New Roman" w:hAnsi="Times New Roman" w:cs="Times New Roman"/>
        </w:rPr>
        <w:br/>
      </w:r>
    </w:p>
    <w:p w14:paraId="03B732B4" w14:textId="3105D8BB" w:rsidR="00EF66F4" w:rsidRPr="00FF3C29" w:rsidRDefault="00EF66F4" w:rsidP="00FF3C29">
      <w:pPr>
        <w:pStyle w:val="Listenabsatz"/>
        <w:numPr>
          <w:ilvl w:val="0"/>
          <w:numId w:val="5"/>
        </w:numPr>
        <w:tabs>
          <w:tab w:val="left" w:pos="1258"/>
        </w:tabs>
        <w:ind w:left="709" w:hanging="709"/>
        <w:rPr>
          <w:rFonts w:ascii="Times New Roman" w:hAnsi="Times New Roman"/>
          <w:lang w:val="en-US"/>
        </w:rPr>
      </w:pPr>
      <w:proofErr w:type="spellStart"/>
      <w:r w:rsidRPr="00FF3C29">
        <w:rPr>
          <w:rFonts w:ascii="Times New Roman" w:hAnsi="Times New Roman"/>
          <w:lang w:val="en-US"/>
        </w:rPr>
        <w:t>Arltová</w:t>
      </w:r>
      <w:proofErr w:type="spellEnd"/>
      <w:r w:rsidRPr="00FF3C29">
        <w:rPr>
          <w:rFonts w:ascii="Times New Roman" w:hAnsi="Times New Roman"/>
          <w:lang w:val="en-US"/>
        </w:rPr>
        <w:t>, M./</w:t>
      </w:r>
      <w:proofErr w:type="spellStart"/>
      <w:r w:rsidRPr="00FF3C29">
        <w:rPr>
          <w:rFonts w:ascii="Times New Roman" w:hAnsi="Times New Roman"/>
          <w:lang w:val="en-US"/>
        </w:rPr>
        <w:t>Fedorová</w:t>
      </w:r>
      <w:proofErr w:type="spellEnd"/>
      <w:r w:rsidRPr="00FF3C29">
        <w:rPr>
          <w:rFonts w:ascii="Times New Roman" w:hAnsi="Times New Roman"/>
          <w:lang w:val="en-US"/>
        </w:rPr>
        <w:t xml:space="preserve">, D. (2016): Selection of Unit Root Test on the Basis of Length of the Time Series and Value of </w:t>
      </w:r>
      <w:proofErr w:type="gramStart"/>
      <w:r w:rsidRPr="00FF3C29">
        <w:rPr>
          <w:rFonts w:ascii="Times New Roman" w:hAnsi="Times New Roman"/>
          <w:lang w:val="en-US"/>
        </w:rPr>
        <w:t>AR(</w:t>
      </w:r>
      <w:proofErr w:type="gramEnd"/>
      <w:r w:rsidRPr="00FF3C29">
        <w:rPr>
          <w:rFonts w:ascii="Times New Roman" w:hAnsi="Times New Roman"/>
          <w:lang w:val="en-US"/>
        </w:rPr>
        <w:t xml:space="preserve">1) Parameter, </w:t>
      </w:r>
      <w:proofErr w:type="spellStart"/>
      <w:r w:rsidRPr="00FF3C29">
        <w:rPr>
          <w:rFonts w:ascii="Times New Roman" w:hAnsi="Times New Roman"/>
          <w:i/>
          <w:lang w:val="en-US"/>
        </w:rPr>
        <w:t>Statistika</w:t>
      </w:r>
      <w:proofErr w:type="spellEnd"/>
      <w:r w:rsidRPr="00FF3C29">
        <w:rPr>
          <w:rFonts w:ascii="Times New Roman" w:hAnsi="Times New Roman"/>
          <w:lang w:val="en-US"/>
        </w:rPr>
        <w:t xml:space="preserve"> Vol. 96(3): 47</w:t>
      </w:r>
      <w:r w:rsidRPr="00FF3C29">
        <w:rPr>
          <w:rFonts w:ascii="Times New Roman" w:hAnsi="Times New Roman"/>
          <w:bCs/>
          <w:lang w:val="en-GB"/>
        </w:rPr>
        <w:t>—</w:t>
      </w:r>
      <w:r w:rsidRPr="00FF3C29">
        <w:rPr>
          <w:rFonts w:ascii="Times New Roman" w:hAnsi="Times New Roman"/>
          <w:lang w:val="en-US"/>
        </w:rPr>
        <w:t>63.</w:t>
      </w:r>
      <w:bookmarkEnd w:id="2"/>
    </w:p>
    <w:sectPr w:rsidR="00EF66F4" w:rsidRPr="00FF3C29" w:rsidSect="00732A4A">
      <w:footerReference w:type="default" r:id="rId19"/>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8F3D7" w14:textId="77777777" w:rsidR="004D458C" w:rsidRDefault="004D458C" w:rsidP="00732A4A">
      <w:pPr>
        <w:spacing w:after="0" w:line="240" w:lineRule="auto"/>
      </w:pPr>
      <w:r>
        <w:separator/>
      </w:r>
    </w:p>
  </w:endnote>
  <w:endnote w:type="continuationSeparator" w:id="0">
    <w:p w14:paraId="3BAD3A22" w14:textId="77777777" w:rsidR="004D458C" w:rsidRDefault="004D458C" w:rsidP="00732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414516"/>
      <w:docPartObj>
        <w:docPartGallery w:val="Page Numbers (Bottom of Page)"/>
        <w:docPartUnique/>
      </w:docPartObj>
    </w:sdtPr>
    <w:sdtContent>
      <w:p w14:paraId="20250C55" w14:textId="49571DC7" w:rsidR="00732A4A" w:rsidRDefault="00732A4A">
        <w:pPr>
          <w:pStyle w:val="Fuzeile"/>
          <w:jc w:val="right"/>
        </w:pPr>
        <w:r>
          <w:fldChar w:fldCharType="begin"/>
        </w:r>
        <w:r>
          <w:instrText>PAGE   \* MERGEFORMAT</w:instrText>
        </w:r>
        <w:r>
          <w:fldChar w:fldCharType="separate"/>
        </w:r>
        <w:r>
          <w:t>2</w:t>
        </w:r>
        <w:r>
          <w:fldChar w:fldCharType="end"/>
        </w:r>
      </w:p>
    </w:sdtContent>
  </w:sdt>
  <w:p w14:paraId="3C6C8AE3" w14:textId="77777777" w:rsidR="00732A4A" w:rsidRDefault="00732A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C91D8" w14:textId="77777777" w:rsidR="004D458C" w:rsidRDefault="004D458C" w:rsidP="00732A4A">
      <w:pPr>
        <w:spacing w:after="0" w:line="240" w:lineRule="auto"/>
      </w:pPr>
      <w:r>
        <w:separator/>
      </w:r>
    </w:p>
  </w:footnote>
  <w:footnote w:type="continuationSeparator" w:id="0">
    <w:p w14:paraId="0C946B89" w14:textId="77777777" w:rsidR="004D458C" w:rsidRDefault="004D458C" w:rsidP="00732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5E6"/>
    <w:multiLevelType w:val="hybridMultilevel"/>
    <w:tmpl w:val="508A25EC"/>
    <w:lvl w:ilvl="0" w:tplc="531CD98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2714BA"/>
    <w:multiLevelType w:val="hybridMultilevel"/>
    <w:tmpl w:val="5D3A0B3C"/>
    <w:lvl w:ilvl="0" w:tplc="03BED2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543E36"/>
    <w:multiLevelType w:val="hybridMultilevel"/>
    <w:tmpl w:val="B25E3792"/>
    <w:lvl w:ilvl="0" w:tplc="F53A782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581185"/>
    <w:multiLevelType w:val="multilevel"/>
    <w:tmpl w:val="C46C08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7835BF1"/>
    <w:multiLevelType w:val="hybridMultilevel"/>
    <w:tmpl w:val="D8941F78"/>
    <w:lvl w:ilvl="0" w:tplc="853A9348">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77003593">
    <w:abstractNumId w:val="0"/>
  </w:num>
  <w:num w:numId="2" w16cid:durableId="1432316731">
    <w:abstractNumId w:val="2"/>
  </w:num>
  <w:num w:numId="3" w16cid:durableId="1718625200">
    <w:abstractNumId w:val="4"/>
  </w:num>
  <w:num w:numId="4" w16cid:durableId="777525334">
    <w:abstractNumId w:val="3"/>
  </w:num>
  <w:num w:numId="5" w16cid:durableId="1985892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512"/>
    <w:rsid w:val="000038BE"/>
    <w:rsid w:val="00005962"/>
    <w:rsid w:val="00016D27"/>
    <w:rsid w:val="000216BC"/>
    <w:rsid w:val="00043F87"/>
    <w:rsid w:val="00045D99"/>
    <w:rsid w:val="0007153B"/>
    <w:rsid w:val="000764A2"/>
    <w:rsid w:val="00091E36"/>
    <w:rsid w:val="00094431"/>
    <w:rsid w:val="000A3693"/>
    <w:rsid w:val="000C4276"/>
    <w:rsid w:val="000D25A8"/>
    <w:rsid w:val="000D7D97"/>
    <w:rsid w:val="00106EE8"/>
    <w:rsid w:val="0014411A"/>
    <w:rsid w:val="00156825"/>
    <w:rsid w:val="00157AE1"/>
    <w:rsid w:val="00157AF7"/>
    <w:rsid w:val="00164A6E"/>
    <w:rsid w:val="0019611A"/>
    <w:rsid w:val="001B1433"/>
    <w:rsid w:val="001B7F99"/>
    <w:rsid w:val="001C648A"/>
    <w:rsid w:val="001D2822"/>
    <w:rsid w:val="001E0644"/>
    <w:rsid w:val="00226E87"/>
    <w:rsid w:val="002331C5"/>
    <w:rsid w:val="00235F10"/>
    <w:rsid w:val="00252D3A"/>
    <w:rsid w:val="00260926"/>
    <w:rsid w:val="002613BC"/>
    <w:rsid w:val="00277428"/>
    <w:rsid w:val="002910F6"/>
    <w:rsid w:val="002B0D71"/>
    <w:rsid w:val="002C4D0F"/>
    <w:rsid w:val="002E100D"/>
    <w:rsid w:val="002F6ACF"/>
    <w:rsid w:val="00303804"/>
    <w:rsid w:val="00314231"/>
    <w:rsid w:val="0032121D"/>
    <w:rsid w:val="00321507"/>
    <w:rsid w:val="00356403"/>
    <w:rsid w:val="00361F66"/>
    <w:rsid w:val="003C0FDF"/>
    <w:rsid w:val="003F3A70"/>
    <w:rsid w:val="004174D5"/>
    <w:rsid w:val="004424F5"/>
    <w:rsid w:val="00455DD8"/>
    <w:rsid w:val="004654FF"/>
    <w:rsid w:val="0047028F"/>
    <w:rsid w:val="004777EB"/>
    <w:rsid w:val="00497F00"/>
    <w:rsid w:val="004C69B6"/>
    <w:rsid w:val="004D3531"/>
    <w:rsid w:val="004D458C"/>
    <w:rsid w:val="004E32C1"/>
    <w:rsid w:val="005206BE"/>
    <w:rsid w:val="00534FAD"/>
    <w:rsid w:val="0055384F"/>
    <w:rsid w:val="005822B7"/>
    <w:rsid w:val="0058721A"/>
    <w:rsid w:val="00591CF2"/>
    <w:rsid w:val="005D34D8"/>
    <w:rsid w:val="005D73D0"/>
    <w:rsid w:val="006129CE"/>
    <w:rsid w:val="00636488"/>
    <w:rsid w:val="006439E1"/>
    <w:rsid w:val="00656AF8"/>
    <w:rsid w:val="006622BC"/>
    <w:rsid w:val="00664710"/>
    <w:rsid w:val="006A00E6"/>
    <w:rsid w:val="006B1F3E"/>
    <w:rsid w:val="006E59F5"/>
    <w:rsid w:val="006E614F"/>
    <w:rsid w:val="006F05AD"/>
    <w:rsid w:val="00732A4A"/>
    <w:rsid w:val="0074458E"/>
    <w:rsid w:val="0075560E"/>
    <w:rsid w:val="007603D5"/>
    <w:rsid w:val="0076603F"/>
    <w:rsid w:val="00773238"/>
    <w:rsid w:val="0078412E"/>
    <w:rsid w:val="007D6855"/>
    <w:rsid w:val="007E746F"/>
    <w:rsid w:val="00821B8D"/>
    <w:rsid w:val="00832C46"/>
    <w:rsid w:val="00834A39"/>
    <w:rsid w:val="008416E2"/>
    <w:rsid w:val="008B632A"/>
    <w:rsid w:val="00907E9C"/>
    <w:rsid w:val="00925A2C"/>
    <w:rsid w:val="00932711"/>
    <w:rsid w:val="00943470"/>
    <w:rsid w:val="00956A21"/>
    <w:rsid w:val="00991CBB"/>
    <w:rsid w:val="00A01BC0"/>
    <w:rsid w:val="00A026DB"/>
    <w:rsid w:val="00A034A4"/>
    <w:rsid w:val="00A042A9"/>
    <w:rsid w:val="00A11AC4"/>
    <w:rsid w:val="00A33D81"/>
    <w:rsid w:val="00A60B01"/>
    <w:rsid w:val="00A62D35"/>
    <w:rsid w:val="00A90484"/>
    <w:rsid w:val="00AA0040"/>
    <w:rsid w:val="00AD528C"/>
    <w:rsid w:val="00AD789C"/>
    <w:rsid w:val="00AF61F9"/>
    <w:rsid w:val="00B0021F"/>
    <w:rsid w:val="00B22922"/>
    <w:rsid w:val="00B46186"/>
    <w:rsid w:val="00B56577"/>
    <w:rsid w:val="00B63382"/>
    <w:rsid w:val="00B7045B"/>
    <w:rsid w:val="00B7223F"/>
    <w:rsid w:val="00B72436"/>
    <w:rsid w:val="00B87478"/>
    <w:rsid w:val="00B968A3"/>
    <w:rsid w:val="00B971EF"/>
    <w:rsid w:val="00BB235B"/>
    <w:rsid w:val="00BB325E"/>
    <w:rsid w:val="00C47F71"/>
    <w:rsid w:val="00C55245"/>
    <w:rsid w:val="00C6227A"/>
    <w:rsid w:val="00C70512"/>
    <w:rsid w:val="00C712FF"/>
    <w:rsid w:val="00C7386D"/>
    <w:rsid w:val="00C9176E"/>
    <w:rsid w:val="00CA738E"/>
    <w:rsid w:val="00CE75E3"/>
    <w:rsid w:val="00D24FB9"/>
    <w:rsid w:val="00D46925"/>
    <w:rsid w:val="00D55C85"/>
    <w:rsid w:val="00D6147B"/>
    <w:rsid w:val="00D7104E"/>
    <w:rsid w:val="00D770B8"/>
    <w:rsid w:val="00D9059A"/>
    <w:rsid w:val="00DB5C64"/>
    <w:rsid w:val="00DD3742"/>
    <w:rsid w:val="00DD4F20"/>
    <w:rsid w:val="00DE036F"/>
    <w:rsid w:val="00DF2E41"/>
    <w:rsid w:val="00DF3C17"/>
    <w:rsid w:val="00E01B64"/>
    <w:rsid w:val="00E13BF8"/>
    <w:rsid w:val="00E36930"/>
    <w:rsid w:val="00E4586D"/>
    <w:rsid w:val="00E57615"/>
    <w:rsid w:val="00E8339B"/>
    <w:rsid w:val="00EA41ED"/>
    <w:rsid w:val="00EB3C5B"/>
    <w:rsid w:val="00ED2F47"/>
    <w:rsid w:val="00ED765F"/>
    <w:rsid w:val="00EF66F4"/>
    <w:rsid w:val="00F15889"/>
    <w:rsid w:val="00F31C48"/>
    <w:rsid w:val="00F879AD"/>
    <w:rsid w:val="00FB3DC3"/>
    <w:rsid w:val="00FB53A4"/>
    <w:rsid w:val="00FE5738"/>
    <w:rsid w:val="00FF360C"/>
    <w:rsid w:val="00FF3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49772"/>
  <w15:chartTrackingRefBased/>
  <w15:docId w15:val="{BDC9208D-73F5-4B77-9329-2E9D92AE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wtze">
    <w:name w:val="hwtze"/>
    <w:basedOn w:val="Absatz-Standardschriftart"/>
    <w:rsid w:val="00F879AD"/>
  </w:style>
  <w:style w:type="character" w:customStyle="1" w:styleId="rynqvb">
    <w:name w:val="rynqvb"/>
    <w:basedOn w:val="Absatz-Standardschriftart"/>
    <w:rsid w:val="00F879AD"/>
  </w:style>
  <w:style w:type="character" w:styleId="Platzhaltertext">
    <w:name w:val="Placeholder Text"/>
    <w:basedOn w:val="Absatz-Standardschriftart"/>
    <w:uiPriority w:val="99"/>
    <w:semiHidden/>
    <w:rsid w:val="00EA41ED"/>
    <w:rPr>
      <w:color w:val="808080"/>
    </w:rPr>
  </w:style>
  <w:style w:type="paragraph" w:styleId="Kopfzeile">
    <w:name w:val="header"/>
    <w:basedOn w:val="Standard"/>
    <w:link w:val="KopfzeileZchn"/>
    <w:uiPriority w:val="99"/>
    <w:unhideWhenUsed/>
    <w:rsid w:val="00732A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A4A"/>
  </w:style>
  <w:style w:type="paragraph" w:styleId="Fuzeile">
    <w:name w:val="footer"/>
    <w:basedOn w:val="Standard"/>
    <w:link w:val="FuzeileZchn"/>
    <w:uiPriority w:val="99"/>
    <w:unhideWhenUsed/>
    <w:rsid w:val="00732A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A4A"/>
  </w:style>
  <w:style w:type="paragraph" w:styleId="Listenabsatz">
    <w:name w:val="List Paragraph"/>
    <w:basedOn w:val="Standard"/>
    <w:uiPriority w:val="34"/>
    <w:qFormat/>
    <w:rsid w:val="00B56577"/>
    <w:pPr>
      <w:ind w:left="720"/>
      <w:contextualSpacing/>
    </w:pPr>
  </w:style>
  <w:style w:type="character" w:styleId="Hyperlink">
    <w:name w:val="Hyperlink"/>
    <w:basedOn w:val="Absatz-Standardschriftart"/>
    <w:uiPriority w:val="99"/>
    <w:unhideWhenUsed/>
    <w:rsid w:val="00D55C85"/>
    <w:rPr>
      <w:color w:val="0563C1" w:themeColor="hyperlink"/>
      <w:u w:val="single"/>
    </w:rPr>
  </w:style>
  <w:style w:type="character" w:styleId="NichtaufgelsteErwhnung">
    <w:name w:val="Unresolved Mention"/>
    <w:basedOn w:val="Absatz-Standardschriftart"/>
    <w:uiPriority w:val="99"/>
    <w:semiHidden/>
    <w:unhideWhenUsed/>
    <w:rsid w:val="00D55C85"/>
    <w:rPr>
      <w:color w:val="605E5C"/>
      <w:shd w:val="clear" w:color="auto" w:fill="E1DFDD"/>
    </w:rPr>
  </w:style>
  <w:style w:type="character" w:styleId="Kommentarzeichen">
    <w:name w:val="annotation reference"/>
    <w:basedOn w:val="Absatz-Standardschriftart"/>
    <w:uiPriority w:val="99"/>
    <w:semiHidden/>
    <w:unhideWhenUsed/>
    <w:rsid w:val="00B63382"/>
    <w:rPr>
      <w:sz w:val="16"/>
      <w:szCs w:val="16"/>
    </w:rPr>
  </w:style>
  <w:style w:type="paragraph" w:styleId="Kommentartext">
    <w:name w:val="annotation text"/>
    <w:basedOn w:val="Standard"/>
    <w:link w:val="KommentartextZchn"/>
    <w:uiPriority w:val="99"/>
    <w:unhideWhenUsed/>
    <w:rsid w:val="00B63382"/>
    <w:pPr>
      <w:spacing w:line="240" w:lineRule="auto"/>
    </w:pPr>
    <w:rPr>
      <w:sz w:val="20"/>
      <w:szCs w:val="20"/>
    </w:rPr>
  </w:style>
  <w:style w:type="character" w:customStyle="1" w:styleId="KommentartextZchn">
    <w:name w:val="Kommentartext Zchn"/>
    <w:basedOn w:val="Absatz-Standardschriftart"/>
    <w:link w:val="Kommentartext"/>
    <w:uiPriority w:val="99"/>
    <w:rsid w:val="00B63382"/>
    <w:rPr>
      <w:sz w:val="20"/>
      <w:szCs w:val="20"/>
    </w:rPr>
  </w:style>
  <w:style w:type="paragraph" w:styleId="Kommentarthema">
    <w:name w:val="annotation subject"/>
    <w:basedOn w:val="Kommentartext"/>
    <w:next w:val="Kommentartext"/>
    <w:link w:val="KommentarthemaZchn"/>
    <w:uiPriority w:val="99"/>
    <w:semiHidden/>
    <w:unhideWhenUsed/>
    <w:rsid w:val="00B63382"/>
    <w:rPr>
      <w:b/>
      <w:bCs/>
    </w:rPr>
  </w:style>
  <w:style w:type="character" w:customStyle="1" w:styleId="KommentarthemaZchn">
    <w:name w:val="Kommentarthema Zchn"/>
    <w:basedOn w:val="KommentartextZchn"/>
    <w:link w:val="Kommentarthema"/>
    <w:uiPriority w:val="99"/>
    <w:semiHidden/>
    <w:rsid w:val="00B633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2636">
      <w:bodyDiv w:val="1"/>
      <w:marLeft w:val="0"/>
      <w:marRight w:val="0"/>
      <w:marTop w:val="0"/>
      <w:marBottom w:val="0"/>
      <w:divBdr>
        <w:top w:val="none" w:sz="0" w:space="0" w:color="auto"/>
        <w:left w:val="none" w:sz="0" w:space="0" w:color="auto"/>
        <w:bottom w:val="none" w:sz="0" w:space="0" w:color="auto"/>
        <w:right w:val="none" w:sz="0" w:space="0" w:color="auto"/>
      </w:divBdr>
    </w:div>
    <w:div w:id="386220418">
      <w:bodyDiv w:val="1"/>
      <w:marLeft w:val="0"/>
      <w:marRight w:val="0"/>
      <w:marTop w:val="0"/>
      <w:marBottom w:val="0"/>
      <w:divBdr>
        <w:top w:val="none" w:sz="0" w:space="0" w:color="auto"/>
        <w:left w:val="none" w:sz="0" w:space="0" w:color="auto"/>
        <w:bottom w:val="none" w:sz="0" w:space="0" w:color="auto"/>
        <w:right w:val="none" w:sz="0" w:space="0" w:color="auto"/>
      </w:divBdr>
    </w:div>
    <w:div w:id="1133979475">
      <w:bodyDiv w:val="1"/>
      <w:marLeft w:val="0"/>
      <w:marRight w:val="0"/>
      <w:marTop w:val="0"/>
      <w:marBottom w:val="0"/>
      <w:divBdr>
        <w:top w:val="none" w:sz="0" w:space="0" w:color="auto"/>
        <w:left w:val="none" w:sz="0" w:space="0" w:color="auto"/>
        <w:bottom w:val="none" w:sz="0" w:space="0" w:color="auto"/>
        <w:right w:val="none" w:sz="0" w:space="0" w:color="auto"/>
      </w:divBdr>
      <w:divsChild>
        <w:div w:id="609819071">
          <w:marLeft w:val="0"/>
          <w:marRight w:val="0"/>
          <w:marTop w:val="0"/>
          <w:marBottom w:val="0"/>
          <w:divBdr>
            <w:top w:val="none" w:sz="0" w:space="0" w:color="auto"/>
            <w:left w:val="none" w:sz="0" w:space="0" w:color="auto"/>
            <w:bottom w:val="none" w:sz="0" w:space="0" w:color="auto"/>
            <w:right w:val="none" w:sz="0" w:space="0" w:color="auto"/>
          </w:divBdr>
        </w:div>
      </w:divsChild>
    </w:div>
    <w:div w:id="1745302296">
      <w:bodyDiv w:val="1"/>
      <w:marLeft w:val="0"/>
      <w:marRight w:val="0"/>
      <w:marTop w:val="0"/>
      <w:marBottom w:val="0"/>
      <w:divBdr>
        <w:top w:val="none" w:sz="0" w:space="0" w:color="auto"/>
        <w:left w:val="none" w:sz="0" w:space="0" w:color="auto"/>
        <w:bottom w:val="none" w:sz="0" w:space="0" w:color="auto"/>
        <w:right w:val="none" w:sz="0" w:space="0" w:color="auto"/>
      </w:divBdr>
      <w:divsChild>
        <w:div w:id="1071123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cb.europa.eu/pub/financial-stability/fsr/special/html/ecb.fsrart202111_02~33910adb15.en.html" TargetMode="External"/><Relationship Id="rId18" Type="http://schemas.openxmlformats.org/officeDocument/2006/relationships/hyperlink" Target="https://www.bundesbank.de/resource/blob/897188/faa1c85badf347f8ad5b6593588f1eca/mL/2022-09-ertragslage-data.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cb.europa.eu/pub/financial-stability/fsr/html/ecb.fsr202111~8b0aebc817.en.html" TargetMode="External"/><Relationship Id="rId17" Type="http://schemas.openxmlformats.org/officeDocument/2006/relationships/hyperlink" Target="https://www.bvr.de/p.nsf/0/F0F8A6D1636D3A1CC1257D0A00540564/$file/Entwicklung%20der%20Banken%20seit%201970_SB.pdf" TargetMode="External"/><Relationship Id="rId2" Type="http://schemas.openxmlformats.org/officeDocument/2006/relationships/numbering" Target="numbering.xml"/><Relationship Id="rId16" Type="http://schemas.openxmlformats.org/officeDocument/2006/relationships/hyperlink" Target="Https://doi.org/10.1057/s41261-021-00170-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287/mnsc.2015.2245" TargetMode="External"/><Relationship Id="rId5" Type="http://schemas.openxmlformats.org/officeDocument/2006/relationships/webSettings" Target="webSettings.xml"/><Relationship Id="rId15" Type="http://schemas.openxmlformats.org/officeDocument/2006/relationships/hyperlink" Target="https://doi.org/10.1111/j.1370-4788.2005.00287.x" TargetMode="External"/><Relationship Id="rId10" Type="http://schemas.openxmlformats.org/officeDocument/2006/relationships/hyperlink" Target="https://doi.org/10.1111/j.1468-0475.2008.00432.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doi.org/10.1111/j.1468-0475.2008.00432.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8D6E7-0C8E-4C80-BC91-1A5C7525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2461</Words>
  <Characters>15511</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Birte Reichel</dc:creator>
  <cp:keywords/>
  <dc:description/>
  <cp:lastModifiedBy>Birte Reichel</cp:lastModifiedBy>
  <cp:revision>2</cp:revision>
  <dcterms:created xsi:type="dcterms:W3CDTF">2023-03-01T19:28:00Z</dcterms:created>
  <dcterms:modified xsi:type="dcterms:W3CDTF">2023-03-01T19:28:00Z</dcterms:modified>
</cp:coreProperties>
</file>