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4EE" w:rsidRPr="007F1F3A" w:rsidRDefault="00E904EE" w:rsidP="00E904EE">
      <w:pPr>
        <w:spacing w:line="240" w:lineRule="auto"/>
        <w:jc w:val="center"/>
        <w:rPr>
          <w:b/>
          <w:szCs w:val="24"/>
        </w:rPr>
      </w:pPr>
      <w:r>
        <w:rPr>
          <w:b/>
          <w:bCs/>
          <w:sz w:val="36"/>
          <w:szCs w:val="36"/>
        </w:rPr>
        <w:t xml:space="preserve">Recession and Post-Recession Efficiency and </w:t>
      </w:r>
      <w:r w:rsidRPr="007F1F3A">
        <w:rPr>
          <w:b/>
          <w:bCs/>
          <w:sz w:val="36"/>
          <w:szCs w:val="36"/>
        </w:rPr>
        <w:t>Productivit</w:t>
      </w:r>
      <w:r>
        <w:rPr>
          <w:b/>
          <w:bCs/>
          <w:sz w:val="36"/>
          <w:szCs w:val="36"/>
        </w:rPr>
        <w:t xml:space="preserve">y Changes in </w:t>
      </w:r>
      <w:r w:rsidRPr="007F1F3A">
        <w:rPr>
          <w:b/>
          <w:bCs/>
          <w:sz w:val="36"/>
          <w:szCs w:val="36"/>
        </w:rPr>
        <w:t xml:space="preserve">United States </w:t>
      </w:r>
      <w:r>
        <w:rPr>
          <w:b/>
          <w:bCs/>
          <w:sz w:val="36"/>
          <w:szCs w:val="36"/>
        </w:rPr>
        <w:t xml:space="preserve">Public </w:t>
      </w:r>
      <w:r w:rsidRPr="007F1F3A">
        <w:rPr>
          <w:b/>
          <w:bCs/>
          <w:sz w:val="36"/>
          <w:szCs w:val="36"/>
        </w:rPr>
        <w:t>Universities</w:t>
      </w:r>
      <w:r>
        <w:rPr>
          <w:b/>
          <w:bCs/>
          <w:sz w:val="36"/>
          <w:szCs w:val="36"/>
        </w:rPr>
        <w:t>: The Good, Bad, and Ugly</w:t>
      </w:r>
    </w:p>
    <w:p w:rsidR="00E904EE" w:rsidRDefault="00E904EE" w:rsidP="00E904EE">
      <w:pPr>
        <w:rPr>
          <w:szCs w:val="24"/>
        </w:rPr>
      </w:pPr>
    </w:p>
    <w:p w:rsidR="00E904EE" w:rsidRPr="000F5F58" w:rsidRDefault="00E904EE" w:rsidP="00E904EE">
      <w:pPr>
        <w:widowControl/>
        <w:autoSpaceDE w:val="0"/>
        <w:autoSpaceDN w:val="0"/>
        <w:spacing w:line="240" w:lineRule="auto"/>
        <w:jc w:val="center"/>
        <w:textAlignment w:val="bottom"/>
        <w:rPr>
          <w:b/>
          <w:color w:val="000000"/>
          <w:sz w:val="26"/>
          <w:szCs w:val="26"/>
        </w:rPr>
      </w:pPr>
      <w:r w:rsidRPr="000F5F58">
        <w:rPr>
          <w:b/>
          <w:color w:val="000000"/>
          <w:sz w:val="26"/>
          <w:szCs w:val="26"/>
        </w:rPr>
        <w:t>Abstract</w:t>
      </w:r>
    </w:p>
    <w:p w:rsidR="00E904EE" w:rsidRDefault="00E904EE" w:rsidP="00E904EE">
      <w:pPr>
        <w:widowControl/>
        <w:autoSpaceDE w:val="0"/>
        <w:autoSpaceDN w:val="0"/>
        <w:spacing w:line="240" w:lineRule="auto"/>
        <w:jc w:val="center"/>
        <w:textAlignment w:val="bottom"/>
        <w:rPr>
          <w:b/>
          <w:color w:val="000000"/>
          <w:szCs w:val="24"/>
        </w:rPr>
      </w:pPr>
    </w:p>
    <w:p w:rsidR="00E904EE" w:rsidRDefault="00E904EE" w:rsidP="00E904EE">
      <w:pPr>
        <w:spacing w:line="360" w:lineRule="auto"/>
        <w:rPr>
          <w:color w:val="000000"/>
          <w:szCs w:val="24"/>
        </w:rPr>
      </w:pPr>
      <w:r w:rsidRPr="00CD517C">
        <w:rPr>
          <w:color w:val="000000"/>
          <w:szCs w:val="24"/>
        </w:rPr>
        <w:t xml:space="preserve">This paper </w:t>
      </w:r>
      <w:r>
        <w:rPr>
          <w:color w:val="000000"/>
          <w:szCs w:val="24"/>
        </w:rPr>
        <w:t xml:space="preserve">employs </w:t>
      </w:r>
      <w:r w:rsidRPr="00CD517C">
        <w:rPr>
          <w:color w:val="000000"/>
          <w:szCs w:val="24"/>
        </w:rPr>
        <w:t xml:space="preserve">data envelopment analysis to investigate the extent to which </w:t>
      </w:r>
      <w:r>
        <w:rPr>
          <w:color w:val="000000"/>
          <w:szCs w:val="24"/>
        </w:rPr>
        <w:t xml:space="preserve">publicly owned, operated, and managed </w:t>
      </w:r>
      <w:r w:rsidRPr="00CD517C">
        <w:rPr>
          <w:color w:val="000000"/>
          <w:szCs w:val="24"/>
        </w:rPr>
        <w:t xml:space="preserve">universities in the United States have undergone </w:t>
      </w:r>
      <w:r>
        <w:rPr>
          <w:color w:val="000000"/>
          <w:szCs w:val="24"/>
        </w:rPr>
        <w:t xml:space="preserve">efficiency and </w:t>
      </w:r>
      <w:r w:rsidRPr="00CD517C">
        <w:rPr>
          <w:color w:val="000000"/>
          <w:szCs w:val="24"/>
        </w:rPr>
        <w:t>productivity changes</w:t>
      </w:r>
      <w:r>
        <w:rPr>
          <w:color w:val="000000"/>
          <w:szCs w:val="24"/>
        </w:rPr>
        <w:t xml:space="preserve"> in response to the financial crisis that induced the Great Recession and how post-recessionary conditions have altered those changes</w:t>
      </w:r>
      <w:r w:rsidRPr="00CD517C">
        <w:rPr>
          <w:color w:val="000000"/>
          <w:szCs w:val="24"/>
        </w:rPr>
        <w:t>.</w:t>
      </w:r>
      <w:r>
        <w:rPr>
          <w:color w:val="000000"/>
          <w:szCs w:val="24"/>
        </w:rPr>
        <w:t xml:space="preserve"> The paper revisits an earlier study of like kind that used panel data covering the 2005-2008 academic years but could not, obviously, capture the dynamic changes of the 2007-2009 recession or the lingering post-recessionary financial and enrollment effects imposed on public universities. The present paper offers many improvements over that previous study by extending the panel data to 250 as compared to 133 universities and the academic years to evaluate efficiency and productivity to 2004-2013. Results indicate that university efficiency and productivity gains arose somewhat earlier during the recession than previous estimated but the significant improvements were in lagged response and arising in the 2010 and 2011 academic years. Post-recession results, however, show a bleaker picture with significant efficiency and productivity regress in both the 2012 and 2013 academic years. Without exception, productivity gains can be attributed to technological improvements with university managerial gains being of lesser value. Yet, the recent productivity declines do not bode well for the future implications of U.S. public universities, especially given the post-recessionary pressures on all publicly funded institutions to increase productivity.</w:t>
      </w:r>
    </w:p>
    <w:p w:rsidR="00E904EE" w:rsidRDefault="00E904EE" w:rsidP="00E904EE">
      <w:pPr>
        <w:spacing w:line="360" w:lineRule="auto"/>
        <w:rPr>
          <w:color w:val="000000"/>
          <w:szCs w:val="24"/>
        </w:rPr>
      </w:pPr>
    </w:p>
    <w:p w:rsidR="00E904EE" w:rsidRDefault="00E904EE" w:rsidP="00E904EE">
      <w:pPr>
        <w:spacing w:line="240" w:lineRule="auto"/>
        <w:rPr>
          <w:color w:val="000000"/>
          <w:szCs w:val="24"/>
        </w:rPr>
      </w:pPr>
    </w:p>
    <w:p w:rsidR="00E904EE" w:rsidRPr="007C434A" w:rsidRDefault="00E904EE" w:rsidP="00E904EE">
      <w:pPr>
        <w:spacing w:line="360" w:lineRule="auto"/>
        <w:ind w:left="1" w:hanging="1"/>
        <w:rPr>
          <w:color w:val="000000"/>
          <w:szCs w:val="24"/>
        </w:rPr>
      </w:pPr>
      <w:r w:rsidRPr="007C434A">
        <w:rPr>
          <w:b/>
          <w:color w:val="000000"/>
          <w:szCs w:val="24"/>
        </w:rPr>
        <w:t>JEL classification numbers:</w:t>
      </w:r>
      <w:r w:rsidRPr="007C434A">
        <w:rPr>
          <w:color w:val="000000"/>
          <w:szCs w:val="24"/>
        </w:rPr>
        <w:t xml:space="preserve"> </w:t>
      </w:r>
      <w:r w:rsidRPr="00220C13">
        <w:rPr>
          <w:szCs w:val="24"/>
        </w:rPr>
        <w:t>I21, I22, I23, L3, C</w:t>
      </w:r>
      <w:r>
        <w:rPr>
          <w:szCs w:val="24"/>
        </w:rPr>
        <w:t>6</w:t>
      </w:r>
    </w:p>
    <w:p w:rsidR="00E904EE" w:rsidRDefault="00E904EE" w:rsidP="00E904EE">
      <w:pPr>
        <w:spacing w:line="360" w:lineRule="auto"/>
        <w:ind w:left="1" w:hanging="1"/>
        <w:rPr>
          <w:szCs w:val="24"/>
        </w:rPr>
      </w:pPr>
      <w:r w:rsidRPr="00A31F3C">
        <w:rPr>
          <w:b/>
          <w:color w:val="000000"/>
          <w:szCs w:val="24"/>
        </w:rPr>
        <w:t xml:space="preserve">Keywords: </w:t>
      </w:r>
      <w:r>
        <w:rPr>
          <w:szCs w:val="24"/>
        </w:rPr>
        <w:t>Data Envelopment, P</w:t>
      </w:r>
      <w:r w:rsidRPr="00220C13">
        <w:rPr>
          <w:szCs w:val="24"/>
        </w:rPr>
        <w:t>roductivity, Efficiency, Manage,</w:t>
      </w:r>
      <w:r>
        <w:rPr>
          <w:szCs w:val="24"/>
        </w:rPr>
        <w:t xml:space="preserve"> </w:t>
      </w:r>
      <w:r w:rsidRPr="00220C13">
        <w:rPr>
          <w:szCs w:val="24"/>
        </w:rPr>
        <w:t>Universiti</w:t>
      </w:r>
      <w:r>
        <w:rPr>
          <w:szCs w:val="24"/>
        </w:rPr>
        <w:t>es</w:t>
      </w:r>
    </w:p>
    <w:p w:rsidR="00E904EE" w:rsidRDefault="00E904EE" w:rsidP="00E904EE">
      <w:pPr>
        <w:spacing w:line="360" w:lineRule="auto"/>
        <w:ind w:left="1" w:hanging="1"/>
        <w:rPr>
          <w:b/>
          <w:color w:val="000000"/>
          <w:szCs w:val="24"/>
        </w:rPr>
      </w:pPr>
    </w:p>
    <w:p w:rsidR="00E904EE" w:rsidRDefault="00E904EE" w:rsidP="00E904EE">
      <w:pPr>
        <w:spacing w:line="360" w:lineRule="auto"/>
        <w:ind w:left="1" w:hanging="1"/>
        <w:rPr>
          <w:b/>
          <w:color w:val="000000"/>
          <w:szCs w:val="24"/>
        </w:rPr>
      </w:pPr>
    </w:p>
    <w:p w:rsidR="00E904EE" w:rsidRDefault="00E904EE" w:rsidP="00E904EE">
      <w:pPr>
        <w:spacing w:line="360" w:lineRule="auto"/>
        <w:ind w:left="1" w:hanging="1"/>
        <w:rPr>
          <w:b/>
          <w:color w:val="000000"/>
          <w:szCs w:val="24"/>
        </w:rPr>
      </w:pPr>
    </w:p>
    <w:p w:rsidR="00E904EE" w:rsidRPr="00A31F3C" w:rsidRDefault="00E904EE" w:rsidP="00E904EE">
      <w:pPr>
        <w:spacing w:line="360" w:lineRule="auto"/>
        <w:ind w:left="1" w:hanging="1"/>
        <w:rPr>
          <w:b/>
          <w:color w:val="000000"/>
          <w:szCs w:val="24"/>
        </w:rPr>
      </w:pPr>
    </w:p>
    <w:p w:rsidR="00E904EE" w:rsidRPr="00E904EE" w:rsidRDefault="00E904EE" w:rsidP="007F1F3A">
      <w:pPr>
        <w:spacing w:line="240" w:lineRule="auto"/>
        <w:jc w:val="center"/>
        <w:rPr>
          <w:b/>
          <w:bCs/>
          <w:szCs w:val="24"/>
        </w:rPr>
      </w:pPr>
    </w:p>
    <w:p w:rsidR="005251C7" w:rsidRPr="007F1F3A" w:rsidRDefault="007F1F3A" w:rsidP="007F1F3A">
      <w:pPr>
        <w:spacing w:line="240" w:lineRule="auto"/>
        <w:jc w:val="center"/>
        <w:rPr>
          <w:b/>
          <w:szCs w:val="24"/>
        </w:rPr>
      </w:pPr>
      <w:r>
        <w:rPr>
          <w:b/>
          <w:bCs/>
          <w:sz w:val="36"/>
          <w:szCs w:val="36"/>
        </w:rPr>
        <w:lastRenderedPageBreak/>
        <w:t>Recession and Post-Recession Efficienc</w:t>
      </w:r>
      <w:r w:rsidR="00AC74EE">
        <w:rPr>
          <w:b/>
          <w:bCs/>
          <w:sz w:val="36"/>
          <w:szCs w:val="36"/>
        </w:rPr>
        <w:t>y</w:t>
      </w:r>
      <w:r>
        <w:rPr>
          <w:b/>
          <w:bCs/>
          <w:sz w:val="36"/>
          <w:szCs w:val="36"/>
        </w:rPr>
        <w:t xml:space="preserve"> and </w:t>
      </w:r>
      <w:r w:rsidRPr="007F1F3A">
        <w:rPr>
          <w:b/>
          <w:bCs/>
          <w:sz w:val="36"/>
          <w:szCs w:val="36"/>
        </w:rPr>
        <w:t>Productivit</w:t>
      </w:r>
      <w:r w:rsidR="00AC74EE">
        <w:rPr>
          <w:b/>
          <w:bCs/>
          <w:sz w:val="36"/>
          <w:szCs w:val="36"/>
        </w:rPr>
        <w:t>y Changes in</w:t>
      </w:r>
      <w:r>
        <w:rPr>
          <w:b/>
          <w:bCs/>
          <w:sz w:val="36"/>
          <w:szCs w:val="36"/>
        </w:rPr>
        <w:t xml:space="preserve"> </w:t>
      </w:r>
      <w:r w:rsidRPr="007F1F3A">
        <w:rPr>
          <w:b/>
          <w:bCs/>
          <w:sz w:val="36"/>
          <w:szCs w:val="36"/>
        </w:rPr>
        <w:t xml:space="preserve">United States </w:t>
      </w:r>
      <w:r>
        <w:rPr>
          <w:b/>
          <w:bCs/>
          <w:sz w:val="36"/>
          <w:szCs w:val="36"/>
        </w:rPr>
        <w:t xml:space="preserve">Public </w:t>
      </w:r>
      <w:r w:rsidRPr="007F1F3A">
        <w:rPr>
          <w:b/>
          <w:bCs/>
          <w:sz w:val="36"/>
          <w:szCs w:val="36"/>
        </w:rPr>
        <w:t>Universities</w:t>
      </w:r>
      <w:r w:rsidR="00422396">
        <w:rPr>
          <w:b/>
          <w:bCs/>
          <w:sz w:val="36"/>
          <w:szCs w:val="36"/>
        </w:rPr>
        <w:t>: The Good, Bad, and Ugly</w:t>
      </w:r>
    </w:p>
    <w:p w:rsidR="007F1F3A" w:rsidRDefault="007F1F3A" w:rsidP="0020165D">
      <w:pPr>
        <w:spacing w:line="360" w:lineRule="auto"/>
        <w:rPr>
          <w:b/>
          <w:sz w:val="30"/>
          <w:szCs w:val="30"/>
        </w:rPr>
      </w:pPr>
    </w:p>
    <w:p w:rsidR="009A41E1" w:rsidRDefault="009A41E1" w:rsidP="0020165D">
      <w:pPr>
        <w:spacing w:line="360" w:lineRule="auto"/>
        <w:rPr>
          <w:b/>
          <w:sz w:val="30"/>
          <w:szCs w:val="30"/>
        </w:rPr>
      </w:pPr>
    </w:p>
    <w:p w:rsidR="0020165D" w:rsidRDefault="0020165D" w:rsidP="0020165D">
      <w:pPr>
        <w:spacing w:line="360" w:lineRule="auto"/>
        <w:rPr>
          <w:b/>
          <w:sz w:val="30"/>
          <w:szCs w:val="30"/>
        </w:rPr>
      </w:pPr>
      <w:r w:rsidRPr="000574E9">
        <w:rPr>
          <w:b/>
          <w:sz w:val="30"/>
          <w:szCs w:val="30"/>
        </w:rPr>
        <w:t xml:space="preserve">1  </w:t>
      </w:r>
      <w:r>
        <w:rPr>
          <w:b/>
          <w:sz w:val="30"/>
          <w:szCs w:val="30"/>
        </w:rPr>
        <w:t>Introduction</w:t>
      </w:r>
    </w:p>
    <w:p w:rsidR="0020165D" w:rsidRPr="000C1AD3" w:rsidRDefault="0020165D" w:rsidP="0020165D">
      <w:pPr>
        <w:spacing w:line="240" w:lineRule="auto"/>
        <w:rPr>
          <w:b/>
          <w:sz w:val="28"/>
          <w:szCs w:val="28"/>
        </w:rPr>
      </w:pPr>
    </w:p>
    <w:p w:rsidR="0016153B" w:rsidRDefault="0038066B" w:rsidP="0020165D">
      <w:pPr>
        <w:pStyle w:val="Default"/>
        <w:spacing w:line="360" w:lineRule="auto"/>
        <w:ind w:firstLine="482"/>
      </w:pPr>
      <w:r>
        <w:t>The financial crisis t</w:t>
      </w:r>
      <w:r w:rsidR="00542D0E">
        <w:t xml:space="preserve">hat induced the Great Recession began to transform publicly provided higher education in the United States. Being funded by state governments that subsequently ran large deficits as a result </w:t>
      </w:r>
      <w:r w:rsidR="00E8511B">
        <w:t>of</w:t>
      </w:r>
      <w:r w:rsidR="00542D0E">
        <w:t xml:space="preserve"> the crisis, public univ</w:t>
      </w:r>
      <w:r w:rsidR="00676146">
        <w:t xml:space="preserve">ersities </w:t>
      </w:r>
      <w:r w:rsidR="00AC479E">
        <w:t xml:space="preserve">became </w:t>
      </w:r>
      <w:r w:rsidR="00676146">
        <w:t>the subject of budget cutting priorities. Although the recession officially dates from December 2007 to June 2009, state funding financial support for public universities in the U.S. declined from an average of 32% of university operating revenues in the 2008 academic year to 23% by the 2013 academic year</w:t>
      </w:r>
      <w:r w:rsidR="00CA3DAE">
        <w:t xml:space="preserve"> [GAO, 2014]</w:t>
      </w:r>
      <w:r w:rsidR="00676146">
        <w:t xml:space="preserve">. </w:t>
      </w:r>
      <w:r w:rsidR="0000778D">
        <w:t>Being an anti-cyclical industry, increases in the unemployment rates created cumulative increases in publ</w:t>
      </w:r>
      <w:r w:rsidR="00AC479E">
        <w:t xml:space="preserve">ic higher education enrollments. Enrollments </w:t>
      </w:r>
      <w:r w:rsidR="0000778D">
        <w:t>increase</w:t>
      </w:r>
      <w:r w:rsidR="00AC479E">
        <w:t>d</w:t>
      </w:r>
      <w:r w:rsidR="0000778D">
        <w:t xml:space="preserve"> 13% from 2007 to 2010</w:t>
      </w:r>
      <w:r w:rsidR="009A41E1">
        <w:t xml:space="preserve"> [</w:t>
      </w:r>
      <w:r w:rsidR="0016153B">
        <w:t>NCES</w:t>
      </w:r>
      <w:r w:rsidR="009A41E1">
        <w:t>, 2013].</w:t>
      </w:r>
      <w:r w:rsidR="0000778D">
        <w:t xml:space="preserve"> </w:t>
      </w:r>
      <w:r w:rsidR="00E8511B">
        <w:t>E</w:t>
      </w:r>
      <w:r w:rsidR="0000778D">
        <w:t>conomy wide improvements in economic</w:t>
      </w:r>
      <w:r w:rsidR="00E8511B">
        <w:t xml:space="preserve"> </w:t>
      </w:r>
      <w:r w:rsidR="0000778D">
        <w:t>conditions</w:t>
      </w:r>
      <w:r w:rsidR="00E8511B">
        <w:t>,</w:t>
      </w:r>
      <w:r w:rsidR="0000778D">
        <w:t xml:space="preserve"> accompanied by declining unemployment rates, </w:t>
      </w:r>
      <w:r w:rsidR="00E8511B">
        <w:t xml:space="preserve">created </w:t>
      </w:r>
      <w:r w:rsidR="0000778D">
        <w:t xml:space="preserve">enrollment </w:t>
      </w:r>
      <w:r w:rsidR="00E8511B">
        <w:t xml:space="preserve">decreases </w:t>
      </w:r>
      <w:r w:rsidR="0000778D">
        <w:t>in each of the subsequent academic years 2011 through 2013.</w:t>
      </w:r>
      <w:r w:rsidR="00E109DF">
        <w:t xml:space="preserve"> </w:t>
      </w:r>
      <w:r w:rsidR="00AC479E">
        <w:t>During the</w:t>
      </w:r>
      <w:r w:rsidR="00E109DF">
        <w:t xml:space="preserve"> funding cuts and increasing enrollments, university administrations were adjusting employment and capital acquisition decisions</w:t>
      </w:r>
      <w:r w:rsidR="0016153B">
        <w:t xml:space="preserve">, e.g., as cost cutting measures, increasing the number of part faculty relative to full time faculty (NCES, 2014). </w:t>
      </w:r>
    </w:p>
    <w:p w:rsidR="0038066B" w:rsidRDefault="00CF476C" w:rsidP="0020165D">
      <w:pPr>
        <w:pStyle w:val="Default"/>
        <w:spacing w:line="360" w:lineRule="auto"/>
        <w:ind w:firstLine="482"/>
      </w:pPr>
      <w:r>
        <w:t>The roller</w:t>
      </w:r>
      <w:r w:rsidR="00E109DF">
        <w:t xml:space="preserve"> </w:t>
      </w:r>
      <w:r>
        <w:t>coaster ride through these dynamic changes raises question</w:t>
      </w:r>
      <w:r w:rsidR="00AC479E">
        <w:t>s</w:t>
      </w:r>
      <w:r>
        <w:t xml:space="preserve"> </w:t>
      </w:r>
      <w:r w:rsidR="00AC479E">
        <w:t>regarding the impact that such</w:t>
      </w:r>
      <w:r w:rsidR="00D96CAD">
        <w:t xml:space="preserve"> </w:t>
      </w:r>
      <w:r>
        <w:t>changes</w:t>
      </w:r>
      <w:r w:rsidR="00D96CAD">
        <w:t xml:space="preserve"> impose </w:t>
      </w:r>
      <w:r w:rsidR="00AC479E">
        <w:t xml:space="preserve">on the </w:t>
      </w:r>
      <w:r w:rsidR="00DC2B73">
        <w:t xml:space="preserve">operating </w:t>
      </w:r>
      <w:r w:rsidR="00D96CAD">
        <w:t>efficiencies and productivit</w:t>
      </w:r>
      <w:r w:rsidR="00E8511B">
        <w:t>ies</w:t>
      </w:r>
      <w:r w:rsidR="00D96CAD">
        <w:t xml:space="preserve"> of public</w:t>
      </w:r>
      <w:r w:rsidR="00E8511B">
        <w:t>ly</w:t>
      </w:r>
      <w:r w:rsidR="00D96CAD">
        <w:t xml:space="preserve"> owned, financed, and </w:t>
      </w:r>
      <w:r w:rsidR="00DC2B73">
        <w:t xml:space="preserve">managed </w:t>
      </w:r>
      <w:r w:rsidR="00D96CAD">
        <w:t>universities.</w:t>
      </w:r>
      <w:r w:rsidR="00DC2B73">
        <w:t xml:space="preserve"> That question was, in part, addressed in an earlier work of this </w:t>
      </w:r>
      <w:r w:rsidR="00AC479E">
        <w:t>journal</w:t>
      </w:r>
      <w:r w:rsidR="00E8511B">
        <w:t xml:space="preserve"> by</w:t>
      </w:r>
      <w:r w:rsidR="00DC2B73">
        <w:t xml:space="preserve"> Sav [2012].</w:t>
      </w:r>
      <w:r w:rsidR="005A2E0F">
        <w:t xml:space="preserve"> Using data envelopment analysis (DEA) and </w:t>
      </w:r>
      <w:r w:rsidR="005A2E0F" w:rsidRPr="00CD517C">
        <w:t>Malmquist</w:t>
      </w:r>
      <w:r w:rsidR="005A2E0F">
        <w:t xml:space="preserve"> indexes, that study found that </w:t>
      </w:r>
      <w:r w:rsidR="005A2E0F" w:rsidRPr="00220C13">
        <w:t xml:space="preserve">U.S. </w:t>
      </w:r>
      <w:r w:rsidR="00421EEC">
        <w:t xml:space="preserve">public </w:t>
      </w:r>
      <w:r w:rsidR="005A2E0F">
        <w:t xml:space="preserve">university </w:t>
      </w:r>
      <w:r w:rsidR="005A2E0F" w:rsidRPr="00220C13">
        <w:t xml:space="preserve">productivity </w:t>
      </w:r>
      <w:r w:rsidR="00E75398">
        <w:t xml:space="preserve">regressed </w:t>
      </w:r>
      <w:r w:rsidR="005A2E0F" w:rsidRPr="00220C13">
        <w:t xml:space="preserve">beginning in 2006 </w:t>
      </w:r>
      <w:r w:rsidR="005A2E0F">
        <w:t>but showed some</w:t>
      </w:r>
      <w:r w:rsidR="0016153B">
        <w:t xml:space="preserve"> signs of </w:t>
      </w:r>
      <w:r w:rsidR="005A2E0F">
        <w:t>productiv</w:t>
      </w:r>
      <w:r w:rsidR="00E75398">
        <w:t>ity gain on the order of 1.5% in the 2008 academic year, with the latter potentially</w:t>
      </w:r>
      <w:r w:rsidR="0016153B">
        <w:t xml:space="preserve"> being </w:t>
      </w:r>
      <w:r w:rsidR="00E75398">
        <w:t xml:space="preserve">attributed to </w:t>
      </w:r>
      <w:r w:rsidR="0016153B">
        <w:t xml:space="preserve">managerial </w:t>
      </w:r>
      <w:r w:rsidR="00E75398">
        <w:t>responses</w:t>
      </w:r>
      <w:r w:rsidR="00AC479E">
        <w:t xml:space="preserve"> </w:t>
      </w:r>
      <w:r w:rsidR="00E75398">
        <w:t xml:space="preserve">to the </w:t>
      </w:r>
      <w:r w:rsidR="0016153B">
        <w:t>imposed effects of the recession</w:t>
      </w:r>
      <w:r w:rsidR="00E75398">
        <w:t>.</w:t>
      </w:r>
      <w:r w:rsidR="00421EEC">
        <w:t xml:space="preserve"> However, that study was based on academic years 2005 to 2008 and, therefore, could not acc</w:t>
      </w:r>
      <w:r w:rsidR="00A73395">
        <w:t>ount for the full recession</w:t>
      </w:r>
      <w:r w:rsidR="00E8511B">
        <w:t>ary or</w:t>
      </w:r>
      <w:r w:rsidR="00A73395">
        <w:t xml:space="preserve"> lingering post-recessionary effects on the efficiency and productivity of universities.</w:t>
      </w:r>
      <w:r w:rsidR="009E5687">
        <w:t xml:space="preserve"> Thus, with that limited data, additional question</w:t>
      </w:r>
      <w:r w:rsidR="00DC45B5">
        <w:t>s</w:t>
      </w:r>
      <w:r w:rsidR="009E5687">
        <w:t xml:space="preserve"> arise as to whether o</w:t>
      </w:r>
      <w:r w:rsidR="00AC479E">
        <w:t>r</w:t>
      </w:r>
      <w:r w:rsidR="009E5687">
        <w:t xml:space="preserve"> not that </w:t>
      </w:r>
      <w:r w:rsidR="00E25E63">
        <w:t>potential</w:t>
      </w:r>
      <w:r w:rsidR="009E5687">
        <w:t xml:space="preserve"> efficiency and productivity gain was real and, more importantly, sustainable given the </w:t>
      </w:r>
      <w:r w:rsidR="009E5687">
        <w:lastRenderedPageBreak/>
        <w:t>dynamic</w:t>
      </w:r>
      <w:r w:rsidR="002B31D5">
        <w:t xml:space="preserve">s of </w:t>
      </w:r>
      <w:r w:rsidR="009E5687">
        <w:t>funding and enrollment changes that occurred during and following the great recession.</w:t>
      </w:r>
      <w:r>
        <w:t xml:space="preserve">  </w:t>
      </w:r>
    </w:p>
    <w:p w:rsidR="000E15F0" w:rsidRDefault="00DC45B5" w:rsidP="0020165D">
      <w:pPr>
        <w:pStyle w:val="Default"/>
        <w:spacing w:line="360" w:lineRule="auto"/>
        <w:ind w:firstLine="482"/>
      </w:pPr>
      <w:r>
        <w:t xml:space="preserve">Therein lies the purpose of the present paper. It revisits the previous work of Sav [2012] but substantially improves upon it with a more comprehensive ability to capture the full impacts of both recessionary and post-recessionary </w:t>
      </w:r>
      <w:r w:rsidR="00616F1E">
        <w:t>effects on university efficiencies and productivities.</w:t>
      </w:r>
      <w:r w:rsidR="008E0935">
        <w:t xml:space="preserve"> </w:t>
      </w:r>
      <w:r w:rsidR="000F7A9F">
        <w:t xml:space="preserve">With changes in data availability, the present study encompasses 10 academic years, 2004 through 2013, of public university production. </w:t>
      </w:r>
      <w:r w:rsidR="00553222">
        <w:t xml:space="preserve">That </w:t>
      </w:r>
      <w:r w:rsidR="000F7A9F">
        <w:t>is i</w:t>
      </w:r>
      <w:r w:rsidR="008E0935">
        <w:t>n contrast to the previous work that was constrained to 4 years</w:t>
      </w:r>
      <w:r w:rsidR="000F7A9F">
        <w:t xml:space="preserve">, </w:t>
      </w:r>
      <w:r w:rsidR="008E0935">
        <w:t>2005-2008</w:t>
      </w:r>
      <w:r w:rsidR="000F7A9F">
        <w:t>.</w:t>
      </w:r>
      <w:r w:rsidR="00553222">
        <w:t xml:space="preserve"> </w:t>
      </w:r>
      <w:r w:rsidR="006A607A">
        <w:t>A</w:t>
      </w:r>
      <w:r w:rsidR="000B5992">
        <w:t xml:space="preserve">dding the </w:t>
      </w:r>
      <w:r w:rsidR="006A607A">
        <w:t xml:space="preserve">earlier </w:t>
      </w:r>
      <w:r w:rsidR="000B5992">
        <w:t xml:space="preserve">2004 academic year </w:t>
      </w:r>
      <w:r w:rsidR="006A607A">
        <w:t xml:space="preserve">improves the ability to </w:t>
      </w:r>
      <w:r w:rsidR="000B5992">
        <w:t>capture</w:t>
      </w:r>
      <w:r w:rsidR="00E25E63">
        <w:t xml:space="preserve">, for comparative purposes, </w:t>
      </w:r>
      <w:r w:rsidR="000B5992">
        <w:t>the pre-recessionary efficiencies and productivities</w:t>
      </w:r>
      <w:r w:rsidR="00F86BB6">
        <w:t xml:space="preserve">. The extension to 2013, of course, is, in part, necessary to produce results that include the recessionary effects but also lends itself to </w:t>
      </w:r>
      <w:r w:rsidR="00E25E63">
        <w:t xml:space="preserve">need to evaluate and understand the </w:t>
      </w:r>
      <w:r w:rsidR="00F86BB6">
        <w:t>post-recessionary university adjustments and subsequent implications for efficiency and productivity changes.</w:t>
      </w:r>
      <w:r w:rsidR="000B5992">
        <w:t xml:space="preserve"> </w:t>
      </w:r>
      <w:r w:rsidR="00553222">
        <w:t xml:space="preserve">Additional improvements come forth with the ability to include observations on 250 universities as opposed </w:t>
      </w:r>
      <w:r w:rsidR="006A607A">
        <w:t xml:space="preserve">to </w:t>
      </w:r>
      <w:r w:rsidR="00553222">
        <w:t>the previous study’s 133 universities; an 88% increase.</w:t>
      </w:r>
      <w:r w:rsidR="008E0935">
        <w:t xml:space="preserve"> </w:t>
      </w:r>
      <w:r w:rsidR="000E15F0">
        <w:t>To make comparisons as constructive as possible, the same DEA and Malmquist methodologies are employed for estimating university efficiency and productivity changes.</w:t>
      </w:r>
      <w:r w:rsidR="00366736">
        <w:t xml:space="preserve"> </w:t>
      </w:r>
      <w:r w:rsidR="006A607A">
        <w:t>While u</w:t>
      </w:r>
      <w:r w:rsidR="00366736">
        <w:t>sing the same</w:t>
      </w:r>
      <w:r w:rsidR="000E15F0" w:rsidRPr="000E15F0">
        <w:t xml:space="preserve"> </w:t>
      </w:r>
      <w:r w:rsidR="000E15F0" w:rsidRPr="00220C13">
        <w:t xml:space="preserve">output-oriented </w:t>
      </w:r>
      <w:r w:rsidR="00366736">
        <w:t xml:space="preserve">approach, changes in data availability allow an expansion of university outputs to four in comparison </w:t>
      </w:r>
      <w:r w:rsidR="006A607A">
        <w:t>to</w:t>
      </w:r>
      <w:r w:rsidR="00366736">
        <w:t xml:space="preserve"> the three included in the earlier work. The same </w:t>
      </w:r>
      <w:r w:rsidR="00E25E63">
        <w:t xml:space="preserve">data </w:t>
      </w:r>
      <w:r w:rsidR="00366736">
        <w:t>availability changes, however, necessitated some modifications to the inclusion of university inputs. Thus, with the extension of years, expansion of observations, and changes in data availability, it cannot, as is usually the case, be expected to produce results that are precisely comparable</w:t>
      </w:r>
      <w:r w:rsidR="008B3F6B">
        <w:t xml:space="preserve">. </w:t>
      </w:r>
      <w:r w:rsidR="006A607A">
        <w:t>Yet</w:t>
      </w:r>
      <w:r w:rsidR="008B3F6B">
        <w:t xml:space="preserve">, the </w:t>
      </w:r>
      <w:r w:rsidR="006A607A">
        <w:t xml:space="preserve">overall </w:t>
      </w:r>
      <w:r w:rsidR="008B3F6B">
        <w:t>improvements and changes prove to be fruitful in producing results that lead to a richer understanding of changes in university efficiencies and productivities during a period of dynamic changes</w:t>
      </w:r>
      <w:r w:rsidR="006A607A">
        <w:t xml:space="preserve"> imposed on U.S. public universities</w:t>
      </w:r>
      <w:r w:rsidR="008B3F6B">
        <w:t xml:space="preserve">. </w:t>
      </w:r>
      <w:r w:rsidR="00366736">
        <w:t xml:space="preserve"> </w:t>
      </w:r>
    </w:p>
    <w:p w:rsidR="0020165D" w:rsidRDefault="00E624BD" w:rsidP="004D2F63">
      <w:pPr>
        <w:pStyle w:val="Default"/>
        <w:spacing w:line="360" w:lineRule="auto"/>
        <w:ind w:firstLine="482"/>
      </w:pPr>
      <w:r>
        <w:t xml:space="preserve">The earlier work by Sav [2012] appears to be the first study applying DEA analysis in a panel data framework to U.S. universities. </w:t>
      </w:r>
      <w:r w:rsidR="0020165D" w:rsidRPr="00220C13">
        <w:t xml:space="preserve">A literature search </w:t>
      </w:r>
      <w:r>
        <w:t xml:space="preserve">conducted for the present study </w:t>
      </w:r>
      <w:r w:rsidR="0020165D" w:rsidRPr="00220C13">
        <w:t xml:space="preserve">suggests that </w:t>
      </w:r>
      <w:r>
        <w:t>no comparable</w:t>
      </w:r>
      <w:r w:rsidR="0020165D" w:rsidRPr="00220C13">
        <w:t xml:space="preserve"> research </w:t>
      </w:r>
      <w:r>
        <w:t>has since been forthcoming. Thus, for the present paper, a summary of</w:t>
      </w:r>
      <w:r w:rsidR="00BB73A0">
        <w:t xml:space="preserve"> </w:t>
      </w:r>
      <w:r>
        <w:t>the pre</w:t>
      </w:r>
      <w:r w:rsidR="004D2F63">
        <w:t>-</w:t>
      </w:r>
      <w:r>
        <w:t>2012</w:t>
      </w:r>
      <w:r w:rsidR="00BB73A0">
        <w:t xml:space="preserve"> </w:t>
      </w:r>
      <w:r>
        <w:t>work appears unnecessary</w:t>
      </w:r>
      <w:r w:rsidR="00DD2ACE">
        <w:t>:</w:t>
      </w:r>
      <w:r w:rsidR="00BB73A0">
        <w:t xml:space="preserve"> </w:t>
      </w:r>
      <w:r w:rsidR="00DD2ACE">
        <w:t>a</w:t>
      </w:r>
      <w:r w:rsidR="004D2F63">
        <w:t xml:space="preserve">n extensive </w:t>
      </w:r>
      <w:r w:rsidR="00DD2ACE">
        <w:t xml:space="preserve">literature </w:t>
      </w:r>
      <w:r w:rsidR="004D2F63">
        <w:t xml:space="preserve">review </w:t>
      </w:r>
      <w:r w:rsidR="00E25E63">
        <w:t xml:space="preserve">and accompanied references are </w:t>
      </w:r>
      <w:r w:rsidR="004D2F63">
        <w:t>provided in Sav’s</w:t>
      </w:r>
      <w:r w:rsidR="006A607A">
        <w:t xml:space="preserve">  </w:t>
      </w:r>
      <w:r w:rsidR="004D2F63">
        <w:t>[2012) study. Given that, the next section of this paper begins with a recounting of the methodology and is followed by an explanation of the data, results, and concluding remarks.</w:t>
      </w:r>
    </w:p>
    <w:p w:rsidR="00E2327D" w:rsidRDefault="00E2327D" w:rsidP="004D2F63">
      <w:pPr>
        <w:pStyle w:val="Default"/>
        <w:spacing w:line="360" w:lineRule="auto"/>
        <w:ind w:firstLine="482"/>
      </w:pPr>
    </w:p>
    <w:p w:rsidR="00E2327D" w:rsidRDefault="00E2327D" w:rsidP="00E2327D">
      <w:pPr>
        <w:spacing w:line="360" w:lineRule="auto"/>
        <w:rPr>
          <w:b/>
          <w:sz w:val="30"/>
          <w:szCs w:val="30"/>
        </w:rPr>
      </w:pPr>
      <w:proofErr w:type="gramStart"/>
      <w:r>
        <w:rPr>
          <w:b/>
          <w:sz w:val="30"/>
          <w:szCs w:val="30"/>
        </w:rPr>
        <w:lastRenderedPageBreak/>
        <w:t>2</w:t>
      </w:r>
      <w:r w:rsidRPr="000574E9">
        <w:rPr>
          <w:b/>
          <w:sz w:val="30"/>
          <w:szCs w:val="30"/>
        </w:rPr>
        <w:t xml:space="preserve">  M</w:t>
      </w:r>
      <w:r>
        <w:rPr>
          <w:b/>
          <w:sz w:val="30"/>
          <w:szCs w:val="30"/>
        </w:rPr>
        <w:t>ethodology</w:t>
      </w:r>
      <w:proofErr w:type="gramEnd"/>
      <w:r w:rsidRPr="000574E9">
        <w:rPr>
          <w:b/>
          <w:sz w:val="30"/>
          <w:szCs w:val="30"/>
        </w:rPr>
        <w:t xml:space="preserve"> </w:t>
      </w:r>
    </w:p>
    <w:p w:rsidR="00E2327D" w:rsidRPr="000C1AD3" w:rsidRDefault="00E2327D" w:rsidP="00E2327D">
      <w:pPr>
        <w:spacing w:line="240" w:lineRule="auto"/>
        <w:rPr>
          <w:b/>
          <w:sz w:val="28"/>
          <w:szCs w:val="28"/>
        </w:rPr>
      </w:pPr>
    </w:p>
    <w:p w:rsidR="00E2327D" w:rsidRDefault="00E2327D" w:rsidP="00E2327D">
      <w:pPr>
        <w:spacing w:line="360" w:lineRule="auto"/>
        <w:ind w:firstLine="482"/>
      </w:pPr>
      <w:r>
        <w:rPr>
          <w:szCs w:val="24"/>
        </w:rPr>
        <w:t>For consistency, the DEA methodology follows that employed by Sav [2012]. To summarize, the efficiency of multiproduct universities is measured as</w:t>
      </w:r>
      <w:r>
        <w:tab/>
      </w:r>
      <w:r w:rsidRPr="003261B9">
        <w:rPr>
          <w:position w:val="-4"/>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4" o:title=""/>
          </v:shape>
          <o:OLEObject Type="Embed" ProgID="Equation.DSMT4" ShapeID="_x0000_i1025" DrawAspect="Content" ObjectID="_1514901053" r:id="rId5"/>
        </w:object>
      </w:r>
      <w:r>
        <w:tab/>
        <w:t xml:space="preserve"> </w:t>
      </w:r>
    </w:p>
    <w:p w:rsidR="00E2327D" w:rsidRPr="003261B9" w:rsidRDefault="00E2327D" w:rsidP="00E2327D">
      <w:pPr>
        <w:spacing w:line="360" w:lineRule="auto"/>
        <w:ind w:firstLine="482"/>
        <w:jc w:val="right"/>
        <w:rPr>
          <w:szCs w:val="24"/>
        </w:rPr>
      </w:pPr>
      <w:r w:rsidRPr="00A33FDB">
        <w:rPr>
          <w:position w:val="-28"/>
          <w:sz w:val="20"/>
        </w:rPr>
        <w:object w:dxaOrig="1880" w:dyaOrig="680">
          <v:shape id="_x0000_i1026" type="#_x0000_t75" style="width:93.75pt;height:33.75pt" o:ole="">
            <v:imagedata r:id="rId6" o:title=""/>
          </v:shape>
          <o:OLEObject Type="Embed" ProgID="Equation.DSMT4" ShapeID="_x0000_i1026" DrawAspect="Content" ObjectID="_1514901054" r:id="rId7"/>
        </w:object>
      </w:r>
      <w:r w:rsidRPr="00220C13">
        <w:t xml:space="preserve"> </w:t>
      </w:r>
      <w:r>
        <w:tab/>
      </w:r>
      <w:r>
        <w:tab/>
      </w:r>
      <w:r>
        <w:tab/>
      </w:r>
      <w:r>
        <w:tab/>
      </w:r>
      <w:r>
        <w:tab/>
      </w:r>
      <w:r>
        <w:tab/>
      </w:r>
      <w:r>
        <w:tab/>
      </w:r>
      <w:r>
        <w:tab/>
      </w:r>
      <w:r w:rsidRPr="00220C13">
        <w:rPr>
          <w:szCs w:val="24"/>
        </w:rPr>
        <w:t xml:space="preserve">(1)  </w:t>
      </w:r>
    </w:p>
    <w:p w:rsidR="00E2327D" w:rsidRDefault="00E2327D" w:rsidP="00E2327D">
      <w:pPr>
        <w:pStyle w:val="Default"/>
        <w:spacing w:line="360" w:lineRule="auto"/>
        <w:rPr>
          <w:iCs/>
        </w:rPr>
      </w:pPr>
      <w:r w:rsidRPr="00220C13">
        <w:t xml:space="preserve">where the </w:t>
      </w:r>
      <w:r w:rsidRPr="00220C13">
        <w:rPr>
          <w:i/>
          <w:iCs/>
        </w:rPr>
        <w:t>y</w:t>
      </w:r>
      <w:r w:rsidRPr="000D601F">
        <w:rPr>
          <w:i/>
          <w:iCs/>
          <w:vertAlign w:val="subscript"/>
        </w:rPr>
        <w:t>r</w:t>
      </w:r>
      <w:r w:rsidRPr="00220C13">
        <w:t xml:space="preserve"> outputs, </w:t>
      </w:r>
      <w:r w:rsidRPr="00220C13">
        <w:rPr>
          <w:i/>
          <w:iCs/>
        </w:rPr>
        <w:t>r</w:t>
      </w:r>
      <w:r w:rsidRPr="00220C13">
        <w:t>=1, … ,</w:t>
      </w:r>
      <w:r>
        <w:t xml:space="preserve"> </w:t>
      </w:r>
      <w:r w:rsidRPr="00220C13">
        <w:rPr>
          <w:i/>
          <w:iCs/>
        </w:rPr>
        <w:t>s</w:t>
      </w:r>
      <w:r w:rsidRPr="00220C13">
        <w:t xml:space="preserve">, and </w:t>
      </w:r>
      <w:r w:rsidRPr="00220C13">
        <w:rPr>
          <w:i/>
          <w:iCs/>
        </w:rPr>
        <w:t>x</w:t>
      </w:r>
      <w:r w:rsidRPr="000D601F">
        <w:rPr>
          <w:i/>
          <w:iCs/>
          <w:vertAlign w:val="subscript"/>
        </w:rPr>
        <w:t>i</w:t>
      </w:r>
      <w:r>
        <w:t xml:space="preserve"> inputs, </w:t>
      </w:r>
      <w:r w:rsidRPr="00220C13">
        <w:rPr>
          <w:i/>
          <w:iCs/>
        </w:rPr>
        <w:t>i</w:t>
      </w:r>
      <w:r w:rsidRPr="00220C13">
        <w:t xml:space="preserve">=1, … , </w:t>
      </w:r>
      <w:r w:rsidRPr="00220C13">
        <w:rPr>
          <w:i/>
          <w:iCs/>
        </w:rPr>
        <w:t>m</w:t>
      </w:r>
      <w:r>
        <w:t xml:space="preserve">,  pertain to a university as </w:t>
      </w:r>
      <w:r w:rsidRPr="00220C13">
        <w:t>denoted by the “</w:t>
      </w:r>
      <w:r w:rsidRPr="00220C13">
        <w:rPr>
          <w:i/>
          <w:iCs/>
        </w:rPr>
        <w:t>o</w:t>
      </w:r>
      <w:r w:rsidRPr="00220C13">
        <w:t>” subscript</w:t>
      </w:r>
      <w:r>
        <w:t>, while the</w:t>
      </w:r>
      <w:r w:rsidRPr="00220C13">
        <w:t xml:space="preserve"> relative importance</w:t>
      </w:r>
      <w:r w:rsidR="003321E8">
        <w:t xml:space="preserve"> of</w:t>
      </w:r>
      <w:r w:rsidRPr="00220C13">
        <w:t xml:space="preserve"> output</w:t>
      </w:r>
      <w:r>
        <w:t>s</w:t>
      </w:r>
      <w:r w:rsidRPr="00220C13">
        <w:t xml:space="preserve"> and input</w:t>
      </w:r>
      <w:r>
        <w:t>s are defined by</w:t>
      </w:r>
      <w:r w:rsidRPr="00220C13">
        <w:t xml:space="preserve"> </w:t>
      </w:r>
      <w:r w:rsidRPr="00220C13">
        <w:rPr>
          <w:i/>
          <w:iCs/>
        </w:rPr>
        <w:t>u</w:t>
      </w:r>
      <w:r w:rsidRPr="00220C13">
        <w:t xml:space="preserve"> and </w:t>
      </w:r>
      <w:r w:rsidRPr="00220C13">
        <w:rPr>
          <w:i/>
          <w:iCs/>
        </w:rPr>
        <w:t>v</w:t>
      </w:r>
      <w:r w:rsidRPr="001F611C">
        <w:rPr>
          <w:iCs/>
        </w:rPr>
        <w:t xml:space="preserve">, </w:t>
      </w:r>
      <w:r>
        <w:rPr>
          <w:iCs/>
        </w:rPr>
        <w:t>respectively.</w:t>
      </w:r>
    </w:p>
    <w:p w:rsidR="00E2327D" w:rsidRDefault="00E2327D" w:rsidP="00E2327D">
      <w:pPr>
        <w:pStyle w:val="Default"/>
        <w:spacing w:line="360" w:lineRule="auto"/>
        <w:ind w:firstLine="482"/>
      </w:pPr>
      <w:r>
        <w:t xml:space="preserve">The </w:t>
      </w:r>
      <w:r w:rsidRPr="00220C13">
        <w:t>output-oriented envelopment model</w:t>
      </w:r>
      <w:r>
        <w:t xml:space="preserve"> also mirrors that of Agasisti and Johnes [2009] and can be specified as a</w:t>
      </w:r>
      <w:r w:rsidRPr="00220C13">
        <w:t xml:space="preserve"> constant returns to scale technology, CRS, </w:t>
      </w:r>
      <w:r>
        <w:t xml:space="preserve">based on </w:t>
      </w:r>
      <w:r w:rsidRPr="00220C13">
        <w:t xml:space="preserve">Charnes, Cooper, and Rhodes </w:t>
      </w:r>
      <w:r>
        <w:t>[1978] as follows:</w:t>
      </w:r>
    </w:p>
    <w:p w:rsidR="00E2327D" w:rsidRPr="003261B9" w:rsidRDefault="00E2327D" w:rsidP="00E2327D">
      <w:pPr>
        <w:spacing w:line="360" w:lineRule="auto"/>
        <w:ind w:firstLine="482"/>
        <w:jc w:val="right"/>
        <w:rPr>
          <w:szCs w:val="24"/>
        </w:rPr>
      </w:pPr>
      <w:r w:rsidRPr="00A33FDB">
        <w:rPr>
          <w:position w:val="-14"/>
        </w:rPr>
        <w:object w:dxaOrig="1080" w:dyaOrig="380">
          <v:shape id="_x0000_i1027" type="#_x0000_t75" style="width:54.75pt;height:19.5pt" o:ole="">
            <v:imagedata r:id="rId8" o:title=""/>
          </v:shape>
          <o:OLEObject Type="Embed" ProgID="Equation.DSMT4" ShapeID="_x0000_i1027" DrawAspect="Content" ObjectID="_1514901055" r:id="rId9"/>
        </w:object>
      </w:r>
      <w:r>
        <w:tab/>
      </w:r>
      <w:r>
        <w:tab/>
      </w:r>
      <w:r>
        <w:tab/>
      </w:r>
      <w:r>
        <w:tab/>
      </w:r>
      <w:r>
        <w:tab/>
      </w:r>
      <w:r>
        <w:tab/>
      </w:r>
      <w:r>
        <w:tab/>
      </w:r>
      <w:r>
        <w:tab/>
      </w:r>
      <w:r w:rsidRPr="00220C13">
        <w:rPr>
          <w:szCs w:val="24"/>
        </w:rPr>
        <w:t>(</w:t>
      </w:r>
      <w:r>
        <w:rPr>
          <w:szCs w:val="24"/>
        </w:rPr>
        <w:t>2</w:t>
      </w:r>
      <w:r w:rsidRPr="00220C13">
        <w:rPr>
          <w:szCs w:val="24"/>
        </w:rPr>
        <w:t xml:space="preserve">)  </w:t>
      </w:r>
    </w:p>
    <w:p w:rsidR="00E2327D" w:rsidRPr="00220C13" w:rsidRDefault="00E2327D" w:rsidP="00E2327D">
      <w:pPr>
        <w:pStyle w:val="Default"/>
        <w:spacing w:line="360" w:lineRule="auto"/>
      </w:pPr>
      <w:r w:rsidRPr="00220C13">
        <w:t xml:space="preserve">subject to </w:t>
      </w:r>
      <w:r>
        <w:t>the respective output constraint of the real and virtual university and the input constraint</w:t>
      </w:r>
    </w:p>
    <w:p w:rsidR="00E2327D" w:rsidRPr="003261B9" w:rsidRDefault="00E2327D" w:rsidP="00E2327D">
      <w:pPr>
        <w:spacing w:line="360" w:lineRule="auto"/>
        <w:ind w:firstLine="482"/>
        <w:jc w:val="right"/>
        <w:rPr>
          <w:szCs w:val="24"/>
        </w:rPr>
      </w:pPr>
      <w:r w:rsidRPr="00A33FDB">
        <w:rPr>
          <w:position w:val="-30"/>
        </w:rPr>
        <w:object w:dxaOrig="3280" w:dyaOrig="700">
          <v:shape id="_x0000_i1028" type="#_x0000_t75" style="width:164.25pt;height:35.25pt" o:ole="">
            <v:imagedata r:id="rId10" o:title=""/>
          </v:shape>
          <o:OLEObject Type="Embed" ProgID="Equation.DSMT4" ShapeID="_x0000_i1028" DrawAspect="Content" ObjectID="_1514901056" r:id="rId11"/>
        </w:object>
      </w:r>
      <w:r w:rsidRPr="00220C13">
        <w:t xml:space="preserve"> </w:t>
      </w:r>
      <w:r>
        <w:tab/>
      </w:r>
      <w:r>
        <w:tab/>
      </w:r>
      <w:r>
        <w:tab/>
      </w:r>
      <w:r>
        <w:tab/>
      </w:r>
      <w:r>
        <w:tab/>
      </w:r>
      <w:r w:rsidRPr="00220C13">
        <w:rPr>
          <w:szCs w:val="24"/>
        </w:rPr>
        <w:t>(</w:t>
      </w:r>
      <w:r>
        <w:rPr>
          <w:szCs w:val="24"/>
        </w:rPr>
        <w:t>3</w:t>
      </w:r>
      <w:r w:rsidRPr="00220C13">
        <w:rPr>
          <w:szCs w:val="24"/>
        </w:rPr>
        <w:t>)</w:t>
      </w:r>
    </w:p>
    <w:p w:rsidR="00E2327D" w:rsidRPr="003261B9" w:rsidRDefault="00E2327D" w:rsidP="00E2327D">
      <w:pPr>
        <w:spacing w:line="360" w:lineRule="auto"/>
        <w:ind w:firstLine="482"/>
        <w:jc w:val="right"/>
        <w:rPr>
          <w:szCs w:val="24"/>
        </w:rPr>
      </w:pPr>
      <w:r w:rsidRPr="00A33FDB">
        <w:rPr>
          <w:position w:val="-30"/>
        </w:rPr>
        <w:object w:dxaOrig="3379" w:dyaOrig="700">
          <v:shape id="_x0000_i1029" type="#_x0000_t75" style="width:168.75pt;height:35.25pt" o:ole="">
            <v:imagedata r:id="rId12" o:title=""/>
          </v:shape>
          <o:OLEObject Type="Embed" ProgID="Equation.DSMT4" ShapeID="_x0000_i1029" DrawAspect="Content" ObjectID="_1514901057" r:id="rId13"/>
        </w:object>
      </w:r>
      <w:r>
        <w:tab/>
      </w:r>
      <w:r>
        <w:tab/>
      </w:r>
      <w:r>
        <w:tab/>
      </w:r>
      <w:r>
        <w:tab/>
      </w:r>
      <w:r>
        <w:tab/>
      </w:r>
      <w:r w:rsidRPr="00220C13">
        <w:rPr>
          <w:szCs w:val="24"/>
        </w:rPr>
        <w:t>(</w:t>
      </w:r>
      <w:r>
        <w:rPr>
          <w:szCs w:val="24"/>
        </w:rPr>
        <w:t>4</w:t>
      </w:r>
      <w:r w:rsidRPr="00220C13">
        <w:rPr>
          <w:szCs w:val="24"/>
        </w:rPr>
        <w:t xml:space="preserve">)  </w:t>
      </w:r>
    </w:p>
    <w:p w:rsidR="00E2327D" w:rsidRPr="003261B9" w:rsidRDefault="00E2327D" w:rsidP="00E2327D">
      <w:pPr>
        <w:spacing w:line="360" w:lineRule="auto"/>
        <w:ind w:firstLine="482"/>
        <w:jc w:val="right"/>
        <w:rPr>
          <w:szCs w:val="24"/>
        </w:rPr>
      </w:pPr>
      <w:r w:rsidRPr="00A33FDB">
        <w:rPr>
          <w:position w:val="-14"/>
        </w:rPr>
        <w:object w:dxaOrig="3379" w:dyaOrig="380">
          <v:shape id="_x0000_i1030" type="#_x0000_t75" style="width:168.75pt;height:19.5pt" o:ole="">
            <v:imagedata r:id="rId14" o:title=""/>
          </v:shape>
          <o:OLEObject Type="Embed" ProgID="Equation.DSMT4" ShapeID="_x0000_i1030" DrawAspect="Content" ObjectID="_1514901058" r:id="rId15"/>
        </w:object>
      </w:r>
      <w:r>
        <w:tab/>
      </w:r>
      <w:r>
        <w:tab/>
      </w:r>
      <w:r>
        <w:tab/>
      </w:r>
      <w:r>
        <w:tab/>
      </w:r>
      <w:r>
        <w:tab/>
      </w:r>
      <w:r w:rsidRPr="00220C13">
        <w:rPr>
          <w:szCs w:val="24"/>
        </w:rPr>
        <w:t>(</w:t>
      </w:r>
      <w:r>
        <w:rPr>
          <w:szCs w:val="24"/>
        </w:rPr>
        <w:t>5</w:t>
      </w:r>
      <w:r w:rsidRPr="00220C13">
        <w:rPr>
          <w:szCs w:val="24"/>
        </w:rPr>
        <w:t xml:space="preserve">)  </w:t>
      </w:r>
    </w:p>
    <w:p w:rsidR="00E2327D" w:rsidRDefault="00E2327D" w:rsidP="00062160">
      <w:pPr>
        <w:pStyle w:val="Default"/>
        <w:spacing w:line="360" w:lineRule="auto"/>
      </w:pPr>
      <w:r w:rsidRPr="00220C13">
        <w:t>where the λ are constants and 1/</w:t>
      </w:r>
      <w:r w:rsidRPr="00220C13">
        <w:rPr>
          <w:i/>
          <w:iCs/>
        </w:rPr>
        <w:t>ϕ</w:t>
      </w:r>
      <w:r w:rsidRPr="00220C13">
        <w:t xml:space="preserve"> </w:t>
      </w:r>
      <w:r>
        <w:t xml:space="preserve">becomes </w:t>
      </w:r>
      <w:r w:rsidRPr="00220C13">
        <w:t xml:space="preserve">the technical efficiency </w:t>
      </w:r>
      <w:r>
        <w:t>measure for</w:t>
      </w:r>
      <w:r w:rsidRPr="00220C13">
        <w:t xml:space="preserve"> the</w:t>
      </w:r>
      <w:r w:rsidRPr="00220C13">
        <w:rPr>
          <w:i/>
          <w:iCs/>
        </w:rPr>
        <w:t xml:space="preserve"> j</w:t>
      </w:r>
      <w:r w:rsidRPr="00220C13">
        <w:t xml:space="preserve">th university.  </w:t>
      </w:r>
      <w:r>
        <w:t xml:space="preserve">Previous work and that to follow in this paper also provides efficiency measures under </w:t>
      </w:r>
      <w:r w:rsidRPr="00220C13">
        <w:t xml:space="preserve">variable returns to scale, VRS, </w:t>
      </w:r>
      <w:r>
        <w:t xml:space="preserve">whereby the </w:t>
      </w:r>
      <w:r w:rsidRPr="00A33FDB">
        <w:sym w:font="WP Greek Century" w:char="F047"/>
      </w:r>
      <w:r w:rsidRPr="00A33FDB">
        <w:sym w:font="WP Greek Century" w:char="F038"/>
      </w:r>
      <w:r w:rsidRPr="00A33FDB">
        <w:t>=1</w:t>
      </w:r>
      <w:r>
        <w:t xml:space="preserve"> per that of </w:t>
      </w:r>
      <w:r w:rsidRPr="00220C13">
        <w:t xml:space="preserve"> Banker, Charnes, and Cooper </w:t>
      </w:r>
      <w:r>
        <w:t>[</w:t>
      </w:r>
      <w:r w:rsidRPr="00220C13">
        <w:t>1984</w:t>
      </w:r>
      <w:r>
        <w:t>].</w:t>
      </w:r>
      <w:r w:rsidRPr="00220C13">
        <w:t xml:space="preserve"> </w:t>
      </w:r>
      <w:r>
        <w:t>Thus, under both CRS and VRS</w:t>
      </w:r>
      <w:r w:rsidR="003321E8">
        <w:t>,</w:t>
      </w:r>
      <w:r>
        <w:t xml:space="preserve"> </w:t>
      </w:r>
      <w:r w:rsidRPr="00220C13">
        <w:t>a production frontier of both real and virtual universities</w:t>
      </w:r>
      <w:r>
        <w:t xml:space="preserve"> determines how efficient or inefficient a university is based on its distance from the frontier. Universities on the frontier are efficient as measured by an efficiency score=1. Increasing distances from the frontier increase inefficiency and generate lower efficiency scores. Hence, efficiency is bounded by 0</w:t>
      </w:r>
      <w:r>
        <w:rPr>
          <w:rFonts w:ascii="Calibri" w:hAnsi="Calibri"/>
        </w:rPr>
        <w:t>≤</w:t>
      </w:r>
      <w:r>
        <w:t>Efficiency</w:t>
      </w:r>
      <w:r>
        <w:rPr>
          <w:rFonts w:ascii="Calibri" w:hAnsi="Calibri"/>
        </w:rPr>
        <w:t>≤</w:t>
      </w:r>
      <w:r>
        <w:t>1.</w:t>
      </w:r>
      <w:r w:rsidRPr="0098416E">
        <w:t xml:space="preserve"> </w:t>
      </w:r>
      <w:r w:rsidRPr="00220C13">
        <w:t xml:space="preserve">VRS efficiencies are </w:t>
      </w:r>
      <w:r>
        <w:t xml:space="preserve">greater than those of CRS </w:t>
      </w:r>
      <w:r w:rsidRPr="00220C13">
        <w:t>due to the scale inefficienc</w:t>
      </w:r>
      <w:r>
        <w:t xml:space="preserve">ies </w:t>
      </w:r>
      <w:r w:rsidRPr="00220C13">
        <w:t xml:space="preserve">present in the </w:t>
      </w:r>
      <w:r>
        <w:t>latter. Thus, s</w:t>
      </w:r>
      <w:r w:rsidRPr="00220C13">
        <w:t>cale efficienc</w:t>
      </w:r>
      <w:r>
        <w:t xml:space="preserve">ies are </w:t>
      </w:r>
      <w:r w:rsidRPr="00220C13">
        <w:t>the ratio of CRS to VRS efficiencies</w:t>
      </w:r>
      <w:r>
        <w:t>.</w:t>
      </w:r>
    </w:p>
    <w:p w:rsidR="00E2327D" w:rsidRDefault="00E2327D" w:rsidP="00E2327D">
      <w:pPr>
        <w:pStyle w:val="Default"/>
        <w:spacing w:line="360" w:lineRule="auto"/>
        <w:ind w:firstLine="482"/>
      </w:pPr>
      <w:r>
        <w:t xml:space="preserve">With panel data, the </w:t>
      </w:r>
      <w:r w:rsidRPr="00220C13">
        <w:t>Malmquist index (Malmquist, 1953)</w:t>
      </w:r>
      <w:r>
        <w:t xml:space="preserve"> is employed to measure productivity changes among universities over academic years. Using fairly </w:t>
      </w:r>
      <w:r w:rsidR="004D66E8">
        <w:t xml:space="preserve">common </w:t>
      </w:r>
      <w:r>
        <w:t xml:space="preserve">notation </w:t>
      </w:r>
      <w:r w:rsidRPr="00220C13">
        <w:t xml:space="preserve">(e.g., Cooper, et </w:t>
      </w:r>
      <w:r w:rsidRPr="00220C13">
        <w:lastRenderedPageBreak/>
        <w:t xml:space="preserve">al. </w:t>
      </w:r>
      <w:r>
        <w:t>[</w:t>
      </w:r>
      <w:r w:rsidRPr="00220C13">
        <w:t>2004</w:t>
      </w:r>
      <w:r>
        <w:t>]</w:t>
      </w:r>
      <w:r w:rsidR="004D66E8">
        <w:t>),</w:t>
      </w:r>
      <w:r w:rsidRPr="00220C13">
        <w:t xml:space="preserve"> </w:t>
      </w:r>
      <w:r>
        <w:t>t</w:t>
      </w:r>
      <w:r w:rsidRPr="00220C13">
        <w:t>he index</w:t>
      </w:r>
      <w:r>
        <w:t xml:space="preserve"> (</w:t>
      </w:r>
      <w:r w:rsidRPr="00220C13">
        <w:t xml:space="preserve">Fare et al. </w:t>
      </w:r>
      <w:r>
        <w:t>[</w:t>
      </w:r>
      <w:r w:rsidRPr="00220C13">
        <w:t>1994</w:t>
      </w:r>
      <w:r>
        <w:t>]) is based on</w:t>
      </w:r>
      <w:r w:rsidRPr="00220C13">
        <w:t xml:space="preserve"> distance (</w:t>
      </w:r>
      <w:r w:rsidRPr="00220C13">
        <w:rPr>
          <w:i/>
          <w:iCs/>
        </w:rPr>
        <w:t>D</w:t>
      </w:r>
      <w:r w:rsidRPr="00220C13">
        <w:t xml:space="preserve">) functions of productivity in </w:t>
      </w:r>
      <w:r>
        <w:t xml:space="preserve">academic </w:t>
      </w:r>
      <w:r w:rsidRPr="00220C13">
        <w:t xml:space="preserve">year </w:t>
      </w:r>
      <w:r w:rsidRPr="00220C13">
        <w:rPr>
          <w:i/>
          <w:iCs/>
        </w:rPr>
        <w:t>t</w:t>
      </w:r>
      <w:r w:rsidRPr="00220C13">
        <w:t xml:space="preserve">+1 </w:t>
      </w:r>
      <w:r>
        <w:t xml:space="preserve">compared to the previous </w:t>
      </w:r>
      <w:r w:rsidRPr="00220C13">
        <w:t xml:space="preserve">year </w:t>
      </w:r>
      <w:r w:rsidRPr="00220C13">
        <w:rPr>
          <w:i/>
          <w:iCs/>
        </w:rPr>
        <w:t>t</w:t>
      </w:r>
      <w:r w:rsidRPr="00220C13">
        <w:t xml:space="preserve"> as follows:</w:t>
      </w:r>
    </w:p>
    <w:p w:rsidR="00E2327D" w:rsidRDefault="00E2327D" w:rsidP="00E2327D">
      <w:pPr>
        <w:pStyle w:val="Default"/>
        <w:spacing w:line="360" w:lineRule="auto"/>
        <w:ind w:firstLine="482"/>
        <w:jc w:val="center"/>
      </w:pPr>
      <w:r w:rsidRPr="007F5794">
        <w:rPr>
          <w:position w:val="-34"/>
        </w:rPr>
        <w:object w:dxaOrig="6880" w:dyaOrig="940">
          <v:shape id="_x0000_i1031" type="#_x0000_t75" style="width:344.25pt;height:47.25pt" o:ole="">
            <v:imagedata r:id="rId16" o:title=""/>
          </v:shape>
          <o:OLEObject Type="Embed" ProgID="Equation.DSMT4" ShapeID="_x0000_i1031" DrawAspect="Content" ObjectID="_1514901059" r:id="rId17"/>
        </w:object>
      </w:r>
      <w:r>
        <w:tab/>
      </w:r>
      <w:r>
        <w:tab/>
      </w:r>
      <w:r w:rsidRPr="00220C13">
        <w:t>(</w:t>
      </w:r>
      <w:r>
        <w:t>6</w:t>
      </w:r>
      <w:r w:rsidRPr="00220C13">
        <w:t>)</w:t>
      </w:r>
    </w:p>
    <w:p w:rsidR="00E2327D" w:rsidRDefault="00E2327D" w:rsidP="00E2327D">
      <w:pPr>
        <w:pStyle w:val="Default"/>
        <w:spacing w:line="360" w:lineRule="auto"/>
        <w:ind w:firstLine="482"/>
      </w:pPr>
      <w:r w:rsidRPr="00220C13">
        <w:t xml:space="preserve">The first </w:t>
      </w:r>
      <w:r>
        <w:t xml:space="preserve">term captures the </w:t>
      </w:r>
      <w:r w:rsidRPr="00220C13">
        <w:t xml:space="preserve">change in efficiency </w:t>
      </w:r>
      <w:r>
        <w:t xml:space="preserve">from one academic year to the next and </w:t>
      </w:r>
      <w:r w:rsidRPr="00220C13">
        <w:t xml:space="preserve">can additionally be decomposed into a pure technical or management efficiency and scale efficiency.  The second </w:t>
      </w:r>
      <w:r>
        <w:t xml:space="preserve">term accounts for possible shifts </w:t>
      </w:r>
      <w:r w:rsidRPr="00220C13">
        <w:t>in the production frontier</w:t>
      </w:r>
      <w:r>
        <w:t xml:space="preserve"> </w:t>
      </w:r>
      <w:r w:rsidR="003321E8">
        <w:t>by</w:t>
      </w:r>
      <w:r>
        <w:t xml:space="preserve"> using the academic </w:t>
      </w:r>
      <w:r w:rsidRPr="00220C13">
        <w:t xml:space="preserve">year </w:t>
      </w:r>
      <w:r w:rsidRPr="00220C13">
        <w:rPr>
          <w:i/>
          <w:iCs/>
        </w:rPr>
        <w:t>t</w:t>
      </w:r>
      <w:r w:rsidRPr="00220C13">
        <w:t xml:space="preserve">+1 technology </w:t>
      </w:r>
      <w:r>
        <w:t xml:space="preserve">relative to the previous year, </w:t>
      </w:r>
      <w:r w:rsidRPr="00180807">
        <w:rPr>
          <w:i/>
        </w:rPr>
        <w:t>t</w:t>
      </w:r>
      <w:r>
        <w:t>,</w:t>
      </w:r>
      <w:r w:rsidRPr="00180807">
        <w:t xml:space="preserve"> </w:t>
      </w:r>
      <w:r w:rsidRPr="00220C13">
        <w:t>technology</w:t>
      </w:r>
      <w:r w:rsidR="00A974E5">
        <w:t>.</w:t>
      </w:r>
      <w:r>
        <w:t xml:space="preserve"> Productivity increases generate an index </w:t>
      </w:r>
      <w:r w:rsidRPr="00180807">
        <w:rPr>
          <w:i/>
        </w:rPr>
        <w:t>M</w:t>
      </w:r>
      <w:r>
        <w:t>&gt;1</w:t>
      </w:r>
      <w:r w:rsidR="003321E8">
        <w:t>,</w:t>
      </w:r>
      <w:r>
        <w:t xml:space="preserve"> while </w:t>
      </w:r>
      <w:r w:rsidRPr="002A7B7D">
        <w:t>deterioration</w:t>
      </w:r>
      <w:r>
        <w:t xml:space="preserve"> in productivity produces an index </w:t>
      </w:r>
      <w:r w:rsidRPr="002A7B7D">
        <w:rPr>
          <w:i/>
        </w:rPr>
        <w:t>M</w:t>
      </w:r>
      <w:r>
        <w:t>&lt;1.</w:t>
      </w:r>
    </w:p>
    <w:p w:rsidR="00E2327D" w:rsidRDefault="00E2327D" w:rsidP="00E2327D">
      <w:pPr>
        <w:pStyle w:val="Default"/>
        <w:spacing w:line="360" w:lineRule="auto"/>
        <w:ind w:firstLine="482"/>
      </w:pPr>
    </w:p>
    <w:p w:rsidR="00E2327D" w:rsidRPr="00DC5709" w:rsidRDefault="00E2327D" w:rsidP="00E2327D">
      <w:pPr>
        <w:spacing w:line="240" w:lineRule="auto"/>
        <w:rPr>
          <w:b/>
          <w:color w:val="000000"/>
          <w:sz w:val="30"/>
          <w:szCs w:val="30"/>
        </w:rPr>
      </w:pPr>
      <w:r>
        <w:rPr>
          <w:b/>
          <w:color w:val="000000"/>
          <w:sz w:val="30"/>
          <w:szCs w:val="30"/>
        </w:rPr>
        <w:t>3</w:t>
      </w:r>
      <w:r w:rsidRPr="00DC5709">
        <w:rPr>
          <w:b/>
          <w:color w:val="000000"/>
          <w:sz w:val="30"/>
          <w:szCs w:val="30"/>
        </w:rPr>
        <w:t xml:space="preserve"> </w:t>
      </w:r>
      <w:r>
        <w:rPr>
          <w:b/>
          <w:color w:val="000000"/>
          <w:sz w:val="30"/>
          <w:szCs w:val="30"/>
        </w:rPr>
        <w:t>Data</w:t>
      </w:r>
    </w:p>
    <w:p w:rsidR="00E2327D" w:rsidRPr="000C1AD3" w:rsidRDefault="00E2327D" w:rsidP="00E2327D">
      <w:pPr>
        <w:spacing w:line="240" w:lineRule="auto"/>
        <w:rPr>
          <w:color w:val="000000"/>
          <w:sz w:val="28"/>
          <w:szCs w:val="28"/>
        </w:rPr>
      </w:pPr>
    </w:p>
    <w:p w:rsidR="00E2327D" w:rsidRDefault="00E2327D" w:rsidP="00E2327D">
      <w:pPr>
        <w:pStyle w:val="Default"/>
        <w:spacing w:line="360" w:lineRule="auto"/>
        <w:ind w:firstLine="482"/>
      </w:pPr>
      <w:r>
        <w:t xml:space="preserve">The panel consists of 2,500 observations on 250 U.S. public universities that engage in both undergraduate and graduate education over the 10 academic years 2004 through 2013. The data were drawn from </w:t>
      </w:r>
      <w:r w:rsidRPr="00220C13">
        <w:t>the U.S. National Center for Education Statistics</w:t>
      </w:r>
      <w:r>
        <w:t xml:space="preserve"> (NCES)</w:t>
      </w:r>
      <w:r w:rsidRPr="00220C13">
        <w:t>, Integrated Postsecondary Education Data System (IPEDS).</w:t>
      </w:r>
      <w:r>
        <w:t xml:space="preserve"> While the panel represents a substantial extension of Sav’s [2012] 4 year 2005-2008 study, it did require dealing with cyclical modifications to the variables available in IPEDS via the NCES imposed </w:t>
      </w:r>
      <w:r w:rsidRPr="00220C13">
        <w:t>reporting requirements</w:t>
      </w:r>
      <w:r>
        <w:t xml:space="preserve"> on universities. In the end, however, it was possible to further improve upon that previous work by extending the university output measures from 3 to 4 and substantially refining the input measures pertaining to university faculty. The resulting university outputs and inputs are summarized in Table 1.</w:t>
      </w:r>
    </w:p>
    <w:p w:rsidR="00E2327D" w:rsidRDefault="00E2327D" w:rsidP="00E2327D">
      <w:pPr>
        <w:pStyle w:val="Default"/>
        <w:spacing w:line="360" w:lineRule="auto"/>
        <w:ind w:firstLine="482"/>
      </w:pPr>
      <w:r>
        <w:t>As indicated in Table 1, u</w:t>
      </w:r>
      <w:r w:rsidRPr="00220C13">
        <w:t>niversity outputs</w:t>
      </w:r>
      <w:r>
        <w:t xml:space="preserve"> include the production of both undergraduate and graduate education as measured by academic year credit hours. Research output is measured by the total of all grants received by the university. Both outputs follow that used by Sav [2012]. To those outputs is added the university’s ability to produce student academic success as measured by the percentage of undergraduate degrees completed within 150% of four year normal time to graduation. That success in production as well as the production of the other three outputs depends upon a number of university inputs.</w:t>
      </w:r>
    </w:p>
    <w:p w:rsidR="00F85AF6" w:rsidRDefault="00CB712F" w:rsidP="00CB712F">
      <w:pPr>
        <w:pStyle w:val="Default"/>
        <w:spacing w:line="360" w:lineRule="auto"/>
        <w:ind w:firstLine="482"/>
      </w:pPr>
      <w:r>
        <w:t>Over the 10 years of IPEDS data, it was possible to extract f</w:t>
      </w:r>
      <w:r w:rsidRPr="00220C13">
        <w:t xml:space="preserve">ive </w:t>
      </w:r>
      <w:r>
        <w:t xml:space="preserve">consistent </w:t>
      </w:r>
      <w:r w:rsidRPr="00220C13">
        <w:t xml:space="preserve">measures </w:t>
      </w:r>
      <w:r>
        <w:t>of university inputs. As indicated in Table 1, there are three labor inputs, including the number of tenured faculty, tenure track faculty, and non-faculty staff employed by universit</w:t>
      </w:r>
      <w:r w:rsidR="003321E8">
        <w:t>ies</w:t>
      </w:r>
      <w:r>
        <w:t xml:space="preserve">. It is believed </w:t>
      </w:r>
      <w:r>
        <w:lastRenderedPageBreak/>
        <w:t xml:space="preserve">that the separation of faculty by tenure and tenure track and the inclusion of all non-faculty employees offer an improvement over the single total faculty measure and the more restrictive administrative faculty measure used in the previous study. Moreover, the non-faculty staff input is believed to be an improvement in supplanting the “academic support” </w:t>
      </w:r>
      <w:r w:rsidR="003321E8">
        <w:t xml:space="preserve">variable </w:t>
      </w:r>
      <w:r>
        <w:t>previously used in Sav [2012) and measured in dollars as a proxy for physical units of labor.</w:t>
      </w:r>
    </w:p>
    <w:p w:rsidR="00F85AF6" w:rsidRDefault="00F85AF6" w:rsidP="00CB712F">
      <w:pPr>
        <w:pStyle w:val="Default"/>
        <w:spacing w:line="360" w:lineRule="auto"/>
        <w:ind w:firstLine="482"/>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2"/>
        <w:gridCol w:w="1158"/>
        <w:gridCol w:w="1158"/>
        <w:gridCol w:w="1158"/>
      </w:tblGrid>
      <w:tr w:rsidR="00F85AF6" w:rsidRPr="00F85AF6" w:rsidTr="00F85AF6">
        <w:trPr>
          <w:trHeight w:val="300"/>
          <w:jc w:val="center"/>
        </w:trPr>
        <w:tc>
          <w:tcPr>
            <w:tcW w:w="0" w:type="auto"/>
            <w:gridSpan w:val="4"/>
            <w:noWrap/>
          </w:tcPr>
          <w:p w:rsidR="00F85AF6" w:rsidRPr="00F85AF6" w:rsidRDefault="00F85AF6" w:rsidP="00F85AF6">
            <w:pPr>
              <w:widowControl/>
              <w:adjustRightInd/>
              <w:spacing w:line="240" w:lineRule="auto"/>
              <w:jc w:val="center"/>
              <w:textAlignment w:val="auto"/>
              <w:rPr>
                <w:rFonts w:eastAsiaTheme="minorHAnsi"/>
                <w:szCs w:val="24"/>
                <w:lang w:eastAsia="en-US"/>
              </w:rPr>
            </w:pPr>
            <w:r w:rsidRPr="00F85AF6">
              <w:rPr>
                <w:rFonts w:eastAsiaTheme="minorHAnsi"/>
                <w:szCs w:val="24"/>
                <w:lang w:eastAsia="en-US"/>
              </w:rPr>
              <w:t>Table 1. University Output and Input Summary Statistics</w:t>
            </w:r>
          </w:p>
          <w:p w:rsidR="00F85AF6" w:rsidRPr="00F85AF6" w:rsidRDefault="00F85AF6" w:rsidP="00F85AF6">
            <w:pPr>
              <w:widowControl/>
              <w:adjustRightInd/>
              <w:spacing w:line="240" w:lineRule="auto"/>
              <w:jc w:val="left"/>
              <w:textAlignment w:val="auto"/>
              <w:rPr>
                <w:rFonts w:eastAsiaTheme="minorHAnsi"/>
                <w:szCs w:val="24"/>
                <w:lang w:eastAsia="en-US"/>
              </w:rPr>
            </w:pPr>
          </w:p>
        </w:tc>
      </w:tr>
      <w:tr w:rsidR="00F85AF6" w:rsidRPr="00F85AF6" w:rsidTr="00F85AF6">
        <w:trPr>
          <w:trHeight w:val="300"/>
          <w:jc w:val="center"/>
        </w:trPr>
        <w:tc>
          <w:tcPr>
            <w:tcW w:w="0" w:type="auto"/>
            <w:tcBorders>
              <w:bottom w:val="single" w:sz="4" w:space="0" w:color="auto"/>
            </w:tcBorders>
            <w:noWrap/>
            <w:hideMark/>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Variable</w:t>
            </w:r>
          </w:p>
        </w:tc>
        <w:tc>
          <w:tcPr>
            <w:tcW w:w="0" w:type="auto"/>
            <w:tcBorders>
              <w:bottom w:val="single" w:sz="4" w:space="0" w:color="auto"/>
            </w:tcBorders>
            <w:noWrap/>
            <w:hideMark/>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Median</w:t>
            </w:r>
          </w:p>
        </w:tc>
        <w:tc>
          <w:tcPr>
            <w:tcW w:w="0" w:type="auto"/>
            <w:tcBorders>
              <w:bottom w:val="single" w:sz="4" w:space="0" w:color="auto"/>
            </w:tcBorders>
            <w:noWrap/>
            <w:hideMark/>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Mean</w:t>
            </w:r>
          </w:p>
        </w:tc>
        <w:tc>
          <w:tcPr>
            <w:tcW w:w="0" w:type="auto"/>
            <w:tcBorders>
              <w:bottom w:val="single" w:sz="4" w:space="0" w:color="auto"/>
            </w:tcBorders>
            <w:noWrap/>
            <w:hideMark/>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StdDev</w:t>
            </w:r>
          </w:p>
        </w:tc>
      </w:tr>
      <w:tr w:rsidR="00F85AF6" w:rsidRPr="00F85AF6" w:rsidTr="00F85AF6">
        <w:trPr>
          <w:trHeight w:val="300"/>
          <w:jc w:val="center"/>
        </w:trPr>
        <w:tc>
          <w:tcPr>
            <w:tcW w:w="0" w:type="auto"/>
            <w:tcBorders>
              <w:top w:val="single" w:sz="4" w:space="0" w:color="auto"/>
            </w:tcBorders>
            <w:noWrap/>
          </w:tcPr>
          <w:p w:rsidR="00F85AF6" w:rsidRPr="00F85AF6" w:rsidRDefault="00F85AF6" w:rsidP="00F85AF6">
            <w:pPr>
              <w:widowControl/>
              <w:adjustRightInd/>
              <w:spacing w:line="240" w:lineRule="auto"/>
              <w:jc w:val="left"/>
              <w:textAlignment w:val="auto"/>
              <w:rPr>
                <w:rFonts w:eastAsia="Times New Roman"/>
                <w:bCs/>
                <w:szCs w:val="24"/>
                <w:lang w:eastAsia="en-US"/>
              </w:rPr>
            </w:pPr>
            <w:r w:rsidRPr="00F85AF6">
              <w:rPr>
                <w:rFonts w:eastAsia="Times New Roman"/>
                <w:bCs/>
                <w:szCs w:val="24"/>
                <w:lang w:eastAsia="en-US"/>
              </w:rPr>
              <w:t>Outputs</w:t>
            </w:r>
          </w:p>
        </w:tc>
        <w:tc>
          <w:tcPr>
            <w:tcW w:w="0" w:type="auto"/>
            <w:tcBorders>
              <w:top w:val="single" w:sz="4" w:space="0" w:color="auto"/>
            </w:tcBorders>
            <w:noWrap/>
          </w:tcPr>
          <w:p w:rsidR="00F85AF6" w:rsidRPr="00F85AF6" w:rsidRDefault="00F85AF6" w:rsidP="00F85AF6">
            <w:pPr>
              <w:widowControl/>
              <w:adjustRightInd/>
              <w:spacing w:line="240" w:lineRule="auto"/>
              <w:jc w:val="left"/>
              <w:textAlignment w:val="auto"/>
              <w:rPr>
                <w:rFonts w:eastAsiaTheme="minorHAnsi"/>
                <w:szCs w:val="24"/>
                <w:lang w:eastAsia="en-US"/>
              </w:rPr>
            </w:pPr>
          </w:p>
        </w:tc>
        <w:tc>
          <w:tcPr>
            <w:tcW w:w="0" w:type="auto"/>
            <w:tcBorders>
              <w:top w:val="single" w:sz="4" w:space="0" w:color="auto"/>
            </w:tcBorders>
            <w:noWrap/>
          </w:tcPr>
          <w:p w:rsidR="00F85AF6" w:rsidRPr="00F85AF6" w:rsidRDefault="00F85AF6" w:rsidP="00F85AF6">
            <w:pPr>
              <w:widowControl/>
              <w:adjustRightInd/>
              <w:spacing w:line="240" w:lineRule="auto"/>
              <w:jc w:val="left"/>
              <w:textAlignment w:val="auto"/>
              <w:rPr>
                <w:rFonts w:eastAsiaTheme="minorHAnsi"/>
                <w:szCs w:val="24"/>
                <w:lang w:eastAsia="en-US"/>
              </w:rPr>
            </w:pPr>
          </w:p>
        </w:tc>
        <w:tc>
          <w:tcPr>
            <w:tcW w:w="0" w:type="auto"/>
            <w:tcBorders>
              <w:top w:val="single" w:sz="4" w:space="0" w:color="auto"/>
            </w:tcBorders>
            <w:noWrap/>
          </w:tcPr>
          <w:p w:rsidR="00F85AF6" w:rsidRPr="00F85AF6" w:rsidRDefault="00F85AF6" w:rsidP="00F85AF6">
            <w:pPr>
              <w:widowControl/>
              <w:adjustRightInd/>
              <w:spacing w:line="240" w:lineRule="auto"/>
              <w:jc w:val="left"/>
              <w:textAlignment w:val="auto"/>
              <w:rPr>
                <w:rFonts w:eastAsiaTheme="minorHAnsi"/>
                <w:szCs w:val="24"/>
                <w:lang w:eastAsia="en-US"/>
              </w:rPr>
            </w:pPr>
          </w:p>
        </w:tc>
      </w:tr>
      <w:tr w:rsidR="00F85AF6" w:rsidRPr="00F85AF6" w:rsidTr="00F85AF6">
        <w:trPr>
          <w:trHeight w:val="300"/>
          <w:jc w:val="center"/>
        </w:trPr>
        <w:tc>
          <w:tcPr>
            <w:tcW w:w="0" w:type="auto"/>
            <w:noWrap/>
            <w:hideMark/>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imes New Roman"/>
                <w:bCs/>
                <w:szCs w:val="24"/>
                <w:lang w:eastAsia="en-US"/>
              </w:rPr>
              <w:t xml:space="preserve">   Undergraduate Education, Credit Hours</w:t>
            </w:r>
          </w:p>
        </w:tc>
        <w:tc>
          <w:tcPr>
            <w:tcW w:w="0" w:type="auto"/>
            <w:noWrap/>
            <w:hideMark/>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2.34E+05</w:t>
            </w:r>
          </w:p>
        </w:tc>
        <w:tc>
          <w:tcPr>
            <w:tcW w:w="0" w:type="auto"/>
            <w:noWrap/>
            <w:hideMark/>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2.94E+05</w:t>
            </w:r>
          </w:p>
        </w:tc>
        <w:tc>
          <w:tcPr>
            <w:tcW w:w="0" w:type="auto"/>
            <w:noWrap/>
            <w:hideMark/>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2.09E+05</w:t>
            </w:r>
          </w:p>
        </w:tc>
      </w:tr>
      <w:tr w:rsidR="00F85AF6" w:rsidRPr="00F85AF6" w:rsidTr="00F85AF6">
        <w:trPr>
          <w:trHeight w:val="300"/>
          <w:jc w:val="center"/>
        </w:trPr>
        <w:tc>
          <w:tcPr>
            <w:tcW w:w="0" w:type="auto"/>
            <w:noWrap/>
            <w:hideMark/>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imes New Roman"/>
                <w:bCs/>
                <w:szCs w:val="24"/>
                <w:lang w:eastAsia="en-US"/>
              </w:rPr>
              <w:t xml:space="preserve">   Graduate Education, Credit Hours</w:t>
            </w:r>
          </w:p>
        </w:tc>
        <w:tc>
          <w:tcPr>
            <w:tcW w:w="0" w:type="auto"/>
            <w:noWrap/>
            <w:hideMark/>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2.53E+04</w:t>
            </w:r>
          </w:p>
        </w:tc>
        <w:tc>
          <w:tcPr>
            <w:tcW w:w="0" w:type="auto"/>
            <w:noWrap/>
            <w:hideMark/>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4.40E+04</w:t>
            </w:r>
          </w:p>
        </w:tc>
        <w:tc>
          <w:tcPr>
            <w:tcW w:w="0" w:type="auto"/>
            <w:noWrap/>
            <w:hideMark/>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5.19E+04</w:t>
            </w:r>
          </w:p>
        </w:tc>
      </w:tr>
      <w:tr w:rsidR="00F85AF6" w:rsidRPr="00F85AF6" w:rsidTr="00F85AF6">
        <w:trPr>
          <w:trHeight w:val="300"/>
          <w:jc w:val="center"/>
        </w:trPr>
        <w:tc>
          <w:tcPr>
            <w:tcW w:w="0" w:type="auto"/>
            <w:noWrap/>
            <w:hideMark/>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 xml:space="preserve">   Degrees Completed, Percentage</w:t>
            </w:r>
          </w:p>
        </w:tc>
        <w:tc>
          <w:tcPr>
            <w:tcW w:w="0" w:type="auto"/>
            <w:noWrap/>
            <w:hideMark/>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45</w:t>
            </w:r>
          </w:p>
        </w:tc>
        <w:tc>
          <w:tcPr>
            <w:tcW w:w="0" w:type="auto"/>
            <w:noWrap/>
            <w:hideMark/>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46</w:t>
            </w:r>
          </w:p>
        </w:tc>
        <w:tc>
          <w:tcPr>
            <w:tcW w:w="0" w:type="auto"/>
            <w:noWrap/>
            <w:hideMark/>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14</w:t>
            </w:r>
          </w:p>
        </w:tc>
      </w:tr>
      <w:tr w:rsidR="00F85AF6" w:rsidRPr="00F85AF6" w:rsidTr="00F85AF6">
        <w:trPr>
          <w:trHeight w:val="300"/>
          <w:jc w:val="center"/>
        </w:trPr>
        <w:tc>
          <w:tcPr>
            <w:tcW w:w="0" w:type="auto"/>
            <w:noWrap/>
            <w:hideMark/>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imes New Roman"/>
                <w:bCs/>
                <w:szCs w:val="24"/>
                <w:lang w:eastAsia="en-US"/>
              </w:rPr>
              <w:t xml:space="preserve">   Research, Dollars</w:t>
            </w:r>
          </w:p>
        </w:tc>
        <w:tc>
          <w:tcPr>
            <w:tcW w:w="0" w:type="auto"/>
            <w:noWrap/>
            <w:hideMark/>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6.98E+07</w:t>
            </w:r>
          </w:p>
        </w:tc>
        <w:tc>
          <w:tcPr>
            <w:tcW w:w="0" w:type="auto"/>
            <w:noWrap/>
            <w:hideMark/>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1.43E+08</w:t>
            </w:r>
          </w:p>
        </w:tc>
        <w:tc>
          <w:tcPr>
            <w:tcW w:w="0" w:type="auto"/>
            <w:noWrap/>
            <w:hideMark/>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1.90E+08</w:t>
            </w:r>
          </w:p>
        </w:tc>
      </w:tr>
      <w:tr w:rsidR="00F85AF6" w:rsidRPr="00F85AF6" w:rsidTr="00F85AF6">
        <w:trPr>
          <w:trHeight w:val="300"/>
          <w:jc w:val="center"/>
        </w:trPr>
        <w:tc>
          <w:tcPr>
            <w:tcW w:w="0" w:type="auto"/>
            <w:noWrap/>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Inputs</w:t>
            </w:r>
          </w:p>
        </w:tc>
        <w:tc>
          <w:tcPr>
            <w:tcW w:w="0" w:type="auto"/>
            <w:noWrap/>
          </w:tcPr>
          <w:p w:rsidR="00F85AF6" w:rsidRPr="00F85AF6" w:rsidRDefault="00F85AF6" w:rsidP="00F85AF6">
            <w:pPr>
              <w:widowControl/>
              <w:adjustRightInd/>
              <w:spacing w:line="240" w:lineRule="auto"/>
              <w:jc w:val="left"/>
              <w:textAlignment w:val="auto"/>
              <w:rPr>
                <w:rFonts w:eastAsiaTheme="minorHAnsi"/>
                <w:szCs w:val="24"/>
                <w:lang w:eastAsia="en-US"/>
              </w:rPr>
            </w:pPr>
          </w:p>
        </w:tc>
        <w:tc>
          <w:tcPr>
            <w:tcW w:w="0" w:type="auto"/>
            <w:noWrap/>
          </w:tcPr>
          <w:p w:rsidR="00F85AF6" w:rsidRPr="00F85AF6" w:rsidRDefault="00F85AF6" w:rsidP="00F85AF6">
            <w:pPr>
              <w:widowControl/>
              <w:adjustRightInd/>
              <w:spacing w:line="240" w:lineRule="auto"/>
              <w:jc w:val="left"/>
              <w:textAlignment w:val="auto"/>
              <w:rPr>
                <w:rFonts w:eastAsiaTheme="minorHAnsi"/>
                <w:szCs w:val="24"/>
                <w:lang w:eastAsia="en-US"/>
              </w:rPr>
            </w:pPr>
          </w:p>
        </w:tc>
        <w:tc>
          <w:tcPr>
            <w:tcW w:w="0" w:type="auto"/>
            <w:noWrap/>
          </w:tcPr>
          <w:p w:rsidR="00F85AF6" w:rsidRPr="00F85AF6" w:rsidRDefault="00F85AF6" w:rsidP="00F85AF6">
            <w:pPr>
              <w:widowControl/>
              <w:adjustRightInd/>
              <w:spacing w:line="240" w:lineRule="auto"/>
              <w:jc w:val="left"/>
              <w:textAlignment w:val="auto"/>
              <w:rPr>
                <w:rFonts w:eastAsiaTheme="minorHAnsi"/>
                <w:szCs w:val="24"/>
                <w:lang w:eastAsia="en-US"/>
              </w:rPr>
            </w:pPr>
          </w:p>
        </w:tc>
      </w:tr>
      <w:tr w:rsidR="00F85AF6" w:rsidRPr="00F85AF6" w:rsidTr="00F85AF6">
        <w:trPr>
          <w:trHeight w:val="300"/>
          <w:jc w:val="center"/>
        </w:trPr>
        <w:tc>
          <w:tcPr>
            <w:tcW w:w="0" w:type="auto"/>
            <w:noWrap/>
            <w:hideMark/>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 xml:space="preserve">   Tenured Faculty, Number</w:t>
            </w:r>
          </w:p>
        </w:tc>
        <w:tc>
          <w:tcPr>
            <w:tcW w:w="0" w:type="auto"/>
            <w:noWrap/>
            <w:hideMark/>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236</w:t>
            </w:r>
          </w:p>
        </w:tc>
        <w:tc>
          <w:tcPr>
            <w:tcW w:w="0" w:type="auto"/>
            <w:noWrap/>
            <w:hideMark/>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324</w:t>
            </w:r>
          </w:p>
        </w:tc>
        <w:tc>
          <w:tcPr>
            <w:tcW w:w="0" w:type="auto"/>
            <w:noWrap/>
            <w:hideMark/>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294</w:t>
            </w:r>
          </w:p>
        </w:tc>
      </w:tr>
      <w:tr w:rsidR="00F85AF6" w:rsidRPr="00F85AF6" w:rsidTr="00F85AF6">
        <w:trPr>
          <w:trHeight w:val="300"/>
          <w:jc w:val="center"/>
        </w:trPr>
        <w:tc>
          <w:tcPr>
            <w:tcW w:w="0" w:type="auto"/>
            <w:noWrap/>
            <w:hideMark/>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 xml:space="preserve">   Tenure Track Faculty, Number</w:t>
            </w:r>
          </w:p>
        </w:tc>
        <w:tc>
          <w:tcPr>
            <w:tcW w:w="0" w:type="auto"/>
            <w:noWrap/>
            <w:hideMark/>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113</w:t>
            </w:r>
          </w:p>
        </w:tc>
        <w:tc>
          <w:tcPr>
            <w:tcW w:w="0" w:type="auto"/>
            <w:noWrap/>
            <w:hideMark/>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135</w:t>
            </w:r>
          </w:p>
        </w:tc>
        <w:tc>
          <w:tcPr>
            <w:tcW w:w="0" w:type="auto"/>
            <w:noWrap/>
            <w:hideMark/>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95</w:t>
            </w:r>
          </w:p>
        </w:tc>
      </w:tr>
      <w:tr w:rsidR="00F85AF6" w:rsidRPr="00F85AF6" w:rsidTr="00F85AF6">
        <w:trPr>
          <w:trHeight w:val="300"/>
          <w:jc w:val="center"/>
        </w:trPr>
        <w:tc>
          <w:tcPr>
            <w:tcW w:w="0" w:type="auto"/>
            <w:noWrap/>
            <w:hideMark/>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 xml:space="preserve">   Non-Faculty Staff, Number</w:t>
            </w:r>
          </w:p>
        </w:tc>
        <w:tc>
          <w:tcPr>
            <w:tcW w:w="0" w:type="auto"/>
            <w:noWrap/>
            <w:hideMark/>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790</w:t>
            </w:r>
          </w:p>
        </w:tc>
        <w:tc>
          <w:tcPr>
            <w:tcW w:w="0" w:type="auto"/>
            <w:noWrap/>
            <w:hideMark/>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1448</w:t>
            </w:r>
          </w:p>
        </w:tc>
        <w:tc>
          <w:tcPr>
            <w:tcW w:w="0" w:type="auto"/>
            <w:noWrap/>
            <w:hideMark/>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1795</w:t>
            </w:r>
          </w:p>
        </w:tc>
      </w:tr>
      <w:tr w:rsidR="00F85AF6" w:rsidRPr="00F85AF6" w:rsidTr="00F85AF6">
        <w:trPr>
          <w:trHeight w:val="300"/>
          <w:jc w:val="center"/>
        </w:trPr>
        <w:tc>
          <w:tcPr>
            <w:tcW w:w="0" w:type="auto"/>
            <w:noWrap/>
            <w:hideMark/>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 xml:space="preserve">   Capital Equipment, Dollars</w:t>
            </w:r>
          </w:p>
        </w:tc>
        <w:tc>
          <w:tcPr>
            <w:tcW w:w="0" w:type="auto"/>
            <w:noWrap/>
            <w:hideMark/>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3.44E+07</w:t>
            </w:r>
          </w:p>
        </w:tc>
        <w:tc>
          <w:tcPr>
            <w:tcW w:w="0" w:type="auto"/>
            <w:noWrap/>
            <w:hideMark/>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9.47E+07</w:t>
            </w:r>
          </w:p>
        </w:tc>
        <w:tc>
          <w:tcPr>
            <w:tcW w:w="0" w:type="auto"/>
            <w:noWrap/>
            <w:hideMark/>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1.57E+08</w:t>
            </w:r>
          </w:p>
        </w:tc>
      </w:tr>
      <w:tr w:rsidR="00F85AF6" w:rsidRPr="00F85AF6" w:rsidTr="00F85AF6">
        <w:trPr>
          <w:trHeight w:val="300"/>
          <w:jc w:val="center"/>
        </w:trPr>
        <w:tc>
          <w:tcPr>
            <w:tcW w:w="0" w:type="auto"/>
            <w:noWrap/>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 xml:space="preserve">   Capital Buildings, Dollars</w:t>
            </w:r>
          </w:p>
        </w:tc>
        <w:tc>
          <w:tcPr>
            <w:tcW w:w="0" w:type="auto"/>
            <w:noWrap/>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1.40E+08</w:t>
            </w:r>
          </w:p>
        </w:tc>
        <w:tc>
          <w:tcPr>
            <w:tcW w:w="0" w:type="auto"/>
            <w:noWrap/>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2.54E+08</w:t>
            </w:r>
          </w:p>
        </w:tc>
        <w:tc>
          <w:tcPr>
            <w:tcW w:w="0" w:type="auto"/>
            <w:noWrap/>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3.00E+08</w:t>
            </w:r>
          </w:p>
        </w:tc>
      </w:tr>
      <w:tr w:rsidR="00F85AF6" w:rsidRPr="00F85AF6" w:rsidTr="00F85AF6">
        <w:trPr>
          <w:trHeight w:val="300"/>
          <w:jc w:val="center"/>
        </w:trPr>
        <w:tc>
          <w:tcPr>
            <w:tcW w:w="0" w:type="auto"/>
            <w:noWrap/>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Number of Universities=250</w:t>
            </w:r>
          </w:p>
        </w:tc>
        <w:tc>
          <w:tcPr>
            <w:tcW w:w="0" w:type="auto"/>
            <w:noWrap/>
          </w:tcPr>
          <w:p w:rsidR="00F85AF6" w:rsidRPr="00F85AF6" w:rsidRDefault="00F85AF6" w:rsidP="00F85AF6">
            <w:pPr>
              <w:widowControl/>
              <w:adjustRightInd/>
              <w:spacing w:line="240" w:lineRule="auto"/>
              <w:jc w:val="left"/>
              <w:textAlignment w:val="auto"/>
              <w:rPr>
                <w:rFonts w:eastAsiaTheme="minorHAnsi"/>
                <w:szCs w:val="24"/>
                <w:lang w:eastAsia="en-US"/>
              </w:rPr>
            </w:pPr>
          </w:p>
        </w:tc>
        <w:tc>
          <w:tcPr>
            <w:tcW w:w="0" w:type="auto"/>
            <w:noWrap/>
          </w:tcPr>
          <w:p w:rsidR="00F85AF6" w:rsidRPr="00F85AF6" w:rsidRDefault="00F85AF6" w:rsidP="00F85AF6">
            <w:pPr>
              <w:widowControl/>
              <w:adjustRightInd/>
              <w:spacing w:line="240" w:lineRule="auto"/>
              <w:jc w:val="left"/>
              <w:textAlignment w:val="auto"/>
              <w:rPr>
                <w:rFonts w:eastAsiaTheme="minorHAnsi"/>
                <w:szCs w:val="24"/>
                <w:lang w:eastAsia="en-US"/>
              </w:rPr>
            </w:pPr>
          </w:p>
        </w:tc>
        <w:tc>
          <w:tcPr>
            <w:tcW w:w="0" w:type="auto"/>
            <w:noWrap/>
          </w:tcPr>
          <w:p w:rsidR="00F85AF6" w:rsidRPr="00F85AF6" w:rsidRDefault="00F85AF6" w:rsidP="00F85AF6">
            <w:pPr>
              <w:widowControl/>
              <w:adjustRightInd/>
              <w:spacing w:line="240" w:lineRule="auto"/>
              <w:jc w:val="left"/>
              <w:textAlignment w:val="auto"/>
              <w:rPr>
                <w:rFonts w:eastAsiaTheme="minorHAnsi"/>
                <w:szCs w:val="24"/>
                <w:lang w:eastAsia="en-US"/>
              </w:rPr>
            </w:pPr>
          </w:p>
        </w:tc>
      </w:tr>
      <w:tr w:rsidR="00F85AF6" w:rsidRPr="00F85AF6" w:rsidTr="00F85AF6">
        <w:trPr>
          <w:trHeight w:val="300"/>
          <w:jc w:val="center"/>
        </w:trPr>
        <w:tc>
          <w:tcPr>
            <w:tcW w:w="0" w:type="auto"/>
            <w:tcBorders>
              <w:bottom w:val="single" w:sz="4" w:space="0" w:color="auto"/>
            </w:tcBorders>
            <w:noWrap/>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Total Panel, 10 years=2500</w:t>
            </w:r>
          </w:p>
        </w:tc>
        <w:tc>
          <w:tcPr>
            <w:tcW w:w="0" w:type="auto"/>
            <w:tcBorders>
              <w:bottom w:val="single" w:sz="4" w:space="0" w:color="auto"/>
            </w:tcBorders>
            <w:noWrap/>
          </w:tcPr>
          <w:p w:rsidR="00F85AF6" w:rsidRPr="00F85AF6" w:rsidRDefault="00F85AF6" w:rsidP="00F85AF6">
            <w:pPr>
              <w:widowControl/>
              <w:adjustRightInd/>
              <w:spacing w:line="240" w:lineRule="auto"/>
              <w:jc w:val="left"/>
              <w:textAlignment w:val="auto"/>
              <w:rPr>
                <w:rFonts w:eastAsiaTheme="minorHAnsi"/>
                <w:szCs w:val="24"/>
                <w:lang w:eastAsia="en-US"/>
              </w:rPr>
            </w:pPr>
          </w:p>
        </w:tc>
        <w:tc>
          <w:tcPr>
            <w:tcW w:w="0" w:type="auto"/>
            <w:tcBorders>
              <w:bottom w:val="single" w:sz="4" w:space="0" w:color="auto"/>
            </w:tcBorders>
            <w:noWrap/>
          </w:tcPr>
          <w:p w:rsidR="00F85AF6" w:rsidRPr="00F85AF6" w:rsidRDefault="00F85AF6" w:rsidP="00F85AF6">
            <w:pPr>
              <w:widowControl/>
              <w:adjustRightInd/>
              <w:spacing w:line="240" w:lineRule="auto"/>
              <w:jc w:val="left"/>
              <w:textAlignment w:val="auto"/>
              <w:rPr>
                <w:rFonts w:eastAsiaTheme="minorHAnsi"/>
                <w:szCs w:val="24"/>
                <w:lang w:eastAsia="en-US"/>
              </w:rPr>
            </w:pPr>
          </w:p>
        </w:tc>
        <w:tc>
          <w:tcPr>
            <w:tcW w:w="0" w:type="auto"/>
            <w:tcBorders>
              <w:bottom w:val="single" w:sz="4" w:space="0" w:color="auto"/>
            </w:tcBorders>
            <w:noWrap/>
          </w:tcPr>
          <w:p w:rsidR="00F85AF6" w:rsidRPr="00F85AF6" w:rsidRDefault="00F85AF6" w:rsidP="00F85AF6">
            <w:pPr>
              <w:widowControl/>
              <w:adjustRightInd/>
              <w:spacing w:line="240" w:lineRule="auto"/>
              <w:jc w:val="left"/>
              <w:textAlignment w:val="auto"/>
              <w:rPr>
                <w:rFonts w:eastAsiaTheme="minorHAnsi"/>
                <w:szCs w:val="24"/>
                <w:lang w:eastAsia="en-US"/>
              </w:rPr>
            </w:pPr>
          </w:p>
        </w:tc>
      </w:tr>
    </w:tbl>
    <w:p w:rsidR="00F85AF6" w:rsidRDefault="00F85AF6" w:rsidP="00CB712F">
      <w:pPr>
        <w:pStyle w:val="Default"/>
        <w:spacing w:line="360" w:lineRule="auto"/>
        <w:ind w:firstLine="482"/>
      </w:pPr>
    </w:p>
    <w:p w:rsidR="00E2327D" w:rsidRDefault="00F85AF6" w:rsidP="00CB712F">
      <w:pPr>
        <w:pStyle w:val="Default"/>
        <w:spacing w:line="360" w:lineRule="auto"/>
        <w:ind w:firstLine="482"/>
      </w:pPr>
      <w:r>
        <w:t>The two</w:t>
      </w:r>
      <w:r w:rsidR="00E2327D">
        <w:t xml:space="preserve"> capital inputs include the university’s dollar value of equipment and buildings. The former duplicates that previously used while the latter represents an improved capital measure in that it is more inclusive than relying on Sav’s [2012] “auxiliary building capital”. Here, the value of all such capital is represented, including classroom, administrative, research laboratories, student dormitories, as well as, auxiliary buildings such as sports arenas.</w:t>
      </w:r>
    </w:p>
    <w:p w:rsidR="00E2327D" w:rsidRDefault="00E2327D" w:rsidP="00E2327D">
      <w:pPr>
        <w:pStyle w:val="Default"/>
        <w:spacing w:line="360" w:lineRule="auto"/>
        <w:ind w:firstLine="482"/>
      </w:pPr>
      <w:r>
        <w:t xml:space="preserve">Table 1 reveals that although all universities in the sample produce both undergraduate and graduate education and research, they differ in the composition of outputs and inputs. </w:t>
      </w:r>
      <w:r w:rsidRPr="00220C13">
        <w:t xml:space="preserve">On average, graduate education comprises </w:t>
      </w:r>
      <w:r>
        <w:t>13</w:t>
      </w:r>
      <w:r w:rsidRPr="00220C13">
        <w:t xml:space="preserve">% </w:t>
      </w:r>
      <w:r>
        <w:t>of total credit hour production but at the median level of production that falls to less than 10%. With increasing pressures on universities to ensure student success, it is interesting that the production of student degree stands at less than 50% at both the mean and median measure of university output. Both the mean and median percentage of tenure track faculty to tenured faculty employed is approximately 30% but with considerable variability as noted by the standard deviations. There is, however, more variability in the employment of non-</w:t>
      </w:r>
      <w:r>
        <w:lastRenderedPageBreak/>
        <w:t xml:space="preserve">faculty staff relative to all faculty; that varies from 32% on average to 44% at the median. In part, that may reflect administrative decisions in substituting the employment of part-time adjuncts and non-tenure track instructors for tenure line faculty. Somewhat of the same variability applies to university capital inputs with buildings comprising more than two and half </w:t>
      </w:r>
      <w:r w:rsidR="00A974E5">
        <w:t xml:space="preserve">times </w:t>
      </w:r>
      <w:r>
        <w:t>that of equipment at the mean but about four times that of equipment at the median.</w:t>
      </w:r>
    </w:p>
    <w:p w:rsidR="00E2327D" w:rsidRDefault="00E2327D" w:rsidP="00E2327D">
      <w:pPr>
        <w:pStyle w:val="Default"/>
        <w:spacing w:line="360" w:lineRule="auto"/>
        <w:ind w:firstLine="482"/>
      </w:pPr>
    </w:p>
    <w:p w:rsidR="00E2327D" w:rsidRDefault="00E2327D" w:rsidP="00E2327D">
      <w:pPr>
        <w:rPr>
          <w:b/>
          <w:color w:val="000000"/>
          <w:sz w:val="30"/>
          <w:szCs w:val="30"/>
        </w:rPr>
      </w:pPr>
      <w:r>
        <w:rPr>
          <w:b/>
          <w:color w:val="000000"/>
          <w:sz w:val="30"/>
          <w:szCs w:val="30"/>
        </w:rPr>
        <w:t>4</w:t>
      </w:r>
      <w:r w:rsidRPr="00DC5709">
        <w:rPr>
          <w:b/>
          <w:color w:val="000000"/>
          <w:sz w:val="30"/>
          <w:szCs w:val="30"/>
        </w:rPr>
        <w:t xml:space="preserve"> </w:t>
      </w:r>
      <w:r>
        <w:rPr>
          <w:b/>
          <w:color w:val="000000"/>
          <w:sz w:val="30"/>
          <w:szCs w:val="30"/>
        </w:rPr>
        <w:t>Results</w:t>
      </w:r>
    </w:p>
    <w:p w:rsidR="00E2327D" w:rsidRDefault="00E2327D" w:rsidP="00E2327D">
      <w:pPr>
        <w:pStyle w:val="Default"/>
        <w:spacing w:line="360" w:lineRule="auto"/>
        <w:ind w:firstLine="482"/>
      </w:pPr>
      <w:r>
        <w:t>DEA efficiency results are summarized in Table 2 for each of the 10 academic years. Of course, since the official recession spans 18 months, December 2007 to June 2009, and does not coincide with academic year calendars, it is not possible to isolate the recessionary effects on university efficiencies with precision. Being that the 2007 and 2008 academic years encompass the recession, they can, at least in part, serve as a focal point for discussion. However, equal interest lies in the post-recessionary effects of a slow, at best, economic recovery, as well as a return to more normal economic wide conditions.</w:t>
      </w:r>
    </w:p>
    <w:p w:rsidR="00CB712F" w:rsidRDefault="00CB712F" w:rsidP="00E2327D">
      <w:pPr>
        <w:pStyle w:val="Default"/>
        <w:spacing w:line="360" w:lineRule="auto"/>
        <w:ind w:firstLine="482"/>
      </w:pPr>
      <w:r>
        <w:t xml:space="preserve">The mean CRS results of Table 2 show a slight efficiency improvement for universities in 2007 but then followed by a 2008 decline and no change in the following 2009 academic year. With some post recessionary lag, efficiency gains arise in 2010 and again in 2011 but are followed with efficiency deteriorations associated with economic improvements in 2012 and 2013. During the pre-recession 2004-2006 academic years, the average efficiency stands at 0.813 or 81.3%. For 2007 and 2008 years, that average increases to 82.1%, thereby indicating </w:t>
      </w:r>
      <w:r w:rsidR="00A974E5">
        <w:t>a slight</w:t>
      </w:r>
      <w:r>
        <w:t xml:space="preserve"> improvement. The average for the five post-recession years falls to 80.7%, </w:t>
      </w:r>
      <w:r w:rsidR="00A974E5">
        <w:t xml:space="preserve">being </w:t>
      </w:r>
      <w:r>
        <w:t>affected, of course, by the poor university performances in 2012 and 2013. However, as the standard deviations indicate, the variability in efficiencies among universities substantially increased in 2011 through 2013 relative to previous academic years. That variability is evident in the widening difference in minimum efficienc</w:t>
      </w:r>
      <w:r w:rsidR="00A974E5">
        <w:t>ies</w:t>
      </w:r>
      <w:r>
        <w:t xml:space="preserve"> compared to the mean efficienc</w:t>
      </w:r>
      <w:r w:rsidR="00A974E5">
        <w:t>ies</w:t>
      </w:r>
      <w:r>
        <w:t>, e.g., in 2004 the minimum stood at 60% of the mean and dropped to 49% in 2013.</w:t>
      </w:r>
    </w:p>
    <w:p w:rsidR="00E904EE" w:rsidRDefault="00E904EE" w:rsidP="00E2327D">
      <w:pPr>
        <w:pStyle w:val="Default"/>
        <w:spacing w:line="360" w:lineRule="auto"/>
        <w:ind w:firstLine="482"/>
      </w:pPr>
    </w:p>
    <w:p w:rsidR="00E904EE" w:rsidRDefault="00E904EE" w:rsidP="00E2327D">
      <w:pPr>
        <w:pStyle w:val="Default"/>
        <w:spacing w:line="360" w:lineRule="auto"/>
        <w:ind w:firstLine="482"/>
      </w:pPr>
    </w:p>
    <w:p w:rsidR="00F85AF6" w:rsidRDefault="00F85AF6" w:rsidP="00E2327D">
      <w:pPr>
        <w:pStyle w:val="Default"/>
        <w:spacing w:line="360" w:lineRule="auto"/>
        <w:ind w:firstLine="482"/>
      </w:pPr>
    </w:p>
    <w:p w:rsidR="00F85AF6" w:rsidRDefault="00F85AF6" w:rsidP="00E2327D">
      <w:pPr>
        <w:pStyle w:val="Default"/>
        <w:spacing w:line="360" w:lineRule="auto"/>
        <w:ind w:firstLine="482"/>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960"/>
        <w:gridCol w:w="960"/>
        <w:gridCol w:w="960"/>
        <w:gridCol w:w="960"/>
        <w:gridCol w:w="1045"/>
      </w:tblGrid>
      <w:tr w:rsidR="00F85AF6" w:rsidRPr="00F85AF6" w:rsidTr="00F85AF6">
        <w:trPr>
          <w:trHeight w:val="300"/>
          <w:jc w:val="center"/>
        </w:trPr>
        <w:tc>
          <w:tcPr>
            <w:tcW w:w="6101" w:type="dxa"/>
            <w:gridSpan w:val="6"/>
            <w:noWrap/>
          </w:tcPr>
          <w:p w:rsidR="00F85AF6" w:rsidRPr="00F85AF6" w:rsidRDefault="00F85AF6" w:rsidP="00F85AF6">
            <w:pPr>
              <w:widowControl/>
              <w:adjustRightInd/>
              <w:spacing w:line="240" w:lineRule="auto"/>
              <w:jc w:val="center"/>
              <w:textAlignment w:val="auto"/>
              <w:rPr>
                <w:rFonts w:eastAsiaTheme="minorHAnsi"/>
                <w:szCs w:val="24"/>
                <w:lang w:eastAsia="en-US"/>
              </w:rPr>
            </w:pPr>
            <w:r w:rsidRPr="00F85AF6">
              <w:rPr>
                <w:rFonts w:eastAsiaTheme="minorHAnsi"/>
                <w:szCs w:val="24"/>
                <w:lang w:eastAsia="en-US"/>
              </w:rPr>
              <w:lastRenderedPageBreak/>
              <w:t>Table 2. DEA Efficiency Results: CRS, VRS, and Scale</w:t>
            </w:r>
          </w:p>
          <w:p w:rsidR="00F85AF6" w:rsidRPr="00F85AF6" w:rsidRDefault="00F85AF6" w:rsidP="00F85AF6">
            <w:pPr>
              <w:widowControl/>
              <w:adjustRightInd/>
              <w:spacing w:line="240" w:lineRule="auto"/>
              <w:jc w:val="center"/>
              <w:textAlignment w:val="auto"/>
              <w:rPr>
                <w:rFonts w:eastAsiaTheme="minorHAnsi"/>
                <w:szCs w:val="24"/>
                <w:lang w:eastAsia="en-US"/>
              </w:rPr>
            </w:pPr>
          </w:p>
        </w:tc>
      </w:tr>
      <w:tr w:rsidR="00F85AF6" w:rsidRPr="00F85AF6" w:rsidTr="00F85AF6">
        <w:trPr>
          <w:trHeight w:val="300"/>
          <w:jc w:val="center"/>
        </w:trPr>
        <w:tc>
          <w:tcPr>
            <w:tcW w:w="1216" w:type="dxa"/>
            <w:tcBorders>
              <w:bottom w:val="single" w:sz="4" w:space="0" w:color="auto"/>
            </w:tcBorders>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Year</w:t>
            </w:r>
          </w:p>
        </w:tc>
        <w:tc>
          <w:tcPr>
            <w:tcW w:w="960" w:type="dxa"/>
            <w:tcBorders>
              <w:bottom w:val="single" w:sz="4" w:space="0" w:color="auto"/>
            </w:tcBorders>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Min</w:t>
            </w:r>
          </w:p>
        </w:tc>
        <w:tc>
          <w:tcPr>
            <w:tcW w:w="960" w:type="dxa"/>
            <w:tcBorders>
              <w:bottom w:val="single" w:sz="4" w:space="0" w:color="auto"/>
            </w:tcBorders>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Median</w:t>
            </w:r>
          </w:p>
        </w:tc>
        <w:tc>
          <w:tcPr>
            <w:tcW w:w="960" w:type="dxa"/>
            <w:tcBorders>
              <w:bottom w:val="single" w:sz="4" w:space="0" w:color="auto"/>
            </w:tcBorders>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Mean</w:t>
            </w:r>
          </w:p>
        </w:tc>
        <w:tc>
          <w:tcPr>
            <w:tcW w:w="960" w:type="dxa"/>
            <w:tcBorders>
              <w:bottom w:val="single" w:sz="4" w:space="0" w:color="auto"/>
            </w:tcBorders>
            <w:noWrap/>
            <w:hideMark/>
          </w:tcPr>
          <w:p w:rsidR="00F85AF6" w:rsidRPr="00F85AF6" w:rsidRDefault="00F85AF6" w:rsidP="00A974E5">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S</w:t>
            </w:r>
            <w:r w:rsidR="00A974E5">
              <w:rPr>
                <w:rFonts w:eastAsiaTheme="minorHAnsi"/>
                <w:szCs w:val="24"/>
                <w:lang w:eastAsia="en-US"/>
              </w:rPr>
              <w:t>td</w:t>
            </w:r>
            <w:r w:rsidRPr="00F85AF6">
              <w:rPr>
                <w:rFonts w:eastAsiaTheme="minorHAnsi"/>
                <w:szCs w:val="24"/>
                <w:lang w:eastAsia="en-US"/>
              </w:rPr>
              <w:t>Dev</w:t>
            </w:r>
          </w:p>
        </w:tc>
        <w:tc>
          <w:tcPr>
            <w:tcW w:w="1045" w:type="dxa"/>
            <w:tcBorders>
              <w:bottom w:val="single" w:sz="4" w:space="0" w:color="auto"/>
            </w:tcBorders>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%=1</w:t>
            </w:r>
          </w:p>
        </w:tc>
      </w:tr>
      <w:tr w:rsidR="00F85AF6" w:rsidRPr="00F85AF6" w:rsidTr="00F85AF6">
        <w:trPr>
          <w:trHeight w:val="300"/>
          <w:jc w:val="center"/>
        </w:trPr>
        <w:tc>
          <w:tcPr>
            <w:tcW w:w="1216" w:type="dxa"/>
            <w:tcBorders>
              <w:top w:val="single" w:sz="4" w:space="0" w:color="auto"/>
            </w:tcBorders>
            <w:noWrap/>
            <w:hideMark/>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CRS</w:t>
            </w:r>
          </w:p>
        </w:tc>
        <w:tc>
          <w:tcPr>
            <w:tcW w:w="960" w:type="dxa"/>
            <w:tcBorders>
              <w:top w:val="single" w:sz="4" w:space="0" w:color="auto"/>
            </w:tcBorders>
            <w:noWrap/>
          </w:tcPr>
          <w:p w:rsidR="00F85AF6" w:rsidRPr="00F85AF6" w:rsidRDefault="00F85AF6" w:rsidP="00F85AF6">
            <w:pPr>
              <w:widowControl/>
              <w:adjustRightInd/>
              <w:spacing w:line="240" w:lineRule="auto"/>
              <w:jc w:val="left"/>
              <w:textAlignment w:val="auto"/>
              <w:rPr>
                <w:rFonts w:eastAsiaTheme="minorHAnsi"/>
                <w:szCs w:val="24"/>
                <w:lang w:eastAsia="en-US"/>
              </w:rPr>
            </w:pPr>
          </w:p>
        </w:tc>
        <w:tc>
          <w:tcPr>
            <w:tcW w:w="960" w:type="dxa"/>
            <w:tcBorders>
              <w:top w:val="single" w:sz="4" w:space="0" w:color="auto"/>
            </w:tcBorders>
            <w:noWrap/>
          </w:tcPr>
          <w:p w:rsidR="00F85AF6" w:rsidRPr="00F85AF6" w:rsidRDefault="00F85AF6" w:rsidP="00F85AF6">
            <w:pPr>
              <w:widowControl/>
              <w:adjustRightInd/>
              <w:spacing w:line="240" w:lineRule="auto"/>
              <w:jc w:val="left"/>
              <w:textAlignment w:val="auto"/>
              <w:rPr>
                <w:rFonts w:eastAsiaTheme="minorHAnsi"/>
                <w:szCs w:val="24"/>
                <w:lang w:eastAsia="en-US"/>
              </w:rPr>
            </w:pPr>
          </w:p>
        </w:tc>
        <w:tc>
          <w:tcPr>
            <w:tcW w:w="960" w:type="dxa"/>
            <w:tcBorders>
              <w:top w:val="single" w:sz="4" w:space="0" w:color="auto"/>
            </w:tcBorders>
            <w:noWrap/>
          </w:tcPr>
          <w:p w:rsidR="00F85AF6" w:rsidRPr="00F85AF6" w:rsidRDefault="00F85AF6" w:rsidP="00F85AF6">
            <w:pPr>
              <w:widowControl/>
              <w:adjustRightInd/>
              <w:spacing w:line="240" w:lineRule="auto"/>
              <w:jc w:val="left"/>
              <w:textAlignment w:val="auto"/>
              <w:rPr>
                <w:rFonts w:eastAsiaTheme="minorHAnsi"/>
                <w:szCs w:val="24"/>
                <w:lang w:eastAsia="en-US"/>
              </w:rPr>
            </w:pPr>
          </w:p>
        </w:tc>
        <w:tc>
          <w:tcPr>
            <w:tcW w:w="960" w:type="dxa"/>
            <w:tcBorders>
              <w:top w:val="single" w:sz="4" w:space="0" w:color="auto"/>
            </w:tcBorders>
            <w:noWrap/>
          </w:tcPr>
          <w:p w:rsidR="00F85AF6" w:rsidRPr="00F85AF6" w:rsidRDefault="00F85AF6" w:rsidP="00F85AF6">
            <w:pPr>
              <w:widowControl/>
              <w:adjustRightInd/>
              <w:spacing w:line="240" w:lineRule="auto"/>
              <w:jc w:val="left"/>
              <w:textAlignment w:val="auto"/>
              <w:rPr>
                <w:rFonts w:eastAsiaTheme="minorHAnsi"/>
                <w:szCs w:val="24"/>
                <w:lang w:eastAsia="en-US"/>
              </w:rPr>
            </w:pPr>
          </w:p>
        </w:tc>
        <w:tc>
          <w:tcPr>
            <w:tcW w:w="1045" w:type="dxa"/>
            <w:tcBorders>
              <w:top w:val="single" w:sz="4" w:space="0" w:color="auto"/>
            </w:tcBorders>
            <w:noWrap/>
          </w:tcPr>
          <w:p w:rsidR="00F85AF6" w:rsidRPr="00F85AF6" w:rsidRDefault="00F85AF6" w:rsidP="00F85AF6">
            <w:pPr>
              <w:widowControl/>
              <w:adjustRightInd/>
              <w:spacing w:line="240" w:lineRule="auto"/>
              <w:jc w:val="left"/>
              <w:textAlignment w:val="auto"/>
              <w:rPr>
                <w:rFonts w:eastAsiaTheme="minorHAnsi"/>
                <w:szCs w:val="24"/>
                <w:lang w:eastAsia="en-US"/>
              </w:rPr>
            </w:pPr>
          </w:p>
        </w:tc>
      </w:tr>
      <w:tr w:rsidR="00F85AF6" w:rsidRPr="00F85AF6" w:rsidTr="00F85AF6">
        <w:trPr>
          <w:trHeight w:val="300"/>
          <w:jc w:val="center"/>
        </w:trPr>
        <w:tc>
          <w:tcPr>
            <w:tcW w:w="1216"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2004</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0.481</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0.807</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0.813</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0.140</w:t>
            </w:r>
          </w:p>
        </w:tc>
        <w:tc>
          <w:tcPr>
            <w:tcW w:w="1045"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17%</w:t>
            </w:r>
          </w:p>
        </w:tc>
      </w:tr>
      <w:tr w:rsidR="00F85AF6" w:rsidRPr="00F85AF6" w:rsidTr="00F85AF6">
        <w:trPr>
          <w:trHeight w:val="300"/>
          <w:jc w:val="center"/>
        </w:trPr>
        <w:tc>
          <w:tcPr>
            <w:tcW w:w="1216"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2005</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0.454</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0.811</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0.811</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0.141</w:t>
            </w:r>
          </w:p>
        </w:tc>
        <w:tc>
          <w:tcPr>
            <w:tcW w:w="1045"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15%</w:t>
            </w:r>
          </w:p>
        </w:tc>
      </w:tr>
      <w:tr w:rsidR="00F85AF6" w:rsidRPr="00F85AF6" w:rsidTr="00F85AF6">
        <w:trPr>
          <w:trHeight w:val="300"/>
          <w:jc w:val="center"/>
        </w:trPr>
        <w:tc>
          <w:tcPr>
            <w:tcW w:w="1216"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2006</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0.421</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0.812</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0.817</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0.137</w:t>
            </w:r>
          </w:p>
        </w:tc>
        <w:tc>
          <w:tcPr>
            <w:tcW w:w="1045"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18%</w:t>
            </w:r>
          </w:p>
        </w:tc>
      </w:tr>
      <w:tr w:rsidR="00F85AF6" w:rsidRPr="00F85AF6" w:rsidTr="00F85AF6">
        <w:trPr>
          <w:trHeight w:val="300"/>
          <w:jc w:val="center"/>
        </w:trPr>
        <w:tc>
          <w:tcPr>
            <w:tcW w:w="1216"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2007</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0.414</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0.816</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0.822</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0.141</w:t>
            </w:r>
          </w:p>
        </w:tc>
        <w:tc>
          <w:tcPr>
            <w:tcW w:w="1045"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21%</w:t>
            </w:r>
          </w:p>
        </w:tc>
      </w:tr>
      <w:tr w:rsidR="00F85AF6" w:rsidRPr="00F85AF6" w:rsidTr="00F85AF6">
        <w:trPr>
          <w:trHeight w:val="300"/>
          <w:jc w:val="center"/>
        </w:trPr>
        <w:tc>
          <w:tcPr>
            <w:tcW w:w="1216"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2008</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0.397</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0.815</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0.819</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0.143</w:t>
            </w:r>
          </w:p>
        </w:tc>
        <w:tc>
          <w:tcPr>
            <w:tcW w:w="1045"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21%</w:t>
            </w:r>
          </w:p>
        </w:tc>
      </w:tr>
      <w:tr w:rsidR="00F85AF6" w:rsidRPr="00F85AF6" w:rsidTr="00F85AF6">
        <w:trPr>
          <w:trHeight w:val="300"/>
          <w:jc w:val="center"/>
        </w:trPr>
        <w:tc>
          <w:tcPr>
            <w:tcW w:w="1216"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2009</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0.437</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0.819</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0.819</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0.140</w:t>
            </w:r>
          </w:p>
        </w:tc>
        <w:tc>
          <w:tcPr>
            <w:tcW w:w="1045"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18%</w:t>
            </w:r>
          </w:p>
        </w:tc>
      </w:tr>
      <w:tr w:rsidR="00F85AF6" w:rsidRPr="00F85AF6" w:rsidTr="00F85AF6">
        <w:trPr>
          <w:trHeight w:val="300"/>
          <w:jc w:val="center"/>
        </w:trPr>
        <w:tc>
          <w:tcPr>
            <w:tcW w:w="1216"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2010</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0.432</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0.836</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0.826</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0.135</w:t>
            </w:r>
          </w:p>
        </w:tc>
        <w:tc>
          <w:tcPr>
            <w:tcW w:w="1045"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17%</w:t>
            </w:r>
          </w:p>
        </w:tc>
      </w:tr>
      <w:tr w:rsidR="00F85AF6" w:rsidRPr="00F85AF6" w:rsidTr="00F85AF6">
        <w:trPr>
          <w:trHeight w:val="300"/>
          <w:jc w:val="center"/>
        </w:trPr>
        <w:tc>
          <w:tcPr>
            <w:tcW w:w="1216"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2011</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0.458</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0.844</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0.829</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0.142</w:t>
            </w:r>
          </w:p>
        </w:tc>
        <w:tc>
          <w:tcPr>
            <w:tcW w:w="1045"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20%</w:t>
            </w:r>
          </w:p>
        </w:tc>
      </w:tr>
      <w:tr w:rsidR="00F85AF6" w:rsidRPr="00F85AF6" w:rsidTr="00F85AF6">
        <w:trPr>
          <w:trHeight w:val="300"/>
          <w:jc w:val="center"/>
        </w:trPr>
        <w:tc>
          <w:tcPr>
            <w:tcW w:w="1216"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2012</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0.404</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0.788</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0.793</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0.156</w:t>
            </w:r>
          </w:p>
        </w:tc>
        <w:tc>
          <w:tcPr>
            <w:tcW w:w="1045"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20%</w:t>
            </w:r>
          </w:p>
        </w:tc>
      </w:tr>
      <w:tr w:rsidR="00F85AF6" w:rsidRPr="00F85AF6" w:rsidTr="00F85AF6">
        <w:trPr>
          <w:trHeight w:val="300"/>
          <w:jc w:val="center"/>
        </w:trPr>
        <w:tc>
          <w:tcPr>
            <w:tcW w:w="1216"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2013</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0.376</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0.756</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0.769</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0.150</w:t>
            </w:r>
          </w:p>
        </w:tc>
        <w:tc>
          <w:tcPr>
            <w:tcW w:w="1045"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12%</w:t>
            </w:r>
          </w:p>
        </w:tc>
      </w:tr>
      <w:tr w:rsidR="00F85AF6" w:rsidRPr="00F85AF6" w:rsidTr="00F85AF6">
        <w:trPr>
          <w:trHeight w:val="300"/>
          <w:jc w:val="center"/>
        </w:trPr>
        <w:tc>
          <w:tcPr>
            <w:tcW w:w="1216" w:type="dxa"/>
            <w:noWrap/>
            <w:hideMark/>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VRS</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p>
        </w:tc>
        <w:tc>
          <w:tcPr>
            <w:tcW w:w="1045"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p>
        </w:tc>
      </w:tr>
      <w:tr w:rsidR="00F85AF6" w:rsidRPr="00F85AF6" w:rsidTr="00F85AF6">
        <w:trPr>
          <w:trHeight w:val="300"/>
          <w:jc w:val="center"/>
        </w:trPr>
        <w:tc>
          <w:tcPr>
            <w:tcW w:w="1216"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2004</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0.626</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0.964</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0.925</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0.094</w:t>
            </w:r>
          </w:p>
        </w:tc>
        <w:tc>
          <w:tcPr>
            <w:tcW w:w="1045"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42%</w:t>
            </w:r>
          </w:p>
        </w:tc>
      </w:tr>
      <w:tr w:rsidR="00F85AF6" w:rsidRPr="00F85AF6" w:rsidTr="00F85AF6">
        <w:trPr>
          <w:trHeight w:val="300"/>
          <w:jc w:val="center"/>
        </w:trPr>
        <w:tc>
          <w:tcPr>
            <w:tcW w:w="1216"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2005</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0.578</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0.966</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0.927</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0.090</w:t>
            </w:r>
          </w:p>
        </w:tc>
        <w:tc>
          <w:tcPr>
            <w:tcW w:w="1045"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42%</w:t>
            </w:r>
          </w:p>
        </w:tc>
      </w:tr>
      <w:tr w:rsidR="00F85AF6" w:rsidRPr="00F85AF6" w:rsidTr="00F85AF6">
        <w:trPr>
          <w:trHeight w:val="300"/>
          <w:jc w:val="center"/>
        </w:trPr>
        <w:tc>
          <w:tcPr>
            <w:tcW w:w="1216"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2006</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0.609</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0.962</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0.926</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0.090</w:t>
            </w:r>
          </w:p>
        </w:tc>
        <w:tc>
          <w:tcPr>
            <w:tcW w:w="1045"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40%</w:t>
            </w:r>
          </w:p>
        </w:tc>
      </w:tr>
      <w:tr w:rsidR="00F85AF6" w:rsidRPr="00F85AF6" w:rsidTr="00F85AF6">
        <w:trPr>
          <w:trHeight w:val="300"/>
          <w:jc w:val="center"/>
        </w:trPr>
        <w:tc>
          <w:tcPr>
            <w:tcW w:w="1216"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2007</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0.587</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0.972</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0.927</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0.091</w:t>
            </w:r>
          </w:p>
        </w:tc>
        <w:tc>
          <w:tcPr>
            <w:tcW w:w="1045"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41%</w:t>
            </w:r>
          </w:p>
        </w:tc>
      </w:tr>
      <w:tr w:rsidR="00F85AF6" w:rsidRPr="00F85AF6" w:rsidTr="00F85AF6">
        <w:trPr>
          <w:trHeight w:val="300"/>
          <w:jc w:val="center"/>
        </w:trPr>
        <w:tc>
          <w:tcPr>
            <w:tcW w:w="1216"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2008</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0.614</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0.963</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0.921</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0.096</w:t>
            </w:r>
          </w:p>
        </w:tc>
        <w:tc>
          <w:tcPr>
            <w:tcW w:w="1045"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39%</w:t>
            </w:r>
          </w:p>
        </w:tc>
      </w:tr>
      <w:tr w:rsidR="00F85AF6" w:rsidRPr="00F85AF6" w:rsidTr="00F85AF6">
        <w:trPr>
          <w:trHeight w:val="300"/>
          <w:jc w:val="center"/>
        </w:trPr>
        <w:tc>
          <w:tcPr>
            <w:tcW w:w="1216"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2009</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0.602</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0.950</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0.918</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0.093</w:t>
            </w:r>
          </w:p>
        </w:tc>
        <w:tc>
          <w:tcPr>
            <w:tcW w:w="1045"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39%</w:t>
            </w:r>
          </w:p>
        </w:tc>
      </w:tr>
      <w:tr w:rsidR="00F85AF6" w:rsidRPr="00F85AF6" w:rsidTr="00F85AF6">
        <w:trPr>
          <w:trHeight w:val="300"/>
          <w:jc w:val="center"/>
        </w:trPr>
        <w:tc>
          <w:tcPr>
            <w:tcW w:w="1216"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2010</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0.622</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0.949</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0.920</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0.091</w:t>
            </w:r>
          </w:p>
        </w:tc>
        <w:tc>
          <w:tcPr>
            <w:tcW w:w="1045"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39%</w:t>
            </w:r>
          </w:p>
        </w:tc>
      </w:tr>
      <w:tr w:rsidR="00F85AF6" w:rsidRPr="00F85AF6" w:rsidTr="00F85AF6">
        <w:trPr>
          <w:trHeight w:val="300"/>
          <w:jc w:val="center"/>
        </w:trPr>
        <w:tc>
          <w:tcPr>
            <w:tcW w:w="1216"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2011</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0.621</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0.957</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0.918</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0.093</w:t>
            </w:r>
          </w:p>
        </w:tc>
        <w:tc>
          <w:tcPr>
            <w:tcW w:w="1045"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39%</w:t>
            </w:r>
          </w:p>
        </w:tc>
      </w:tr>
      <w:tr w:rsidR="00F85AF6" w:rsidRPr="00F85AF6" w:rsidTr="00F85AF6">
        <w:trPr>
          <w:trHeight w:val="300"/>
          <w:jc w:val="center"/>
        </w:trPr>
        <w:tc>
          <w:tcPr>
            <w:tcW w:w="1216"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2012</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0.606</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0.943</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0.903</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0.106</w:t>
            </w:r>
          </w:p>
        </w:tc>
        <w:tc>
          <w:tcPr>
            <w:tcW w:w="1045"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39%</w:t>
            </w:r>
          </w:p>
        </w:tc>
      </w:tr>
      <w:tr w:rsidR="00F85AF6" w:rsidRPr="00F85AF6" w:rsidTr="00F85AF6">
        <w:trPr>
          <w:trHeight w:val="300"/>
          <w:jc w:val="center"/>
        </w:trPr>
        <w:tc>
          <w:tcPr>
            <w:tcW w:w="1216"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2013</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0.624</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0.941</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0.904</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0.105</w:t>
            </w:r>
          </w:p>
        </w:tc>
        <w:tc>
          <w:tcPr>
            <w:tcW w:w="1045"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35%</w:t>
            </w:r>
          </w:p>
        </w:tc>
      </w:tr>
      <w:tr w:rsidR="00F85AF6" w:rsidRPr="00F85AF6" w:rsidTr="00F85AF6">
        <w:trPr>
          <w:trHeight w:val="300"/>
          <w:jc w:val="center"/>
        </w:trPr>
        <w:tc>
          <w:tcPr>
            <w:tcW w:w="1216" w:type="dxa"/>
            <w:noWrap/>
            <w:hideMark/>
          </w:tcPr>
          <w:p w:rsidR="00F85AF6" w:rsidRPr="00F85AF6" w:rsidRDefault="00F85AF6" w:rsidP="00F85AF6">
            <w:pPr>
              <w:widowControl/>
              <w:adjustRightInd/>
              <w:spacing w:line="240" w:lineRule="auto"/>
              <w:jc w:val="left"/>
              <w:textAlignment w:val="auto"/>
              <w:rPr>
                <w:rFonts w:eastAsiaTheme="minorHAnsi"/>
                <w:szCs w:val="24"/>
                <w:lang w:eastAsia="en-US"/>
              </w:rPr>
            </w:pPr>
            <w:r w:rsidRPr="00F85AF6">
              <w:rPr>
                <w:rFonts w:eastAsiaTheme="minorHAnsi"/>
                <w:szCs w:val="24"/>
                <w:lang w:eastAsia="en-US"/>
              </w:rPr>
              <w:t>Scale</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p>
        </w:tc>
        <w:tc>
          <w:tcPr>
            <w:tcW w:w="1045"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p>
        </w:tc>
      </w:tr>
      <w:tr w:rsidR="00F85AF6" w:rsidRPr="00F85AF6" w:rsidTr="00F85AF6">
        <w:trPr>
          <w:trHeight w:val="300"/>
          <w:jc w:val="center"/>
        </w:trPr>
        <w:tc>
          <w:tcPr>
            <w:tcW w:w="1216"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2004</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0.481</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0.895</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0.879</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0.110</w:t>
            </w:r>
          </w:p>
        </w:tc>
        <w:tc>
          <w:tcPr>
            <w:tcW w:w="1045"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18%</w:t>
            </w:r>
          </w:p>
        </w:tc>
      </w:tr>
      <w:tr w:rsidR="00F85AF6" w:rsidRPr="00F85AF6" w:rsidTr="00F85AF6">
        <w:trPr>
          <w:trHeight w:val="300"/>
          <w:jc w:val="center"/>
        </w:trPr>
        <w:tc>
          <w:tcPr>
            <w:tcW w:w="1216"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2005</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0.454</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0.905</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0.875</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0.119</w:t>
            </w:r>
          </w:p>
        </w:tc>
        <w:tc>
          <w:tcPr>
            <w:tcW w:w="1045"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16%</w:t>
            </w:r>
          </w:p>
        </w:tc>
      </w:tr>
      <w:tr w:rsidR="00F85AF6" w:rsidRPr="00F85AF6" w:rsidTr="00F85AF6">
        <w:trPr>
          <w:trHeight w:val="300"/>
          <w:jc w:val="center"/>
        </w:trPr>
        <w:tc>
          <w:tcPr>
            <w:tcW w:w="1216"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2006</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0.421</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0.906</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0.882</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0.112</w:t>
            </w:r>
          </w:p>
        </w:tc>
        <w:tc>
          <w:tcPr>
            <w:tcW w:w="1045"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20%</w:t>
            </w:r>
          </w:p>
        </w:tc>
      </w:tr>
      <w:tr w:rsidR="00F85AF6" w:rsidRPr="00F85AF6" w:rsidTr="00F85AF6">
        <w:trPr>
          <w:trHeight w:val="300"/>
          <w:jc w:val="center"/>
        </w:trPr>
        <w:tc>
          <w:tcPr>
            <w:tcW w:w="1216"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2007</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0.414</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0.908</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0.885</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0.112</w:t>
            </w:r>
          </w:p>
        </w:tc>
        <w:tc>
          <w:tcPr>
            <w:tcW w:w="1045"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20%</w:t>
            </w:r>
          </w:p>
        </w:tc>
      </w:tr>
      <w:tr w:rsidR="00F85AF6" w:rsidRPr="00F85AF6" w:rsidTr="00F85AF6">
        <w:trPr>
          <w:trHeight w:val="300"/>
          <w:jc w:val="center"/>
        </w:trPr>
        <w:tc>
          <w:tcPr>
            <w:tcW w:w="1216"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2008</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0.397</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0.923</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0.889</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0.113</w:t>
            </w:r>
          </w:p>
        </w:tc>
        <w:tc>
          <w:tcPr>
            <w:tcW w:w="1045"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20%</w:t>
            </w:r>
          </w:p>
        </w:tc>
      </w:tr>
      <w:tr w:rsidR="00F85AF6" w:rsidRPr="00F85AF6" w:rsidTr="00F85AF6">
        <w:trPr>
          <w:trHeight w:val="300"/>
          <w:jc w:val="center"/>
        </w:trPr>
        <w:tc>
          <w:tcPr>
            <w:tcW w:w="1216"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2009</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0.437</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0.920</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0.891</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0.112</w:t>
            </w:r>
          </w:p>
        </w:tc>
        <w:tc>
          <w:tcPr>
            <w:tcW w:w="1045"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20%</w:t>
            </w:r>
          </w:p>
        </w:tc>
      </w:tr>
      <w:tr w:rsidR="00F85AF6" w:rsidRPr="00F85AF6" w:rsidTr="00F85AF6">
        <w:trPr>
          <w:trHeight w:val="300"/>
          <w:jc w:val="center"/>
        </w:trPr>
        <w:tc>
          <w:tcPr>
            <w:tcW w:w="1216"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2010</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0.432</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0.933</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0.898</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0.109</w:t>
            </w:r>
          </w:p>
        </w:tc>
        <w:tc>
          <w:tcPr>
            <w:tcW w:w="1045"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18%</w:t>
            </w:r>
          </w:p>
        </w:tc>
      </w:tr>
      <w:tr w:rsidR="00F85AF6" w:rsidRPr="00F85AF6" w:rsidTr="00F85AF6">
        <w:trPr>
          <w:trHeight w:val="300"/>
          <w:jc w:val="center"/>
        </w:trPr>
        <w:tc>
          <w:tcPr>
            <w:tcW w:w="1216"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2011</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0.496</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0.947</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0.902</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0.112</w:t>
            </w:r>
          </w:p>
        </w:tc>
        <w:tc>
          <w:tcPr>
            <w:tcW w:w="1045"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22%</w:t>
            </w:r>
          </w:p>
        </w:tc>
      </w:tr>
      <w:tr w:rsidR="00F85AF6" w:rsidRPr="00F85AF6" w:rsidTr="00F85AF6">
        <w:trPr>
          <w:trHeight w:val="300"/>
          <w:jc w:val="center"/>
        </w:trPr>
        <w:tc>
          <w:tcPr>
            <w:tcW w:w="1216"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2012</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0.404</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0.897</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0.877</w:t>
            </w:r>
          </w:p>
        </w:tc>
        <w:tc>
          <w:tcPr>
            <w:tcW w:w="960"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0.120</w:t>
            </w:r>
          </w:p>
        </w:tc>
        <w:tc>
          <w:tcPr>
            <w:tcW w:w="1045" w:type="dxa"/>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20%</w:t>
            </w:r>
          </w:p>
        </w:tc>
      </w:tr>
      <w:tr w:rsidR="00F85AF6" w:rsidRPr="00F85AF6" w:rsidTr="00F85AF6">
        <w:trPr>
          <w:trHeight w:val="300"/>
          <w:jc w:val="center"/>
        </w:trPr>
        <w:tc>
          <w:tcPr>
            <w:tcW w:w="1216" w:type="dxa"/>
            <w:tcBorders>
              <w:bottom w:val="single" w:sz="4" w:space="0" w:color="auto"/>
            </w:tcBorders>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2013</w:t>
            </w:r>
          </w:p>
        </w:tc>
        <w:tc>
          <w:tcPr>
            <w:tcW w:w="960" w:type="dxa"/>
            <w:tcBorders>
              <w:bottom w:val="single" w:sz="4" w:space="0" w:color="auto"/>
            </w:tcBorders>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0.376</w:t>
            </w:r>
          </w:p>
        </w:tc>
        <w:tc>
          <w:tcPr>
            <w:tcW w:w="960" w:type="dxa"/>
            <w:tcBorders>
              <w:bottom w:val="single" w:sz="4" w:space="0" w:color="auto"/>
            </w:tcBorders>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0.854</w:t>
            </w:r>
          </w:p>
        </w:tc>
        <w:tc>
          <w:tcPr>
            <w:tcW w:w="960" w:type="dxa"/>
            <w:tcBorders>
              <w:bottom w:val="single" w:sz="4" w:space="0" w:color="auto"/>
            </w:tcBorders>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0.850</w:t>
            </w:r>
          </w:p>
        </w:tc>
        <w:tc>
          <w:tcPr>
            <w:tcW w:w="960" w:type="dxa"/>
            <w:tcBorders>
              <w:bottom w:val="single" w:sz="4" w:space="0" w:color="auto"/>
            </w:tcBorders>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0.123</w:t>
            </w:r>
          </w:p>
        </w:tc>
        <w:tc>
          <w:tcPr>
            <w:tcW w:w="1045" w:type="dxa"/>
            <w:tcBorders>
              <w:bottom w:val="single" w:sz="4" w:space="0" w:color="auto"/>
            </w:tcBorders>
            <w:noWrap/>
            <w:hideMark/>
          </w:tcPr>
          <w:p w:rsidR="00F85AF6" w:rsidRPr="00F85AF6" w:rsidRDefault="00F85AF6" w:rsidP="00F85AF6">
            <w:pPr>
              <w:widowControl/>
              <w:adjustRightInd/>
              <w:spacing w:line="240" w:lineRule="auto"/>
              <w:jc w:val="right"/>
              <w:textAlignment w:val="auto"/>
              <w:rPr>
                <w:rFonts w:eastAsiaTheme="minorHAnsi"/>
                <w:szCs w:val="24"/>
                <w:lang w:eastAsia="en-US"/>
              </w:rPr>
            </w:pPr>
            <w:r w:rsidRPr="00F85AF6">
              <w:rPr>
                <w:rFonts w:eastAsiaTheme="minorHAnsi"/>
                <w:szCs w:val="24"/>
                <w:lang w:eastAsia="en-US"/>
              </w:rPr>
              <w:t>13%</w:t>
            </w:r>
          </w:p>
        </w:tc>
      </w:tr>
    </w:tbl>
    <w:p w:rsidR="00CB712F" w:rsidRDefault="00CB712F" w:rsidP="00E2327D">
      <w:pPr>
        <w:pStyle w:val="Default"/>
        <w:spacing w:line="360" w:lineRule="auto"/>
        <w:ind w:firstLine="482"/>
      </w:pPr>
    </w:p>
    <w:p w:rsidR="00E2327D" w:rsidRDefault="00E2327D" w:rsidP="00E2327D">
      <w:pPr>
        <w:pStyle w:val="Default"/>
        <w:spacing w:line="360" w:lineRule="auto"/>
        <w:ind w:firstLine="482"/>
      </w:pPr>
      <w:r>
        <w:t>The absence of the scale inefficiencies embedded in the VRS results produce the larger university efficiencies across all years. However, there are only a few exceptions to the chain of efficienc</w:t>
      </w:r>
      <w:r w:rsidR="00A974E5">
        <w:t>y</w:t>
      </w:r>
      <w:r>
        <w:t xml:space="preserve"> changes under the VRS compared to the CRS results. Most notably, under VRS model, universities experience an efficiency decrease in the post-recession 2009 year </w:t>
      </w:r>
      <w:r w:rsidR="00EF7E97">
        <w:t xml:space="preserve">compared to the </w:t>
      </w:r>
      <w:r w:rsidR="00EF7E97">
        <w:lastRenderedPageBreak/>
        <w:t xml:space="preserve">efficiency </w:t>
      </w:r>
      <w:r>
        <w:t>stability noted under the CRS estimate. The reverse holds in the 2013 academic year with a slight VRS efficiency improvement compared to the continued CRS 2013 efficiency decrease. The same increases in efficiency variability hold under the VRS as the CRS results for last of the three academic years.</w:t>
      </w:r>
    </w:p>
    <w:p w:rsidR="00E2327D" w:rsidRDefault="00E2327D" w:rsidP="00E2327D">
      <w:pPr>
        <w:pStyle w:val="Default"/>
        <w:spacing w:line="360" w:lineRule="auto"/>
        <w:ind w:firstLine="482"/>
      </w:pPr>
      <w:r>
        <w:t>The percentage of universities that are operating on the frontier and, therefore, are efficient is presented in the last column of Table 2. Again, with the scale inefficiencies included in the CRS results, those percentages are lower than under the VRS results. To capture those differences, as well as the differences in the efficiency estimates under both models, Table 2 also presents the scale results. For the latter, those percentages pertain to universities operating under constant returns to scale. Because the DEA estimates revealed that no universities operated under increasing returns to scale, the Table 2 remaining percentage of universities, therefore, experienced decreasing returns to scale, e.g., in 2013 decreasing returns applies to 87% of universities. Thus, the vast majority of decreasing returns to scale universities are off the frontier and leave the low percentage of universities operating efficiently under the CRS results. But, the largest 21% of universities operating efficiently under CRS occurs during the two recession academic years, thereby being somewhat consistent with an efficiency improvement. Under VRS, there occurs an increase to 41% of efficiently operating universities in the first 2007 recession year, but falls to 39% thereafter and remains stable at that level until the drop to 35% in 2013. The 2012 to 2013 CRS efficiently operating universities falls from 20% to 12% and is the result of the decrease from 20% to 13% in constant returns to scale universities and an increase from 80% to 87% of universities operating under decreasing returns.</w:t>
      </w:r>
    </w:p>
    <w:p w:rsidR="00E2327D" w:rsidRDefault="00E2327D" w:rsidP="00E2327D">
      <w:pPr>
        <w:pStyle w:val="Default"/>
        <w:spacing w:line="360" w:lineRule="auto"/>
        <w:ind w:firstLine="482"/>
      </w:pPr>
      <w:r>
        <w:t xml:space="preserve">Turning to estimates of changes in university productivities afforded by the panel data, Table 3 presents the </w:t>
      </w:r>
      <w:r w:rsidRPr="00220C13">
        <w:t>Malmquist</w:t>
      </w:r>
      <w:r>
        <w:t xml:space="preserve"> results, including the </w:t>
      </w:r>
      <w:r w:rsidRPr="00220C13">
        <w:t>total factor productivity change</w:t>
      </w:r>
      <w:r>
        <w:t xml:space="preserve">s and the decompositions into </w:t>
      </w:r>
      <w:r w:rsidRPr="00220C13">
        <w:t>technological</w:t>
      </w:r>
      <w:r>
        <w:t>,</w:t>
      </w:r>
      <w:r w:rsidRPr="00220C13">
        <w:t xml:space="preserve"> </w:t>
      </w:r>
      <w:r>
        <w:t xml:space="preserve">technical, </w:t>
      </w:r>
      <w:r w:rsidRPr="00220C13">
        <w:t>managerial</w:t>
      </w:r>
      <w:r>
        <w:t>,</w:t>
      </w:r>
      <w:r w:rsidRPr="00220C13">
        <w:t xml:space="preserve"> </w:t>
      </w:r>
      <w:r>
        <w:t xml:space="preserve"> and scale efficiency change</w:t>
      </w:r>
      <w:r w:rsidRPr="00220C13">
        <w:t>.</w:t>
      </w:r>
    </w:p>
    <w:p w:rsidR="00E2327D" w:rsidRDefault="00E2327D" w:rsidP="00E2327D">
      <w:pPr>
        <w:pStyle w:val="Default"/>
        <w:spacing w:line="360" w:lineRule="auto"/>
        <w:ind w:firstLine="482"/>
      </w:pPr>
      <w:r>
        <w:t xml:space="preserve">The total productivity results indicate that universities managed to improve total productivity in 2007 but then experienced productivity decreases in both the 2008 and 2009 academic years. Taking into consideration a lag in university adjustments to the recession, however, there is </w:t>
      </w:r>
      <w:r w:rsidR="00EF7E97">
        <w:t>a significant productivity gain</w:t>
      </w:r>
      <w:r>
        <w:t xml:space="preserve"> in 2010 (4.1%) and </w:t>
      </w:r>
      <w:r w:rsidR="00EF7E97">
        <w:t xml:space="preserve">is </w:t>
      </w:r>
      <w:r>
        <w:t>followed by yet another gain in 2011 (2.5%). Thereafter, however, the declines in 2012 and 2013 fell even below the pre-recession productivity of 2005. Also, in 2013, the total productivity estimate of 0.992 is but 91% of the largest productivity gain of 1.041 realized in 2010.</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1216"/>
        <w:gridCol w:w="1216"/>
        <w:gridCol w:w="1216"/>
        <w:gridCol w:w="1469"/>
        <w:gridCol w:w="960"/>
      </w:tblGrid>
      <w:tr w:rsidR="007B3AE1" w:rsidRPr="007B3AE1" w:rsidTr="00066800">
        <w:trPr>
          <w:trHeight w:val="300"/>
          <w:jc w:val="center"/>
        </w:trPr>
        <w:tc>
          <w:tcPr>
            <w:tcW w:w="7760" w:type="dxa"/>
            <w:gridSpan w:val="6"/>
            <w:noWrap/>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lastRenderedPageBreak/>
              <w:t>Table 3. Malmquist Productivity Decomposition Result</w:t>
            </w:r>
          </w:p>
          <w:p w:rsidR="007B3AE1" w:rsidRPr="007B3AE1" w:rsidRDefault="007B3AE1" w:rsidP="007B3AE1">
            <w:pPr>
              <w:widowControl/>
              <w:adjustRightInd/>
              <w:spacing w:line="240" w:lineRule="auto"/>
              <w:jc w:val="center"/>
              <w:textAlignment w:val="auto"/>
              <w:rPr>
                <w:rFonts w:eastAsiaTheme="minorHAnsi"/>
                <w:szCs w:val="24"/>
                <w:lang w:eastAsia="en-US"/>
              </w:rPr>
            </w:pPr>
          </w:p>
        </w:tc>
      </w:tr>
      <w:tr w:rsidR="007B3AE1" w:rsidRPr="007B3AE1" w:rsidTr="00066800">
        <w:trPr>
          <w:trHeight w:val="300"/>
          <w:jc w:val="center"/>
        </w:trPr>
        <w:tc>
          <w:tcPr>
            <w:tcW w:w="1683" w:type="dxa"/>
            <w:tcBorders>
              <w:bottom w:val="single" w:sz="4" w:space="0" w:color="auto"/>
            </w:tcBorders>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p>
        </w:tc>
        <w:tc>
          <w:tcPr>
            <w:tcW w:w="1216" w:type="dxa"/>
            <w:tcBorders>
              <w:bottom w:val="single" w:sz="4" w:space="0" w:color="auto"/>
            </w:tcBorders>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Total</w:t>
            </w:r>
          </w:p>
        </w:tc>
        <w:tc>
          <w:tcPr>
            <w:tcW w:w="1216" w:type="dxa"/>
            <w:tcBorders>
              <w:bottom w:val="single" w:sz="4" w:space="0" w:color="auto"/>
            </w:tcBorders>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Technical</w:t>
            </w:r>
          </w:p>
        </w:tc>
        <w:tc>
          <w:tcPr>
            <w:tcW w:w="1216" w:type="dxa"/>
            <w:tcBorders>
              <w:bottom w:val="single" w:sz="4" w:space="0" w:color="auto"/>
            </w:tcBorders>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Efficiency</w:t>
            </w:r>
          </w:p>
        </w:tc>
        <w:tc>
          <w:tcPr>
            <w:tcW w:w="1469" w:type="dxa"/>
            <w:tcBorders>
              <w:bottom w:val="single" w:sz="4" w:space="0" w:color="auto"/>
            </w:tcBorders>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Management</w:t>
            </w:r>
          </w:p>
        </w:tc>
        <w:tc>
          <w:tcPr>
            <w:tcW w:w="960" w:type="dxa"/>
            <w:tcBorders>
              <w:bottom w:val="single" w:sz="4" w:space="0" w:color="auto"/>
            </w:tcBorders>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Scale</w:t>
            </w:r>
          </w:p>
        </w:tc>
      </w:tr>
      <w:tr w:rsidR="007B3AE1" w:rsidRPr="007B3AE1" w:rsidTr="00066800">
        <w:trPr>
          <w:trHeight w:val="300"/>
          <w:jc w:val="center"/>
        </w:trPr>
        <w:tc>
          <w:tcPr>
            <w:tcW w:w="1683" w:type="dxa"/>
            <w:tcBorders>
              <w:top w:val="single" w:sz="4" w:space="0" w:color="auto"/>
            </w:tcBorders>
            <w:noWrap/>
          </w:tcPr>
          <w:p w:rsidR="007B3AE1" w:rsidRPr="007B3AE1" w:rsidRDefault="007B3AE1" w:rsidP="007B3AE1">
            <w:pPr>
              <w:widowControl/>
              <w:adjustRightInd/>
              <w:spacing w:line="240" w:lineRule="auto"/>
              <w:jc w:val="left"/>
              <w:textAlignment w:val="auto"/>
              <w:rPr>
                <w:rFonts w:eastAsiaTheme="minorHAnsi"/>
                <w:szCs w:val="24"/>
                <w:lang w:eastAsia="en-US"/>
              </w:rPr>
            </w:pPr>
            <w:r w:rsidRPr="007B3AE1">
              <w:rPr>
                <w:rFonts w:eastAsiaTheme="minorHAnsi"/>
                <w:szCs w:val="24"/>
                <w:lang w:eastAsia="en-US"/>
              </w:rPr>
              <w:t>Mean</w:t>
            </w:r>
          </w:p>
        </w:tc>
        <w:tc>
          <w:tcPr>
            <w:tcW w:w="1216" w:type="dxa"/>
            <w:tcBorders>
              <w:top w:val="single" w:sz="4" w:space="0" w:color="auto"/>
            </w:tcBorders>
          </w:tcPr>
          <w:p w:rsidR="007B3AE1" w:rsidRPr="007B3AE1" w:rsidRDefault="007B3AE1" w:rsidP="007B3AE1">
            <w:pPr>
              <w:widowControl/>
              <w:adjustRightInd/>
              <w:spacing w:line="240" w:lineRule="auto"/>
              <w:jc w:val="left"/>
              <w:textAlignment w:val="auto"/>
              <w:rPr>
                <w:rFonts w:eastAsiaTheme="minorHAnsi"/>
                <w:szCs w:val="24"/>
                <w:lang w:eastAsia="en-US"/>
              </w:rPr>
            </w:pPr>
          </w:p>
        </w:tc>
        <w:tc>
          <w:tcPr>
            <w:tcW w:w="1216" w:type="dxa"/>
            <w:tcBorders>
              <w:top w:val="single" w:sz="4" w:space="0" w:color="auto"/>
            </w:tcBorders>
          </w:tcPr>
          <w:p w:rsidR="007B3AE1" w:rsidRPr="007B3AE1" w:rsidRDefault="007B3AE1" w:rsidP="007B3AE1">
            <w:pPr>
              <w:widowControl/>
              <w:adjustRightInd/>
              <w:spacing w:line="240" w:lineRule="auto"/>
              <w:jc w:val="left"/>
              <w:textAlignment w:val="auto"/>
              <w:rPr>
                <w:rFonts w:eastAsiaTheme="minorHAnsi"/>
                <w:szCs w:val="24"/>
                <w:lang w:eastAsia="en-US"/>
              </w:rPr>
            </w:pPr>
          </w:p>
        </w:tc>
        <w:tc>
          <w:tcPr>
            <w:tcW w:w="1216" w:type="dxa"/>
            <w:tcBorders>
              <w:top w:val="single" w:sz="4" w:space="0" w:color="auto"/>
            </w:tcBorders>
            <w:noWrap/>
          </w:tcPr>
          <w:p w:rsidR="007B3AE1" w:rsidRPr="007B3AE1" w:rsidRDefault="007B3AE1" w:rsidP="007B3AE1">
            <w:pPr>
              <w:widowControl/>
              <w:adjustRightInd/>
              <w:spacing w:line="240" w:lineRule="auto"/>
              <w:jc w:val="left"/>
              <w:textAlignment w:val="auto"/>
              <w:rPr>
                <w:rFonts w:eastAsiaTheme="minorHAnsi"/>
                <w:szCs w:val="24"/>
                <w:lang w:eastAsia="en-US"/>
              </w:rPr>
            </w:pPr>
          </w:p>
        </w:tc>
        <w:tc>
          <w:tcPr>
            <w:tcW w:w="1469" w:type="dxa"/>
            <w:tcBorders>
              <w:top w:val="single" w:sz="4" w:space="0" w:color="auto"/>
            </w:tcBorders>
            <w:noWrap/>
          </w:tcPr>
          <w:p w:rsidR="007B3AE1" w:rsidRPr="007B3AE1" w:rsidRDefault="007B3AE1" w:rsidP="007B3AE1">
            <w:pPr>
              <w:widowControl/>
              <w:adjustRightInd/>
              <w:spacing w:line="240" w:lineRule="auto"/>
              <w:jc w:val="left"/>
              <w:textAlignment w:val="auto"/>
              <w:rPr>
                <w:rFonts w:eastAsiaTheme="minorHAnsi"/>
                <w:szCs w:val="24"/>
                <w:lang w:eastAsia="en-US"/>
              </w:rPr>
            </w:pPr>
          </w:p>
        </w:tc>
        <w:tc>
          <w:tcPr>
            <w:tcW w:w="960" w:type="dxa"/>
            <w:tcBorders>
              <w:top w:val="single" w:sz="4" w:space="0" w:color="auto"/>
            </w:tcBorders>
            <w:noWrap/>
          </w:tcPr>
          <w:p w:rsidR="007B3AE1" w:rsidRPr="007B3AE1" w:rsidRDefault="007B3AE1" w:rsidP="007B3AE1">
            <w:pPr>
              <w:widowControl/>
              <w:adjustRightInd/>
              <w:spacing w:line="240" w:lineRule="auto"/>
              <w:jc w:val="left"/>
              <w:textAlignment w:val="auto"/>
              <w:rPr>
                <w:rFonts w:eastAsiaTheme="minorHAnsi"/>
                <w:szCs w:val="24"/>
                <w:lang w:eastAsia="en-US"/>
              </w:rPr>
            </w:pPr>
          </w:p>
        </w:tc>
      </w:tr>
      <w:tr w:rsidR="007B3AE1" w:rsidRPr="007B3AE1" w:rsidTr="00066800">
        <w:trPr>
          <w:trHeight w:val="300"/>
          <w:jc w:val="center"/>
        </w:trPr>
        <w:tc>
          <w:tcPr>
            <w:tcW w:w="1683" w:type="dxa"/>
            <w:noWrap/>
            <w:hideMark/>
          </w:tcPr>
          <w:p w:rsidR="007B3AE1" w:rsidRPr="007B3AE1" w:rsidRDefault="007B3AE1" w:rsidP="007B3AE1">
            <w:pPr>
              <w:widowControl/>
              <w:adjustRightInd/>
              <w:spacing w:line="240" w:lineRule="auto"/>
              <w:jc w:val="right"/>
              <w:textAlignment w:val="auto"/>
              <w:rPr>
                <w:rFonts w:eastAsiaTheme="minorHAnsi"/>
                <w:szCs w:val="24"/>
                <w:lang w:eastAsia="en-US"/>
              </w:rPr>
            </w:pPr>
            <w:r w:rsidRPr="007B3AE1">
              <w:rPr>
                <w:rFonts w:eastAsiaTheme="minorHAnsi"/>
                <w:szCs w:val="24"/>
                <w:lang w:eastAsia="en-US"/>
              </w:rPr>
              <w:t>2005</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0.995</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0.994</w:t>
            </w:r>
          </w:p>
        </w:tc>
        <w:tc>
          <w:tcPr>
            <w:tcW w:w="1216"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1.001</w:t>
            </w:r>
          </w:p>
        </w:tc>
        <w:tc>
          <w:tcPr>
            <w:tcW w:w="1469"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1.005</w:t>
            </w:r>
          </w:p>
        </w:tc>
        <w:tc>
          <w:tcPr>
            <w:tcW w:w="960"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0.996</w:t>
            </w:r>
          </w:p>
        </w:tc>
      </w:tr>
      <w:tr w:rsidR="007B3AE1" w:rsidRPr="007B3AE1" w:rsidTr="00066800">
        <w:trPr>
          <w:trHeight w:val="300"/>
          <w:jc w:val="center"/>
        </w:trPr>
        <w:tc>
          <w:tcPr>
            <w:tcW w:w="1683" w:type="dxa"/>
            <w:noWrap/>
          </w:tcPr>
          <w:p w:rsidR="007B3AE1" w:rsidRPr="007B3AE1" w:rsidRDefault="007B3AE1" w:rsidP="007B3AE1">
            <w:pPr>
              <w:widowControl/>
              <w:adjustRightInd/>
              <w:spacing w:line="240" w:lineRule="auto"/>
              <w:jc w:val="right"/>
              <w:textAlignment w:val="auto"/>
              <w:rPr>
                <w:rFonts w:eastAsiaTheme="minorHAnsi"/>
                <w:szCs w:val="24"/>
                <w:lang w:eastAsia="en-US"/>
              </w:rPr>
            </w:pPr>
            <w:r w:rsidRPr="007B3AE1">
              <w:rPr>
                <w:rFonts w:eastAsiaTheme="minorHAnsi"/>
                <w:szCs w:val="24"/>
                <w:lang w:eastAsia="en-US"/>
              </w:rPr>
              <w:t>2006</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0.992</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0.982</w:t>
            </w:r>
          </w:p>
        </w:tc>
        <w:tc>
          <w:tcPr>
            <w:tcW w:w="1216"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1.011</w:t>
            </w:r>
          </w:p>
        </w:tc>
        <w:tc>
          <w:tcPr>
            <w:tcW w:w="1469"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1.000</w:t>
            </w:r>
          </w:p>
        </w:tc>
        <w:tc>
          <w:tcPr>
            <w:tcW w:w="960"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1.011</w:t>
            </w:r>
          </w:p>
        </w:tc>
      </w:tr>
      <w:tr w:rsidR="007B3AE1" w:rsidRPr="007B3AE1" w:rsidTr="00066800">
        <w:trPr>
          <w:trHeight w:val="300"/>
          <w:jc w:val="center"/>
        </w:trPr>
        <w:tc>
          <w:tcPr>
            <w:tcW w:w="1683" w:type="dxa"/>
            <w:noWrap/>
          </w:tcPr>
          <w:p w:rsidR="007B3AE1" w:rsidRPr="007B3AE1" w:rsidRDefault="007B3AE1" w:rsidP="007B3AE1">
            <w:pPr>
              <w:widowControl/>
              <w:adjustRightInd/>
              <w:spacing w:line="240" w:lineRule="auto"/>
              <w:jc w:val="right"/>
              <w:textAlignment w:val="auto"/>
              <w:rPr>
                <w:rFonts w:eastAsiaTheme="minorHAnsi"/>
                <w:szCs w:val="24"/>
                <w:lang w:eastAsia="en-US"/>
              </w:rPr>
            </w:pPr>
            <w:r w:rsidRPr="007B3AE1">
              <w:rPr>
                <w:rFonts w:eastAsiaTheme="minorHAnsi"/>
                <w:szCs w:val="24"/>
                <w:lang w:eastAsia="en-US"/>
              </w:rPr>
              <w:t>2007</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0.998</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0.993</w:t>
            </w:r>
          </w:p>
        </w:tc>
        <w:tc>
          <w:tcPr>
            <w:tcW w:w="1216"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1.008</w:t>
            </w:r>
          </w:p>
        </w:tc>
        <w:tc>
          <w:tcPr>
            <w:tcW w:w="1469"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1.003</w:t>
            </w:r>
          </w:p>
        </w:tc>
        <w:tc>
          <w:tcPr>
            <w:tcW w:w="960"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1.005</w:t>
            </w:r>
          </w:p>
        </w:tc>
      </w:tr>
      <w:tr w:rsidR="007B3AE1" w:rsidRPr="007B3AE1" w:rsidTr="00066800">
        <w:trPr>
          <w:trHeight w:val="300"/>
          <w:jc w:val="center"/>
        </w:trPr>
        <w:tc>
          <w:tcPr>
            <w:tcW w:w="1683" w:type="dxa"/>
            <w:noWrap/>
          </w:tcPr>
          <w:p w:rsidR="007B3AE1" w:rsidRPr="007B3AE1" w:rsidRDefault="007B3AE1" w:rsidP="007B3AE1">
            <w:pPr>
              <w:widowControl/>
              <w:adjustRightInd/>
              <w:spacing w:line="240" w:lineRule="auto"/>
              <w:jc w:val="right"/>
              <w:textAlignment w:val="auto"/>
              <w:rPr>
                <w:rFonts w:eastAsiaTheme="minorHAnsi"/>
                <w:szCs w:val="24"/>
                <w:lang w:eastAsia="en-US"/>
              </w:rPr>
            </w:pPr>
            <w:r w:rsidRPr="007B3AE1">
              <w:rPr>
                <w:rFonts w:eastAsiaTheme="minorHAnsi"/>
                <w:szCs w:val="24"/>
                <w:lang w:eastAsia="en-US"/>
              </w:rPr>
              <w:t>2008</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0.996</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0.997</w:t>
            </w:r>
          </w:p>
        </w:tc>
        <w:tc>
          <w:tcPr>
            <w:tcW w:w="1216"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1.000</w:t>
            </w:r>
          </w:p>
        </w:tc>
        <w:tc>
          <w:tcPr>
            <w:tcW w:w="1469"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0.993</w:t>
            </w:r>
          </w:p>
        </w:tc>
        <w:tc>
          <w:tcPr>
            <w:tcW w:w="960"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1.007</w:t>
            </w:r>
          </w:p>
        </w:tc>
      </w:tr>
      <w:tr w:rsidR="007B3AE1" w:rsidRPr="007B3AE1" w:rsidTr="00066800">
        <w:trPr>
          <w:trHeight w:val="300"/>
          <w:jc w:val="center"/>
        </w:trPr>
        <w:tc>
          <w:tcPr>
            <w:tcW w:w="1683" w:type="dxa"/>
            <w:noWrap/>
          </w:tcPr>
          <w:p w:rsidR="007B3AE1" w:rsidRPr="007B3AE1" w:rsidRDefault="007B3AE1" w:rsidP="007B3AE1">
            <w:pPr>
              <w:widowControl/>
              <w:adjustRightInd/>
              <w:spacing w:line="240" w:lineRule="auto"/>
              <w:jc w:val="right"/>
              <w:textAlignment w:val="auto"/>
              <w:rPr>
                <w:rFonts w:eastAsiaTheme="minorHAnsi"/>
                <w:szCs w:val="24"/>
                <w:lang w:eastAsia="en-US"/>
              </w:rPr>
            </w:pPr>
            <w:r w:rsidRPr="007B3AE1">
              <w:rPr>
                <w:rFonts w:eastAsiaTheme="minorHAnsi"/>
                <w:szCs w:val="24"/>
                <w:lang w:eastAsia="en-US"/>
              </w:rPr>
              <w:t>2009</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0.995</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0.992</w:t>
            </w:r>
          </w:p>
        </w:tc>
        <w:tc>
          <w:tcPr>
            <w:tcW w:w="1216"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1.004</w:t>
            </w:r>
          </w:p>
        </w:tc>
        <w:tc>
          <w:tcPr>
            <w:tcW w:w="1469"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1.000</w:t>
            </w:r>
          </w:p>
        </w:tc>
        <w:tc>
          <w:tcPr>
            <w:tcW w:w="960"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1.004</w:t>
            </w:r>
          </w:p>
        </w:tc>
      </w:tr>
      <w:tr w:rsidR="007B3AE1" w:rsidRPr="007B3AE1" w:rsidTr="00066800">
        <w:trPr>
          <w:trHeight w:val="300"/>
          <w:jc w:val="center"/>
        </w:trPr>
        <w:tc>
          <w:tcPr>
            <w:tcW w:w="1683" w:type="dxa"/>
            <w:noWrap/>
          </w:tcPr>
          <w:p w:rsidR="007B3AE1" w:rsidRPr="007B3AE1" w:rsidRDefault="007B3AE1" w:rsidP="007B3AE1">
            <w:pPr>
              <w:widowControl/>
              <w:adjustRightInd/>
              <w:spacing w:line="240" w:lineRule="auto"/>
              <w:jc w:val="right"/>
              <w:textAlignment w:val="auto"/>
              <w:rPr>
                <w:rFonts w:eastAsiaTheme="minorHAnsi"/>
                <w:szCs w:val="24"/>
                <w:lang w:eastAsia="en-US"/>
              </w:rPr>
            </w:pPr>
            <w:r w:rsidRPr="007B3AE1">
              <w:rPr>
                <w:rFonts w:eastAsiaTheme="minorHAnsi"/>
                <w:szCs w:val="24"/>
                <w:lang w:eastAsia="en-US"/>
              </w:rPr>
              <w:t>2010</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1.041</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1.028</w:t>
            </w:r>
          </w:p>
        </w:tc>
        <w:tc>
          <w:tcPr>
            <w:tcW w:w="1216"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1.013</w:t>
            </w:r>
          </w:p>
        </w:tc>
        <w:tc>
          <w:tcPr>
            <w:tcW w:w="1469"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1.003</w:t>
            </w:r>
          </w:p>
        </w:tc>
        <w:tc>
          <w:tcPr>
            <w:tcW w:w="960"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1.009</w:t>
            </w:r>
          </w:p>
        </w:tc>
      </w:tr>
      <w:tr w:rsidR="007B3AE1" w:rsidRPr="007B3AE1" w:rsidTr="00066800">
        <w:trPr>
          <w:trHeight w:val="300"/>
          <w:jc w:val="center"/>
        </w:trPr>
        <w:tc>
          <w:tcPr>
            <w:tcW w:w="1683" w:type="dxa"/>
            <w:noWrap/>
          </w:tcPr>
          <w:p w:rsidR="007B3AE1" w:rsidRPr="007B3AE1" w:rsidRDefault="007B3AE1" w:rsidP="007B3AE1">
            <w:pPr>
              <w:widowControl/>
              <w:adjustRightInd/>
              <w:spacing w:line="240" w:lineRule="auto"/>
              <w:jc w:val="right"/>
              <w:textAlignment w:val="auto"/>
              <w:rPr>
                <w:rFonts w:eastAsiaTheme="minorHAnsi"/>
                <w:szCs w:val="24"/>
                <w:lang w:eastAsia="en-US"/>
              </w:rPr>
            </w:pPr>
            <w:r w:rsidRPr="007B3AE1">
              <w:rPr>
                <w:rFonts w:eastAsiaTheme="minorHAnsi"/>
                <w:szCs w:val="24"/>
                <w:lang w:eastAsia="en-US"/>
              </w:rPr>
              <w:t>2011</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1.025</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1.023</w:t>
            </w:r>
          </w:p>
        </w:tc>
        <w:tc>
          <w:tcPr>
            <w:tcW w:w="1216"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1.003</w:t>
            </w:r>
          </w:p>
        </w:tc>
        <w:tc>
          <w:tcPr>
            <w:tcW w:w="1469"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0.998</w:t>
            </w:r>
          </w:p>
        </w:tc>
        <w:tc>
          <w:tcPr>
            <w:tcW w:w="960"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1.005</w:t>
            </w:r>
          </w:p>
        </w:tc>
      </w:tr>
      <w:tr w:rsidR="007B3AE1" w:rsidRPr="007B3AE1" w:rsidTr="00066800">
        <w:trPr>
          <w:trHeight w:val="300"/>
          <w:jc w:val="center"/>
        </w:trPr>
        <w:tc>
          <w:tcPr>
            <w:tcW w:w="1683" w:type="dxa"/>
            <w:noWrap/>
          </w:tcPr>
          <w:p w:rsidR="007B3AE1" w:rsidRPr="007B3AE1" w:rsidRDefault="007B3AE1" w:rsidP="007B3AE1">
            <w:pPr>
              <w:widowControl/>
              <w:adjustRightInd/>
              <w:spacing w:line="240" w:lineRule="auto"/>
              <w:jc w:val="right"/>
              <w:textAlignment w:val="auto"/>
              <w:rPr>
                <w:rFonts w:eastAsiaTheme="minorHAnsi"/>
                <w:szCs w:val="24"/>
                <w:lang w:eastAsia="en-US"/>
              </w:rPr>
            </w:pPr>
            <w:r w:rsidRPr="007B3AE1">
              <w:rPr>
                <w:rFonts w:eastAsiaTheme="minorHAnsi"/>
                <w:szCs w:val="24"/>
                <w:lang w:eastAsia="en-US"/>
              </w:rPr>
              <w:t>2012</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0.984</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1.024</w:t>
            </w:r>
          </w:p>
        </w:tc>
        <w:tc>
          <w:tcPr>
            <w:tcW w:w="1216"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0.959</w:t>
            </w:r>
          </w:p>
        </w:tc>
        <w:tc>
          <w:tcPr>
            <w:tcW w:w="1469"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0.984</w:t>
            </w:r>
          </w:p>
        </w:tc>
        <w:tc>
          <w:tcPr>
            <w:tcW w:w="960"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0.973</w:t>
            </w:r>
          </w:p>
        </w:tc>
      </w:tr>
      <w:tr w:rsidR="007B3AE1" w:rsidRPr="007B3AE1" w:rsidTr="00066800">
        <w:trPr>
          <w:trHeight w:val="300"/>
          <w:jc w:val="center"/>
        </w:trPr>
        <w:tc>
          <w:tcPr>
            <w:tcW w:w="1683" w:type="dxa"/>
            <w:noWrap/>
          </w:tcPr>
          <w:p w:rsidR="007B3AE1" w:rsidRPr="007B3AE1" w:rsidRDefault="007B3AE1" w:rsidP="007B3AE1">
            <w:pPr>
              <w:widowControl/>
              <w:adjustRightInd/>
              <w:spacing w:line="240" w:lineRule="auto"/>
              <w:jc w:val="right"/>
              <w:textAlignment w:val="auto"/>
              <w:rPr>
                <w:rFonts w:eastAsiaTheme="minorHAnsi"/>
                <w:szCs w:val="24"/>
                <w:lang w:eastAsia="en-US"/>
              </w:rPr>
            </w:pPr>
            <w:r w:rsidRPr="007B3AE1">
              <w:rPr>
                <w:rFonts w:eastAsiaTheme="minorHAnsi"/>
                <w:szCs w:val="24"/>
                <w:lang w:eastAsia="en-US"/>
              </w:rPr>
              <w:t>2013</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0.950</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0.972</w:t>
            </w:r>
          </w:p>
        </w:tc>
        <w:tc>
          <w:tcPr>
            <w:tcW w:w="1216"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0.976</w:t>
            </w:r>
          </w:p>
        </w:tc>
        <w:tc>
          <w:tcPr>
            <w:tcW w:w="1469"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1.004</w:t>
            </w:r>
          </w:p>
        </w:tc>
        <w:tc>
          <w:tcPr>
            <w:tcW w:w="960"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0.971</w:t>
            </w:r>
          </w:p>
        </w:tc>
      </w:tr>
      <w:tr w:rsidR="007B3AE1" w:rsidRPr="007B3AE1" w:rsidTr="00066800">
        <w:trPr>
          <w:trHeight w:val="300"/>
          <w:jc w:val="center"/>
        </w:trPr>
        <w:tc>
          <w:tcPr>
            <w:tcW w:w="1683" w:type="dxa"/>
            <w:noWrap/>
          </w:tcPr>
          <w:p w:rsidR="007B3AE1" w:rsidRPr="007B3AE1" w:rsidRDefault="007B3AE1" w:rsidP="007B3AE1">
            <w:pPr>
              <w:widowControl/>
              <w:adjustRightInd/>
              <w:spacing w:line="240" w:lineRule="auto"/>
              <w:jc w:val="right"/>
              <w:textAlignment w:val="auto"/>
              <w:rPr>
                <w:rFonts w:eastAsiaTheme="minorHAnsi"/>
                <w:szCs w:val="24"/>
                <w:lang w:eastAsia="en-US"/>
              </w:rPr>
            </w:pPr>
            <w:r w:rsidRPr="007B3AE1">
              <w:rPr>
                <w:rFonts w:eastAsiaTheme="minorHAnsi"/>
                <w:szCs w:val="24"/>
                <w:lang w:eastAsia="en-US"/>
              </w:rPr>
              <w:t>Mean</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0.992</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0.998</w:t>
            </w:r>
          </w:p>
        </w:tc>
        <w:tc>
          <w:tcPr>
            <w:tcW w:w="1216"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0.993</w:t>
            </w:r>
          </w:p>
        </w:tc>
        <w:tc>
          <w:tcPr>
            <w:tcW w:w="1469"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0.997</w:t>
            </w:r>
          </w:p>
        </w:tc>
        <w:tc>
          <w:tcPr>
            <w:tcW w:w="960"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0.996</w:t>
            </w:r>
          </w:p>
        </w:tc>
      </w:tr>
      <w:tr w:rsidR="007B3AE1" w:rsidRPr="007B3AE1" w:rsidTr="00066800">
        <w:trPr>
          <w:trHeight w:val="300"/>
          <w:jc w:val="center"/>
        </w:trPr>
        <w:tc>
          <w:tcPr>
            <w:tcW w:w="7760" w:type="dxa"/>
            <w:gridSpan w:val="6"/>
            <w:noWrap/>
          </w:tcPr>
          <w:p w:rsidR="007B3AE1" w:rsidRPr="007B3AE1" w:rsidRDefault="007B3AE1" w:rsidP="007B3AE1">
            <w:pPr>
              <w:widowControl/>
              <w:adjustRightInd/>
              <w:spacing w:line="240" w:lineRule="auto"/>
              <w:jc w:val="left"/>
              <w:textAlignment w:val="auto"/>
              <w:rPr>
                <w:rFonts w:eastAsiaTheme="minorHAnsi"/>
                <w:szCs w:val="24"/>
                <w:lang w:eastAsia="en-US"/>
              </w:rPr>
            </w:pPr>
            <w:r w:rsidRPr="007B3AE1">
              <w:rPr>
                <w:rFonts w:eastAsiaTheme="minorHAnsi"/>
                <w:szCs w:val="24"/>
                <w:lang w:eastAsia="en-US"/>
              </w:rPr>
              <w:t>Percent &lt;1.0</w:t>
            </w:r>
          </w:p>
        </w:tc>
      </w:tr>
      <w:tr w:rsidR="007B3AE1" w:rsidRPr="007B3AE1" w:rsidTr="00066800">
        <w:trPr>
          <w:trHeight w:val="300"/>
          <w:jc w:val="center"/>
        </w:trPr>
        <w:tc>
          <w:tcPr>
            <w:tcW w:w="1683" w:type="dxa"/>
            <w:noWrap/>
            <w:hideMark/>
          </w:tcPr>
          <w:p w:rsidR="007B3AE1" w:rsidRPr="007B3AE1" w:rsidRDefault="007B3AE1" w:rsidP="007B3AE1">
            <w:pPr>
              <w:widowControl/>
              <w:adjustRightInd/>
              <w:spacing w:line="240" w:lineRule="auto"/>
              <w:jc w:val="right"/>
              <w:textAlignment w:val="auto"/>
              <w:rPr>
                <w:rFonts w:eastAsiaTheme="minorHAnsi"/>
                <w:szCs w:val="24"/>
                <w:lang w:eastAsia="en-US"/>
              </w:rPr>
            </w:pPr>
            <w:r w:rsidRPr="007B3AE1">
              <w:rPr>
                <w:rFonts w:eastAsiaTheme="minorHAnsi"/>
                <w:szCs w:val="24"/>
                <w:lang w:eastAsia="en-US"/>
              </w:rPr>
              <w:t>2005</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53%</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57%</w:t>
            </w:r>
          </w:p>
        </w:tc>
        <w:tc>
          <w:tcPr>
            <w:tcW w:w="1216"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43%</w:t>
            </w:r>
          </w:p>
        </w:tc>
        <w:tc>
          <w:tcPr>
            <w:tcW w:w="1469"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28%</w:t>
            </w:r>
          </w:p>
        </w:tc>
        <w:tc>
          <w:tcPr>
            <w:tcW w:w="960"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44%</w:t>
            </w:r>
          </w:p>
        </w:tc>
      </w:tr>
      <w:tr w:rsidR="007B3AE1" w:rsidRPr="007B3AE1" w:rsidTr="00066800">
        <w:trPr>
          <w:trHeight w:val="300"/>
          <w:jc w:val="center"/>
        </w:trPr>
        <w:tc>
          <w:tcPr>
            <w:tcW w:w="1683" w:type="dxa"/>
            <w:noWrap/>
            <w:hideMark/>
          </w:tcPr>
          <w:p w:rsidR="007B3AE1" w:rsidRPr="007B3AE1" w:rsidRDefault="007B3AE1" w:rsidP="007B3AE1">
            <w:pPr>
              <w:widowControl/>
              <w:adjustRightInd/>
              <w:spacing w:line="240" w:lineRule="auto"/>
              <w:jc w:val="right"/>
              <w:textAlignment w:val="auto"/>
              <w:rPr>
                <w:rFonts w:eastAsiaTheme="minorHAnsi"/>
                <w:szCs w:val="24"/>
                <w:lang w:eastAsia="en-US"/>
              </w:rPr>
            </w:pPr>
            <w:r w:rsidRPr="007B3AE1">
              <w:rPr>
                <w:rFonts w:eastAsiaTheme="minorHAnsi"/>
                <w:szCs w:val="24"/>
                <w:lang w:eastAsia="en-US"/>
              </w:rPr>
              <w:t>2006</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55%</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67%</w:t>
            </w:r>
          </w:p>
        </w:tc>
        <w:tc>
          <w:tcPr>
            <w:tcW w:w="1216"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37%</w:t>
            </w:r>
          </w:p>
        </w:tc>
        <w:tc>
          <w:tcPr>
            <w:tcW w:w="1469"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35%</w:t>
            </w:r>
          </w:p>
        </w:tc>
        <w:tc>
          <w:tcPr>
            <w:tcW w:w="960"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34%</w:t>
            </w:r>
          </w:p>
        </w:tc>
      </w:tr>
      <w:tr w:rsidR="007B3AE1" w:rsidRPr="007B3AE1" w:rsidTr="00066800">
        <w:trPr>
          <w:trHeight w:val="300"/>
          <w:jc w:val="center"/>
        </w:trPr>
        <w:tc>
          <w:tcPr>
            <w:tcW w:w="1683" w:type="dxa"/>
            <w:noWrap/>
            <w:hideMark/>
          </w:tcPr>
          <w:p w:rsidR="007B3AE1" w:rsidRPr="007B3AE1" w:rsidRDefault="007B3AE1" w:rsidP="007B3AE1">
            <w:pPr>
              <w:widowControl/>
              <w:adjustRightInd/>
              <w:spacing w:line="240" w:lineRule="auto"/>
              <w:jc w:val="right"/>
              <w:textAlignment w:val="auto"/>
              <w:rPr>
                <w:rFonts w:eastAsiaTheme="minorHAnsi"/>
                <w:szCs w:val="24"/>
                <w:lang w:eastAsia="en-US"/>
              </w:rPr>
            </w:pPr>
            <w:r w:rsidRPr="007B3AE1">
              <w:rPr>
                <w:rFonts w:eastAsiaTheme="minorHAnsi"/>
                <w:szCs w:val="24"/>
                <w:lang w:eastAsia="en-US"/>
              </w:rPr>
              <w:t>2007</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54%</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54%</w:t>
            </w:r>
          </w:p>
        </w:tc>
        <w:tc>
          <w:tcPr>
            <w:tcW w:w="1216"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44%</w:t>
            </w:r>
          </w:p>
        </w:tc>
        <w:tc>
          <w:tcPr>
            <w:tcW w:w="1469"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32%</w:t>
            </w:r>
          </w:p>
        </w:tc>
        <w:tc>
          <w:tcPr>
            <w:tcW w:w="960"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43%</w:t>
            </w:r>
          </w:p>
        </w:tc>
      </w:tr>
      <w:tr w:rsidR="007B3AE1" w:rsidRPr="007B3AE1" w:rsidTr="00066800">
        <w:trPr>
          <w:trHeight w:val="300"/>
          <w:jc w:val="center"/>
        </w:trPr>
        <w:tc>
          <w:tcPr>
            <w:tcW w:w="1683" w:type="dxa"/>
            <w:noWrap/>
            <w:hideMark/>
          </w:tcPr>
          <w:p w:rsidR="007B3AE1" w:rsidRPr="007B3AE1" w:rsidRDefault="007B3AE1" w:rsidP="007B3AE1">
            <w:pPr>
              <w:widowControl/>
              <w:adjustRightInd/>
              <w:spacing w:line="240" w:lineRule="auto"/>
              <w:jc w:val="right"/>
              <w:textAlignment w:val="auto"/>
              <w:rPr>
                <w:rFonts w:eastAsiaTheme="minorHAnsi"/>
                <w:szCs w:val="24"/>
                <w:lang w:eastAsia="en-US"/>
              </w:rPr>
            </w:pPr>
            <w:r w:rsidRPr="007B3AE1">
              <w:rPr>
                <w:rFonts w:eastAsiaTheme="minorHAnsi"/>
                <w:szCs w:val="24"/>
                <w:lang w:eastAsia="en-US"/>
              </w:rPr>
              <w:t>2008</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53%</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52%</w:t>
            </w:r>
          </w:p>
        </w:tc>
        <w:tc>
          <w:tcPr>
            <w:tcW w:w="1216"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42%</w:t>
            </w:r>
          </w:p>
        </w:tc>
        <w:tc>
          <w:tcPr>
            <w:tcW w:w="1469"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36%</w:t>
            </w:r>
          </w:p>
        </w:tc>
        <w:tc>
          <w:tcPr>
            <w:tcW w:w="960"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36%</w:t>
            </w:r>
          </w:p>
        </w:tc>
      </w:tr>
      <w:tr w:rsidR="007B3AE1" w:rsidRPr="007B3AE1" w:rsidTr="00066800">
        <w:trPr>
          <w:trHeight w:val="300"/>
          <w:jc w:val="center"/>
        </w:trPr>
        <w:tc>
          <w:tcPr>
            <w:tcW w:w="1683" w:type="dxa"/>
            <w:noWrap/>
            <w:hideMark/>
          </w:tcPr>
          <w:p w:rsidR="007B3AE1" w:rsidRPr="007B3AE1" w:rsidRDefault="007B3AE1" w:rsidP="007B3AE1">
            <w:pPr>
              <w:widowControl/>
              <w:adjustRightInd/>
              <w:spacing w:line="240" w:lineRule="auto"/>
              <w:jc w:val="right"/>
              <w:textAlignment w:val="auto"/>
              <w:rPr>
                <w:rFonts w:eastAsiaTheme="minorHAnsi"/>
                <w:szCs w:val="24"/>
                <w:lang w:eastAsia="en-US"/>
              </w:rPr>
            </w:pPr>
            <w:r w:rsidRPr="007B3AE1">
              <w:rPr>
                <w:rFonts w:eastAsiaTheme="minorHAnsi"/>
                <w:szCs w:val="24"/>
                <w:lang w:eastAsia="en-US"/>
              </w:rPr>
              <w:t>2009</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52%</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55%</w:t>
            </w:r>
          </w:p>
        </w:tc>
        <w:tc>
          <w:tcPr>
            <w:tcW w:w="1216"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41%</w:t>
            </w:r>
          </w:p>
        </w:tc>
        <w:tc>
          <w:tcPr>
            <w:tcW w:w="1469"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33%</w:t>
            </w:r>
          </w:p>
        </w:tc>
        <w:tc>
          <w:tcPr>
            <w:tcW w:w="960"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40%</w:t>
            </w:r>
          </w:p>
        </w:tc>
      </w:tr>
      <w:tr w:rsidR="007B3AE1" w:rsidRPr="007B3AE1" w:rsidTr="00066800">
        <w:trPr>
          <w:trHeight w:val="300"/>
          <w:jc w:val="center"/>
        </w:trPr>
        <w:tc>
          <w:tcPr>
            <w:tcW w:w="1683" w:type="dxa"/>
            <w:noWrap/>
            <w:hideMark/>
          </w:tcPr>
          <w:p w:rsidR="007B3AE1" w:rsidRPr="007B3AE1" w:rsidRDefault="007B3AE1" w:rsidP="007B3AE1">
            <w:pPr>
              <w:widowControl/>
              <w:adjustRightInd/>
              <w:spacing w:line="240" w:lineRule="auto"/>
              <w:jc w:val="right"/>
              <w:textAlignment w:val="auto"/>
              <w:rPr>
                <w:rFonts w:eastAsiaTheme="minorHAnsi"/>
                <w:szCs w:val="24"/>
                <w:lang w:eastAsia="en-US"/>
              </w:rPr>
            </w:pPr>
            <w:r w:rsidRPr="007B3AE1">
              <w:rPr>
                <w:rFonts w:eastAsiaTheme="minorHAnsi"/>
                <w:szCs w:val="24"/>
                <w:lang w:eastAsia="en-US"/>
              </w:rPr>
              <w:t>2010</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26%</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28%</w:t>
            </w:r>
          </w:p>
        </w:tc>
        <w:tc>
          <w:tcPr>
            <w:tcW w:w="1216"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39%</w:t>
            </w:r>
          </w:p>
        </w:tc>
        <w:tc>
          <w:tcPr>
            <w:tcW w:w="1469"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34%</w:t>
            </w:r>
          </w:p>
        </w:tc>
        <w:tc>
          <w:tcPr>
            <w:tcW w:w="960"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34%</w:t>
            </w:r>
          </w:p>
        </w:tc>
      </w:tr>
      <w:tr w:rsidR="007B3AE1" w:rsidRPr="007B3AE1" w:rsidTr="00066800">
        <w:trPr>
          <w:trHeight w:val="300"/>
          <w:jc w:val="center"/>
        </w:trPr>
        <w:tc>
          <w:tcPr>
            <w:tcW w:w="1683" w:type="dxa"/>
            <w:noWrap/>
            <w:hideMark/>
          </w:tcPr>
          <w:p w:rsidR="007B3AE1" w:rsidRPr="007B3AE1" w:rsidRDefault="007B3AE1" w:rsidP="007B3AE1">
            <w:pPr>
              <w:widowControl/>
              <w:adjustRightInd/>
              <w:spacing w:line="240" w:lineRule="auto"/>
              <w:jc w:val="right"/>
              <w:textAlignment w:val="auto"/>
              <w:rPr>
                <w:rFonts w:eastAsiaTheme="minorHAnsi"/>
                <w:szCs w:val="24"/>
                <w:lang w:eastAsia="en-US"/>
              </w:rPr>
            </w:pPr>
            <w:r w:rsidRPr="007B3AE1">
              <w:rPr>
                <w:rFonts w:eastAsiaTheme="minorHAnsi"/>
                <w:szCs w:val="24"/>
                <w:lang w:eastAsia="en-US"/>
              </w:rPr>
              <w:t>2011</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35%</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20%</w:t>
            </w:r>
          </w:p>
        </w:tc>
        <w:tc>
          <w:tcPr>
            <w:tcW w:w="1216"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41%</w:t>
            </w:r>
          </w:p>
        </w:tc>
        <w:tc>
          <w:tcPr>
            <w:tcW w:w="1469"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37%</w:t>
            </w:r>
          </w:p>
        </w:tc>
        <w:tc>
          <w:tcPr>
            <w:tcW w:w="960"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34%</w:t>
            </w:r>
          </w:p>
        </w:tc>
      </w:tr>
      <w:tr w:rsidR="007B3AE1" w:rsidRPr="007B3AE1" w:rsidTr="00066800">
        <w:trPr>
          <w:trHeight w:val="300"/>
          <w:jc w:val="center"/>
        </w:trPr>
        <w:tc>
          <w:tcPr>
            <w:tcW w:w="1683" w:type="dxa"/>
            <w:noWrap/>
            <w:hideMark/>
          </w:tcPr>
          <w:p w:rsidR="007B3AE1" w:rsidRPr="007B3AE1" w:rsidRDefault="007B3AE1" w:rsidP="007B3AE1">
            <w:pPr>
              <w:widowControl/>
              <w:adjustRightInd/>
              <w:spacing w:line="240" w:lineRule="auto"/>
              <w:jc w:val="right"/>
              <w:textAlignment w:val="auto"/>
              <w:rPr>
                <w:rFonts w:eastAsiaTheme="minorHAnsi"/>
                <w:szCs w:val="24"/>
                <w:lang w:eastAsia="en-US"/>
              </w:rPr>
            </w:pPr>
            <w:r w:rsidRPr="007B3AE1">
              <w:rPr>
                <w:rFonts w:eastAsiaTheme="minorHAnsi"/>
                <w:szCs w:val="24"/>
                <w:lang w:eastAsia="en-US"/>
              </w:rPr>
              <w:t>2012</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72%</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53%</w:t>
            </w:r>
          </w:p>
        </w:tc>
        <w:tc>
          <w:tcPr>
            <w:tcW w:w="1216"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58%</w:t>
            </w:r>
          </w:p>
        </w:tc>
        <w:tc>
          <w:tcPr>
            <w:tcW w:w="1469"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41%</w:t>
            </w:r>
          </w:p>
        </w:tc>
        <w:tc>
          <w:tcPr>
            <w:tcW w:w="960"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58%</w:t>
            </w:r>
          </w:p>
        </w:tc>
      </w:tr>
      <w:tr w:rsidR="007B3AE1" w:rsidRPr="007B3AE1" w:rsidTr="00066800">
        <w:trPr>
          <w:trHeight w:val="300"/>
          <w:jc w:val="center"/>
        </w:trPr>
        <w:tc>
          <w:tcPr>
            <w:tcW w:w="1683" w:type="dxa"/>
            <w:noWrap/>
            <w:hideMark/>
          </w:tcPr>
          <w:p w:rsidR="007B3AE1" w:rsidRPr="007B3AE1" w:rsidRDefault="007B3AE1" w:rsidP="007B3AE1">
            <w:pPr>
              <w:widowControl/>
              <w:adjustRightInd/>
              <w:spacing w:line="240" w:lineRule="auto"/>
              <w:jc w:val="right"/>
              <w:textAlignment w:val="auto"/>
              <w:rPr>
                <w:rFonts w:eastAsiaTheme="minorHAnsi"/>
                <w:szCs w:val="24"/>
                <w:lang w:eastAsia="en-US"/>
              </w:rPr>
            </w:pPr>
            <w:r w:rsidRPr="007B3AE1">
              <w:rPr>
                <w:rFonts w:eastAsiaTheme="minorHAnsi"/>
                <w:szCs w:val="24"/>
                <w:lang w:eastAsia="en-US"/>
              </w:rPr>
              <w:t>2013</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71%</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64%</w:t>
            </w:r>
          </w:p>
        </w:tc>
        <w:tc>
          <w:tcPr>
            <w:tcW w:w="1216"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54%</w:t>
            </w:r>
          </w:p>
        </w:tc>
        <w:tc>
          <w:tcPr>
            <w:tcW w:w="1469"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28%</w:t>
            </w:r>
          </w:p>
        </w:tc>
        <w:tc>
          <w:tcPr>
            <w:tcW w:w="960"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62%</w:t>
            </w:r>
          </w:p>
        </w:tc>
      </w:tr>
      <w:tr w:rsidR="007B3AE1" w:rsidRPr="007B3AE1" w:rsidTr="00066800">
        <w:trPr>
          <w:trHeight w:val="300"/>
          <w:jc w:val="center"/>
        </w:trPr>
        <w:tc>
          <w:tcPr>
            <w:tcW w:w="1683" w:type="dxa"/>
            <w:noWrap/>
            <w:hideMark/>
          </w:tcPr>
          <w:p w:rsidR="007B3AE1" w:rsidRPr="007B3AE1" w:rsidRDefault="007B3AE1" w:rsidP="007B3AE1">
            <w:pPr>
              <w:widowControl/>
              <w:adjustRightInd/>
              <w:spacing w:line="240" w:lineRule="auto"/>
              <w:jc w:val="right"/>
              <w:textAlignment w:val="auto"/>
              <w:rPr>
                <w:rFonts w:eastAsiaTheme="minorHAnsi"/>
                <w:szCs w:val="24"/>
                <w:lang w:eastAsia="en-US"/>
              </w:rPr>
            </w:pPr>
            <w:r w:rsidRPr="007B3AE1">
              <w:rPr>
                <w:rFonts w:eastAsiaTheme="minorHAnsi"/>
                <w:szCs w:val="24"/>
                <w:lang w:eastAsia="en-US"/>
              </w:rPr>
              <w:t>Mean</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62%</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50%</w:t>
            </w:r>
          </w:p>
        </w:tc>
        <w:tc>
          <w:tcPr>
            <w:tcW w:w="1216"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57%</w:t>
            </w:r>
          </w:p>
        </w:tc>
        <w:tc>
          <w:tcPr>
            <w:tcW w:w="1469"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42%</w:t>
            </w:r>
          </w:p>
        </w:tc>
        <w:tc>
          <w:tcPr>
            <w:tcW w:w="960"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55%</w:t>
            </w:r>
          </w:p>
        </w:tc>
      </w:tr>
      <w:tr w:rsidR="007B3AE1" w:rsidRPr="007B3AE1" w:rsidTr="00066800">
        <w:trPr>
          <w:trHeight w:val="300"/>
          <w:jc w:val="center"/>
        </w:trPr>
        <w:tc>
          <w:tcPr>
            <w:tcW w:w="7760" w:type="dxa"/>
            <w:gridSpan w:val="6"/>
            <w:noWrap/>
          </w:tcPr>
          <w:p w:rsidR="007B3AE1" w:rsidRPr="007B3AE1" w:rsidRDefault="007B3AE1" w:rsidP="007B3AE1">
            <w:pPr>
              <w:widowControl/>
              <w:adjustRightInd/>
              <w:spacing w:line="240" w:lineRule="auto"/>
              <w:jc w:val="left"/>
              <w:textAlignment w:val="auto"/>
              <w:rPr>
                <w:rFonts w:eastAsiaTheme="minorHAnsi"/>
                <w:szCs w:val="24"/>
                <w:lang w:eastAsia="en-US"/>
              </w:rPr>
            </w:pPr>
            <w:r w:rsidRPr="007B3AE1">
              <w:rPr>
                <w:rFonts w:eastAsiaTheme="minorHAnsi"/>
                <w:szCs w:val="24"/>
                <w:lang w:eastAsia="en-US"/>
              </w:rPr>
              <w:t>Percent &gt;1.0</w:t>
            </w:r>
          </w:p>
        </w:tc>
      </w:tr>
      <w:tr w:rsidR="007B3AE1" w:rsidRPr="007B3AE1" w:rsidTr="00066800">
        <w:trPr>
          <w:trHeight w:val="300"/>
          <w:jc w:val="center"/>
        </w:trPr>
        <w:tc>
          <w:tcPr>
            <w:tcW w:w="1683" w:type="dxa"/>
            <w:noWrap/>
            <w:hideMark/>
          </w:tcPr>
          <w:p w:rsidR="007B3AE1" w:rsidRPr="007B3AE1" w:rsidRDefault="007B3AE1" w:rsidP="007B3AE1">
            <w:pPr>
              <w:widowControl/>
              <w:adjustRightInd/>
              <w:spacing w:line="240" w:lineRule="auto"/>
              <w:jc w:val="right"/>
              <w:textAlignment w:val="auto"/>
              <w:rPr>
                <w:rFonts w:eastAsiaTheme="minorHAnsi"/>
                <w:szCs w:val="24"/>
                <w:lang w:eastAsia="en-US"/>
              </w:rPr>
            </w:pPr>
            <w:r w:rsidRPr="007B3AE1">
              <w:rPr>
                <w:rFonts w:eastAsiaTheme="minorHAnsi"/>
                <w:szCs w:val="24"/>
                <w:lang w:eastAsia="en-US"/>
              </w:rPr>
              <w:t>2005</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46%</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42%</w:t>
            </w:r>
          </w:p>
        </w:tc>
        <w:tc>
          <w:tcPr>
            <w:tcW w:w="1216"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44%</w:t>
            </w:r>
          </w:p>
        </w:tc>
        <w:tc>
          <w:tcPr>
            <w:tcW w:w="1469"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35%</w:t>
            </w:r>
          </w:p>
        </w:tc>
        <w:tc>
          <w:tcPr>
            <w:tcW w:w="960"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42%</w:t>
            </w:r>
          </w:p>
        </w:tc>
      </w:tr>
      <w:tr w:rsidR="007B3AE1" w:rsidRPr="007B3AE1" w:rsidTr="00066800">
        <w:trPr>
          <w:trHeight w:val="300"/>
          <w:jc w:val="center"/>
        </w:trPr>
        <w:tc>
          <w:tcPr>
            <w:tcW w:w="1683" w:type="dxa"/>
            <w:noWrap/>
            <w:hideMark/>
          </w:tcPr>
          <w:p w:rsidR="007B3AE1" w:rsidRPr="007B3AE1" w:rsidRDefault="007B3AE1" w:rsidP="007B3AE1">
            <w:pPr>
              <w:widowControl/>
              <w:adjustRightInd/>
              <w:spacing w:line="240" w:lineRule="auto"/>
              <w:jc w:val="right"/>
              <w:textAlignment w:val="auto"/>
              <w:rPr>
                <w:rFonts w:eastAsiaTheme="minorHAnsi"/>
                <w:szCs w:val="24"/>
                <w:lang w:eastAsia="en-US"/>
              </w:rPr>
            </w:pPr>
            <w:r w:rsidRPr="007B3AE1">
              <w:rPr>
                <w:rFonts w:eastAsiaTheme="minorHAnsi"/>
                <w:szCs w:val="24"/>
                <w:lang w:eastAsia="en-US"/>
              </w:rPr>
              <w:t>2006</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45%</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32%</w:t>
            </w:r>
          </w:p>
        </w:tc>
        <w:tc>
          <w:tcPr>
            <w:tcW w:w="1216"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50%</w:t>
            </w:r>
          </w:p>
        </w:tc>
        <w:tc>
          <w:tcPr>
            <w:tcW w:w="1469"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29%</w:t>
            </w:r>
          </w:p>
        </w:tc>
        <w:tc>
          <w:tcPr>
            <w:tcW w:w="960"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53%</w:t>
            </w:r>
          </w:p>
        </w:tc>
      </w:tr>
      <w:tr w:rsidR="007B3AE1" w:rsidRPr="007B3AE1" w:rsidTr="00066800">
        <w:trPr>
          <w:trHeight w:val="300"/>
          <w:jc w:val="center"/>
        </w:trPr>
        <w:tc>
          <w:tcPr>
            <w:tcW w:w="1683" w:type="dxa"/>
            <w:noWrap/>
            <w:hideMark/>
          </w:tcPr>
          <w:p w:rsidR="007B3AE1" w:rsidRPr="007B3AE1" w:rsidRDefault="007B3AE1" w:rsidP="007B3AE1">
            <w:pPr>
              <w:widowControl/>
              <w:adjustRightInd/>
              <w:spacing w:line="240" w:lineRule="auto"/>
              <w:jc w:val="right"/>
              <w:textAlignment w:val="auto"/>
              <w:rPr>
                <w:rFonts w:eastAsiaTheme="minorHAnsi"/>
                <w:szCs w:val="24"/>
                <w:lang w:eastAsia="en-US"/>
              </w:rPr>
            </w:pPr>
            <w:r w:rsidRPr="007B3AE1">
              <w:rPr>
                <w:rFonts w:eastAsiaTheme="minorHAnsi"/>
                <w:szCs w:val="24"/>
                <w:lang w:eastAsia="en-US"/>
              </w:rPr>
              <w:t>2007</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45%</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45%</w:t>
            </w:r>
          </w:p>
        </w:tc>
        <w:tc>
          <w:tcPr>
            <w:tcW w:w="1216"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40%</w:t>
            </w:r>
          </w:p>
        </w:tc>
        <w:tc>
          <w:tcPr>
            <w:tcW w:w="1469"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34%</w:t>
            </w:r>
          </w:p>
        </w:tc>
        <w:tc>
          <w:tcPr>
            <w:tcW w:w="960"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40%</w:t>
            </w:r>
          </w:p>
        </w:tc>
      </w:tr>
      <w:tr w:rsidR="007B3AE1" w:rsidRPr="007B3AE1" w:rsidTr="00066800">
        <w:trPr>
          <w:trHeight w:val="300"/>
          <w:jc w:val="center"/>
        </w:trPr>
        <w:tc>
          <w:tcPr>
            <w:tcW w:w="1683" w:type="dxa"/>
            <w:noWrap/>
            <w:hideMark/>
          </w:tcPr>
          <w:p w:rsidR="007B3AE1" w:rsidRPr="007B3AE1" w:rsidRDefault="007B3AE1" w:rsidP="007B3AE1">
            <w:pPr>
              <w:widowControl/>
              <w:adjustRightInd/>
              <w:spacing w:line="240" w:lineRule="auto"/>
              <w:jc w:val="right"/>
              <w:textAlignment w:val="auto"/>
              <w:rPr>
                <w:rFonts w:eastAsiaTheme="minorHAnsi"/>
                <w:szCs w:val="24"/>
                <w:lang w:eastAsia="en-US"/>
              </w:rPr>
            </w:pPr>
            <w:r w:rsidRPr="007B3AE1">
              <w:rPr>
                <w:rFonts w:eastAsiaTheme="minorHAnsi"/>
                <w:szCs w:val="24"/>
                <w:lang w:eastAsia="en-US"/>
              </w:rPr>
              <w:t>2008</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46%</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46%</w:t>
            </w:r>
          </w:p>
        </w:tc>
        <w:tc>
          <w:tcPr>
            <w:tcW w:w="1216"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41%</w:t>
            </w:r>
          </w:p>
        </w:tc>
        <w:tc>
          <w:tcPr>
            <w:tcW w:w="1469"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26%</w:t>
            </w:r>
          </w:p>
        </w:tc>
        <w:tc>
          <w:tcPr>
            <w:tcW w:w="960"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45%</w:t>
            </w:r>
          </w:p>
        </w:tc>
      </w:tr>
      <w:tr w:rsidR="007B3AE1" w:rsidRPr="007B3AE1" w:rsidTr="00066800">
        <w:trPr>
          <w:trHeight w:val="300"/>
          <w:jc w:val="center"/>
        </w:trPr>
        <w:tc>
          <w:tcPr>
            <w:tcW w:w="1683" w:type="dxa"/>
            <w:noWrap/>
            <w:hideMark/>
          </w:tcPr>
          <w:p w:rsidR="007B3AE1" w:rsidRPr="007B3AE1" w:rsidRDefault="007B3AE1" w:rsidP="007B3AE1">
            <w:pPr>
              <w:widowControl/>
              <w:adjustRightInd/>
              <w:spacing w:line="240" w:lineRule="auto"/>
              <w:jc w:val="right"/>
              <w:textAlignment w:val="auto"/>
              <w:rPr>
                <w:rFonts w:eastAsiaTheme="minorHAnsi"/>
                <w:szCs w:val="24"/>
                <w:lang w:eastAsia="en-US"/>
              </w:rPr>
            </w:pPr>
            <w:r w:rsidRPr="007B3AE1">
              <w:rPr>
                <w:rFonts w:eastAsiaTheme="minorHAnsi"/>
                <w:szCs w:val="24"/>
                <w:lang w:eastAsia="en-US"/>
              </w:rPr>
              <w:t>2009</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47%</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44%</w:t>
            </w:r>
          </w:p>
        </w:tc>
        <w:tc>
          <w:tcPr>
            <w:tcW w:w="1216"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42%</w:t>
            </w:r>
          </w:p>
        </w:tc>
        <w:tc>
          <w:tcPr>
            <w:tcW w:w="1469"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32%</w:t>
            </w:r>
          </w:p>
        </w:tc>
        <w:tc>
          <w:tcPr>
            <w:tcW w:w="960"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44%</w:t>
            </w:r>
          </w:p>
        </w:tc>
      </w:tr>
      <w:tr w:rsidR="007B3AE1" w:rsidRPr="007B3AE1" w:rsidTr="00066800">
        <w:trPr>
          <w:trHeight w:val="300"/>
          <w:jc w:val="center"/>
        </w:trPr>
        <w:tc>
          <w:tcPr>
            <w:tcW w:w="1683" w:type="dxa"/>
            <w:noWrap/>
            <w:hideMark/>
          </w:tcPr>
          <w:p w:rsidR="007B3AE1" w:rsidRPr="007B3AE1" w:rsidRDefault="007B3AE1" w:rsidP="007B3AE1">
            <w:pPr>
              <w:widowControl/>
              <w:adjustRightInd/>
              <w:spacing w:line="240" w:lineRule="auto"/>
              <w:jc w:val="right"/>
              <w:textAlignment w:val="auto"/>
              <w:rPr>
                <w:rFonts w:eastAsiaTheme="minorHAnsi"/>
                <w:szCs w:val="24"/>
                <w:lang w:eastAsia="en-US"/>
              </w:rPr>
            </w:pPr>
            <w:r w:rsidRPr="007B3AE1">
              <w:rPr>
                <w:rFonts w:eastAsiaTheme="minorHAnsi"/>
                <w:szCs w:val="24"/>
                <w:lang w:eastAsia="en-US"/>
              </w:rPr>
              <w:t>2010</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74%</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71%</w:t>
            </w:r>
          </w:p>
        </w:tc>
        <w:tc>
          <w:tcPr>
            <w:tcW w:w="1216"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46%</w:t>
            </w:r>
          </w:p>
        </w:tc>
        <w:tc>
          <w:tcPr>
            <w:tcW w:w="1469"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32%</w:t>
            </w:r>
          </w:p>
        </w:tc>
        <w:tc>
          <w:tcPr>
            <w:tcW w:w="960"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49%</w:t>
            </w:r>
          </w:p>
        </w:tc>
      </w:tr>
      <w:tr w:rsidR="007B3AE1" w:rsidRPr="007B3AE1" w:rsidTr="00066800">
        <w:trPr>
          <w:trHeight w:val="300"/>
          <w:jc w:val="center"/>
        </w:trPr>
        <w:tc>
          <w:tcPr>
            <w:tcW w:w="1683" w:type="dxa"/>
            <w:noWrap/>
            <w:hideMark/>
          </w:tcPr>
          <w:p w:rsidR="007B3AE1" w:rsidRPr="007B3AE1" w:rsidRDefault="007B3AE1" w:rsidP="007B3AE1">
            <w:pPr>
              <w:widowControl/>
              <w:adjustRightInd/>
              <w:spacing w:line="240" w:lineRule="auto"/>
              <w:jc w:val="right"/>
              <w:textAlignment w:val="auto"/>
              <w:rPr>
                <w:rFonts w:eastAsiaTheme="minorHAnsi"/>
                <w:szCs w:val="24"/>
                <w:lang w:eastAsia="en-US"/>
              </w:rPr>
            </w:pPr>
            <w:r w:rsidRPr="007B3AE1">
              <w:rPr>
                <w:rFonts w:eastAsiaTheme="minorHAnsi"/>
                <w:szCs w:val="24"/>
                <w:lang w:eastAsia="en-US"/>
              </w:rPr>
              <w:t>2011</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65%</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79%</w:t>
            </w:r>
          </w:p>
        </w:tc>
        <w:tc>
          <w:tcPr>
            <w:tcW w:w="1216"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43%</w:t>
            </w:r>
          </w:p>
        </w:tc>
        <w:tc>
          <w:tcPr>
            <w:tcW w:w="1469"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28%</w:t>
            </w:r>
          </w:p>
        </w:tc>
        <w:tc>
          <w:tcPr>
            <w:tcW w:w="960"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48%</w:t>
            </w:r>
          </w:p>
        </w:tc>
      </w:tr>
      <w:tr w:rsidR="007B3AE1" w:rsidRPr="007B3AE1" w:rsidTr="00066800">
        <w:trPr>
          <w:trHeight w:val="300"/>
          <w:jc w:val="center"/>
        </w:trPr>
        <w:tc>
          <w:tcPr>
            <w:tcW w:w="1683" w:type="dxa"/>
            <w:noWrap/>
            <w:hideMark/>
          </w:tcPr>
          <w:p w:rsidR="007B3AE1" w:rsidRPr="007B3AE1" w:rsidRDefault="007B3AE1" w:rsidP="007B3AE1">
            <w:pPr>
              <w:widowControl/>
              <w:adjustRightInd/>
              <w:spacing w:line="240" w:lineRule="auto"/>
              <w:jc w:val="right"/>
              <w:textAlignment w:val="auto"/>
              <w:rPr>
                <w:rFonts w:eastAsiaTheme="minorHAnsi"/>
                <w:szCs w:val="24"/>
                <w:lang w:eastAsia="en-US"/>
              </w:rPr>
            </w:pPr>
            <w:r w:rsidRPr="007B3AE1">
              <w:rPr>
                <w:rFonts w:eastAsiaTheme="minorHAnsi"/>
                <w:szCs w:val="24"/>
                <w:lang w:eastAsia="en-US"/>
              </w:rPr>
              <w:t>2012</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28%</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47%</w:t>
            </w:r>
          </w:p>
        </w:tc>
        <w:tc>
          <w:tcPr>
            <w:tcW w:w="1216"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26%</w:t>
            </w:r>
          </w:p>
        </w:tc>
        <w:tc>
          <w:tcPr>
            <w:tcW w:w="1469"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28%</w:t>
            </w:r>
          </w:p>
        </w:tc>
        <w:tc>
          <w:tcPr>
            <w:tcW w:w="960"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26%</w:t>
            </w:r>
          </w:p>
        </w:tc>
      </w:tr>
      <w:tr w:rsidR="007B3AE1" w:rsidRPr="007B3AE1" w:rsidTr="00066800">
        <w:trPr>
          <w:trHeight w:val="300"/>
          <w:jc w:val="center"/>
        </w:trPr>
        <w:tc>
          <w:tcPr>
            <w:tcW w:w="1683" w:type="dxa"/>
            <w:noWrap/>
            <w:hideMark/>
          </w:tcPr>
          <w:p w:rsidR="007B3AE1" w:rsidRPr="007B3AE1" w:rsidRDefault="007B3AE1" w:rsidP="007B3AE1">
            <w:pPr>
              <w:widowControl/>
              <w:adjustRightInd/>
              <w:spacing w:line="240" w:lineRule="auto"/>
              <w:jc w:val="right"/>
              <w:textAlignment w:val="auto"/>
              <w:rPr>
                <w:rFonts w:eastAsiaTheme="minorHAnsi"/>
                <w:szCs w:val="24"/>
                <w:lang w:eastAsia="en-US"/>
              </w:rPr>
            </w:pPr>
            <w:r w:rsidRPr="007B3AE1">
              <w:rPr>
                <w:rFonts w:eastAsiaTheme="minorHAnsi"/>
                <w:szCs w:val="24"/>
                <w:lang w:eastAsia="en-US"/>
              </w:rPr>
              <w:t>2013</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29%</w:t>
            </w:r>
          </w:p>
        </w:tc>
        <w:tc>
          <w:tcPr>
            <w:tcW w:w="1216" w:type="dxa"/>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34%</w:t>
            </w:r>
          </w:p>
        </w:tc>
        <w:tc>
          <w:tcPr>
            <w:tcW w:w="1216"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36%</w:t>
            </w:r>
          </w:p>
        </w:tc>
        <w:tc>
          <w:tcPr>
            <w:tcW w:w="1469"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42%</w:t>
            </w:r>
          </w:p>
        </w:tc>
        <w:tc>
          <w:tcPr>
            <w:tcW w:w="960" w:type="dxa"/>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28%</w:t>
            </w:r>
          </w:p>
        </w:tc>
      </w:tr>
      <w:tr w:rsidR="007B3AE1" w:rsidRPr="007B3AE1" w:rsidTr="00066800">
        <w:trPr>
          <w:trHeight w:val="300"/>
          <w:jc w:val="center"/>
        </w:trPr>
        <w:tc>
          <w:tcPr>
            <w:tcW w:w="1683" w:type="dxa"/>
            <w:tcBorders>
              <w:bottom w:val="single" w:sz="4" w:space="0" w:color="auto"/>
            </w:tcBorders>
            <w:noWrap/>
            <w:hideMark/>
          </w:tcPr>
          <w:p w:rsidR="007B3AE1" w:rsidRPr="007B3AE1" w:rsidRDefault="007B3AE1" w:rsidP="007B3AE1">
            <w:pPr>
              <w:widowControl/>
              <w:adjustRightInd/>
              <w:spacing w:line="240" w:lineRule="auto"/>
              <w:jc w:val="right"/>
              <w:textAlignment w:val="auto"/>
              <w:rPr>
                <w:rFonts w:eastAsiaTheme="minorHAnsi"/>
                <w:szCs w:val="24"/>
                <w:lang w:eastAsia="en-US"/>
              </w:rPr>
            </w:pPr>
            <w:r w:rsidRPr="007B3AE1">
              <w:rPr>
                <w:rFonts w:eastAsiaTheme="minorHAnsi"/>
                <w:szCs w:val="24"/>
                <w:lang w:eastAsia="en-US"/>
              </w:rPr>
              <w:t>Mean</w:t>
            </w:r>
          </w:p>
        </w:tc>
        <w:tc>
          <w:tcPr>
            <w:tcW w:w="1216" w:type="dxa"/>
            <w:tcBorders>
              <w:bottom w:val="single" w:sz="4" w:space="0" w:color="auto"/>
            </w:tcBorders>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36%</w:t>
            </w:r>
          </w:p>
        </w:tc>
        <w:tc>
          <w:tcPr>
            <w:tcW w:w="1216" w:type="dxa"/>
            <w:tcBorders>
              <w:bottom w:val="single" w:sz="4" w:space="0" w:color="auto"/>
            </w:tcBorders>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47%</w:t>
            </w:r>
          </w:p>
        </w:tc>
        <w:tc>
          <w:tcPr>
            <w:tcW w:w="1216" w:type="dxa"/>
            <w:tcBorders>
              <w:bottom w:val="single" w:sz="4" w:space="0" w:color="auto"/>
            </w:tcBorders>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33%</w:t>
            </w:r>
          </w:p>
        </w:tc>
        <w:tc>
          <w:tcPr>
            <w:tcW w:w="1469" w:type="dxa"/>
            <w:tcBorders>
              <w:bottom w:val="single" w:sz="4" w:space="0" w:color="auto"/>
            </w:tcBorders>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29%</w:t>
            </w:r>
          </w:p>
        </w:tc>
        <w:tc>
          <w:tcPr>
            <w:tcW w:w="960" w:type="dxa"/>
            <w:tcBorders>
              <w:bottom w:val="single" w:sz="4" w:space="0" w:color="auto"/>
            </w:tcBorders>
            <w:noWrap/>
            <w:hideMark/>
          </w:tcPr>
          <w:p w:rsidR="007B3AE1" w:rsidRPr="007B3AE1" w:rsidRDefault="007B3AE1" w:rsidP="007B3AE1">
            <w:pPr>
              <w:widowControl/>
              <w:adjustRightInd/>
              <w:spacing w:line="240" w:lineRule="auto"/>
              <w:jc w:val="center"/>
              <w:textAlignment w:val="auto"/>
              <w:rPr>
                <w:rFonts w:eastAsiaTheme="minorHAnsi"/>
                <w:szCs w:val="24"/>
                <w:lang w:eastAsia="en-US"/>
              </w:rPr>
            </w:pPr>
            <w:r w:rsidRPr="007B3AE1">
              <w:rPr>
                <w:rFonts w:eastAsiaTheme="minorHAnsi"/>
                <w:szCs w:val="24"/>
                <w:lang w:eastAsia="en-US"/>
              </w:rPr>
              <w:t>34%</w:t>
            </w:r>
          </w:p>
        </w:tc>
      </w:tr>
    </w:tbl>
    <w:p w:rsidR="007B3AE1" w:rsidRDefault="007B3AE1" w:rsidP="00E2327D">
      <w:pPr>
        <w:pStyle w:val="Default"/>
        <w:spacing w:line="360" w:lineRule="auto"/>
        <w:ind w:firstLine="482"/>
      </w:pPr>
    </w:p>
    <w:p w:rsidR="007B3AE1" w:rsidRDefault="007B3AE1" w:rsidP="00E2327D">
      <w:pPr>
        <w:pStyle w:val="Default"/>
        <w:spacing w:line="360" w:lineRule="auto"/>
        <w:ind w:firstLine="482"/>
      </w:pPr>
    </w:p>
    <w:p w:rsidR="00E2327D" w:rsidRDefault="00E2327D" w:rsidP="00E2327D">
      <w:pPr>
        <w:pStyle w:val="Default"/>
        <w:spacing w:line="360" w:lineRule="auto"/>
        <w:ind w:firstLine="482"/>
      </w:pPr>
      <w:r>
        <w:t xml:space="preserve">In parallel to the productivity changes, the percent of universities operating inefficiently (&lt;1) exceeded just over 50% throughout the 2005-2009 academic years and fell to approximately half that in 2010 (26%). Thus, 74% of universities managed efficiency gains (&gt;1) in 2010. Thereafter, </w:t>
      </w:r>
      <w:r>
        <w:lastRenderedPageBreak/>
        <w:t>the percentage of universities operating inefficiently took a turn for the worse and rose to more than 70% in 2012 and 2013; by far the highest levels over the 10 academic years. The nearly 30% of universities in 2012 and 2013 that managed to produce total productivity gains were responsible for warding off yet further deterioration in the productivity among all public institutions.</w:t>
      </w:r>
    </w:p>
    <w:p w:rsidR="00E2327D" w:rsidRDefault="00E2327D" w:rsidP="00E2327D">
      <w:pPr>
        <w:pStyle w:val="Default"/>
        <w:spacing w:line="360" w:lineRule="auto"/>
        <w:ind w:firstLine="482"/>
      </w:pPr>
      <w:r>
        <w:t>With the decomposition results, it is apparent that largest contribution to total productivity gains among universities in 2010 and 2011 are due to technological changes resulting in frontier shifts; 2.8% in 2010 and 2.3% in 2011. That is equally evident in the 71% and 79% of universities that were able to create those technological improvements in 2010 and 2011, respectively. That, in comparison to only 45% and 46% of universities with the ability to undertake such improvements during the recession years of 2007 and 2008. The smallest contribution to total productivity improvements in 2010 and 2011 come from managerial efficiency changes with only a 0.3% gain in 2009 and then followed by an efficiency index decline to 0.998 in 2011. However, beginning in 2013 technological improvements among universities began to decline (from 1.024 to 0.972), but was partially offset by improvements in managerial gains from 0.984 in 2012 to 1.004 or 2% in 2013. The scale effects tend to follow university enrollment changes generated by the recession. That is, throughout the two recession academic years and the lingering slow recovery effects of high unemployment, the scale productivity indexes show productivity gains through 2011.</w:t>
      </w:r>
    </w:p>
    <w:p w:rsidR="00B62E72" w:rsidRDefault="00E2327D" w:rsidP="00E2327D">
      <w:pPr>
        <w:pStyle w:val="Default"/>
        <w:spacing w:line="360" w:lineRule="auto"/>
        <w:ind w:firstLine="482"/>
      </w:pPr>
      <w:r>
        <w:t xml:space="preserve">While it is not particularly useful to provide productivity rankings for each year over the panel of 250 universities, Table 4 is intended to shed some insight into overall productivity differences across institutions. Presented are the top ten, median, and bottom ten total productivity ranked universities based on their 2005-2013 mean </w:t>
      </w:r>
      <w:r w:rsidRPr="00220C13">
        <w:t>Malmquist</w:t>
      </w:r>
      <w:r>
        <w:t xml:space="preserve"> productivity results. </w:t>
      </w:r>
      <w:r w:rsidR="00B62E72">
        <w:t xml:space="preserve">There’s the good, the bad (or not </w:t>
      </w:r>
      <w:r w:rsidR="00982DC4">
        <w:t>so</w:t>
      </w:r>
      <w:r w:rsidR="00B62E72">
        <w:t xml:space="preserve"> bad), and the ugly.</w:t>
      </w:r>
    </w:p>
    <w:p w:rsidR="00E2327D" w:rsidRDefault="00E2327D" w:rsidP="00CB712F">
      <w:pPr>
        <w:pStyle w:val="Default"/>
        <w:spacing w:line="360" w:lineRule="auto"/>
        <w:ind w:firstLine="482"/>
      </w:pPr>
      <w:r>
        <w:t>All top ten universities realized total productivity improvements. Those gains vanished with the median five ranked institutions and, obviously, continued to fade for all remaining universities. There is a 30% differential between the total productivity of first and last ranked university. For the top ranked university, all of the total productivity gain is attributed to technological</w:t>
      </w:r>
      <w:r w:rsidR="00066800">
        <w:t xml:space="preserve"> </w:t>
      </w:r>
      <w:r w:rsidR="00CB712F">
        <w:t xml:space="preserve">improvement, </w:t>
      </w:r>
      <w:r>
        <w:t xml:space="preserve">but efficiency (=1) is achieved across the efficiency, management, and scale measures. The role of technological improvements persists for six of the top ten universities and represents the main driving force in productivity gains. For the remaining four universities in the top ten, efficiency gains are the major contributor. Also, all top ranked universities show </w:t>
      </w:r>
      <w:r>
        <w:lastRenderedPageBreak/>
        <w:t xml:space="preserve">productivity gains in both management and scale, absent the ninth ranked university that shows a small scale productivity loss (0.999). For top productivity improving universities, the ten year mean gain is 3.1% and </w:t>
      </w:r>
      <w:r w:rsidR="00EF7E97">
        <w:t xml:space="preserve">average </w:t>
      </w:r>
      <w:r>
        <w:t>productivity gains were achieved across on decomposition measures.</w:t>
      </w:r>
    </w:p>
    <w:p w:rsidR="00066800" w:rsidRDefault="00066800" w:rsidP="00CB712F">
      <w:pPr>
        <w:pStyle w:val="Default"/>
        <w:spacing w:line="360" w:lineRule="auto"/>
        <w:ind w:firstLine="482"/>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
        <w:gridCol w:w="960"/>
        <w:gridCol w:w="1163"/>
        <w:gridCol w:w="1469"/>
        <w:gridCol w:w="1469"/>
        <w:gridCol w:w="1216"/>
      </w:tblGrid>
      <w:tr w:rsidR="00066800" w:rsidRPr="00066800" w:rsidTr="00066800">
        <w:trPr>
          <w:trHeight w:val="300"/>
          <w:jc w:val="center"/>
        </w:trPr>
        <w:tc>
          <w:tcPr>
            <w:tcW w:w="7747" w:type="dxa"/>
            <w:gridSpan w:val="6"/>
            <w:noWrap/>
          </w:tcPr>
          <w:p w:rsidR="00066800" w:rsidRPr="00066800" w:rsidRDefault="00066800" w:rsidP="00066800">
            <w:pPr>
              <w:widowControl/>
              <w:adjustRightInd/>
              <w:spacing w:line="240" w:lineRule="auto"/>
              <w:jc w:val="center"/>
              <w:textAlignment w:val="auto"/>
              <w:rPr>
                <w:rFonts w:eastAsiaTheme="minorHAnsi"/>
                <w:szCs w:val="24"/>
                <w:lang w:eastAsia="en-US"/>
              </w:rPr>
            </w:pPr>
            <w:r w:rsidRPr="00066800">
              <w:rPr>
                <w:rFonts w:eastAsiaTheme="minorHAnsi"/>
                <w:szCs w:val="24"/>
                <w:lang w:eastAsia="en-US"/>
              </w:rPr>
              <w:t>Table 4. Rankings By Total Productivity: Top 10, Median, Bottom 10</w:t>
            </w:r>
          </w:p>
          <w:p w:rsidR="00066800" w:rsidRPr="00066800" w:rsidRDefault="00066800" w:rsidP="00066800">
            <w:pPr>
              <w:widowControl/>
              <w:adjustRightInd/>
              <w:spacing w:line="240" w:lineRule="auto"/>
              <w:jc w:val="center"/>
              <w:textAlignment w:val="auto"/>
              <w:rPr>
                <w:rFonts w:eastAsiaTheme="minorHAnsi"/>
                <w:szCs w:val="24"/>
                <w:lang w:eastAsia="en-US"/>
              </w:rPr>
            </w:pPr>
          </w:p>
        </w:tc>
      </w:tr>
      <w:tr w:rsidR="00066800" w:rsidRPr="00066800" w:rsidTr="00066800">
        <w:trPr>
          <w:trHeight w:val="300"/>
          <w:jc w:val="center"/>
        </w:trPr>
        <w:tc>
          <w:tcPr>
            <w:tcW w:w="1470" w:type="dxa"/>
            <w:tcBorders>
              <w:bottom w:val="single" w:sz="4" w:space="0" w:color="auto"/>
            </w:tcBorders>
            <w:noWrap/>
            <w:hideMark/>
          </w:tcPr>
          <w:p w:rsidR="00066800" w:rsidRPr="00066800" w:rsidRDefault="00066800" w:rsidP="00066800">
            <w:pPr>
              <w:widowControl/>
              <w:adjustRightInd/>
              <w:spacing w:line="240" w:lineRule="auto"/>
              <w:jc w:val="left"/>
              <w:textAlignment w:val="auto"/>
              <w:rPr>
                <w:rFonts w:eastAsiaTheme="minorHAnsi"/>
                <w:szCs w:val="24"/>
                <w:lang w:eastAsia="en-US"/>
              </w:rPr>
            </w:pPr>
            <w:r w:rsidRPr="00066800">
              <w:rPr>
                <w:rFonts w:eastAsiaTheme="minorHAnsi"/>
                <w:szCs w:val="24"/>
                <w:lang w:eastAsia="en-US"/>
              </w:rPr>
              <w:t>Rank</w:t>
            </w:r>
          </w:p>
        </w:tc>
        <w:tc>
          <w:tcPr>
            <w:tcW w:w="960" w:type="dxa"/>
            <w:tcBorders>
              <w:bottom w:val="single" w:sz="4" w:space="0" w:color="auto"/>
            </w:tcBorders>
            <w:noWrap/>
            <w:hideMark/>
          </w:tcPr>
          <w:p w:rsidR="00066800" w:rsidRPr="00066800" w:rsidRDefault="00066800" w:rsidP="00066800">
            <w:pPr>
              <w:widowControl/>
              <w:adjustRightInd/>
              <w:spacing w:line="240" w:lineRule="auto"/>
              <w:jc w:val="center"/>
              <w:textAlignment w:val="auto"/>
              <w:rPr>
                <w:rFonts w:eastAsiaTheme="minorHAnsi"/>
                <w:szCs w:val="24"/>
                <w:lang w:eastAsia="en-US"/>
              </w:rPr>
            </w:pPr>
            <w:r w:rsidRPr="00066800">
              <w:rPr>
                <w:rFonts w:eastAsiaTheme="minorHAnsi"/>
                <w:szCs w:val="24"/>
                <w:lang w:eastAsia="en-US"/>
              </w:rPr>
              <w:t>Total</w:t>
            </w:r>
          </w:p>
        </w:tc>
        <w:tc>
          <w:tcPr>
            <w:tcW w:w="1163" w:type="dxa"/>
            <w:tcBorders>
              <w:bottom w:val="single" w:sz="4" w:space="0" w:color="auto"/>
            </w:tcBorders>
            <w:noWrap/>
            <w:hideMark/>
          </w:tcPr>
          <w:p w:rsidR="00066800" w:rsidRPr="00066800" w:rsidRDefault="00066800" w:rsidP="00066800">
            <w:pPr>
              <w:widowControl/>
              <w:adjustRightInd/>
              <w:spacing w:line="240" w:lineRule="auto"/>
              <w:jc w:val="center"/>
              <w:textAlignment w:val="auto"/>
              <w:rPr>
                <w:rFonts w:eastAsiaTheme="minorHAnsi"/>
                <w:szCs w:val="24"/>
                <w:lang w:eastAsia="en-US"/>
              </w:rPr>
            </w:pPr>
            <w:r w:rsidRPr="00066800">
              <w:rPr>
                <w:rFonts w:eastAsiaTheme="minorHAnsi"/>
                <w:szCs w:val="24"/>
                <w:lang w:eastAsia="en-US"/>
              </w:rPr>
              <w:t>Technical</w:t>
            </w:r>
          </w:p>
        </w:tc>
        <w:tc>
          <w:tcPr>
            <w:tcW w:w="1469" w:type="dxa"/>
            <w:tcBorders>
              <w:bottom w:val="single" w:sz="4" w:space="0" w:color="auto"/>
            </w:tcBorders>
            <w:noWrap/>
            <w:hideMark/>
          </w:tcPr>
          <w:p w:rsidR="00066800" w:rsidRPr="00066800" w:rsidRDefault="00066800" w:rsidP="00066800">
            <w:pPr>
              <w:widowControl/>
              <w:adjustRightInd/>
              <w:spacing w:line="240" w:lineRule="auto"/>
              <w:jc w:val="center"/>
              <w:textAlignment w:val="auto"/>
              <w:rPr>
                <w:rFonts w:eastAsiaTheme="minorHAnsi"/>
                <w:szCs w:val="24"/>
                <w:lang w:eastAsia="en-US"/>
              </w:rPr>
            </w:pPr>
            <w:r w:rsidRPr="00066800">
              <w:rPr>
                <w:rFonts w:eastAsiaTheme="minorHAnsi"/>
                <w:szCs w:val="24"/>
                <w:lang w:eastAsia="en-US"/>
              </w:rPr>
              <w:t>Efficiency</w:t>
            </w:r>
          </w:p>
        </w:tc>
        <w:tc>
          <w:tcPr>
            <w:tcW w:w="1469" w:type="dxa"/>
            <w:tcBorders>
              <w:bottom w:val="single" w:sz="4" w:space="0" w:color="auto"/>
            </w:tcBorders>
            <w:noWrap/>
            <w:hideMark/>
          </w:tcPr>
          <w:p w:rsidR="00066800" w:rsidRPr="00066800" w:rsidRDefault="00066800" w:rsidP="00066800">
            <w:pPr>
              <w:widowControl/>
              <w:adjustRightInd/>
              <w:spacing w:line="240" w:lineRule="auto"/>
              <w:jc w:val="center"/>
              <w:textAlignment w:val="auto"/>
              <w:rPr>
                <w:rFonts w:eastAsiaTheme="minorHAnsi"/>
                <w:szCs w:val="24"/>
                <w:lang w:eastAsia="en-US"/>
              </w:rPr>
            </w:pPr>
            <w:r w:rsidRPr="00066800">
              <w:rPr>
                <w:rFonts w:eastAsiaTheme="minorHAnsi"/>
                <w:szCs w:val="24"/>
                <w:lang w:eastAsia="en-US"/>
              </w:rPr>
              <w:t>Management</w:t>
            </w:r>
          </w:p>
        </w:tc>
        <w:tc>
          <w:tcPr>
            <w:tcW w:w="1216" w:type="dxa"/>
            <w:tcBorders>
              <w:bottom w:val="single" w:sz="4" w:space="0" w:color="auto"/>
            </w:tcBorders>
            <w:noWrap/>
            <w:hideMark/>
          </w:tcPr>
          <w:p w:rsidR="00066800" w:rsidRPr="00066800" w:rsidRDefault="00066800" w:rsidP="00066800">
            <w:pPr>
              <w:widowControl/>
              <w:adjustRightInd/>
              <w:spacing w:line="240" w:lineRule="auto"/>
              <w:jc w:val="center"/>
              <w:textAlignment w:val="auto"/>
              <w:rPr>
                <w:rFonts w:eastAsiaTheme="minorHAnsi"/>
                <w:szCs w:val="24"/>
                <w:lang w:eastAsia="en-US"/>
              </w:rPr>
            </w:pPr>
            <w:r w:rsidRPr="00066800">
              <w:rPr>
                <w:rFonts w:eastAsiaTheme="minorHAnsi"/>
                <w:szCs w:val="24"/>
                <w:lang w:eastAsia="en-US"/>
              </w:rPr>
              <w:t>Scale</w:t>
            </w:r>
          </w:p>
        </w:tc>
      </w:tr>
      <w:tr w:rsidR="00066800" w:rsidRPr="00066800" w:rsidTr="00066800">
        <w:trPr>
          <w:trHeight w:val="300"/>
          <w:jc w:val="center"/>
        </w:trPr>
        <w:tc>
          <w:tcPr>
            <w:tcW w:w="7747" w:type="dxa"/>
            <w:gridSpan w:val="6"/>
            <w:noWrap/>
          </w:tcPr>
          <w:p w:rsidR="00066800" w:rsidRPr="00066800" w:rsidRDefault="00066800" w:rsidP="00066800">
            <w:pPr>
              <w:widowControl/>
              <w:adjustRightInd/>
              <w:spacing w:line="240" w:lineRule="auto"/>
              <w:jc w:val="center"/>
              <w:textAlignment w:val="auto"/>
              <w:rPr>
                <w:rFonts w:eastAsiaTheme="minorHAnsi"/>
                <w:szCs w:val="24"/>
                <w:lang w:eastAsia="en-US"/>
              </w:rPr>
            </w:pPr>
            <w:r w:rsidRPr="00066800">
              <w:rPr>
                <w:rFonts w:eastAsiaTheme="minorHAnsi"/>
                <w:szCs w:val="24"/>
                <w:lang w:eastAsia="en-US"/>
              </w:rPr>
              <w:t>Top 10 Universities</w:t>
            </w:r>
            <w:r w:rsidR="006D4BFB">
              <w:rPr>
                <w:rFonts w:eastAsiaTheme="minorHAnsi"/>
                <w:szCs w:val="24"/>
                <w:lang w:eastAsia="en-US"/>
              </w:rPr>
              <w:t>: The Good</w:t>
            </w:r>
          </w:p>
        </w:tc>
      </w:tr>
      <w:tr w:rsidR="00066800" w:rsidRPr="00066800" w:rsidTr="00066800">
        <w:trPr>
          <w:trHeight w:val="300"/>
          <w:jc w:val="center"/>
        </w:trPr>
        <w:tc>
          <w:tcPr>
            <w:tcW w:w="1470" w:type="dxa"/>
            <w:noWrap/>
            <w:hideMark/>
          </w:tcPr>
          <w:p w:rsidR="00066800" w:rsidRPr="00066800" w:rsidRDefault="00066800" w:rsidP="00066800">
            <w:pPr>
              <w:widowControl/>
              <w:adjustRightInd/>
              <w:spacing w:line="240" w:lineRule="auto"/>
              <w:jc w:val="center"/>
              <w:textAlignment w:val="auto"/>
              <w:rPr>
                <w:rFonts w:eastAsiaTheme="minorHAnsi"/>
                <w:szCs w:val="24"/>
                <w:lang w:eastAsia="en-US"/>
              </w:rPr>
            </w:pPr>
            <w:r w:rsidRPr="00066800">
              <w:rPr>
                <w:rFonts w:eastAsiaTheme="minorHAnsi"/>
                <w:szCs w:val="24"/>
                <w:lang w:eastAsia="en-US"/>
              </w:rPr>
              <w:t>1</w:t>
            </w:r>
          </w:p>
        </w:tc>
        <w:tc>
          <w:tcPr>
            <w:tcW w:w="960"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1.038</w:t>
            </w:r>
          </w:p>
        </w:tc>
        <w:tc>
          <w:tcPr>
            <w:tcW w:w="1163"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1.038</w:t>
            </w:r>
          </w:p>
        </w:tc>
        <w:tc>
          <w:tcPr>
            <w:tcW w:w="1469"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w:t>
            </w:r>
          </w:p>
        </w:tc>
        <w:tc>
          <w:tcPr>
            <w:tcW w:w="1469"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w:t>
            </w:r>
          </w:p>
        </w:tc>
        <w:tc>
          <w:tcPr>
            <w:tcW w:w="1216"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w:t>
            </w:r>
          </w:p>
        </w:tc>
      </w:tr>
      <w:tr w:rsidR="00066800" w:rsidRPr="00066800" w:rsidTr="00066800">
        <w:trPr>
          <w:trHeight w:val="300"/>
          <w:jc w:val="center"/>
        </w:trPr>
        <w:tc>
          <w:tcPr>
            <w:tcW w:w="1470" w:type="dxa"/>
            <w:noWrap/>
            <w:hideMark/>
          </w:tcPr>
          <w:p w:rsidR="00066800" w:rsidRPr="00066800" w:rsidRDefault="00066800" w:rsidP="00066800">
            <w:pPr>
              <w:widowControl/>
              <w:adjustRightInd/>
              <w:spacing w:line="240" w:lineRule="auto"/>
              <w:jc w:val="center"/>
              <w:textAlignment w:val="auto"/>
              <w:rPr>
                <w:rFonts w:eastAsiaTheme="minorHAnsi"/>
                <w:szCs w:val="24"/>
                <w:lang w:eastAsia="en-US"/>
              </w:rPr>
            </w:pPr>
            <w:r w:rsidRPr="00066800">
              <w:rPr>
                <w:rFonts w:eastAsiaTheme="minorHAnsi"/>
                <w:szCs w:val="24"/>
                <w:lang w:eastAsia="en-US"/>
              </w:rPr>
              <w:t>2</w:t>
            </w:r>
          </w:p>
        </w:tc>
        <w:tc>
          <w:tcPr>
            <w:tcW w:w="960"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1.038</w:t>
            </w:r>
          </w:p>
        </w:tc>
        <w:tc>
          <w:tcPr>
            <w:tcW w:w="1163"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1.006</w:t>
            </w:r>
          </w:p>
        </w:tc>
        <w:tc>
          <w:tcPr>
            <w:tcW w:w="1469"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1.032</w:t>
            </w:r>
          </w:p>
        </w:tc>
        <w:tc>
          <w:tcPr>
            <w:tcW w:w="1469"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1.015</w:t>
            </w:r>
          </w:p>
        </w:tc>
        <w:tc>
          <w:tcPr>
            <w:tcW w:w="1216"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1.017</w:t>
            </w:r>
          </w:p>
        </w:tc>
      </w:tr>
      <w:tr w:rsidR="00066800" w:rsidRPr="00066800" w:rsidTr="00066800">
        <w:trPr>
          <w:trHeight w:val="300"/>
          <w:jc w:val="center"/>
        </w:trPr>
        <w:tc>
          <w:tcPr>
            <w:tcW w:w="1470" w:type="dxa"/>
            <w:noWrap/>
            <w:hideMark/>
          </w:tcPr>
          <w:p w:rsidR="00066800" w:rsidRPr="00066800" w:rsidRDefault="00066800" w:rsidP="00066800">
            <w:pPr>
              <w:widowControl/>
              <w:adjustRightInd/>
              <w:spacing w:line="240" w:lineRule="auto"/>
              <w:jc w:val="center"/>
              <w:textAlignment w:val="auto"/>
              <w:rPr>
                <w:rFonts w:eastAsiaTheme="minorHAnsi"/>
                <w:szCs w:val="24"/>
                <w:lang w:eastAsia="en-US"/>
              </w:rPr>
            </w:pPr>
            <w:r w:rsidRPr="00066800">
              <w:rPr>
                <w:rFonts w:eastAsiaTheme="minorHAnsi"/>
                <w:szCs w:val="24"/>
                <w:lang w:eastAsia="en-US"/>
              </w:rPr>
              <w:t>3</w:t>
            </w:r>
          </w:p>
        </w:tc>
        <w:tc>
          <w:tcPr>
            <w:tcW w:w="960"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1.035</w:t>
            </w:r>
          </w:p>
        </w:tc>
        <w:tc>
          <w:tcPr>
            <w:tcW w:w="1163"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1.035</w:t>
            </w:r>
          </w:p>
        </w:tc>
        <w:tc>
          <w:tcPr>
            <w:tcW w:w="1469"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w:t>
            </w:r>
          </w:p>
        </w:tc>
        <w:tc>
          <w:tcPr>
            <w:tcW w:w="1469"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w:t>
            </w:r>
          </w:p>
        </w:tc>
        <w:tc>
          <w:tcPr>
            <w:tcW w:w="1216"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w:t>
            </w:r>
          </w:p>
        </w:tc>
      </w:tr>
      <w:tr w:rsidR="00066800" w:rsidRPr="00066800" w:rsidTr="00066800">
        <w:trPr>
          <w:trHeight w:val="300"/>
          <w:jc w:val="center"/>
        </w:trPr>
        <w:tc>
          <w:tcPr>
            <w:tcW w:w="1470" w:type="dxa"/>
            <w:noWrap/>
            <w:hideMark/>
          </w:tcPr>
          <w:p w:rsidR="00066800" w:rsidRPr="00066800" w:rsidRDefault="00066800" w:rsidP="00066800">
            <w:pPr>
              <w:widowControl/>
              <w:adjustRightInd/>
              <w:spacing w:line="240" w:lineRule="auto"/>
              <w:jc w:val="center"/>
              <w:textAlignment w:val="auto"/>
              <w:rPr>
                <w:rFonts w:eastAsiaTheme="minorHAnsi"/>
                <w:szCs w:val="24"/>
                <w:lang w:eastAsia="en-US"/>
              </w:rPr>
            </w:pPr>
            <w:r w:rsidRPr="00066800">
              <w:rPr>
                <w:rFonts w:eastAsiaTheme="minorHAnsi"/>
                <w:szCs w:val="24"/>
                <w:lang w:eastAsia="en-US"/>
              </w:rPr>
              <w:t>4</w:t>
            </w:r>
          </w:p>
        </w:tc>
        <w:tc>
          <w:tcPr>
            <w:tcW w:w="960"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1.034</w:t>
            </w:r>
          </w:p>
        </w:tc>
        <w:tc>
          <w:tcPr>
            <w:tcW w:w="1163"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1.026</w:t>
            </w:r>
          </w:p>
        </w:tc>
        <w:tc>
          <w:tcPr>
            <w:tcW w:w="1469"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1.008</w:t>
            </w:r>
          </w:p>
        </w:tc>
        <w:tc>
          <w:tcPr>
            <w:tcW w:w="1469"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1.005</w:t>
            </w:r>
          </w:p>
        </w:tc>
        <w:tc>
          <w:tcPr>
            <w:tcW w:w="1216"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1.003</w:t>
            </w:r>
          </w:p>
        </w:tc>
      </w:tr>
      <w:tr w:rsidR="00066800" w:rsidRPr="00066800" w:rsidTr="00066800">
        <w:trPr>
          <w:trHeight w:val="300"/>
          <w:jc w:val="center"/>
        </w:trPr>
        <w:tc>
          <w:tcPr>
            <w:tcW w:w="1470" w:type="dxa"/>
            <w:noWrap/>
            <w:hideMark/>
          </w:tcPr>
          <w:p w:rsidR="00066800" w:rsidRPr="00066800" w:rsidRDefault="00066800" w:rsidP="00066800">
            <w:pPr>
              <w:widowControl/>
              <w:adjustRightInd/>
              <w:spacing w:line="240" w:lineRule="auto"/>
              <w:jc w:val="center"/>
              <w:textAlignment w:val="auto"/>
              <w:rPr>
                <w:rFonts w:eastAsiaTheme="minorHAnsi"/>
                <w:szCs w:val="24"/>
                <w:lang w:eastAsia="en-US"/>
              </w:rPr>
            </w:pPr>
            <w:r w:rsidRPr="00066800">
              <w:rPr>
                <w:rFonts w:eastAsiaTheme="minorHAnsi"/>
                <w:szCs w:val="24"/>
                <w:lang w:eastAsia="en-US"/>
              </w:rPr>
              <w:t>5</w:t>
            </w:r>
          </w:p>
        </w:tc>
        <w:tc>
          <w:tcPr>
            <w:tcW w:w="960"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1.029</w:t>
            </w:r>
          </w:p>
        </w:tc>
        <w:tc>
          <w:tcPr>
            <w:tcW w:w="1163"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1.013</w:t>
            </w:r>
          </w:p>
        </w:tc>
        <w:tc>
          <w:tcPr>
            <w:tcW w:w="1469"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1.016</w:t>
            </w:r>
          </w:p>
        </w:tc>
        <w:tc>
          <w:tcPr>
            <w:tcW w:w="1469"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1.012</w:t>
            </w:r>
          </w:p>
        </w:tc>
        <w:tc>
          <w:tcPr>
            <w:tcW w:w="1216"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1.004</w:t>
            </w:r>
          </w:p>
        </w:tc>
      </w:tr>
      <w:tr w:rsidR="00066800" w:rsidRPr="00066800" w:rsidTr="00066800">
        <w:trPr>
          <w:trHeight w:val="300"/>
          <w:jc w:val="center"/>
        </w:trPr>
        <w:tc>
          <w:tcPr>
            <w:tcW w:w="1470" w:type="dxa"/>
            <w:noWrap/>
            <w:hideMark/>
          </w:tcPr>
          <w:p w:rsidR="00066800" w:rsidRPr="00066800" w:rsidRDefault="00066800" w:rsidP="00066800">
            <w:pPr>
              <w:widowControl/>
              <w:adjustRightInd/>
              <w:spacing w:line="240" w:lineRule="auto"/>
              <w:jc w:val="center"/>
              <w:textAlignment w:val="auto"/>
              <w:rPr>
                <w:rFonts w:eastAsiaTheme="minorHAnsi"/>
                <w:szCs w:val="24"/>
                <w:lang w:eastAsia="en-US"/>
              </w:rPr>
            </w:pPr>
            <w:r w:rsidRPr="00066800">
              <w:rPr>
                <w:rFonts w:eastAsiaTheme="minorHAnsi"/>
                <w:szCs w:val="24"/>
                <w:lang w:eastAsia="en-US"/>
              </w:rPr>
              <w:t>6</w:t>
            </w:r>
          </w:p>
        </w:tc>
        <w:tc>
          <w:tcPr>
            <w:tcW w:w="960"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1.028</w:t>
            </w:r>
          </w:p>
        </w:tc>
        <w:tc>
          <w:tcPr>
            <w:tcW w:w="1163"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1.015</w:t>
            </w:r>
          </w:p>
        </w:tc>
        <w:tc>
          <w:tcPr>
            <w:tcW w:w="1469"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1.013</w:t>
            </w:r>
          </w:p>
        </w:tc>
        <w:tc>
          <w:tcPr>
            <w:tcW w:w="1469"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w:t>
            </w:r>
          </w:p>
        </w:tc>
        <w:tc>
          <w:tcPr>
            <w:tcW w:w="1216"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1.013</w:t>
            </w:r>
          </w:p>
        </w:tc>
      </w:tr>
      <w:tr w:rsidR="00066800" w:rsidRPr="00066800" w:rsidTr="00066800">
        <w:trPr>
          <w:trHeight w:val="300"/>
          <w:jc w:val="center"/>
        </w:trPr>
        <w:tc>
          <w:tcPr>
            <w:tcW w:w="1470" w:type="dxa"/>
            <w:noWrap/>
            <w:hideMark/>
          </w:tcPr>
          <w:p w:rsidR="00066800" w:rsidRPr="00066800" w:rsidRDefault="00066800" w:rsidP="00066800">
            <w:pPr>
              <w:widowControl/>
              <w:adjustRightInd/>
              <w:spacing w:line="240" w:lineRule="auto"/>
              <w:jc w:val="center"/>
              <w:textAlignment w:val="auto"/>
              <w:rPr>
                <w:rFonts w:eastAsiaTheme="minorHAnsi"/>
                <w:szCs w:val="24"/>
                <w:lang w:eastAsia="en-US"/>
              </w:rPr>
            </w:pPr>
            <w:r w:rsidRPr="00066800">
              <w:rPr>
                <w:rFonts w:eastAsiaTheme="minorHAnsi"/>
                <w:szCs w:val="24"/>
                <w:lang w:eastAsia="en-US"/>
              </w:rPr>
              <w:t>7</w:t>
            </w:r>
          </w:p>
        </w:tc>
        <w:tc>
          <w:tcPr>
            <w:tcW w:w="960"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1.028</w:t>
            </w:r>
          </w:p>
        </w:tc>
        <w:tc>
          <w:tcPr>
            <w:tcW w:w="1163"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1.009</w:t>
            </w:r>
          </w:p>
        </w:tc>
        <w:tc>
          <w:tcPr>
            <w:tcW w:w="1469"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1.018</w:t>
            </w:r>
          </w:p>
        </w:tc>
        <w:tc>
          <w:tcPr>
            <w:tcW w:w="1469"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1.005</w:t>
            </w:r>
          </w:p>
        </w:tc>
        <w:tc>
          <w:tcPr>
            <w:tcW w:w="1216"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1.014</w:t>
            </w:r>
          </w:p>
        </w:tc>
      </w:tr>
      <w:tr w:rsidR="00066800" w:rsidRPr="00066800" w:rsidTr="00066800">
        <w:trPr>
          <w:trHeight w:val="300"/>
          <w:jc w:val="center"/>
        </w:trPr>
        <w:tc>
          <w:tcPr>
            <w:tcW w:w="1470" w:type="dxa"/>
            <w:noWrap/>
            <w:hideMark/>
          </w:tcPr>
          <w:p w:rsidR="00066800" w:rsidRPr="00066800" w:rsidRDefault="00066800" w:rsidP="00066800">
            <w:pPr>
              <w:widowControl/>
              <w:adjustRightInd/>
              <w:spacing w:line="240" w:lineRule="auto"/>
              <w:jc w:val="center"/>
              <w:textAlignment w:val="auto"/>
              <w:rPr>
                <w:rFonts w:eastAsiaTheme="minorHAnsi"/>
                <w:szCs w:val="24"/>
                <w:lang w:eastAsia="en-US"/>
              </w:rPr>
            </w:pPr>
            <w:r w:rsidRPr="00066800">
              <w:rPr>
                <w:rFonts w:eastAsiaTheme="minorHAnsi"/>
                <w:szCs w:val="24"/>
                <w:lang w:eastAsia="en-US"/>
              </w:rPr>
              <w:t>8</w:t>
            </w:r>
          </w:p>
        </w:tc>
        <w:tc>
          <w:tcPr>
            <w:tcW w:w="960"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1.027</w:t>
            </w:r>
          </w:p>
        </w:tc>
        <w:tc>
          <w:tcPr>
            <w:tcW w:w="1163"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1.001</w:t>
            </w:r>
          </w:p>
        </w:tc>
        <w:tc>
          <w:tcPr>
            <w:tcW w:w="1469"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1.026</w:t>
            </w:r>
          </w:p>
        </w:tc>
        <w:tc>
          <w:tcPr>
            <w:tcW w:w="1469"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1.005</w:t>
            </w:r>
          </w:p>
        </w:tc>
        <w:tc>
          <w:tcPr>
            <w:tcW w:w="1216"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1.02</w:t>
            </w:r>
          </w:p>
        </w:tc>
      </w:tr>
      <w:tr w:rsidR="00066800" w:rsidRPr="00066800" w:rsidTr="00066800">
        <w:trPr>
          <w:trHeight w:val="300"/>
          <w:jc w:val="center"/>
        </w:trPr>
        <w:tc>
          <w:tcPr>
            <w:tcW w:w="1470" w:type="dxa"/>
            <w:noWrap/>
            <w:hideMark/>
          </w:tcPr>
          <w:p w:rsidR="00066800" w:rsidRPr="00066800" w:rsidRDefault="00066800" w:rsidP="00066800">
            <w:pPr>
              <w:widowControl/>
              <w:adjustRightInd/>
              <w:spacing w:line="240" w:lineRule="auto"/>
              <w:jc w:val="center"/>
              <w:textAlignment w:val="auto"/>
              <w:rPr>
                <w:rFonts w:eastAsiaTheme="minorHAnsi"/>
                <w:szCs w:val="24"/>
                <w:lang w:eastAsia="en-US"/>
              </w:rPr>
            </w:pPr>
            <w:r w:rsidRPr="00066800">
              <w:rPr>
                <w:rFonts w:eastAsiaTheme="minorHAnsi"/>
                <w:szCs w:val="24"/>
                <w:lang w:eastAsia="en-US"/>
              </w:rPr>
              <w:t>9</w:t>
            </w:r>
          </w:p>
        </w:tc>
        <w:tc>
          <w:tcPr>
            <w:tcW w:w="960"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1.027</w:t>
            </w:r>
          </w:p>
        </w:tc>
        <w:tc>
          <w:tcPr>
            <w:tcW w:w="1163"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1.025</w:t>
            </w:r>
          </w:p>
        </w:tc>
        <w:tc>
          <w:tcPr>
            <w:tcW w:w="1469"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1.002</w:t>
            </w:r>
          </w:p>
        </w:tc>
        <w:tc>
          <w:tcPr>
            <w:tcW w:w="1469"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1.003</w:t>
            </w:r>
          </w:p>
        </w:tc>
        <w:tc>
          <w:tcPr>
            <w:tcW w:w="1216"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0.999</w:t>
            </w:r>
          </w:p>
        </w:tc>
      </w:tr>
      <w:tr w:rsidR="00066800" w:rsidRPr="00066800" w:rsidTr="00066800">
        <w:trPr>
          <w:trHeight w:val="300"/>
          <w:jc w:val="center"/>
        </w:trPr>
        <w:tc>
          <w:tcPr>
            <w:tcW w:w="1470" w:type="dxa"/>
            <w:noWrap/>
            <w:hideMark/>
          </w:tcPr>
          <w:p w:rsidR="00066800" w:rsidRPr="00066800" w:rsidRDefault="00066800" w:rsidP="00066800">
            <w:pPr>
              <w:widowControl/>
              <w:adjustRightInd/>
              <w:spacing w:line="240" w:lineRule="auto"/>
              <w:jc w:val="center"/>
              <w:textAlignment w:val="auto"/>
              <w:rPr>
                <w:rFonts w:eastAsiaTheme="minorHAnsi"/>
                <w:szCs w:val="24"/>
                <w:lang w:eastAsia="en-US"/>
              </w:rPr>
            </w:pPr>
            <w:r w:rsidRPr="00066800">
              <w:rPr>
                <w:rFonts w:eastAsiaTheme="minorHAnsi"/>
                <w:szCs w:val="24"/>
                <w:lang w:eastAsia="en-US"/>
              </w:rPr>
              <w:t>10</w:t>
            </w:r>
          </w:p>
        </w:tc>
        <w:tc>
          <w:tcPr>
            <w:tcW w:w="960"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1.027</w:t>
            </w:r>
          </w:p>
        </w:tc>
        <w:tc>
          <w:tcPr>
            <w:tcW w:w="1163"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1.024</w:t>
            </w:r>
          </w:p>
        </w:tc>
        <w:tc>
          <w:tcPr>
            <w:tcW w:w="1469"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1.003</w:t>
            </w:r>
          </w:p>
        </w:tc>
        <w:tc>
          <w:tcPr>
            <w:tcW w:w="1469"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1.003</w:t>
            </w:r>
          </w:p>
        </w:tc>
        <w:tc>
          <w:tcPr>
            <w:tcW w:w="1216"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w:t>
            </w:r>
          </w:p>
        </w:tc>
      </w:tr>
      <w:tr w:rsidR="00066800" w:rsidRPr="00066800" w:rsidTr="00066800">
        <w:trPr>
          <w:trHeight w:val="300"/>
          <w:jc w:val="center"/>
        </w:trPr>
        <w:tc>
          <w:tcPr>
            <w:tcW w:w="1470" w:type="dxa"/>
            <w:noWrap/>
            <w:hideMark/>
          </w:tcPr>
          <w:p w:rsidR="00066800" w:rsidRPr="00066800" w:rsidRDefault="00066800" w:rsidP="00066800">
            <w:pPr>
              <w:widowControl/>
              <w:adjustRightInd/>
              <w:spacing w:line="240" w:lineRule="auto"/>
              <w:jc w:val="center"/>
              <w:textAlignment w:val="auto"/>
              <w:rPr>
                <w:rFonts w:eastAsiaTheme="minorHAnsi"/>
                <w:szCs w:val="24"/>
                <w:lang w:eastAsia="en-US"/>
              </w:rPr>
            </w:pPr>
            <w:r w:rsidRPr="00066800">
              <w:rPr>
                <w:rFonts w:eastAsiaTheme="minorHAnsi"/>
                <w:szCs w:val="24"/>
                <w:lang w:eastAsia="en-US"/>
              </w:rPr>
              <w:t>Mean</w:t>
            </w:r>
          </w:p>
        </w:tc>
        <w:tc>
          <w:tcPr>
            <w:tcW w:w="960"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1.031</w:t>
            </w:r>
          </w:p>
        </w:tc>
        <w:tc>
          <w:tcPr>
            <w:tcW w:w="1163"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1.019</w:t>
            </w:r>
          </w:p>
        </w:tc>
        <w:tc>
          <w:tcPr>
            <w:tcW w:w="1469"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1.012</w:t>
            </w:r>
          </w:p>
        </w:tc>
        <w:tc>
          <w:tcPr>
            <w:tcW w:w="1469"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1.005</w:t>
            </w:r>
          </w:p>
        </w:tc>
        <w:tc>
          <w:tcPr>
            <w:tcW w:w="1216"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1.007</w:t>
            </w:r>
          </w:p>
        </w:tc>
      </w:tr>
      <w:tr w:rsidR="00066800" w:rsidRPr="00066800" w:rsidTr="00066800">
        <w:trPr>
          <w:trHeight w:val="300"/>
          <w:jc w:val="center"/>
        </w:trPr>
        <w:tc>
          <w:tcPr>
            <w:tcW w:w="7747" w:type="dxa"/>
            <w:gridSpan w:val="6"/>
            <w:noWrap/>
          </w:tcPr>
          <w:p w:rsidR="00066800" w:rsidRPr="00066800" w:rsidRDefault="00066800" w:rsidP="00066800">
            <w:pPr>
              <w:widowControl/>
              <w:adjustRightInd/>
              <w:spacing w:line="240" w:lineRule="auto"/>
              <w:jc w:val="center"/>
              <w:textAlignment w:val="auto"/>
              <w:rPr>
                <w:rFonts w:eastAsiaTheme="minorHAnsi"/>
                <w:szCs w:val="24"/>
                <w:lang w:eastAsia="en-US"/>
              </w:rPr>
            </w:pPr>
            <w:r w:rsidRPr="00066800">
              <w:rPr>
                <w:rFonts w:eastAsiaTheme="minorHAnsi"/>
                <w:szCs w:val="24"/>
                <w:lang w:eastAsia="en-US"/>
              </w:rPr>
              <w:t>Median Universities</w:t>
            </w:r>
            <w:r w:rsidR="006D4BFB">
              <w:rPr>
                <w:rFonts w:eastAsiaTheme="minorHAnsi"/>
                <w:szCs w:val="24"/>
                <w:lang w:eastAsia="en-US"/>
              </w:rPr>
              <w:t>: The Bad (of not so Bad)</w:t>
            </w:r>
          </w:p>
        </w:tc>
      </w:tr>
      <w:tr w:rsidR="00066800" w:rsidRPr="00066800" w:rsidTr="00066800">
        <w:trPr>
          <w:trHeight w:val="300"/>
          <w:jc w:val="center"/>
        </w:trPr>
        <w:tc>
          <w:tcPr>
            <w:tcW w:w="1470" w:type="dxa"/>
            <w:noWrap/>
            <w:hideMark/>
          </w:tcPr>
          <w:p w:rsidR="00066800" w:rsidRPr="00066800" w:rsidRDefault="00066800" w:rsidP="00066800">
            <w:pPr>
              <w:widowControl/>
              <w:adjustRightInd/>
              <w:spacing w:line="240" w:lineRule="auto"/>
              <w:jc w:val="center"/>
              <w:textAlignment w:val="auto"/>
              <w:rPr>
                <w:rFonts w:eastAsiaTheme="minorHAnsi"/>
                <w:szCs w:val="24"/>
                <w:lang w:eastAsia="en-US"/>
              </w:rPr>
            </w:pPr>
            <w:r w:rsidRPr="00066800">
              <w:rPr>
                <w:rFonts w:eastAsiaTheme="minorHAnsi"/>
                <w:szCs w:val="24"/>
                <w:lang w:eastAsia="en-US"/>
              </w:rPr>
              <w:t>123</w:t>
            </w:r>
          </w:p>
        </w:tc>
        <w:tc>
          <w:tcPr>
            <w:tcW w:w="960"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0.995</w:t>
            </w:r>
          </w:p>
        </w:tc>
        <w:tc>
          <w:tcPr>
            <w:tcW w:w="1163"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w:t>
            </w:r>
          </w:p>
        </w:tc>
        <w:tc>
          <w:tcPr>
            <w:tcW w:w="1469"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0.995</w:t>
            </w:r>
          </w:p>
        </w:tc>
        <w:tc>
          <w:tcPr>
            <w:tcW w:w="1469"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w:t>
            </w:r>
          </w:p>
        </w:tc>
        <w:tc>
          <w:tcPr>
            <w:tcW w:w="1216"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0.995</w:t>
            </w:r>
          </w:p>
        </w:tc>
      </w:tr>
      <w:tr w:rsidR="00066800" w:rsidRPr="00066800" w:rsidTr="00066800">
        <w:trPr>
          <w:trHeight w:val="300"/>
          <w:jc w:val="center"/>
        </w:trPr>
        <w:tc>
          <w:tcPr>
            <w:tcW w:w="1470" w:type="dxa"/>
            <w:noWrap/>
            <w:hideMark/>
          </w:tcPr>
          <w:p w:rsidR="00066800" w:rsidRPr="00066800" w:rsidRDefault="00066800" w:rsidP="00066800">
            <w:pPr>
              <w:widowControl/>
              <w:adjustRightInd/>
              <w:spacing w:line="240" w:lineRule="auto"/>
              <w:jc w:val="center"/>
              <w:textAlignment w:val="auto"/>
              <w:rPr>
                <w:rFonts w:eastAsiaTheme="minorHAnsi"/>
                <w:szCs w:val="24"/>
                <w:lang w:eastAsia="en-US"/>
              </w:rPr>
            </w:pPr>
            <w:r w:rsidRPr="00066800">
              <w:rPr>
                <w:rFonts w:eastAsiaTheme="minorHAnsi"/>
                <w:szCs w:val="24"/>
                <w:lang w:eastAsia="en-US"/>
              </w:rPr>
              <w:t>124</w:t>
            </w:r>
          </w:p>
        </w:tc>
        <w:tc>
          <w:tcPr>
            <w:tcW w:w="960"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0.995</w:t>
            </w:r>
          </w:p>
        </w:tc>
        <w:tc>
          <w:tcPr>
            <w:tcW w:w="1163"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1.003</w:t>
            </w:r>
          </w:p>
        </w:tc>
        <w:tc>
          <w:tcPr>
            <w:tcW w:w="1469"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0.992</w:t>
            </w:r>
          </w:p>
        </w:tc>
        <w:tc>
          <w:tcPr>
            <w:tcW w:w="1469"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0.983</w:t>
            </w:r>
          </w:p>
        </w:tc>
        <w:tc>
          <w:tcPr>
            <w:tcW w:w="1216"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1.009</w:t>
            </w:r>
          </w:p>
        </w:tc>
      </w:tr>
      <w:tr w:rsidR="00066800" w:rsidRPr="00066800" w:rsidTr="00066800">
        <w:trPr>
          <w:trHeight w:val="300"/>
          <w:jc w:val="center"/>
        </w:trPr>
        <w:tc>
          <w:tcPr>
            <w:tcW w:w="1470" w:type="dxa"/>
            <w:noWrap/>
            <w:hideMark/>
          </w:tcPr>
          <w:p w:rsidR="00066800" w:rsidRPr="00066800" w:rsidRDefault="00066800" w:rsidP="00066800">
            <w:pPr>
              <w:widowControl/>
              <w:adjustRightInd/>
              <w:spacing w:line="240" w:lineRule="auto"/>
              <w:jc w:val="center"/>
              <w:textAlignment w:val="auto"/>
              <w:rPr>
                <w:rFonts w:eastAsiaTheme="minorHAnsi"/>
                <w:szCs w:val="24"/>
                <w:lang w:eastAsia="en-US"/>
              </w:rPr>
            </w:pPr>
            <w:r w:rsidRPr="00066800">
              <w:rPr>
                <w:rFonts w:eastAsiaTheme="minorHAnsi"/>
                <w:szCs w:val="24"/>
                <w:lang w:eastAsia="en-US"/>
              </w:rPr>
              <w:t>125</w:t>
            </w:r>
          </w:p>
        </w:tc>
        <w:tc>
          <w:tcPr>
            <w:tcW w:w="960"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0.995</w:t>
            </w:r>
          </w:p>
        </w:tc>
        <w:tc>
          <w:tcPr>
            <w:tcW w:w="1163"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0.991</w:t>
            </w:r>
          </w:p>
        </w:tc>
        <w:tc>
          <w:tcPr>
            <w:tcW w:w="1469"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1.004</w:t>
            </w:r>
          </w:p>
        </w:tc>
        <w:tc>
          <w:tcPr>
            <w:tcW w:w="1469"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0.998</w:t>
            </w:r>
          </w:p>
        </w:tc>
        <w:tc>
          <w:tcPr>
            <w:tcW w:w="1216"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1.006</w:t>
            </w:r>
          </w:p>
        </w:tc>
      </w:tr>
      <w:tr w:rsidR="00066800" w:rsidRPr="00066800" w:rsidTr="00066800">
        <w:trPr>
          <w:trHeight w:val="300"/>
          <w:jc w:val="center"/>
        </w:trPr>
        <w:tc>
          <w:tcPr>
            <w:tcW w:w="1470" w:type="dxa"/>
            <w:noWrap/>
            <w:hideMark/>
          </w:tcPr>
          <w:p w:rsidR="00066800" w:rsidRPr="00066800" w:rsidRDefault="00066800" w:rsidP="00066800">
            <w:pPr>
              <w:widowControl/>
              <w:adjustRightInd/>
              <w:spacing w:line="240" w:lineRule="auto"/>
              <w:jc w:val="center"/>
              <w:textAlignment w:val="auto"/>
              <w:rPr>
                <w:rFonts w:eastAsiaTheme="minorHAnsi"/>
                <w:szCs w:val="24"/>
                <w:lang w:eastAsia="en-US"/>
              </w:rPr>
            </w:pPr>
            <w:r w:rsidRPr="00066800">
              <w:rPr>
                <w:rFonts w:eastAsiaTheme="minorHAnsi"/>
                <w:szCs w:val="24"/>
                <w:lang w:eastAsia="en-US"/>
              </w:rPr>
              <w:t>126</w:t>
            </w:r>
          </w:p>
        </w:tc>
        <w:tc>
          <w:tcPr>
            <w:tcW w:w="960"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0.995</w:t>
            </w:r>
          </w:p>
        </w:tc>
        <w:tc>
          <w:tcPr>
            <w:tcW w:w="1163"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1.009</w:t>
            </w:r>
          </w:p>
        </w:tc>
        <w:tc>
          <w:tcPr>
            <w:tcW w:w="1469"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0.987</w:t>
            </w:r>
          </w:p>
        </w:tc>
        <w:tc>
          <w:tcPr>
            <w:tcW w:w="1469"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1.002</w:t>
            </w:r>
          </w:p>
        </w:tc>
        <w:tc>
          <w:tcPr>
            <w:tcW w:w="1216"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0.984</w:t>
            </w:r>
          </w:p>
        </w:tc>
      </w:tr>
      <w:tr w:rsidR="00066800" w:rsidRPr="00066800" w:rsidTr="00066800">
        <w:trPr>
          <w:trHeight w:val="300"/>
          <w:jc w:val="center"/>
        </w:trPr>
        <w:tc>
          <w:tcPr>
            <w:tcW w:w="1470" w:type="dxa"/>
            <w:noWrap/>
            <w:hideMark/>
          </w:tcPr>
          <w:p w:rsidR="00066800" w:rsidRPr="00066800" w:rsidRDefault="00066800" w:rsidP="00066800">
            <w:pPr>
              <w:widowControl/>
              <w:adjustRightInd/>
              <w:spacing w:line="240" w:lineRule="auto"/>
              <w:jc w:val="center"/>
              <w:textAlignment w:val="auto"/>
              <w:rPr>
                <w:rFonts w:eastAsiaTheme="minorHAnsi"/>
                <w:szCs w:val="24"/>
                <w:lang w:eastAsia="en-US"/>
              </w:rPr>
            </w:pPr>
            <w:r w:rsidRPr="00066800">
              <w:rPr>
                <w:rFonts w:eastAsiaTheme="minorHAnsi"/>
                <w:szCs w:val="24"/>
                <w:lang w:eastAsia="en-US"/>
              </w:rPr>
              <w:t>127</w:t>
            </w:r>
          </w:p>
        </w:tc>
        <w:tc>
          <w:tcPr>
            <w:tcW w:w="960"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0.995</w:t>
            </w:r>
          </w:p>
        </w:tc>
        <w:tc>
          <w:tcPr>
            <w:tcW w:w="1163"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0.997</w:t>
            </w:r>
          </w:p>
        </w:tc>
        <w:tc>
          <w:tcPr>
            <w:tcW w:w="1469"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0.998</w:t>
            </w:r>
          </w:p>
        </w:tc>
        <w:tc>
          <w:tcPr>
            <w:tcW w:w="1469"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0.997</w:t>
            </w:r>
          </w:p>
        </w:tc>
        <w:tc>
          <w:tcPr>
            <w:tcW w:w="1216"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w:t>
            </w:r>
          </w:p>
        </w:tc>
      </w:tr>
      <w:tr w:rsidR="00066800" w:rsidRPr="00066800" w:rsidTr="00066800">
        <w:trPr>
          <w:trHeight w:val="300"/>
          <w:jc w:val="center"/>
        </w:trPr>
        <w:tc>
          <w:tcPr>
            <w:tcW w:w="1470" w:type="dxa"/>
            <w:noWrap/>
            <w:hideMark/>
          </w:tcPr>
          <w:p w:rsidR="00066800" w:rsidRPr="00066800" w:rsidRDefault="00066800" w:rsidP="00066800">
            <w:pPr>
              <w:widowControl/>
              <w:adjustRightInd/>
              <w:spacing w:line="240" w:lineRule="auto"/>
              <w:jc w:val="center"/>
              <w:textAlignment w:val="auto"/>
              <w:rPr>
                <w:rFonts w:eastAsiaTheme="minorHAnsi"/>
                <w:szCs w:val="24"/>
                <w:lang w:eastAsia="en-US"/>
              </w:rPr>
            </w:pPr>
            <w:r w:rsidRPr="00066800">
              <w:rPr>
                <w:rFonts w:eastAsiaTheme="minorHAnsi"/>
                <w:szCs w:val="24"/>
                <w:lang w:eastAsia="en-US"/>
              </w:rPr>
              <w:t>Mean</w:t>
            </w:r>
          </w:p>
        </w:tc>
        <w:tc>
          <w:tcPr>
            <w:tcW w:w="960" w:type="dxa"/>
            <w:noWrap/>
            <w:vAlign w:val="bottom"/>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0.995</w:t>
            </w:r>
          </w:p>
        </w:tc>
        <w:tc>
          <w:tcPr>
            <w:tcW w:w="1163" w:type="dxa"/>
            <w:noWrap/>
            <w:vAlign w:val="bottom"/>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0.996</w:t>
            </w:r>
          </w:p>
        </w:tc>
        <w:tc>
          <w:tcPr>
            <w:tcW w:w="1469" w:type="dxa"/>
            <w:noWrap/>
            <w:vAlign w:val="bottom"/>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1.000</w:t>
            </w:r>
          </w:p>
        </w:tc>
        <w:tc>
          <w:tcPr>
            <w:tcW w:w="1469" w:type="dxa"/>
            <w:noWrap/>
            <w:vAlign w:val="bottom"/>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0.999</w:t>
            </w:r>
          </w:p>
        </w:tc>
        <w:tc>
          <w:tcPr>
            <w:tcW w:w="1216" w:type="dxa"/>
            <w:noWrap/>
            <w:vAlign w:val="bottom"/>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0.995</w:t>
            </w:r>
          </w:p>
        </w:tc>
      </w:tr>
      <w:tr w:rsidR="00066800" w:rsidRPr="00066800" w:rsidTr="00066800">
        <w:trPr>
          <w:trHeight w:val="300"/>
          <w:jc w:val="center"/>
        </w:trPr>
        <w:tc>
          <w:tcPr>
            <w:tcW w:w="7747" w:type="dxa"/>
            <w:gridSpan w:val="6"/>
            <w:noWrap/>
          </w:tcPr>
          <w:p w:rsidR="00066800" w:rsidRPr="00066800" w:rsidRDefault="00066800" w:rsidP="00066800">
            <w:pPr>
              <w:widowControl/>
              <w:adjustRightInd/>
              <w:spacing w:line="240" w:lineRule="auto"/>
              <w:jc w:val="center"/>
              <w:textAlignment w:val="auto"/>
              <w:rPr>
                <w:rFonts w:eastAsiaTheme="minorHAnsi"/>
                <w:szCs w:val="24"/>
                <w:lang w:eastAsia="en-US"/>
              </w:rPr>
            </w:pPr>
            <w:r w:rsidRPr="00066800">
              <w:rPr>
                <w:rFonts w:eastAsiaTheme="minorHAnsi"/>
                <w:szCs w:val="24"/>
                <w:lang w:eastAsia="en-US"/>
              </w:rPr>
              <w:t>Bottom 10 Universities</w:t>
            </w:r>
            <w:r w:rsidR="006D4BFB">
              <w:rPr>
                <w:rFonts w:eastAsiaTheme="minorHAnsi"/>
                <w:szCs w:val="24"/>
                <w:lang w:eastAsia="en-US"/>
              </w:rPr>
              <w:t>: The Ugly</w:t>
            </w:r>
          </w:p>
        </w:tc>
      </w:tr>
      <w:tr w:rsidR="00066800" w:rsidRPr="00066800" w:rsidTr="00066800">
        <w:trPr>
          <w:trHeight w:val="300"/>
          <w:jc w:val="center"/>
        </w:trPr>
        <w:tc>
          <w:tcPr>
            <w:tcW w:w="1470" w:type="dxa"/>
            <w:noWrap/>
            <w:hideMark/>
          </w:tcPr>
          <w:p w:rsidR="00066800" w:rsidRPr="00066800" w:rsidRDefault="00066800" w:rsidP="00066800">
            <w:pPr>
              <w:widowControl/>
              <w:adjustRightInd/>
              <w:spacing w:line="240" w:lineRule="auto"/>
              <w:jc w:val="center"/>
              <w:textAlignment w:val="auto"/>
              <w:rPr>
                <w:rFonts w:eastAsiaTheme="minorHAnsi"/>
                <w:szCs w:val="24"/>
                <w:lang w:eastAsia="en-US"/>
              </w:rPr>
            </w:pPr>
            <w:r w:rsidRPr="00066800">
              <w:rPr>
                <w:rFonts w:eastAsiaTheme="minorHAnsi"/>
                <w:szCs w:val="24"/>
                <w:lang w:eastAsia="en-US"/>
              </w:rPr>
              <w:t>241</w:t>
            </w:r>
          </w:p>
        </w:tc>
        <w:tc>
          <w:tcPr>
            <w:tcW w:w="960"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0.951</w:t>
            </w:r>
          </w:p>
        </w:tc>
        <w:tc>
          <w:tcPr>
            <w:tcW w:w="1163"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1.005</w:t>
            </w:r>
          </w:p>
        </w:tc>
        <w:tc>
          <w:tcPr>
            <w:tcW w:w="1469"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0.946</w:t>
            </w:r>
          </w:p>
        </w:tc>
        <w:tc>
          <w:tcPr>
            <w:tcW w:w="1469"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0.98</w:t>
            </w:r>
          </w:p>
        </w:tc>
        <w:tc>
          <w:tcPr>
            <w:tcW w:w="1216"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0.965</w:t>
            </w:r>
          </w:p>
        </w:tc>
      </w:tr>
      <w:tr w:rsidR="00066800" w:rsidRPr="00066800" w:rsidTr="00066800">
        <w:trPr>
          <w:trHeight w:val="300"/>
          <w:jc w:val="center"/>
        </w:trPr>
        <w:tc>
          <w:tcPr>
            <w:tcW w:w="1470" w:type="dxa"/>
            <w:noWrap/>
            <w:hideMark/>
          </w:tcPr>
          <w:p w:rsidR="00066800" w:rsidRPr="00066800" w:rsidRDefault="00066800" w:rsidP="00066800">
            <w:pPr>
              <w:widowControl/>
              <w:adjustRightInd/>
              <w:spacing w:line="240" w:lineRule="auto"/>
              <w:jc w:val="center"/>
              <w:textAlignment w:val="auto"/>
              <w:rPr>
                <w:rFonts w:eastAsiaTheme="minorHAnsi"/>
                <w:szCs w:val="24"/>
                <w:lang w:eastAsia="en-US"/>
              </w:rPr>
            </w:pPr>
            <w:r w:rsidRPr="00066800">
              <w:rPr>
                <w:rFonts w:eastAsiaTheme="minorHAnsi"/>
                <w:szCs w:val="24"/>
                <w:lang w:eastAsia="en-US"/>
              </w:rPr>
              <w:t>242</w:t>
            </w:r>
          </w:p>
        </w:tc>
        <w:tc>
          <w:tcPr>
            <w:tcW w:w="960"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0.949</w:t>
            </w:r>
          </w:p>
        </w:tc>
        <w:tc>
          <w:tcPr>
            <w:tcW w:w="1163"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0.977</w:t>
            </w:r>
          </w:p>
        </w:tc>
        <w:tc>
          <w:tcPr>
            <w:tcW w:w="1469"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0.971</w:t>
            </w:r>
          </w:p>
        </w:tc>
        <w:tc>
          <w:tcPr>
            <w:tcW w:w="1469"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0.986</w:t>
            </w:r>
          </w:p>
        </w:tc>
        <w:tc>
          <w:tcPr>
            <w:tcW w:w="1216"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0.985</w:t>
            </w:r>
          </w:p>
        </w:tc>
      </w:tr>
      <w:tr w:rsidR="00066800" w:rsidRPr="00066800" w:rsidTr="00066800">
        <w:trPr>
          <w:trHeight w:val="300"/>
          <w:jc w:val="center"/>
        </w:trPr>
        <w:tc>
          <w:tcPr>
            <w:tcW w:w="1470" w:type="dxa"/>
            <w:noWrap/>
            <w:hideMark/>
          </w:tcPr>
          <w:p w:rsidR="00066800" w:rsidRPr="00066800" w:rsidRDefault="00066800" w:rsidP="00066800">
            <w:pPr>
              <w:widowControl/>
              <w:adjustRightInd/>
              <w:spacing w:line="240" w:lineRule="auto"/>
              <w:jc w:val="center"/>
              <w:textAlignment w:val="auto"/>
              <w:rPr>
                <w:rFonts w:eastAsiaTheme="minorHAnsi"/>
                <w:szCs w:val="24"/>
                <w:lang w:eastAsia="en-US"/>
              </w:rPr>
            </w:pPr>
            <w:r w:rsidRPr="00066800">
              <w:rPr>
                <w:rFonts w:eastAsiaTheme="minorHAnsi"/>
                <w:szCs w:val="24"/>
                <w:lang w:eastAsia="en-US"/>
              </w:rPr>
              <w:t>243</w:t>
            </w:r>
          </w:p>
        </w:tc>
        <w:tc>
          <w:tcPr>
            <w:tcW w:w="960"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0.949</w:t>
            </w:r>
          </w:p>
        </w:tc>
        <w:tc>
          <w:tcPr>
            <w:tcW w:w="1163"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0.977</w:t>
            </w:r>
          </w:p>
        </w:tc>
        <w:tc>
          <w:tcPr>
            <w:tcW w:w="1469"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0.972</w:t>
            </w:r>
          </w:p>
        </w:tc>
        <w:tc>
          <w:tcPr>
            <w:tcW w:w="1469"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w:t>
            </w:r>
          </w:p>
        </w:tc>
        <w:tc>
          <w:tcPr>
            <w:tcW w:w="1216"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0.972</w:t>
            </w:r>
          </w:p>
        </w:tc>
      </w:tr>
      <w:tr w:rsidR="00066800" w:rsidRPr="00066800" w:rsidTr="00066800">
        <w:trPr>
          <w:trHeight w:val="300"/>
          <w:jc w:val="center"/>
        </w:trPr>
        <w:tc>
          <w:tcPr>
            <w:tcW w:w="1470" w:type="dxa"/>
            <w:noWrap/>
            <w:hideMark/>
          </w:tcPr>
          <w:p w:rsidR="00066800" w:rsidRPr="00066800" w:rsidRDefault="00066800" w:rsidP="00066800">
            <w:pPr>
              <w:widowControl/>
              <w:adjustRightInd/>
              <w:spacing w:line="240" w:lineRule="auto"/>
              <w:jc w:val="center"/>
              <w:textAlignment w:val="auto"/>
              <w:rPr>
                <w:rFonts w:eastAsiaTheme="minorHAnsi"/>
                <w:szCs w:val="24"/>
                <w:lang w:eastAsia="en-US"/>
              </w:rPr>
            </w:pPr>
            <w:r w:rsidRPr="00066800">
              <w:rPr>
                <w:rFonts w:eastAsiaTheme="minorHAnsi"/>
                <w:szCs w:val="24"/>
                <w:lang w:eastAsia="en-US"/>
              </w:rPr>
              <w:t>244</w:t>
            </w:r>
          </w:p>
        </w:tc>
        <w:tc>
          <w:tcPr>
            <w:tcW w:w="960"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0.947</w:t>
            </w:r>
          </w:p>
        </w:tc>
        <w:tc>
          <w:tcPr>
            <w:tcW w:w="1163"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0.965</w:t>
            </w:r>
          </w:p>
        </w:tc>
        <w:tc>
          <w:tcPr>
            <w:tcW w:w="1469"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0.981</w:t>
            </w:r>
          </w:p>
        </w:tc>
        <w:tc>
          <w:tcPr>
            <w:tcW w:w="1469"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0.999</w:t>
            </w:r>
          </w:p>
        </w:tc>
        <w:tc>
          <w:tcPr>
            <w:tcW w:w="1216"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0.982</w:t>
            </w:r>
          </w:p>
        </w:tc>
      </w:tr>
      <w:tr w:rsidR="00066800" w:rsidRPr="00066800" w:rsidTr="00066800">
        <w:trPr>
          <w:trHeight w:val="300"/>
          <w:jc w:val="center"/>
        </w:trPr>
        <w:tc>
          <w:tcPr>
            <w:tcW w:w="1470" w:type="dxa"/>
            <w:noWrap/>
            <w:hideMark/>
          </w:tcPr>
          <w:p w:rsidR="00066800" w:rsidRPr="00066800" w:rsidRDefault="00066800" w:rsidP="00066800">
            <w:pPr>
              <w:widowControl/>
              <w:adjustRightInd/>
              <w:spacing w:line="240" w:lineRule="auto"/>
              <w:jc w:val="center"/>
              <w:textAlignment w:val="auto"/>
              <w:rPr>
                <w:rFonts w:eastAsiaTheme="minorHAnsi"/>
                <w:szCs w:val="24"/>
                <w:lang w:eastAsia="en-US"/>
              </w:rPr>
            </w:pPr>
            <w:r w:rsidRPr="00066800">
              <w:rPr>
                <w:rFonts w:eastAsiaTheme="minorHAnsi"/>
                <w:szCs w:val="24"/>
                <w:lang w:eastAsia="en-US"/>
              </w:rPr>
              <w:t>245</w:t>
            </w:r>
          </w:p>
        </w:tc>
        <w:tc>
          <w:tcPr>
            <w:tcW w:w="960"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0.942</w:t>
            </w:r>
          </w:p>
        </w:tc>
        <w:tc>
          <w:tcPr>
            <w:tcW w:w="1163"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0.951</w:t>
            </w:r>
          </w:p>
        </w:tc>
        <w:tc>
          <w:tcPr>
            <w:tcW w:w="1469"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0.991</w:t>
            </w:r>
          </w:p>
        </w:tc>
        <w:tc>
          <w:tcPr>
            <w:tcW w:w="1469"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w:t>
            </w:r>
          </w:p>
        </w:tc>
        <w:tc>
          <w:tcPr>
            <w:tcW w:w="1216"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0.991</w:t>
            </w:r>
          </w:p>
        </w:tc>
      </w:tr>
      <w:tr w:rsidR="00066800" w:rsidRPr="00066800" w:rsidTr="00066800">
        <w:trPr>
          <w:trHeight w:val="300"/>
          <w:jc w:val="center"/>
        </w:trPr>
        <w:tc>
          <w:tcPr>
            <w:tcW w:w="1470" w:type="dxa"/>
            <w:noWrap/>
            <w:hideMark/>
          </w:tcPr>
          <w:p w:rsidR="00066800" w:rsidRPr="00066800" w:rsidRDefault="00066800" w:rsidP="00066800">
            <w:pPr>
              <w:widowControl/>
              <w:adjustRightInd/>
              <w:spacing w:line="240" w:lineRule="auto"/>
              <w:jc w:val="center"/>
              <w:textAlignment w:val="auto"/>
              <w:rPr>
                <w:rFonts w:eastAsiaTheme="minorHAnsi"/>
                <w:szCs w:val="24"/>
                <w:lang w:eastAsia="en-US"/>
              </w:rPr>
            </w:pPr>
            <w:r w:rsidRPr="00066800">
              <w:rPr>
                <w:rFonts w:eastAsiaTheme="minorHAnsi"/>
                <w:szCs w:val="24"/>
                <w:lang w:eastAsia="en-US"/>
              </w:rPr>
              <w:t>246</w:t>
            </w:r>
          </w:p>
        </w:tc>
        <w:tc>
          <w:tcPr>
            <w:tcW w:w="960"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0.942</w:t>
            </w:r>
          </w:p>
        </w:tc>
        <w:tc>
          <w:tcPr>
            <w:tcW w:w="1163"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0.981</w:t>
            </w:r>
          </w:p>
        </w:tc>
        <w:tc>
          <w:tcPr>
            <w:tcW w:w="1469"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0.96</w:t>
            </w:r>
          </w:p>
        </w:tc>
        <w:tc>
          <w:tcPr>
            <w:tcW w:w="1469"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0.961</w:t>
            </w:r>
          </w:p>
        </w:tc>
        <w:tc>
          <w:tcPr>
            <w:tcW w:w="1216"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w:t>
            </w:r>
          </w:p>
        </w:tc>
      </w:tr>
      <w:tr w:rsidR="00066800" w:rsidRPr="00066800" w:rsidTr="00066800">
        <w:trPr>
          <w:trHeight w:val="300"/>
          <w:jc w:val="center"/>
        </w:trPr>
        <w:tc>
          <w:tcPr>
            <w:tcW w:w="1470" w:type="dxa"/>
            <w:noWrap/>
            <w:hideMark/>
          </w:tcPr>
          <w:p w:rsidR="00066800" w:rsidRPr="00066800" w:rsidRDefault="00066800" w:rsidP="00066800">
            <w:pPr>
              <w:widowControl/>
              <w:adjustRightInd/>
              <w:spacing w:line="240" w:lineRule="auto"/>
              <w:jc w:val="center"/>
              <w:textAlignment w:val="auto"/>
              <w:rPr>
                <w:rFonts w:eastAsiaTheme="minorHAnsi"/>
                <w:szCs w:val="24"/>
                <w:lang w:eastAsia="en-US"/>
              </w:rPr>
            </w:pPr>
            <w:r w:rsidRPr="00066800">
              <w:rPr>
                <w:rFonts w:eastAsiaTheme="minorHAnsi"/>
                <w:szCs w:val="24"/>
                <w:lang w:eastAsia="en-US"/>
              </w:rPr>
              <w:t>247</w:t>
            </w:r>
          </w:p>
        </w:tc>
        <w:tc>
          <w:tcPr>
            <w:tcW w:w="960"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0.939</w:t>
            </w:r>
          </w:p>
        </w:tc>
        <w:tc>
          <w:tcPr>
            <w:tcW w:w="1163"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0.967</w:t>
            </w:r>
          </w:p>
        </w:tc>
        <w:tc>
          <w:tcPr>
            <w:tcW w:w="1469"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0.971</w:t>
            </w:r>
          </w:p>
        </w:tc>
        <w:tc>
          <w:tcPr>
            <w:tcW w:w="1469"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w:t>
            </w:r>
          </w:p>
        </w:tc>
        <w:tc>
          <w:tcPr>
            <w:tcW w:w="1216"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0.971</w:t>
            </w:r>
          </w:p>
        </w:tc>
      </w:tr>
      <w:tr w:rsidR="00066800" w:rsidRPr="00066800" w:rsidTr="00066800">
        <w:trPr>
          <w:trHeight w:val="300"/>
          <w:jc w:val="center"/>
        </w:trPr>
        <w:tc>
          <w:tcPr>
            <w:tcW w:w="1470" w:type="dxa"/>
            <w:noWrap/>
            <w:hideMark/>
          </w:tcPr>
          <w:p w:rsidR="00066800" w:rsidRPr="00066800" w:rsidRDefault="00066800" w:rsidP="00066800">
            <w:pPr>
              <w:widowControl/>
              <w:adjustRightInd/>
              <w:spacing w:line="240" w:lineRule="auto"/>
              <w:jc w:val="center"/>
              <w:textAlignment w:val="auto"/>
              <w:rPr>
                <w:rFonts w:eastAsiaTheme="minorHAnsi"/>
                <w:szCs w:val="24"/>
                <w:lang w:eastAsia="en-US"/>
              </w:rPr>
            </w:pPr>
            <w:r w:rsidRPr="00066800">
              <w:rPr>
                <w:rFonts w:eastAsiaTheme="minorHAnsi"/>
                <w:szCs w:val="24"/>
                <w:lang w:eastAsia="en-US"/>
              </w:rPr>
              <w:t>248</w:t>
            </w:r>
          </w:p>
        </w:tc>
        <w:tc>
          <w:tcPr>
            <w:tcW w:w="960"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0.937</w:t>
            </w:r>
          </w:p>
        </w:tc>
        <w:tc>
          <w:tcPr>
            <w:tcW w:w="1163"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0.937</w:t>
            </w:r>
          </w:p>
        </w:tc>
        <w:tc>
          <w:tcPr>
            <w:tcW w:w="1469"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w:t>
            </w:r>
          </w:p>
        </w:tc>
        <w:tc>
          <w:tcPr>
            <w:tcW w:w="1469"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w:t>
            </w:r>
          </w:p>
        </w:tc>
        <w:tc>
          <w:tcPr>
            <w:tcW w:w="1216"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w:t>
            </w:r>
          </w:p>
        </w:tc>
      </w:tr>
      <w:tr w:rsidR="00066800" w:rsidRPr="00066800" w:rsidTr="00066800">
        <w:trPr>
          <w:trHeight w:val="300"/>
          <w:jc w:val="center"/>
        </w:trPr>
        <w:tc>
          <w:tcPr>
            <w:tcW w:w="1470" w:type="dxa"/>
            <w:noWrap/>
            <w:hideMark/>
          </w:tcPr>
          <w:p w:rsidR="00066800" w:rsidRPr="00066800" w:rsidRDefault="00066800" w:rsidP="00066800">
            <w:pPr>
              <w:widowControl/>
              <w:adjustRightInd/>
              <w:spacing w:line="240" w:lineRule="auto"/>
              <w:jc w:val="center"/>
              <w:textAlignment w:val="auto"/>
              <w:rPr>
                <w:rFonts w:eastAsiaTheme="minorHAnsi"/>
                <w:szCs w:val="24"/>
                <w:lang w:eastAsia="en-US"/>
              </w:rPr>
            </w:pPr>
            <w:r w:rsidRPr="00066800">
              <w:rPr>
                <w:rFonts w:eastAsiaTheme="minorHAnsi"/>
                <w:szCs w:val="24"/>
                <w:lang w:eastAsia="en-US"/>
              </w:rPr>
              <w:t>249</w:t>
            </w:r>
          </w:p>
        </w:tc>
        <w:tc>
          <w:tcPr>
            <w:tcW w:w="960"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0.878</w:t>
            </w:r>
          </w:p>
        </w:tc>
        <w:tc>
          <w:tcPr>
            <w:tcW w:w="1163"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0.947</w:t>
            </w:r>
          </w:p>
        </w:tc>
        <w:tc>
          <w:tcPr>
            <w:tcW w:w="1469"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0.927</w:t>
            </w:r>
          </w:p>
        </w:tc>
        <w:tc>
          <w:tcPr>
            <w:tcW w:w="1469"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0.958</w:t>
            </w:r>
          </w:p>
        </w:tc>
        <w:tc>
          <w:tcPr>
            <w:tcW w:w="1216"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0.968</w:t>
            </w:r>
          </w:p>
        </w:tc>
      </w:tr>
      <w:tr w:rsidR="00066800" w:rsidRPr="00066800" w:rsidTr="00066800">
        <w:trPr>
          <w:trHeight w:val="300"/>
          <w:jc w:val="center"/>
        </w:trPr>
        <w:tc>
          <w:tcPr>
            <w:tcW w:w="1470" w:type="dxa"/>
            <w:noWrap/>
            <w:hideMark/>
          </w:tcPr>
          <w:p w:rsidR="00066800" w:rsidRPr="00066800" w:rsidRDefault="00066800" w:rsidP="00066800">
            <w:pPr>
              <w:widowControl/>
              <w:adjustRightInd/>
              <w:spacing w:line="240" w:lineRule="auto"/>
              <w:jc w:val="center"/>
              <w:textAlignment w:val="auto"/>
              <w:rPr>
                <w:rFonts w:eastAsiaTheme="minorHAnsi"/>
                <w:szCs w:val="24"/>
                <w:lang w:eastAsia="en-US"/>
              </w:rPr>
            </w:pPr>
            <w:r w:rsidRPr="00066800">
              <w:rPr>
                <w:rFonts w:eastAsiaTheme="minorHAnsi"/>
                <w:szCs w:val="24"/>
                <w:lang w:eastAsia="en-US"/>
              </w:rPr>
              <w:t>250</w:t>
            </w:r>
          </w:p>
        </w:tc>
        <w:tc>
          <w:tcPr>
            <w:tcW w:w="960"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0.799</w:t>
            </w:r>
          </w:p>
        </w:tc>
        <w:tc>
          <w:tcPr>
            <w:tcW w:w="1163"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0.799</w:t>
            </w:r>
          </w:p>
        </w:tc>
        <w:tc>
          <w:tcPr>
            <w:tcW w:w="1469"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w:t>
            </w:r>
          </w:p>
        </w:tc>
        <w:tc>
          <w:tcPr>
            <w:tcW w:w="1469" w:type="dxa"/>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w:t>
            </w:r>
          </w:p>
        </w:tc>
        <w:tc>
          <w:tcPr>
            <w:tcW w:w="1216" w:type="dxa"/>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1</w:t>
            </w:r>
          </w:p>
        </w:tc>
      </w:tr>
      <w:tr w:rsidR="00066800" w:rsidRPr="00066800" w:rsidTr="00066800">
        <w:trPr>
          <w:trHeight w:val="300"/>
          <w:jc w:val="center"/>
        </w:trPr>
        <w:tc>
          <w:tcPr>
            <w:tcW w:w="1470" w:type="dxa"/>
            <w:tcBorders>
              <w:bottom w:val="single" w:sz="4" w:space="0" w:color="auto"/>
            </w:tcBorders>
            <w:noWrap/>
            <w:hideMark/>
          </w:tcPr>
          <w:p w:rsidR="00066800" w:rsidRPr="00066800" w:rsidRDefault="00066800" w:rsidP="00066800">
            <w:pPr>
              <w:widowControl/>
              <w:adjustRightInd/>
              <w:spacing w:line="240" w:lineRule="auto"/>
              <w:jc w:val="center"/>
              <w:textAlignment w:val="auto"/>
              <w:rPr>
                <w:rFonts w:eastAsiaTheme="minorHAnsi"/>
                <w:szCs w:val="24"/>
                <w:lang w:eastAsia="en-US"/>
              </w:rPr>
            </w:pPr>
            <w:r w:rsidRPr="00066800">
              <w:rPr>
                <w:rFonts w:eastAsiaTheme="minorHAnsi"/>
                <w:szCs w:val="24"/>
                <w:lang w:eastAsia="en-US"/>
              </w:rPr>
              <w:t>Mean</w:t>
            </w:r>
          </w:p>
        </w:tc>
        <w:tc>
          <w:tcPr>
            <w:tcW w:w="960" w:type="dxa"/>
            <w:tcBorders>
              <w:bottom w:val="single" w:sz="4" w:space="0" w:color="auto"/>
            </w:tcBorders>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0.923</w:t>
            </w:r>
          </w:p>
        </w:tc>
        <w:tc>
          <w:tcPr>
            <w:tcW w:w="1163" w:type="dxa"/>
            <w:tcBorders>
              <w:bottom w:val="single" w:sz="4" w:space="0" w:color="auto"/>
            </w:tcBorders>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0.951</w:t>
            </w:r>
          </w:p>
        </w:tc>
        <w:tc>
          <w:tcPr>
            <w:tcW w:w="1469" w:type="dxa"/>
            <w:tcBorders>
              <w:bottom w:val="single" w:sz="4" w:space="0" w:color="auto"/>
            </w:tcBorders>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0.972</w:t>
            </w:r>
          </w:p>
        </w:tc>
        <w:tc>
          <w:tcPr>
            <w:tcW w:w="1469" w:type="dxa"/>
            <w:tcBorders>
              <w:bottom w:val="single" w:sz="4" w:space="0" w:color="auto"/>
            </w:tcBorders>
            <w:noWrap/>
            <w:hideMark/>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0.988</w:t>
            </w:r>
          </w:p>
        </w:tc>
        <w:tc>
          <w:tcPr>
            <w:tcW w:w="1216" w:type="dxa"/>
            <w:tcBorders>
              <w:bottom w:val="single" w:sz="4" w:space="0" w:color="auto"/>
            </w:tcBorders>
            <w:noWrap/>
          </w:tcPr>
          <w:p w:rsidR="00066800" w:rsidRPr="00066800" w:rsidRDefault="00066800" w:rsidP="00066800">
            <w:pPr>
              <w:widowControl/>
              <w:adjustRightInd/>
              <w:spacing w:line="240" w:lineRule="auto"/>
              <w:jc w:val="right"/>
              <w:textAlignment w:val="auto"/>
              <w:rPr>
                <w:rFonts w:eastAsiaTheme="minorHAnsi"/>
                <w:szCs w:val="24"/>
                <w:lang w:eastAsia="en-US"/>
              </w:rPr>
            </w:pPr>
            <w:r w:rsidRPr="00066800">
              <w:rPr>
                <w:rFonts w:eastAsiaTheme="minorHAnsi"/>
                <w:szCs w:val="24"/>
                <w:lang w:eastAsia="en-US"/>
              </w:rPr>
              <w:t>0.983</w:t>
            </w:r>
          </w:p>
        </w:tc>
      </w:tr>
    </w:tbl>
    <w:p w:rsidR="00066800" w:rsidRDefault="00066800" w:rsidP="00CB712F">
      <w:pPr>
        <w:pStyle w:val="Default"/>
        <w:spacing w:line="360" w:lineRule="auto"/>
        <w:ind w:firstLine="482"/>
      </w:pPr>
    </w:p>
    <w:p w:rsidR="00CB712F" w:rsidRDefault="00CB712F" w:rsidP="00E2327D">
      <w:pPr>
        <w:pStyle w:val="Default"/>
        <w:spacing w:line="360" w:lineRule="auto"/>
        <w:ind w:firstLine="482"/>
      </w:pPr>
    </w:p>
    <w:p w:rsidR="00E2327D" w:rsidRDefault="00E2327D" w:rsidP="00E2327D">
      <w:pPr>
        <w:pStyle w:val="Default"/>
        <w:spacing w:line="360" w:lineRule="auto"/>
        <w:ind w:firstLine="482"/>
      </w:pPr>
      <w:r>
        <w:lastRenderedPageBreak/>
        <w:t xml:space="preserve">Among the median group of universities, there is productivity regress of 0.5% (0.995) and there is little to no pattern associated with these universities being just short of possible productivity gains. Three of the five universities, however, do escape productivity declines with respect to the scale measure and two of them </w:t>
      </w:r>
      <w:r w:rsidR="00EF7E97">
        <w:t xml:space="preserve">actually </w:t>
      </w:r>
      <w:r>
        <w:t>achieve productivity gains therein. The bottom ranked productivity universities experience the opposite of the top ranked universities in that the productivity regress is driven by productivity losses with respect to technological improvements. In fact, for the 250</w:t>
      </w:r>
      <w:r w:rsidRPr="002B04EF">
        <w:rPr>
          <w:vertAlign w:val="superscript"/>
        </w:rPr>
        <w:t>th</w:t>
      </w:r>
      <w:r>
        <w:t xml:space="preserve"> ranked university, all of the productivity regress is due to technology.</w:t>
      </w:r>
    </w:p>
    <w:p w:rsidR="00E2327D" w:rsidRDefault="00E2327D" w:rsidP="00E2327D">
      <w:pPr>
        <w:pStyle w:val="Default"/>
        <w:spacing w:line="360" w:lineRule="auto"/>
        <w:ind w:firstLine="482"/>
      </w:pPr>
      <w:r>
        <w:t>Beyond that presented in Table 4, the full set of ranking results revealed that 90 of the 250 or 36%</w:t>
      </w:r>
      <w:r w:rsidR="00EF7E97">
        <w:t xml:space="preserve"> of</w:t>
      </w:r>
      <w:r>
        <w:t xml:space="preserve"> universities achieved a 10 year average productivity gain. Productivity regress fell among 62% of the universities with the remaining 2% avoiding regress but not able to achieve any gains.</w:t>
      </w:r>
    </w:p>
    <w:p w:rsidR="00E2327D" w:rsidRDefault="00E2327D" w:rsidP="00E2327D">
      <w:pPr>
        <w:pStyle w:val="Default"/>
        <w:spacing w:line="360" w:lineRule="auto"/>
        <w:ind w:firstLine="482"/>
      </w:pPr>
    </w:p>
    <w:p w:rsidR="00E2327D" w:rsidRDefault="00E2327D" w:rsidP="00E2327D">
      <w:pPr>
        <w:spacing w:line="240" w:lineRule="auto"/>
        <w:rPr>
          <w:b/>
          <w:color w:val="000000"/>
          <w:sz w:val="30"/>
          <w:szCs w:val="30"/>
        </w:rPr>
      </w:pPr>
      <w:r>
        <w:rPr>
          <w:b/>
          <w:color w:val="000000"/>
          <w:sz w:val="30"/>
          <w:szCs w:val="30"/>
        </w:rPr>
        <w:t>5</w:t>
      </w:r>
      <w:r w:rsidRPr="000574E9">
        <w:rPr>
          <w:b/>
          <w:color w:val="000000"/>
          <w:sz w:val="30"/>
          <w:szCs w:val="30"/>
        </w:rPr>
        <w:t xml:space="preserve">  Conclusion</w:t>
      </w:r>
      <w:r>
        <w:rPr>
          <w:b/>
          <w:color w:val="000000"/>
          <w:sz w:val="30"/>
          <w:szCs w:val="30"/>
        </w:rPr>
        <w:t>s</w:t>
      </w:r>
    </w:p>
    <w:p w:rsidR="00E2327D" w:rsidRPr="00822D1A" w:rsidRDefault="00E2327D" w:rsidP="00E2327D">
      <w:pPr>
        <w:spacing w:line="240" w:lineRule="auto"/>
        <w:rPr>
          <w:color w:val="000000"/>
          <w:sz w:val="28"/>
          <w:szCs w:val="28"/>
        </w:rPr>
      </w:pPr>
    </w:p>
    <w:p w:rsidR="00E2327D" w:rsidRDefault="00E2327D" w:rsidP="00E2327D">
      <w:pPr>
        <w:pStyle w:val="Default"/>
        <w:spacing w:line="360" w:lineRule="auto"/>
        <w:ind w:firstLine="482"/>
      </w:pPr>
      <w:r>
        <w:t>The purpose of this paper was to determine the potential effects of the financial crisis and subsequent Great Recession on the operating efficiencies and productivities of U.S. public universities, with an equal eye on establishing, for comparison, the pre-recessionary levels of the same and, additionally, the possible post-recessionary adjustments.</w:t>
      </w:r>
    </w:p>
    <w:p w:rsidR="00E2327D" w:rsidRDefault="00E2327D" w:rsidP="00E2327D">
      <w:pPr>
        <w:pStyle w:val="Default"/>
        <w:spacing w:line="360" w:lineRule="auto"/>
        <w:ind w:firstLine="482"/>
      </w:pPr>
      <w:r>
        <w:t>The paper revisits the earlier like work of Sav [2012] in this journal, but offers substantial improvements in the ability to capture those effects over time. While that earlier work produced efficiency and productivity results over the 2005 to 2008 academic years, it could not fully capture the full effects of the recession bounded the official dates of December 2007 to June 2009 nor the possible lingering effects of a slow economic recovery thereafter. This paper eliminated that problem by extending the academic year period of evaluation from 2004 through 2013, thereby offering an improved ability to establish pre-recessionary and evaluate recessionary effects, as well as post-recessionary adjustments in university efficiencies and productivities. In addition, it was possible in the present study to increase the sample of public universities by 88% from the previous study of 133 to the current 250. In an attempt to produce comparable results, the same data envelopment (DEA) methodology was employed.</w:t>
      </w:r>
    </w:p>
    <w:p w:rsidR="00E2327D" w:rsidRDefault="00E2327D" w:rsidP="00E2327D">
      <w:pPr>
        <w:pStyle w:val="Default"/>
        <w:spacing w:line="360" w:lineRule="auto"/>
        <w:ind w:firstLine="482"/>
      </w:pPr>
      <w:r>
        <w:t xml:space="preserve">The DEA results herein, indicate that, based on the CRS and VRS estimates, universities achieved a very slight efficiency gain in the 2007 academic year but the major efficiency gains under the CRS model were delayed to the 2011 academic year and arose earlier under the VRS </w:t>
      </w:r>
      <w:r>
        <w:lastRenderedPageBreak/>
        <w:t xml:space="preserve">model in the 2010 academic year. In comparison to Sav [2012], that efficiency gain came somewhat earlier, but, of course, that study was unable to evaluate efficiencies beyond 2008.  In extending the analysis to the post-recessionary years, the results herein show a substantial decline in university efficiency during both the 2012 and 2013 academic years under the CRS estimates, but a </w:t>
      </w:r>
      <w:r w:rsidR="00EF7E97">
        <w:t>slight</w:t>
      </w:r>
      <w:r>
        <w:t xml:space="preserve"> 2013 efficiency increase under the VRS results. The difference, of course, being due to the scale inefficiencies embedded in the CRS estimates.</w:t>
      </w:r>
    </w:p>
    <w:p w:rsidR="00E2327D" w:rsidRDefault="00E2327D" w:rsidP="00E2327D">
      <w:pPr>
        <w:pStyle w:val="Default"/>
        <w:spacing w:line="360" w:lineRule="auto"/>
        <w:ind w:firstLine="482"/>
      </w:pPr>
      <w:r>
        <w:t>The Malmquist results mirror the efficiency changes but are more powerful. The productivity increase in university production arises in 2007 – again, a year earlier than Sav [2012]. In contrast, there occurs a slight productivity decrease in 2008. The present results, however, indicate a lag in university productivity gains possibly resulting from lingering recessionary effects.  Those productivity gains are on the order of 4.1% in 2010 and another 2.5% in the 2011 academic year. Post-recessionary 2012 and 2013 academic years paint a bleaker picture with cumulative productivity losses. Those results could not be produced with the limited 2008 data available in the Sav [2012) study.</w:t>
      </w:r>
    </w:p>
    <w:p w:rsidR="00E2327D" w:rsidRDefault="00E2327D" w:rsidP="00E2327D">
      <w:pPr>
        <w:pStyle w:val="Default"/>
        <w:spacing w:line="360" w:lineRule="auto"/>
        <w:ind w:firstLine="482"/>
      </w:pPr>
      <w:r>
        <w:t>University productivity rankings with the Malmquist decompositions reveal, unequivocally, that the driving force to productivity gains among universit</w:t>
      </w:r>
      <w:r w:rsidR="00EF7E97">
        <w:t xml:space="preserve">ies </w:t>
      </w:r>
      <w:r>
        <w:t>comes forth with changes in technological improvements achieved over the 10 academic years.  University managerial and scale productivity gains are necessary to achieve aggregate gains but play a much lesser role and contributor to the overall gains.</w:t>
      </w:r>
    </w:p>
    <w:p w:rsidR="00E2327D" w:rsidRDefault="00E2327D" w:rsidP="00E2327D">
      <w:pPr>
        <w:pStyle w:val="Default"/>
        <w:spacing w:line="360" w:lineRule="auto"/>
        <w:ind w:firstLine="482"/>
      </w:pPr>
      <w:r>
        <w:t>Relative to the findings of Sav [2012], the results herein indicate a shift in university adjustments to the financial crisis and subsequent Great Recession. With the extension of  data from 2005-2008 to 2004-2013, university efficiency and productivity gains appear a year earlier but also vanish earlier. However, post-recessionary productivity gains arise and are substantially larger. In part, the differences can easily be attributed to this paper’s ability to extend the panel data from 4 to 10 academic years and expand the sample size from 133 to 250 public universities. Combined, that could, therefore, uncover differential changes in university adjustments to external changes brought about by the recession and what followed in terms of university enrollment changes, as well as, changes in state funding support.</w:t>
      </w:r>
    </w:p>
    <w:p w:rsidR="00E2327D" w:rsidRDefault="00E2327D" w:rsidP="00E2327D">
      <w:pPr>
        <w:pStyle w:val="Default"/>
        <w:spacing w:line="360" w:lineRule="auto"/>
        <w:ind w:firstLine="482"/>
      </w:pPr>
      <w:r>
        <w:t xml:space="preserve">Overall, this paper, however, is believed to offer a better understanding of the recessionary and post-recessionary impacts on U.S. public higher education operating efficiencies and productivities. Yet, of concern, is the finding that the post-recessionary period, herein the 2012 </w:t>
      </w:r>
      <w:r>
        <w:lastRenderedPageBreak/>
        <w:t>and 2013 academic years, indicates rather significant efficiency and productivity declines among publicly managed and financed universities. To what extent those declines carry for future implications, especially given the post-recessionary pressure on all publicly managed institutions to improve operating efficiency, must await more empirical evidence and study.</w:t>
      </w:r>
    </w:p>
    <w:p w:rsidR="00E904EE" w:rsidRDefault="00E904EE" w:rsidP="00E2327D">
      <w:pPr>
        <w:pStyle w:val="Default"/>
        <w:spacing w:line="360" w:lineRule="auto"/>
        <w:ind w:firstLine="482"/>
      </w:pPr>
    </w:p>
    <w:p w:rsidR="00E904EE" w:rsidRDefault="00E904EE" w:rsidP="00E904EE">
      <w:pPr>
        <w:widowControl/>
        <w:autoSpaceDE w:val="0"/>
        <w:autoSpaceDN w:val="0"/>
        <w:spacing w:line="240" w:lineRule="auto"/>
        <w:textAlignment w:val="bottom"/>
        <w:rPr>
          <w:b/>
          <w:color w:val="000000"/>
          <w:sz w:val="30"/>
          <w:szCs w:val="30"/>
        </w:rPr>
      </w:pPr>
      <w:r w:rsidRPr="000574E9">
        <w:rPr>
          <w:b/>
          <w:color w:val="000000"/>
          <w:sz w:val="30"/>
          <w:szCs w:val="30"/>
        </w:rPr>
        <w:t>References</w:t>
      </w:r>
    </w:p>
    <w:p w:rsidR="00E904EE" w:rsidRDefault="00E904EE" w:rsidP="00E904EE">
      <w:pPr>
        <w:widowControl/>
        <w:autoSpaceDE w:val="0"/>
        <w:autoSpaceDN w:val="0"/>
        <w:spacing w:line="240" w:lineRule="auto"/>
        <w:textAlignment w:val="bottom"/>
        <w:rPr>
          <w:b/>
          <w:color w:val="000000"/>
          <w:sz w:val="30"/>
          <w:szCs w:val="30"/>
        </w:rPr>
      </w:pPr>
    </w:p>
    <w:p w:rsidR="00E904EE" w:rsidRDefault="00E904EE" w:rsidP="00E904EE">
      <w:pPr>
        <w:spacing w:line="360" w:lineRule="auto"/>
        <w:ind w:left="720" w:hanging="720"/>
        <w:rPr>
          <w:szCs w:val="24"/>
        </w:rPr>
      </w:pPr>
      <w:r>
        <w:rPr>
          <w:szCs w:val="24"/>
        </w:rPr>
        <w:t>[1</w:t>
      </w:r>
      <w:proofErr w:type="gramStart"/>
      <w:r>
        <w:rPr>
          <w:szCs w:val="24"/>
        </w:rPr>
        <w:t xml:space="preserve">]  </w:t>
      </w:r>
      <w:r w:rsidRPr="009E0222">
        <w:t>GAO</w:t>
      </w:r>
      <w:proofErr w:type="gramEnd"/>
      <w:r w:rsidRPr="009E0222">
        <w:t>, United States Government Accountability Office</w:t>
      </w:r>
      <w:r>
        <w:t xml:space="preserve">, </w:t>
      </w:r>
      <w:r w:rsidRPr="009E0222">
        <w:t>“Higher Education State Funding and Policies on Affordability</w:t>
      </w:r>
      <w:r>
        <w:t>,</w:t>
      </w:r>
      <w:r w:rsidRPr="009E0222">
        <w:t xml:space="preserve">” </w:t>
      </w:r>
      <w:r>
        <w:t xml:space="preserve">2014, </w:t>
      </w:r>
      <w:r w:rsidRPr="009E0222">
        <w:t>GAO-15-151</w:t>
      </w:r>
      <w:r>
        <w:t>.</w:t>
      </w:r>
    </w:p>
    <w:p w:rsidR="00E904EE" w:rsidRDefault="00E904EE" w:rsidP="00E904EE">
      <w:pPr>
        <w:spacing w:line="360" w:lineRule="auto"/>
        <w:ind w:left="720" w:hanging="720"/>
      </w:pPr>
      <w:r>
        <w:rPr>
          <w:szCs w:val="24"/>
        </w:rPr>
        <w:t xml:space="preserve">[2] </w:t>
      </w:r>
      <w:r w:rsidRPr="009E0222">
        <w:t>GAO, United States Government Accountability Office</w:t>
      </w:r>
      <w:r>
        <w:t xml:space="preserve">, </w:t>
      </w:r>
      <w:r w:rsidRPr="009E0222">
        <w:t>“Higher Education State Funding and Policies on Affordability</w:t>
      </w:r>
      <w:r>
        <w:t>,</w:t>
      </w:r>
      <w:r w:rsidRPr="009E0222">
        <w:t xml:space="preserve">” </w:t>
      </w:r>
      <w:r>
        <w:t xml:space="preserve">2014, </w:t>
      </w:r>
      <w:r w:rsidRPr="009E0222">
        <w:t>GAO-15-151</w:t>
      </w:r>
      <w:r>
        <w:t>.</w:t>
      </w:r>
    </w:p>
    <w:p w:rsidR="00E904EE" w:rsidRDefault="00E904EE" w:rsidP="00E904EE">
      <w:pPr>
        <w:spacing w:line="360" w:lineRule="auto"/>
        <w:ind w:left="720" w:hanging="720"/>
        <w:rPr>
          <w:szCs w:val="24"/>
        </w:rPr>
      </w:pPr>
      <w:r>
        <w:rPr>
          <w:szCs w:val="24"/>
        </w:rPr>
        <w:t>[3] NCES, U.S. Department of Education, National Center for Education Statistics, “Digest of Education Statistics, 2013”, 2015.</w:t>
      </w:r>
    </w:p>
    <w:p w:rsidR="00E904EE" w:rsidRDefault="00E904EE" w:rsidP="00E904EE">
      <w:pPr>
        <w:spacing w:line="360" w:lineRule="auto"/>
        <w:ind w:left="720" w:hanging="720"/>
        <w:rPr>
          <w:szCs w:val="24"/>
        </w:rPr>
      </w:pPr>
      <w:r>
        <w:rPr>
          <w:szCs w:val="24"/>
        </w:rPr>
        <w:t>[4] NCES, U.S. Department of Education, National Center for Education Statistics, “Digest of Education Statistics, 2014”, 2014.</w:t>
      </w:r>
    </w:p>
    <w:p w:rsidR="00E904EE" w:rsidRDefault="00E904EE" w:rsidP="00E904EE">
      <w:pPr>
        <w:spacing w:line="360" w:lineRule="auto"/>
        <w:ind w:left="720" w:hanging="720"/>
        <w:rPr>
          <w:szCs w:val="24"/>
        </w:rPr>
      </w:pPr>
      <w:r>
        <w:rPr>
          <w:szCs w:val="24"/>
        </w:rPr>
        <w:t>[5]</w:t>
      </w:r>
      <w:r>
        <w:rPr>
          <w:szCs w:val="24"/>
        </w:rPr>
        <w:tab/>
        <w:t>G. T. Sav, “Productivity, Efficiency, and Managerial Performance Regress and Gains in United States Universities: A Data Envelopment Analysis,” Advances in Management and Applied Economics, vol. 2, no. 3, August 2012, pp. 13-32.</w:t>
      </w:r>
    </w:p>
    <w:p w:rsidR="00E904EE" w:rsidRDefault="00E904EE" w:rsidP="00E904EE">
      <w:pPr>
        <w:spacing w:line="360" w:lineRule="auto"/>
        <w:rPr>
          <w:szCs w:val="24"/>
        </w:rPr>
      </w:pPr>
      <w:r>
        <w:rPr>
          <w:szCs w:val="24"/>
        </w:rPr>
        <w:t>[6</w:t>
      </w:r>
      <w:proofErr w:type="gramStart"/>
      <w:r>
        <w:rPr>
          <w:szCs w:val="24"/>
        </w:rPr>
        <w:t>]  T</w:t>
      </w:r>
      <w:proofErr w:type="gramEnd"/>
      <w:r>
        <w:rPr>
          <w:szCs w:val="24"/>
        </w:rPr>
        <w:t xml:space="preserve">. G. </w:t>
      </w:r>
      <w:proofErr w:type="spellStart"/>
      <w:r>
        <w:rPr>
          <w:szCs w:val="24"/>
        </w:rPr>
        <w:t>Agasisti</w:t>
      </w:r>
      <w:proofErr w:type="spellEnd"/>
      <w:r>
        <w:rPr>
          <w:szCs w:val="24"/>
        </w:rPr>
        <w:t xml:space="preserve"> and G. </w:t>
      </w:r>
      <w:proofErr w:type="spellStart"/>
      <w:r>
        <w:rPr>
          <w:szCs w:val="24"/>
        </w:rPr>
        <w:t>Johnes</w:t>
      </w:r>
      <w:proofErr w:type="spellEnd"/>
      <w:r>
        <w:rPr>
          <w:szCs w:val="24"/>
        </w:rPr>
        <w:t>, “Beyond frontiers: comparing the efficiency of higher</w:t>
      </w:r>
    </w:p>
    <w:p w:rsidR="00E904EE" w:rsidRDefault="00E904EE" w:rsidP="00E904EE">
      <w:pPr>
        <w:spacing w:line="360" w:lineRule="auto"/>
        <w:rPr>
          <w:i/>
          <w:szCs w:val="24"/>
        </w:rPr>
      </w:pPr>
      <w:r>
        <w:rPr>
          <w:szCs w:val="24"/>
        </w:rPr>
        <w:tab/>
      </w:r>
      <w:proofErr w:type="gramStart"/>
      <w:r>
        <w:rPr>
          <w:szCs w:val="24"/>
        </w:rPr>
        <w:t>education</w:t>
      </w:r>
      <w:proofErr w:type="gramEnd"/>
      <w:r>
        <w:rPr>
          <w:szCs w:val="24"/>
        </w:rPr>
        <w:t xml:space="preserve"> decision-making units across more than one country,” </w:t>
      </w:r>
      <w:r w:rsidRPr="002B1DC7">
        <w:rPr>
          <w:szCs w:val="24"/>
        </w:rPr>
        <w:t>Education Economics</w:t>
      </w:r>
      <w:r>
        <w:rPr>
          <w:i/>
          <w:szCs w:val="24"/>
        </w:rPr>
        <w:t>,</w:t>
      </w:r>
    </w:p>
    <w:p w:rsidR="00E904EE" w:rsidRDefault="00E904EE" w:rsidP="00E904EE">
      <w:pPr>
        <w:spacing w:line="360" w:lineRule="auto"/>
        <w:ind w:firstLine="720"/>
        <w:rPr>
          <w:szCs w:val="24"/>
        </w:rPr>
      </w:pPr>
      <w:r w:rsidRPr="002B1DC7">
        <w:rPr>
          <w:szCs w:val="24"/>
        </w:rPr>
        <w:t>vol. 17</w:t>
      </w:r>
      <w:r>
        <w:rPr>
          <w:szCs w:val="24"/>
        </w:rPr>
        <w:t>, no. 1, 2009, pp. 59-79.</w:t>
      </w:r>
    </w:p>
    <w:p w:rsidR="00E904EE" w:rsidRDefault="00E904EE" w:rsidP="00E904EE">
      <w:pPr>
        <w:spacing w:line="360" w:lineRule="auto"/>
        <w:ind w:left="720" w:hanging="720"/>
        <w:rPr>
          <w:szCs w:val="24"/>
        </w:rPr>
      </w:pPr>
      <w:r>
        <w:rPr>
          <w:szCs w:val="24"/>
        </w:rPr>
        <w:t xml:space="preserve">[7] A. </w:t>
      </w:r>
      <w:r w:rsidRPr="006C7F95">
        <w:rPr>
          <w:szCs w:val="24"/>
        </w:rPr>
        <w:t xml:space="preserve">Charnes, W. W. Cooper and E. Rhodes, </w:t>
      </w:r>
      <w:r>
        <w:rPr>
          <w:szCs w:val="24"/>
        </w:rPr>
        <w:t>“</w:t>
      </w:r>
      <w:r w:rsidRPr="006C7F95">
        <w:rPr>
          <w:szCs w:val="24"/>
        </w:rPr>
        <w:t>Measuring the efficiency of decision making</w:t>
      </w:r>
      <w:r>
        <w:rPr>
          <w:szCs w:val="24"/>
        </w:rPr>
        <w:t xml:space="preserve"> </w:t>
      </w:r>
      <w:r w:rsidRPr="006C7F95">
        <w:rPr>
          <w:szCs w:val="24"/>
        </w:rPr>
        <w:t>units</w:t>
      </w:r>
      <w:r>
        <w:rPr>
          <w:szCs w:val="24"/>
        </w:rPr>
        <w:t>,”</w:t>
      </w:r>
      <w:r w:rsidRPr="006C7F95">
        <w:rPr>
          <w:szCs w:val="24"/>
        </w:rPr>
        <w:t xml:space="preserve"> </w:t>
      </w:r>
      <w:r w:rsidRPr="002B1DC7">
        <w:rPr>
          <w:szCs w:val="24"/>
        </w:rPr>
        <w:t>European Journal of Operational Research</w:t>
      </w:r>
      <w:r>
        <w:rPr>
          <w:i/>
          <w:szCs w:val="24"/>
        </w:rPr>
        <w:t>,</w:t>
      </w:r>
      <w:r w:rsidRPr="006C7F95">
        <w:rPr>
          <w:szCs w:val="24"/>
        </w:rPr>
        <w:t xml:space="preserve">  </w:t>
      </w:r>
      <w:r>
        <w:rPr>
          <w:szCs w:val="24"/>
        </w:rPr>
        <w:t>vol. 2 no. 6</w:t>
      </w:r>
      <w:r w:rsidRPr="006C7F95">
        <w:rPr>
          <w:b/>
          <w:szCs w:val="24"/>
        </w:rPr>
        <w:t>,</w:t>
      </w:r>
      <w:r w:rsidRPr="006C7F95">
        <w:rPr>
          <w:szCs w:val="24"/>
        </w:rPr>
        <w:t xml:space="preserve"> </w:t>
      </w:r>
      <w:r>
        <w:rPr>
          <w:szCs w:val="24"/>
        </w:rPr>
        <w:t>November 1978, pp. 429</w:t>
      </w:r>
      <w:r w:rsidRPr="006C7F95">
        <w:rPr>
          <w:szCs w:val="24"/>
        </w:rPr>
        <w:t>-444.</w:t>
      </w:r>
    </w:p>
    <w:p w:rsidR="00E904EE" w:rsidRDefault="00E904EE" w:rsidP="00E904EE">
      <w:pPr>
        <w:spacing w:line="360" w:lineRule="auto"/>
        <w:ind w:left="720" w:hanging="720"/>
        <w:rPr>
          <w:szCs w:val="24"/>
        </w:rPr>
      </w:pPr>
      <w:r>
        <w:rPr>
          <w:szCs w:val="24"/>
        </w:rPr>
        <w:t>[8</w:t>
      </w:r>
      <w:proofErr w:type="gramStart"/>
      <w:r>
        <w:rPr>
          <w:szCs w:val="24"/>
        </w:rPr>
        <w:t>]  R</w:t>
      </w:r>
      <w:proofErr w:type="gramEnd"/>
      <w:r>
        <w:rPr>
          <w:szCs w:val="24"/>
        </w:rPr>
        <w:t xml:space="preserve">. D. Banker, A. Charnes and W. W. Cooper, “Some models for estimating technical  and scale inefficiencies in data envelopment analysis,” </w:t>
      </w:r>
      <w:r w:rsidRPr="002B1DC7">
        <w:rPr>
          <w:szCs w:val="24"/>
        </w:rPr>
        <w:t>Management Science</w:t>
      </w:r>
      <w:r>
        <w:rPr>
          <w:i/>
          <w:szCs w:val="24"/>
        </w:rPr>
        <w:t>,</w:t>
      </w:r>
      <w:r>
        <w:rPr>
          <w:szCs w:val="24"/>
        </w:rPr>
        <w:t xml:space="preserve"> vol. 30 no. 9, September 1984, pp. 1078-1092.</w:t>
      </w:r>
    </w:p>
    <w:p w:rsidR="00E904EE" w:rsidRDefault="00E904EE" w:rsidP="00E904EE">
      <w:pPr>
        <w:spacing w:line="360" w:lineRule="auto"/>
        <w:ind w:left="720" w:hanging="720"/>
        <w:rPr>
          <w:szCs w:val="24"/>
        </w:rPr>
      </w:pPr>
      <w:r>
        <w:rPr>
          <w:szCs w:val="24"/>
        </w:rPr>
        <w:t>[9]</w:t>
      </w:r>
      <w:r>
        <w:rPr>
          <w:szCs w:val="24"/>
        </w:rPr>
        <w:tab/>
        <w:t xml:space="preserve">S. Malmquist, “Index numbers and indifference surfaces,” </w:t>
      </w:r>
      <w:proofErr w:type="spellStart"/>
      <w:r w:rsidRPr="00F9752C">
        <w:rPr>
          <w:szCs w:val="24"/>
        </w:rPr>
        <w:t>Trabajos</w:t>
      </w:r>
      <w:proofErr w:type="spellEnd"/>
      <w:r w:rsidRPr="00F9752C">
        <w:rPr>
          <w:szCs w:val="24"/>
        </w:rPr>
        <w:t xml:space="preserve"> de </w:t>
      </w:r>
      <w:proofErr w:type="spellStart"/>
      <w:r w:rsidRPr="00F9752C">
        <w:rPr>
          <w:szCs w:val="24"/>
        </w:rPr>
        <w:t>Estatistica</w:t>
      </w:r>
      <w:proofErr w:type="spellEnd"/>
      <w:r>
        <w:rPr>
          <w:szCs w:val="24"/>
        </w:rPr>
        <w:t xml:space="preserve">, </w:t>
      </w:r>
      <w:proofErr w:type="spellStart"/>
      <w:r>
        <w:rPr>
          <w:szCs w:val="24"/>
        </w:rPr>
        <w:t>vol</w:t>
      </w:r>
      <w:proofErr w:type="spellEnd"/>
      <w:r>
        <w:rPr>
          <w:szCs w:val="24"/>
        </w:rPr>
        <w:t xml:space="preserve"> 4, 1953, pp.209-242.</w:t>
      </w:r>
    </w:p>
    <w:p w:rsidR="00E904EE" w:rsidRDefault="00E904EE" w:rsidP="00E904EE">
      <w:pPr>
        <w:spacing w:line="360" w:lineRule="auto"/>
        <w:ind w:left="720" w:hanging="720"/>
        <w:rPr>
          <w:szCs w:val="24"/>
        </w:rPr>
      </w:pPr>
      <w:r>
        <w:rPr>
          <w:szCs w:val="24"/>
        </w:rPr>
        <w:t>[10]</w:t>
      </w:r>
      <w:r>
        <w:rPr>
          <w:szCs w:val="24"/>
        </w:rPr>
        <w:tab/>
        <w:t xml:space="preserve">  W. W. Cooper, L.M. </w:t>
      </w:r>
      <w:proofErr w:type="spellStart"/>
      <w:r>
        <w:rPr>
          <w:szCs w:val="24"/>
        </w:rPr>
        <w:t>Seiford</w:t>
      </w:r>
      <w:proofErr w:type="spellEnd"/>
      <w:r>
        <w:rPr>
          <w:szCs w:val="24"/>
        </w:rPr>
        <w:t xml:space="preserve"> and J. Zhu, “</w:t>
      </w:r>
      <w:r w:rsidRPr="002B1DC7">
        <w:rPr>
          <w:szCs w:val="24"/>
        </w:rPr>
        <w:t>Handbook on Data Envelopment Analysis</w:t>
      </w:r>
      <w:r>
        <w:rPr>
          <w:szCs w:val="24"/>
        </w:rPr>
        <w:t>,” Kluwer Academic Publishers, 2004.</w:t>
      </w:r>
    </w:p>
    <w:p w:rsidR="00E904EE" w:rsidRPr="0020165D" w:rsidRDefault="00E904EE" w:rsidP="00E904EE">
      <w:pPr>
        <w:spacing w:line="360" w:lineRule="auto"/>
        <w:ind w:left="720" w:hanging="720"/>
      </w:pPr>
      <w:r>
        <w:rPr>
          <w:szCs w:val="24"/>
        </w:rPr>
        <w:lastRenderedPageBreak/>
        <w:t xml:space="preserve"> [11]</w:t>
      </w:r>
      <w:r>
        <w:rPr>
          <w:szCs w:val="24"/>
        </w:rPr>
        <w:tab/>
        <w:t xml:space="preserve">R. Fare, S. </w:t>
      </w:r>
      <w:proofErr w:type="spellStart"/>
      <w:r>
        <w:rPr>
          <w:szCs w:val="24"/>
        </w:rPr>
        <w:t>Grosskopf</w:t>
      </w:r>
      <w:proofErr w:type="spellEnd"/>
      <w:r>
        <w:rPr>
          <w:szCs w:val="24"/>
        </w:rPr>
        <w:t xml:space="preserve">, M. Norris and Z. Zhang, “Productivity growth, technical progress, and efficiency changes in industrialized countries,” </w:t>
      </w:r>
      <w:r w:rsidRPr="002B1DC7">
        <w:rPr>
          <w:szCs w:val="24"/>
        </w:rPr>
        <w:t>American Economic Review</w:t>
      </w:r>
      <w:r>
        <w:rPr>
          <w:szCs w:val="24"/>
        </w:rPr>
        <w:t>, vol. 84, no. 1, March 1994, pp. 66-83.</w:t>
      </w:r>
      <w:bookmarkStart w:id="0" w:name="_GoBack"/>
      <w:bookmarkEnd w:id="0"/>
    </w:p>
    <w:sectPr w:rsidR="00E904EE" w:rsidRPr="00201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WP Greek Century">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65D"/>
    <w:rsid w:val="0000778D"/>
    <w:rsid w:val="00062160"/>
    <w:rsid w:val="00066800"/>
    <w:rsid w:val="000B5992"/>
    <w:rsid w:val="000E15F0"/>
    <w:rsid w:val="000F7A9F"/>
    <w:rsid w:val="0016153B"/>
    <w:rsid w:val="0020165D"/>
    <w:rsid w:val="002B31D5"/>
    <w:rsid w:val="003321E8"/>
    <w:rsid w:val="00366736"/>
    <w:rsid w:val="0038066B"/>
    <w:rsid w:val="00421EEC"/>
    <w:rsid w:val="00422396"/>
    <w:rsid w:val="004D2F63"/>
    <w:rsid w:val="004D66E8"/>
    <w:rsid w:val="005251C7"/>
    <w:rsid w:val="00542D0E"/>
    <w:rsid w:val="00553222"/>
    <w:rsid w:val="005A2E0F"/>
    <w:rsid w:val="00616F1E"/>
    <w:rsid w:val="00633BE8"/>
    <w:rsid w:val="00676146"/>
    <w:rsid w:val="006A607A"/>
    <w:rsid w:val="006D4BFB"/>
    <w:rsid w:val="00757973"/>
    <w:rsid w:val="007B3AE1"/>
    <w:rsid w:val="007F1F3A"/>
    <w:rsid w:val="00822D1A"/>
    <w:rsid w:val="008B3F6B"/>
    <w:rsid w:val="008E0935"/>
    <w:rsid w:val="00970CC6"/>
    <w:rsid w:val="00982DC4"/>
    <w:rsid w:val="009A41E1"/>
    <w:rsid w:val="009C6B3D"/>
    <w:rsid w:val="009D3B22"/>
    <w:rsid w:val="009E5687"/>
    <w:rsid w:val="00A73395"/>
    <w:rsid w:val="00A974E5"/>
    <w:rsid w:val="00AC479E"/>
    <w:rsid w:val="00AC74EE"/>
    <w:rsid w:val="00B174EE"/>
    <w:rsid w:val="00B62E72"/>
    <w:rsid w:val="00BB73A0"/>
    <w:rsid w:val="00CA3DAE"/>
    <w:rsid w:val="00CB712F"/>
    <w:rsid w:val="00CF476C"/>
    <w:rsid w:val="00D96CAD"/>
    <w:rsid w:val="00DC2B73"/>
    <w:rsid w:val="00DC45B5"/>
    <w:rsid w:val="00DD2ACE"/>
    <w:rsid w:val="00E109DF"/>
    <w:rsid w:val="00E2327D"/>
    <w:rsid w:val="00E25E63"/>
    <w:rsid w:val="00E624BD"/>
    <w:rsid w:val="00E75398"/>
    <w:rsid w:val="00E8511B"/>
    <w:rsid w:val="00E904EE"/>
    <w:rsid w:val="00EF7E97"/>
    <w:rsid w:val="00F85AF6"/>
    <w:rsid w:val="00F86BB6"/>
    <w:rsid w:val="00FA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A2246-F42C-47FA-9E31-EDF7BDB6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65D"/>
    <w:pPr>
      <w:widowControl w:val="0"/>
      <w:adjustRightInd w:val="0"/>
      <w:spacing w:after="0" w:line="480" w:lineRule="auto"/>
      <w:jc w:val="both"/>
      <w:textAlignment w:val="baseline"/>
    </w:pPr>
    <w:rPr>
      <w:rFonts w:ascii="Times New Roman" w:eastAsia="PMingLiU" w:hAnsi="Times New Roman" w:cs="Times New Roman"/>
      <w:sz w:val="24"/>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165D"/>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table" w:styleId="TableGrid">
    <w:name w:val="Table Grid"/>
    <w:basedOn w:val="TableNormal"/>
    <w:uiPriority w:val="39"/>
    <w:rsid w:val="00F85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image" Target="media/image7.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16</Pages>
  <Words>4964</Words>
  <Characters>28298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2016-01-20T15:01:00Z</dcterms:created>
  <dcterms:modified xsi:type="dcterms:W3CDTF">2016-01-21T22:04:00Z</dcterms:modified>
</cp:coreProperties>
</file>