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3F7C" w:rsidRDefault="00C73F7C" w:rsidP="00C73F7C">
      <w:pPr>
        <w:rPr>
          <w:b/>
          <w:sz w:val="28"/>
          <w:szCs w:val="28"/>
        </w:rPr>
      </w:pPr>
    </w:p>
    <w:p w:rsidR="006C6F28" w:rsidRPr="00551A6D" w:rsidRDefault="00551A6D" w:rsidP="00C74726">
      <w:pPr>
        <w:jc w:val="center"/>
        <w:rPr>
          <w:rFonts w:cs="Times New Roman"/>
          <w:b/>
          <w:sz w:val="28"/>
          <w:szCs w:val="28"/>
        </w:rPr>
      </w:pPr>
      <w:r w:rsidRPr="00551A6D">
        <w:rPr>
          <w:rFonts w:cs="Times New Roman"/>
          <w:b/>
          <w:sz w:val="28"/>
          <w:szCs w:val="28"/>
        </w:rPr>
        <w:t>Using Principal Components Analysis to</w:t>
      </w:r>
      <w:r>
        <w:rPr>
          <w:rFonts w:cs="Times New Roman"/>
          <w:b/>
          <w:sz w:val="28"/>
          <w:szCs w:val="28"/>
        </w:rPr>
        <w:t xml:space="preserve"> Model Interest Rate Moves and Measure Delta Exposur</w:t>
      </w:r>
      <w:r w:rsidR="00A94BAF">
        <w:rPr>
          <w:rFonts w:cs="Times New Roman"/>
          <w:b/>
          <w:sz w:val="28"/>
          <w:szCs w:val="28"/>
        </w:rPr>
        <w:t>e: A Comprehensive</w:t>
      </w:r>
      <w:r w:rsidR="00227808">
        <w:rPr>
          <w:rFonts w:cs="Times New Roman"/>
          <w:b/>
          <w:sz w:val="28"/>
          <w:szCs w:val="28"/>
        </w:rPr>
        <w:t xml:space="preserve"> Breakdown</w:t>
      </w:r>
      <w:r w:rsidR="007E1A81">
        <w:rPr>
          <w:rFonts w:cs="Times New Roman"/>
          <w:b/>
          <w:sz w:val="28"/>
          <w:szCs w:val="28"/>
        </w:rPr>
        <w:t xml:space="preserve"> of</w:t>
      </w:r>
      <w:r w:rsidR="00227808">
        <w:rPr>
          <w:rFonts w:cs="Times New Roman"/>
          <w:b/>
          <w:sz w:val="28"/>
          <w:szCs w:val="28"/>
        </w:rPr>
        <w:t xml:space="preserve"> </w:t>
      </w:r>
      <w:r w:rsidR="007C4415">
        <w:rPr>
          <w:rFonts w:cs="Times New Roman"/>
          <w:b/>
          <w:sz w:val="28"/>
          <w:szCs w:val="28"/>
        </w:rPr>
        <w:t>a</w:t>
      </w:r>
      <w:r w:rsidR="00A94BAF">
        <w:rPr>
          <w:rFonts w:cs="Times New Roman"/>
          <w:b/>
          <w:sz w:val="28"/>
          <w:szCs w:val="28"/>
        </w:rPr>
        <w:t xml:space="preserve"> Lebanese Commercial Bank’s Portfolio </w:t>
      </w:r>
    </w:p>
    <w:p w:rsidR="00772BD9" w:rsidRPr="00551A6D" w:rsidRDefault="00772BD9" w:rsidP="00C74726">
      <w:pPr>
        <w:jc w:val="center"/>
        <w:rPr>
          <w:rFonts w:cs="Times New Roman"/>
          <w:b/>
          <w:sz w:val="28"/>
          <w:szCs w:val="28"/>
        </w:rPr>
      </w:pPr>
    </w:p>
    <w:p w:rsidR="00E56E01" w:rsidRPr="00497D8F" w:rsidRDefault="00E56E01" w:rsidP="00C74726">
      <w:pPr>
        <w:jc w:val="center"/>
        <w:rPr>
          <w:rFonts w:cs="Times New Roman"/>
          <w:szCs w:val="24"/>
        </w:rPr>
      </w:pPr>
      <w:r w:rsidRPr="00497D8F">
        <w:rPr>
          <w:rFonts w:cs="Times New Roman"/>
          <w:szCs w:val="24"/>
        </w:rPr>
        <w:t>Viviane Y. Naimy</w:t>
      </w:r>
      <w:r w:rsidR="00551A6D" w:rsidRPr="00497D8F">
        <w:rPr>
          <w:rFonts w:cs="Times New Roman"/>
          <w:szCs w:val="24"/>
        </w:rPr>
        <w:t>, PhD</w:t>
      </w:r>
    </w:p>
    <w:p w:rsidR="00E56E01" w:rsidRPr="00772BD9" w:rsidRDefault="00E56E01" w:rsidP="00C74726">
      <w:pPr>
        <w:jc w:val="center"/>
        <w:rPr>
          <w:rFonts w:cs="Times New Roman"/>
          <w:szCs w:val="24"/>
        </w:rPr>
      </w:pPr>
      <w:r w:rsidRPr="00772BD9">
        <w:rPr>
          <w:rFonts w:cs="Times New Roman"/>
          <w:szCs w:val="24"/>
        </w:rPr>
        <w:t>Professor of Finance</w:t>
      </w:r>
    </w:p>
    <w:p w:rsidR="00E56E01" w:rsidRPr="00772BD9" w:rsidRDefault="00E56E01" w:rsidP="00C74726">
      <w:pPr>
        <w:jc w:val="center"/>
        <w:rPr>
          <w:rFonts w:cs="Times New Roman"/>
          <w:szCs w:val="24"/>
        </w:rPr>
      </w:pPr>
      <w:r w:rsidRPr="00772BD9">
        <w:rPr>
          <w:rFonts w:cs="Times New Roman"/>
          <w:szCs w:val="24"/>
        </w:rPr>
        <w:t>Faculty of Business Administration and Economics</w:t>
      </w:r>
    </w:p>
    <w:p w:rsidR="00E56E01" w:rsidRPr="00772BD9" w:rsidRDefault="00E56E01" w:rsidP="00C74726">
      <w:pPr>
        <w:jc w:val="center"/>
        <w:rPr>
          <w:rFonts w:cs="Times New Roman"/>
          <w:szCs w:val="24"/>
        </w:rPr>
      </w:pPr>
      <w:r w:rsidRPr="00772BD9">
        <w:rPr>
          <w:rFonts w:cs="Times New Roman"/>
          <w:szCs w:val="24"/>
        </w:rPr>
        <w:t xml:space="preserve">Notre Dame University, </w:t>
      </w:r>
      <w:proofErr w:type="spellStart"/>
      <w:r w:rsidRPr="00772BD9">
        <w:rPr>
          <w:rFonts w:cs="Times New Roman"/>
          <w:szCs w:val="24"/>
        </w:rPr>
        <w:t>Louaize</w:t>
      </w:r>
      <w:proofErr w:type="spellEnd"/>
      <w:r w:rsidRPr="00772BD9">
        <w:rPr>
          <w:rFonts w:cs="Times New Roman"/>
          <w:szCs w:val="24"/>
        </w:rPr>
        <w:t>, Lebanon</w:t>
      </w:r>
    </w:p>
    <w:p w:rsidR="00E56E01" w:rsidRDefault="00E56E01" w:rsidP="00C50AF6">
      <w:pPr>
        <w:rPr>
          <w:rFonts w:cs="Times New Roman"/>
        </w:rPr>
      </w:pPr>
    </w:p>
    <w:p w:rsidR="006C6F28" w:rsidRPr="006D4DE4" w:rsidRDefault="00C73F7C" w:rsidP="00C73F7C">
      <w:pPr>
        <w:jc w:val="center"/>
        <w:rPr>
          <w:rFonts w:cs="Times New Roman"/>
          <w:b/>
        </w:rPr>
      </w:pPr>
      <w:r w:rsidRPr="006D4DE4">
        <w:rPr>
          <w:rFonts w:cs="Times New Roman"/>
          <w:b/>
        </w:rPr>
        <w:t>Abstract</w:t>
      </w:r>
    </w:p>
    <w:p w:rsidR="00741DB7" w:rsidRDefault="0014724A" w:rsidP="00741DB7">
      <w:r>
        <w:rPr>
          <w:rFonts w:cs="Times New Roman"/>
        </w:rPr>
        <w:t xml:space="preserve">This paper </w:t>
      </w:r>
      <w:r w:rsidR="00535F0F">
        <w:rPr>
          <w:rFonts w:cs="Times New Roman"/>
        </w:rPr>
        <w:t xml:space="preserve">quantifies exposure to all the possible ways the Lebanese yield curve changed since 2006. It </w:t>
      </w:r>
      <w:r w:rsidR="00FA6E89">
        <w:rPr>
          <w:rFonts w:cs="Times New Roman"/>
        </w:rPr>
        <w:t xml:space="preserve">studies the interest rate risk impact on </w:t>
      </w:r>
      <w:r w:rsidR="00FA6E89">
        <w:t>a portfolio consisting of interest-rate depending assets belonging to a Lebanese commercial bank using principal components analysis or risk decomposition strategy</w:t>
      </w:r>
      <w:r w:rsidR="00535F0F">
        <w:t xml:space="preserve">. </w:t>
      </w:r>
      <w:r w:rsidR="00741DB7">
        <w:t>TBs monthly yields are used with five different maturities since 2006. Deltas for th</w:t>
      </w:r>
      <w:r w:rsidR="00C26BB6">
        <w:t>e</w:t>
      </w:r>
      <w:r w:rsidR="00741DB7">
        <w:t xml:space="preserve"> portfolio are calculated using partial duration and the DV01. </w:t>
      </w:r>
      <w:r w:rsidR="009F1E34">
        <w:t xml:space="preserve">The first factor identified corresponds </w:t>
      </w:r>
      <w:r w:rsidR="009F1E34">
        <w:rPr>
          <w:rFonts w:cs="Times New Roman"/>
          <w:szCs w:val="24"/>
        </w:rPr>
        <w:t>to a parallel shift in the yield curve and the second to a change of slope of the yield curve. Both factors account for 95% of the variance.</w:t>
      </w:r>
      <w:r w:rsidR="009F1E34">
        <w:t xml:space="preserve"> </w:t>
      </w:r>
      <w:r w:rsidR="00741DB7">
        <w:t>Delta exposure calculations</w:t>
      </w:r>
      <w:r w:rsidR="009F1E34">
        <w:t xml:space="preserve"> </w:t>
      </w:r>
      <w:r w:rsidR="00741DB7">
        <w:t xml:space="preserve">showed </w:t>
      </w:r>
      <w:r w:rsidR="009F1E34">
        <w:t xml:space="preserve">absence of hedging </w:t>
      </w:r>
      <w:r w:rsidR="00535F0F">
        <w:t>against these shifts</w:t>
      </w:r>
      <w:r w:rsidR="00741DB7">
        <w:t xml:space="preserve">. </w:t>
      </w:r>
    </w:p>
    <w:p w:rsidR="00632886" w:rsidRDefault="00632886">
      <w:pPr>
        <w:rPr>
          <w:rFonts w:cs="Times New Roman"/>
        </w:rPr>
      </w:pPr>
    </w:p>
    <w:p w:rsidR="00C50AF6" w:rsidRDefault="00576915">
      <w:pPr>
        <w:rPr>
          <w:rFonts w:cs="Times New Roman"/>
        </w:rPr>
      </w:pPr>
      <w:r>
        <w:rPr>
          <w:rFonts w:cs="Times New Roman"/>
        </w:rPr>
        <w:t xml:space="preserve">Key words: </w:t>
      </w:r>
      <w:r w:rsidR="00A94BAF">
        <w:rPr>
          <w:rFonts w:cs="Times New Roman"/>
        </w:rPr>
        <w:t xml:space="preserve">Interest Rate Risk, Lebanese banks, Delta Exposure, Delta Hedging, Principal Components Analysis, </w:t>
      </w:r>
      <w:r w:rsidR="00165B47">
        <w:rPr>
          <w:rFonts w:cs="Times New Roman"/>
        </w:rPr>
        <w:t xml:space="preserve">Risk Management, </w:t>
      </w:r>
      <w:r w:rsidR="00FA6E89">
        <w:rPr>
          <w:rFonts w:cs="Times New Roman"/>
        </w:rPr>
        <w:t>Partial Duration.</w:t>
      </w:r>
    </w:p>
    <w:p w:rsidR="00C26BB6" w:rsidRPr="00AB45AA" w:rsidRDefault="00C26BB6">
      <w:pPr>
        <w:rPr>
          <w:rFonts w:cs="Times New Roman"/>
        </w:rPr>
      </w:pPr>
    </w:p>
    <w:p w:rsidR="0002039B" w:rsidRPr="00502B58" w:rsidRDefault="00C73F7C" w:rsidP="00502B58">
      <w:pPr>
        <w:pStyle w:val="ListParagraph"/>
        <w:numPr>
          <w:ilvl w:val="0"/>
          <w:numId w:val="1"/>
        </w:numPr>
        <w:rPr>
          <w:rFonts w:cs="Times New Roman"/>
          <w:b/>
          <w:szCs w:val="24"/>
        </w:rPr>
      </w:pPr>
      <w:r w:rsidRPr="00502B58">
        <w:rPr>
          <w:rFonts w:cs="Times New Roman"/>
          <w:b/>
          <w:szCs w:val="24"/>
        </w:rPr>
        <w:t>Introduction</w:t>
      </w:r>
    </w:p>
    <w:p w:rsidR="00227808" w:rsidRDefault="008F1D56" w:rsidP="00376C96">
      <w:r w:rsidRPr="00502B58">
        <w:t xml:space="preserve">Risk </w:t>
      </w:r>
      <w:r w:rsidR="00227808">
        <w:t xml:space="preserve">management is now a must for all corporations and particularly </w:t>
      </w:r>
      <w:r w:rsidR="00003D1C">
        <w:t xml:space="preserve">for </w:t>
      </w:r>
      <w:r w:rsidR="00227808">
        <w:t xml:space="preserve">financial institutions. They have no choice but to increase the resources they allocate to risk management. </w:t>
      </w:r>
      <w:r w:rsidR="00003D1C">
        <w:t xml:space="preserve">“Subprime” losses at banks would have been avoided if risk management techniques had been properly implemented to detect the unacceptable level of risks taken and accurately take the right decisions to minimize </w:t>
      </w:r>
      <w:r w:rsidR="007C0A91">
        <w:t>the</w:t>
      </w:r>
      <w:r w:rsidR="00003D1C">
        <w:t xml:space="preserve"> </w:t>
      </w:r>
      <w:r w:rsidR="007C0A91">
        <w:t xml:space="preserve">total risk they </w:t>
      </w:r>
      <w:r w:rsidR="0006105A">
        <w:t xml:space="preserve">have </w:t>
      </w:r>
      <w:r w:rsidR="007C0A91">
        <w:t>face</w:t>
      </w:r>
      <w:r w:rsidR="0006105A">
        <w:t>d</w:t>
      </w:r>
      <w:r w:rsidR="00003D1C">
        <w:t xml:space="preserve">. </w:t>
      </w:r>
      <w:r w:rsidR="007C0A91">
        <w:t>Regulators have refined their requirements in order to avoid bankruptcy</w:t>
      </w:r>
      <w:r w:rsidR="009A45A2">
        <w:t xml:space="preserve"> - that arises from incurred losses - and bankruptcy costs </w:t>
      </w:r>
      <w:r w:rsidR="007C0A91">
        <w:t>and</w:t>
      </w:r>
      <w:r w:rsidR="0006105A">
        <w:t xml:space="preserve"> </w:t>
      </w:r>
      <w:r w:rsidR="0006105A">
        <w:lastRenderedPageBreak/>
        <w:t xml:space="preserve">recently </w:t>
      </w:r>
      <w:r w:rsidR="007C0A91">
        <w:t>most financial institutions are</w:t>
      </w:r>
      <w:r w:rsidR="0006105A">
        <w:t xml:space="preserve"> </w:t>
      </w:r>
      <w:r w:rsidR="007C0A91">
        <w:t xml:space="preserve">heavily regulated. Throughout the world, </w:t>
      </w:r>
      <w:r w:rsidR="009A45A2">
        <w:t xml:space="preserve">and after the large bail-outs of financial institutions in 2008, </w:t>
      </w:r>
      <w:r w:rsidR="007C0A91">
        <w:t xml:space="preserve">governments seek financial stability. Financial stability involves confidence in financial institutions. </w:t>
      </w:r>
      <w:r w:rsidR="009A45A2">
        <w:t>In other words, regulators want to ensure that capital held by a bank is sufficient to provide a cushion to absorb the losses with a high probability (Basel Committee on Banking Supervision, July 2009</w:t>
      </w:r>
      <w:r w:rsidR="004F16A0">
        <w:t xml:space="preserve">, </w:t>
      </w:r>
      <w:r w:rsidR="0006105A">
        <w:t>and December</w:t>
      </w:r>
      <w:r w:rsidR="004F16A0">
        <w:t xml:space="preserve"> 2010</w:t>
      </w:r>
      <w:r w:rsidR="009A45A2">
        <w:t xml:space="preserve">). </w:t>
      </w:r>
      <w:r w:rsidR="0006105A">
        <w:t xml:space="preserve">They are </w:t>
      </w:r>
      <w:r w:rsidR="00C9244D">
        <w:t xml:space="preserve">in fact </w:t>
      </w:r>
      <w:r w:rsidR="0006105A">
        <w:t xml:space="preserve">concerned </w:t>
      </w:r>
      <w:r w:rsidR="00C9244D">
        <w:t>with total risks.</w:t>
      </w:r>
      <w:r w:rsidR="00B12B39">
        <w:t xml:space="preserve"> Two approaches to risk management are open to financial institutions to manage market risk: risk decomposition and risk aggregation. </w:t>
      </w:r>
    </w:p>
    <w:p w:rsidR="00242D24" w:rsidRDefault="00B12B39" w:rsidP="00BC4391">
      <w:r>
        <w:t xml:space="preserve">The purpose of this paper is to use the risk decomposition strategy in order </w:t>
      </w:r>
      <w:r w:rsidR="00BA59D0" w:rsidRPr="00502B58">
        <w:t xml:space="preserve">to study </w:t>
      </w:r>
      <w:r>
        <w:t xml:space="preserve">the interest rate risk impact on a portfolio </w:t>
      </w:r>
      <w:r w:rsidR="00242D24">
        <w:t>consisting of interest-rate depending assets belonging to a Lebanese commercial bank, classified as “Alpha</w:t>
      </w:r>
      <w:r w:rsidR="00242D24">
        <w:rPr>
          <w:rStyle w:val="FootnoteReference"/>
        </w:rPr>
        <w:footnoteReference w:id="1"/>
      </w:r>
      <w:r w:rsidR="00242D24">
        <w:t xml:space="preserve">” bank. </w:t>
      </w:r>
      <w:r w:rsidR="00894B9B">
        <w:t xml:space="preserve"> Factors affecti</w:t>
      </w:r>
      <w:r w:rsidR="00694BEA">
        <w:t xml:space="preserve">ng the interest rate moves are </w:t>
      </w:r>
      <w:r w:rsidR="00894B9B">
        <w:t xml:space="preserve">identified. </w:t>
      </w:r>
      <w:r w:rsidR="004136FB">
        <w:t xml:space="preserve">Zero-coupon yield curve </w:t>
      </w:r>
      <w:r w:rsidR="00894B9B">
        <w:t>are</w:t>
      </w:r>
      <w:r w:rsidR="004136FB">
        <w:t xml:space="preserve"> used to consider both parallel and nonparallel shifts. The paper implements the principal components analysis to handle the risk arising from highly correlated variables</w:t>
      </w:r>
      <w:r w:rsidR="00894B9B">
        <w:t xml:space="preserve">. </w:t>
      </w:r>
      <w:r w:rsidR="00AF37B2">
        <w:t xml:space="preserve">TBs </w:t>
      </w:r>
      <w:r w:rsidR="00894B9B">
        <w:t xml:space="preserve">monthly </w:t>
      </w:r>
      <w:r w:rsidR="00AF37B2">
        <w:t>yield</w:t>
      </w:r>
      <w:r w:rsidR="00894B9B">
        <w:t>s</w:t>
      </w:r>
      <w:r w:rsidR="00894B9B">
        <w:rPr>
          <w:rStyle w:val="FootnoteReference"/>
        </w:rPr>
        <w:footnoteReference w:id="2"/>
      </w:r>
      <w:r w:rsidR="00AF37B2">
        <w:t xml:space="preserve"> </w:t>
      </w:r>
      <w:r w:rsidR="00894B9B">
        <w:t xml:space="preserve">are used </w:t>
      </w:r>
      <w:r w:rsidR="00AF37B2">
        <w:t>with five different maturities since 2006.</w:t>
      </w:r>
      <w:r w:rsidR="00061941">
        <w:t xml:space="preserve"> </w:t>
      </w:r>
      <w:r w:rsidR="00694BEA">
        <w:t>Given that</w:t>
      </w:r>
      <w:r w:rsidR="00061941">
        <w:t xml:space="preserve"> there </w:t>
      </w:r>
      <w:r w:rsidR="00A55D21">
        <w:t>is a complete absence of</w:t>
      </w:r>
      <w:r w:rsidR="00061941">
        <w:t xml:space="preserve"> academic work dealing with delta exposures of the Lebanese banks’ portfolios, t</w:t>
      </w:r>
      <w:r w:rsidR="00A55D21">
        <w:t xml:space="preserve">his paper serves as a guide for the </w:t>
      </w:r>
      <w:r w:rsidR="00061941">
        <w:t>implementation of delta exposure using the principal components analysis</w:t>
      </w:r>
      <w:r w:rsidR="006B482B">
        <w:t xml:space="preserve">. </w:t>
      </w:r>
    </w:p>
    <w:p w:rsidR="003A53BA" w:rsidRDefault="00691C15" w:rsidP="00C50AF6">
      <w:r>
        <w:t>The paper proceeds as follow:</w:t>
      </w:r>
      <w:r w:rsidR="00895D07" w:rsidRPr="00DB2BFC">
        <w:t xml:space="preserve"> </w:t>
      </w:r>
      <w:r w:rsidR="006B482B">
        <w:t>S</w:t>
      </w:r>
      <w:r w:rsidR="00D83766" w:rsidRPr="00DB2BFC">
        <w:t>ection 2</w:t>
      </w:r>
      <w:r w:rsidR="006B482B">
        <w:t xml:space="preserve"> presents</w:t>
      </w:r>
      <w:r w:rsidR="00D83766" w:rsidRPr="00DB2BFC">
        <w:t xml:space="preserve"> </w:t>
      </w:r>
      <w:r w:rsidR="00D83766">
        <w:t xml:space="preserve">a panoramic review of </w:t>
      </w:r>
      <w:r w:rsidR="006E17DD">
        <w:t>managing market risk techniques</w:t>
      </w:r>
      <w:r w:rsidR="004C757F">
        <w:t xml:space="preserve"> through delta, gamma and </w:t>
      </w:r>
      <w:proofErr w:type="spellStart"/>
      <w:proofErr w:type="gramStart"/>
      <w:r w:rsidR="004C757F">
        <w:t>vega</w:t>
      </w:r>
      <w:proofErr w:type="spellEnd"/>
      <w:proofErr w:type="gramEnd"/>
      <w:r w:rsidR="006E17DD">
        <w:t>.</w:t>
      </w:r>
      <w:r w:rsidR="004C757F">
        <w:t xml:space="preserve"> It also covers the </w:t>
      </w:r>
      <w:proofErr w:type="spellStart"/>
      <w:r w:rsidR="00EB3AC1">
        <w:t>VaR</w:t>
      </w:r>
      <w:proofErr w:type="spellEnd"/>
      <w:r w:rsidR="00EB3AC1">
        <w:t xml:space="preserve"> technique together with the three methods of estimating the </w:t>
      </w:r>
      <w:proofErr w:type="spellStart"/>
      <w:r w:rsidR="00EB3AC1">
        <w:t>VaR.</w:t>
      </w:r>
      <w:proofErr w:type="spellEnd"/>
      <w:r w:rsidR="006E17DD">
        <w:t xml:space="preserve"> </w:t>
      </w:r>
      <w:r w:rsidR="00D83766">
        <w:t>The</w:t>
      </w:r>
      <w:r w:rsidR="00166A76">
        <w:t xml:space="preserve"> </w:t>
      </w:r>
      <w:r w:rsidR="00203A31">
        <w:t>portfolio structure</w:t>
      </w:r>
      <w:r w:rsidR="00166A76">
        <w:t xml:space="preserve"> together with the model implementation using the </w:t>
      </w:r>
      <w:r w:rsidR="006B482B">
        <w:t xml:space="preserve">principal components analysis </w:t>
      </w:r>
      <w:r w:rsidR="00203A31">
        <w:t xml:space="preserve">and delta exposure calculation </w:t>
      </w:r>
      <w:r w:rsidR="00166A76">
        <w:t>are evaluated and analyzed</w:t>
      </w:r>
      <w:r w:rsidR="00D83766">
        <w:t xml:space="preserve"> in section 3.</w:t>
      </w:r>
      <w:r w:rsidR="00166A76">
        <w:t xml:space="preserve"> </w:t>
      </w:r>
      <w:r w:rsidR="00203A31">
        <w:t xml:space="preserve">Assessment of the importance of the different </w:t>
      </w:r>
      <w:r w:rsidR="005E7134">
        <w:t xml:space="preserve">yield curve </w:t>
      </w:r>
      <w:r w:rsidR="00203A31">
        <w:t>shifts is</w:t>
      </w:r>
      <w:r w:rsidR="0029089A">
        <w:t xml:space="preserve"> also</w:t>
      </w:r>
      <w:r w:rsidR="00166A76">
        <w:t xml:space="preserve"> depicted in section </w:t>
      </w:r>
      <w:r w:rsidR="0029089A">
        <w:t>3</w:t>
      </w:r>
      <w:r w:rsidR="00203A31">
        <w:t xml:space="preserve">. </w:t>
      </w:r>
      <w:r w:rsidR="00F2679B">
        <w:t>The paper</w:t>
      </w:r>
      <w:r w:rsidR="00BC4391">
        <w:t xml:space="preserve"> </w:t>
      </w:r>
      <w:r w:rsidR="00F2679B">
        <w:t xml:space="preserve">then </w:t>
      </w:r>
      <w:r w:rsidR="00BC4391">
        <w:t xml:space="preserve">concludes the empirical findings. </w:t>
      </w:r>
    </w:p>
    <w:p w:rsidR="00C74726" w:rsidRDefault="00C74726" w:rsidP="0002039B">
      <w:pPr>
        <w:autoSpaceDE w:val="0"/>
        <w:autoSpaceDN w:val="0"/>
        <w:adjustRightInd w:val="0"/>
        <w:spacing w:after="0" w:line="240" w:lineRule="auto"/>
        <w:rPr>
          <w:rFonts w:ascii="TimesNewRomanPSMT" w:hAnsi="TimesNewRomanPSMT" w:cs="TimesNewRomanPSMT"/>
        </w:rPr>
      </w:pPr>
    </w:p>
    <w:p w:rsidR="00502B58" w:rsidRPr="00502B58" w:rsidRDefault="00133853" w:rsidP="00502B58">
      <w:pPr>
        <w:pStyle w:val="ListParagraph"/>
        <w:numPr>
          <w:ilvl w:val="0"/>
          <w:numId w:val="1"/>
        </w:numPr>
        <w:rPr>
          <w:rFonts w:cs="Times New Roman"/>
          <w:b/>
          <w:szCs w:val="24"/>
        </w:rPr>
      </w:pPr>
      <w:r>
        <w:rPr>
          <w:rFonts w:cs="Times New Roman"/>
          <w:b/>
          <w:szCs w:val="24"/>
        </w:rPr>
        <w:t xml:space="preserve">Review on </w:t>
      </w:r>
      <w:r w:rsidR="006E17DD">
        <w:rPr>
          <w:rFonts w:cs="Times New Roman"/>
          <w:b/>
          <w:szCs w:val="24"/>
        </w:rPr>
        <w:t xml:space="preserve">Market </w:t>
      </w:r>
      <w:r w:rsidR="001F5DD0">
        <w:rPr>
          <w:rFonts w:cs="Times New Roman"/>
          <w:b/>
          <w:szCs w:val="24"/>
        </w:rPr>
        <w:t>Risk</w:t>
      </w:r>
      <w:r>
        <w:rPr>
          <w:rFonts w:cs="Times New Roman"/>
          <w:b/>
          <w:szCs w:val="24"/>
        </w:rPr>
        <w:t xml:space="preserve"> and Market Risk Management</w:t>
      </w:r>
    </w:p>
    <w:p w:rsidR="006E17DD" w:rsidRDefault="005E7134" w:rsidP="00C50AF6">
      <w:r>
        <w:t xml:space="preserve">Market risk is the uncertainty of cash flows and potential for loss associated with movements in an underlying source of risk such as interest rates, foreign exchange rates, stock prices, or commodity prices. When analyzing interest rate risk, there is the risk of short-, intermediate-, and long-term interest rates. </w:t>
      </w:r>
      <w:r w:rsidR="00C7085E">
        <w:t xml:space="preserve">Within short-term interest rate risk, there is the risk </w:t>
      </w:r>
      <w:r w:rsidR="00133853">
        <w:t>of LIBOR changing, the risk of the Treasury bill rate changing, the risk of the commercial paper rate changing and many other risks associated with specific interest rates</w:t>
      </w:r>
      <w:r w:rsidR="00AE3048">
        <w:t xml:space="preserve"> (</w:t>
      </w:r>
      <w:proofErr w:type="spellStart"/>
      <w:r w:rsidR="00AE3048">
        <w:t>Jorian</w:t>
      </w:r>
      <w:proofErr w:type="spellEnd"/>
      <w:r w:rsidR="00AE3048">
        <w:t xml:space="preserve"> P. (2001)</w:t>
      </w:r>
      <w:r w:rsidR="00BA7A56">
        <w:t>). The extent to which those rates are correlated must be considered by risk managers. The effect of changes in the underlying source of risk will be reflected in movements in the values of spo</w:t>
      </w:r>
      <w:r w:rsidR="00061581">
        <w:t>t derivative positions. Delta, G</w:t>
      </w:r>
      <w:r w:rsidR="00BA7A56">
        <w:t xml:space="preserve">amma and </w:t>
      </w:r>
      <w:r w:rsidR="00061581">
        <w:t>V</w:t>
      </w:r>
      <w:r w:rsidR="00BA7A56">
        <w:t xml:space="preserve">ega are all risk measures equally applicable to many instruments in addition to options and stocks. </w:t>
      </w:r>
      <w:r w:rsidR="00F4625B">
        <w:t xml:space="preserve">They </w:t>
      </w:r>
      <w:r w:rsidR="00BA7A56">
        <w:t>are some of the tools used by risk m</w:t>
      </w:r>
      <w:r w:rsidR="00714D16">
        <w:t>anagers to control market risk (Hull J., (2012)).</w:t>
      </w:r>
      <w:r w:rsidR="00497D8F">
        <w:t xml:space="preserve"> </w:t>
      </w:r>
    </w:p>
    <w:p w:rsidR="00AC66A1" w:rsidRDefault="00AC66A1" w:rsidP="00C50AF6">
      <w:r>
        <w:lastRenderedPageBreak/>
        <w:t xml:space="preserve">Delta hedging consists of making the portfolio </w:t>
      </w:r>
      <w:proofErr w:type="gramStart"/>
      <w:r>
        <w:t>be</w:t>
      </w:r>
      <w:proofErr w:type="gramEnd"/>
      <w:r>
        <w:t xml:space="preserve"> unaffected by small movements in interest rates. Delta calculation is needed by taking the mathematical first derivatives of the swap or option value with respect to interest rates. Therefore a delta-hedged position is one in which the combined spot and derivatives positions have a delta of zero. The portfolio would then have no gain or loss in value from a small change in the underlying source of risk.</w:t>
      </w:r>
      <w:r w:rsidR="00C609BF">
        <w:t xml:space="preserve"> Larger movements, however, can bring about additional risk not captured by delta. This requires a </w:t>
      </w:r>
      <w:r w:rsidR="008F1186">
        <w:t>G</w:t>
      </w:r>
      <w:r w:rsidR="00C609BF">
        <w:t>amma</w:t>
      </w:r>
      <w:r w:rsidR="00920ED9">
        <w:rPr>
          <w:rStyle w:val="FootnoteReference"/>
        </w:rPr>
        <w:footnoteReference w:id="3"/>
      </w:r>
      <w:r w:rsidR="00C609BF">
        <w:t xml:space="preserve"> hedge by combining transactions so that the delta and gamma are both zero. The portfolio would then have no gain or loss in value from a small change in the underlying source of risk. Moreover, the delta itself would be hedged</w:t>
      </w:r>
      <w:r w:rsidR="003A1133">
        <w:t xml:space="preserve">, which provides protection against larger changes in the source of risk. </w:t>
      </w:r>
      <w:proofErr w:type="gramStart"/>
      <w:r w:rsidR="003A1133">
        <w:t>(Chance D.</w:t>
      </w:r>
      <w:r w:rsidR="00061581">
        <w:t xml:space="preserve"> M.</w:t>
      </w:r>
      <w:r w:rsidR="003A1133">
        <w:t xml:space="preserve"> (2004)).</w:t>
      </w:r>
      <w:proofErr w:type="gramEnd"/>
      <w:r w:rsidR="00061581">
        <w:t xml:space="preserve"> Unfortunately the use of options introduces a risk associated with possible changes in volatility. This risk is hedged by Vega</w:t>
      </w:r>
      <w:r w:rsidR="00920ED9">
        <w:rPr>
          <w:rStyle w:val="FootnoteReference"/>
        </w:rPr>
        <w:footnoteReference w:id="4"/>
      </w:r>
      <w:r w:rsidR="00061581">
        <w:t xml:space="preserve">. </w:t>
      </w:r>
      <w:r w:rsidR="004F7979">
        <w:t xml:space="preserve">A portfolio of derivatives that is both Delta and Gamma hedged can incur a gain or loss even when there is no change in the underlying as a result of a change in the volatility. </w:t>
      </w:r>
    </w:p>
    <w:p w:rsidR="00820645" w:rsidRDefault="00820645" w:rsidP="00C50AF6">
      <w:r>
        <w:t>In spite of a dealer’s efforts at achieving a delta-gamma-</w:t>
      </w:r>
      <w:proofErr w:type="spellStart"/>
      <w:r>
        <w:t>vega</w:t>
      </w:r>
      <w:proofErr w:type="spellEnd"/>
      <w:r>
        <w:t xml:space="preserve"> neutral position, it is impossible to achieve an absolute perfect hedge. The </w:t>
      </w:r>
      <w:proofErr w:type="spellStart"/>
      <w:proofErr w:type="gramStart"/>
      <w:r>
        <w:t>vega</w:t>
      </w:r>
      <w:proofErr w:type="spellEnd"/>
      <w:proofErr w:type="gramEnd"/>
      <w:r>
        <w:t xml:space="preserve"> hedge is accurate only for extremely small changes in volatility. Large changes would require yet another adjustment. In addition, all deltas, gammas, and </w:t>
      </w:r>
      <w:proofErr w:type="spellStart"/>
      <w:proofErr w:type="gramStart"/>
      <w:r>
        <w:t>vegas</w:t>
      </w:r>
      <w:proofErr w:type="spellEnd"/>
      <w:proofErr w:type="gramEnd"/>
      <w:r>
        <w:t xml:space="preserve"> are only valid over the next instant in time. </w:t>
      </w:r>
      <w:r w:rsidR="00651FFD">
        <w:t>Rarely will the end user engage in the type of dynamic hedging of delta-gamma-</w:t>
      </w:r>
      <w:proofErr w:type="spellStart"/>
      <w:r w:rsidR="00651FFD">
        <w:t>vega</w:t>
      </w:r>
      <w:proofErr w:type="spellEnd"/>
      <w:r w:rsidR="00651FFD">
        <w:t xml:space="preserve"> neutral position. In fact the end is not typically a financial institution like the dealer. Financial institutions can nearly always execute transactions at lower cost and can afford the investment in expensive personnel, equipment, and software necessary to do dynamic hedging. Most end users enter into derivatives that require little or no adjustments. However, many suffered losses from being </w:t>
      </w:r>
      <w:proofErr w:type="spellStart"/>
      <w:r w:rsidR="00651FFD">
        <w:t>unhedged</w:t>
      </w:r>
      <w:proofErr w:type="spellEnd"/>
      <w:r w:rsidR="00651FFD">
        <w:t xml:space="preserve"> at the wrong time or from </w:t>
      </w:r>
      <w:r w:rsidR="002C6038">
        <w:t xml:space="preserve">outright speculating. Most end users could have obtained a better understanding about the magnitude of their risk and the potential for large losses had they applied the Value at Risk, </w:t>
      </w:r>
      <w:proofErr w:type="spellStart"/>
      <w:r w:rsidR="002C6038">
        <w:t>VaR</w:t>
      </w:r>
      <w:proofErr w:type="spellEnd"/>
      <w:r w:rsidR="002C6038">
        <w:t xml:space="preserve"> (Naimy V. (2014)). </w:t>
      </w:r>
    </w:p>
    <w:p w:rsidR="00CF5FD5" w:rsidRDefault="00EB3AC1" w:rsidP="00C50AF6">
      <w:proofErr w:type="spellStart"/>
      <w:r>
        <w:t>VaR</w:t>
      </w:r>
      <w:proofErr w:type="spellEnd"/>
      <w:r>
        <w:t xml:space="preserve"> is widely used by dealers, even though their hedging programs nearly always leave them with the little exposure to the market. The basic idea behind </w:t>
      </w:r>
      <w:proofErr w:type="spellStart"/>
      <w:r>
        <w:t>VaR</w:t>
      </w:r>
      <w:proofErr w:type="spellEnd"/>
      <w:r>
        <w:t xml:space="preserve"> is to determine the probability distribution of the underlying source of risk and to isolate the worst given percentage of outcomes.</w:t>
      </w:r>
      <w:r w:rsidR="00021B6C">
        <w:t xml:space="preserve"> Loosely, </w:t>
      </w:r>
      <w:proofErr w:type="spellStart"/>
      <w:r w:rsidR="00021B6C">
        <w:t>VaR</w:t>
      </w:r>
      <w:proofErr w:type="spellEnd"/>
      <w:r w:rsidR="00021B6C">
        <w:t xml:space="preserve"> summarizes the worst loss over a target horizon that will not be exceeded with a given confidence level. </w:t>
      </w:r>
      <w:r>
        <w:t xml:space="preserve"> Using 5% as the critical percentage, </w:t>
      </w:r>
      <w:proofErr w:type="spellStart"/>
      <w:r>
        <w:t>VaR</w:t>
      </w:r>
      <w:proofErr w:type="spellEnd"/>
      <w:r>
        <w:t xml:space="preserve"> will determine the 5% of outcomes that are the worst. The performance at the 5% mark is the </w:t>
      </w:r>
      <w:proofErr w:type="spellStart"/>
      <w:r>
        <w:t>VaR.</w:t>
      </w:r>
      <w:proofErr w:type="spellEnd"/>
      <w:r>
        <w:t xml:space="preserve"> There are thre</w:t>
      </w:r>
      <w:r w:rsidR="008F0C64">
        <w:t xml:space="preserve">e methods of estimating the </w:t>
      </w:r>
      <w:proofErr w:type="spellStart"/>
      <w:r w:rsidR="008F0C64">
        <w:t>VaR</w:t>
      </w:r>
      <w:proofErr w:type="spellEnd"/>
      <w:r w:rsidR="008F0C64">
        <w:t xml:space="preserve"> (</w:t>
      </w:r>
      <w:proofErr w:type="spellStart"/>
      <w:r w:rsidR="008F0C64">
        <w:t>Jorian</w:t>
      </w:r>
      <w:proofErr w:type="spellEnd"/>
      <w:r w:rsidR="008F0C64">
        <w:t xml:space="preserve"> P. (2007)).</w:t>
      </w:r>
      <w:r w:rsidR="00021B6C">
        <w:t xml:space="preserve"> </w:t>
      </w:r>
    </w:p>
    <w:p w:rsidR="00CF5FD5" w:rsidRDefault="00021B6C" w:rsidP="00C50AF6">
      <w:r>
        <w:lastRenderedPageBreak/>
        <w:t>The analytical method, also called the variance-covariance method, makes use of knowledge of the input values and any necessary pricing models along with an assumption of a normal distribution. In other words, it uses knowledge of the parameters of the probability distribution of the underlying sources of risk at the portfolio level. Since the expected value and variance are the only two parameters used, the method implicitly is based on the assumption of normal distribution. If the portfolio contains options, this assumption is no longer valid because option returns are highly skewed and the expected return and variance of an option position will not accurately produce the wished result</w:t>
      </w:r>
      <w:r w:rsidR="0064180D">
        <w:t xml:space="preserve">. </w:t>
      </w:r>
      <w:r w:rsidR="00E75E96">
        <w:t xml:space="preserve">In this case, another alternative is used and employs the delta rather than the precise option pricing model to determine the option outcome. This is called the delta normal method and is only approximate. It </w:t>
      </w:r>
      <w:proofErr w:type="spellStart"/>
      <w:r w:rsidR="00E75E96">
        <w:t>linearizes</w:t>
      </w:r>
      <w:proofErr w:type="spellEnd"/>
      <w:r w:rsidR="00E75E96">
        <w:t xml:space="preserve"> the option distribution</w:t>
      </w:r>
      <w:r w:rsidR="00733CDD">
        <w:t xml:space="preserve"> by converting the option’s distribution to a normal distribution. This is useful when a large portfolio is concerned. For long periods, the delta adjustment is sometimes supplemented with a gamma adjustment</w:t>
      </w:r>
      <w:r w:rsidR="00F40F88">
        <w:t xml:space="preserve"> (Chance D. M. (2004)).</w:t>
      </w:r>
    </w:p>
    <w:p w:rsidR="00950403" w:rsidRDefault="00CF5FD5" w:rsidP="00C50AF6">
      <w:r>
        <w:t>Secondly, the historical method estimates the distribution of the portfolio’s performance by collecting data on the past performance of the portfolio and using it to estimate the future probability distribution. It assumes that the past distribution is a good estimate of the future distribution. Obviously it matters greatly whether the probability distribution of the past is repeated in the future. Also the portfolio held in the future might differ from the one held in the past. Another problem</w:t>
      </w:r>
      <w:r w:rsidR="00950403">
        <w:t xml:space="preserve"> is that the historical period may be badly representative of the future. </w:t>
      </w:r>
    </w:p>
    <w:p w:rsidR="004C757F" w:rsidRDefault="00950403" w:rsidP="00C50AF6">
      <w:r>
        <w:t xml:space="preserve">Monte Carlo Simulation Method combines many of the best properties of the previous two methods. </w:t>
      </w:r>
      <w:r w:rsidR="004A3EEB">
        <w:t xml:space="preserve">It is the most widely used method by sophisticated firms. </w:t>
      </w:r>
      <w:r w:rsidR="00CB4FE2">
        <w:t xml:space="preserve">It generates random outcomes based on an assumed probability distribution to obtain the </w:t>
      </w:r>
      <w:proofErr w:type="spellStart"/>
      <w:r w:rsidR="00CB4FE2">
        <w:t>VaR</w:t>
      </w:r>
      <w:r w:rsidR="00FA62A2">
        <w:t>.</w:t>
      </w:r>
      <w:proofErr w:type="spellEnd"/>
      <w:r w:rsidR="00FA62A2">
        <w:t xml:space="preserve"> Portfolio returns can be easily simulated. This requires inputs on the expected returns, standard deviations, and correlations for each financial instrument. </w:t>
      </w:r>
      <w:r w:rsidR="004A3EEB">
        <w:t xml:space="preserve">It is a flexible </w:t>
      </w:r>
      <w:r w:rsidR="00AE041B">
        <w:t>method since it allows the analyst to assume any known probability distribution and can handle complex portfolios. It is also the most demanding method in terms of computer requirements and the most efficient among risk management techniques</w:t>
      </w:r>
      <w:r w:rsidR="00291CA3">
        <w:t xml:space="preserve"> (</w:t>
      </w:r>
      <w:proofErr w:type="spellStart"/>
      <w:r w:rsidR="00291CA3">
        <w:t>Jorian</w:t>
      </w:r>
      <w:proofErr w:type="spellEnd"/>
      <w:r w:rsidR="00291CA3">
        <w:t xml:space="preserve"> P. (2007)).</w:t>
      </w:r>
    </w:p>
    <w:p w:rsidR="00EB3AC1" w:rsidRDefault="00E1288F" w:rsidP="00C50AF6">
      <w:r>
        <w:t xml:space="preserve">In this paper, we will focus on </w:t>
      </w:r>
      <w:r w:rsidR="00D22192">
        <w:t>following</w:t>
      </w:r>
      <w:r>
        <w:t xml:space="preserve"> the risk decomposition strategy to measure the interest rate risk </w:t>
      </w:r>
      <w:r w:rsidR="00627D0B">
        <w:t>of</w:t>
      </w:r>
      <w:r>
        <w:t xml:space="preserve"> an interest-rate dependant asset portfolio</w:t>
      </w:r>
      <w:r w:rsidR="00D22192">
        <w:t xml:space="preserve"> of a Lebanese commercial bank using principal component analysis. </w:t>
      </w:r>
    </w:p>
    <w:p w:rsidR="00AE7FE2" w:rsidRDefault="00AE7FE2" w:rsidP="00C023D6">
      <w:pPr>
        <w:pStyle w:val="ListParagraph"/>
        <w:numPr>
          <w:ilvl w:val="0"/>
          <w:numId w:val="1"/>
        </w:numPr>
        <w:rPr>
          <w:rFonts w:cs="Times New Roman"/>
          <w:b/>
          <w:szCs w:val="24"/>
        </w:rPr>
      </w:pPr>
      <w:r>
        <w:rPr>
          <w:rFonts w:cs="Times New Roman"/>
          <w:b/>
          <w:szCs w:val="24"/>
        </w:rPr>
        <w:t>Principal Component</w:t>
      </w:r>
      <w:r w:rsidR="0029089A">
        <w:rPr>
          <w:rFonts w:cs="Times New Roman"/>
          <w:b/>
          <w:szCs w:val="24"/>
        </w:rPr>
        <w:t>s</w:t>
      </w:r>
      <w:r>
        <w:rPr>
          <w:rFonts w:cs="Times New Roman"/>
          <w:b/>
          <w:szCs w:val="24"/>
        </w:rPr>
        <w:t xml:space="preserve"> Analysis and Delta Exposure</w:t>
      </w:r>
    </w:p>
    <w:p w:rsidR="00AE7FE2" w:rsidRDefault="00AE7FE2" w:rsidP="00AE7FE2">
      <w:pPr>
        <w:pStyle w:val="ListParagraph"/>
        <w:rPr>
          <w:rFonts w:cs="Times New Roman"/>
          <w:b/>
          <w:szCs w:val="24"/>
        </w:rPr>
      </w:pPr>
    </w:p>
    <w:p w:rsidR="00C023D6" w:rsidRPr="00AE7FE2" w:rsidRDefault="00AE7FE2" w:rsidP="00AE7FE2">
      <w:pPr>
        <w:pStyle w:val="ListParagraph"/>
        <w:numPr>
          <w:ilvl w:val="1"/>
          <w:numId w:val="1"/>
        </w:numPr>
        <w:rPr>
          <w:rFonts w:cs="Times New Roman"/>
          <w:szCs w:val="24"/>
        </w:rPr>
      </w:pPr>
      <w:r w:rsidRPr="00AE7FE2">
        <w:rPr>
          <w:rFonts w:cs="Times New Roman"/>
          <w:szCs w:val="24"/>
        </w:rPr>
        <w:t xml:space="preserve"> </w:t>
      </w:r>
      <w:r w:rsidR="00C023D6" w:rsidRPr="00AE7FE2">
        <w:rPr>
          <w:rFonts w:cs="Times New Roman"/>
          <w:szCs w:val="24"/>
        </w:rPr>
        <w:t>Data</w:t>
      </w:r>
      <w:r>
        <w:rPr>
          <w:rFonts w:cs="Times New Roman"/>
          <w:szCs w:val="24"/>
        </w:rPr>
        <w:t xml:space="preserve">, </w:t>
      </w:r>
      <w:r w:rsidR="00C023D6" w:rsidRPr="00AE7FE2">
        <w:rPr>
          <w:rFonts w:cs="Times New Roman"/>
          <w:szCs w:val="24"/>
        </w:rPr>
        <w:t>Sample Selection</w:t>
      </w:r>
      <w:r>
        <w:rPr>
          <w:rFonts w:cs="Times New Roman"/>
          <w:szCs w:val="24"/>
        </w:rPr>
        <w:t>, and Partial Duration</w:t>
      </w:r>
    </w:p>
    <w:p w:rsidR="00C023D6" w:rsidRDefault="005008D2" w:rsidP="00C023D6">
      <w:pPr>
        <w:rPr>
          <w:rFonts w:cs="Times New Roman"/>
          <w:szCs w:val="24"/>
        </w:rPr>
      </w:pPr>
      <w:r>
        <w:rPr>
          <w:rFonts w:cs="Times New Roman"/>
          <w:szCs w:val="24"/>
        </w:rPr>
        <w:t>The selected</w:t>
      </w:r>
      <w:r w:rsidR="00C023D6">
        <w:rPr>
          <w:rFonts w:cs="Times New Roman"/>
          <w:szCs w:val="24"/>
        </w:rPr>
        <w:t xml:space="preserve"> portfolio</w:t>
      </w:r>
      <w:r>
        <w:rPr>
          <w:rFonts w:cs="Times New Roman"/>
          <w:szCs w:val="24"/>
        </w:rPr>
        <w:t>,</w:t>
      </w:r>
      <w:r w:rsidR="00C023D6">
        <w:rPr>
          <w:rFonts w:cs="Times New Roman"/>
          <w:szCs w:val="24"/>
        </w:rPr>
        <w:t xml:space="preserve"> belonging </w:t>
      </w:r>
      <w:r>
        <w:rPr>
          <w:rFonts w:cs="Times New Roman"/>
          <w:szCs w:val="24"/>
        </w:rPr>
        <w:t xml:space="preserve">to a Lebanese commercial bank rated among the top 10% in terms of total assets among all the operating commercial banks in Lebanon, consists of long positions in interest-rate dependent assets and is worth USD </w:t>
      </w:r>
      <w:r w:rsidR="00741DB7">
        <w:rPr>
          <w:rFonts w:cs="Times New Roman"/>
          <w:szCs w:val="24"/>
        </w:rPr>
        <w:t>10</w:t>
      </w:r>
      <w:r>
        <w:rPr>
          <w:rFonts w:cs="Times New Roman"/>
          <w:szCs w:val="24"/>
        </w:rPr>
        <w:t xml:space="preserve"> million. We considered the monthly changes </w:t>
      </w:r>
      <w:r w:rsidR="00C3371D">
        <w:rPr>
          <w:rFonts w:cs="Times New Roman"/>
          <w:szCs w:val="24"/>
        </w:rPr>
        <w:t xml:space="preserve">of the Lebanese TBs </w:t>
      </w:r>
      <w:r w:rsidR="007F7196">
        <w:rPr>
          <w:rFonts w:cs="Times New Roman"/>
          <w:szCs w:val="24"/>
        </w:rPr>
        <w:t xml:space="preserve">with maturities of 3 months, 6 months, 1 year, 2 years and </w:t>
      </w:r>
      <w:r w:rsidR="007F7196">
        <w:rPr>
          <w:rFonts w:cs="Times New Roman"/>
          <w:szCs w:val="24"/>
        </w:rPr>
        <w:lastRenderedPageBreak/>
        <w:t xml:space="preserve">3 years from January 2006 up to June 2014.  Table 1 depicts the summary statistics of these rates during the mentioned period. </w:t>
      </w:r>
    </w:p>
    <w:p w:rsidR="007F7196" w:rsidRPr="008A6E92" w:rsidRDefault="007F7196" w:rsidP="007F7196">
      <w:pPr>
        <w:rPr>
          <w:u w:val="single"/>
        </w:rPr>
      </w:pPr>
      <w:r w:rsidRPr="008A6E92">
        <w:rPr>
          <w:u w:val="single"/>
        </w:rPr>
        <w:t xml:space="preserve">Table </w:t>
      </w:r>
      <w:r>
        <w:rPr>
          <w:u w:val="single"/>
        </w:rPr>
        <w:t>1</w:t>
      </w:r>
      <w:r w:rsidRPr="008A6E92">
        <w:rPr>
          <w:u w:val="single"/>
        </w:rPr>
        <w:t xml:space="preserve">: Summary Statistics </w:t>
      </w:r>
      <w:r>
        <w:rPr>
          <w:u w:val="single"/>
        </w:rPr>
        <w:t>for the Lebanese TBs for the Period Jan 2006</w:t>
      </w:r>
      <w:r w:rsidR="00944B76">
        <w:rPr>
          <w:u w:val="single"/>
        </w:rPr>
        <w:t xml:space="preserve"> through June 2014</w:t>
      </w:r>
    </w:p>
    <w:tbl>
      <w:tblPr>
        <w:tblW w:w="9316" w:type="dxa"/>
        <w:tblInd w:w="103" w:type="dxa"/>
        <w:tblLook w:val="04A0"/>
      </w:tblPr>
      <w:tblGrid>
        <w:gridCol w:w="1895"/>
        <w:gridCol w:w="2061"/>
        <w:gridCol w:w="1340"/>
        <w:gridCol w:w="1340"/>
        <w:gridCol w:w="1340"/>
        <w:gridCol w:w="1340"/>
      </w:tblGrid>
      <w:tr w:rsidR="005972D9" w:rsidRPr="005972D9" w:rsidTr="005972D9">
        <w:trPr>
          <w:trHeight w:val="300"/>
        </w:trPr>
        <w:tc>
          <w:tcPr>
            <w:tcW w:w="18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72D9" w:rsidRPr="005972D9" w:rsidRDefault="005972D9" w:rsidP="005972D9"/>
        </w:tc>
        <w:tc>
          <w:tcPr>
            <w:tcW w:w="2061" w:type="dxa"/>
            <w:tcBorders>
              <w:top w:val="single" w:sz="4" w:space="0" w:color="auto"/>
              <w:left w:val="nil"/>
              <w:bottom w:val="single" w:sz="4" w:space="0" w:color="auto"/>
              <w:right w:val="single" w:sz="4" w:space="0" w:color="auto"/>
            </w:tcBorders>
            <w:shd w:val="clear" w:color="auto" w:fill="auto"/>
            <w:noWrap/>
            <w:vAlign w:val="bottom"/>
            <w:hideMark/>
          </w:tcPr>
          <w:p w:rsidR="005972D9" w:rsidRPr="005972D9" w:rsidRDefault="005972D9" w:rsidP="005972D9">
            <w:r w:rsidRPr="005972D9">
              <w:t>3 Months</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rsidR="005972D9" w:rsidRPr="005972D9" w:rsidRDefault="005972D9" w:rsidP="005972D9">
            <w:r w:rsidRPr="005972D9">
              <w:t>6</w:t>
            </w:r>
            <w:r w:rsidR="00A07E38">
              <w:t xml:space="preserve"> </w:t>
            </w:r>
            <w:r w:rsidRPr="005972D9">
              <w:t>Months</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rsidR="005972D9" w:rsidRPr="005972D9" w:rsidRDefault="005972D9" w:rsidP="005972D9">
            <w:r w:rsidRPr="005972D9">
              <w:t>1</w:t>
            </w:r>
            <w:r w:rsidR="00A07E38">
              <w:t xml:space="preserve"> </w:t>
            </w:r>
            <w:r w:rsidRPr="005972D9">
              <w:t>Y</w:t>
            </w:r>
            <w:r w:rsidR="00015EA3">
              <w:t>ea</w:t>
            </w:r>
            <w:r w:rsidRPr="005972D9">
              <w:t>r</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rsidR="005972D9" w:rsidRPr="005972D9" w:rsidRDefault="005972D9" w:rsidP="005972D9">
            <w:r w:rsidRPr="005972D9">
              <w:t>2</w:t>
            </w:r>
            <w:r w:rsidR="00A07E38">
              <w:t xml:space="preserve"> </w:t>
            </w:r>
            <w:r w:rsidRPr="005972D9">
              <w:t>Y</w:t>
            </w:r>
            <w:r w:rsidR="00015EA3">
              <w:t>ea</w:t>
            </w:r>
            <w:r w:rsidRPr="005972D9">
              <w:t>rs</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rsidR="005972D9" w:rsidRPr="005972D9" w:rsidRDefault="005972D9" w:rsidP="005972D9">
            <w:r w:rsidRPr="005972D9">
              <w:t>3</w:t>
            </w:r>
            <w:r w:rsidR="00A07E38">
              <w:t xml:space="preserve"> </w:t>
            </w:r>
            <w:r w:rsidRPr="005972D9">
              <w:t>Y</w:t>
            </w:r>
            <w:r w:rsidR="00015EA3">
              <w:t>ea</w:t>
            </w:r>
            <w:r w:rsidRPr="005972D9">
              <w:t>rs</w:t>
            </w:r>
          </w:p>
        </w:tc>
      </w:tr>
      <w:tr w:rsidR="005972D9" w:rsidRPr="005972D9" w:rsidTr="005972D9">
        <w:trPr>
          <w:trHeight w:val="300"/>
        </w:trPr>
        <w:tc>
          <w:tcPr>
            <w:tcW w:w="1895" w:type="dxa"/>
            <w:tcBorders>
              <w:top w:val="nil"/>
              <w:left w:val="single" w:sz="4" w:space="0" w:color="auto"/>
              <w:bottom w:val="single" w:sz="4" w:space="0" w:color="auto"/>
              <w:right w:val="single" w:sz="4" w:space="0" w:color="auto"/>
            </w:tcBorders>
            <w:shd w:val="clear" w:color="auto" w:fill="auto"/>
            <w:noWrap/>
            <w:vAlign w:val="bottom"/>
            <w:hideMark/>
          </w:tcPr>
          <w:p w:rsidR="005972D9" w:rsidRPr="005972D9" w:rsidRDefault="005972D9" w:rsidP="005972D9">
            <w:r w:rsidRPr="005972D9">
              <w:t>Mean</w:t>
            </w:r>
          </w:p>
        </w:tc>
        <w:tc>
          <w:tcPr>
            <w:tcW w:w="2061" w:type="dxa"/>
            <w:tcBorders>
              <w:top w:val="nil"/>
              <w:left w:val="nil"/>
              <w:bottom w:val="single" w:sz="4" w:space="0" w:color="auto"/>
              <w:right w:val="single" w:sz="4" w:space="0" w:color="auto"/>
            </w:tcBorders>
            <w:shd w:val="clear" w:color="auto" w:fill="auto"/>
            <w:noWrap/>
            <w:vAlign w:val="bottom"/>
            <w:hideMark/>
          </w:tcPr>
          <w:p w:rsidR="005972D9" w:rsidRPr="005972D9" w:rsidRDefault="005972D9" w:rsidP="005972D9">
            <w:r w:rsidRPr="005972D9">
              <w:rPr>
                <w:sz w:val="22"/>
              </w:rPr>
              <w:t>4.6575</w:t>
            </w:r>
          </w:p>
        </w:tc>
        <w:tc>
          <w:tcPr>
            <w:tcW w:w="1340" w:type="dxa"/>
            <w:tcBorders>
              <w:top w:val="nil"/>
              <w:left w:val="nil"/>
              <w:bottom w:val="single" w:sz="4" w:space="0" w:color="auto"/>
              <w:right w:val="single" w:sz="4" w:space="0" w:color="auto"/>
            </w:tcBorders>
            <w:shd w:val="clear" w:color="auto" w:fill="auto"/>
            <w:noWrap/>
            <w:vAlign w:val="bottom"/>
            <w:hideMark/>
          </w:tcPr>
          <w:p w:rsidR="005972D9" w:rsidRPr="005972D9" w:rsidRDefault="005972D9" w:rsidP="005972D9">
            <w:r w:rsidRPr="005972D9">
              <w:rPr>
                <w:sz w:val="22"/>
              </w:rPr>
              <w:t>5.873</w:t>
            </w:r>
          </w:p>
        </w:tc>
        <w:tc>
          <w:tcPr>
            <w:tcW w:w="1340" w:type="dxa"/>
            <w:tcBorders>
              <w:top w:val="nil"/>
              <w:left w:val="nil"/>
              <w:bottom w:val="single" w:sz="4" w:space="0" w:color="auto"/>
              <w:right w:val="single" w:sz="4" w:space="0" w:color="auto"/>
            </w:tcBorders>
            <w:shd w:val="clear" w:color="auto" w:fill="auto"/>
            <w:noWrap/>
            <w:vAlign w:val="bottom"/>
            <w:hideMark/>
          </w:tcPr>
          <w:p w:rsidR="005972D9" w:rsidRPr="005972D9" w:rsidRDefault="005972D9" w:rsidP="005972D9">
            <w:r w:rsidRPr="005972D9">
              <w:rPr>
                <w:sz w:val="22"/>
              </w:rPr>
              <w:t>6.249</w:t>
            </w:r>
          </w:p>
        </w:tc>
        <w:tc>
          <w:tcPr>
            <w:tcW w:w="1340" w:type="dxa"/>
            <w:tcBorders>
              <w:top w:val="nil"/>
              <w:left w:val="nil"/>
              <w:bottom w:val="single" w:sz="4" w:space="0" w:color="auto"/>
              <w:right w:val="single" w:sz="4" w:space="0" w:color="auto"/>
            </w:tcBorders>
            <w:shd w:val="clear" w:color="auto" w:fill="auto"/>
            <w:noWrap/>
            <w:vAlign w:val="bottom"/>
            <w:hideMark/>
          </w:tcPr>
          <w:p w:rsidR="005972D9" w:rsidRPr="005972D9" w:rsidRDefault="005972D9" w:rsidP="005972D9">
            <w:r w:rsidRPr="005972D9">
              <w:rPr>
                <w:sz w:val="22"/>
              </w:rPr>
              <w:t>6.974</w:t>
            </w:r>
          </w:p>
        </w:tc>
        <w:tc>
          <w:tcPr>
            <w:tcW w:w="1340" w:type="dxa"/>
            <w:tcBorders>
              <w:top w:val="nil"/>
              <w:left w:val="nil"/>
              <w:bottom w:val="single" w:sz="4" w:space="0" w:color="auto"/>
              <w:right w:val="single" w:sz="4" w:space="0" w:color="auto"/>
            </w:tcBorders>
            <w:shd w:val="clear" w:color="auto" w:fill="auto"/>
            <w:noWrap/>
            <w:vAlign w:val="bottom"/>
            <w:hideMark/>
          </w:tcPr>
          <w:p w:rsidR="005972D9" w:rsidRPr="005972D9" w:rsidRDefault="005972D9" w:rsidP="005972D9">
            <w:r w:rsidRPr="005972D9">
              <w:rPr>
                <w:sz w:val="22"/>
              </w:rPr>
              <w:t>7.964</w:t>
            </w:r>
          </w:p>
        </w:tc>
      </w:tr>
      <w:tr w:rsidR="005972D9" w:rsidRPr="005972D9" w:rsidTr="005972D9">
        <w:trPr>
          <w:trHeight w:val="300"/>
        </w:trPr>
        <w:tc>
          <w:tcPr>
            <w:tcW w:w="1895" w:type="dxa"/>
            <w:tcBorders>
              <w:top w:val="nil"/>
              <w:left w:val="single" w:sz="4" w:space="0" w:color="auto"/>
              <w:bottom w:val="single" w:sz="4" w:space="0" w:color="auto"/>
              <w:right w:val="single" w:sz="4" w:space="0" w:color="auto"/>
            </w:tcBorders>
            <w:shd w:val="clear" w:color="auto" w:fill="auto"/>
            <w:noWrap/>
            <w:vAlign w:val="bottom"/>
            <w:hideMark/>
          </w:tcPr>
          <w:p w:rsidR="005972D9" w:rsidRPr="005972D9" w:rsidRDefault="005972D9" w:rsidP="005972D9">
            <w:r w:rsidRPr="005972D9">
              <w:t>Variance</w:t>
            </w:r>
          </w:p>
        </w:tc>
        <w:tc>
          <w:tcPr>
            <w:tcW w:w="2061" w:type="dxa"/>
            <w:tcBorders>
              <w:top w:val="nil"/>
              <w:left w:val="nil"/>
              <w:bottom w:val="single" w:sz="4" w:space="0" w:color="auto"/>
              <w:right w:val="single" w:sz="4" w:space="0" w:color="auto"/>
            </w:tcBorders>
            <w:shd w:val="clear" w:color="auto" w:fill="auto"/>
            <w:noWrap/>
            <w:vAlign w:val="bottom"/>
            <w:hideMark/>
          </w:tcPr>
          <w:p w:rsidR="005972D9" w:rsidRPr="005972D9" w:rsidRDefault="005972D9" w:rsidP="005972D9">
            <w:r w:rsidRPr="005972D9">
              <w:rPr>
                <w:sz w:val="22"/>
              </w:rPr>
              <w:t>0.2530</w:t>
            </w:r>
          </w:p>
        </w:tc>
        <w:tc>
          <w:tcPr>
            <w:tcW w:w="1340" w:type="dxa"/>
            <w:tcBorders>
              <w:top w:val="nil"/>
              <w:left w:val="nil"/>
              <w:bottom w:val="single" w:sz="4" w:space="0" w:color="auto"/>
              <w:right w:val="single" w:sz="4" w:space="0" w:color="auto"/>
            </w:tcBorders>
            <w:shd w:val="clear" w:color="auto" w:fill="auto"/>
            <w:noWrap/>
            <w:vAlign w:val="bottom"/>
            <w:hideMark/>
          </w:tcPr>
          <w:p w:rsidR="005972D9" w:rsidRPr="005972D9" w:rsidRDefault="005972D9" w:rsidP="005972D9">
            <w:r w:rsidRPr="005972D9">
              <w:rPr>
                <w:sz w:val="22"/>
              </w:rPr>
              <w:t>1.352</w:t>
            </w:r>
          </w:p>
        </w:tc>
        <w:tc>
          <w:tcPr>
            <w:tcW w:w="1340" w:type="dxa"/>
            <w:tcBorders>
              <w:top w:val="nil"/>
              <w:left w:val="nil"/>
              <w:bottom w:val="single" w:sz="4" w:space="0" w:color="auto"/>
              <w:right w:val="single" w:sz="4" w:space="0" w:color="auto"/>
            </w:tcBorders>
            <w:shd w:val="clear" w:color="auto" w:fill="auto"/>
            <w:noWrap/>
            <w:vAlign w:val="bottom"/>
            <w:hideMark/>
          </w:tcPr>
          <w:p w:rsidR="005972D9" w:rsidRPr="005972D9" w:rsidRDefault="005972D9" w:rsidP="005972D9">
            <w:r w:rsidRPr="005972D9">
              <w:rPr>
                <w:sz w:val="22"/>
              </w:rPr>
              <w:t>1.546</w:t>
            </w:r>
          </w:p>
        </w:tc>
        <w:tc>
          <w:tcPr>
            <w:tcW w:w="1340" w:type="dxa"/>
            <w:tcBorders>
              <w:top w:val="nil"/>
              <w:left w:val="nil"/>
              <w:bottom w:val="single" w:sz="4" w:space="0" w:color="auto"/>
              <w:right w:val="single" w:sz="4" w:space="0" w:color="auto"/>
            </w:tcBorders>
            <w:shd w:val="clear" w:color="auto" w:fill="auto"/>
            <w:noWrap/>
            <w:vAlign w:val="bottom"/>
            <w:hideMark/>
          </w:tcPr>
          <w:p w:rsidR="005972D9" w:rsidRPr="005972D9" w:rsidRDefault="005972D9" w:rsidP="005972D9">
            <w:r w:rsidRPr="005972D9">
              <w:rPr>
                <w:sz w:val="22"/>
              </w:rPr>
              <w:t>1.944</w:t>
            </w:r>
          </w:p>
        </w:tc>
        <w:tc>
          <w:tcPr>
            <w:tcW w:w="1340" w:type="dxa"/>
            <w:tcBorders>
              <w:top w:val="nil"/>
              <w:left w:val="nil"/>
              <w:bottom w:val="single" w:sz="4" w:space="0" w:color="auto"/>
              <w:right w:val="single" w:sz="4" w:space="0" w:color="auto"/>
            </w:tcBorders>
            <w:shd w:val="clear" w:color="auto" w:fill="auto"/>
            <w:noWrap/>
            <w:vAlign w:val="bottom"/>
            <w:hideMark/>
          </w:tcPr>
          <w:p w:rsidR="005972D9" w:rsidRPr="005972D9" w:rsidRDefault="005972D9" w:rsidP="005972D9">
            <w:r w:rsidRPr="005972D9">
              <w:rPr>
                <w:sz w:val="22"/>
              </w:rPr>
              <w:t>2.163</w:t>
            </w:r>
          </w:p>
        </w:tc>
      </w:tr>
      <w:tr w:rsidR="005972D9" w:rsidRPr="005972D9" w:rsidTr="005972D9">
        <w:trPr>
          <w:trHeight w:val="300"/>
        </w:trPr>
        <w:tc>
          <w:tcPr>
            <w:tcW w:w="1895" w:type="dxa"/>
            <w:tcBorders>
              <w:top w:val="nil"/>
              <w:left w:val="single" w:sz="4" w:space="0" w:color="auto"/>
              <w:bottom w:val="single" w:sz="4" w:space="0" w:color="auto"/>
              <w:right w:val="single" w:sz="4" w:space="0" w:color="auto"/>
            </w:tcBorders>
            <w:shd w:val="clear" w:color="auto" w:fill="auto"/>
            <w:noWrap/>
            <w:vAlign w:val="bottom"/>
            <w:hideMark/>
          </w:tcPr>
          <w:p w:rsidR="005972D9" w:rsidRPr="005972D9" w:rsidRDefault="005972D9" w:rsidP="005972D9">
            <w:r w:rsidRPr="005972D9">
              <w:t>Std. Dev.</w:t>
            </w:r>
          </w:p>
        </w:tc>
        <w:tc>
          <w:tcPr>
            <w:tcW w:w="2061" w:type="dxa"/>
            <w:tcBorders>
              <w:top w:val="nil"/>
              <w:left w:val="nil"/>
              <w:bottom w:val="single" w:sz="4" w:space="0" w:color="auto"/>
              <w:right w:val="single" w:sz="4" w:space="0" w:color="auto"/>
            </w:tcBorders>
            <w:shd w:val="clear" w:color="auto" w:fill="auto"/>
            <w:noWrap/>
            <w:vAlign w:val="bottom"/>
            <w:hideMark/>
          </w:tcPr>
          <w:p w:rsidR="005972D9" w:rsidRPr="005972D9" w:rsidRDefault="005972D9" w:rsidP="005972D9">
            <w:r w:rsidRPr="005972D9">
              <w:rPr>
                <w:sz w:val="22"/>
              </w:rPr>
              <w:t>0.5030</w:t>
            </w:r>
          </w:p>
        </w:tc>
        <w:tc>
          <w:tcPr>
            <w:tcW w:w="1340" w:type="dxa"/>
            <w:tcBorders>
              <w:top w:val="nil"/>
              <w:left w:val="nil"/>
              <w:bottom w:val="single" w:sz="4" w:space="0" w:color="auto"/>
              <w:right w:val="single" w:sz="4" w:space="0" w:color="auto"/>
            </w:tcBorders>
            <w:shd w:val="clear" w:color="auto" w:fill="auto"/>
            <w:noWrap/>
            <w:vAlign w:val="bottom"/>
            <w:hideMark/>
          </w:tcPr>
          <w:p w:rsidR="005972D9" w:rsidRPr="005972D9" w:rsidRDefault="005972D9" w:rsidP="005972D9">
            <w:r w:rsidRPr="005972D9">
              <w:rPr>
                <w:sz w:val="22"/>
              </w:rPr>
              <w:t>1.163</w:t>
            </w:r>
          </w:p>
        </w:tc>
        <w:tc>
          <w:tcPr>
            <w:tcW w:w="1340" w:type="dxa"/>
            <w:tcBorders>
              <w:top w:val="nil"/>
              <w:left w:val="nil"/>
              <w:bottom w:val="single" w:sz="4" w:space="0" w:color="auto"/>
              <w:right w:val="single" w:sz="4" w:space="0" w:color="auto"/>
            </w:tcBorders>
            <w:shd w:val="clear" w:color="auto" w:fill="auto"/>
            <w:noWrap/>
            <w:vAlign w:val="bottom"/>
            <w:hideMark/>
          </w:tcPr>
          <w:p w:rsidR="005972D9" w:rsidRPr="005972D9" w:rsidRDefault="005972D9" w:rsidP="005972D9">
            <w:r w:rsidRPr="005972D9">
              <w:rPr>
                <w:sz w:val="22"/>
              </w:rPr>
              <w:t>1.243</w:t>
            </w:r>
          </w:p>
        </w:tc>
        <w:tc>
          <w:tcPr>
            <w:tcW w:w="1340" w:type="dxa"/>
            <w:tcBorders>
              <w:top w:val="nil"/>
              <w:left w:val="nil"/>
              <w:bottom w:val="single" w:sz="4" w:space="0" w:color="auto"/>
              <w:right w:val="single" w:sz="4" w:space="0" w:color="auto"/>
            </w:tcBorders>
            <w:shd w:val="clear" w:color="auto" w:fill="auto"/>
            <w:noWrap/>
            <w:vAlign w:val="bottom"/>
            <w:hideMark/>
          </w:tcPr>
          <w:p w:rsidR="005972D9" w:rsidRPr="005972D9" w:rsidRDefault="005972D9" w:rsidP="005972D9">
            <w:r w:rsidRPr="005972D9">
              <w:rPr>
                <w:sz w:val="22"/>
              </w:rPr>
              <w:t>1.394</w:t>
            </w:r>
          </w:p>
        </w:tc>
        <w:tc>
          <w:tcPr>
            <w:tcW w:w="1340" w:type="dxa"/>
            <w:tcBorders>
              <w:top w:val="nil"/>
              <w:left w:val="nil"/>
              <w:bottom w:val="single" w:sz="4" w:space="0" w:color="auto"/>
              <w:right w:val="single" w:sz="4" w:space="0" w:color="auto"/>
            </w:tcBorders>
            <w:shd w:val="clear" w:color="auto" w:fill="auto"/>
            <w:noWrap/>
            <w:vAlign w:val="bottom"/>
            <w:hideMark/>
          </w:tcPr>
          <w:p w:rsidR="005972D9" w:rsidRPr="005972D9" w:rsidRDefault="005972D9" w:rsidP="005972D9">
            <w:r w:rsidRPr="005972D9">
              <w:rPr>
                <w:sz w:val="22"/>
              </w:rPr>
              <w:t>1.471</w:t>
            </w:r>
          </w:p>
        </w:tc>
      </w:tr>
      <w:tr w:rsidR="005972D9" w:rsidRPr="005972D9" w:rsidTr="005972D9">
        <w:trPr>
          <w:trHeight w:val="300"/>
        </w:trPr>
        <w:tc>
          <w:tcPr>
            <w:tcW w:w="1895" w:type="dxa"/>
            <w:tcBorders>
              <w:top w:val="nil"/>
              <w:left w:val="single" w:sz="4" w:space="0" w:color="auto"/>
              <w:bottom w:val="single" w:sz="4" w:space="0" w:color="auto"/>
              <w:right w:val="single" w:sz="4" w:space="0" w:color="auto"/>
            </w:tcBorders>
            <w:shd w:val="clear" w:color="auto" w:fill="auto"/>
            <w:noWrap/>
            <w:vAlign w:val="bottom"/>
            <w:hideMark/>
          </w:tcPr>
          <w:p w:rsidR="005972D9" w:rsidRPr="005972D9" w:rsidRDefault="005972D9" w:rsidP="005972D9">
            <w:proofErr w:type="spellStart"/>
            <w:r w:rsidRPr="005972D9">
              <w:t>Skewness</w:t>
            </w:r>
            <w:proofErr w:type="spellEnd"/>
          </w:p>
        </w:tc>
        <w:tc>
          <w:tcPr>
            <w:tcW w:w="2061" w:type="dxa"/>
            <w:tcBorders>
              <w:top w:val="nil"/>
              <w:left w:val="nil"/>
              <w:bottom w:val="single" w:sz="4" w:space="0" w:color="auto"/>
              <w:right w:val="single" w:sz="4" w:space="0" w:color="auto"/>
            </w:tcBorders>
            <w:shd w:val="clear" w:color="auto" w:fill="auto"/>
            <w:noWrap/>
            <w:vAlign w:val="bottom"/>
            <w:hideMark/>
          </w:tcPr>
          <w:p w:rsidR="005972D9" w:rsidRPr="005972D9" w:rsidRDefault="005972D9" w:rsidP="005972D9">
            <w:r w:rsidRPr="005972D9">
              <w:rPr>
                <w:sz w:val="22"/>
              </w:rPr>
              <w:t>-0.1670</w:t>
            </w:r>
          </w:p>
        </w:tc>
        <w:tc>
          <w:tcPr>
            <w:tcW w:w="1340" w:type="dxa"/>
            <w:tcBorders>
              <w:top w:val="nil"/>
              <w:left w:val="nil"/>
              <w:bottom w:val="single" w:sz="4" w:space="0" w:color="auto"/>
              <w:right w:val="single" w:sz="4" w:space="0" w:color="auto"/>
            </w:tcBorders>
            <w:shd w:val="clear" w:color="auto" w:fill="auto"/>
            <w:noWrap/>
            <w:vAlign w:val="bottom"/>
            <w:hideMark/>
          </w:tcPr>
          <w:p w:rsidR="005972D9" w:rsidRPr="005972D9" w:rsidRDefault="005972D9" w:rsidP="005972D9">
            <w:r w:rsidRPr="005972D9">
              <w:rPr>
                <w:sz w:val="22"/>
              </w:rPr>
              <w:t>0.1441</w:t>
            </w:r>
          </w:p>
        </w:tc>
        <w:tc>
          <w:tcPr>
            <w:tcW w:w="1340" w:type="dxa"/>
            <w:tcBorders>
              <w:top w:val="nil"/>
              <w:left w:val="nil"/>
              <w:bottom w:val="single" w:sz="4" w:space="0" w:color="auto"/>
              <w:right w:val="single" w:sz="4" w:space="0" w:color="auto"/>
            </w:tcBorders>
            <w:shd w:val="clear" w:color="auto" w:fill="auto"/>
            <w:noWrap/>
            <w:vAlign w:val="bottom"/>
            <w:hideMark/>
          </w:tcPr>
          <w:p w:rsidR="005972D9" w:rsidRPr="005972D9" w:rsidRDefault="005972D9" w:rsidP="005972D9">
            <w:r w:rsidRPr="005972D9">
              <w:rPr>
                <w:sz w:val="22"/>
              </w:rPr>
              <w:t>0.2099</w:t>
            </w:r>
          </w:p>
        </w:tc>
        <w:tc>
          <w:tcPr>
            <w:tcW w:w="1340" w:type="dxa"/>
            <w:tcBorders>
              <w:top w:val="nil"/>
              <w:left w:val="nil"/>
              <w:bottom w:val="single" w:sz="4" w:space="0" w:color="auto"/>
              <w:right w:val="single" w:sz="4" w:space="0" w:color="auto"/>
            </w:tcBorders>
            <w:shd w:val="clear" w:color="auto" w:fill="auto"/>
            <w:noWrap/>
            <w:vAlign w:val="bottom"/>
            <w:hideMark/>
          </w:tcPr>
          <w:p w:rsidR="005972D9" w:rsidRPr="005972D9" w:rsidRDefault="005972D9" w:rsidP="005972D9">
            <w:r w:rsidRPr="005972D9">
              <w:rPr>
                <w:sz w:val="22"/>
              </w:rPr>
              <w:t>0.2353</w:t>
            </w:r>
          </w:p>
        </w:tc>
        <w:tc>
          <w:tcPr>
            <w:tcW w:w="1340" w:type="dxa"/>
            <w:tcBorders>
              <w:top w:val="nil"/>
              <w:left w:val="nil"/>
              <w:bottom w:val="single" w:sz="4" w:space="0" w:color="auto"/>
              <w:right w:val="single" w:sz="4" w:space="0" w:color="auto"/>
            </w:tcBorders>
            <w:shd w:val="clear" w:color="auto" w:fill="auto"/>
            <w:noWrap/>
            <w:vAlign w:val="bottom"/>
            <w:hideMark/>
          </w:tcPr>
          <w:p w:rsidR="005972D9" w:rsidRPr="005972D9" w:rsidRDefault="005972D9" w:rsidP="005972D9">
            <w:r w:rsidRPr="005972D9">
              <w:rPr>
                <w:sz w:val="22"/>
              </w:rPr>
              <w:t>-0.1915</w:t>
            </w:r>
          </w:p>
        </w:tc>
      </w:tr>
      <w:tr w:rsidR="005972D9" w:rsidRPr="005972D9" w:rsidTr="005972D9">
        <w:trPr>
          <w:trHeight w:val="300"/>
        </w:trPr>
        <w:tc>
          <w:tcPr>
            <w:tcW w:w="1895" w:type="dxa"/>
            <w:tcBorders>
              <w:top w:val="nil"/>
              <w:left w:val="single" w:sz="4" w:space="0" w:color="auto"/>
              <w:bottom w:val="single" w:sz="4" w:space="0" w:color="auto"/>
              <w:right w:val="single" w:sz="4" w:space="0" w:color="auto"/>
            </w:tcBorders>
            <w:shd w:val="clear" w:color="auto" w:fill="auto"/>
            <w:noWrap/>
            <w:vAlign w:val="bottom"/>
            <w:hideMark/>
          </w:tcPr>
          <w:p w:rsidR="005972D9" w:rsidRPr="005972D9" w:rsidRDefault="005972D9" w:rsidP="005972D9">
            <w:r w:rsidRPr="005972D9">
              <w:t>Median</w:t>
            </w:r>
          </w:p>
        </w:tc>
        <w:tc>
          <w:tcPr>
            <w:tcW w:w="2061" w:type="dxa"/>
            <w:tcBorders>
              <w:top w:val="nil"/>
              <w:left w:val="nil"/>
              <w:bottom w:val="single" w:sz="4" w:space="0" w:color="auto"/>
              <w:right w:val="single" w:sz="4" w:space="0" w:color="auto"/>
            </w:tcBorders>
            <w:shd w:val="clear" w:color="auto" w:fill="auto"/>
            <w:noWrap/>
            <w:vAlign w:val="bottom"/>
            <w:hideMark/>
          </w:tcPr>
          <w:p w:rsidR="005972D9" w:rsidRPr="005972D9" w:rsidRDefault="005972D9" w:rsidP="005972D9">
            <w:r w:rsidRPr="005972D9">
              <w:rPr>
                <w:sz w:val="22"/>
              </w:rPr>
              <w:t>4.4400</w:t>
            </w:r>
          </w:p>
        </w:tc>
        <w:tc>
          <w:tcPr>
            <w:tcW w:w="1340" w:type="dxa"/>
            <w:tcBorders>
              <w:top w:val="nil"/>
              <w:left w:val="nil"/>
              <w:bottom w:val="single" w:sz="4" w:space="0" w:color="auto"/>
              <w:right w:val="single" w:sz="4" w:space="0" w:color="auto"/>
            </w:tcBorders>
            <w:shd w:val="clear" w:color="auto" w:fill="auto"/>
            <w:noWrap/>
            <w:vAlign w:val="bottom"/>
            <w:hideMark/>
          </w:tcPr>
          <w:p w:rsidR="005972D9" w:rsidRPr="005972D9" w:rsidRDefault="005972D9" w:rsidP="005972D9">
            <w:r w:rsidRPr="005972D9">
              <w:rPr>
                <w:sz w:val="22"/>
              </w:rPr>
              <w:t>5.230</w:t>
            </w:r>
          </w:p>
        </w:tc>
        <w:tc>
          <w:tcPr>
            <w:tcW w:w="1340" w:type="dxa"/>
            <w:tcBorders>
              <w:top w:val="nil"/>
              <w:left w:val="nil"/>
              <w:bottom w:val="single" w:sz="4" w:space="0" w:color="auto"/>
              <w:right w:val="single" w:sz="4" w:space="0" w:color="auto"/>
            </w:tcBorders>
            <w:shd w:val="clear" w:color="auto" w:fill="auto"/>
            <w:noWrap/>
            <w:vAlign w:val="bottom"/>
            <w:hideMark/>
          </w:tcPr>
          <w:p w:rsidR="005972D9" w:rsidRPr="005972D9" w:rsidRDefault="005972D9" w:rsidP="005972D9">
            <w:r w:rsidRPr="005972D9">
              <w:rPr>
                <w:sz w:val="22"/>
              </w:rPr>
              <w:t>5.400</w:t>
            </w:r>
          </w:p>
        </w:tc>
        <w:tc>
          <w:tcPr>
            <w:tcW w:w="1340" w:type="dxa"/>
            <w:tcBorders>
              <w:top w:val="nil"/>
              <w:left w:val="nil"/>
              <w:bottom w:val="single" w:sz="4" w:space="0" w:color="auto"/>
              <w:right w:val="single" w:sz="4" w:space="0" w:color="auto"/>
            </w:tcBorders>
            <w:shd w:val="clear" w:color="auto" w:fill="auto"/>
            <w:noWrap/>
            <w:vAlign w:val="bottom"/>
            <w:hideMark/>
          </w:tcPr>
          <w:p w:rsidR="005972D9" w:rsidRPr="005972D9" w:rsidRDefault="005972D9" w:rsidP="005972D9">
            <w:r w:rsidRPr="005972D9">
              <w:rPr>
                <w:sz w:val="22"/>
              </w:rPr>
              <w:t>5.930</w:t>
            </w:r>
          </w:p>
        </w:tc>
        <w:tc>
          <w:tcPr>
            <w:tcW w:w="1340" w:type="dxa"/>
            <w:tcBorders>
              <w:top w:val="nil"/>
              <w:left w:val="nil"/>
              <w:bottom w:val="single" w:sz="4" w:space="0" w:color="auto"/>
              <w:right w:val="single" w:sz="4" w:space="0" w:color="auto"/>
            </w:tcBorders>
            <w:shd w:val="clear" w:color="auto" w:fill="auto"/>
            <w:noWrap/>
            <w:vAlign w:val="bottom"/>
            <w:hideMark/>
          </w:tcPr>
          <w:p w:rsidR="005972D9" w:rsidRPr="005972D9" w:rsidRDefault="005972D9" w:rsidP="005972D9">
            <w:r w:rsidRPr="005972D9">
              <w:rPr>
                <w:sz w:val="22"/>
              </w:rPr>
              <w:t>8.850</w:t>
            </w:r>
          </w:p>
        </w:tc>
      </w:tr>
      <w:tr w:rsidR="005972D9" w:rsidRPr="005972D9" w:rsidTr="005972D9">
        <w:trPr>
          <w:trHeight w:val="300"/>
        </w:trPr>
        <w:tc>
          <w:tcPr>
            <w:tcW w:w="1895" w:type="dxa"/>
            <w:tcBorders>
              <w:top w:val="nil"/>
              <w:left w:val="single" w:sz="4" w:space="0" w:color="auto"/>
              <w:bottom w:val="single" w:sz="4" w:space="0" w:color="auto"/>
              <w:right w:val="single" w:sz="4" w:space="0" w:color="auto"/>
            </w:tcBorders>
            <w:shd w:val="clear" w:color="auto" w:fill="auto"/>
            <w:noWrap/>
            <w:vAlign w:val="bottom"/>
            <w:hideMark/>
          </w:tcPr>
          <w:p w:rsidR="005972D9" w:rsidRPr="005972D9" w:rsidRDefault="005972D9" w:rsidP="005972D9">
            <w:r w:rsidRPr="005972D9">
              <w:t>Mode</w:t>
            </w:r>
          </w:p>
        </w:tc>
        <w:tc>
          <w:tcPr>
            <w:tcW w:w="2061" w:type="dxa"/>
            <w:tcBorders>
              <w:top w:val="nil"/>
              <w:left w:val="nil"/>
              <w:bottom w:val="single" w:sz="4" w:space="0" w:color="auto"/>
              <w:right w:val="single" w:sz="4" w:space="0" w:color="auto"/>
            </w:tcBorders>
            <w:shd w:val="clear" w:color="auto" w:fill="auto"/>
            <w:noWrap/>
            <w:vAlign w:val="bottom"/>
            <w:hideMark/>
          </w:tcPr>
          <w:p w:rsidR="005972D9" w:rsidRPr="005972D9" w:rsidRDefault="005972D9" w:rsidP="005972D9">
            <w:r w:rsidRPr="005972D9">
              <w:rPr>
                <w:sz w:val="22"/>
              </w:rPr>
              <w:t>5.2200</w:t>
            </w:r>
          </w:p>
        </w:tc>
        <w:tc>
          <w:tcPr>
            <w:tcW w:w="1340" w:type="dxa"/>
            <w:tcBorders>
              <w:top w:val="nil"/>
              <w:left w:val="nil"/>
              <w:bottom w:val="single" w:sz="4" w:space="0" w:color="auto"/>
              <w:right w:val="single" w:sz="4" w:space="0" w:color="auto"/>
            </w:tcBorders>
            <w:shd w:val="clear" w:color="auto" w:fill="auto"/>
            <w:noWrap/>
            <w:vAlign w:val="bottom"/>
            <w:hideMark/>
          </w:tcPr>
          <w:p w:rsidR="005972D9" w:rsidRPr="005972D9" w:rsidRDefault="005972D9" w:rsidP="005972D9">
            <w:r w:rsidRPr="005972D9">
              <w:rPr>
                <w:sz w:val="22"/>
              </w:rPr>
              <w:t>7.240</w:t>
            </w:r>
          </w:p>
        </w:tc>
        <w:tc>
          <w:tcPr>
            <w:tcW w:w="1340" w:type="dxa"/>
            <w:tcBorders>
              <w:top w:val="nil"/>
              <w:left w:val="nil"/>
              <w:bottom w:val="single" w:sz="4" w:space="0" w:color="auto"/>
              <w:right w:val="single" w:sz="4" w:space="0" w:color="auto"/>
            </w:tcBorders>
            <w:shd w:val="clear" w:color="auto" w:fill="auto"/>
            <w:noWrap/>
            <w:vAlign w:val="bottom"/>
            <w:hideMark/>
          </w:tcPr>
          <w:p w:rsidR="005972D9" w:rsidRPr="005972D9" w:rsidRDefault="005972D9" w:rsidP="005972D9">
            <w:r w:rsidRPr="005972D9">
              <w:rPr>
                <w:sz w:val="22"/>
              </w:rPr>
              <w:t>7.750</w:t>
            </w:r>
          </w:p>
        </w:tc>
        <w:tc>
          <w:tcPr>
            <w:tcW w:w="1340" w:type="dxa"/>
            <w:tcBorders>
              <w:top w:val="nil"/>
              <w:left w:val="nil"/>
              <w:bottom w:val="single" w:sz="4" w:space="0" w:color="auto"/>
              <w:right w:val="single" w:sz="4" w:space="0" w:color="auto"/>
            </w:tcBorders>
            <w:shd w:val="clear" w:color="auto" w:fill="auto"/>
            <w:noWrap/>
            <w:vAlign w:val="bottom"/>
            <w:hideMark/>
          </w:tcPr>
          <w:p w:rsidR="005972D9" w:rsidRPr="005972D9" w:rsidRDefault="005972D9" w:rsidP="005972D9">
            <w:r w:rsidRPr="005972D9">
              <w:rPr>
                <w:sz w:val="22"/>
              </w:rPr>
              <w:t>8.680</w:t>
            </w:r>
          </w:p>
        </w:tc>
        <w:tc>
          <w:tcPr>
            <w:tcW w:w="1340" w:type="dxa"/>
            <w:tcBorders>
              <w:top w:val="nil"/>
              <w:left w:val="nil"/>
              <w:bottom w:val="single" w:sz="4" w:space="0" w:color="auto"/>
              <w:right w:val="single" w:sz="4" w:space="0" w:color="auto"/>
            </w:tcBorders>
            <w:shd w:val="clear" w:color="auto" w:fill="auto"/>
            <w:noWrap/>
            <w:vAlign w:val="bottom"/>
            <w:hideMark/>
          </w:tcPr>
          <w:p w:rsidR="005972D9" w:rsidRPr="005972D9" w:rsidRDefault="005972D9" w:rsidP="005972D9">
            <w:r w:rsidRPr="005972D9">
              <w:rPr>
                <w:sz w:val="22"/>
              </w:rPr>
              <w:t>9.540</w:t>
            </w:r>
          </w:p>
        </w:tc>
      </w:tr>
      <w:tr w:rsidR="005972D9" w:rsidRPr="005972D9" w:rsidTr="005972D9">
        <w:trPr>
          <w:trHeight w:val="300"/>
        </w:trPr>
        <w:tc>
          <w:tcPr>
            <w:tcW w:w="1895" w:type="dxa"/>
            <w:tcBorders>
              <w:top w:val="nil"/>
              <w:left w:val="single" w:sz="4" w:space="0" w:color="auto"/>
              <w:bottom w:val="single" w:sz="4" w:space="0" w:color="auto"/>
              <w:right w:val="single" w:sz="4" w:space="0" w:color="auto"/>
            </w:tcBorders>
            <w:shd w:val="clear" w:color="auto" w:fill="auto"/>
            <w:noWrap/>
            <w:vAlign w:val="bottom"/>
            <w:hideMark/>
          </w:tcPr>
          <w:p w:rsidR="005972D9" w:rsidRPr="005972D9" w:rsidRDefault="005972D9" w:rsidP="005972D9">
            <w:r w:rsidRPr="005972D9">
              <w:t>Minimum</w:t>
            </w:r>
          </w:p>
        </w:tc>
        <w:tc>
          <w:tcPr>
            <w:tcW w:w="2061" w:type="dxa"/>
            <w:tcBorders>
              <w:top w:val="nil"/>
              <w:left w:val="nil"/>
              <w:bottom w:val="single" w:sz="4" w:space="0" w:color="auto"/>
              <w:right w:val="single" w:sz="4" w:space="0" w:color="auto"/>
            </w:tcBorders>
            <w:shd w:val="clear" w:color="auto" w:fill="auto"/>
            <w:noWrap/>
            <w:vAlign w:val="bottom"/>
            <w:hideMark/>
          </w:tcPr>
          <w:p w:rsidR="005972D9" w:rsidRPr="005972D9" w:rsidRDefault="005972D9" w:rsidP="005972D9">
            <w:r w:rsidRPr="005972D9">
              <w:rPr>
                <w:sz w:val="22"/>
              </w:rPr>
              <w:t>3.8900</w:t>
            </w:r>
          </w:p>
        </w:tc>
        <w:tc>
          <w:tcPr>
            <w:tcW w:w="1340" w:type="dxa"/>
            <w:tcBorders>
              <w:top w:val="nil"/>
              <w:left w:val="nil"/>
              <w:bottom w:val="single" w:sz="4" w:space="0" w:color="auto"/>
              <w:right w:val="single" w:sz="4" w:space="0" w:color="auto"/>
            </w:tcBorders>
            <w:shd w:val="clear" w:color="auto" w:fill="auto"/>
            <w:noWrap/>
            <w:vAlign w:val="bottom"/>
            <w:hideMark/>
          </w:tcPr>
          <w:p w:rsidR="005972D9" w:rsidRPr="005972D9" w:rsidRDefault="005972D9" w:rsidP="005972D9">
            <w:r w:rsidRPr="005972D9">
              <w:rPr>
                <w:sz w:val="22"/>
              </w:rPr>
              <w:t>4.430</w:t>
            </w:r>
          </w:p>
        </w:tc>
        <w:tc>
          <w:tcPr>
            <w:tcW w:w="1340" w:type="dxa"/>
            <w:tcBorders>
              <w:top w:val="nil"/>
              <w:left w:val="nil"/>
              <w:bottom w:val="single" w:sz="4" w:space="0" w:color="auto"/>
              <w:right w:val="single" w:sz="4" w:space="0" w:color="auto"/>
            </w:tcBorders>
            <w:shd w:val="clear" w:color="auto" w:fill="auto"/>
            <w:noWrap/>
            <w:vAlign w:val="bottom"/>
            <w:hideMark/>
          </w:tcPr>
          <w:p w:rsidR="005972D9" w:rsidRPr="005972D9" w:rsidRDefault="005972D9" w:rsidP="005972D9">
            <w:r w:rsidRPr="005972D9">
              <w:rPr>
                <w:sz w:val="22"/>
              </w:rPr>
              <w:t>4.790</w:t>
            </w:r>
          </w:p>
        </w:tc>
        <w:tc>
          <w:tcPr>
            <w:tcW w:w="1340" w:type="dxa"/>
            <w:tcBorders>
              <w:top w:val="nil"/>
              <w:left w:val="nil"/>
              <w:bottom w:val="single" w:sz="4" w:space="0" w:color="auto"/>
              <w:right w:val="single" w:sz="4" w:space="0" w:color="auto"/>
            </w:tcBorders>
            <w:shd w:val="clear" w:color="auto" w:fill="auto"/>
            <w:noWrap/>
            <w:vAlign w:val="bottom"/>
            <w:hideMark/>
          </w:tcPr>
          <w:p w:rsidR="005972D9" w:rsidRPr="005972D9" w:rsidRDefault="005972D9" w:rsidP="005972D9">
            <w:r w:rsidRPr="005972D9">
              <w:rPr>
                <w:sz w:val="22"/>
              </w:rPr>
              <w:t>5.410</w:t>
            </w:r>
          </w:p>
        </w:tc>
        <w:tc>
          <w:tcPr>
            <w:tcW w:w="1340" w:type="dxa"/>
            <w:tcBorders>
              <w:top w:val="nil"/>
              <w:left w:val="nil"/>
              <w:bottom w:val="single" w:sz="4" w:space="0" w:color="auto"/>
              <w:right w:val="single" w:sz="4" w:space="0" w:color="auto"/>
            </w:tcBorders>
            <w:shd w:val="clear" w:color="auto" w:fill="auto"/>
            <w:noWrap/>
            <w:vAlign w:val="bottom"/>
            <w:hideMark/>
          </w:tcPr>
          <w:p w:rsidR="005972D9" w:rsidRPr="005972D9" w:rsidRDefault="005972D9" w:rsidP="005972D9">
            <w:r w:rsidRPr="005972D9">
              <w:rPr>
                <w:sz w:val="22"/>
              </w:rPr>
              <w:t>5.970</w:t>
            </w:r>
          </w:p>
        </w:tc>
      </w:tr>
      <w:tr w:rsidR="005972D9" w:rsidRPr="005972D9" w:rsidTr="005972D9">
        <w:trPr>
          <w:trHeight w:val="300"/>
        </w:trPr>
        <w:tc>
          <w:tcPr>
            <w:tcW w:w="1895" w:type="dxa"/>
            <w:tcBorders>
              <w:top w:val="nil"/>
              <w:left w:val="single" w:sz="4" w:space="0" w:color="auto"/>
              <w:bottom w:val="single" w:sz="4" w:space="0" w:color="auto"/>
              <w:right w:val="single" w:sz="4" w:space="0" w:color="auto"/>
            </w:tcBorders>
            <w:shd w:val="clear" w:color="auto" w:fill="auto"/>
            <w:noWrap/>
            <w:vAlign w:val="bottom"/>
            <w:hideMark/>
          </w:tcPr>
          <w:p w:rsidR="005972D9" w:rsidRPr="005972D9" w:rsidRDefault="005972D9" w:rsidP="005972D9">
            <w:r w:rsidRPr="005972D9">
              <w:t>Maximum</w:t>
            </w:r>
          </w:p>
        </w:tc>
        <w:tc>
          <w:tcPr>
            <w:tcW w:w="2061" w:type="dxa"/>
            <w:tcBorders>
              <w:top w:val="nil"/>
              <w:left w:val="nil"/>
              <w:bottom w:val="single" w:sz="4" w:space="0" w:color="auto"/>
              <w:right w:val="single" w:sz="4" w:space="0" w:color="auto"/>
            </w:tcBorders>
            <w:shd w:val="clear" w:color="auto" w:fill="auto"/>
            <w:noWrap/>
            <w:vAlign w:val="bottom"/>
            <w:hideMark/>
          </w:tcPr>
          <w:p w:rsidR="005972D9" w:rsidRPr="005972D9" w:rsidRDefault="005972D9" w:rsidP="005972D9">
            <w:r w:rsidRPr="005972D9">
              <w:rPr>
                <w:sz w:val="22"/>
              </w:rPr>
              <w:t>5.2200</w:t>
            </w:r>
          </w:p>
        </w:tc>
        <w:tc>
          <w:tcPr>
            <w:tcW w:w="1340" w:type="dxa"/>
            <w:tcBorders>
              <w:top w:val="nil"/>
              <w:left w:val="nil"/>
              <w:bottom w:val="single" w:sz="4" w:space="0" w:color="auto"/>
              <w:right w:val="single" w:sz="4" w:space="0" w:color="auto"/>
            </w:tcBorders>
            <w:shd w:val="clear" w:color="auto" w:fill="auto"/>
            <w:noWrap/>
            <w:vAlign w:val="bottom"/>
            <w:hideMark/>
          </w:tcPr>
          <w:p w:rsidR="005972D9" w:rsidRPr="005972D9" w:rsidRDefault="005972D9" w:rsidP="005972D9">
            <w:r w:rsidRPr="005972D9">
              <w:rPr>
                <w:sz w:val="22"/>
              </w:rPr>
              <w:t>7.240</w:t>
            </w:r>
          </w:p>
        </w:tc>
        <w:tc>
          <w:tcPr>
            <w:tcW w:w="1340" w:type="dxa"/>
            <w:tcBorders>
              <w:top w:val="nil"/>
              <w:left w:val="nil"/>
              <w:bottom w:val="single" w:sz="4" w:space="0" w:color="auto"/>
              <w:right w:val="single" w:sz="4" w:space="0" w:color="auto"/>
            </w:tcBorders>
            <w:shd w:val="clear" w:color="auto" w:fill="auto"/>
            <w:noWrap/>
            <w:vAlign w:val="bottom"/>
            <w:hideMark/>
          </w:tcPr>
          <w:p w:rsidR="005972D9" w:rsidRPr="005972D9" w:rsidRDefault="005972D9" w:rsidP="005972D9">
            <w:r w:rsidRPr="005972D9">
              <w:rPr>
                <w:sz w:val="22"/>
              </w:rPr>
              <w:t>7.750</w:t>
            </w:r>
          </w:p>
        </w:tc>
        <w:tc>
          <w:tcPr>
            <w:tcW w:w="1340" w:type="dxa"/>
            <w:tcBorders>
              <w:top w:val="nil"/>
              <w:left w:val="nil"/>
              <w:bottom w:val="single" w:sz="4" w:space="0" w:color="auto"/>
              <w:right w:val="single" w:sz="4" w:space="0" w:color="auto"/>
            </w:tcBorders>
            <w:shd w:val="clear" w:color="auto" w:fill="auto"/>
            <w:noWrap/>
            <w:vAlign w:val="bottom"/>
            <w:hideMark/>
          </w:tcPr>
          <w:p w:rsidR="005972D9" w:rsidRPr="005972D9" w:rsidRDefault="005972D9" w:rsidP="005972D9">
            <w:r w:rsidRPr="005972D9">
              <w:rPr>
                <w:sz w:val="22"/>
              </w:rPr>
              <w:t>8.680</w:t>
            </w:r>
          </w:p>
        </w:tc>
        <w:tc>
          <w:tcPr>
            <w:tcW w:w="1340" w:type="dxa"/>
            <w:tcBorders>
              <w:top w:val="nil"/>
              <w:left w:val="nil"/>
              <w:bottom w:val="single" w:sz="4" w:space="0" w:color="auto"/>
              <w:right w:val="single" w:sz="4" w:space="0" w:color="auto"/>
            </w:tcBorders>
            <w:shd w:val="clear" w:color="auto" w:fill="auto"/>
            <w:noWrap/>
            <w:vAlign w:val="bottom"/>
            <w:hideMark/>
          </w:tcPr>
          <w:p w:rsidR="005972D9" w:rsidRPr="005972D9" w:rsidRDefault="005972D9" w:rsidP="005972D9">
            <w:r w:rsidRPr="005972D9">
              <w:rPr>
                <w:sz w:val="22"/>
              </w:rPr>
              <w:t>9.560</w:t>
            </w:r>
          </w:p>
        </w:tc>
      </w:tr>
      <w:tr w:rsidR="005972D9" w:rsidRPr="005972D9" w:rsidTr="005972D9">
        <w:trPr>
          <w:trHeight w:val="300"/>
        </w:trPr>
        <w:tc>
          <w:tcPr>
            <w:tcW w:w="1895" w:type="dxa"/>
            <w:tcBorders>
              <w:top w:val="nil"/>
              <w:left w:val="single" w:sz="4" w:space="0" w:color="auto"/>
              <w:bottom w:val="single" w:sz="4" w:space="0" w:color="auto"/>
              <w:right w:val="single" w:sz="4" w:space="0" w:color="auto"/>
            </w:tcBorders>
            <w:shd w:val="clear" w:color="auto" w:fill="auto"/>
            <w:noWrap/>
            <w:vAlign w:val="bottom"/>
            <w:hideMark/>
          </w:tcPr>
          <w:p w:rsidR="005972D9" w:rsidRPr="005972D9" w:rsidRDefault="005972D9" w:rsidP="005972D9">
            <w:r w:rsidRPr="005972D9">
              <w:t>Range</w:t>
            </w:r>
          </w:p>
        </w:tc>
        <w:tc>
          <w:tcPr>
            <w:tcW w:w="2061" w:type="dxa"/>
            <w:tcBorders>
              <w:top w:val="nil"/>
              <w:left w:val="nil"/>
              <w:bottom w:val="single" w:sz="4" w:space="0" w:color="auto"/>
              <w:right w:val="single" w:sz="4" w:space="0" w:color="auto"/>
            </w:tcBorders>
            <w:shd w:val="clear" w:color="auto" w:fill="auto"/>
            <w:noWrap/>
            <w:vAlign w:val="bottom"/>
            <w:hideMark/>
          </w:tcPr>
          <w:p w:rsidR="005972D9" w:rsidRPr="005972D9" w:rsidRDefault="005972D9" w:rsidP="005972D9">
            <w:r w:rsidRPr="005972D9">
              <w:rPr>
                <w:sz w:val="22"/>
              </w:rPr>
              <w:t>1.3300</w:t>
            </w:r>
          </w:p>
        </w:tc>
        <w:tc>
          <w:tcPr>
            <w:tcW w:w="1340" w:type="dxa"/>
            <w:tcBorders>
              <w:top w:val="nil"/>
              <w:left w:val="nil"/>
              <w:bottom w:val="single" w:sz="4" w:space="0" w:color="auto"/>
              <w:right w:val="single" w:sz="4" w:space="0" w:color="auto"/>
            </w:tcBorders>
            <w:shd w:val="clear" w:color="auto" w:fill="auto"/>
            <w:noWrap/>
            <w:vAlign w:val="bottom"/>
            <w:hideMark/>
          </w:tcPr>
          <w:p w:rsidR="005972D9" w:rsidRPr="005972D9" w:rsidRDefault="005972D9" w:rsidP="005972D9">
            <w:r w:rsidRPr="005972D9">
              <w:rPr>
                <w:sz w:val="22"/>
              </w:rPr>
              <w:t>2.810</w:t>
            </w:r>
          </w:p>
        </w:tc>
        <w:tc>
          <w:tcPr>
            <w:tcW w:w="1340" w:type="dxa"/>
            <w:tcBorders>
              <w:top w:val="nil"/>
              <w:left w:val="nil"/>
              <w:bottom w:val="single" w:sz="4" w:space="0" w:color="auto"/>
              <w:right w:val="single" w:sz="4" w:space="0" w:color="auto"/>
            </w:tcBorders>
            <w:shd w:val="clear" w:color="auto" w:fill="auto"/>
            <w:noWrap/>
            <w:vAlign w:val="bottom"/>
            <w:hideMark/>
          </w:tcPr>
          <w:p w:rsidR="005972D9" w:rsidRPr="005972D9" w:rsidRDefault="005972D9" w:rsidP="005972D9">
            <w:r w:rsidRPr="005972D9">
              <w:rPr>
                <w:sz w:val="22"/>
              </w:rPr>
              <w:t>2.960</w:t>
            </w:r>
          </w:p>
        </w:tc>
        <w:tc>
          <w:tcPr>
            <w:tcW w:w="1340" w:type="dxa"/>
            <w:tcBorders>
              <w:top w:val="nil"/>
              <w:left w:val="nil"/>
              <w:bottom w:val="single" w:sz="4" w:space="0" w:color="auto"/>
              <w:right w:val="single" w:sz="4" w:space="0" w:color="auto"/>
            </w:tcBorders>
            <w:shd w:val="clear" w:color="auto" w:fill="auto"/>
            <w:noWrap/>
            <w:vAlign w:val="bottom"/>
            <w:hideMark/>
          </w:tcPr>
          <w:p w:rsidR="005972D9" w:rsidRPr="005972D9" w:rsidRDefault="005972D9" w:rsidP="005972D9">
            <w:r w:rsidRPr="005972D9">
              <w:rPr>
                <w:sz w:val="22"/>
              </w:rPr>
              <w:t>3.270</w:t>
            </w:r>
          </w:p>
        </w:tc>
        <w:tc>
          <w:tcPr>
            <w:tcW w:w="1340" w:type="dxa"/>
            <w:tcBorders>
              <w:top w:val="nil"/>
              <w:left w:val="nil"/>
              <w:bottom w:val="single" w:sz="4" w:space="0" w:color="auto"/>
              <w:right w:val="single" w:sz="4" w:space="0" w:color="auto"/>
            </w:tcBorders>
            <w:shd w:val="clear" w:color="auto" w:fill="auto"/>
            <w:noWrap/>
            <w:vAlign w:val="bottom"/>
            <w:hideMark/>
          </w:tcPr>
          <w:p w:rsidR="005972D9" w:rsidRPr="005972D9" w:rsidRDefault="005972D9" w:rsidP="005972D9">
            <w:r w:rsidRPr="005972D9">
              <w:rPr>
                <w:sz w:val="22"/>
              </w:rPr>
              <w:t>3.590</w:t>
            </w:r>
          </w:p>
        </w:tc>
      </w:tr>
      <w:tr w:rsidR="005972D9" w:rsidRPr="005972D9" w:rsidTr="005972D9">
        <w:trPr>
          <w:trHeight w:val="300"/>
        </w:trPr>
        <w:tc>
          <w:tcPr>
            <w:tcW w:w="1895" w:type="dxa"/>
            <w:tcBorders>
              <w:top w:val="nil"/>
              <w:left w:val="single" w:sz="4" w:space="0" w:color="auto"/>
              <w:bottom w:val="single" w:sz="4" w:space="0" w:color="auto"/>
              <w:right w:val="single" w:sz="4" w:space="0" w:color="auto"/>
            </w:tcBorders>
            <w:shd w:val="clear" w:color="auto" w:fill="auto"/>
            <w:noWrap/>
            <w:vAlign w:val="bottom"/>
            <w:hideMark/>
          </w:tcPr>
          <w:p w:rsidR="005972D9" w:rsidRPr="005972D9" w:rsidRDefault="005972D9" w:rsidP="005972D9">
            <w:r w:rsidRPr="005972D9">
              <w:t>1st Quartile</w:t>
            </w:r>
          </w:p>
        </w:tc>
        <w:tc>
          <w:tcPr>
            <w:tcW w:w="2061" w:type="dxa"/>
            <w:tcBorders>
              <w:top w:val="nil"/>
              <w:left w:val="nil"/>
              <w:bottom w:val="single" w:sz="4" w:space="0" w:color="auto"/>
              <w:right w:val="single" w:sz="4" w:space="0" w:color="auto"/>
            </w:tcBorders>
            <w:shd w:val="clear" w:color="auto" w:fill="auto"/>
            <w:noWrap/>
            <w:vAlign w:val="bottom"/>
            <w:hideMark/>
          </w:tcPr>
          <w:p w:rsidR="005972D9" w:rsidRPr="005972D9" w:rsidRDefault="005972D9" w:rsidP="005972D9">
            <w:r w:rsidRPr="005972D9">
              <w:rPr>
                <w:sz w:val="22"/>
              </w:rPr>
              <w:t>4.4300</w:t>
            </w:r>
          </w:p>
        </w:tc>
        <w:tc>
          <w:tcPr>
            <w:tcW w:w="1340" w:type="dxa"/>
            <w:tcBorders>
              <w:top w:val="nil"/>
              <w:left w:val="nil"/>
              <w:bottom w:val="single" w:sz="4" w:space="0" w:color="auto"/>
              <w:right w:val="single" w:sz="4" w:space="0" w:color="auto"/>
            </w:tcBorders>
            <w:shd w:val="clear" w:color="auto" w:fill="auto"/>
            <w:noWrap/>
            <w:vAlign w:val="bottom"/>
            <w:hideMark/>
          </w:tcPr>
          <w:p w:rsidR="005972D9" w:rsidRPr="005972D9" w:rsidRDefault="005972D9" w:rsidP="005972D9">
            <w:r w:rsidRPr="005972D9">
              <w:rPr>
                <w:sz w:val="22"/>
              </w:rPr>
              <w:t>4.990</w:t>
            </w:r>
          </w:p>
        </w:tc>
        <w:tc>
          <w:tcPr>
            <w:tcW w:w="1340" w:type="dxa"/>
            <w:tcBorders>
              <w:top w:val="nil"/>
              <w:left w:val="nil"/>
              <w:bottom w:val="single" w:sz="4" w:space="0" w:color="auto"/>
              <w:right w:val="single" w:sz="4" w:space="0" w:color="auto"/>
            </w:tcBorders>
            <w:shd w:val="clear" w:color="auto" w:fill="auto"/>
            <w:noWrap/>
            <w:vAlign w:val="bottom"/>
            <w:hideMark/>
          </w:tcPr>
          <w:p w:rsidR="005972D9" w:rsidRPr="005972D9" w:rsidRDefault="005972D9" w:rsidP="005972D9">
            <w:r w:rsidRPr="005972D9">
              <w:rPr>
                <w:sz w:val="22"/>
              </w:rPr>
              <w:t>5.350</w:t>
            </w:r>
          </w:p>
        </w:tc>
        <w:tc>
          <w:tcPr>
            <w:tcW w:w="1340" w:type="dxa"/>
            <w:tcBorders>
              <w:top w:val="nil"/>
              <w:left w:val="nil"/>
              <w:bottom w:val="single" w:sz="4" w:space="0" w:color="auto"/>
              <w:right w:val="single" w:sz="4" w:space="0" w:color="auto"/>
            </w:tcBorders>
            <w:shd w:val="clear" w:color="auto" w:fill="auto"/>
            <w:noWrap/>
            <w:vAlign w:val="bottom"/>
            <w:hideMark/>
          </w:tcPr>
          <w:p w:rsidR="005972D9" w:rsidRPr="005972D9" w:rsidRDefault="005972D9" w:rsidP="005972D9">
            <w:r w:rsidRPr="005972D9">
              <w:rPr>
                <w:sz w:val="22"/>
              </w:rPr>
              <w:t>5.930</w:t>
            </w:r>
          </w:p>
        </w:tc>
        <w:tc>
          <w:tcPr>
            <w:tcW w:w="1340" w:type="dxa"/>
            <w:tcBorders>
              <w:top w:val="nil"/>
              <w:left w:val="nil"/>
              <w:bottom w:val="single" w:sz="4" w:space="0" w:color="auto"/>
              <w:right w:val="single" w:sz="4" w:space="0" w:color="auto"/>
            </w:tcBorders>
            <w:shd w:val="clear" w:color="auto" w:fill="auto"/>
            <w:noWrap/>
            <w:vAlign w:val="bottom"/>
            <w:hideMark/>
          </w:tcPr>
          <w:p w:rsidR="005972D9" w:rsidRPr="005972D9" w:rsidRDefault="005972D9" w:rsidP="005972D9">
            <w:r w:rsidRPr="005972D9">
              <w:rPr>
                <w:sz w:val="22"/>
              </w:rPr>
              <w:t>6.610</w:t>
            </w:r>
          </w:p>
        </w:tc>
      </w:tr>
      <w:tr w:rsidR="005972D9" w:rsidRPr="005972D9" w:rsidTr="005972D9">
        <w:trPr>
          <w:trHeight w:val="300"/>
        </w:trPr>
        <w:tc>
          <w:tcPr>
            <w:tcW w:w="1895" w:type="dxa"/>
            <w:tcBorders>
              <w:top w:val="nil"/>
              <w:left w:val="single" w:sz="4" w:space="0" w:color="auto"/>
              <w:bottom w:val="single" w:sz="4" w:space="0" w:color="auto"/>
              <w:right w:val="single" w:sz="4" w:space="0" w:color="auto"/>
            </w:tcBorders>
            <w:shd w:val="clear" w:color="auto" w:fill="auto"/>
            <w:noWrap/>
            <w:vAlign w:val="bottom"/>
            <w:hideMark/>
          </w:tcPr>
          <w:p w:rsidR="005972D9" w:rsidRPr="005972D9" w:rsidRDefault="005972D9" w:rsidP="005972D9">
            <w:r w:rsidRPr="005972D9">
              <w:t>3rd Quartile</w:t>
            </w:r>
          </w:p>
        </w:tc>
        <w:tc>
          <w:tcPr>
            <w:tcW w:w="2061" w:type="dxa"/>
            <w:tcBorders>
              <w:top w:val="nil"/>
              <w:left w:val="nil"/>
              <w:bottom w:val="single" w:sz="4" w:space="0" w:color="auto"/>
              <w:right w:val="single" w:sz="4" w:space="0" w:color="auto"/>
            </w:tcBorders>
            <w:shd w:val="clear" w:color="auto" w:fill="auto"/>
            <w:noWrap/>
            <w:vAlign w:val="bottom"/>
            <w:hideMark/>
          </w:tcPr>
          <w:p w:rsidR="005972D9" w:rsidRPr="005972D9" w:rsidRDefault="005972D9" w:rsidP="005972D9">
            <w:r w:rsidRPr="005972D9">
              <w:rPr>
                <w:sz w:val="22"/>
              </w:rPr>
              <w:t>5.2200</w:t>
            </w:r>
          </w:p>
        </w:tc>
        <w:tc>
          <w:tcPr>
            <w:tcW w:w="1340" w:type="dxa"/>
            <w:tcBorders>
              <w:top w:val="nil"/>
              <w:left w:val="nil"/>
              <w:bottom w:val="single" w:sz="4" w:space="0" w:color="auto"/>
              <w:right w:val="single" w:sz="4" w:space="0" w:color="auto"/>
            </w:tcBorders>
            <w:shd w:val="clear" w:color="auto" w:fill="auto"/>
            <w:noWrap/>
            <w:vAlign w:val="bottom"/>
            <w:hideMark/>
          </w:tcPr>
          <w:p w:rsidR="005972D9" w:rsidRPr="005972D9" w:rsidRDefault="005972D9" w:rsidP="005972D9">
            <w:r w:rsidRPr="005972D9">
              <w:rPr>
                <w:sz w:val="22"/>
              </w:rPr>
              <w:t>7.240</w:t>
            </w:r>
          </w:p>
        </w:tc>
        <w:tc>
          <w:tcPr>
            <w:tcW w:w="1340" w:type="dxa"/>
            <w:tcBorders>
              <w:top w:val="nil"/>
              <w:left w:val="nil"/>
              <w:bottom w:val="single" w:sz="4" w:space="0" w:color="auto"/>
              <w:right w:val="single" w:sz="4" w:space="0" w:color="auto"/>
            </w:tcBorders>
            <w:shd w:val="clear" w:color="auto" w:fill="auto"/>
            <w:noWrap/>
            <w:vAlign w:val="bottom"/>
            <w:hideMark/>
          </w:tcPr>
          <w:p w:rsidR="005972D9" w:rsidRPr="005972D9" w:rsidRDefault="005972D9" w:rsidP="005972D9">
            <w:r w:rsidRPr="005972D9">
              <w:rPr>
                <w:sz w:val="22"/>
              </w:rPr>
              <w:t>7.750</w:t>
            </w:r>
          </w:p>
        </w:tc>
        <w:tc>
          <w:tcPr>
            <w:tcW w:w="1340" w:type="dxa"/>
            <w:tcBorders>
              <w:top w:val="nil"/>
              <w:left w:val="nil"/>
              <w:bottom w:val="single" w:sz="4" w:space="0" w:color="auto"/>
              <w:right w:val="single" w:sz="4" w:space="0" w:color="auto"/>
            </w:tcBorders>
            <w:shd w:val="clear" w:color="auto" w:fill="auto"/>
            <w:noWrap/>
            <w:vAlign w:val="bottom"/>
            <w:hideMark/>
          </w:tcPr>
          <w:p w:rsidR="005972D9" w:rsidRPr="005972D9" w:rsidRDefault="005972D9" w:rsidP="005972D9">
            <w:r w:rsidRPr="005972D9">
              <w:rPr>
                <w:sz w:val="22"/>
              </w:rPr>
              <w:t>8.680</w:t>
            </w:r>
          </w:p>
        </w:tc>
        <w:tc>
          <w:tcPr>
            <w:tcW w:w="1340" w:type="dxa"/>
            <w:tcBorders>
              <w:top w:val="nil"/>
              <w:left w:val="nil"/>
              <w:bottom w:val="single" w:sz="4" w:space="0" w:color="auto"/>
              <w:right w:val="single" w:sz="4" w:space="0" w:color="auto"/>
            </w:tcBorders>
            <w:shd w:val="clear" w:color="auto" w:fill="auto"/>
            <w:noWrap/>
            <w:vAlign w:val="bottom"/>
            <w:hideMark/>
          </w:tcPr>
          <w:p w:rsidR="005972D9" w:rsidRPr="005972D9" w:rsidRDefault="005972D9" w:rsidP="005972D9">
            <w:r w:rsidRPr="005972D9">
              <w:rPr>
                <w:sz w:val="22"/>
              </w:rPr>
              <w:t>9.540</w:t>
            </w:r>
          </w:p>
        </w:tc>
      </w:tr>
    </w:tbl>
    <w:p w:rsidR="0086156B" w:rsidRDefault="0086156B" w:rsidP="00C023D6">
      <w:pPr>
        <w:rPr>
          <w:rFonts w:cs="Times New Roman"/>
          <w:szCs w:val="24"/>
        </w:rPr>
      </w:pPr>
    </w:p>
    <w:p w:rsidR="00AE7FE2" w:rsidRPr="00C023D6" w:rsidRDefault="00AE7FE2" w:rsidP="00C023D6">
      <w:pPr>
        <w:rPr>
          <w:rFonts w:cs="Times New Roman"/>
          <w:szCs w:val="24"/>
        </w:rPr>
      </w:pPr>
      <w:r>
        <w:rPr>
          <w:rFonts w:cs="Times New Roman"/>
          <w:szCs w:val="24"/>
        </w:rPr>
        <w:t xml:space="preserve">Table 2 depicts the partial duration of the portfolio. The partial duration calculation is based on the selected zero-coupon yield curve for the chosen maturities based on the median corresponding percentages and a very small (1%) change </w:t>
      </w:r>
      <w:r w:rsidR="009F3FD5">
        <w:rPr>
          <w:rFonts w:cs="Times New Roman"/>
          <w:szCs w:val="24"/>
        </w:rPr>
        <w:t xml:space="preserve">for each point on the zero </w:t>
      </w:r>
      <w:proofErr w:type="gramStart"/>
      <w:r w:rsidR="009F3FD5">
        <w:rPr>
          <w:rFonts w:cs="Times New Roman"/>
          <w:szCs w:val="24"/>
        </w:rPr>
        <w:t>curve</w:t>
      </w:r>
      <w:proofErr w:type="gramEnd"/>
      <w:r w:rsidR="009F3FD5">
        <w:rPr>
          <w:rFonts w:cs="Times New Roman"/>
          <w:szCs w:val="24"/>
        </w:rPr>
        <w:t xml:space="preserve">. Rates on the shifted curve are calculated using linear interpolation. </w:t>
      </w:r>
    </w:p>
    <w:p w:rsidR="00EB3AC1" w:rsidRPr="00015EA3" w:rsidRDefault="00F11B0E" w:rsidP="00C50AF6">
      <w:pPr>
        <w:rPr>
          <w:u w:val="single"/>
        </w:rPr>
      </w:pPr>
      <w:r w:rsidRPr="00F11B0E">
        <w:rPr>
          <w:u w:val="single"/>
        </w:rPr>
        <w:t>Table 2: Partial Duration</w:t>
      </w:r>
      <w:r w:rsidR="00015EA3">
        <w:rPr>
          <w:u w:val="single"/>
        </w:rPr>
        <w:t xml:space="preserve"> for the Portfolio</w:t>
      </w:r>
    </w:p>
    <w:tbl>
      <w:tblPr>
        <w:tblW w:w="8675" w:type="dxa"/>
        <w:tblInd w:w="103" w:type="dxa"/>
        <w:tblLook w:val="04A0"/>
      </w:tblPr>
      <w:tblGrid>
        <w:gridCol w:w="1606"/>
        <w:gridCol w:w="1747"/>
        <w:gridCol w:w="1141"/>
        <w:gridCol w:w="1141"/>
        <w:gridCol w:w="1141"/>
        <w:gridCol w:w="1141"/>
        <w:gridCol w:w="758"/>
      </w:tblGrid>
      <w:tr w:rsidR="00A96594" w:rsidRPr="00015EA3" w:rsidTr="00A96594">
        <w:trPr>
          <w:trHeight w:val="282"/>
        </w:trPr>
        <w:tc>
          <w:tcPr>
            <w:tcW w:w="16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6594" w:rsidRPr="00015EA3" w:rsidRDefault="00A96594" w:rsidP="00FA0E8E">
            <w:pPr>
              <w:rPr>
                <w:szCs w:val="24"/>
              </w:rPr>
            </w:pPr>
            <w:r w:rsidRPr="00015EA3">
              <w:rPr>
                <w:szCs w:val="24"/>
              </w:rPr>
              <w:t>Maturities</w:t>
            </w:r>
          </w:p>
        </w:tc>
        <w:tc>
          <w:tcPr>
            <w:tcW w:w="1747" w:type="dxa"/>
            <w:tcBorders>
              <w:top w:val="single" w:sz="4" w:space="0" w:color="auto"/>
              <w:left w:val="nil"/>
              <w:bottom w:val="single" w:sz="4" w:space="0" w:color="auto"/>
              <w:right w:val="single" w:sz="4" w:space="0" w:color="auto"/>
            </w:tcBorders>
            <w:shd w:val="clear" w:color="auto" w:fill="auto"/>
            <w:noWrap/>
            <w:vAlign w:val="bottom"/>
            <w:hideMark/>
          </w:tcPr>
          <w:p w:rsidR="00A96594" w:rsidRPr="00015EA3" w:rsidRDefault="00A96594" w:rsidP="00FA0E8E">
            <w:pPr>
              <w:rPr>
                <w:szCs w:val="24"/>
              </w:rPr>
            </w:pPr>
            <w:r w:rsidRPr="00015EA3">
              <w:rPr>
                <w:szCs w:val="24"/>
              </w:rPr>
              <w:t>3 Months</w:t>
            </w:r>
          </w:p>
        </w:tc>
        <w:tc>
          <w:tcPr>
            <w:tcW w:w="1141" w:type="dxa"/>
            <w:tcBorders>
              <w:top w:val="single" w:sz="4" w:space="0" w:color="auto"/>
              <w:left w:val="nil"/>
              <w:bottom w:val="single" w:sz="4" w:space="0" w:color="auto"/>
              <w:right w:val="single" w:sz="4" w:space="0" w:color="auto"/>
            </w:tcBorders>
            <w:shd w:val="clear" w:color="auto" w:fill="auto"/>
            <w:noWrap/>
            <w:vAlign w:val="bottom"/>
            <w:hideMark/>
          </w:tcPr>
          <w:p w:rsidR="00A96594" w:rsidRPr="00015EA3" w:rsidRDefault="00A96594" w:rsidP="00FA0E8E">
            <w:pPr>
              <w:rPr>
                <w:szCs w:val="24"/>
              </w:rPr>
            </w:pPr>
            <w:r w:rsidRPr="00015EA3">
              <w:rPr>
                <w:szCs w:val="24"/>
              </w:rPr>
              <w:t>6</w:t>
            </w:r>
            <w:r>
              <w:rPr>
                <w:szCs w:val="24"/>
              </w:rPr>
              <w:t xml:space="preserve"> </w:t>
            </w:r>
            <w:r w:rsidRPr="00015EA3">
              <w:rPr>
                <w:szCs w:val="24"/>
              </w:rPr>
              <w:t>Months</w:t>
            </w:r>
          </w:p>
        </w:tc>
        <w:tc>
          <w:tcPr>
            <w:tcW w:w="1141" w:type="dxa"/>
            <w:tcBorders>
              <w:top w:val="single" w:sz="4" w:space="0" w:color="auto"/>
              <w:left w:val="nil"/>
              <w:bottom w:val="single" w:sz="4" w:space="0" w:color="auto"/>
              <w:right w:val="single" w:sz="4" w:space="0" w:color="auto"/>
            </w:tcBorders>
            <w:shd w:val="clear" w:color="auto" w:fill="auto"/>
            <w:noWrap/>
            <w:vAlign w:val="bottom"/>
            <w:hideMark/>
          </w:tcPr>
          <w:p w:rsidR="00A96594" w:rsidRPr="00015EA3" w:rsidRDefault="00A96594" w:rsidP="00FA0E8E">
            <w:pPr>
              <w:rPr>
                <w:szCs w:val="24"/>
              </w:rPr>
            </w:pPr>
            <w:r w:rsidRPr="00015EA3">
              <w:rPr>
                <w:szCs w:val="24"/>
              </w:rPr>
              <w:t>1Y</w:t>
            </w:r>
            <w:r>
              <w:rPr>
                <w:szCs w:val="24"/>
              </w:rPr>
              <w:t>ea</w:t>
            </w:r>
            <w:r w:rsidRPr="00015EA3">
              <w:rPr>
                <w:szCs w:val="24"/>
              </w:rPr>
              <w:t>r</w:t>
            </w:r>
          </w:p>
        </w:tc>
        <w:tc>
          <w:tcPr>
            <w:tcW w:w="1141" w:type="dxa"/>
            <w:tcBorders>
              <w:top w:val="single" w:sz="4" w:space="0" w:color="auto"/>
              <w:left w:val="nil"/>
              <w:bottom w:val="single" w:sz="4" w:space="0" w:color="auto"/>
              <w:right w:val="single" w:sz="4" w:space="0" w:color="auto"/>
            </w:tcBorders>
            <w:shd w:val="clear" w:color="auto" w:fill="auto"/>
            <w:noWrap/>
            <w:vAlign w:val="bottom"/>
            <w:hideMark/>
          </w:tcPr>
          <w:p w:rsidR="00A96594" w:rsidRPr="00015EA3" w:rsidRDefault="00A96594" w:rsidP="00FA0E8E">
            <w:pPr>
              <w:rPr>
                <w:szCs w:val="24"/>
              </w:rPr>
            </w:pPr>
            <w:r w:rsidRPr="00015EA3">
              <w:rPr>
                <w:szCs w:val="24"/>
              </w:rPr>
              <w:t>2</w:t>
            </w:r>
            <w:r>
              <w:rPr>
                <w:szCs w:val="24"/>
              </w:rPr>
              <w:t xml:space="preserve"> </w:t>
            </w:r>
            <w:r w:rsidRPr="00015EA3">
              <w:rPr>
                <w:szCs w:val="24"/>
              </w:rPr>
              <w:t>Y</w:t>
            </w:r>
            <w:r>
              <w:rPr>
                <w:szCs w:val="24"/>
              </w:rPr>
              <w:t>ea</w:t>
            </w:r>
            <w:r w:rsidRPr="00015EA3">
              <w:rPr>
                <w:szCs w:val="24"/>
              </w:rPr>
              <w:t>rs</w:t>
            </w:r>
          </w:p>
        </w:tc>
        <w:tc>
          <w:tcPr>
            <w:tcW w:w="1141" w:type="dxa"/>
            <w:tcBorders>
              <w:top w:val="single" w:sz="4" w:space="0" w:color="auto"/>
              <w:left w:val="nil"/>
              <w:bottom w:val="single" w:sz="4" w:space="0" w:color="auto"/>
              <w:right w:val="single" w:sz="4" w:space="0" w:color="auto"/>
            </w:tcBorders>
            <w:shd w:val="clear" w:color="auto" w:fill="auto"/>
            <w:noWrap/>
            <w:vAlign w:val="bottom"/>
            <w:hideMark/>
          </w:tcPr>
          <w:p w:rsidR="00A96594" w:rsidRPr="00015EA3" w:rsidRDefault="00A96594" w:rsidP="00FA0E8E">
            <w:pPr>
              <w:rPr>
                <w:szCs w:val="24"/>
              </w:rPr>
            </w:pPr>
            <w:r w:rsidRPr="00015EA3">
              <w:rPr>
                <w:szCs w:val="24"/>
              </w:rPr>
              <w:t>3</w:t>
            </w:r>
            <w:r>
              <w:rPr>
                <w:szCs w:val="24"/>
              </w:rPr>
              <w:t xml:space="preserve"> </w:t>
            </w:r>
            <w:r w:rsidRPr="00015EA3">
              <w:rPr>
                <w:szCs w:val="24"/>
              </w:rPr>
              <w:t>Y</w:t>
            </w:r>
            <w:r>
              <w:rPr>
                <w:szCs w:val="24"/>
              </w:rPr>
              <w:t>ea</w:t>
            </w:r>
            <w:r w:rsidRPr="00015EA3">
              <w:rPr>
                <w:szCs w:val="24"/>
              </w:rPr>
              <w:t>rs</w:t>
            </w:r>
          </w:p>
        </w:tc>
        <w:tc>
          <w:tcPr>
            <w:tcW w:w="758" w:type="dxa"/>
            <w:tcBorders>
              <w:top w:val="single" w:sz="4" w:space="0" w:color="auto"/>
              <w:left w:val="nil"/>
              <w:bottom w:val="single" w:sz="4" w:space="0" w:color="auto"/>
              <w:right w:val="single" w:sz="4" w:space="0" w:color="auto"/>
            </w:tcBorders>
          </w:tcPr>
          <w:p w:rsidR="00A96594" w:rsidRPr="00015EA3" w:rsidRDefault="00A96594" w:rsidP="00FA0E8E">
            <w:pPr>
              <w:rPr>
                <w:szCs w:val="24"/>
              </w:rPr>
            </w:pPr>
            <w:r>
              <w:rPr>
                <w:szCs w:val="24"/>
              </w:rPr>
              <w:t>Total</w:t>
            </w:r>
          </w:p>
        </w:tc>
      </w:tr>
      <w:tr w:rsidR="00A96594" w:rsidRPr="00015EA3" w:rsidTr="00A96594">
        <w:trPr>
          <w:trHeight w:val="282"/>
        </w:trPr>
        <w:tc>
          <w:tcPr>
            <w:tcW w:w="1606" w:type="dxa"/>
            <w:tcBorders>
              <w:top w:val="nil"/>
              <w:left w:val="single" w:sz="4" w:space="0" w:color="auto"/>
              <w:bottom w:val="single" w:sz="4" w:space="0" w:color="auto"/>
              <w:right w:val="single" w:sz="4" w:space="0" w:color="auto"/>
            </w:tcBorders>
            <w:shd w:val="clear" w:color="auto" w:fill="auto"/>
            <w:noWrap/>
            <w:vAlign w:val="bottom"/>
            <w:hideMark/>
          </w:tcPr>
          <w:p w:rsidR="00A96594" w:rsidRPr="00015EA3" w:rsidRDefault="00A96594" w:rsidP="00FA0E8E">
            <w:pPr>
              <w:rPr>
                <w:szCs w:val="24"/>
              </w:rPr>
            </w:pPr>
            <w:r w:rsidRPr="00015EA3">
              <w:rPr>
                <w:szCs w:val="24"/>
              </w:rPr>
              <w:lastRenderedPageBreak/>
              <w:t>Duration</w:t>
            </w:r>
            <w:r>
              <w:rPr>
                <w:szCs w:val="24"/>
              </w:rPr>
              <w:t xml:space="preserve"> (D</w:t>
            </w:r>
            <w:r w:rsidRPr="00E504CE">
              <w:rPr>
                <w:szCs w:val="24"/>
                <w:vertAlign w:val="subscript"/>
              </w:rPr>
              <w:t>i</w:t>
            </w:r>
            <w:r>
              <w:rPr>
                <w:szCs w:val="24"/>
              </w:rPr>
              <w:t>)</w:t>
            </w:r>
          </w:p>
        </w:tc>
        <w:tc>
          <w:tcPr>
            <w:tcW w:w="1747" w:type="dxa"/>
            <w:tcBorders>
              <w:top w:val="nil"/>
              <w:left w:val="nil"/>
              <w:bottom w:val="single" w:sz="4" w:space="0" w:color="auto"/>
              <w:right w:val="single" w:sz="4" w:space="0" w:color="auto"/>
            </w:tcBorders>
            <w:shd w:val="clear" w:color="auto" w:fill="auto"/>
            <w:noWrap/>
            <w:vAlign w:val="bottom"/>
            <w:hideMark/>
          </w:tcPr>
          <w:p w:rsidR="00A96594" w:rsidRPr="00015EA3" w:rsidRDefault="00A96594" w:rsidP="00FA0E8E">
            <w:pPr>
              <w:rPr>
                <w:szCs w:val="24"/>
              </w:rPr>
            </w:pPr>
            <w:r>
              <w:rPr>
                <w:szCs w:val="24"/>
              </w:rPr>
              <w:t>0.1</w:t>
            </w:r>
          </w:p>
        </w:tc>
        <w:tc>
          <w:tcPr>
            <w:tcW w:w="1141" w:type="dxa"/>
            <w:tcBorders>
              <w:top w:val="nil"/>
              <w:left w:val="nil"/>
              <w:bottom w:val="single" w:sz="4" w:space="0" w:color="auto"/>
              <w:right w:val="single" w:sz="4" w:space="0" w:color="auto"/>
            </w:tcBorders>
            <w:shd w:val="clear" w:color="auto" w:fill="auto"/>
            <w:noWrap/>
            <w:vAlign w:val="bottom"/>
            <w:hideMark/>
          </w:tcPr>
          <w:p w:rsidR="00A96594" w:rsidRPr="00015EA3" w:rsidRDefault="00A96594" w:rsidP="00FA0E8E">
            <w:pPr>
              <w:rPr>
                <w:szCs w:val="24"/>
              </w:rPr>
            </w:pPr>
            <w:r>
              <w:rPr>
                <w:szCs w:val="24"/>
              </w:rPr>
              <w:t>0.12</w:t>
            </w:r>
          </w:p>
        </w:tc>
        <w:tc>
          <w:tcPr>
            <w:tcW w:w="1141" w:type="dxa"/>
            <w:tcBorders>
              <w:top w:val="nil"/>
              <w:left w:val="nil"/>
              <w:bottom w:val="single" w:sz="4" w:space="0" w:color="auto"/>
              <w:right w:val="single" w:sz="4" w:space="0" w:color="auto"/>
            </w:tcBorders>
            <w:shd w:val="clear" w:color="auto" w:fill="auto"/>
            <w:noWrap/>
            <w:vAlign w:val="bottom"/>
            <w:hideMark/>
          </w:tcPr>
          <w:p w:rsidR="00A96594" w:rsidRPr="00015EA3" w:rsidRDefault="00A96594" w:rsidP="00FA0E8E">
            <w:pPr>
              <w:rPr>
                <w:szCs w:val="24"/>
              </w:rPr>
            </w:pPr>
            <w:r>
              <w:rPr>
                <w:szCs w:val="24"/>
              </w:rPr>
              <w:t>0.2</w:t>
            </w:r>
          </w:p>
        </w:tc>
        <w:tc>
          <w:tcPr>
            <w:tcW w:w="1141" w:type="dxa"/>
            <w:tcBorders>
              <w:top w:val="nil"/>
              <w:left w:val="nil"/>
              <w:bottom w:val="single" w:sz="4" w:space="0" w:color="auto"/>
              <w:right w:val="single" w:sz="4" w:space="0" w:color="auto"/>
            </w:tcBorders>
            <w:shd w:val="clear" w:color="auto" w:fill="auto"/>
            <w:noWrap/>
            <w:vAlign w:val="bottom"/>
            <w:hideMark/>
          </w:tcPr>
          <w:p w:rsidR="00A96594" w:rsidRPr="00015EA3" w:rsidRDefault="00A96594" w:rsidP="00FA0E8E">
            <w:pPr>
              <w:rPr>
                <w:szCs w:val="24"/>
              </w:rPr>
            </w:pPr>
            <w:r>
              <w:rPr>
                <w:szCs w:val="24"/>
              </w:rPr>
              <w:t>0.6</w:t>
            </w:r>
          </w:p>
        </w:tc>
        <w:tc>
          <w:tcPr>
            <w:tcW w:w="1141" w:type="dxa"/>
            <w:tcBorders>
              <w:top w:val="nil"/>
              <w:left w:val="nil"/>
              <w:bottom w:val="single" w:sz="4" w:space="0" w:color="auto"/>
              <w:right w:val="single" w:sz="4" w:space="0" w:color="auto"/>
            </w:tcBorders>
            <w:shd w:val="clear" w:color="auto" w:fill="auto"/>
            <w:noWrap/>
            <w:vAlign w:val="bottom"/>
            <w:hideMark/>
          </w:tcPr>
          <w:p w:rsidR="00A96594" w:rsidRPr="00015EA3" w:rsidRDefault="00A96594" w:rsidP="00FA0E8E">
            <w:pPr>
              <w:rPr>
                <w:szCs w:val="24"/>
              </w:rPr>
            </w:pPr>
            <w:r>
              <w:rPr>
                <w:szCs w:val="24"/>
              </w:rPr>
              <w:t>1.2</w:t>
            </w:r>
          </w:p>
        </w:tc>
        <w:tc>
          <w:tcPr>
            <w:tcW w:w="758" w:type="dxa"/>
            <w:tcBorders>
              <w:top w:val="nil"/>
              <w:left w:val="nil"/>
              <w:bottom w:val="single" w:sz="4" w:space="0" w:color="auto"/>
              <w:right w:val="single" w:sz="4" w:space="0" w:color="auto"/>
            </w:tcBorders>
          </w:tcPr>
          <w:p w:rsidR="00A96594" w:rsidRDefault="00A96594" w:rsidP="00FA0E8E">
            <w:pPr>
              <w:rPr>
                <w:szCs w:val="24"/>
              </w:rPr>
            </w:pPr>
            <w:r>
              <w:rPr>
                <w:szCs w:val="24"/>
              </w:rPr>
              <w:t>2.22</w:t>
            </w:r>
          </w:p>
        </w:tc>
      </w:tr>
    </w:tbl>
    <w:p w:rsidR="00E504CE" w:rsidRDefault="00E504CE" w:rsidP="00C50AF6"/>
    <w:p w:rsidR="00EB3AC1" w:rsidRPr="00E504CE" w:rsidRDefault="00E504CE" w:rsidP="00C50AF6">
      <w:pPr>
        <w:rPr>
          <w:sz w:val="32"/>
          <w:szCs w:val="32"/>
        </w:rPr>
      </w:pPr>
      <w:r w:rsidRPr="00E504CE">
        <w:rPr>
          <w:szCs w:val="24"/>
        </w:rPr>
        <w:t xml:space="preserve">Where </w:t>
      </w:r>
      <m:oMath>
        <m:sSub>
          <m:sSubPr>
            <m:ctrlPr>
              <w:rPr>
                <w:rFonts w:ascii="Cambria Math" w:hAnsi="Cambria Math"/>
                <w:i/>
                <w:szCs w:val="24"/>
              </w:rPr>
            </m:ctrlPr>
          </m:sSubPr>
          <m:e>
            <m:r>
              <w:rPr>
                <w:rFonts w:ascii="Cambria Math" w:hAnsi="Cambria Math"/>
                <w:szCs w:val="24"/>
              </w:rPr>
              <m:t>D</m:t>
            </m:r>
          </m:e>
          <m:sub>
            <m:r>
              <w:rPr>
                <w:rFonts w:ascii="Cambria Math" w:hAnsi="Cambria Math"/>
                <w:szCs w:val="24"/>
              </w:rPr>
              <m:t>i</m:t>
            </m:r>
          </m:sub>
        </m:sSub>
      </m:oMath>
      <w:r w:rsidRPr="00E504CE">
        <w:rPr>
          <w:sz w:val="32"/>
          <w:szCs w:val="32"/>
        </w:rPr>
        <w:t xml:space="preserve"> = </w:t>
      </w:r>
      <m:oMath>
        <m:r>
          <w:rPr>
            <w:rFonts w:ascii="Cambria Math" w:hAnsi="Cambria Math"/>
            <w:sz w:val="32"/>
            <w:szCs w:val="32"/>
          </w:rPr>
          <m:t>-</m:t>
        </m:r>
      </m:oMath>
      <w:r w:rsidRPr="00E504CE">
        <w:rPr>
          <w:sz w:val="32"/>
          <w:szCs w:val="32"/>
        </w:rPr>
        <w:t xml:space="preserve"> </w:t>
      </w:r>
      <m:oMath>
        <m:f>
          <m:fPr>
            <m:ctrlPr>
              <w:rPr>
                <w:rFonts w:ascii="Cambria Math" w:hAnsi="Cambria Math"/>
                <w:i/>
                <w:sz w:val="32"/>
                <w:szCs w:val="32"/>
              </w:rPr>
            </m:ctrlPr>
          </m:fPr>
          <m:num>
            <m:r>
              <w:rPr>
                <w:rFonts w:ascii="Cambria Math" w:hAnsi="Cambria Math"/>
                <w:sz w:val="32"/>
                <w:szCs w:val="32"/>
              </w:rPr>
              <m:t>1</m:t>
            </m:r>
          </m:num>
          <m:den>
            <m:r>
              <w:rPr>
                <w:rFonts w:ascii="Cambria Math" w:hAnsi="Cambria Math"/>
                <w:sz w:val="32"/>
                <w:szCs w:val="32"/>
              </w:rPr>
              <m:t>P</m:t>
            </m:r>
          </m:den>
        </m:f>
        <m:f>
          <m:fPr>
            <m:ctrlPr>
              <w:rPr>
                <w:rFonts w:ascii="Cambria Math" w:eastAsiaTheme="minorEastAsia" w:hAnsi="Cambria Math"/>
                <w:i/>
                <w:sz w:val="32"/>
                <w:szCs w:val="32"/>
              </w:rPr>
            </m:ctrlPr>
          </m:fPr>
          <m:num>
            <m:r>
              <w:rPr>
                <w:rFonts w:ascii="Cambria Math" w:eastAsiaTheme="minorEastAsia" w:hAnsi="Cambria Math"/>
                <w:sz w:val="32"/>
                <w:szCs w:val="32"/>
              </w:rPr>
              <m:t>∆</m:t>
            </m:r>
            <m:sSub>
              <m:sSubPr>
                <m:ctrlPr>
                  <w:rPr>
                    <w:rFonts w:ascii="Cambria Math" w:eastAsiaTheme="minorEastAsia" w:hAnsi="Cambria Math"/>
                    <w:i/>
                    <w:sz w:val="32"/>
                    <w:szCs w:val="32"/>
                  </w:rPr>
                </m:ctrlPr>
              </m:sSubPr>
              <m:e>
                <m:r>
                  <w:rPr>
                    <w:rFonts w:ascii="Cambria Math" w:eastAsiaTheme="minorEastAsia" w:hAnsi="Cambria Math"/>
                    <w:sz w:val="32"/>
                    <w:szCs w:val="32"/>
                  </w:rPr>
                  <m:t>P</m:t>
                </m:r>
              </m:e>
              <m:sub>
                <m:r>
                  <w:rPr>
                    <w:rFonts w:ascii="Cambria Math" w:eastAsiaTheme="minorEastAsia" w:hAnsi="Cambria Math"/>
                    <w:sz w:val="32"/>
                    <w:szCs w:val="32"/>
                  </w:rPr>
                  <m:t>i</m:t>
                </m:r>
              </m:sub>
            </m:sSub>
          </m:num>
          <m:den>
            <m:sSub>
              <m:sSubPr>
                <m:ctrlPr>
                  <w:rPr>
                    <w:rFonts w:ascii="Cambria Math" w:eastAsiaTheme="minorEastAsia" w:hAnsi="Cambria Math"/>
                    <w:i/>
                    <w:sz w:val="32"/>
                    <w:szCs w:val="32"/>
                  </w:rPr>
                </m:ctrlPr>
              </m:sSubPr>
              <m:e>
                <m:r>
                  <w:rPr>
                    <w:rFonts w:ascii="Cambria Math" w:eastAsiaTheme="minorEastAsia" w:hAnsi="Cambria Math"/>
                    <w:sz w:val="32"/>
                    <w:szCs w:val="32"/>
                  </w:rPr>
                  <m:t>∆y</m:t>
                </m:r>
              </m:e>
              <m:sub>
                <m:r>
                  <w:rPr>
                    <w:rFonts w:ascii="Cambria Math" w:eastAsiaTheme="minorEastAsia" w:hAnsi="Cambria Math"/>
                    <w:sz w:val="32"/>
                    <w:szCs w:val="32"/>
                  </w:rPr>
                  <m:t>i</m:t>
                </m:r>
              </m:sub>
            </m:sSub>
          </m:den>
        </m:f>
      </m:oMath>
    </w:p>
    <w:p w:rsidR="00B34072" w:rsidRPr="00B34072" w:rsidRDefault="00B34072" w:rsidP="00B34072">
      <w:pPr>
        <w:pStyle w:val="ListParagraph"/>
        <w:numPr>
          <w:ilvl w:val="1"/>
          <w:numId w:val="1"/>
        </w:numPr>
        <w:rPr>
          <w:rFonts w:cs="Times New Roman"/>
          <w:szCs w:val="24"/>
        </w:rPr>
      </w:pPr>
      <w:r>
        <w:rPr>
          <w:rFonts w:cs="Times New Roman"/>
          <w:szCs w:val="24"/>
        </w:rPr>
        <w:t xml:space="preserve"> Deltas for the portfolio</w:t>
      </w:r>
      <w:r w:rsidR="00775A9B">
        <w:rPr>
          <w:rFonts w:cs="Times New Roman"/>
          <w:szCs w:val="24"/>
        </w:rPr>
        <w:t xml:space="preserve"> using DV01</w:t>
      </w:r>
    </w:p>
    <w:p w:rsidR="009F0238" w:rsidRPr="00EC2908" w:rsidRDefault="008300AA" w:rsidP="009F0238">
      <w:r>
        <w:t xml:space="preserve">Analysts usually calculate several deltas to reflect their exposures to all the different </w:t>
      </w:r>
      <w:r w:rsidR="00264CF2">
        <w:t xml:space="preserve">ways in which the yield curve can move. </w:t>
      </w:r>
      <w:r w:rsidR="00CB0C3C">
        <w:t xml:space="preserve">We </w:t>
      </w:r>
      <w:r w:rsidR="00264CF2">
        <w:t>will</w:t>
      </w:r>
      <w:r w:rsidR="00CB0C3C">
        <w:t xml:space="preserve"> compute the impact of a one-basis-point change for each point on the yield curve.</w:t>
      </w:r>
      <w:r w:rsidR="0086563A">
        <w:t xml:space="preserve"> A measure related to this </w:t>
      </w:r>
      <w:r w:rsidR="005B572D">
        <w:t>delta is DV01.</w:t>
      </w:r>
      <w:r w:rsidR="00CB0C3C">
        <w:t xml:space="preserve"> </w:t>
      </w:r>
      <w:r w:rsidR="0086563A">
        <w:t>This delta is the partial duration multiplied by the value of the portfolio</w:t>
      </w:r>
      <w:r w:rsidR="005B572D">
        <w:t xml:space="preserve"> multiplied by 0.0001</w:t>
      </w:r>
      <w:r w:rsidR="00EC2908">
        <w:t xml:space="preserve"> as shown in table 3.</w:t>
      </w:r>
    </w:p>
    <w:p w:rsidR="00356D0F" w:rsidRPr="009F0238" w:rsidRDefault="009F0238" w:rsidP="00C50AF6">
      <w:pPr>
        <w:rPr>
          <w:u w:val="single"/>
        </w:rPr>
      </w:pPr>
      <w:r w:rsidRPr="00F11B0E">
        <w:rPr>
          <w:u w:val="single"/>
        </w:rPr>
        <w:t xml:space="preserve">Table </w:t>
      </w:r>
      <w:r>
        <w:rPr>
          <w:u w:val="single"/>
        </w:rPr>
        <w:t>3</w:t>
      </w:r>
      <w:r w:rsidRPr="00F11B0E">
        <w:rPr>
          <w:u w:val="single"/>
        </w:rPr>
        <w:t xml:space="preserve">: </w:t>
      </w:r>
      <w:r>
        <w:rPr>
          <w:u w:val="single"/>
        </w:rPr>
        <w:t>Deltas for the Portfolio</w:t>
      </w:r>
    </w:p>
    <w:tbl>
      <w:tblPr>
        <w:tblW w:w="7917" w:type="dxa"/>
        <w:tblInd w:w="103" w:type="dxa"/>
        <w:tblLook w:val="04A0"/>
      </w:tblPr>
      <w:tblGrid>
        <w:gridCol w:w="1606"/>
        <w:gridCol w:w="1747"/>
        <w:gridCol w:w="1141"/>
        <w:gridCol w:w="1141"/>
        <w:gridCol w:w="1141"/>
        <w:gridCol w:w="1141"/>
      </w:tblGrid>
      <w:tr w:rsidR="005B572D" w:rsidRPr="00015EA3" w:rsidTr="005B572D">
        <w:trPr>
          <w:trHeight w:val="282"/>
        </w:trPr>
        <w:tc>
          <w:tcPr>
            <w:tcW w:w="16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572D" w:rsidRPr="00015EA3" w:rsidRDefault="005B572D" w:rsidP="00FA0E8E">
            <w:pPr>
              <w:rPr>
                <w:szCs w:val="24"/>
              </w:rPr>
            </w:pPr>
            <w:r w:rsidRPr="00015EA3">
              <w:rPr>
                <w:szCs w:val="24"/>
              </w:rPr>
              <w:t>Maturities</w:t>
            </w:r>
          </w:p>
        </w:tc>
        <w:tc>
          <w:tcPr>
            <w:tcW w:w="1747" w:type="dxa"/>
            <w:tcBorders>
              <w:top w:val="single" w:sz="4" w:space="0" w:color="auto"/>
              <w:left w:val="nil"/>
              <w:bottom w:val="single" w:sz="4" w:space="0" w:color="auto"/>
              <w:right w:val="single" w:sz="4" w:space="0" w:color="auto"/>
            </w:tcBorders>
            <w:shd w:val="clear" w:color="auto" w:fill="auto"/>
            <w:noWrap/>
            <w:vAlign w:val="bottom"/>
            <w:hideMark/>
          </w:tcPr>
          <w:p w:rsidR="005B572D" w:rsidRPr="00015EA3" w:rsidRDefault="005B572D" w:rsidP="00FA0E8E">
            <w:pPr>
              <w:rPr>
                <w:szCs w:val="24"/>
              </w:rPr>
            </w:pPr>
            <w:r w:rsidRPr="00015EA3">
              <w:rPr>
                <w:szCs w:val="24"/>
              </w:rPr>
              <w:t>3 Months</w:t>
            </w:r>
          </w:p>
        </w:tc>
        <w:tc>
          <w:tcPr>
            <w:tcW w:w="1141" w:type="dxa"/>
            <w:tcBorders>
              <w:top w:val="single" w:sz="4" w:space="0" w:color="auto"/>
              <w:left w:val="nil"/>
              <w:bottom w:val="single" w:sz="4" w:space="0" w:color="auto"/>
              <w:right w:val="single" w:sz="4" w:space="0" w:color="auto"/>
            </w:tcBorders>
            <w:shd w:val="clear" w:color="auto" w:fill="auto"/>
            <w:noWrap/>
            <w:vAlign w:val="bottom"/>
            <w:hideMark/>
          </w:tcPr>
          <w:p w:rsidR="005B572D" w:rsidRPr="00015EA3" w:rsidRDefault="005B572D" w:rsidP="00FA0E8E">
            <w:pPr>
              <w:rPr>
                <w:szCs w:val="24"/>
              </w:rPr>
            </w:pPr>
            <w:r w:rsidRPr="00015EA3">
              <w:rPr>
                <w:szCs w:val="24"/>
              </w:rPr>
              <w:t>6</w:t>
            </w:r>
            <w:r>
              <w:rPr>
                <w:szCs w:val="24"/>
              </w:rPr>
              <w:t xml:space="preserve"> </w:t>
            </w:r>
            <w:r w:rsidRPr="00015EA3">
              <w:rPr>
                <w:szCs w:val="24"/>
              </w:rPr>
              <w:t>Months</w:t>
            </w:r>
          </w:p>
        </w:tc>
        <w:tc>
          <w:tcPr>
            <w:tcW w:w="1141" w:type="dxa"/>
            <w:tcBorders>
              <w:top w:val="single" w:sz="4" w:space="0" w:color="auto"/>
              <w:left w:val="nil"/>
              <w:bottom w:val="single" w:sz="4" w:space="0" w:color="auto"/>
              <w:right w:val="single" w:sz="4" w:space="0" w:color="auto"/>
            </w:tcBorders>
            <w:shd w:val="clear" w:color="auto" w:fill="auto"/>
            <w:noWrap/>
            <w:vAlign w:val="bottom"/>
            <w:hideMark/>
          </w:tcPr>
          <w:p w:rsidR="005B572D" w:rsidRPr="00015EA3" w:rsidRDefault="005B572D" w:rsidP="00FA0E8E">
            <w:pPr>
              <w:rPr>
                <w:szCs w:val="24"/>
              </w:rPr>
            </w:pPr>
            <w:r w:rsidRPr="00015EA3">
              <w:rPr>
                <w:szCs w:val="24"/>
              </w:rPr>
              <w:t>1Y</w:t>
            </w:r>
            <w:r>
              <w:rPr>
                <w:szCs w:val="24"/>
              </w:rPr>
              <w:t>ea</w:t>
            </w:r>
            <w:r w:rsidRPr="00015EA3">
              <w:rPr>
                <w:szCs w:val="24"/>
              </w:rPr>
              <w:t>r</w:t>
            </w:r>
          </w:p>
        </w:tc>
        <w:tc>
          <w:tcPr>
            <w:tcW w:w="1141" w:type="dxa"/>
            <w:tcBorders>
              <w:top w:val="single" w:sz="4" w:space="0" w:color="auto"/>
              <w:left w:val="nil"/>
              <w:bottom w:val="single" w:sz="4" w:space="0" w:color="auto"/>
              <w:right w:val="single" w:sz="4" w:space="0" w:color="auto"/>
            </w:tcBorders>
            <w:shd w:val="clear" w:color="auto" w:fill="auto"/>
            <w:noWrap/>
            <w:vAlign w:val="bottom"/>
            <w:hideMark/>
          </w:tcPr>
          <w:p w:rsidR="005B572D" w:rsidRPr="00015EA3" w:rsidRDefault="005B572D" w:rsidP="00FA0E8E">
            <w:pPr>
              <w:rPr>
                <w:szCs w:val="24"/>
              </w:rPr>
            </w:pPr>
            <w:r w:rsidRPr="00015EA3">
              <w:rPr>
                <w:szCs w:val="24"/>
              </w:rPr>
              <w:t>2</w:t>
            </w:r>
            <w:r>
              <w:rPr>
                <w:szCs w:val="24"/>
              </w:rPr>
              <w:t xml:space="preserve"> </w:t>
            </w:r>
            <w:r w:rsidRPr="00015EA3">
              <w:rPr>
                <w:szCs w:val="24"/>
              </w:rPr>
              <w:t>Y</w:t>
            </w:r>
            <w:r>
              <w:rPr>
                <w:szCs w:val="24"/>
              </w:rPr>
              <w:t>ea</w:t>
            </w:r>
            <w:r w:rsidRPr="00015EA3">
              <w:rPr>
                <w:szCs w:val="24"/>
              </w:rPr>
              <w:t>rs</w:t>
            </w:r>
          </w:p>
        </w:tc>
        <w:tc>
          <w:tcPr>
            <w:tcW w:w="1141" w:type="dxa"/>
            <w:tcBorders>
              <w:top w:val="single" w:sz="4" w:space="0" w:color="auto"/>
              <w:left w:val="nil"/>
              <w:bottom w:val="single" w:sz="4" w:space="0" w:color="auto"/>
              <w:right w:val="single" w:sz="4" w:space="0" w:color="auto"/>
            </w:tcBorders>
            <w:shd w:val="clear" w:color="auto" w:fill="auto"/>
            <w:noWrap/>
            <w:vAlign w:val="bottom"/>
            <w:hideMark/>
          </w:tcPr>
          <w:p w:rsidR="005B572D" w:rsidRPr="00015EA3" w:rsidRDefault="005B572D" w:rsidP="00FA0E8E">
            <w:pPr>
              <w:rPr>
                <w:szCs w:val="24"/>
              </w:rPr>
            </w:pPr>
            <w:r w:rsidRPr="00015EA3">
              <w:rPr>
                <w:szCs w:val="24"/>
              </w:rPr>
              <w:t>3</w:t>
            </w:r>
            <w:r>
              <w:rPr>
                <w:szCs w:val="24"/>
              </w:rPr>
              <w:t xml:space="preserve"> </w:t>
            </w:r>
            <w:r w:rsidRPr="00015EA3">
              <w:rPr>
                <w:szCs w:val="24"/>
              </w:rPr>
              <w:t>Y</w:t>
            </w:r>
            <w:r>
              <w:rPr>
                <w:szCs w:val="24"/>
              </w:rPr>
              <w:t>ea</w:t>
            </w:r>
            <w:r w:rsidRPr="00015EA3">
              <w:rPr>
                <w:szCs w:val="24"/>
              </w:rPr>
              <w:t>rs</w:t>
            </w:r>
          </w:p>
        </w:tc>
      </w:tr>
      <w:tr w:rsidR="00741DB7" w:rsidRPr="00015EA3" w:rsidTr="005B572D">
        <w:trPr>
          <w:trHeight w:val="282"/>
        </w:trPr>
        <w:tc>
          <w:tcPr>
            <w:tcW w:w="1606" w:type="dxa"/>
            <w:tcBorders>
              <w:top w:val="nil"/>
              <w:left w:val="single" w:sz="4" w:space="0" w:color="auto"/>
              <w:bottom w:val="single" w:sz="4" w:space="0" w:color="auto"/>
              <w:right w:val="single" w:sz="4" w:space="0" w:color="auto"/>
            </w:tcBorders>
            <w:shd w:val="clear" w:color="auto" w:fill="auto"/>
            <w:noWrap/>
            <w:vAlign w:val="bottom"/>
            <w:hideMark/>
          </w:tcPr>
          <w:p w:rsidR="00741DB7" w:rsidRPr="00015EA3" w:rsidRDefault="00741DB7" w:rsidP="00FA0E8E">
            <w:pPr>
              <w:rPr>
                <w:szCs w:val="24"/>
              </w:rPr>
            </w:pPr>
            <w:r>
              <w:rPr>
                <w:szCs w:val="24"/>
              </w:rPr>
              <w:t>Delta</w:t>
            </w:r>
          </w:p>
        </w:tc>
        <w:tc>
          <w:tcPr>
            <w:tcW w:w="1747" w:type="dxa"/>
            <w:tcBorders>
              <w:top w:val="nil"/>
              <w:left w:val="nil"/>
              <w:bottom w:val="single" w:sz="4" w:space="0" w:color="auto"/>
              <w:right w:val="single" w:sz="4" w:space="0" w:color="auto"/>
            </w:tcBorders>
            <w:shd w:val="clear" w:color="auto" w:fill="auto"/>
            <w:noWrap/>
            <w:vAlign w:val="bottom"/>
            <w:hideMark/>
          </w:tcPr>
          <w:p w:rsidR="00741DB7" w:rsidRDefault="00741DB7" w:rsidP="00741DB7">
            <w:r>
              <w:t>100</w:t>
            </w:r>
          </w:p>
        </w:tc>
        <w:tc>
          <w:tcPr>
            <w:tcW w:w="1141" w:type="dxa"/>
            <w:tcBorders>
              <w:top w:val="nil"/>
              <w:left w:val="nil"/>
              <w:bottom w:val="single" w:sz="4" w:space="0" w:color="auto"/>
              <w:right w:val="single" w:sz="4" w:space="0" w:color="auto"/>
            </w:tcBorders>
            <w:shd w:val="clear" w:color="auto" w:fill="auto"/>
            <w:noWrap/>
            <w:vAlign w:val="bottom"/>
            <w:hideMark/>
          </w:tcPr>
          <w:p w:rsidR="00741DB7" w:rsidRDefault="00741DB7" w:rsidP="00741DB7">
            <w:r>
              <w:t>120</w:t>
            </w:r>
          </w:p>
        </w:tc>
        <w:tc>
          <w:tcPr>
            <w:tcW w:w="1141" w:type="dxa"/>
            <w:tcBorders>
              <w:top w:val="nil"/>
              <w:left w:val="nil"/>
              <w:bottom w:val="single" w:sz="4" w:space="0" w:color="auto"/>
              <w:right w:val="single" w:sz="4" w:space="0" w:color="auto"/>
            </w:tcBorders>
            <w:shd w:val="clear" w:color="auto" w:fill="auto"/>
            <w:noWrap/>
            <w:vAlign w:val="bottom"/>
            <w:hideMark/>
          </w:tcPr>
          <w:p w:rsidR="00741DB7" w:rsidRDefault="00741DB7" w:rsidP="00741DB7">
            <w:r>
              <w:t>200</w:t>
            </w:r>
          </w:p>
        </w:tc>
        <w:tc>
          <w:tcPr>
            <w:tcW w:w="1141" w:type="dxa"/>
            <w:tcBorders>
              <w:top w:val="nil"/>
              <w:left w:val="nil"/>
              <w:bottom w:val="single" w:sz="4" w:space="0" w:color="auto"/>
              <w:right w:val="single" w:sz="4" w:space="0" w:color="auto"/>
            </w:tcBorders>
            <w:shd w:val="clear" w:color="auto" w:fill="auto"/>
            <w:noWrap/>
            <w:vAlign w:val="bottom"/>
            <w:hideMark/>
          </w:tcPr>
          <w:p w:rsidR="00741DB7" w:rsidRDefault="00741DB7" w:rsidP="00741DB7">
            <w:r>
              <w:t>600</w:t>
            </w:r>
          </w:p>
        </w:tc>
        <w:tc>
          <w:tcPr>
            <w:tcW w:w="1141" w:type="dxa"/>
            <w:tcBorders>
              <w:top w:val="nil"/>
              <w:left w:val="nil"/>
              <w:bottom w:val="single" w:sz="4" w:space="0" w:color="auto"/>
              <w:right w:val="single" w:sz="4" w:space="0" w:color="auto"/>
            </w:tcBorders>
            <w:shd w:val="clear" w:color="auto" w:fill="auto"/>
            <w:noWrap/>
            <w:vAlign w:val="bottom"/>
            <w:hideMark/>
          </w:tcPr>
          <w:p w:rsidR="00741DB7" w:rsidRDefault="00741DB7" w:rsidP="00741DB7">
            <w:r>
              <w:t>1200</w:t>
            </w:r>
          </w:p>
        </w:tc>
      </w:tr>
    </w:tbl>
    <w:p w:rsidR="00E13B5D" w:rsidRDefault="00775A9B" w:rsidP="00C50AF6">
      <w:r>
        <w:t>Unfortunately, t</w:t>
      </w:r>
      <w:r w:rsidR="00E13B5D">
        <w:t xml:space="preserve">he Lebanese banks do not </w:t>
      </w:r>
      <w:r w:rsidR="00FA0E8E">
        <w:t>use</w:t>
      </w:r>
      <w:r w:rsidR="00E13B5D">
        <w:t xml:space="preserve"> interest rate deltas</w:t>
      </w:r>
      <w:r>
        <w:t xml:space="preserve"> to hedge their portfolios despite the simple structure of those portfolios</w:t>
      </w:r>
      <w:r w:rsidR="00E13B5D">
        <w:t xml:space="preserve">. Some banks divide the yield curve </w:t>
      </w:r>
      <w:r>
        <w:t xml:space="preserve">into a number of segments to calculate the impact of changing the zero rates corresponding to each segment by one basis point while keeping all other zero rates constant. </w:t>
      </w:r>
    </w:p>
    <w:p w:rsidR="00EF2F6C" w:rsidRDefault="00EF2F6C" w:rsidP="00EF2F6C">
      <w:pPr>
        <w:pStyle w:val="ListParagraph"/>
        <w:numPr>
          <w:ilvl w:val="1"/>
          <w:numId w:val="11"/>
        </w:numPr>
        <w:rPr>
          <w:rFonts w:cs="Times New Roman"/>
          <w:szCs w:val="24"/>
        </w:rPr>
      </w:pPr>
      <w:r w:rsidRPr="00EF2F6C">
        <w:rPr>
          <w:rFonts w:cs="Times New Roman"/>
          <w:szCs w:val="24"/>
        </w:rPr>
        <w:t>Deltas for the portfolio</w:t>
      </w:r>
      <w:r>
        <w:rPr>
          <w:rFonts w:cs="Times New Roman"/>
          <w:szCs w:val="24"/>
        </w:rPr>
        <w:t xml:space="preserve"> using Principal component Analysis</w:t>
      </w:r>
    </w:p>
    <w:p w:rsidR="00EB3AC1" w:rsidRPr="00B137CD" w:rsidRDefault="00EF2F6C" w:rsidP="00C50AF6">
      <w:pPr>
        <w:rPr>
          <w:rFonts w:cs="Times New Roman"/>
          <w:szCs w:val="24"/>
        </w:rPr>
      </w:pPr>
      <w:r>
        <w:rPr>
          <w:rFonts w:cs="Times New Roman"/>
          <w:szCs w:val="24"/>
        </w:rPr>
        <w:t xml:space="preserve">Principal Component Analysis is a standard tool with many applications in risk management. It takes historical data on changes in the market variables and attempts to define a set of factors that explain the movements. </w:t>
      </w:r>
      <w:r w:rsidR="00B137CD">
        <w:rPr>
          <w:rFonts w:cs="Times New Roman"/>
          <w:szCs w:val="24"/>
        </w:rPr>
        <w:t xml:space="preserve">The aim is to replace the five variables by a smaller number of uncorrelated variables. </w:t>
      </w:r>
      <w:r w:rsidR="00F94196">
        <w:rPr>
          <w:rFonts w:cs="Times New Roman"/>
          <w:szCs w:val="24"/>
        </w:rPr>
        <w:t xml:space="preserve">The market variables we will consider are the TB rates with the above defined maturities. </w:t>
      </w:r>
      <w:r w:rsidR="00B137CD">
        <w:rPr>
          <w:rFonts w:cs="Times New Roman"/>
          <w:szCs w:val="24"/>
        </w:rPr>
        <w:t xml:space="preserve">We first calculated a covariance matrix from the data. This is an </w:t>
      </w:r>
      <w:r w:rsidR="003A3BF3">
        <w:rPr>
          <w:rFonts w:cs="Times New Roman"/>
          <w:i/>
          <w:szCs w:val="24"/>
        </w:rPr>
        <w:t>5</w:t>
      </w:r>
      <w:r w:rsidR="00B137CD" w:rsidRPr="00B137CD">
        <w:rPr>
          <w:rFonts w:cs="Times New Roman"/>
          <w:i/>
          <w:szCs w:val="24"/>
        </w:rPr>
        <w:t xml:space="preserve">x </w:t>
      </w:r>
      <w:r w:rsidR="003A3BF3">
        <w:rPr>
          <w:rFonts w:cs="Times New Roman"/>
          <w:i/>
          <w:szCs w:val="24"/>
        </w:rPr>
        <w:t>5</w:t>
      </w:r>
      <w:r w:rsidR="00B137CD" w:rsidRPr="00B137CD">
        <w:rPr>
          <w:rFonts w:cs="Times New Roman"/>
          <w:i/>
          <w:szCs w:val="24"/>
        </w:rPr>
        <w:t xml:space="preserve"> </w:t>
      </w:r>
      <w:r w:rsidR="00B137CD">
        <w:rPr>
          <w:rFonts w:cs="Times New Roman"/>
          <w:szCs w:val="24"/>
        </w:rPr>
        <w:t xml:space="preserve">matrix where </w:t>
      </w:r>
      <w:r w:rsidR="00B137CD" w:rsidRPr="00B137CD">
        <w:rPr>
          <w:rFonts w:cs="Times New Roman"/>
          <w:i/>
          <w:szCs w:val="24"/>
        </w:rPr>
        <w:t>(</w:t>
      </w:r>
      <w:proofErr w:type="spellStart"/>
      <w:r w:rsidR="00B137CD" w:rsidRPr="00B137CD">
        <w:rPr>
          <w:rFonts w:cs="Times New Roman"/>
          <w:i/>
          <w:szCs w:val="24"/>
        </w:rPr>
        <w:t>i</w:t>
      </w:r>
      <w:proofErr w:type="gramStart"/>
      <w:r w:rsidR="00B137CD" w:rsidRPr="00B137CD">
        <w:rPr>
          <w:rFonts w:cs="Times New Roman"/>
          <w:i/>
          <w:szCs w:val="24"/>
        </w:rPr>
        <w:t>,j</w:t>
      </w:r>
      <w:proofErr w:type="spellEnd"/>
      <w:proofErr w:type="gramEnd"/>
      <w:r w:rsidR="00B137CD" w:rsidRPr="00B137CD">
        <w:rPr>
          <w:rFonts w:cs="Times New Roman"/>
          <w:i/>
          <w:szCs w:val="24"/>
        </w:rPr>
        <w:t>)</w:t>
      </w:r>
      <w:r w:rsidR="00B137CD">
        <w:rPr>
          <w:rFonts w:cs="Times New Roman"/>
          <w:szCs w:val="24"/>
        </w:rPr>
        <w:t xml:space="preserve"> entry is the covariance between variable </w:t>
      </w:r>
      <w:proofErr w:type="spellStart"/>
      <w:r w:rsidR="00B137CD" w:rsidRPr="00B137CD">
        <w:rPr>
          <w:rFonts w:cs="Times New Roman"/>
          <w:i/>
          <w:szCs w:val="24"/>
        </w:rPr>
        <w:t>i</w:t>
      </w:r>
      <w:proofErr w:type="spellEnd"/>
      <w:r w:rsidR="00B137CD" w:rsidRPr="00B137CD">
        <w:rPr>
          <w:rFonts w:cs="Times New Roman"/>
          <w:i/>
          <w:szCs w:val="24"/>
        </w:rPr>
        <w:t xml:space="preserve"> </w:t>
      </w:r>
      <w:r w:rsidR="00B137CD">
        <w:rPr>
          <w:rFonts w:cs="Times New Roman"/>
          <w:szCs w:val="24"/>
        </w:rPr>
        <w:t xml:space="preserve">and variable </w:t>
      </w:r>
      <w:r w:rsidR="00B137CD" w:rsidRPr="00B137CD">
        <w:rPr>
          <w:rFonts w:cs="Times New Roman"/>
          <w:i/>
          <w:szCs w:val="24"/>
        </w:rPr>
        <w:t>j</w:t>
      </w:r>
      <w:r w:rsidR="00B137CD">
        <w:rPr>
          <w:rFonts w:cs="Times New Roman"/>
          <w:szCs w:val="24"/>
        </w:rPr>
        <w:t xml:space="preserve">. We then calculated the eigenvectors and </w:t>
      </w:r>
      <w:proofErr w:type="spellStart"/>
      <w:r w:rsidR="00B137CD">
        <w:rPr>
          <w:rFonts w:cs="Times New Roman"/>
          <w:szCs w:val="24"/>
        </w:rPr>
        <w:t>eigenvalues</w:t>
      </w:r>
      <w:proofErr w:type="spellEnd"/>
      <w:r w:rsidR="00B137CD">
        <w:rPr>
          <w:rFonts w:cs="Times New Roman"/>
          <w:szCs w:val="24"/>
        </w:rPr>
        <w:t xml:space="preserve"> for this matrix. The eigenvectors are chosen to have length 1. The eigenvector corresponding to the highest </w:t>
      </w:r>
      <w:proofErr w:type="spellStart"/>
      <w:r w:rsidR="00B137CD">
        <w:rPr>
          <w:rFonts w:cs="Times New Roman"/>
          <w:szCs w:val="24"/>
        </w:rPr>
        <w:t>eigenvalue</w:t>
      </w:r>
      <w:proofErr w:type="spellEnd"/>
      <w:r w:rsidR="00B137CD">
        <w:rPr>
          <w:rFonts w:cs="Times New Roman"/>
          <w:szCs w:val="24"/>
        </w:rPr>
        <w:t xml:space="preserve"> is the first principal component. </w:t>
      </w:r>
    </w:p>
    <w:p w:rsidR="00435A50" w:rsidRPr="00435A50" w:rsidRDefault="00313E4A" w:rsidP="00C50AF6">
      <w:pPr>
        <w:rPr>
          <w:rFonts w:cs="Times New Roman"/>
          <w:szCs w:val="24"/>
        </w:rPr>
      </w:pPr>
      <w:r>
        <w:rPr>
          <w:rFonts w:cs="Times New Roman"/>
          <w:szCs w:val="24"/>
        </w:rPr>
        <w:t xml:space="preserve">The interest rate move for a particular factor is the factor loading. Factor loadings have the property that the sum of their squares for each factor is 1.0. </w:t>
      </w:r>
      <w:r w:rsidR="00043626">
        <w:rPr>
          <w:rFonts w:cs="Times New Roman"/>
          <w:szCs w:val="24"/>
        </w:rPr>
        <w:t xml:space="preserve">The interest rate changes observed on any month is expressed as a linear sum of the factors by solving a set of five simultaneous equations. </w:t>
      </w:r>
      <w:r w:rsidR="00435A50">
        <w:rPr>
          <w:rFonts w:cs="Times New Roman"/>
          <w:szCs w:val="24"/>
        </w:rPr>
        <w:t xml:space="preserve">The first factor, PC1, in table </w:t>
      </w:r>
      <w:r w:rsidR="0086156B">
        <w:rPr>
          <w:rFonts w:cs="Times New Roman"/>
          <w:szCs w:val="24"/>
        </w:rPr>
        <w:t xml:space="preserve">4 </w:t>
      </w:r>
      <w:r w:rsidR="00C930D1">
        <w:rPr>
          <w:rFonts w:cs="Times New Roman"/>
          <w:szCs w:val="24"/>
        </w:rPr>
        <w:t xml:space="preserve">corresponds to a </w:t>
      </w:r>
      <w:r w:rsidR="007C1C78">
        <w:rPr>
          <w:rFonts w:cs="Times New Roman"/>
          <w:szCs w:val="24"/>
        </w:rPr>
        <w:t xml:space="preserve">parallel shift in the yield curve. One unit of that factor makes the 3-month rate increase by 0.352 basis points, the 6-month rate increase by 0.542 basis points, the one, two and three-year rates by 0.517, 0.529, and 0.181 basis </w:t>
      </w:r>
      <w:r w:rsidR="007C1C78">
        <w:rPr>
          <w:rFonts w:cs="Times New Roman"/>
          <w:szCs w:val="24"/>
        </w:rPr>
        <w:lastRenderedPageBreak/>
        <w:t xml:space="preserve">points respectively. The second factor corresponds to a change of slope of the yield curve. </w:t>
      </w:r>
      <w:r w:rsidR="00004D6B">
        <w:rPr>
          <w:rFonts w:cs="Times New Roman"/>
          <w:szCs w:val="24"/>
        </w:rPr>
        <w:t xml:space="preserve">Rates between 3 months and 1 year move in one direction, the remaining move in the other direction. </w:t>
      </w:r>
      <w:r>
        <w:rPr>
          <w:rFonts w:cs="Times New Roman"/>
          <w:szCs w:val="24"/>
        </w:rPr>
        <w:t>The third factor</w:t>
      </w:r>
      <w:r w:rsidR="00043626">
        <w:rPr>
          <w:rFonts w:cs="Times New Roman"/>
          <w:szCs w:val="24"/>
        </w:rPr>
        <w:t xml:space="preserve"> is obviously not significant. This is shown by the standard deviation of its factor score. The standard deviations of the factor scores are shown in table 5 and the factors are listed in order of their importance. </w:t>
      </w:r>
      <w:r w:rsidR="0098090C">
        <w:rPr>
          <w:rFonts w:cs="Times New Roman"/>
          <w:szCs w:val="24"/>
        </w:rPr>
        <w:t>It can be seen that the first factor accounts for 57.46% of the variance</w:t>
      </w:r>
      <w:r w:rsidR="0098090C">
        <w:rPr>
          <w:rStyle w:val="FootnoteReference"/>
          <w:rFonts w:cs="Times New Roman"/>
          <w:szCs w:val="24"/>
        </w:rPr>
        <w:footnoteReference w:id="5"/>
      </w:r>
      <w:r w:rsidR="0098090C">
        <w:rPr>
          <w:rFonts w:cs="Times New Roman"/>
          <w:szCs w:val="24"/>
        </w:rPr>
        <w:t xml:space="preserve"> in the original data and the first two factors account for 95% of the variance. </w:t>
      </w:r>
    </w:p>
    <w:p w:rsidR="00EB3AC1" w:rsidRPr="00D91D72" w:rsidRDefault="00435A50" w:rsidP="00C50AF6">
      <w:pPr>
        <w:rPr>
          <w:u w:val="single"/>
        </w:rPr>
      </w:pPr>
      <w:r w:rsidRPr="00F11B0E">
        <w:rPr>
          <w:u w:val="single"/>
        </w:rPr>
        <w:t xml:space="preserve">Table </w:t>
      </w:r>
      <w:r>
        <w:rPr>
          <w:u w:val="single"/>
        </w:rPr>
        <w:t>4</w:t>
      </w:r>
      <w:r w:rsidRPr="00F11B0E">
        <w:rPr>
          <w:u w:val="single"/>
        </w:rPr>
        <w:t xml:space="preserve">: </w:t>
      </w:r>
      <w:r>
        <w:rPr>
          <w:u w:val="single"/>
        </w:rPr>
        <w:t>Eigenvector Factor Loadings</w:t>
      </w:r>
      <w:r w:rsidR="00313E4A">
        <w:rPr>
          <w:rStyle w:val="FootnoteReference"/>
          <w:u w:val="single"/>
        </w:rPr>
        <w:footnoteReference w:id="6"/>
      </w:r>
      <w:r>
        <w:rPr>
          <w:u w:val="single"/>
        </w:rPr>
        <w:t xml:space="preserve"> for TBs Data</w:t>
      </w:r>
    </w:p>
    <w:tbl>
      <w:tblPr>
        <w:tblW w:w="644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82"/>
        <w:gridCol w:w="1053"/>
        <w:gridCol w:w="1053"/>
        <w:gridCol w:w="1053"/>
        <w:gridCol w:w="1053"/>
        <w:gridCol w:w="1053"/>
      </w:tblGrid>
      <w:tr w:rsidR="00435A50" w:rsidRPr="00435A50" w:rsidTr="00435A50">
        <w:trPr>
          <w:trHeight w:val="300"/>
        </w:trPr>
        <w:tc>
          <w:tcPr>
            <w:tcW w:w="1182" w:type="dxa"/>
            <w:shd w:val="clear" w:color="auto" w:fill="auto"/>
            <w:noWrap/>
            <w:vAlign w:val="bottom"/>
            <w:hideMark/>
          </w:tcPr>
          <w:p w:rsidR="00435A50" w:rsidRPr="00435A50" w:rsidRDefault="00435A50" w:rsidP="00435A50">
            <w:pPr>
              <w:spacing w:before="0" w:after="0" w:line="240" w:lineRule="auto"/>
              <w:jc w:val="left"/>
              <w:rPr>
                <w:rFonts w:ascii="Calibri" w:eastAsia="Times New Roman" w:hAnsi="Calibri" w:cs="Times New Roman"/>
                <w:color w:val="000000"/>
              </w:rPr>
            </w:pPr>
            <w:r w:rsidRPr="00435A50">
              <w:rPr>
                <w:rFonts w:ascii="Calibri" w:eastAsia="Times New Roman" w:hAnsi="Calibri" w:cs="Times New Roman"/>
                <w:color w:val="000000"/>
                <w:sz w:val="22"/>
              </w:rPr>
              <w:t> </w:t>
            </w:r>
          </w:p>
        </w:tc>
        <w:tc>
          <w:tcPr>
            <w:tcW w:w="1053" w:type="dxa"/>
            <w:shd w:val="clear" w:color="auto" w:fill="auto"/>
            <w:noWrap/>
            <w:vAlign w:val="bottom"/>
            <w:hideMark/>
          </w:tcPr>
          <w:p w:rsidR="00435A50" w:rsidRPr="00435A50" w:rsidRDefault="00435A50" w:rsidP="00435A50">
            <w:pPr>
              <w:spacing w:before="0" w:after="0" w:line="240" w:lineRule="auto"/>
              <w:jc w:val="left"/>
              <w:rPr>
                <w:rFonts w:ascii="Calibri" w:eastAsia="Times New Roman" w:hAnsi="Calibri" w:cs="Times New Roman"/>
                <w:color w:val="000000"/>
              </w:rPr>
            </w:pPr>
            <w:r w:rsidRPr="00435A50">
              <w:rPr>
                <w:rFonts w:ascii="Calibri" w:eastAsia="Times New Roman" w:hAnsi="Calibri" w:cs="Times New Roman"/>
                <w:color w:val="000000"/>
                <w:sz w:val="22"/>
              </w:rPr>
              <w:t>PC1</w:t>
            </w:r>
          </w:p>
        </w:tc>
        <w:tc>
          <w:tcPr>
            <w:tcW w:w="1053" w:type="dxa"/>
            <w:shd w:val="clear" w:color="auto" w:fill="auto"/>
            <w:noWrap/>
            <w:vAlign w:val="bottom"/>
            <w:hideMark/>
          </w:tcPr>
          <w:p w:rsidR="00435A50" w:rsidRPr="00435A50" w:rsidRDefault="00435A50" w:rsidP="00435A50">
            <w:pPr>
              <w:spacing w:before="0" w:after="0" w:line="240" w:lineRule="auto"/>
              <w:jc w:val="left"/>
              <w:rPr>
                <w:rFonts w:ascii="Calibri" w:eastAsia="Times New Roman" w:hAnsi="Calibri" w:cs="Times New Roman"/>
                <w:color w:val="000000"/>
              </w:rPr>
            </w:pPr>
            <w:r w:rsidRPr="00435A50">
              <w:rPr>
                <w:rFonts w:ascii="Calibri" w:eastAsia="Times New Roman" w:hAnsi="Calibri" w:cs="Times New Roman"/>
                <w:color w:val="000000"/>
                <w:sz w:val="22"/>
              </w:rPr>
              <w:t>PC2</w:t>
            </w:r>
          </w:p>
        </w:tc>
        <w:tc>
          <w:tcPr>
            <w:tcW w:w="1053" w:type="dxa"/>
            <w:shd w:val="clear" w:color="auto" w:fill="auto"/>
            <w:noWrap/>
            <w:vAlign w:val="bottom"/>
            <w:hideMark/>
          </w:tcPr>
          <w:p w:rsidR="00435A50" w:rsidRPr="00435A50" w:rsidRDefault="00435A50" w:rsidP="00435A50">
            <w:pPr>
              <w:spacing w:before="0" w:after="0" w:line="240" w:lineRule="auto"/>
              <w:jc w:val="left"/>
              <w:rPr>
                <w:rFonts w:ascii="Calibri" w:eastAsia="Times New Roman" w:hAnsi="Calibri" w:cs="Times New Roman"/>
                <w:color w:val="000000"/>
              </w:rPr>
            </w:pPr>
            <w:r w:rsidRPr="00435A50">
              <w:rPr>
                <w:rFonts w:ascii="Calibri" w:eastAsia="Times New Roman" w:hAnsi="Calibri" w:cs="Times New Roman"/>
                <w:color w:val="000000"/>
                <w:sz w:val="22"/>
              </w:rPr>
              <w:t>PC3</w:t>
            </w:r>
          </w:p>
        </w:tc>
        <w:tc>
          <w:tcPr>
            <w:tcW w:w="1053" w:type="dxa"/>
            <w:shd w:val="clear" w:color="auto" w:fill="auto"/>
            <w:noWrap/>
            <w:vAlign w:val="bottom"/>
            <w:hideMark/>
          </w:tcPr>
          <w:p w:rsidR="00435A50" w:rsidRPr="00435A50" w:rsidRDefault="00435A50" w:rsidP="00435A50">
            <w:pPr>
              <w:spacing w:before="0" w:after="0" w:line="240" w:lineRule="auto"/>
              <w:jc w:val="left"/>
              <w:rPr>
                <w:rFonts w:ascii="Calibri" w:eastAsia="Times New Roman" w:hAnsi="Calibri" w:cs="Times New Roman"/>
                <w:color w:val="000000"/>
              </w:rPr>
            </w:pPr>
            <w:r w:rsidRPr="00435A50">
              <w:rPr>
                <w:rFonts w:ascii="Calibri" w:eastAsia="Times New Roman" w:hAnsi="Calibri" w:cs="Times New Roman"/>
                <w:color w:val="000000"/>
                <w:sz w:val="22"/>
              </w:rPr>
              <w:t>PC4</w:t>
            </w:r>
          </w:p>
        </w:tc>
        <w:tc>
          <w:tcPr>
            <w:tcW w:w="1053" w:type="dxa"/>
            <w:shd w:val="clear" w:color="auto" w:fill="auto"/>
            <w:noWrap/>
            <w:vAlign w:val="bottom"/>
            <w:hideMark/>
          </w:tcPr>
          <w:p w:rsidR="00435A50" w:rsidRPr="00435A50" w:rsidRDefault="00435A50" w:rsidP="00435A50">
            <w:pPr>
              <w:spacing w:before="0" w:after="0" w:line="240" w:lineRule="auto"/>
              <w:jc w:val="left"/>
              <w:rPr>
                <w:rFonts w:ascii="Calibri" w:eastAsia="Times New Roman" w:hAnsi="Calibri" w:cs="Times New Roman"/>
                <w:color w:val="000000"/>
              </w:rPr>
            </w:pPr>
            <w:r w:rsidRPr="00435A50">
              <w:rPr>
                <w:rFonts w:ascii="Calibri" w:eastAsia="Times New Roman" w:hAnsi="Calibri" w:cs="Times New Roman"/>
                <w:color w:val="000000"/>
                <w:sz w:val="22"/>
              </w:rPr>
              <w:t>PC5</w:t>
            </w:r>
          </w:p>
        </w:tc>
      </w:tr>
      <w:tr w:rsidR="00435A50" w:rsidRPr="00435A50" w:rsidTr="00435A50">
        <w:trPr>
          <w:trHeight w:val="300"/>
        </w:trPr>
        <w:tc>
          <w:tcPr>
            <w:tcW w:w="1182" w:type="dxa"/>
            <w:shd w:val="clear" w:color="auto" w:fill="auto"/>
            <w:noWrap/>
            <w:vAlign w:val="bottom"/>
            <w:hideMark/>
          </w:tcPr>
          <w:p w:rsidR="00435A50" w:rsidRPr="00435A50" w:rsidRDefault="00435A50" w:rsidP="00435A50">
            <w:pPr>
              <w:spacing w:before="0" w:after="0" w:line="240" w:lineRule="auto"/>
              <w:jc w:val="left"/>
              <w:rPr>
                <w:rFonts w:ascii="Calibri" w:eastAsia="Times New Roman" w:hAnsi="Calibri" w:cs="Times New Roman"/>
                <w:color w:val="000000"/>
              </w:rPr>
            </w:pPr>
            <w:r w:rsidRPr="00435A50">
              <w:rPr>
                <w:rFonts w:ascii="Calibri" w:eastAsia="Times New Roman" w:hAnsi="Calibri" w:cs="Times New Roman"/>
                <w:color w:val="000000"/>
                <w:sz w:val="22"/>
              </w:rPr>
              <w:t>3 Months</w:t>
            </w:r>
          </w:p>
        </w:tc>
        <w:tc>
          <w:tcPr>
            <w:tcW w:w="1053" w:type="dxa"/>
            <w:shd w:val="clear" w:color="auto" w:fill="auto"/>
            <w:noWrap/>
            <w:vAlign w:val="bottom"/>
            <w:hideMark/>
          </w:tcPr>
          <w:p w:rsidR="00435A50" w:rsidRPr="00435A50" w:rsidRDefault="00435A50" w:rsidP="00435A50">
            <w:pPr>
              <w:spacing w:before="0" w:after="0" w:line="240" w:lineRule="auto"/>
              <w:jc w:val="right"/>
              <w:rPr>
                <w:rFonts w:ascii="Calibri" w:eastAsia="Times New Roman" w:hAnsi="Calibri" w:cs="Times New Roman"/>
                <w:color w:val="000000"/>
              </w:rPr>
            </w:pPr>
            <w:r w:rsidRPr="00435A50">
              <w:rPr>
                <w:rFonts w:ascii="Calibri" w:eastAsia="Times New Roman" w:hAnsi="Calibri" w:cs="Times New Roman"/>
                <w:color w:val="000000"/>
                <w:sz w:val="22"/>
              </w:rPr>
              <w:t>0.352673</w:t>
            </w:r>
          </w:p>
        </w:tc>
        <w:tc>
          <w:tcPr>
            <w:tcW w:w="1053" w:type="dxa"/>
            <w:shd w:val="clear" w:color="auto" w:fill="auto"/>
            <w:noWrap/>
            <w:vAlign w:val="bottom"/>
            <w:hideMark/>
          </w:tcPr>
          <w:p w:rsidR="00435A50" w:rsidRPr="00435A50" w:rsidRDefault="00435A50" w:rsidP="00435A50">
            <w:pPr>
              <w:spacing w:before="0" w:after="0" w:line="240" w:lineRule="auto"/>
              <w:jc w:val="right"/>
              <w:rPr>
                <w:rFonts w:ascii="Calibri" w:eastAsia="Times New Roman" w:hAnsi="Calibri" w:cs="Times New Roman"/>
                <w:color w:val="000000"/>
              </w:rPr>
            </w:pPr>
            <w:r w:rsidRPr="00435A50">
              <w:rPr>
                <w:rFonts w:ascii="Calibri" w:eastAsia="Times New Roman" w:hAnsi="Calibri" w:cs="Times New Roman"/>
                <w:color w:val="000000"/>
                <w:sz w:val="22"/>
              </w:rPr>
              <w:t>-0.07694</w:t>
            </w:r>
          </w:p>
        </w:tc>
        <w:tc>
          <w:tcPr>
            <w:tcW w:w="1053" w:type="dxa"/>
            <w:shd w:val="clear" w:color="auto" w:fill="auto"/>
            <w:noWrap/>
            <w:vAlign w:val="bottom"/>
            <w:hideMark/>
          </w:tcPr>
          <w:p w:rsidR="00435A50" w:rsidRPr="00435A50" w:rsidRDefault="00435A50" w:rsidP="00435A50">
            <w:pPr>
              <w:spacing w:before="0" w:after="0" w:line="240" w:lineRule="auto"/>
              <w:jc w:val="right"/>
              <w:rPr>
                <w:rFonts w:ascii="Calibri" w:eastAsia="Times New Roman" w:hAnsi="Calibri" w:cs="Times New Roman"/>
                <w:color w:val="000000"/>
              </w:rPr>
            </w:pPr>
            <w:r w:rsidRPr="00435A50">
              <w:rPr>
                <w:rFonts w:ascii="Calibri" w:eastAsia="Times New Roman" w:hAnsi="Calibri" w:cs="Times New Roman"/>
                <w:color w:val="000000"/>
                <w:sz w:val="22"/>
              </w:rPr>
              <w:t>-0.69177</w:t>
            </w:r>
          </w:p>
        </w:tc>
        <w:tc>
          <w:tcPr>
            <w:tcW w:w="1053" w:type="dxa"/>
            <w:shd w:val="clear" w:color="auto" w:fill="auto"/>
            <w:noWrap/>
            <w:vAlign w:val="bottom"/>
            <w:hideMark/>
          </w:tcPr>
          <w:p w:rsidR="00435A50" w:rsidRPr="00435A50" w:rsidRDefault="00435A50" w:rsidP="00435A50">
            <w:pPr>
              <w:spacing w:before="0" w:after="0" w:line="240" w:lineRule="auto"/>
              <w:jc w:val="right"/>
              <w:rPr>
                <w:rFonts w:ascii="Calibri" w:eastAsia="Times New Roman" w:hAnsi="Calibri" w:cs="Times New Roman"/>
                <w:color w:val="000000"/>
              </w:rPr>
            </w:pPr>
            <w:r w:rsidRPr="00435A50">
              <w:rPr>
                <w:rFonts w:ascii="Calibri" w:eastAsia="Times New Roman" w:hAnsi="Calibri" w:cs="Times New Roman"/>
                <w:color w:val="000000"/>
                <w:sz w:val="22"/>
              </w:rPr>
              <w:t>0.618004</w:t>
            </w:r>
          </w:p>
        </w:tc>
        <w:tc>
          <w:tcPr>
            <w:tcW w:w="1053" w:type="dxa"/>
            <w:shd w:val="clear" w:color="auto" w:fill="auto"/>
            <w:noWrap/>
            <w:vAlign w:val="bottom"/>
            <w:hideMark/>
          </w:tcPr>
          <w:p w:rsidR="00435A50" w:rsidRPr="00435A50" w:rsidRDefault="00435A50" w:rsidP="00435A50">
            <w:pPr>
              <w:spacing w:before="0" w:after="0" w:line="240" w:lineRule="auto"/>
              <w:jc w:val="right"/>
              <w:rPr>
                <w:rFonts w:ascii="Calibri" w:eastAsia="Times New Roman" w:hAnsi="Calibri" w:cs="Times New Roman"/>
                <w:color w:val="000000"/>
              </w:rPr>
            </w:pPr>
            <w:r w:rsidRPr="00435A50">
              <w:rPr>
                <w:rFonts w:ascii="Calibri" w:eastAsia="Times New Roman" w:hAnsi="Calibri" w:cs="Times New Roman"/>
                <w:color w:val="000000"/>
                <w:sz w:val="22"/>
              </w:rPr>
              <w:t>-0.09606</w:t>
            </w:r>
          </w:p>
        </w:tc>
      </w:tr>
      <w:tr w:rsidR="00435A50" w:rsidRPr="00435A50" w:rsidTr="00435A50">
        <w:trPr>
          <w:trHeight w:val="300"/>
        </w:trPr>
        <w:tc>
          <w:tcPr>
            <w:tcW w:w="1182" w:type="dxa"/>
            <w:shd w:val="clear" w:color="auto" w:fill="auto"/>
            <w:noWrap/>
            <w:vAlign w:val="bottom"/>
            <w:hideMark/>
          </w:tcPr>
          <w:p w:rsidR="00435A50" w:rsidRPr="00435A50" w:rsidRDefault="00435A50" w:rsidP="00435A50">
            <w:pPr>
              <w:spacing w:before="0" w:after="0" w:line="240" w:lineRule="auto"/>
              <w:jc w:val="left"/>
              <w:rPr>
                <w:rFonts w:ascii="Calibri" w:eastAsia="Times New Roman" w:hAnsi="Calibri" w:cs="Times New Roman"/>
                <w:color w:val="000000"/>
              </w:rPr>
            </w:pPr>
            <w:r w:rsidRPr="00435A50">
              <w:rPr>
                <w:rFonts w:ascii="Calibri" w:eastAsia="Times New Roman" w:hAnsi="Calibri" w:cs="Times New Roman"/>
                <w:color w:val="000000"/>
                <w:sz w:val="22"/>
              </w:rPr>
              <w:t>6</w:t>
            </w:r>
            <w:r>
              <w:rPr>
                <w:rFonts w:ascii="Calibri" w:eastAsia="Times New Roman" w:hAnsi="Calibri" w:cs="Times New Roman"/>
                <w:color w:val="000000"/>
                <w:sz w:val="22"/>
              </w:rPr>
              <w:t xml:space="preserve"> </w:t>
            </w:r>
            <w:r w:rsidRPr="00435A50">
              <w:rPr>
                <w:rFonts w:ascii="Calibri" w:eastAsia="Times New Roman" w:hAnsi="Calibri" w:cs="Times New Roman"/>
                <w:color w:val="000000"/>
                <w:sz w:val="22"/>
              </w:rPr>
              <w:t>Months</w:t>
            </w:r>
          </w:p>
        </w:tc>
        <w:tc>
          <w:tcPr>
            <w:tcW w:w="1053" w:type="dxa"/>
            <w:shd w:val="clear" w:color="auto" w:fill="auto"/>
            <w:noWrap/>
            <w:vAlign w:val="bottom"/>
            <w:hideMark/>
          </w:tcPr>
          <w:p w:rsidR="00435A50" w:rsidRPr="00435A50" w:rsidRDefault="00435A50" w:rsidP="00435A50">
            <w:pPr>
              <w:spacing w:before="0" w:after="0" w:line="240" w:lineRule="auto"/>
              <w:jc w:val="right"/>
              <w:rPr>
                <w:rFonts w:ascii="Calibri" w:eastAsia="Times New Roman" w:hAnsi="Calibri" w:cs="Times New Roman"/>
                <w:color w:val="000000"/>
              </w:rPr>
            </w:pPr>
            <w:r w:rsidRPr="00435A50">
              <w:rPr>
                <w:rFonts w:ascii="Calibri" w:eastAsia="Times New Roman" w:hAnsi="Calibri" w:cs="Times New Roman"/>
                <w:color w:val="000000"/>
                <w:sz w:val="22"/>
              </w:rPr>
              <w:t>0.542451</w:t>
            </w:r>
          </w:p>
        </w:tc>
        <w:tc>
          <w:tcPr>
            <w:tcW w:w="1053" w:type="dxa"/>
            <w:shd w:val="clear" w:color="auto" w:fill="auto"/>
            <w:noWrap/>
            <w:vAlign w:val="bottom"/>
            <w:hideMark/>
          </w:tcPr>
          <w:p w:rsidR="00435A50" w:rsidRPr="00435A50" w:rsidRDefault="00435A50" w:rsidP="00435A50">
            <w:pPr>
              <w:spacing w:before="0" w:after="0" w:line="240" w:lineRule="auto"/>
              <w:jc w:val="right"/>
              <w:rPr>
                <w:rFonts w:ascii="Calibri" w:eastAsia="Times New Roman" w:hAnsi="Calibri" w:cs="Times New Roman"/>
                <w:color w:val="000000"/>
              </w:rPr>
            </w:pPr>
            <w:r w:rsidRPr="00435A50">
              <w:rPr>
                <w:rFonts w:ascii="Calibri" w:eastAsia="Times New Roman" w:hAnsi="Calibri" w:cs="Times New Roman"/>
                <w:color w:val="000000"/>
                <w:sz w:val="22"/>
              </w:rPr>
              <w:t>-0.0717</w:t>
            </w:r>
          </w:p>
        </w:tc>
        <w:tc>
          <w:tcPr>
            <w:tcW w:w="1053" w:type="dxa"/>
            <w:shd w:val="clear" w:color="auto" w:fill="auto"/>
            <w:noWrap/>
            <w:vAlign w:val="bottom"/>
            <w:hideMark/>
          </w:tcPr>
          <w:p w:rsidR="00435A50" w:rsidRPr="00435A50" w:rsidRDefault="00435A50" w:rsidP="00435A50">
            <w:pPr>
              <w:spacing w:before="0" w:after="0" w:line="240" w:lineRule="auto"/>
              <w:jc w:val="right"/>
              <w:rPr>
                <w:rFonts w:ascii="Calibri" w:eastAsia="Times New Roman" w:hAnsi="Calibri" w:cs="Times New Roman"/>
                <w:color w:val="000000"/>
              </w:rPr>
            </w:pPr>
            <w:r w:rsidRPr="00435A50">
              <w:rPr>
                <w:rFonts w:ascii="Calibri" w:eastAsia="Times New Roman" w:hAnsi="Calibri" w:cs="Times New Roman"/>
                <w:color w:val="000000"/>
                <w:sz w:val="22"/>
              </w:rPr>
              <w:t>-0.37647</w:t>
            </w:r>
          </w:p>
        </w:tc>
        <w:tc>
          <w:tcPr>
            <w:tcW w:w="1053" w:type="dxa"/>
            <w:shd w:val="clear" w:color="auto" w:fill="auto"/>
            <w:noWrap/>
            <w:vAlign w:val="bottom"/>
            <w:hideMark/>
          </w:tcPr>
          <w:p w:rsidR="00435A50" w:rsidRPr="00435A50" w:rsidRDefault="00435A50" w:rsidP="00435A50">
            <w:pPr>
              <w:spacing w:before="0" w:after="0" w:line="240" w:lineRule="auto"/>
              <w:jc w:val="right"/>
              <w:rPr>
                <w:rFonts w:ascii="Calibri" w:eastAsia="Times New Roman" w:hAnsi="Calibri" w:cs="Times New Roman"/>
                <w:color w:val="000000"/>
              </w:rPr>
            </w:pPr>
            <w:r w:rsidRPr="00435A50">
              <w:rPr>
                <w:rFonts w:ascii="Calibri" w:eastAsia="Times New Roman" w:hAnsi="Calibri" w:cs="Times New Roman"/>
                <w:color w:val="000000"/>
                <w:sz w:val="22"/>
              </w:rPr>
              <w:t>-0.7464</w:t>
            </w:r>
          </w:p>
        </w:tc>
        <w:tc>
          <w:tcPr>
            <w:tcW w:w="1053" w:type="dxa"/>
            <w:shd w:val="clear" w:color="auto" w:fill="auto"/>
            <w:noWrap/>
            <w:vAlign w:val="bottom"/>
            <w:hideMark/>
          </w:tcPr>
          <w:p w:rsidR="00435A50" w:rsidRPr="00435A50" w:rsidRDefault="00435A50" w:rsidP="00435A50">
            <w:pPr>
              <w:spacing w:before="0" w:after="0" w:line="240" w:lineRule="auto"/>
              <w:jc w:val="right"/>
              <w:rPr>
                <w:rFonts w:ascii="Calibri" w:eastAsia="Times New Roman" w:hAnsi="Calibri" w:cs="Times New Roman"/>
                <w:color w:val="000000"/>
              </w:rPr>
            </w:pPr>
            <w:r w:rsidRPr="00435A50">
              <w:rPr>
                <w:rFonts w:ascii="Calibri" w:eastAsia="Times New Roman" w:hAnsi="Calibri" w:cs="Times New Roman"/>
                <w:color w:val="000000"/>
                <w:sz w:val="22"/>
              </w:rPr>
              <w:t>-0.0419</w:t>
            </w:r>
          </w:p>
        </w:tc>
      </w:tr>
      <w:tr w:rsidR="00435A50" w:rsidRPr="00435A50" w:rsidTr="00435A50">
        <w:trPr>
          <w:trHeight w:val="300"/>
        </w:trPr>
        <w:tc>
          <w:tcPr>
            <w:tcW w:w="1182" w:type="dxa"/>
            <w:shd w:val="clear" w:color="auto" w:fill="auto"/>
            <w:noWrap/>
            <w:vAlign w:val="bottom"/>
            <w:hideMark/>
          </w:tcPr>
          <w:p w:rsidR="00435A50" w:rsidRPr="00435A50" w:rsidRDefault="00435A50" w:rsidP="00435A50">
            <w:pPr>
              <w:spacing w:before="0" w:after="0" w:line="240" w:lineRule="auto"/>
              <w:jc w:val="left"/>
              <w:rPr>
                <w:rFonts w:ascii="Calibri" w:eastAsia="Times New Roman" w:hAnsi="Calibri" w:cs="Times New Roman"/>
                <w:color w:val="000000"/>
              </w:rPr>
            </w:pPr>
            <w:r w:rsidRPr="00435A50">
              <w:rPr>
                <w:rFonts w:ascii="Calibri" w:eastAsia="Times New Roman" w:hAnsi="Calibri" w:cs="Times New Roman"/>
                <w:color w:val="000000"/>
                <w:sz w:val="22"/>
              </w:rPr>
              <w:t>1</w:t>
            </w:r>
            <w:r>
              <w:rPr>
                <w:rFonts w:ascii="Calibri" w:eastAsia="Times New Roman" w:hAnsi="Calibri" w:cs="Times New Roman"/>
                <w:color w:val="000000"/>
                <w:sz w:val="22"/>
              </w:rPr>
              <w:t xml:space="preserve"> </w:t>
            </w:r>
            <w:r w:rsidRPr="00435A50">
              <w:rPr>
                <w:rFonts w:ascii="Calibri" w:eastAsia="Times New Roman" w:hAnsi="Calibri" w:cs="Times New Roman"/>
                <w:color w:val="000000"/>
                <w:sz w:val="22"/>
              </w:rPr>
              <w:t>Y</w:t>
            </w:r>
            <w:r>
              <w:rPr>
                <w:rFonts w:ascii="Calibri" w:eastAsia="Times New Roman" w:hAnsi="Calibri" w:cs="Times New Roman"/>
                <w:color w:val="000000"/>
                <w:sz w:val="22"/>
              </w:rPr>
              <w:t>ea</w:t>
            </w:r>
            <w:r w:rsidRPr="00435A50">
              <w:rPr>
                <w:rFonts w:ascii="Calibri" w:eastAsia="Times New Roman" w:hAnsi="Calibri" w:cs="Times New Roman"/>
                <w:color w:val="000000"/>
                <w:sz w:val="22"/>
              </w:rPr>
              <w:t>r</w:t>
            </w:r>
          </w:p>
        </w:tc>
        <w:tc>
          <w:tcPr>
            <w:tcW w:w="1053" w:type="dxa"/>
            <w:shd w:val="clear" w:color="auto" w:fill="auto"/>
            <w:noWrap/>
            <w:vAlign w:val="bottom"/>
            <w:hideMark/>
          </w:tcPr>
          <w:p w:rsidR="00435A50" w:rsidRPr="00435A50" w:rsidRDefault="00435A50" w:rsidP="00435A50">
            <w:pPr>
              <w:spacing w:before="0" w:after="0" w:line="240" w:lineRule="auto"/>
              <w:jc w:val="right"/>
              <w:rPr>
                <w:rFonts w:ascii="Calibri" w:eastAsia="Times New Roman" w:hAnsi="Calibri" w:cs="Times New Roman"/>
                <w:color w:val="000000"/>
              </w:rPr>
            </w:pPr>
            <w:r w:rsidRPr="00435A50">
              <w:rPr>
                <w:rFonts w:ascii="Calibri" w:eastAsia="Times New Roman" w:hAnsi="Calibri" w:cs="Times New Roman"/>
                <w:color w:val="000000"/>
                <w:sz w:val="22"/>
              </w:rPr>
              <w:t>0.517475</w:t>
            </w:r>
          </w:p>
        </w:tc>
        <w:tc>
          <w:tcPr>
            <w:tcW w:w="1053" w:type="dxa"/>
            <w:shd w:val="clear" w:color="auto" w:fill="auto"/>
            <w:noWrap/>
            <w:vAlign w:val="bottom"/>
            <w:hideMark/>
          </w:tcPr>
          <w:p w:rsidR="00435A50" w:rsidRPr="00435A50" w:rsidRDefault="00435A50" w:rsidP="00435A50">
            <w:pPr>
              <w:spacing w:before="0" w:after="0" w:line="240" w:lineRule="auto"/>
              <w:jc w:val="right"/>
              <w:rPr>
                <w:rFonts w:ascii="Calibri" w:eastAsia="Times New Roman" w:hAnsi="Calibri" w:cs="Times New Roman"/>
                <w:color w:val="000000"/>
              </w:rPr>
            </w:pPr>
            <w:r w:rsidRPr="00435A50">
              <w:rPr>
                <w:rFonts w:ascii="Calibri" w:eastAsia="Times New Roman" w:hAnsi="Calibri" w:cs="Times New Roman"/>
                <w:color w:val="000000"/>
                <w:sz w:val="22"/>
              </w:rPr>
              <w:t>-0.10497</w:t>
            </w:r>
          </w:p>
        </w:tc>
        <w:tc>
          <w:tcPr>
            <w:tcW w:w="1053" w:type="dxa"/>
            <w:shd w:val="clear" w:color="auto" w:fill="auto"/>
            <w:noWrap/>
            <w:vAlign w:val="bottom"/>
            <w:hideMark/>
          </w:tcPr>
          <w:p w:rsidR="00435A50" w:rsidRPr="00435A50" w:rsidRDefault="00435A50" w:rsidP="00435A50">
            <w:pPr>
              <w:spacing w:before="0" w:after="0" w:line="240" w:lineRule="auto"/>
              <w:jc w:val="right"/>
              <w:rPr>
                <w:rFonts w:ascii="Calibri" w:eastAsia="Times New Roman" w:hAnsi="Calibri" w:cs="Times New Roman"/>
                <w:color w:val="000000"/>
              </w:rPr>
            </w:pPr>
            <w:r w:rsidRPr="00435A50">
              <w:rPr>
                <w:rFonts w:ascii="Calibri" w:eastAsia="Times New Roman" w:hAnsi="Calibri" w:cs="Times New Roman"/>
                <w:color w:val="000000"/>
                <w:sz w:val="22"/>
              </w:rPr>
              <w:t>0.513261</w:t>
            </w:r>
          </w:p>
        </w:tc>
        <w:tc>
          <w:tcPr>
            <w:tcW w:w="1053" w:type="dxa"/>
            <w:shd w:val="clear" w:color="auto" w:fill="auto"/>
            <w:noWrap/>
            <w:vAlign w:val="bottom"/>
            <w:hideMark/>
          </w:tcPr>
          <w:p w:rsidR="00435A50" w:rsidRPr="00435A50" w:rsidRDefault="00435A50" w:rsidP="00435A50">
            <w:pPr>
              <w:spacing w:before="0" w:after="0" w:line="240" w:lineRule="auto"/>
              <w:jc w:val="right"/>
              <w:rPr>
                <w:rFonts w:ascii="Calibri" w:eastAsia="Times New Roman" w:hAnsi="Calibri" w:cs="Times New Roman"/>
                <w:color w:val="000000"/>
              </w:rPr>
            </w:pPr>
            <w:r w:rsidRPr="00435A50">
              <w:rPr>
                <w:rFonts w:ascii="Calibri" w:eastAsia="Times New Roman" w:hAnsi="Calibri" w:cs="Times New Roman"/>
                <w:color w:val="000000"/>
                <w:sz w:val="22"/>
              </w:rPr>
              <w:t>0.164123</w:t>
            </w:r>
          </w:p>
        </w:tc>
        <w:tc>
          <w:tcPr>
            <w:tcW w:w="1053" w:type="dxa"/>
            <w:shd w:val="clear" w:color="auto" w:fill="auto"/>
            <w:noWrap/>
            <w:vAlign w:val="bottom"/>
            <w:hideMark/>
          </w:tcPr>
          <w:p w:rsidR="00435A50" w:rsidRPr="00435A50" w:rsidRDefault="00435A50" w:rsidP="00435A50">
            <w:pPr>
              <w:spacing w:before="0" w:after="0" w:line="240" w:lineRule="auto"/>
              <w:jc w:val="right"/>
              <w:rPr>
                <w:rFonts w:ascii="Calibri" w:eastAsia="Times New Roman" w:hAnsi="Calibri" w:cs="Times New Roman"/>
                <w:color w:val="000000"/>
              </w:rPr>
            </w:pPr>
            <w:r w:rsidRPr="00435A50">
              <w:rPr>
                <w:rFonts w:ascii="Calibri" w:eastAsia="Times New Roman" w:hAnsi="Calibri" w:cs="Times New Roman"/>
                <w:color w:val="000000"/>
                <w:sz w:val="22"/>
              </w:rPr>
              <w:t>-0.65637</w:t>
            </w:r>
          </w:p>
        </w:tc>
      </w:tr>
      <w:tr w:rsidR="00435A50" w:rsidRPr="00435A50" w:rsidTr="00435A50">
        <w:trPr>
          <w:trHeight w:val="300"/>
        </w:trPr>
        <w:tc>
          <w:tcPr>
            <w:tcW w:w="1182" w:type="dxa"/>
            <w:shd w:val="clear" w:color="auto" w:fill="auto"/>
            <w:noWrap/>
            <w:vAlign w:val="bottom"/>
            <w:hideMark/>
          </w:tcPr>
          <w:p w:rsidR="00435A50" w:rsidRPr="00435A50" w:rsidRDefault="00435A50" w:rsidP="00435A50">
            <w:pPr>
              <w:spacing w:before="0" w:after="0" w:line="240" w:lineRule="auto"/>
              <w:jc w:val="left"/>
              <w:rPr>
                <w:rFonts w:ascii="Calibri" w:eastAsia="Times New Roman" w:hAnsi="Calibri" w:cs="Times New Roman"/>
                <w:color w:val="000000"/>
              </w:rPr>
            </w:pPr>
            <w:r w:rsidRPr="00435A50">
              <w:rPr>
                <w:rFonts w:ascii="Calibri" w:eastAsia="Times New Roman" w:hAnsi="Calibri" w:cs="Times New Roman"/>
                <w:color w:val="000000"/>
                <w:sz w:val="22"/>
              </w:rPr>
              <w:t>2</w:t>
            </w:r>
            <w:r>
              <w:rPr>
                <w:rFonts w:ascii="Calibri" w:eastAsia="Times New Roman" w:hAnsi="Calibri" w:cs="Times New Roman"/>
                <w:color w:val="000000"/>
                <w:sz w:val="22"/>
              </w:rPr>
              <w:t xml:space="preserve"> </w:t>
            </w:r>
            <w:r w:rsidRPr="00435A50">
              <w:rPr>
                <w:rFonts w:ascii="Calibri" w:eastAsia="Times New Roman" w:hAnsi="Calibri" w:cs="Times New Roman"/>
                <w:color w:val="000000"/>
                <w:sz w:val="22"/>
              </w:rPr>
              <w:t>Y</w:t>
            </w:r>
            <w:r>
              <w:rPr>
                <w:rFonts w:ascii="Calibri" w:eastAsia="Times New Roman" w:hAnsi="Calibri" w:cs="Times New Roman"/>
                <w:color w:val="000000"/>
                <w:sz w:val="22"/>
              </w:rPr>
              <w:t>ea</w:t>
            </w:r>
            <w:r w:rsidRPr="00435A50">
              <w:rPr>
                <w:rFonts w:ascii="Calibri" w:eastAsia="Times New Roman" w:hAnsi="Calibri" w:cs="Times New Roman"/>
                <w:color w:val="000000"/>
                <w:sz w:val="22"/>
              </w:rPr>
              <w:t>rs</w:t>
            </w:r>
          </w:p>
        </w:tc>
        <w:tc>
          <w:tcPr>
            <w:tcW w:w="1053" w:type="dxa"/>
            <w:shd w:val="clear" w:color="auto" w:fill="auto"/>
            <w:noWrap/>
            <w:vAlign w:val="bottom"/>
            <w:hideMark/>
          </w:tcPr>
          <w:p w:rsidR="00435A50" w:rsidRPr="00435A50" w:rsidRDefault="00435A50" w:rsidP="00435A50">
            <w:pPr>
              <w:spacing w:before="0" w:after="0" w:line="240" w:lineRule="auto"/>
              <w:jc w:val="right"/>
              <w:rPr>
                <w:rFonts w:ascii="Calibri" w:eastAsia="Times New Roman" w:hAnsi="Calibri" w:cs="Times New Roman"/>
                <w:color w:val="000000"/>
              </w:rPr>
            </w:pPr>
            <w:r w:rsidRPr="00435A50">
              <w:rPr>
                <w:rFonts w:ascii="Calibri" w:eastAsia="Times New Roman" w:hAnsi="Calibri" w:cs="Times New Roman"/>
                <w:color w:val="000000"/>
                <w:sz w:val="22"/>
              </w:rPr>
              <w:t>0.529925</w:t>
            </w:r>
          </w:p>
        </w:tc>
        <w:tc>
          <w:tcPr>
            <w:tcW w:w="1053" w:type="dxa"/>
            <w:shd w:val="clear" w:color="auto" w:fill="auto"/>
            <w:noWrap/>
            <w:vAlign w:val="bottom"/>
            <w:hideMark/>
          </w:tcPr>
          <w:p w:rsidR="00435A50" w:rsidRPr="00435A50" w:rsidRDefault="00435A50" w:rsidP="00435A50">
            <w:pPr>
              <w:spacing w:before="0" w:after="0" w:line="240" w:lineRule="auto"/>
              <w:jc w:val="right"/>
              <w:rPr>
                <w:rFonts w:ascii="Calibri" w:eastAsia="Times New Roman" w:hAnsi="Calibri" w:cs="Times New Roman"/>
                <w:color w:val="000000"/>
              </w:rPr>
            </w:pPr>
            <w:r w:rsidRPr="00435A50">
              <w:rPr>
                <w:rFonts w:ascii="Calibri" w:eastAsia="Times New Roman" w:hAnsi="Calibri" w:cs="Times New Roman"/>
                <w:color w:val="000000"/>
                <w:sz w:val="22"/>
              </w:rPr>
              <w:t>-0.10865</w:t>
            </w:r>
          </w:p>
        </w:tc>
        <w:tc>
          <w:tcPr>
            <w:tcW w:w="1053" w:type="dxa"/>
            <w:shd w:val="clear" w:color="auto" w:fill="auto"/>
            <w:noWrap/>
            <w:vAlign w:val="bottom"/>
            <w:hideMark/>
          </w:tcPr>
          <w:p w:rsidR="00435A50" w:rsidRPr="00435A50" w:rsidRDefault="00435A50" w:rsidP="00435A50">
            <w:pPr>
              <w:spacing w:before="0" w:after="0" w:line="240" w:lineRule="auto"/>
              <w:jc w:val="right"/>
              <w:rPr>
                <w:rFonts w:ascii="Calibri" w:eastAsia="Times New Roman" w:hAnsi="Calibri" w:cs="Times New Roman"/>
                <w:color w:val="000000"/>
              </w:rPr>
            </w:pPr>
            <w:r w:rsidRPr="00435A50">
              <w:rPr>
                <w:rFonts w:ascii="Calibri" w:eastAsia="Times New Roman" w:hAnsi="Calibri" w:cs="Times New Roman"/>
                <w:color w:val="000000"/>
                <w:sz w:val="22"/>
              </w:rPr>
              <w:t>0.340836</w:t>
            </w:r>
          </w:p>
        </w:tc>
        <w:tc>
          <w:tcPr>
            <w:tcW w:w="1053" w:type="dxa"/>
            <w:shd w:val="clear" w:color="auto" w:fill="auto"/>
            <w:noWrap/>
            <w:vAlign w:val="bottom"/>
            <w:hideMark/>
          </w:tcPr>
          <w:p w:rsidR="00435A50" w:rsidRPr="00435A50" w:rsidRDefault="00435A50" w:rsidP="00435A50">
            <w:pPr>
              <w:spacing w:before="0" w:after="0" w:line="240" w:lineRule="auto"/>
              <w:jc w:val="right"/>
              <w:rPr>
                <w:rFonts w:ascii="Calibri" w:eastAsia="Times New Roman" w:hAnsi="Calibri" w:cs="Times New Roman"/>
                <w:color w:val="000000"/>
              </w:rPr>
            </w:pPr>
            <w:r w:rsidRPr="00435A50">
              <w:rPr>
                <w:rFonts w:ascii="Calibri" w:eastAsia="Times New Roman" w:hAnsi="Calibri" w:cs="Times New Roman"/>
                <w:color w:val="000000"/>
                <w:sz w:val="22"/>
              </w:rPr>
              <w:t>0.181715</w:t>
            </w:r>
          </w:p>
        </w:tc>
        <w:tc>
          <w:tcPr>
            <w:tcW w:w="1053" w:type="dxa"/>
            <w:shd w:val="clear" w:color="auto" w:fill="auto"/>
            <w:noWrap/>
            <w:vAlign w:val="bottom"/>
            <w:hideMark/>
          </w:tcPr>
          <w:p w:rsidR="00435A50" w:rsidRPr="00435A50" w:rsidRDefault="00435A50" w:rsidP="00435A50">
            <w:pPr>
              <w:spacing w:before="0" w:after="0" w:line="240" w:lineRule="auto"/>
              <w:jc w:val="right"/>
              <w:rPr>
                <w:rFonts w:ascii="Calibri" w:eastAsia="Times New Roman" w:hAnsi="Calibri" w:cs="Times New Roman"/>
                <w:color w:val="000000"/>
              </w:rPr>
            </w:pPr>
            <w:r w:rsidRPr="00435A50">
              <w:rPr>
                <w:rFonts w:ascii="Calibri" w:eastAsia="Times New Roman" w:hAnsi="Calibri" w:cs="Times New Roman"/>
                <w:color w:val="000000"/>
                <w:sz w:val="22"/>
              </w:rPr>
              <w:t>0.747118</w:t>
            </w:r>
          </w:p>
        </w:tc>
      </w:tr>
      <w:tr w:rsidR="00435A50" w:rsidRPr="00435A50" w:rsidTr="00435A50">
        <w:trPr>
          <w:trHeight w:val="300"/>
        </w:trPr>
        <w:tc>
          <w:tcPr>
            <w:tcW w:w="1182" w:type="dxa"/>
            <w:shd w:val="clear" w:color="auto" w:fill="auto"/>
            <w:noWrap/>
            <w:vAlign w:val="bottom"/>
            <w:hideMark/>
          </w:tcPr>
          <w:p w:rsidR="00435A50" w:rsidRPr="00435A50" w:rsidRDefault="00435A50" w:rsidP="00435A50">
            <w:pPr>
              <w:spacing w:before="0" w:after="0" w:line="240" w:lineRule="auto"/>
              <w:jc w:val="left"/>
              <w:rPr>
                <w:rFonts w:ascii="Calibri" w:eastAsia="Times New Roman" w:hAnsi="Calibri" w:cs="Times New Roman"/>
                <w:color w:val="000000"/>
              </w:rPr>
            </w:pPr>
            <w:r w:rsidRPr="00435A50">
              <w:rPr>
                <w:rFonts w:ascii="Calibri" w:eastAsia="Times New Roman" w:hAnsi="Calibri" w:cs="Times New Roman"/>
                <w:color w:val="000000"/>
                <w:sz w:val="22"/>
              </w:rPr>
              <w:t>3</w:t>
            </w:r>
            <w:r>
              <w:rPr>
                <w:rFonts w:ascii="Calibri" w:eastAsia="Times New Roman" w:hAnsi="Calibri" w:cs="Times New Roman"/>
                <w:color w:val="000000"/>
                <w:sz w:val="22"/>
              </w:rPr>
              <w:t xml:space="preserve"> </w:t>
            </w:r>
            <w:r w:rsidRPr="00435A50">
              <w:rPr>
                <w:rFonts w:ascii="Calibri" w:eastAsia="Times New Roman" w:hAnsi="Calibri" w:cs="Times New Roman"/>
                <w:color w:val="000000"/>
                <w:sz w:val="22"/>
              </w:rPr>
              <w:t>Y</w:t>
            </w:r>
            <w:r>
              <w:rPr>
                <w:rFonts w:ascii="Calibri" w:eastAsia="Times New Roman" w:hAnsi="Calibri" w:cs="Times New Roman"/>
                <w:color w:val="000000"/>
                <w:sz w:val="22"/>
              </w:rPr>
              <w:t>ea</w:t>
            </w:r>
            <w:r w:rsidRPr="00435A50">
              <w:rPr>
                <w:rFonts w:ascii="Calibri" w:eastAsia="Times New Roman" w:hAnsi="Calibri" w:cs="Times New Roman"/>
                <w:color w:val="000000"/>
                <w:sz w:val="22"/>
              </w:rPr>
              <w:t>rs</w:t>
            </w:r>
          </w:p>
        </w:tc>
        <w:tc>
          <w:tcPr>
            <w:tcW w:w="1053" w:type="dxa"/>
            <w:shd w:val="clear" w:color="auto" w:fill="auto"/>
            <w:noWrap/>
            <w:vAlign w:val="bottom"/>
            <w:hideMark/>
          </w:tcPr>
          <w:p w:rsidR="00435A50" w:rsidRPr="00435A50" w:rsidRDefault="00435A50" w:rsidP="00435A50">
            <w:pPr>
              <w:spacing w:before="0" w:after="0" w:line="240" w:lineRule="auto"/>
              <w:jc w:val="right"/>
              <w:rPr>
                <w:rFonts w:ascii="Calibri" w:eastAsia="Times New Roman" w:hAnsi="Calibri" w:cs="Times New Roman"/>
                <w:color w:val="000000"/>
              </w:rPr>
            </w:pPr>
            <w:r w:rsidRPr="00435A50">
              <w:rPr>
                <w:rFonts w:ascii="Calibri" w:eastAsia="Times New Roman" w:hAnsi="Calibri" w:cs="Times New Roman"/>
                <w:color w:val="000000"/>
                <w:sz w:val="22"/>
              </w:rPr>
              <w:t>0.181022</w:t>
            </w:r>
          </w:p>
        </w:tc>
        <w:tc>
          <w:tcPr>
            <w:tcW w:w="1053" w:type="dxa"/>
            <w:shd w:val="clear" w:color="auto" w:fill="auto"/>
            <w:noWrap/>
            <w:vAlign w:val="bottom"/>
            <w:hideMark/>
          </w:tcPr>
          <w:p w:rsidR="00435A50" w:rsidRPr="00435A50" w:rsidRDefault="00435A50" w:rsidP="00435A50">
            <w:pPr>
              <w:spacing w:before="0" w:after="0" w:line="240" w:lineRule="auto"/>
              <w:jc w:val="right"/>
              <w:rPr>
                <w:rFonts w:ascii="Calibri" w:eastAsia="Times New Roman" w:hAnsi="Calibri" w:cs="Times New Roman"/>
                <w:color w:val="000000"/>
              </w:rPr>
            </w:pPr>
            <w:r w:rsidRPr="00435A50">
              <w:rPr>
                <w:rFonts w:ascii="Calibri" w:eastAsia="Times New Roman" w:hAnsi="Calibri" w:cs="Times New Roman"/>
                <w:color w:val="000000"/>
                <w:sz w:val="22"/>
              </w:rPr>
              <w:t>0.982911</w:t>
            </w:r>
          </w:p>
        </w:tc>
        <w:tc>
          <w:tcPr>
            <w:tcW w:w="1053" w:type="dxa"/>
            <w:shd w:val="clear" w:color="auto" w:fill="auto"/>
            <w:noWrap/>
            <w:vAlign w:val="bottom"/>
            <w:hideMark/>
          </w:tcPr>
          <w:p w:rsidR="00435A50" w:rsidRPr="00435A50" w:rsidRDefault="00435A50" w:rsidP="00435A50">
            <w:pPr>
              <w:spacing w:before="0" w:after="0" w:line="240" w:lineRule="auto"/>
              <w:jc w:val="right"/>
              <w:rPr>
                <w:rFonts w:ascii="Calibri" w:eastAsia="Times New Roman" w:hAnsi="Calibri" w:cs="Times New Roman"/>
                <w:color w:val="000000"/>
              </w:rPr>
            </w:pPr>
            <w:r w:rsidRPr="00435A50">
              <w:rPr>
                <w:rFonts w:ascii="Calibri" w:eastAsia="Times New Roman" w:hAnsi="Calibri" w:cs="Times New Roman"/>
                <w:color w:val="000000"/>
                <w:sz w:val="22"/>
              </w:rPr>
              <w:t>0.010877</w:t>
            </w:r>
          </w:p>
        </w:tc>
        <w:tc>
          <w:tcPr>
            <w:tcW w:w="1053" w:type="dxa"/>
            <w:shd w:val="clear" w:color="auto" w:fill="auto"/>
            <w:noWrap/>
            <w:vAlign w:val="bottom"/>
            <w:hideMark/>
          </w:tcPr>
          <w:p w:rsidR="00435A50" w:rsidRPr="00435A50" w:rsidRDefault="00435A50" w:rsidP="00435A50">
            <w:pPr>
              <w:spacing w:before="0" w:after="0" w:line="240" w:lineRule="auto"/>
              <w:jc w:val="right"/>
              <w:rPr>
                <w:rFonts w:ascii="Calibri" w:eastAsia="Times New Roman" w:hAnsi="Calibri" w:cs="Times New Roman"/>
                <w:color w:val="000000"/>
              </w:rPr>
            </w:pPr>
            <w:r w:rsidRPr="00435A50">
              <w:rPr>
                <w:rFonts w:ascii="Calibri" w:eastAsia="Times New Roman" w:hAnsi="Calibri" w:cs="Times New Roman"/>
                <w:color w:val="000000"/>
                <w:sz w:val="22"/>
              </w:rPr>
              <w:t>0.03154</w:t>
            </w:r>
          </w:p>
        </w:tc>
        <w:tc>
          <w:tcPr>
            <w:tcW w:w="1053" w:type="dxa"/>
            <w:shd w:val="clear" w:color="auto" w:fill="auto"/>
            <w:noWrap/>
            <w:vAlign w:val="bottom"/>
            <w:hideMark/>
          </w:tcPr>
          <w:p w:rsidR="00435A50" w:rsidRPr="00435A50" w:rsidRDefault="00435A50" w:rsidP="00435A50">
            <w:pPr>
              <w:spacing w:before="0" w:after="0" w:line="240" w:lineRule="auto"/>
              <w:jc w:val="right"/>
              <w:rPr>
                <w:rFonts w:ascii="Calibri" w:eastAsia="Times New Roman" w:hAnsi="Calibri" w:cs="Times New Roman"/>
                <w:color w:val="000000"/>
              </w:rPr>
            </w:pPr>
            <w:r w:rsidRPr="00435A50">
              <w:rPr>
                <w:rFonts w:ascii="Calibri" w:eastAsia="Times New Roman" w:hAnsi="Calibri" w:cs="Times New Roman"/>
                <w:color w:val="000000"/>
                <w:sz w:val="22"/>
              </w:rPr>
              <w:t>0.001911</w:t>
            </w:r>
          </w:p>
        </w:tc>
      </w:tr>
    </w:tbl>
    <w:p w:rsidR="000119A2" w:rsidRDefault="000119A2" w:rsidP="00C50AF6">
      <w:r>
        <w:t>In other words, a quantity of the first factor equal to one standard deviation corresponds to the 3-month rate moving by 5.6</w:t>
      </w:r>
      <w:r w:rsidR="00B53CAE">
        <w:t>6</w:t>
      </w:r>
      <w:r>
        <w:rPr>
          <w:rStyle w:val="FootnoteReference"/>
        </w:rPr>
        <w:footnoteReference w:id="7"/>
      </w:r>
      <w:r>
        <w:t xml:space="preserve"> basis points. </w:t>
      </w:r>
      <w:r w:rsidR="00B53CAE">
        <w:t xml:space="preserve">Same analysis is applied to the remaining variables.  Table 6 illustrates those moves for the first two factors. It is worth mentioning that </w:t>
      </w:r>
      <w:r w:rsidR="0098090C">
        <w:t xml:space="preserve">the factor scores are uncorrelated across the data:  the parallel shift is uncorrelated with the change of the slope of the yield curve. </w:t>
      </w:r>
      <w:r w:rsidR="00B53CAE">
        <w:t xml:space="preserve"> </w:t>
      </w:r>
    </w:p>
    <w:p w:rsidR="00043626" w:rsidRPr="000A5B5F" w:rsidRDefault="00043626" w:rsidP="00043626">
      <w:pPr>
        <w:rPr>
          <w:u w:val="single"/>
        </w:rPr>
      </w:pPr>
      <w:r w:rsidRPr="00F11B0E">
        <w:rPr>
          <w:u w:val="single"/>
        </w:rPr>
        <w:t xml:space="preserve">Table </w:t>
      </w:r>
      <w:r>
        <w:rPr>
          <w:u w:val="single"/>
        </w:rPr>
        <w:t>5</w:t>
      </w:r>
      <w:r w:rsidRPr="00F11B0E">
        <w:rPr>
          <w:u w:val="single"/>
        </w:rPr>
        <w:t xml:space="preserve">: </w:t>
      </w:r>
      <w:r>
        <w:rPr>
          <w:u w:val="single"/>
        </w:rPr>
        <w:t>Standard Deviation of Factor Scores</w:t>
      </w:r>
      <w:r w:rsidR="00F47BBF">
        <w:rPr>
          <w:rStyle w:val="FootnoteReference"/>
          <w:u w:val="single"/>
        </w:rPr>
        <w:footnoteReference w:id="8"/>
      </w:r>
    </w:p>
    <w:tbl>
      <w:tblPr>
        <w:tblW w:w="526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53"/>
        <w:gridCol w:w="1053"/>
        <w:gridCol w:w="1053"/>
        <w:gridCol w:w="1053"/>
        <w:gridCol w:w="1053"/>
      </w:tblGrid>
      <w:tr w:rsidR="00043626" w:rsidRPr="00435A50" w:rsidTr="00043626">
        <w:trPr>
          <w:trHeight w:val="300"/>
        </w:trPr>
        <w:tc>
          <w:tcPr>
            <w:tcW w:w="1053" w:type="dxa"/>
            <w:shd w:val="clear" w:color="auto" w:fill="auto"/>
            <w:noWrap/>
            <w:vAlign w:val="bottom"/>
            <w:hideMark/>
          </w:tcPr>
          <w:p w:rsidR="00043626" w:rsidRPr="00435A50" w:rsidRDefault="00043626" w:rsidP="00B137CD">
            <w:pPr>
              <w:spacing w:before="0" w:after="0" w:line="240" w:lineRule="auto"/>
              <w:jc w:val="left"/>
              <w:rPr>
                <w:rFonts w:ascii="Calibri" w:eastAsia="Times New Roman" w:hAnsi="Calibri" w:cs="Times New Roman"/>
                <w:color w:val="000000"/>
              </w:rPr>
            </w:pPr>
            <w:r w:rsidRPr="00435A50">
              <w:rPr>
                <w:rFonts w:ascii="Calibri" w:eastAsia="Times New Roman" w:hAnsi="Calibri" w:cs="Times New Roman"/>
                <w:color w:val="000000"/>
                <w:sz w:val="22"/>
              </w:rPr>
              <w:t>PC1</w:t>
            </w:r>
          </w:p>
        </w:tc>
        <w:tc>
          <w:tcPr>
            <w:tcW w:w="1053" w:type="dxa"/>
            <w:shd w:val="clear" w:color="auto" w:fill="auto"/>
            <w:noWrap/>
            <w:vAlign w:val="bottom"/>
            <w:hideMark/>
          </w:tcPr>
          <w:p w:rsidR="00043626" w:rsidRPr="00435A50" w:rsidRDefault="00043626" w:rsidP="00B137CD">
            <w:pPr>
              <w:spacing w:before="0" w:after="0" w:line="240" w:lineRule="auto"/>
              <w:jc w:val="left"/>
              <w:rPr>
                <w:rFonts w:ascii="Calibri" w:eastAsia="Times New Roman" w:hAnsi="Calibri" w:cs="Times New Roman"/>
                <w:color w:val="000000"/>
              </w:rPr>
            </w:pPr>
            <w:r w:rsidRPr="00435A50">
              <w:rPr>
                <w:rFonts w:ascii="Calibri" w:eastAsia="Times New Roman" w:hAnsi="Calibri" w:cs="Times New Roman"/>
                <w:color w:val="000000"/>
                <w:sz w:val="22"/>
              </w:rPr>
              <w:t>PC2</w:t>
            </w:r>
          </w:p>
        </w:tc>
        <w:tc>
          <w:tcPr>
            <w:tcW w:w="1053" w:type="dxa"/>
            <w:shd w:val="clear" w:color="auto" w:fill="auto"/>
            <w:noWrap/>
            <w:vAlign w:val="bottom"/>
            <w:hideMark/>
          </w:tcPr>
          <w:p w:rsidR="00043626" w:rsidRPr="00435A50" w:rsidRDefault="00043626" w:rsidP="00B137CD">
            <w:pPr>
              <w:spacing w:before="0" w:after="0" w:line="240" w:lineRule="auto"/>
              <w:jc w:val="left"/>
              <w:rPr>
                <w:rFonts w:ascii="Calibri" w:eastAsia="Times New Roman" w:hAnsi="Calibri" w:cs="Times New Roman"/>
                <w:color w:val="000000"/>
              </w:rPr>
            </w:pPr>
            <w:r w:rsidRPr="00435A50">
              <w:rPr>
                <w:rFonts w:ascii="Calibri" w:eastAsia="Times New Roman" w:hAnsi="Calibri" w:cs="Times New Roman"/>
                <w:color w:val="000000"/>
                <w:sz w:val="22"/>
              </w:rPr>
              <w:t>PC3</w:t>
            </w:r>
          </w:p>
        </w:tc>
        <w:tc>
          <w:tcPr>
            <w:tcW w:w="1053" w:type="dxa"/>
            <w:shd w:val="clear" w:color="auto" w:fill="auto"/>
            <w:noWrap/>
            <w:vAlign w:val="bottom"/>
            <w:hideMark/>
          </w:tcPr>
          <w:p w:rsidR="00043626" w:rsidRPr="00435A50" w:rsidRDefault="00043626" w:rsidP="00B137CD">
            <w:pPr>
              <w:spacing w:before="0" w:after="0" w:line="240" w:lineRule="auto"/>
              <w:jc w:val="left"/>
              <w:rPr>
                <w:rFonts w:ascii="Calibri" w:eastAsia="Times New Roman" w:hAnsi="Calibri" w:cs="Times New Roman"/>
                <w:color w:val="000000"/>
              </w:rPr>
            </w:pPr>
            <w:r w:rsidRPr="00435A50">
              <w:rPr>
                <w:rFonts w:ascii="Calibri" w:eastAsia="Times New Roman" w:hAnsi="Calibri" w:cs="Times New Roman"/>
                <w:color w:val="000000"/>
                <w:sz w:val="22"/>
              </w:rPr>
              <w:t>PC4</w:t>
            </w:r>
          </w:p>
        </w:tc>
        <w:tc>
          <w:tcPr>
            <w:tcW w:w="1053" w:type="dxa"/>
            <w:shd w:val="clear" w:color="auto" w:fill="auto"/>
            <w:noWrap/>
            <w:vAlign w:val="bottom"/>
            <w:hideMark/>
          </w:tcPr>
          <w:p w:rsidR="00043626" w:rsidRPr="00435A50" w:rsidRDefault="00043626" w:rsidP="00B137CD">
            <w:pPr>
              <w:spacing w:before="0" w:after="0" w:line="240" w:lineRule="auto"/>
              <w:jc w:val="left"/>
              <w:rPr>
                <w:rFonts w:ascii="Calibri" w:eastAsia="Times New Roman" w:hAnsi="Calibri" w:cs="Times New Roman"/>
                <w:color w:val="000000"/>
              </w:rPr>
            </w:pPr>
            <w:r w:rsidRPr="00435A50">
              <w:rPr>
                <w:rFonts w:ascii="Calibri" w:eastAsia="Times New Roman" w:hAnsi="Calibri" w:cs="Times New Roman"/>
                <w:color w:val="000000"/>
                <w:sz w:val="22"/>
              </w:rPr>
              <w:t>PC5</w:t>
            </w:r>
          </w:p>
        </w:tc>
      </w:tr>
      <w:tr w:rsidR="00043626" w:rsidRPr="00435A50" w:rsidTr="00043626">
        <w:trPr>
          <w:trHeight w:val="300"/>
        </w:trPr>
        <w:tc>
          <w:tcPr>
            <w:tcW w:w="1053" w:type="dxa"/>
            <w:shd w:val="clear" w:color="auto" w:fill="auto"/>
            <w:noWrap/>
            <w:vAlign w:val="bottom"/>
            <w:hideMark/>
          </w:tcPr>
          <w:p w:rsidR="00043626" w:rsidRDefault="00043626">
            <w:pPr>
              <w:jc w:val="right"/>
              <w:rPr>
                <w:rFonts w:ascii="Calibri" w:hAnsi="Calibri"/>
                <w:color w:val="000000"/>
              </w:rPr>
            </w:pPr>
            <w:r>
              <w:rPr>
                <w:rFonts w:ascii="Calibri" w:hAnsi="Calibri"/>
                <w:color w:val="000000"/>
                <w:sz w:val="22"/>
              </w:rPr>
              <w:t>16.066</w:t>
            </w:r>
          </w:p>
        </w:tc>
        <w:tc>
          <w:tcPr>
            <w:tcW w:w="1053" w:type="dxa"/>
            <w:shd w:val="clear" w:color="auto" w:fill="auto"/>
            <w:noWrap/>
            <w:vAlign w:val="bottom"/>
            <w:hideMark/>
          </w:tcPr>
          <w:p w:rsidR="00043626" w:rsidRDefault="00043626">
            <w:pPr>
              <w:jc w:val="right"/>
              <w:rPr>
                <w:rFonts w:ascii="Calibri" w:hAnsi="Calibri"/>
                <w:color w:val="000000"/>
              </w:rPr>
            </w:pPr>
            <w:r>
              <w:rPr>
                <w:rFonts w:ascii="Calibri" w:hAnsi="Calibri"/>
                <w:color w:val="000000"/>
                <w:sz w:val="22"/>
              </w:rPr>
              <w:t>12.986</w:t>
            </w:r>
          </w:p>
        </w:tc>
        <w:tc>
          <w:tcPr>
            <w:tcW w:w="1053" w:type="dxa"/>
            <w:shd w:val="clear" w:color="auto" w:fill="auto"/>
            <w:noWrap/>
            <w:vAlign w:val="bottom"/>
            <w:hideMark/>
          </w:tcPr>
          <w:p w:rsidR="00043626" w:rsidRDefault="00043626">
            <w:pPr>
              <w:jc w:val="right"/>
              <w:rPr>
                <w:rFonts w:ascii="Calibri" w:hAnsi="Calibri"/>
                <w:color w:val="000000"/>
              </w:rPr>
            </w:pPr>
            <w:r>
              <w:rPr>
                <w:rFonts w:ascii="Calibri" w:hAnsi="Calibri"/>
                <w:color w:val="000000"/>
                <w:sz w:val="22"/>
              </w:rPr>
              <w:t>3.2856</w:t>
            </w:r>
          </w:p>
        </w:tc>
        <w:tc>
          <w:tcPr>
            <w:tcW w:w="1053" w:type="dxa"/>
            <w:shd w:val="clear" w:color="auto" w:fill="auto"/>
            <w:noWrap/>
            <w:vAlign w:val="bottom"/>
            <w:hideMark/>
          </w:tcPr>
          <w:p w:rsidR="00043626" w:rsidRDefault="00043626">
            <w:pPr>
              <w:jc w:val="right"/>
              <w:rPr>
                <w:rFonts w:ascii="Calibri" w:hAnsi="Calibri"/>
                <w:color w:val="000000"/>
              </w:rPr>
            </w:pPr>
            <w:r>
              <w:rPr>
                <w:rFonts w:ascii="Calibri" w:hAnsi="Calibri"/>
                <w:color w:val="000000"/>
                <w:sz w:val="22"/>
              </w:rPr>
              <w:t>2.6711</w:t>
            </w:r>
          </w:p>
        </w:tc>
        <w:tc>
          <w:tcPr>
            <w:tcW w:w="1053" w:type="dxa"/>
            <w:shd w:val="clear" w:color="auto" w:fill="auto"/>
            <w:noWrap/>
            <w:vAlign w:val="bottom"/>
            <w:hideMark/>
          </w:tcPr>
          <w:p w:rsidR="00043626" w:rsidRDefault="00043626">
            <w:pPr>
              <w:jc w:val="right"/>
              <w:rPr>
                <w:rFonts w:ascii="Calibri" w:hAnsi="Calibri"/>
                <w:color w:val="000000"/>
              </w:rPr>
            </w:pPr>
            <w:r>
              <w:rPr>
                <w:rFonts w:ascii="Calibri" w:hAnsi="Calibri"/>
                <w:color w:val="000000"/>
                <w:sz w:val="22"/>
              </w:rPr>
              <w:t>2.1212</w:t>
            </w:r>
          </w:p>
        </w:tc>
      </w:tr>
    </w:tbl>
    <w:p w:rsidR="00F47BBF" w:rsidRDefault="00F47BBF" w:rsidP="00B53CAE"/>
    <w:p w:rsidR="00B53CAE" w:rsidRPr="000A5B5F" w:rsidRDefault="00B53CAE" w:rsidP="00B53CAE">
      <w:pPr>
        <w:rPr>
          <w:u w:val="single"/>
        </w:rPr>
      </w:pPr>
      <w:r w:rsidRPr="00F11B0E">
        <w:rPr>
          <w:u w:val="single"/>
        </w:rPr>
        <w:t xml:space="preserve">Table </w:t>
      </w:r>
      <w:r>
        <w:rPr>
          <w:u w:val="single"/>
        </w:rPr>
        <w:t>6</w:t>
      </w:r>
      <w:r w:rsidRPr="00F11B0E">
        <w:rPr>
          <w:u w:val="single"/>
        </w:rPr>
        <w:t xml:space="preserve">: </w:t>
      </w:r>
      <w:r>
        <w:rPr>
          <w:u w:val="single"/>
        </w:rPr>
        <w:t>TBs rate Moves</w:t>
      </w:r>
    </w:p>
    <w:tbl>
      <w:tblPr>
        <w:tblW w:w="432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17"/>
        <w:gridCol w:w="1198"/>
        <w:gridCol w:w="1053"/>
      </w:tblGrid>
      <w:tr w:rsidR="00B53CAE" w:rsidRPr="00435A50" w:rsidTr="00B53CAE">
        <w:trPr>
          <w:trHeight w:val="300"/>
        </w:trPr>
        <w:tc>
          <w:tcPr>
            <w:tcW w:w="2317" w:type="dxa"/>
            <w:shd w:val="clear" w:color="auto" w:fill="auto"/>
            <w:noWrap/>
            <w:vAlign w:val="bottom"/>
            <w:hideMark/>
          </w:tcPr>
          <w:p w:rsidR="00B53CAE" w:rsidRPr="00435A50" w:rsidRDefault="00B53CAE" w:rsidP="00911788">
            <w:pPr>
              <w:spacing w:before="0" w:after="0" w:line="240" w:lineRule="auto"/>
              <w:jc w:val="left"/>
              <w:rPr>
                <w:rFonts w:ascii="Calibri" w:eastAsia="Times New Roman" w:hAnsi="Calibri" w:cs="Times New Roman"/>
                <w:color w:val="000000"/>
              </w:rPr>
            </w:pPr>
            <w:r w:rsidRPr="00435A50">
              <w:rPr>
                <w:rFonts w:ascii="Calibri" w:eastAsia="Times New Roman" w:hAnsi="Calibri" w:cs="Times New Roman"/>
                <w:color w:val="000000"/>
                <w:sz w:val="22"/>
              </w:rPr>
              <w:t> </w:t>
            </w:r>
            <w:r>
              <w:rPr>
                <w:rFonts w:ascii="Calibri" w:eastAsia="Times New Roman" w:hAnsi="Calibri" w:cs="Times New Roman"/>
                <w:color w:val="000000"/>
                <w:sz w:val="22"/>
              </w:rPr>
              <w:t>In basis points</w:t>
            </w:r>
          </w:p>
        </w:tc>
        <w:tc>
          <w:tcPr>
            <w:tcW w:w="1198" w:type="dxa"/>
            <w:shd w:val="clear" w:color="auto" w:fill="auto"/>
            <w:noWrap/>
            <w:vAlign w:val="bottom"/>
            <w:hideMark/>
          </w:tcPr>
          <w:p w:rsidR="00B53CAE" w:rsidRPr="00435A50" w:rsidRDefault="00B53CAE" w:rsidP="00911788">
            <w:pPr>
              <w:spacing w:before="0" w:after="0" w:line="240" w:lineRule="auto"/>
              <w:jc w:val="left"/>
              <w:rPr>
                <w:rFonts w:ascii="Calibri" w:eastAsia="Times New Roman" w:hAnsi="Calibri" w:cs="Times New Roman"/>
                <w:color w:val="000000"/>
              </w:rPr>
            </w:pPr>
            <w:r w:rsidRPr="00435A50">
              <w:rPr>
                <w:rFonts w:ascii="Calibri" w:eastAsia="Times New Roman" w:hAnsi="Calibri" w:cs="Times New Roman"/>
                <w:color w:val="000000"/>
                <w:sz w:val="22"/>
              </w:rPr>
              <w:t>PC1</w:t>
            </w:r>
          </w:p>
        </w:tc>
        <w:tc>
          <w:tcPr>
            <w:tcW w:w="810" w:type="dxa"/>
            <w:shd w:val="clear" w:color="auto" w:fill="auto"/>
            <w:noWrap/>
            <w:vAlign w:val="bottom"/>
            <w:hideMark/>
          </w:tcPr>
          <w:p w:rsidR="00B53CAE" w:rsidRPr="00435A50" w:rsidRDefault="00B53CAE" w:rsidP="00911788">
            <w:pPr>
              <w:spacing w:before="0" w:after="0" w:line="240" w:lineRule="auto"/>
              <w:jc w:val="left"/>
              <w:rPr>
                <w:rFonts w:ascii="Calibri" w:eastAsia="Times New Roman" w:hAnsi="Calibri" w:cs="Times New Roman"/>
                <w:color w:val="000000"/>
              </w:rPr>
            </w:pPr>
            <w:r w:rsidRPr="00435A50">
              <w:rPr>
                <w:rFonts w:ascii="Calibri" w:eastAsia="Times New Roman" w:hAnsi="Calibri" w:cs="Times New Roman"/>
                <w:color w:val="000000"/>
                <w:sz w:val="22"/>
              </w:rPr>
              <w:t>PC2</w:t>
            </w:r>
          </w:p>
        </w:tc>
      </w:tr>
      <w:tr w:rsidR="00B53CAE" w:rsidRPr="00435A50" w:rsidTr="00B53CAE">
        <w:trPr>
          <w:trHeight w:val="300"/>
        </w:trPr>
        <w:tc>
          <w:tcPr>
            <w:tcW w:w="2317" w:type="dxa"/>
            <w:shd w:val="clear" w:color="auto" w:fill="auto"/>
            <w:noWrap/>
            <w:vAlign w:val="bottom"/>
            <w:hideMark/>
          </w:tcPr>
          <w:p w:rsidR="00B53CAE" w:rsidRPr="00435A50" w:rsidRDefault="00B53CAE" w:rsidP="00911788">
            <w:pPr>
              <w:spacing w:before="0" w:after="0" w:line="240" w:lineRule="auto"/>
              <w:jc w:val="left"/>
              <w:rPr>
                <w:rFonts w:ascii="Calibri" w:eastAsia="Times New Roman" w:hAnsi="Calibri" w:cs="Times New Roman"/>
                <w:color w:val="000000"/>
              </w:rPr>
            </w:pPr>
            <w:r w:rsidRPr="00435A50">
              <w:rPr>
                <w:rFonts w:ascii="Calibri" w:eastAsia="Times New Roman" w:hAnsi="Calibri" w:cs="Times New Roman"/>
                <w:color w:val="000000"/>
                <w:sz w:val="22"/>
              </w:rPr>
              <w:t>3 Months</w:t>
            </w:r>
          </w:p>
        </w:tc>
        <w:tc>
          <w:tcPr>
            <w:tcW w:w="1198" w:type="dxa"/>
            <w:shd w:val="clear" w:color="auto" w:fill="auto"/>
            <w:noWrap/>
            <w:vAlign w:val="bottom"/>
            <w:hideMark/>
          </w:tcPr>
          <w:p w:rsidR="00B53CAE" w:rsidRDefault="00B53CAE">
            <w:pPr>
              <w:jc w:val="right"/>
              <w:rPr>
                <w:rFonts w:ascii="Calibri" w:hAnsi="Calibri"/>
                <w:color w:val="000000"/>
              </w:rPr>
            </w:pPr>
            <w:r>
              <w:rPr>
                <w:rFonts w:ascii="Calibri" w:hAnsi="Calibri"/>
                <w:color w:val="000000"/>
                <w:sz w:val="22"/>
              </w:rPr>
              <w:t>5.666044</w:t>
            </w:r>
          </w:p>
        </w:tc>
        <w:tc>
          <w:tcPr>
            <w:tcW w:w="810" w:type="dxa"/>
            <w:shd w:val="clear" w:color="auto" w:fill="auto"/>
            <w:noWrap/>
            <w:vAlign w:val="bottom"/>
            <w:hideMark/>
          </w:tcPr>
          <w:p w:rsidR="00B53CAE" w:rsidRDefault="00B53CAE">
            <w:pPr>
              <w:jc w:val="right"/>
              <w:rPr>
                <w:rFonts w:ascii="Calibri" w:hAnsi="Calibri"/>
                <w:color w:val="000000"/>
              </w:rPr>
            </w:pPr>
            <w:r>
              <w:rPr>
                <w:rFonts w:ascii="Calibri" w:hAnsi="Calibri"/>
                <w:color w:val="000000"/>
                <w:sz w:val="22"/>
              </w:rPr>
              <w:t>-0.99914</w:t>
            </w:r>
          </w:p>
        </w:tc>
      </w:tr>
      <w:tr w:rsidR="00B53CAE" w:rsidRPr="00435A50" w:rsidTr="00B53CAE">
        <w:trPr>
          <w:trHeight w:val="300"/>
        </w:trPr>
        <w:tc>
          <w:tcPr>
            <w:tcW w:w="2317" w:type="dxa"/>
            <w:shd w:val="clear" w:color="auto" w:fill="auto"/>
            <w:noWrap/>
            <w:vAlign w:val="bottom"/>
            <w:hideMark/>
          </w:tcPr>
          <w:p w:rsidR="00B53CAE" w:rsidRPr="00435A50" w:rsidRDefault="00B53CAE" w:rsidP="00911788">
            <w:pPr>
              <w:spacing w:before="0" w:after="0" w:line="240" w:lineRule="auto"/>
              <w:jc w:val="left"/>
              <w:rPr>
                <w:rFonts w:ascii="Calibri" w:eastAsia="Times New Roman" w:hAnsi="Calibri" w:cs="Times New Roman"/>
                <w:color w:val="000000"/>
              </w:rPr>
            </w:pPr>
            <w:r w:rsidRPr="00435A50">
              <w:rPr>
                <w:rFonts w:ascii="Calibri" w:eastAsia="Times New Roman" w:hAnsi="Calibri" w:cs="Times New Roman"/>
                <w:color w:val="000000"/>
                <w:sz w:val="22"/>
              </w:rPr>
              <w:t>6</w:t>
            </w:r>
            <w:r>
              <w:rPr>
                <w:rFonts w:ascii="Calibri" w:eastAsia="Times New Roman" w:hAnsi="Calibri" w:cs="Times New Roman"/>
                <w:color w:val="000000"/>
                <w:sz w:val="22"/>
              </w:rPr>
              <w:t xml:space="preserve"> </w:t>
            </w:r>
            <w:r w:rsidRPr="00435A50">
              <w:rPr>
                <w:rFonts w:ascii="Calibri" w:eastAsia="Times New Roman" w:hAnsi="Calibri" w:cs="Times New Roman"/>
                <w:color w:val="000000"/>
                <w:sz w:val="22"/>
              </w:rPr>
              <w:t>Months</w:t>
            </w:r>
          </w:p>
        </w:tc>
        <w:tc>
          <w:tcPr>
            <w:tcW w:w="1198" w:type="dxa"/>
            <w:shd w:val="clear" w:color="auto" w:fill="auto"/>
            <w:noWrap/>
            <w:vAlign w:val="bottom"/>
            <w:hideMark/>
          </w:tcPr>
          <w:p w:rsidR="00B53CAE" w:rsidRDefault="00B53CAE">
            <w:pPr>
              <w:jc w:val="right"/>
              <w:rPr>
                <w:rFonts w:ascii="Calibri" w:hAnsi="Calibri"/>
                <w:color w:val="000000"/>
              </w:rPr>
            </w:pPr>
            <w:r>
              <w:rPr>
                <w:rFonts w:ascii="Calibri" w:hAnsi="Calibri"/>
                <w:color w:val="000000"/>
                <w:sz w:val="22"/>
              </w:rPr>
              <w:t>8.715018</w:t>
            </w:r>
          </w:p>
        </w:tc>
        <w:tc>
          <w:tcPr>
            <w:tcW w:w="810" w:type="dxa"/>
            <w:shd w:val="clear" w:color="auto" w:fill="auto"/>
            <w:noWrap/>
            <w:vAlign w:val="bottom"/>
            <w:hideMark/>
          </w:tcPr>
          <w:p w:rsidR="00B53CAE" w:rsidRDefault="00B53CAE">
            <w:pPr>
              <w:jc w:val="right"/>
              <w:rPr>
                <w:rFonts w:ascii="Calibri" w:hAnsi="Calibri"/>
                <w:color w:val="000000"/>
              </w:rPr>
            </w:pPr>
            <w:r>
              <w:rPr>
                <w:rFonts w:ascii="Calibri" w:hAnsi="Calibri"/>
                <w:color w:val="000000"/>
                <w:sz w:val="22"/>
              </w:rPr>
              <w:t>-0.9311</w:t>
            </w:r>
          </w:p>
        </w:tc>
      </w:tr>
      <w:tr w:rsidR="00B53CAE" w:rsidRPr="00435A50" w:rsidTr="00B53CAE">
        <w:trPr>
          <w:trHeight w:val="300"/>
        </w:trPr>
        <w:tc>
          <w:tcPr>
            <w:tcW w:w="2317" w:type="dxa"/>
            <w:shd w:val="clear" w:color="auto" w:fill="auto"/>
            <w:noWrap/>
            <w:vAlign w:val="bottom"/>
            <w:hideMark/>
          </w:tcPr>
          <w:p w:rsidR="00B53CAE" w:rsidRPr="00435A50" w:rsidRDefault="00B53CAE" w:rsidP="00911788">
            <w:pPr>
              <w:spacing w:before="0" w:after="0" w:line="240" w:lineRule="auto"/>
              <w:jc w:val="left"/>
              <w:rPr>
                <w:rFonts w:ascii="Calibri" w:eastAsia="Times New Roman" w:hAnsi="Calibri" w:cs="Times New Roman"/>
                <w:color w:val="000000"/>
              </w:rPr>
            </w:pPr>
            <w:r w:rsidRPr="00435A50">
              <w:rPr>
                <w:rFonts w:ascii="Calibri" w:eastAsia="Times New Roman" w:hAnsi="Calibri" w:cs="Times New Roman"/>
                <w:color w:val="000000"/>
                <w:sz w:val="22"/>
              </w:rPr>
              <w:t>1</w:t>
            </w:r>
            <w:r>
              <w:rPr>
                <w:rFonts w:ascii="Calibri" w:eastAsia="Times New Roman" w:hAnsi="Calibri" w:cs="Times New Roman"/>
                <w:color w:val="000000"/>
                <w:sz w:val="22"/>
              </w:rPr>
              <w:t xml:space="preserve"> </w:t>
            </w:r>
            <w:r w:rsidRPr="00435A50">
              <w:rPr>
                <w:rFonts w:ascii="Calibri" w:eastAsia="Times New Roman" w:hAnsi="Calibri" w:cs="Times New Roman"/>
                <w:color w:val="000000"/>
                <w:sz w:val="22"/>
              </w:rPr>
              <w:t>Y</w:t>
            </w:r>
            <w:r>
              <w:rPr>
                <w:rFonts w:ascii="Calibri" w:eastAsia="Times New Roman" w:hAnsi="Calibri" w:cs="Times New Roman"/>
                <w:color w:val="000000"/>
                <w:sz w:val="22"/>
              </w:rPr>
              <w:t>ea</w:t>
            </w:r>
            <w:r w:rsidRPr="00435A50">
              <w:rPr>
                <w:rFonts w:ascii="Calibri" w:eastAsia="Times New Roman" w:hAnsi="Calibri" w:cs="Times New Roman"/>
                <w:color w:val="000000"/>
                <w:sz w:val="22"/>
              </w:rPr>
              <w:t>r</w:t>
            </w:r>
          </w:p>
        </w:tc>
        <w:tc>
          <w:tcPr>
            <w:tcW w:w="1198" w:type="dxa"/>
            <w:shd w:val="clear" w:color="auto" w:fill="auto"/>
            <w:noWrap/>
            <w:vAlign w:val="bottom"/>
            <w:hideMark/>
          </w:tcPr>
          <w:p w:rsidR="00B53CAE" w:rsidRDefault="00B53CAE">
            <w:pPr>
              <w:jc w:val="right"/>
              <w:rPr>
                <w:rFonts w:ascii="Calibri" w:hAnsi="Calibri"/>
                <w:color w:val="000000"/>
              </w:rPr>
            </w:pPr>
            <w:r>
              <w:rPr>
                <w:rFonts w:ascii="Calibri" w:hAnsi="Calibri"/>
                <w:color w:val="000000"/>
                <w:sz w:val="22"/>
              </w:rPr>
              <w:t>8.313753</w:t>
            </w:r>
          </w:p>
        </w:tc>
        <w:tc>
          <w:tcPr>
            <w:tcW w:w="810" w:type="dxa"/>
            <w:shd w:val="clear" w:color="auto" w:fill="auto"/>
            <w:noWrap/>
            <w:vAlign w:val="bottom"/>
            <w:hideMark/>
          </w:tcPr>
          <w:p w:rsidR="00B53CAE" w:rsidRDefault="00B53CAE">
            <w:pPr>
              <w:jc w:val="right"/>
              <w:rPr>
                <w:rFonts w:ascii="Calibri" w:hAnsi="Calibri"/>
                <w:color w:val="000000"/>
              </w:rPr>
            </w:pPr>
            <w:r>
              <w:rPr>
                <w:rFonts w:ascii="Calibri" w:hAnsi="Calibri"/>
                <w:color w:val="000000"/>
                <w:sz w:val="22"/>
              </w:rPr>
              <w:t>-1.36314</w:t>
            </w:r>
          </w:p>
        </w:tc>
      </w:tr>
      <w:tr w:rsidR="00B53CAE" w:rsidRPr="00435A50" w:rsidTr="00B53CAE">
        <w:trPr>
          <w:trHeight w:val="300"/>
        </w:trPr>
        <w:tc>
          <w:tcPr>
            <w:tcW w:w="2317" w:type="dxa"/>
            <w:shd w:val="clear" w:color="auto" w:fill="auto"/>
            <w:noWrap/>
            <w:vAlign w:val="bottom"/>
            <w:hideMark/>
          </w:tcPr>
          <w:p w:rsidR="00B53CAE" w:rsidRPr="00435A50" w:rsidRDefault="00B53CAE" w:rsidP="00911788">
            <w:pPr>
              <w:spacing w:before="0" w:after="0" w:line="240" w:lineRule="auto"/>
              <w:jc w:val="left"/>
              <w:rPr>
                <w:rFonts w:ascii="Calibri" w:eastAsia="Times New Roman" w:hAnsi="Calibri" w:cs="Times New Roman"/>
                <w:color w:val="000000"/>
              </w:rPr>
            </w:pPr>
            <w:r w:rsidRPr="00435A50">
              <w:rPr>
                <w:rFonts w:ascii="Calibri" w:eastAsia="Times New Roman" w:hAnsi="Calibri" w:cs="Times New Roman"/>
                <w:color w:val="000000"/>
                <w:sz w:val="22"/>
              </w:rPr>
              <w:lastRenderedPageBreak/>
              <w:t>2</w:t>
            </w:r>
            <w:r>
              <w:rPr>
                <w:rFonts w:ascii="Calibri" w:eastAsia="Times New Roman" w:hAnsi="Calibri" w:cs="Times New Roman"/>
                <w:color w:val="000000"/>
                <w:sz w:val="22"/>
              </w:rPr>
              <w:t xml:space="preserve"> </w:t>
            </w:r>
            <w:r w:rsidRPr="00435A50">
              <w:rPr>
                <w:rFonts w:ascii="Calibri" w:eastAsia="Times New Roman" w:hAnsi="Calibri" w:cs="Times New Roman"/>
                <w:color w:val="000000"/>
                <w:sz w:val="22"/>
              </w:rPr>
              <w:t>Y</w:t>
            </w:r>
            <w:r>
              <w:rPr>
                <w:rFonts w:ascii="Calibri" w:eastAsia="Times New Roman" w:hAnsi="Calibri" w:cs="Times New Roman"/>
                <w:color w:val="000000"/>
                <w:sz w:val="22"/>
              </w:rPr>
              <w:t>ea</w:t>
            </w:r>
            <w:r w:rsidRPr="00435A50">
              <w:rPr>
                <w:rFonts w:ascii="Calibri" w:eastAsia="Times New Roman" w:hAnsi="Calibri" w:cs="Times New Roman"/>
                <w:color w:val="000000"/>
                <w:sz w:val="22"/>
              </w:rPr>
              <w:t>rs</w:t>
            </w:r>
          </w:p>
        </w:tc>
        <w:tc>
          <w:tcPr>
            <w:tcW w:w="1198" w:type="dxa"/>
            <w:shd w:val="clear" w:color="auto" w:fill="auto"/>
            <w:noWrap/>
            <w:vAlign w:val="bottom"/>
            <w:hideMark/>
          </w:tcPr>
          <w:p w:rsidR="00B53CAE" w:rsidRDefault="00B53CAE">
            <w:pPr>
              <w:jc w:val="right"/>
              <w:rPr>
                <w:rFonts w:ascii="Calibri" w:hAnsi="Calibri"/>
                <w:color w:val="000000"/>
              </w:rPr>
            </w:pPr>
            <w:r>
              <w:rPr>
                <w:rFonts w:ascii="Calibri" w:hAnsi="Calibri"/>
                <w:color w:val="000000"/>
                <w:sz w:val="22"/>
              </w:rPr>
              <w:t>8.513775</w:t>
            </w:r>
          </w:p>
        </w:tc>
        <w:tc>
          <w:tcPr>
            <w:tcW w:w="810" w:type="dxa"/>
            <w:shd w:val="clear" w:color="auto" w:fill="auto"/>
            <w:noWrap/>
            <w:vAlign w:val="bottom"/>
            <w:hideMark/>
          </w:tcPr>
          <w:p w:rsidR="00B53CAE" w:rsidRDefault="00B53CAE">
            <w:pPr>
              <w:jc w:val="right"/>
              <w:rPr>
                <w:rFonts w:ascii="Calibri" w:hAnsi="Calibri"/>
                <w:color w:val="000000"/>
              </w:rPr>
            </w:pPr>
            <w:r>
              <w:rPr>
                <w:rFonts w:ascii="Calibri" w:hAnsi="Calibri"/>
                <w:color w:val="000000"/>
                <w:sz w:val="22"/>
              </w:rPr>
              <w:t>-1.41093</w:t>
            </w:r>
          </w:p>
        </w:tc>
      </w:tr>
      <w:tr w:rsidR="00B53CAE" w:rsidRPr="00435A50" w:rsidTr="00B53CAE">
        <w:trPr>
          <w:trHeight w:val="300"/>
        </w:trPr>
        <w:tc>
          <w:tcPr>
            <w:tcW w:w="2317" w:type="dxa"/>
            <w:shd w:val="clear" w:color="auto" w:fill="auto"/>
            <w:noWrap/>
            <w:vAlign w:val="bottom"/>
            <w:hideMark/>
          </w:tcPr>
          <w:p w:rsidR="00B53CAE" w:rsidRPr="00435A50" w:rsidRDefault="00B53CAE" w:rsidP="00911788">
            <w:pPr>
              <w:spacing w:before="0" w:after="0" w:line="240" w:lineRule="auto"/>
              <w:jc w:val="left"/>
              <w:rPr>
                <w:rFonts w:ascii="Calibri" w:eastAsia="Times New Roman" w:hAnsi="Calibri" w:cs="Times New Roman"/>
                <w:color w:val="000000"/>
              </w:rPr>
            </w:pPr>
            <w:r w:rsidRPr="00435A50">
              <w:rPr>
                <w:rFonts w:ascii="Calibri" w:eastAsia="Times New Roman" w:hAnsi="Calibri" w:cs="Times New Roman"/>
                <w:color w:val="000000"/>
                <w:sz w:val="22"/>
              </w:rPr>
              <w:t>3</w:t>
            </w:r>
            <w:r>
              <w:rPr>
                <w:rFonts w:ascii="Calibri" w:eastAsia="Times New Roman" w:hAnsi="Calibri" w:cs="Times New Roman"/>
                <w:color w:val="000000"/>
                <w:sz w:val="22"/>
              </w:rPr>
              <w:t xml:space="preserve"> </w:t>
            </w:r>
            <w:r w:rsidRPr="00435A50">
              <w:rPr>
                <w:rFonts w:ascii="Calibri" w:eastAsia="Times New Roman" w:hAnsi="Calibri" w:cs="Times New Roman"/>
                <w:color w:val="000000"/>
                <w:sz w:val="22"/>
              </w:rPr>
              <w:t>Y</w:t>
            </w:r>
            <w:r>
              <w:rPr>
                <w:rFonts w:ascii="Calibri" w:eastAsia="Times New Roman" w:hAnsi="Calibri" w:cs="Times New Roman"/>
                <w:color w:val="000000"/>
                <w:sz w:val="22"/>
              </w:rPr>
              <w:t>ea</w:t>
            </w:r>
            <w:r w:rsidRPr="00435A50">
              <w:rPr>
                <w:rFonts w:ascii="Calibri" w:eastAsia="Times New Roman" w:hAnsi="Calibri" w:cs="Times New Roman"/>
                <w:color w:val="000000"/>
                <w:sz w:val="22"/>
              </w:rPr>
              <w:t>rs</w:t>
            </w:r>
          </w:p>
        </w:tc>
        <w:tc>
          <w:tcPr>
            <w:tcW w:w="1198" w:type="dxa"/>
            <w:shd w:val="clear" w:color="auto" w:fill="auto"/>
            <w:noWrap/>
            <w:vAlign w:val="bottom"/>
            <w:hideMark/>
          </w:tcPr>
          <w:p w:rsidR="00B53CAE" w:rsidRDefault="00B53CAE">
            <w:pPr>
              <w:jc w:val="right"/>
              <w:rPr>
                <w:rFonts w:ascii="Calibri" w:hAnsi="Calibri"/>
                <w:color w:val="000000"/>
              </w:rPr>
            </w:pPr>
            <w:r>
              <w:rPr>
                <w:rFonts w:ascii="Calibri" w:hAnsi="Calibri"/>
                <w:color w:val="000000"/>
                <w:sz w:val="22"/>
              </w:rPr>
              <w:t>2.908299</w:t>
            </w:r>
          </w:p>
        </w:tc>
        <w:tc>
          <w:tcPr>
            <w:tcW w:w="810" w:type="dxa"/>
            <w:shd w:val="clear" w:color="auto" w:fill="auto"/>
            <w:noWrap/>
            <w:vAlign w:val="bottom"/>
            <w:hideMark/>
          </w:tcPr>
          <w:p w:rsidR="00B53CAE" w:rsidRDefault="00B53CAE">
            <w:pPr>
              <w:jc w:val="right"/>
              <w:rPr>
                <w:rFonts w:ascii="Calibri" w:hAnsi="Calibri"/>
                <w:color w:val="000000"/>
              </w:rPr>
            </w:pPr>
            <w:r>
              <w:rPr>
                <w:rFonts w:ascii="Calibri" w:hAnsi="Calibri"/>
                <w:color w:val="000000"/>
                <w:sz w:val="22"/>
              </w:rPr>
              <w:t>12.76408</w:t>
            </w:r>
          </w:p>
        </w:tc>
      </w:tr>
    </w:tbl>
    <w:p w:rsidR="00EB3AC1" w:rsidRDefault="00F47BBF" w:rsidP="00C50AF6">
      <w:r>
        <w:t>We conclude that most of the risk in interest rate moves is accounted for by the first two factors</w:t>
      </w:r>
      <w:r w:rsidR="00DF44B9">
        <w:t xml:space="preserve"> (figure 1) and that we can solely relate the risks in this Lebanese portfolio to movements in these factors instead of all five rates. </w:t>
      </w:r>
    </w:p>
    <w:p w:rsidR="00FF5A0E" w:rsidRPr="0099417E" w:rsidRDefault="0099417E" w:rsidP="00C50AF6">
      <w:pPr>
        <w:rPr>
          <w:u w:val="single"/>
        </w:rPr>
      </w:pPr>
      <w:r w:rsidRPr="0099417E">
        <w:rPr>
          <w:u w:val="single"/>
        </w:rPr>
        <w:t>Figure 1: The most Two Important Factors Affecting TBs Rates</w:t>
      </w:r>
    </w:p>
    <w:p w:rsidR="00EB3AC1" w:rsidRDefault="0099417E" w:rsidP="00C50AF6">
      <w:r w:rsidRPr="0099417E">
        <w:rPr>
          <w:noProof/>
        </w:rPr>
        <w:drawing>
          <wp:inline distT="0" distB="0" distL="0" distR="0">
            <wp:extent cx="4657725" cy="2804746"/>
            <wp:effectExtent l="19050" t="0" r="9525" b="0"/>
            <wp:docPr id="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5066D5" w:rsidRDefault="005066D5" w:rsidP="006C73A7">
      <w:pPr>
        <w:rPr>
          <w:rFonts w:cs="Times New Roman"/>
          <w:b/>
          <w:szCs w:val="24"/>
        </w:rPr>
      </w:pPr>
    </w:p>
    <w:p w:rsidR="005071B0" w:rsidRDefault="005D2D4B" w:rsidP="007E1FAC">
      <w:pPr>
        <w:pStyle w:val="ListParagraph"/>
        <w:numPr>
          <w:ilvl w:val="0"/>
          <w:numId w:val="1"/>
        </w:numPr>
        <w:rPr>
          <w:rFonts w:cs="Times New Roman"/>
          <w:b/>
          <w:szCs w:val="24"/>
        </w:rPr>
      </w:pPr>
      <w:r>
        <w:rPr>
          <w:rFonts w:cs="Times New Roman"/>
          <w:b/>
          <w:szCs w:val="24"/>
        </w:rPr>
        <w:t xml:space="preserve">Discussion and </w:t>
      </w:r>
      <w:r w:rsidR="00F362F9">
        <w:rPr>
          <w:rFonts w:cs="Times New Roman"/>
          <w:b/>
          <w:szCs w:val="24"/>
        </w:rPr>
        <w:t>Conclusion</w:t>
      </w:r>
    </w:p>
    <w:p w:rsidR="00240D8E" w:rsidRDefault="00E004AB" w:rsidP="00A87A13">
      <w:pPr>
        <w:rPr>
          <w:rFonts w:cs="Times New Roman"/>
        </w:rPr>
      </w:pPr>
      <w:r>
        <w:t>The advantage of using principal components analysis is that it indicates the most appropriate shifts to consider while providing information on the relative importance of</w:t>
      </w:r>
      <w:r w:rsidR="00F9277C">
        <w:t xml:space="preserve"> these</w:t>
      </w:r>
      <w:r>
        <w:t xml:space="preserve"> shifts. </w:t>
      </w:r>
      <w:r w:rsidR="00911788">
        <w:t>Also,</w:t>
      </w:r>
      <w:r>
        <w:t xml:space="preserve"> it gives an alternative way of calculating deltas. </w:t>
      </w:r>
      <w:r w:rsidR="00911788">
        <w:t>After measuring a one-basis-point change in the five different maturities of the portfolio</w:t>
      </w:r>
      <w:r w:rsidR="002445DE">
        <w:t xml:space="preserve">, it becomes straightforward to use the first two significant factors to model rate moves and calculate the delta exposure of the portfolio. Therefore, </w:t>
      </w:r>
      <w:r w:rsidR="00D268DF">
        <w:t>delta exposure to each of the selected factors can be measured in dollars per unit of the factor with the factor loading being assumed to be in basis points</w:t>
      </w:r>
      <w:r w:rsidR="00D268DF">
        <w:rPr>
          <w:rStyle w:val="FootnoteReference"/>
        </w:rPr>
        <w:footnoteReference w:id="9"/>
      </w:r>
      <w:r w:rsidR="00D268DF">
        <w:t xml:space="preserve">. </w:t>
      </w:r>
      <w:r w:rsidR="002445DE">
        <w:t xml:space="preserve"> </w:t>
      </w:r>
      <w:r w:rsidR="0025322B">
        <w:t xml:space="preserve">Both deltas are </w:t>
      </w:r>
      <w:r w:rsidR="005035EE">
        <w:t xml:space="preserve">positive and greater than one </w:t>
      </w:r>
      <w:r w:rsidR="0029089A">
        <w:t xml:space="preserve">and </w:t>
      </w:r>
      <w:r w:rsidR="005035EE">
        <w:t xml:space="preserve">consequently </w:t>
      </w:r>
      <w:r w:rsidR="0029089A">
        <w:t>the portfolio</w:t>
      </w:r>
      <w:r w:rsidR="00E75D28">
        <w:t xml:space="preserve"> </w:t>
      </w:r>
      <w:r w:rsidR="00C61B9F">
        <w:t>lacks</w:t>
      </w:r>
      <w:r w:rsidR="00E53ADE">
        <w:t xml:space="preserve"> all hedging plans and strategies. </w:t>
      </w:r>
      <w:r w:rsidR="0029089A">
        <w:t xml:space="preserve"> </w:t>
      </w:r>
      <w:r w:rsidR="00D73EFA">
        <w:t xml:space="preserve">Despite the limitations of this study </w:t>
      </w:r>
      <w:r w:rsidR="00B25BC2">
        <w:t>regarding</w:t>
      </w:r>
      <w:r w:rsidR="00D73EFA">
        <w:t xml:space="preserve"> the absence of daily data and </w:t>
      </w:r>
      <w:r w:rsidR="00B25BC2">
        <w:t xml:space="preserve">the </w:t>
      </w:r>
      <w:r w:rsidR="00D73EFA">
        <w:t xml:space="preserve">absence of </w:t>
      </w:r>
      <w:r w:rsidR="00D73EFA">
        <w:lastRenderedPageBreak/>
        <w:t xml:space="preserve">transparency </w:t>
      </w:r>
      <w:r w:rsidR="00B25BC2">
        <w:t xml:space="preserve">as to the hedging strategies, we were able to </w:t>
      </w:r>
      <w:r w:rsidR="00B25BC2">
        <w:rPr>
          <w:rFonts w:cs="Times New Roman"/>
        </w:rPr>
        <w:t>quantify in a detailed manner the exposure to all the possible ways the Lebanese yield curve changed since 2006</w:t>
      </w:r>
      <w:r w:rsidR="00240D8E">
        <w:rPr>
          <w:rFonts w:cs="Times New Roman"/>
        </w:rPr>
        <w:t>. This</w:t>
      </w:r>
      <w:r w:rsidR="00B25BC2">
        <w:rPr>
          <w:rFonts w:cs="Times New Roman"/>
        </w:rPr>
        <w:t xml:space="preserve"> constitutes an absolute added value to the </w:t>
      </w:r>
      <w:r w:rsidR="00240D8E">
        <w:rPr>
          <w:rFonts w:cs="Times New Roman"/>
        </w:rPr>
        <w:t xml:space="preserve">very limited </w:t>
      </w:r>
      <w:r w:rsidR="00B25BC2">
        <w:rPr>
          <w:rFonts w:cs="Times New Roman"/>
        </w:rPr>
        <w:t>existing academic work covering risk management in Lebanon.</w:t>
      </w:r>
      <w:r w:rsidR="00240D8E">
        <w:rPr>
          <w:rFonts w:cs="Times New Roman"/>
        </w:rPr>
        <w:t xml:space="preserve"> </w:t>
      </w:r>
      <w:r w:rsidR="00B25BC2">
        <w:rPr>
          <w:rFonts w:cs="Times New Roman"/>
        </w:rPr>
        <w:t xml:space="preserve"> </w:t>
      </w:r>
    </w:p>
    <w:p w:rsidR="005071B0" w:rsidRDefault="00240D8E" w:rsidP="006C73A7">
      <w:pPr>
        <w:rPr>
          <w:rFonts w:cs="Times New Roman"/>
          <w:b/>
          <w:szCs w:val="24"/>
        </w:rPr>
      </w:pPr>
      <w:r>
        <w:rPr>
          <w:rFonts w:cs="Times New Roman"/>
        </w:rPr>
        <w:t xml:space="preserve">There is a lot to be done for Lebanon in the area of risk management. </w:t>
      </w:r>
      <w:r w:rsidR="004D12DB">
        <w:t>So far</w:t>
      </w:r>
      <w:r w:rsidR="007D5B62">
        <w:t xml:space="preserve"> what has been </w:t>
      </w:r>
      <w:r w:rsidR="004D12DB">
        <w:t xml:space="preserve">discussed </w:t>
      </w:r>
      <w:r w:rsidR="007D5B62">
        <w:t xml:space="preserve">in this paper has been of an analytical and quantitative nature. However, </w:t>
      </w:r>
      <w:r w:rsidR="0029089A">
        <w:t xml:space="preserve">the </w:t>
      </w:r>
      <w:r w:rsidR="007D5B62">
        <w:t xml:space="preserve">Lebanese banks did not yet recognize that there is a great deal to know about risk management that is not </w:t>
      </w:r>
      <w:r w:rsidR="004D12DB">
        <w:t>based on words and wishes</w:t>
      </w:r>
      <w:r w:rsidR="007D5B62">
        <w:t>.</w:t>
      </w:r>
      <w:r w:rsidR="00B03044">
        <w:t xml:space="preserve"> We are not sure if the Lebanese banks’ infrastructure is conductive to the practice of risk management. </w:t>
      </w:r>
      <w:r w:rsidR="005035EE">
        <w:t xml:space="preserve">All of the quantitative models and analytical knowledge would be wasted if banks cannot implement sound risk management. </w:t>
      </w:r>
      <w:r w:rsidR="007D5B62">
        <w:t xml:space="preserve">Risk management </w:t>
      </w:r>
      <w:r w:rsidR="00B03044">
        <w:t>is effective only if people apply these techniques in a</w:t>
      </w:r>
      <w:r w:rsidR="007D5B62">
        <w:t xml:space="preserve"> </w:t>
      </w:r>
      <w:r w:rsidR="00B03044">
        <w:t>truthful and responsible manner</w:t>
      </w:r>
      <w:r w:rsidR="005035EE">
        <w:t xml:space="preserve"> with the required controls. </w:t>
      </w:r>
      <w:r w:rsidR="00B03044">
        <w:t xml:space="preserve"> </w:t>
      </w:r>
      <w:r>
        <w:t xml:space="preserve">We are not sure how </w:t>
      </w:r>
      <w:r w:rsidR="00E20091">
        <w:t>far</w:t>
      </w:r>
      <w:r>
        <w:t xml:space="preserve"> the Lebanese banks </w:t>
      </w:r>
      <w:r w:rsidR="00E20091">
        <w:t xml:space="preserve">are </w:t>
      </w:r>
      <w:r w:rsidR="00506D6C">
        <w:t>accurately</w:t>
      </w:r>
      <w:r w:rsidR="00E20091">
        <w:t xml:space="preserve"> </w:t>
      </w:r>
      <w:r>
        <w:t xml:space="preserve">practicing risk management.  </w:t>
      </w:r>
    </w:p>
    <w:p w:rsidR="007E1FAC" w:rsidRDefault="007E1FAC">
      <w:pPr>
        <w:spacing w:before="0"/>
        <w:jc w:val="left"/>
        <w:rPr>
          <w:rFonts w:cs="Times New Roman"/>
          <w:b/>
          <w:szCs w:val="24"/>
        </w:rPr>
      </w:pPr>
      <w:r>
        <w:rPr>
          <w:rFonts w:cs="Times New Roman"/>
          <w:b/>
          <w:szCs w:val="24"/>
        </w:rPr>
        <w:br w:type="page"/>
      </w:r>
    </w:p>
    <w:p w:rsidR="00543AA6" w:rsidRPr="00A16039" w:rsidRDefault="00543AA6" w:rsidP="006C73A7">
      <w:pPr>
        <w:rPr>
          <w:rFonts w:cs="Times New Roman"/>
          <w:b/>
          <w:szCs w:val="24"/>
        </w:rPr>
      </w:pPr>
      <w:r w:rsidRPr="00A16039">
        <w:rPr>
          <w:rFonts w:cs="Times New Roman"/>
          <w:b/>
          <w:szCs w:val="24"/>
        </w:rPr>
        <w:lastRenderedPageBreak/>
        <w:t>Bibliography</w:t>
      </w:r>
    </w:p>
    <w:p w:rsidR="003F7D8D" w:rsidRDefault="003F7D8D" w:rsidP="003F7D8D">
      <w:pPr>
        <w:pStyle w:val="ListParagraph"/>
        <w:numPr>
          <w:ilvl w:val="0"/>
          <w:numId w:val="12"/>
        </w:numPr>
      </w:pPr>
      <w:r>
        <w:t xml:space="preserve">Basel Committee on Banking Supervision, December 2010. Basel III: A Global Regulatory Framework for More Resilient Banks and Banking Systems. </w:t>
      </w:r>
    </w:p>
    <w:p w:rsidR="003F7D8D" w:rsidRDefault="003F7D8D" w:rsidP="003F7D8D">
      <w:pPr>
        <w:pStyle w:val="ListParagraph"/>
        <w:numPr>
          <w:ilvl w:val="0"/>
          <w:numId w:val="12"/>
        </w:numPr>
      </w:pPr>
      <w:r>
        <w:t xml:space="preserve">Basel Committee on Banking Supervision, July 2009. Guidelines for computing Capital for Incremental Risk in the Trading Book. </w:t>
      </w:r>
    </w:p>
    <w:p w:rsidR="003F7D8D" w:rsidRPr="003F7D8D" w:rsidRDefault="003F7D8D" w:rsidP="003F7D8D">
      <w:pPr>
        <w:pStyle w:val="ListParagraph"/>
        <w:numPr>
          <w:ilvl w:val="0"/>
          <w:numId w:val="12"/>
        </w:numPr>
        <w:autoSpaceDE w:val="0"/>
        <w:autoSpaceDN w:val="0"/>
        <w:adjustRightInd w:val="0"/>
        <w:spacing w:after="0" w:line="240" w:lineRule="auto"/>
        <w:rPr>
          <w:rFonts w:cs="Times New Roman"/>
          <w:i/>
          <w:szCs w:val="24"/>
        </w:rPr>
      </w:pPr>
      <w:r w:rsidRPr="003F7D8D">
        <w:rPr>
          <w:rFonts w:cs="Times New Roman"/>
          <w:szCs w:val="24"/>
        </w:rPr>
        <w:t xml:space="preserve">Chance D.M. 2004. An introduction to Derivatives &amp; Risk Management. </w:t>
      </w:r>
      <w:r w:rsidRPr="003F7D8D">
        <w:rPr>
          <w:rFonts w:cs="Times New Roman"/>
          <w:i/>
          <w:szCs w:val="24"/>
        </w:rPr>
        <w:t>6</w:t>
      </w:r>
      <w:r w:rsidRPr="003F7D8D">
        <w:rPr>
          <w:rFonts w:cs="Times New Roman"/>
          <w:i/>
          <w:szCs w:val="24"/>
          <w:vertAlign w:val="superscript"/>
        </w:rPr>
        <w:t>th</w:t>
      </w:r>
      <w:r w:rsidRPr="003F7D8D">
        <w:rPr>
          <w:rFonts w:cs="Times New Roman"/>
          <w:i/>
          <w:szCs w:val="24"/>
        </w:rPr>
        <w:t xml:space="preserve"> ed. Thomson-South-western. </w:t>
      </w:r>
    </w:p>
    <w:p w:rsidR="003F7D8D" w:rsidRPr="003F7D8D" w:rsidRDefault="003F7D8D" w:rsidP="003F7D8D">
      <w:pPr>
        <w:pStyle w:val="ListParagraph"/>
        <w:numPr>
          <w:ilvl w:val="0"/>
          <w:numId w:val="12"/>
        </w:numPr>
        <w:autoSpaceDE w:val="0"/>
        <w:autoSpaceDN w:val="0"/>
        <w:adjustRightInd w:val="0"/>
        <w:spacing w:after="0" w:line="240" w:lineRule="auto"/>
        <w:rPr>
          <w:rFonts w:cs="Times New Roman"/>
          <w:szCs w:val="24"/>
        </w:rPr>
      </w:pPr>
      <w:r w:rsidRPr="003F7D8D">
        <w:rPr>
          <w:rFonts w:cs="Times New Roman"/>
          <w:szCs w:val="24"/>
        </w:rPr>
        <w:t xml:space="preserve">Gastineau G. </w:t>
      </w:r>
      <w:proofErr w:type="gramStart"/>
      <w:r w:rsidRPr="003F7D8D">
        <w:rPr>
          <w:rFonts w:cs="Times New Roman"/>
          <w:szCs w:val="24"/>
        </w:rPr>
        <w:t>L.,</w:t>
      </w:r>
      <w:proofErr w:type="gramEnd"/>
      <w:r w:rsidRPr="003F7D8D">
        <w:rPr>
          <w:rFonts w:cs="Times New Roman"/>
          <w:szCs w:val="24"/>
        </w:rPr>
        <w:t xml:space="preserve"> and </w:t>
      </w:r>
      <w:proofErr w:type="spellStart"/>
      <w:r w:rsidRPr="003F7D8D">
        <w:rPr>
          <w:rFonts w:cs="Times New Roman"/>
          <w:szCs w:val="24"/>
        </w:rPr>
        <w:t>Kritzman</w:t>
      </w:r>
      <w:proofErr w:type="spellEnd"/>
      <w:r w:rsidRPr="003F7D8D">
        <w:rPr>
          <w:rFonts w:cs="Times New Roman"/>
          <w:szCs w:val="24"/>
        </w:rPr>
        <w:t xml:space="preserve"> M. (1999). The Dictionary of Financial Risk Management. 2d </w:t>
      </w:r>
      <w:proofErr w:type="gramStart"/>
      <w:r w:rsidRPr="003F7D8D">
        <w:rPr>
          <w:rFonts w:cs="Times New Roman"/>
          <w:szCs w:val="24"/>
        </w:rPr>
        <w:t>ed</w:t>
      </w:r>
      <w:proofErr w:type="gramEnd"/>
      <w:r w:rsidRPr="003F7D8D">
        <w:rPr>
          <w:rFonts w:cs="Times New Roman"/>
          <w:szCs w:val="24"/>
        </w:rPr>
        <w:t xml:space="preserve">. </w:t>
      </w:r>
      <w:r w:rsidRPr="003F7D8D">
        <w:rPr>
          <w:rFonts w:cs="Times New Roman"/>
          <w:i/>
          <w:szCs w:val="24"/>
        </w:rPr>
        <w:t xml:space="preserve">New Hope, PA: Frank </w:t>
      </w:r>
      <w:proofErr w:type="spellStart"/>
      <w:r w:rsidRPr="003F7D8D">
        <w:rPr>
          <w:rFonts w:cs="Times New Roman"/>
          <w:i/>
          <w:szCs w:val="24"/>
        </w:rPr>
        <w:t>Fabbozzi</w:t>
      </w:r>
      <w:proofErr w:type="spellEnd"/>
      <w:r w:rsidRPr="003F7D8D">
        <w:rPr>
          <w:rFonts w:cs="Times New Roman"/>
          <w:i/>
          <w:szCs w:val="24"/>
        </w:rPr>
        <w:t xml:space="preserve"> Associates</w:t>
      </w:r>
      <w:r w:rsidRPr="003F7D8D">
        <w:rPr>
          <w:rFonts w:cs="Times New Roman"/>
          <w:szCs w:val="24"/>
        </w:rPr>
        <w:t xml:space="preserve">.  </w:t>
      </w:r>
    </w:p>
    <w:p w:rsidR="003F7D8D" w:rsidRPr="003F7D8D" w:rsidRDefault="003F7D8D" w:rsidP="003F7D8D">
      <w:pPr>
        <w:pStyle w:val="ListParagraph"/>
        <w:numPr>
          <w:ilvl w:val="0"/>
          <w:numId w:val="12"/>
        </w:numPr>
        <w:autoSpaceDE w:val="0"/>
        <w:autoSpaceDN w:val="0"/>
        <w:adjustRightInd w:val="0"/>
        <w:spacing w:after="0" w:line="240" w:lineRule="auto"/>
        <w:rPr>
          <w:rFonts w:cs="Times New Roman"/>
          <w:szCs w:val="24"/>
        </w:rPr>
      </w:pPr>
      <w:r w:rsidRPr="003F7D8D">
        <w:rPr>
          <w:rFonts w:cs="Times New Roman"/>
          <w:szCs w:val="24"/>
        </w:rPr>
        <w:t xml:space="preserve">Hull J., 2012. Risk Management and Financial Institutions. 3d ed. </w:t>
      </w:r>
      <w:r w:rsidRPr="003F7D8D">
        <w:rPr>
          <w:rFonts w:cs="Times New Roman"/>
          <w:i/>
          <w:szCs w:val="24"/>
        </w:rPr>
        <w:t>Wiley</w:t>
      </w:r>
      <w:r w:rsidRPr="003F7D8D">
        <w:rPr>
          <w:rFonts w:cs="Times New Roman"/>
          <w:szCs w:val="24"/>
        </w:rPr>
        <w:t xml:space="preserve">. </w:t>
      </w:r>
    </w:p>
    <w:p w:rsidR="003F7D8D" w:rsidRPr="003F7D8D" w:rsidRDefault="003F7D8D" w:rsidP="003F7D8D">
      <w:pPr>
        <w:pStyle w:val="ListParagraph"/>
        <w:numPr>
          <w:ilvl w:val="0"/>
          <w:numId w:val="12"/>
        </w:numPr>
        <w:autoSpaceDE w:val="0"/>
        <w:autoSpaceDN w:val="0"/>
        <w:adjustRightInd w:val="0"/>
        <w:spacing w:after="0" w:line="240" w:lineRule="auto"/>
        <w:rPr>
          <w:rFonts w:cs="Times New Roman"/>
          <w:szCs w:val="24"/>
        </w:rPr>
      </w:pPr>
      <w:proofErr w:type="spellStart"/>
      <w:r w:rsidRPr="003F7D8D">
        <w:rPr>
          <w:rFonts w:cs="Times New Roman"/>
          <w:szCs w:val="24"/>
        </w:rPr>
        <w:t>Jorian</w:t>
      </w:r>
      <w:proofErr w:type="spellEnd"/>
      <w:r w:rsidRPr="003F7D8D">
        <w:rPr>
          <w:rFonts w:cs="Times New Roman"/>
          <w:szCs w:val="24"/>
        </w:rPr>
        <w:t xml:space="preserve"> P. 2001. The financial Risk Manager Handbook: 2001-2002. </w:t>
      </w:r>
      <w:r w:rsidRPr="003F7D8D">
        <w:rPr>
          <w:rFonts w:cs="Times New Roman"/>
          <w:i/>
          <w:szCs w:val="24"/>
        </w:rPr>
        <w:t>New York, Wiley.</w:t>
      </w:r>
    </w:p>
    <w:p w:rsidR="003F7D8D" w:rsidRPr="003F7D8D" w:rsidRDefault="003F7D8D" w:rsidP="003F7D8D">
      <w:pPr>
        <w:pStyle w:val="ListParagraph"/>
        <w:numPr>
          <w:ilvl w:val="0"/>
          <w:numId w:val="12"/>
        </w:numPr>
        <w:autoSpaceDE w:val="0"/>
        <w:autoSpaceDN w:val="0"/>
        <w:adjustRightInd w:val="0"/>
        <w:spacing w:after="0" w:line="240" w:lineRule="auto"/>
        <w:rPr>
          <w:rFonts w:cs="Times New Roman"/>
          <w:szCs w:val="24"/>
        </w:rPr>
      </w:pPr>
      <w:proofErr w:type="spellStart"/>
      <w:r w:rsidRPr="003F7D8D">
        <w:rPr>
          <w:rFonts w:cs="Times New Roman"/>
          <w:szCs w:val="24"/>
        </w:rPr>
        <w:t>Jorian</w:t>
      </w:r>
      <w:proofErr w:type="spellEnd"/>
      <w:r w:rsidRPr="003F7D8D">
        <w:rPr>
          <w:rFonts w:cs="Times New Roman"/>
          <w:szCs w:val="24"/>
        </w:rPr>
        <w:t xml:space="preserve"> P. 2007. Value </w:t>
      </w:r>
      <w:proofErr w:type="gramStart"/>
      <w:r w:rsidRPr="003F7D8D">
        <w:rPr>
          <w:rFonts w:cs="Times New Roman"/>
          <w:szCs w:val="24"/>
        </w:rPr>
        <w:t>At</w:t>
      </w:r>
      <w:proofErr w:type="gramEnd"/>
      <w:r w:rsidRPr="003F7D8D">
        <w:rPr>
          <w:rFonts w:cs="Times New Roman"/>
          <w:szCs w:val="24"/>
        </w:rPr>
        <w:t xml:space="preserve"> Risk: a New Benchmark for Controlling Financial Risk. 3d ed. </w:t>
      </w:r>
      <w:r w:rsidRPr="003F7D8D">
        <w:rPr>
          <w:rFonts w:cs="Times New Roman"/>
          <w:i/>
          <w:szCs w:val="24"/>
        </w:rPr>
        <w:t>McGraw-Hill.</w:t>
      </w:r>
    </w:p>
    <w:p w:rsidR="003F7D8D" w:rsidRPr="003F7D8D" w:rsidRDefault="003F7D8D" w:rsidP="003F7D8D">
      <w:pPr>
        <w:pStyle w:val="ListParagraph"/>
        <w:numPr>
          <w:ilvl w:val="0"/>
          <w:numId w:val="12"/>
        </w:numPr>
        <w:autoSpaceDE w:val="0"/>
        <w:autoSpaceDN w:val="0"/>
        <w:adjustRightInd w:val="0"/>
        <w:spacing w:before="0" w:after="0" w:line="240" w:lineRule="auto"/>
        <w:rPr>
          <w:rFonts w:ascii="Times-Roman" w:hAnsi="Times-Roman" w:cs="Times-Roman"/>
        </w:rPr>
      </w:pPr>
      <w:r w:rsidRPr="003F7D8D">
        <w:rPr>
          <w:rFonts w:ascii="Times-Roman" w:hAnsi="Times-Roman" w:cs="Times-Roman"/>
        </w:rPr>
        <w:t xml:space="preserve">Naimy V. 2013. Parameterization of </w:t>
      </w:r>
      <w:proofErr w:type="gramStart"/>
      <w:r w:rsidRPr="003F7D8D">
        <w:rPr>
          <w:rFonts w:ascii="Times-Roman" w:hAnsi="Times-Roman" w:cs="Times-Roman"/>
        </w:rPr>
        <w:t>GARCH(</w:t>
      </w:r>
      <w:proofErr w:type="gramEnd"/>
      <w:r w:rsidRPr="003F7D8D">
        <w:rPr>
          <w:rFonts w:ascii="Times-Roman" w:hAnsi="Times-Roman" w:cs="Times-Roman"/>
        </w:rPr>
        <w:t xml:space="preserve">1,1) for Paris Stock Market. </w:t>
      </w:r>
      <w:r w:rsidRPr="003F7D8D">
        <w:rPr>
          <w:rFonts w:ascii="Times-Roman" w:hAnsi="Times-Roman" w:cs="Times-Roman"/>
          <w:i/>
        </w:rPr>
        <w:t>American Journal of Mathematics and Statistics.</w:t>
      </w:r>
      <w:r w:rsidRPr="003F7D8D">
        <w:rPr>
          <w:rFonts w:ascii="Times-Roman" w:hAnsi="Times-Roman" w:cs="Times-Roman"/>
        </w:rPr>
        <w:t xml:space="preserve"> 3(6), pp 357-361</w:t>
      </w:r>
    </w:p>
    <w:p w:rsidR="003F7D8D" w:rsidRPr="003F7D8D" w:rsidRDefault="003F7D8D" w:rsidP="003F7D8D">
      <w:pPr>
        <w:pStyle w:val="ListParagraph"/>
        <w:numPr>
          <w:ilvl w:val="0"/>
          <w:numId w:val="12"/>
        </w:numPr>
        <w:autoSpaceDE w:val="0"/>
        <w:autoSpaceDN w:val="0"/>
        <w:adjustRightInd w:val="0"/>
        <w:spacing w:after="0" w:line="240" w:lineRule="auto"/>
        <w:rPr>
          <w:rFonts w:cs="Times New Roman"/>
          <w:szCs w:val="24"/>
        </w:rPr>
      </w:pPr>
      <w:r w:rsidRPr="003F7D8D">
        <w:rPr>
          <w:rFonts w:ascii="Times-Roman" w:hAnsi="Times-Roman" w:cs="Times-Roman"/>
        </w:rPr>
        <w:t xml:space="preserve">Naimy V. 2014. The German and French Stock Markets Volatility as Observed from the </w:t>
      </w:r>
      <w:proofErr w:type="spellStart"/>
      <w:r w:rsidRPr="003F7D8D">
        <w:rPr>
          <w:rFonts w:ascii="Times-Roman" w:hAnsi="Times-Roman" w:cs="Times-Roman"/>
        </w:rPr>
        <w:t>VaR</w:t>
      </w:r>
      <w:proofErr w:type="spellEnd"/>
      <w:r w:rsidRPr="003F7D8D">
        <w:rPr>
          <w:rFonts w:ascii="Times-Roman" w:hAnsi="Times-Roman" w:cs="Times-Roman"/>
        </w:rPr>
        <w:t xml:space="preserve"> Lens. </w:t>
      </w:r>
      <w:r w:rsidRPr="003F7D8D">
        <w:rPr>
          <w:rFonts w:cs="Times New Roman"/>
          <w:i/>
          <w:szCs w:val="24"/>
        </w:rPr>
        <w:t>American Journal of Mathematics and Statistics.</w:t>
      </w:r>
      <w:r w:rsidRPr="003F7D8D">
        <w:rPr>
          <w:rFonts w:cs="Times New Roman"/>
          <w:szCs w:val="24"/>
        </w:rPr>
        <w:t xml:space="preserve">  4(1): pp 7-11</w:t>
      </w:r>
    </w:p>
    <w:p w:rsidR="003F7D8D" w:rsidRPr="003F7D8D" w:rsidRDefault="003F7D8D" w:rsidP="003F7D8D">
      <w:pPr>
        <w:pStyle w:val="ListParagraph"/>
        <w:numPr>
          <w:ilvl w:val="0"/>
          <w:numId w:val="12"/>
        </w:numPr>
        <w:autoSpaceDE w:val="0"/>
        <w:autoSpaceDN w:val="0"/>
        <w:adjustRightInd w:val="0"/>
        <w:spacing w:after="0" w:line="240" w:lineRule="auto"/>
        <w:rPr>
          <w:rFonts w:cs="Times New Roman"/>
          <w:szCs w:val="24"/>
        </w:rPr>
      </w:pPr>
      <w:proofErr w:type="spellStart"/>
      <w:r w:rsidRPr="003F7D8D">
        <w:rPr>
          <w:rFonts w:cs="Times New Roman"/>
          <w:szCs w:val="24"/>
        </w:rPr>
        <w:t>Reitano</w:t>
      </w:r>
      <w:proofErr w:type="spellEnd"/>
      <w:r w:rsidRPr="003F7D8D">
        <w:rPr>
          <w:rFonts w:cs="Times New Roman"/>
          <w:szCs w:val="24"/>
        </w:rPr>
        <w:t xml:space="preserve"> R. 1992. Nonparallel Yield Curve Shifts and Immunization. </w:t>
      </w:r>
      <w:r w:rsidRPr="003F7D8D">
        <w:rPr>
          <w:rFonts w:cs="Times New Roman"/>
          <w:i/>
          <w:szCs w:val="24"/>
        </w:rPr>
        <w:t>Journal of Portfolio Management</w:t>
      </w:r>
      <w:r w:rsidRPr="003F7D8D">
        <w:rPr>
          <w:rFonts w:cs="Times New Roman"/>
          <w:szCs w:val="24"/>
        </w:rPr>
        <w:t>, pp 36-43.</w:t>
      </w:r>
    </w:p>
    <w:sectPr w:rsidR="003F7D8D" w:rsidRPr="003F7D8D" w:rsidSect="00C06C3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6032" w:rsidRDefault="00136032" w:rsidP="00257B59">
      <w:pPr>
        <w:spacing w:before="0" w:after="0" w:line="240" w:lineRule="auto"/>
      </w:pPr>
      <w:r>
        <w:separator/>
      </w:r>
    </w:p>
  </w:endnote>
  <w:endnote w:type="continuationSeparator" w:id="0">
    <w:p w:rsidR="00136032" w:rsidRDefault="00136032" w:rsidP="00257B59">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Times-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805858"/>
      <w:docPartObj>
        <w:docPartGallery w:val="Page Numbers (Bottom of Page)"/>
        <w:docPartUnique/>
      </w:docPartObj>
    </w:sdtPr>
    <w:sdtContent>
      <w:p w:rsidR="00681052" w:rsidRDefault="00681052">
        <w:pPr>
          <w:pStyle w:val="Footer"/>
          <w:jc w:val="right"/>
        </w:pPr>
        <w:fldSimple w:instr=" PAGE   \* MERGEFORMAT ">
          <w:r w:rsidR="003A3BF3">
            <w:rPr>
              <w:noProof/>
            </w:rPr>
            <w:t>9</w:t>
          </w:r>
        </w:fldSimple>
      </w:p>
    </w:sdtContent>
  </w:sdt>
  <w:p w:rsidR="00681052" w:rsidRDefault="0068105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6032" w:rsidRDefault="00136032" w:rsidP="00257B59">
      <w:pPr>
        <w:spacing w:before="0" w:after="0" w:line="240" w:lineRule="auto"/>
      </w:pPr>
      <w:r>
        <w:separator/>
      </w:r>
    </w:p>
  </w:footnote>
  <w:footnote w:type="continuationSeparator" w:id="0">
    <w:p w:rsidR="00136032" w:rsidRDefault="00136032" w:rsidP="00257B59">
      <w:pPr>
        <w:spacing w:before="0" w:after="0" w:line="240" w:lineRule="auto"/>
      </w:pPr>
      <w:r>
        <w:continuationSeparator/>
      </w:r>
    </w:p>
  </w:footnote>
  <w:footnote w:id="1">
    <w:p w:rsidR="00681052" w:rsidRDefault="00681052">
      <w:pPr>
        <w:pStyle w:val="FootnoteText"/>
      </w:pPr>
      <w:r>
        <w:rPr>
          <w:rStyle w:val="FootnoteReference"/>
        </w:rPr>
        <w:footnoteRef/>
      </w:r>
      <w:r>
        <w:t xml:space="preserve"> An Alpha bank is classified among the top ten banks in Lebanon in terms of total assets and liabilities. </w:t>
      </w:r>
    </w:p>
  </w:footnote>
  <w:footnote w:id="2">
    <w:p w:rsidR="00681052" w:rsidRDefault="00681052">
      <w:pPr>
        <w:pStyle w:val="FootnoteText"/>
      </w:pPr>
      <w:r>
        <w:rPr>
          <w:rStyle w:val="FootnoteReference"/>
        </w:rPr>
        <w:footnoteRef/>
      </w:r>
      <w:r>
        <w:t xml:space="preserve"> It is quite impossible to obtain time series data due to the lack of transparency and data availability. </w:t>
      </w:r>
    </w:p>
  </w:footnote>
  <w:footnote w:id="3">
    <w:p w:rsidR="00681052" w:rsidRDefault="00681052">
      <w:pPr>
        <w:pStyle w:val="FootnoteText"/>
      </w:pPr>
      <w:r>
        <w:rPr>
          <w:rStyle w:val="FootnoteReference"/>
        </w:rPr>
        <w:footnoteRef/>
      </w:r>
      <w:r>
        <w:t xml:space="preserve"> Using the Black-</w:t>
      </w:r>
      <w:proofErr w:type="spellStart"/>
      <w:r>
        <w:t>Scholes</w:t>
      </w:r>
      <w:proofErr w:type="spellEnd"/>
      <w:r>
        <w:t xml:space="preserve">-Merton Model: </w:t>
      </w:r>
      <w:r w:rsidRPr="0006094E">
        <w:rPr>
          <w:position w:val="-32"/>
        </w:rPr>
        <w:object w:dxaOrig="2460" w:dyaOrig="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3.25pt;height:38.1pt" o:ole="">
            <v:imagedata r:id="rId1" o:title=""/>
          </v:shape>
          <o:OLEObject Type="Embed" ProgID="Equation.3" ShapeID="_x0000_i1025" DrawAspect="Content" ObjectID="_1471853728" r:id="rId2"/>
        </w:object>
      </w:r>
    </w:p>
  </w:footnote>
  <w:footnote w:id="4">
    <w:p w:rsidR="00681052" w:rsidRDefault="00681052">
      <w:pPr>
        <w:pStyle w:val="FootnoteText"/>
      </w:pPr>
      <w:r>
        <w:rPr>
          <w:rStyle w:val="FootnoteReference"/>
        </w:rPr>
        <w:footnoteRef/>
      </w:r>
      <w:r>
        <w:t xml:space="preserve"> Using the Black-</w:t>
      </w:r>
      <w:proofErr w:type="spellStart"/>
      <w:r>
        <w:t>Scholes</w:t>
      </w:r>
      <w:proofErr w:type="spellEnd"/>
      <w:r>
        <w:t xml:space="preserve">-Merton Model: </w:t>
      </w:r>
      <w:r w:rsidRPr="0006094E">
        <w:rPr>
          <w:position w:val="-28"/>
        </w:rPr>
        <w:object w:dxaOrig="2220" w:dyaOrig="740">
          <v:shape id="_x0000_i1026" type="#_x0000_t75" style="width:110.75pt;height:36.7pt" o:ole="">
            <v:imagedata r:id="rId3" o:title=""/>
          </v:shape>
          <o:OLEObject Type="Embed" ProgID="Equation.3" ShapeID="_x0000_i1026" DrawAspect="Content" ObjectID="_1471853729" r:id="rId4"/>
        </w:object>
      </w:r>
    </w:p>
  </w:footnote>
  <w:footnote w:id="5">
    <w:p w:rsidR="00681052" w:rsidRDefault="00681052">
      <w:pPr>
        <w:pStyle w:val="FootnoteText"/>
      </w:pPr>
      <w:r>
        <w:rPr>
          <w:rStyle w:val="FootnoteReference"/>
        </w:rPr>
        <w:footnoteRef/>
      </w:r>
      <w:r>
        <w:t xml:space="preserve"> Which is 449.23</w:t>
      </w:r>
    </w:p>
  </w:footnote>
  <w:footnote w:id="6">
    <w:p w:rsidR="00681052" w:rsidRPr="00313E4A" w:rsidRDefault="00681052">
      <w:pPr>
        <w:pStyle w:val="FootnoteText"/>
      </w:pPr>
      <w:r>
        <w:rPr>
          <w:rStyle w:val="FootnoteReference"/>
        </w:rPr>
        <w:footnoteRef/>
      </w:r>
      <w:r w:rsidRPr="00313E4A">
        <w:t xml:space="preserve"> A factor is not c</w:t>
      </w:r>
      <w:r>
        <w:t xml:space="preserve">hanged if the signs of all its factor loadings are reversed. </w:t>
      </w:r>
    </w:p>
  </w:footnote>
  <w:footnote w:id="7">
    <w:p w:rsidR="00681052" w:rsidRPr="005035EE" w:rsidRDefault="00681052">
      <w:pPr>
        <w:pStyle w:val="FootnoteText"/>
      </w:pPr>
      <w:r>
        <w:rPr>
          <w:rStyle w:val="FootnoteReference"/>
        </w:rPr>
        <w:footnoteRef/>
      </w:r>
      <w:r w:rsidRPr="005035EE">
        <w:t xml:space="preserve"> 0.352*16.066 = 5.65 bp.</w:t>
      </w:r>
    </w:p>
  </w:footnote>
  <w:footnote w:id="8">
    <w:p w:rsidR="00681052" w:rsidRPr="00F47BBF" w:rsidRDefault="00681052">
      <w:pPr>
        <w:pStyle w:val="FootnoteText"/>
      </w:pPr>
      <w:r>
        <w:rPr>
          <w:rStyle w:val="FootnoteReference"/>
        </w:rPr>
        <w:footnoteRef/>
      </w:r>
      <w:r w:rsidRPr="00F47BBF">
        <w:t xml:space="preserve"> The square root of t</w:t>
      </w:r>
      <w:r>
        <w:t xml:space="preserve">he </w:t>
      </w:r>
      <w:proofErr w:type="spellStart"/>
      <w:r w:rsidRPr="00F47BBF">
        <w:rPr>
          <w:i/>
        </w:rPr>
        <w:t>i</w:t>
      </w:r>
      <w:r w:rsidRPr="00F47BBF">
        <w:rPr>
          <w:i/>
          <w:vertAlign w:val="superscript"/>
        </w:rPr>
        <w:t>th</w:t>
      </w:r>
      <w:proofErr w:type="spellEnd"/>
      <w:r w:rsidRPr="00F47BBF">
        <w:rPr>
          <w:i/>
        </w:rPr>
        <w:t xml:space="preserve"> </w:t>
      </w:r>
      <w:proofErr w:type="spellStart"/>
      <w:r>
        <w:t>eigenvalue</w:t>
      </w:r>
      <w:proofErr w:type="spellEnd"/>
      <w:r>
        <w:t xml:space="preserve"> is the standard deviation of the </w:t>
      </w:r>
      <w:proofErr w:type="spellStart"/>
      <w:r w:rsidRPr="00F47BBF">
        <w:rPr>
          <w:i/>
        </w:rPr>
        <w:t>i</w:t>
      </w:r>
      <w:r w:rsidRPr="00F47BBF">
        <w:rPr>
          <w:i/>
          <w:vertAlign w:val="superscript"/>
        </w:rPr>
        <w:t>th</w:t>
      </w:r>
      <w:proofErr w:type="spellEnd"/>
      <w:r>
        <w:t xml:space="preserve"> factor score. </w:t>
      </w:r>
    </w:p>
  </w:footnote>
  <w:footnote w:id="9">
    <w:p w:rsidR="00681052" w:rsidRDefault="00681052">
      <w:pPr>
        <w:pStyle w:val="FootnoteText"/>
        <w:rPr>
          <w:rFonts w:eastAsiaTheme="minorEastAsia"/>
        </w:rPr>
      </w:pPr>
      <w:r>
        <w:rPr>
          <w:rStyle w:val="FootnoteReference"/>
        </w:rPr>
        <w:footnoteRef/>
      </w:r>
      <w:r>
        <w:t xml:space="preserve"> For instance, Delta Exposure to Factor 1 (PC1) = </w:t>
      </w:r>
      <m:oMath>
        <m:nary>
          <m:naryPr>
            <m:chr m:val="∑"/>
            <m:limLoc m:val="undOvr"/>
            <m:ctrlPr>
              <w:rPr>
                <w:rFonts w:ascii="Cambria Math" w:hAnsi="Cambria Math"/>
                <w:i/>
              </w:rPr>
            </m:ctrlPr>
          </m:naryPr>
          <m:sub>
            <m:r>
              <w:rPr>
                <w:rFonts w:ascii="Cambria Math" w:hAnsi="Cambria Math"/>
              </w:rPr>
              <m:t>i=1</m:t>
            </m:r>
          </m:sub>
          <m:sup>
            <m:r>
              <w:rPr>
                <w:rFonts w:ascii="Cambria Math" w:hAnsi="Cambria Math"/>
              </w:rPr>
              <m:t>5</m:t>
            </m:r>
          </m:sup>
          <m:e>
            <m:sSub>
              <m:sSubPr>
                <m:ctrlPr>
                  <w:rPr>
                    <w:rFonts w:ascii="Cambria Math" w:hAnsi="Cambria Math"/>
                    <w:i/>
                  </w:rPr>
                </m:ctrlPr>
              </m:sSubPr>
              <m:e>
                <m:r>
                  <w:rPr>
                    <w:rFonts w:ascii="Cambria Math" w:hAnsi="Cambria Math"/>
                  </w:rPr>
                  <m:t>∆</m:t>
                </m:r>
              </m:e>
              <m:sub>
                <m:r>
                  <w:rPr>
                    <w:rFonts w:ascii="Cambria Math" w:hAnsi="Cambria Math"/>
                  </w:rPr>
                  <m:t>i</m:t>
                </m:r>
              </m:sub>
            </m:sSub>
            <m:r>
              <w:rPr>
                <w:rFonts w:ascii="Cambria Math" w:hAnsi="Cambria Math"/>
              </w:rPr>
              <m:t>x</m:t>
            </m:r>
            <m:sSub>
              <m:sSubPr>
                <m:ctrlPr>
                  <w:rPr>
                    <w:rFonts w:ascii="Cambria Math" w:hAnsi="Cambria Math"/>
                    <w:i/>
                  </w:rPr>
                </m:ctrlPr>
              </m:sSubPr>
              <m:e>
                <m:r>
                  <w:rPr>
                    <w:rFonts w:ascii="Cambria Math" w:hAnsi="Cambria Math"/>
                  </w:rPr>
                  <m:t>PC1</m:t>
                </m:r>
              </m:e>
              <m:sub>
                <m:r>
                  <w:rPr>
                    <w:rFonts w:ascii="Cambria Math" w:hAnsi="Cambria Math"/>
                  </w:rPr>
                  <m:t>i</m:t>
                </m:r>
              </m:sub>
            </m:sSub>
          </m:e>
        </m:nary>
      </m:oMath>
      <w:r>
        <w:t xml:space="preserve"> </w:t>
      </w:r>
      <w:r>
        <w:rPr>
          <w:rFonts w:eastAsiaTheme="minorEastAsia"/>
        </w:rPr>
        <w:t xml:space="preserve"> where </w:t>
      </w:r>
      <m:oMath>
        <m:sSub>
          <m:sSubPr>
            <m:ctrlPr>
              <w:rPr>
                <w:rFonts w:ascii="Cambria Math" w:hAnsi="Cambria Math"/>
                <w:i/>
              </w:rPr>
            </m:ctrlPr>
          </m:sSubPr>
          <m:e>
            <m:r>
              <w:rPr>
                <w:rFonts w:ascii="Cambria Math" w:hAnsi="Cambria Math"/>
              </w:rPr>
              <m:t>∆</m:t>
            </m:r>
          </m:e>
          <m:sub>
            <m:r>
              <w:rPr>
                <w:rFonts w:ascii="Cambria Math" w:hAnsi="Cambria Math"/>
              </w:rPr>
              <m:t>i</m:t>
            </m:r>
          </m:sub>
        </m:sSub>
      </m:oMath>
      <w:r>
        <w:rPr>
          <w:rFonts w:eastAsiaTheme="minorEastAsia"/>
        </w:rPr>
        <w:t xml:space="preserve"> represents the change in the portfolio value for a 1-bp move for each of the five maturities, and </w:t>
      </w:r>
      <m:oMath>
        <m:sSub>
          <m:sSubPr>
            <m:ctrlPr>
              <w:rPr>
                <w:rFonts w:ascii="Cambria Math" w:hAnsi="Cambria Math"/>
                <w:i/>
              </w:rPr>
            </m:ctrlPr>
          </m:sSubPr>
          <m:e>
            <m:r>
              <w:rPr>
                <w:rFonts w:ascii="Cambria Math" w:hAnsi="Cambria Math"/>
              </w:rPr>
              <m:t>PC1</m:t>
            </m:r>
          </m:e>
          <m:sub>
            <m:r>
              <w:rPr>
                <w:rFonts w:ascii="Cambria Math" w:hAnsi="Cambria Math"/>
              </w:rPr>
              <m:t>i</m:t>
            </m:r>
          </m:sub>
        </m:sSub>
      </m:oMath>
      <w:r>
        <w:rPr>
          <w:rFonts w:eastAsiaTheme="minorEastAsia"/>
        </w:rPr>
        <w:t xml:space="preserve"> are the factor loading values per maturity and in </w:t>
      </w:r>
      <w:proofErr w:type="spellStart"/>
      <w:r>
        <w:rPr>
          <w:rFonts w:eastAsiaTheme="minorEastAsia"/>
        </w:rPr>
        <w:t>bp</w:t>
      </w:r>
      <w:proofErr w:type="spellEnd"/>
      <w:r>
        <w:rPr>
          <w:rFonts w:eastAsiaTheme="minorEastAsia"/>
        </w:rPr>
        <w:t xml:space="preserve">. </w:t>
      </w:r>
    </w:p>
    <w:p w:rsidR="00681052" w:rsidRDefault="00681052">
      <w:pPr>
        <w:pStyle w:val="Footnote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14D40"/>
    <w:multiLevelType w:val="multilevel"/>
    <w:tmpl w:val="1FE6FAD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C2D3C3F"/>
    <w:multiLevelType w:val="multilevel"/>
    <w:tmpl w:val="1FE6FAD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1C104B8F"/>
    <w:multiLevelType w:val="multilevel"/>
    <w:tmpl w:val="1FE6FAD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21403985"/>
    <w:multiLevelType w:val="multilevel"/>
    <w:tmpl w:val="1FE6FAD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28F56E4C"/>
    <w:multiLevelType w:val="multilevel"/>
    <w:tmpl w:val="1FE6FAD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2D28258F"/>
    <w:multiLevelType w:val="hybridMultilevel"/>
    <w:tmpl w:val="0FD2645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EF73CD5"/>
    <w:multiLevelType w:val="hybridMultilevel"/>
    <w:tmpl w:val="0A64DF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F142DBC"/>
    <w:multiLevelType w:val="hybridMultilevel"/>
    <w:tmpl w:val="940E6B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5034080"/>
    <w:multiLevelType w:val="multilevel"/>
    <w:tmpl w:val="76924B76"/>
    <w:lvl w:ilvl="0">
      <w:start w:val="3"/>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46AB55AC"/>
    <w:multiLevelType w:val="hybridMultilevel"/>
    <w:tmpl w:val="0A64DF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6A10520"/>
    <w:multiLevelType w:val="multilevel"/>
    <w:tmpl w:val="BDE0BE40"/>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nsid w:val="7A7823C3"/>
    <w:multiLevelType w:val="multilevel"/>
    <w:tmpl w:val="1FE6FAD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1"/>
  </w:num>
  <w:num w:numId="2">
    <w:abstractNumId w:val="9"/>
  </w:num>
  <w:num w:numId="3">
    <w:abstractNumId w:val="6"/>
  </w:num>
  <w:num w:numId="4">
    <w:abstractNumId w:val="10"/>
  </w:num>
  <w:num w:numId="5">
    <w:abstractNumId w:val="3"/>
  </w:num>
  <w:num w:numId="6">
    <w:abstractNumId w:val="4"/>
  </w:num>
  <w:num w:numId="7">
    <w:abstractNumId w:val="7"/>
  </w:num>
  <w:num w:numId="8">
    <w:abstractNumId w:val="1"/>
  </w:num>
  <w:num w:numId="9">
    <w:abstractNumId w:val="2"/>
  </w:num>
  <w:num w:numId="10">
    <w:abstractNumId w:val="0"/>
  </w:num>
  <w:num w:numId="11">
    <w:abstractNumId w:val="8"/>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footnotePr>
    <w:footnote w:id="-1"/>
    <w:footnote w:id="0"/>
  </w:footnotePr>
  <w:endnotePr>
    <w:endnote w:id="-1"/>
    <w:endnote w:id="0"/>
  </w:endnotePr>
  <w:compat/>
  <w:rsids>
    <w:rsidRoot w:val="006C6F28"/>
    <w:rsid w:val="0000304A"/>
    <w:rsid w:val="00003D1C"/>
    <w:rsid w:val="00004B7A"/>
    <w:rsid w:val="00004D6B"/>
    <w:rsid w:val="0000543F"/>
    <w:rsid w:val="00010CA2"/>
    <w:rsid w:val="000119A2"/>
    <w:rsid w:val="00011F91"/>
    <w:rsid w:val="00015EA3"/>
    <w:rsid w:val="0002039B"/>
    <w:rsid w:val="00021B6C"/>
    <w:rsid w:val="00026887"/>
    <w:rsid w:val="00026CA6"/>
    <w:rsid w:val="00035E59"/>
    <w:rsid w:val="00043626"/>
    <w:rsid w:val="00047D2D"/>
    <w:rsid w:val="00052FAB"/>
    <w:rsid w:val="00053051"/>
    <w:rsid w:val="00055BA6"/>
    <w:rsid w:val="0006105A"/>
    <w:rsid w:val="00061581"/>
    <w:rsid w:val="00061941"/>
    <w:rsid w:val="000720A1"/>
    <w:rsid w:val="0007247C"/>
    <w:rsid w:val="00074AE1"/>
    <w:rsid w:val="000815EC"/>
    <w:rsid w:val="000829BD"/>
    <w:rsid w:val="000965F0"/>
    <w:rsid w:val="000A1B6A"/>
    <w:rsid w:val="000A5B5F"/>
    <w:rsid w:val="000A643B"/>
    <w:rsid w:val="000B6BE3"/>
    <w:rsid w:val="000C3290"/>
    <w:rsid w:val="000C3848"/>
    <w:rsid w:val="000D1DBA"/>
    <w:rsid w:val="000E0D2E"/>
    <w:rsid w:val="000E696A"/>
    <w:rsid w:val="00104838"/>
    <w:rsid w:val="001056DA"/>
    <w:rsid w:val="00122FFF"/>
    <w:rsid w:val="00123739"/>
    <w:rsid w:val="0012745D"/>
    <w:rsid w:val="001275A6"/>
    <w:rsid w:val="00130901"/>
    <w:rsid w:val="00133853"/>
    <w:rsid w:val="00136032"/>
    <w:rsid w:val="00144185"/>
    <w:rsid w:val="0014724A"/>
    <w:rsid w:val="00165B47"/>
    <w:rsid w:val="00166A76"/>
    <w:rsid w:val="00170EE3"/>
    <w:rsid w:val="00172069"/>
    <w:rsid w:val="00177733"/>
    <w:rsid w:val="00177A8D"/>
    <w:rsid w:val="00185046"/>
    <w:rsid w:val="0019202A"/>
    <w:rsid w:val="001A04AC"/>
    <w:rsid w:val="001A14BA"/>
    <w:rsid w:val="001A2609"/>
    <w:rsid w:val="001B3CDA"/>
    <w:rsid w:val="001C7673"/>
    <w:rsid w:val="001C780C"/>
    <w:rsid w:val="001F063F"/>
    <w:rsid w:val="001F2C4D"/>
    <w:rsid w:val="001F5DD0"/>
    <w:rsid w:val="001F6F98"/>
    <w:rsid w:val="001F783D"/>
    <w:rsid w:val="00203999"/>
    <w:rsid w:val="00203A31"/>
    <w:rsid w:val="00216AC2"/>
    <w:rsid w:val="0022280B"/>
    <w:rsid w:val="002241BE"/>
    <w:rsid w:val="00227808"/>
    <w:rsid w:val="00240D8E"/>
    <w:rsid w:val="00242D24"/>
    <w:rsid w:val="002445DE"/>
    <w:rsid w:val="00244D33"/>
    <w:rsid w:val="002500E9"/>
    <w:rsid w:val="0025322B"/>
    <w:rsid w:val="00257B59"/>
    <w:rsid w:val="00260F7B"/>
    <w:rsid w:val="00262C82"/>
    <w:rsid w:val="00264CF2"/>
    <w:rsid w:val="0027724C"/>
    <w:rsid w:val="00282627"/>
    <w:rsid w:val="00282674"/>
    <w:rsid w:val="0029089A"/>
    <w:rsid w:val="00291CA3"/>
    <w:rsid w:val="0029465F"/>
    <w:rsid w:val="002A4A69"/>
    <w:rsid w:val="002B0479"/>
    <w:rsid w:val="002B3B67"/>
    <w:rsid w:val="002B487B"/>
    <w:rsid w:val="002C0177"/>
    <w:rsid w:val="002C6038"/>
    <w:rsid w:val="002C68BE"/>
    <w:rsid w:val="002C76F6"/>
    <w:rsid w:val="002E4F29"/>
    <w:rsid w:val="002F120C"/>
    <w:rsid w:val="00306669"/>
    <w:rsid w:val="00313E4A"/>
    <w:rsid w:val="00317D91"/>
    <w:rsid w:val="00320B08"/>
    <w:rsid w:val="00331B8D"/>
    <w:rsid w:val="00356D0F"/>
    <w:rsid w:val="003736F5"/>
    <w:rsid w:val="00376C96"/>
    <w:rsid w:val="003817E2"/>
    <w:rsid w:val="00395E11"/>
    <w:rsid w:val="00395F77"/>
    <w:rsid w:val="003A1133"/>
    <w:rsid w:val="003A3BF3"/>
    <w:rsid w:val="003A53BA"/>
    <w:rsid w:val="003A7A70"/>
    <w:rsid w:val="003A7CC0"/>
    <w:rsid w:val="003B1E22"/>
    <w:rsid w:val="003B2D95"/>
    <w:rsid w:val="003B5C64"/>
    <w:rsid w:val="003C4E94"/>
    <w:rsid w:val="003D3BFF"/>
    <w:rsid w:val="003D4A57"/>
    <w:rsid w:val="003D6835"/>
    <w:rsid w:val="003E051F"/>
    <w:rsid w:val="003E2572"/>
    <w:rsid w:val="003F0AD8"/>
    <w:rsid w:val="003F5642"/>
    <w:rsid w:val="003F7D8D"/>
    <w:rsid w:val="004136FB"/>
    <w:rsid w:val="00416754"/>
    <w:rsid w:val="00422B1C"/>
    <w:rsid w:val="00424D69"/>
    <w:rsid w:val="00425507"/>
    <w:rsid w:val="00432E09"/>
    <w:rsid w:val="00432E68"/>
    <w:rsid w:val="00433360"/>
    <w:rsid w:val="00435A50"/>
    <w:rsid w:val="004411D5"/>
    <w:rsid w:val="004452E5"/>
    <w:rsid w:val="00446FEC"/>
    <w:rsid w:val="00450761"/>
    <w:rsid w:val="004567C0"/>
    <w:rsid w:val="00467723"/>
    <w:rsid w:val="00472576"/>
    <w:rsid w:val="00483F51"/>
    <w:rsid w:val="004900F9"/>
    <w:rsid w:val="00491F9D"/>
    <w:rsid w:val="00497D8F"/>
    <w:rsid w:val="004A3EEB"/>
    <w:rsid w:val="004B059F"/>
    <w:rsid w:val="004B0EE1"/>
    <w:rsid w:val="004B1ECF"/>
    <w:rsid w:val="004B6997"/>
    <w:rsid w:val="004C757F"/>
    <w:rsid w:val="004D09C7"/>
    <w:rsid w:val="004D0B50"/>
    <w:rsid w:val="004D12DB"/>
    <w:rsid w:val="004F014E"/>
    <w:rsid w:val="004F0B27"/>
    <w:rsid w:val="004F16A0"/>
    <w:rsid w:val="004F46DF"/>
    <w:rsid w:val="004F7979"/>
    <w:rsid w:val="005008D2"/>
    <w:rsid w:val="00501727"/>
    <w:rsid w:val="00502B58"/>
    <w:rsid w:val="005035EE"/>
    <w:rsid w:val="005066D5"/>
    <w:rsid w:val="00506D6C"/>
    <w:rsid w:val="005071B0"/>
    <w:rsid w:val="0051044C"/>
    <w:rsid w:val="0053189F"/>
    <w:rsid w:val="00531908"/>
    <w:rsid w:val="00532880"/>
    <w:rsid w:val="00535F0F"/>
    <w:rsid w:val="00543AA6"/>
    <w:rsid w:val="00545F19"/>
    <w:rsid w:val="00551A6D"/>
    <w:rsid w:val="00554717"/>
    <w:rsid w:val="00567A31"/>
    <w:rsid w:val="00567E71"/>
    <w:rsid w:val="00572713"/>
    <w:rsid w:val="00576915"/>
    <w:rsid w:val="005851BB"/>
    <w:rsid w:val="00585ABD"/>
    <w:rsid w:val="00585FE7"/>
    <w:rsid w:val="00590A8F"/>
    <w:rsid w:val="00593DBD"/>
    <w:rsid w:val="00595B84"/>
    <w:rsid w:val="005972D9"/>
    <w:rsid w:val="005B21EB"/>
    <w:rsid w:val="005B572D"/>
    <w:rsid w:val="005B7329"/>
    <w:rsid w:val="005C3B2C"/>
    <w:rsid w:val="005C6D19"/>
    <w:rsid w:val="005C7BD0"/>
    <w:rsid w:val="005D2D4B"/>
    <w:rsid w:val="005E7134"/>
    <w:rsid w:val="00603323"/>
    <w:rsid w:val="00610194"/>
    <w:rsid w:val="00610D19"/>
    <w:rsid w:val="00627D0B"/>
    <w:rsid w:val="00632886"/>
    <w:rsid w:val="006361E3"/>
    <w:rsid w:val="0064180D"/>
    <w:rsid w:val="006461F7"/>
    <w:rsid w:val="00651FFD"/>
    <w:rsid w:val="00661826"/>
    <w:rsid w:val="006666B6"/>
    <w:rsid w:val="00667929"/>
    <w:rsid w:val="00681052"/>
    <w:rsid w:val="00691C15"/>
    <w:rsid w:val="00692B4F"/>
    <w:rsid w:val="00694BEA"/>
    <w:rsid w:val="006A1C0D"/>
    <w:rsid w:val="006A3330"/>
    <w:rsid w:val="006A6447"/>
    <w:rsid w:val="006B482B"/>
    <w:rsid w:val="006C6F28"/>
    <w:rsid w:val="006C73A7"/>
    <w:rsid w:val="006D4016"/>
    <w:rsid w:val="006D4DE4"/>
    <w:rsid w:val="006E0AD2"/>
    <w:rsid w:val="006E17DD"/>
    <w:rsid w:val="006F2121"/>
    <w:rsid w:val="006F5750"/>
    <w:rsid w:val="00707646"/>
    <w:rsid w:val="0071045A"/>
    <w:rsid w:val="00713C3C"/>
    <w:rsid w:val="00714D16"/>
    <w:rsid w:val="00716DA8"/>
    <w:rsid w:val="00720894"/>
    <w:rsid w:val="00720F37"/>
    <w:rsid w:val="007248F0"/>
    <w:rsid w:val="0072522E"/>
    <w:rsid w:val="00726FC9"/>
    <w:rsid w:val="00727016"/>
    <w:rsid w:val="00732B86"/>
    <w:rsid w:val="00733CDD"/>
    <w:rsid w:val="00741DB7"/>
    <w:rsid w:val="00742625"/>
    <w:rsid w:val="00745243"/>
    <w:rsid w:val="007512B5"/>
    <w:rsid w:val="00752EAA"/>
    <w:rsid w:val="00762E90"/>
    <w:rsid w:val="00763B9B"/>
    <w:rsid w:val="00772BD9"/>
    <w:rsid w:val="00775A9B"/>
    <w:rsid w:val="0078406B"/>
    <w:rsid w:val="00786556"/>
    <w:rsid w:val="007A0AA5"/>
    <w:rsid w:val="007A1207"/>
    <w:rsid w:val="007A27BC"/>
    <w:rsid w:val="007A2C5E"/>
    <w:rsid w:val="007B0209"/>
    <w:rsid w:val="007B0E30"/>
    <w:rsid w:val="007C0A91"/>
    <w:rsid w:val="007C1C78"/>
    <w:rsid w:val="007C2806"/>
    <w:rsid w:val="007C4415"/>
    <w:rsid w:val="007D33F3"/>
    <w:rsid w:val="007D4B72"/>
    <w:rsid w:val="007D5B62"/>
    <w:rsid w:val="007E1A81"/>
    <w:rsid w:val="007E1FAC"/>
    <w:rsid w:val="007F6157"/>
    <w:rsid w:val="007F7196"/>
    <w:rsid w:val="007F7C6B"/>
    <w:rsid w:val="00806E17"/>
    <w:rsid w:val="00820645"/>
    <w:rsid w:val="008223F0"/>
    <w:rsid w:val="00824A59"/>
    <w:rsid w:val="008300AA"/>
    <w:rsid w:val="0083727E"/>
    <w:rsid w:val="0086156B"/>
    <w:rsid w:val="00861ACD"/>
    <w:rsid w:val="0086563A"/>
    <w:rsid w:val="008857A3"/>
    <w:rsid w:val="008870BB"/>
    <w:rsid w:val="00893017"/>
    <w:rsid w:val="00894B9B"/>
    <w:rsid w:val="00894CF3"/>
    <w:rsid w:val="00895D07"/>
    <w:rsid w:val="008A3AB6"/>
    <w:rsid w:val="008A3BA0"/>
    <w:rsid w:val="008A6E92"/>
    <w:rsid w:val="008A77FB"/>
    <w:rsid w:val="008A7DEA"/>
    <w:rsid w:val="008B1838"/>
    <w:rsid w:val="008B42C4"/>
    <w:rsid w:val="008C1208"/>
    <w:rsid w:val="008E3C40"/>
    <w:rsid w:val="008E3E31"/>
    <w:rsid w:val="008F01D0"/>
    <w:rsid w:val="008F0C64"/>
    <w:rsid w:val="008F1186"/>
    <w:rsid w:val="008F1D56"/>
    <w:rsid w:val="008F51E1"/>
    <w:rsid w:val="00911788"/>
    <w:rsid w:val="0091662B"/>
    <w:rsid w:val="00920ED9"/>
    <w:rsid w:val="00923507"/>
    <w:rsid w:val="00924A97"/>
    <w:rsid w:val="00925246"/>
    <w:rsid w:val="00927371"/>
    <w:rsid w:val="00930F71"/>
    <w:rsid w:val="0093533A"/>
    <w:rsid w:val="00936035"/>
    <w:rsid w:val="00937673"/>
    <w:rsid w:val="00944B76"/>
    <w:rsid w:val="00950403"/>
    <w:rsid w:val="00951C29"/>
    <w:rsid w:val="00962F28"/>
    <w:rsid w:val="00967A1C"/>
    <w:rsid w:val="0098090C"/>
    <w:rsid w:val="00990F02"/>
    <w:rsid w:val="00992133"/>
    <w:rsid w:val="0099417E"/>
    <w:rsid w:val="009A45A2"/>
    <w:rsid w:val="009B0ECB"/>
    <w:rsid w:val="009B11E1"/>
    <w:rsid w:val="009B54DE"/>
    <w:rsid w:val="009F0238"/>
    <w:rsid w:val="009F1E34"/>
    <w:rsid w:val="009F3E58"/>
    <w:rsid w:val="009F3FD5"/>
    <w:rsid w:val="009F6EA8"/>
    <w:rsid w:val="009F7AEC"/>
    <w:rsid w:val="00A07E38"/>
    <w:rsid w:val="00A1033B"/>
    <w:rsid w:val="00A16039"/>
    <w:rsid w:val="00A27DE2"/>
    <w:rsid w:val="00A313AF"/>
    <w:rsid w:val="00A31AB3"/>
    <w:rsid w:val="00A345C2"/>
    <w:rsid w:val="00A417AB"/>
    <w:rsid w:val="00A4687E"/>
    <w:rsid w:val="00A52406"/>
    <w:rsid w:val="00A55D21"/>
    <w:rsid w:val="00A56217"/>
    <w:rsid w:val="00A6060E"/>
    <w:rsid w:val="00A73305"/>
    <w:rsid w:val="00A751A6"/>
    <w:rsid w:val="00A8546E"/>
    <w:rsid w:val="00A87A13"/>
    <w:rsid w:val="00A92782"/>
    <w:rsid w:val="00A94BAF"/>
    <w:rsid w:val="00A96594"/>
    <w:rsid w:val="00AA395D"/>
    <w:rsid w:val="00AA6ED2"/>
    <w:rsid w:val="00AB45AA"/>
    <w:rsid w:val="00AC1F68"/>
    <w:rsid w:val="00AC3495"/>
    <w:rsid w:val="00AC66A1"/>
    <w:rsid w:val="00AD37BD"/>
    <w:rsid w:val="00AE041B"/>
    <w:rsid w:val="00AE128A"/>
    <w:rsid w:val="00AE2FBA"/>
    <w:rsid w:val="00AE3048"/>
    <w:rsid w:val="00AE51EA"/>
    <w:rsid w:val="00AE7F28"/>
    <w:rsid w:val="00AE7FE2"/>
    <w:rsid w:val="00AF37B2"/>
    <w:rsid w:val="00AF512A"/>
    <w:rsid w:val="00B02232"/>
    <w:rsid w:val="00B03044"/>
    <w:rsid w:val="00B05756"/>
    <w:rsid w:val="00B06F43"/>
    <w:rsid w:val="00B12B39"/>
    <w:rsid w:val="00B137CD"/>
    <w:rsid w:val="00B140E4"/>
    <w:rsid w:val="00B2000E"/>
    <w:rsid w:val="00B20D51"/>
    <w:rsid w:val="00B21B4E"/>
    <w:rsid w:val="00B241E5"/>
    <w:rsid w:val="00B25BC2"/>
    <w:rsid w:val="00B34072"/>
    <w:rsid w:val="00B35D27"/>
    <w:rsid w:val="00B37412"/>
    <w:rsid w:val="00B43759"/>
    <w:rsid w:val="00B51E56"/>
    <w:rsid w:val="00B53CAE"/>
    <w:rsid w:val="00B5507C"/>
    <w:rsid w:val="00B5712C"/>
    <w:rsid w:val="00B60AF6"/>
    <w:rsid w:val="00B60DD0"/>
    <w:rsid w:val="00B65A6D"/>
    <w:rsid w:val="00B77199"/>
    <w:rsid w:val="00B80A7D"/>
    <w:rsid w:val="00B80F5A"/>
    <w:rsid w:val="00B837CA"/>
    <w:rsid w:val="00B838A6"/>
    <w:rsid w:val="00BA59D0"/>
    <w:rsid w:val="00BA7A56"/>
    <w:rsid w:val="00BA7F7D"/>
    <w:rsid w:val="00BB50BA"/>
    <w:rsid w:val="00BC4391"/>
    <w:rsid w:val="00BC7D41"/>
    <w:rsid w:val="00BD0266"/>
    <w:rsid w:val="00BD6868"/>
    <w:rsid w:val="00BD69AF"/>
    <w:rsid w:val="00BE0C1F"/>
    <w:rsid w:val="00BF198A"/>
    <w:rsid w:val="00BF77DA"/>
    <w:rsid w:val="00C023D6"/>
    <w:rsid w:val="00C04481"/>
    <w:rsid w:val="00C06C38"/>
    <w:rsid w:val="00C14C16"/>
    <w:rsid w:val="00C22EA6"/>
    <w:rsid w:val="00C26BB6"/>
    <w:rsid w:val="00C3371D"/>
    <w:rsid w:val="00C40E6B"/>
    <w:rsid w:val="00C456C9"/>
    <w:rsid w:val="00C50AF6"/>
    <w:rsid w:val="00C51B6C"/>
    <w:rsid w:val="00C609BF"/>
    <w:rsid w:val="00C61209"/>
    <w:rsid w:val="00C61B9F"/>
    <w:rsid w:val="00C7085E"/>
    <w:rsid w:val="00C73F7C"/>
    <w:rsid w:val="00C74726"/>
    <w:rsid w:val="00C86131"/>
    <w:rsid w:val="00C92295"/>
    <w:rsid w:val="00C9244D"/>
    <w:rsid w:val="00C9290A"/>
    <w:rsid w:val="00C930D1"/>
    <w:rsid w:val="00CB0C3C"/>
    <w:rsid w:val="00CB4FE2"/>
    <w:rsid w:val="00CF5FD5"/>
    <w:rsid w:val="00D04F5A"/>
    <w:rsid w:val="00D0690E"/>
    <w:rsid w:val="00D22192"/>
    <w:rsid w:val="00D22A59"/>
    <w:rsid w:val="00D24DCB"/>
    <w:rsid w:val="00D25EC8"/>
    <w:rsid w:val="00D268DF"/>
    <w:rsid w:val="00D41924"/>
    <w:rsid w:val="00D50116"/>
    <w:rsid w:val="00D7142A"/>
    <w:rsid w:val="00D73EFA"/>
    <w:rsid w:val="00D770A8"/>
    <w:rsid w:val="00D8085B"/>
    <w:rsid w:val="00D80F5E"/>
    <w:rsid w:val="00D825D8"/>
    <w:rsid w:val="00D83316"/>
    <w:rsid w:val="00D83766"/>
    <w:rsid w:val="00D91D72"/>
    <w:rsid w:val="00D96D35"/>
    <w:rsid w:val="00DB05C8"/>
    <w:rsid w:val="00DB2BFC"/>
    <w:rsid w:val="00DC109D"/>
    <w:rsid w:val="00DC1AB0"/>
    <w:rsid w:val="00DD7B8E"/>
    <w:rsid w:val="00DE63D1"/>
    <w:rsid w:val="00DF2064"/>
    <w:rsid w:val="00DF44B9"/>
    <w:rsid w:val="00E004AB"/>
    <w:rsid w:val="00E1288F"/>
    <w:rsid w:val="00E13B5D"/>
    <w:rsid w:val="00E142A0"/>
    <w:rsid w:val="00E16F42"/>
    <w:rsid w:val="00E17948"/>
    <w:rsid w:val="00E20091"/>
    <w:rsid w:val="00E35BD4"/>
    <w:rsid w:val="00E401B1"/>
    <w:rsid w:val="00E504CE"/>
    <w:rsid w:val="00E53ADE"/>
    <w:rsid w:val="00E56E01"/>
    <w:rsid w:val="00E57870"/>
    <w:rsid w:val="00E6584B"/>
    <w:rsid w:val="00E6722B"/>
    <w:rsid w:val="00E75D28"/>
    <w:rsid w:val="00E75E96"/>
    <w:rsid w:val="00E8621F"/>
    <w:rsid w:val="00E8644C"/>
    <w:rsid w:val="00E86B38"/>
    <w:rsid w:val="00E9285A"/>
    <w:rsid w:val="00EA2F18"/>
    <w:rsid w:val="00EA34C3"/>
    <w:rsid w:val="00EB2B08"/>
    <w:rsid w:val="00EB2DC6"/>
    <w:rsid w:val="00EB3AC1"/>
    <w:rsid w:val="00EB7957"/>
    <w:rsid w:val="00EC10FC"/>
    <w:rsid w:val="00EC2908"/>
    <w:rsid w:val="00EC36FA"/>
    <w:rsid w:val="00ED2B13"/>
    <w:rsid w:val="00EE33C1"/>
    <w:rsid w:val="00EE6600"/>
    <w:rsid w:val="00EE7C13"/>
    <w:rsid w:val="00EF2F6C"/>
    <w:rsid w:val="00EF4361"/>
    <w:rsid w:val="00F04267"/>
    <w:rsid w:val="00F11B0E"/>
    <w:rsid w:val="00F1508E"/>
    <w:rsid w:val="00F15FB4"/>
    <w:rsid w:val="00F234D6"/>
    <w:rsid w:val="00F2679B"/>
    <w:rsid w:val="00F33CE5"/>
    <w:rsid w:val="00F362F9"/>
    <w:rsid w:val="00F40F88"/>
    <w:rsid w:val="00F41092"/>
    <w:rsid w:val="00F4625B"/>
    <w:rsid w:val="00F47BBF"/>
    <w:rsid w:val="00F50730"/>
    <w:rsid w:val="00F661BE"/>
    <w:rsid w:val="00F74A32"/>
    <w:rsid w:val="00F86D38"/>
    <w:rsid w:val="00F9277C"/>
    <w:rsid w:val="00F94196"/>
    <w:rsid w:val="00FA0E8E"/>
    <w:rsid w:val="00FA62A2"/>
    <w:rsid w:val="00FA6E89"/>
    <w:rsid w:val="00FB747A"/>
    <w:rsid w:val="00FD74A6"/>
    <w:rsid w:val="00FE03FC"/>
    <w:rsid w:val="00FE22A6"/>
    <w:rsid w:val="00FE6E5F"/>
    <w:rsid w:val="00FF5A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72D"/>
    <w:pPr>
      <w:spacing w:before="120"/>
      <w:jc w:val="both"/>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57B5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57B59"/>
    <w:rPr>
      <w:sz w:val="20"/>
      <w:szCs w:val="20"/>
    </w:rPr>
  </w:style>
  <w:style w:type="character" w:styleId="FootnoteReference">
    <w:name w:val="footnote reference"/>
    <w:basedOn w:val="DefaultParagraphFont"/>
    <w:uiPriority w:val="99"/>
    <w:semiHidden/>
    <w:unhideWhenUsed/>
    <w:rsid w:val="00257B59"/>
    <w:rPr>
      <w:vertAlign w:val="superscript"/>
    </w:rPr>
  </w:style>
  <w:style w:type="paragraph" w:styleId="ListParagraph">
    <w:name w:val="List Paragraph"/>
    <w:basedOn w:val="Normal"/>
    <w:uiPriority w:val="34"/>
    <w:qFormat/>
    <w:rsid w:val="00502B58"/>
    <w:pPr>
      <w:ind w:left="720"/>
      <w:contextualSpacing/>
    </w:pPr>
  </w:style>
  <w:style w:type="character" w:styleId="PlaceholderText">
    <w:name w:val="Placeholder Text"/>
    <w:basedOn w:val="DefaultParagraphFont"/>
    <w:uiPriority w:val="99"/>
    <w:semiHidden/>
    <w:rsid w:val="00052FAB"/>
    <w:rPr>
      <w:color w:val="808080"/>
    </w:rPr>
  </w:style>
  <w:style w:type="paragraph" w:styleId="BalloonText">
    <w:name w:val="Balloon Text"/>
    <w:basedOn w:val="Normal"/>
    <w:link w:val="BalloonTextChar"/>
    <w:uiPriority w:val="99"/>
    <w:semiHidden/>
    <w:unhideWhenUsed/>
    <w:rsid w:val="00052F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2FAB"/>
    <w:rPr>
      <w:rFonts w:ascii="Tahoma" w:hAnsi="Tahoma" w:cs="Tahoma"/>
      <w:sz w:val="16"/>
      <w:szCs w:val="16"/>
    </w:rPr>
  </w:style>
  <w:style w:type="paragraph" w:styleId="Header">
    <w:name w:val="header"/>
    <w:basedOn w:val="Normal"/>
    <w:link w:val="HeaderChar"/>
    <w:uiPriority w:val="99"/>
    <w:semiHidden/>
    <w:unhideWhenUsed/>
    <w:rsid w:val="001B3CDA"/>
    <w:pPr>
      <w:tabs>
        <w:tab w:val="center" w:pos="4680"/>
        <w:tab w:val="right" w:pos="9360"/>
      </w:tabs>
      <w:spacing w:before="0" w:after="0" w:line="240" w:lineRule="auto"/>
    </w:pPr>
  </w:style>
  <w:style w:type="character" w:customStyle="1" w:styleId="HeaderChar">
    <w:name w:val="Header Char"/>
    <w:basedOn w:val="DefaultParagraphFont"/>
    <w:link w:val="Header"/>
    <w:uiPriority w:val="99"/>
    <w:semiHidden/>
    <w:rsid w:val="001B3CDA"/>
    <w:rPr>
      <w:rFonts w:ascii="Times New Roman" w:hAnsi="Times New Roman"/>
      <w:sz w:val="24"/>
    </w:rPr>
  </w:style>
  <w:style w:type="paragraph" w:styleId="Footer">
    <w:name w:val="footer"/>
    <w:basedOn w:val="Normal"/>
    <w:link w:val="FooterChar"/>
    <w:uiPriority w:val="99"/>
    <w:unhideWhenUsed/>
    <w:rsid w:val="001B3CDA"/>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1B3CDA"/>
    <w:rPr>
      <w:rFonts w:ascii="Times New Roman" w:hAnsi="Times New Roman"/>
      <w:sz w:val="24"/>
    </w:rPr>
  </w:style>
  <w:style w:type="table" w:styleId="TableGrid">
    <w:name w:val="Table Grid"/>
    <w:basedOn w:val="TableNormal"/>
    <w:uiPriority w:val="59"/>
    <w:rsid w:val="00317D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19560488">
      <w:bodyDiv w:val="1"/>
      <w:marLeft w:val="0"/>
      <w:marRight w:val="0"/>
      <w:marTop w:val="0"/>
      <w:marBottom w:val="0"/>
      <w:divBdr>
        <w:top w:val="none" w:sz="0" w:space="0" w:color="auto"/>
        <w:left w:val="none" w:sz="0" w:space="0" w:color="auto"/>
        <w:bottom w:val="none" w:sz="0" w:space="0" w:color="auto"/>
        <w:right w:val="none" w:sz="0" w:space="0" w:color="auto"/>
      </w:divBdr>
      <w:divsChild>
        <w:div w:id="2145196164">
          <w:marLeft w:val="0"/>
          <w:marRight w:val="0"/>
          <w:marTop w:val="0"/>
          <w:marBottom w:val="300"/>
          <w:divBdr>
            <w:top w:val="none" w:sz="0" w:space="0" w:color="auto"/>
            <w:left w:val="none" w:sz="0" w:space="0" w:color="auto"/>
            <w:bottom w:val="none" w:sz="0" w:space="0" w:color="auto"/>
            <w:right w:val="none" w:sz="0" w:space="0" w:color="auto"/>
          </w:divBdr>
          <w:divsChild>
            <w:div w:id="1876575263">
              <w:marLeft w:val="0"/>
              <w:marRight w:val="0"/>
              <w:marTop w:val="0"/>
              <w:marBottom w:val="0"/>
              <w:divBdr>
                <w:top w:val="none" w:sz="0" w:space="0" w:color="auto"/>
                <w:left w:val="none" w:sz="0" w:space="0" w:color="auto"/>
                <w:bottom w:val="none" w:sz="0" w:space="0" w:color="auto"/>
                <w:right w:val="none" w:sz="0" w:space="0" w:color="auto"/>
              </w:divBdr>
              <w:divsChild>
                <w:div w:id="1547377168">
                  <w:marLeft w:val="0"/>
                  <w:marRight w:val="0"/>
                  <w:marTop w:val="0"/>
                  <w:marBottom w:val="0"/>
                  <w:divBdr>
                    <w:top w:val="none" w:sz="0" w:space="0" w:color="auto"/>
                    <w:left w:val="none" w:sz="0" w:space="0" w:color="auto"/>
                    <w:bottom w:val="none" w:sz="0" w:space="0" w:color="auto"/>
                    <w:right w:val="none" w:sz="0" w:space="0" w:color="auto"/>
                  </w:divBdr>
                  <w:divsChild>
                    <w:div w:id="1787457406">
                      <w:marLeft w:val="0"/>
                      <w:marRight w:val="0"/>
                      <w:marTop w:val="0"/>
                      <w:marBottom w:val="0"/>
                      <w:divBdr>
                        <w:top w:val="none" w:sz="0" w:space="0" w:color="auto"/>
                        <w:left w:val="none" w:sz="0" w:space="0" w:color="auto"/>
                        <w:bottom w:val="none" w:sz="0" w:space="0" w:color="auto"/>
                        <w:right w:val="none" w:sz="0" w:space="0" w:color="auto"/>
                      </w:divBdr>
                      <w:divsChild>
                        <w:div w:id="505175383">
                          <w:marLeft w:val="0"/>
                          <w:marRight w:val="0"/>
                          <w:marTop w:val="0"/>
                          <w:marBottom w:val="0"/>
                          <w:divBdr>
                            <w:top w:val="none" w:sz="0" w:space="0" w:color="auto"/>
                            <w:left w:val="none" w:sz="0" w:space="0" w:color="auto"/>
                            <w:bottom w:val="none" w:sz="0" w:space="0" w:color="auto"/>
                            <w:right w:val="none" w:sz="0" w:space="0" w:color="auto"/>
                          </w:divBdr>
                          <w:divsChild>
                            <w:div w:id="498616359">
                              <w:marLeft w:val="0"/>
                              <w:marRight w:val="0"/>
                              <w:marTop w:val="0"/>
                              <w:marBottom w:val="0"/>
                              <w:divBdr>
                                <w:top w:val="none" w:sz="0" w:space="0" w:color="auto"/>
                                <w:left w:val="none" w:sz="0" w:space="0" w:color="auto"/>
                                <w:bottom w:val="none" w:sz="0" w:space="0" w:color="auto"/>
                                <w:right w:val="none" w:sz="0" w:space="0" w:color="auto"/>
                              </w:divBdr>
                              <w:divsChild>
                                <w:div w:id="11610115">
                                  <w:marLeft w:val="0"/>
                                  <w:marRight w:val="0"/>
                                  <w:marTop w:val="0"/>
                                  <w:marBottom w:val="0"/>
                                  <w:divBdr>
                                    <w:top w:val="none" w:sz="0" w:space="0" w:color="auto"/>
                                    <w:left w:val="none" w:sz="0" w:space="0" w:color="auto"/>
                                    <w:bottom w:val="none" w:sz="0" w:space="0" w:color="auto"/>
                                    <w:right w:val="none" w:sz="0" w:space="0" w:color="auto"/>
                                  </w:divBdr>
                                  <w:divsChild>
                                    <w:div w:id="132030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6851357">
      <w:bodyDiv w:val="1"/>
      <w:marLeft w:val="0"/>
      <w:marRight w:val="0"/>
      <w:marTop w:val="0"/>
      <w:marBottom w:val="0"/>
      <w:divBdr>
        <w:top w:val="none" w:sz="0" w:space="0" w:color="auto"/>
        <w:left w:val="none" w:sz="0" w:space="0" w:color="auto"/>
        <w:bottom w:val="none" w:sz="0" w:space="0" w:color="auto"/>
        <w:right w:val="none" w:sz="0" w:space="0" w:color="auto"/>
      </w:divBdr>
    </w:div>
    <w:div w:id="836964223">
      <w:bodyDiv w:val="1"/>
      <w:marLeft w:val="0"/>
      <w:marRight w:val="0"/>
      <w:marTop w:val="0"/>
      <w:marBottom w:val="0"/>
      <w:divBdr>
        <w:top w:val="none" w:sz="0" w:space="0" w:color="auto"/>
        <w:left w:val="none" w:sz="0" w:space="0" w:color="auto"/>
        <w:bottom w:val="none" w:sz="0" w:space="0" w:color="auto"/>
        <w:right w:val="none" w:sz="0" w:space="0" w:color="auto"/>
      </w:divBdr>
      <w:divsChild>
        <w:div w:id="876160080">
          <w:marLeft w:val="0"/>
          <w:marRight w:val="0"/>
          <w:marTop w:val="0"/>
          <w:marBottom w:val="0"/>
          <w:divBdr>
            <w:top w:val="none" w:sz="0" w:space="0" w:color="auto"/>
            <w:left w:val="none" w:sz="0" w:space="0" w:color="auto"/>
            <w:bottom w:val="none" w:sz="0" w:space="0" w:color="auto"/>
            <w:right w:val="none" w:sz="0" w:space="0" w:color="auto"/>
          </w:divBdr>
          <w:divsChild>
            <w:div w:id="1178733807">
              <w:marLeft w:val="0"/>
              <w:marRight w:val="0"/>
              <w:marTop w:val="0"/>
              <w:marBottom w:val="0"/>
              <w:divBdr>
                <w:top w:val="none" w:sz="0" w:space="0" w:color="auto"/>
                <w:left w:val="none" w:sz="0" w:space="0" w:color="auto"/>
                <w:bottom w:val="none" w:sz="0" w:space="0" w:color="auto"/>
                <w:right w:val="none" w:sz="0" w:space="0" w:color="auto"/>
              </w:divBdr>
              <w:divsChild>
                <w:div w:id="1113019847">
                  <w:marLeft w:val="0"/>
                  <w:marRight w:val="0"/>
                  <w:marTop w:val="0"/>
                  <w:marBottom w:val="0"/>
                  <w:divBdr>
                    <w:top w:val="none" w:sz="0" w:space="0" w:color="auto"/>
                    <w:left w:val="none" w:sz="0" w:space="0" w:color="auto"/>
                    <w:bottom w:val="none" w:sz="0" w:space="0" w:color="auto"/>
                    <w:right w:val="none" w:sz="0" w:space="0" w:color="auto"/>
                  </w:divBdr>
                  <w:divsChild>
                    <w:div w:id="1176387340">
                      <w:marLeft w:val="0"/>
                      <w:marRight w:val="0"/>
                      <w:marTop w:val="0"/>
                      <w:marBottom w:val="0"/>
                      <w:divBdr>
                        <w:top w:val="none" w:sz="0" w:space="0" w:color="auto"/>
                        <w:left w:val="none" w:sz="0" w:space="0" w:color="auto"/>
                        <w:bottom w:val="none" w:sz="0" w:space="0" w:color="auto"/>
                        <w:right w:val="none" w:sz="0" w:space="0" w:color="auto"/>
                      </w:divBdr>
                      <w:divsChild>
                        <w:div w:id="804852546">
                          <w:marLeft w:val="0"/>
                          <w:marRight w:val="0"/>
                          <w:marTop w:val="0"/>
                          <w:marBottom w:val="0"/>
                          <w:divBdr>
                            <w:top w:val="none" w:sz="0" w:space="0" w:color="auto"/>
                            <w:left w:val="none" w:sz="0" w:space="0" w:color="auto"/>
                            <w:bottom w:val="none" w:sz="0" w:space="0" w:color="auto"/>
                            <w:right w:val="none" w:sz="0" w:space="0" w:color="auto"/>
                          </w:divBdr>
                          <w:divsChild>
                            <w:div w:id="1935093911">
                              <w:marLeft w:val="0"/>
                              <w:marRight w:val="0"/>
                              <w:marTop w:val="0"/>
                              <w:marBottom w:val="0"/>
                              <w:divBdr>
                                <w:top w:val="none" w:sz="0" w:space="0" w:color="auto"/>
                                <w:left w:val="none" w:sz="0" w:space="0" w:color="auto"/>
                                <w:bottom w:val="none" w:sz="0" w:space="0" w:color="auto"/>
                                <w:right w:val="none" w:sz="0" w:space="0" w:color="auto"/>
                              </w:divBdr>
                              <w:divsChild>
                                <w:div w:id="256015474">
                                  <w:marLeft w:val="0"/>
                                  <w:marRight w:val="0"/>
                                  <w:marTop w:val="0"/>
                                  <w:marBottom w:val="0"/>
                                  <w:divBdr>
                                    <w:top w:val="none" w:sz="0" w:space="0" w:color="auto"/>
                                    <w:left w:val="none" w:sz="0" w:space="0" w:color="auto"/>
                                    <w:bottom w:val="none" w:sz="0" w:space="0" w:color="auto"/>
                                    <w:right w:val="none" w:sz="0" w:space="0" w:color="auto"/>
                                  </w:divBdr>
                                  <w:divsChild>
                                    <w:div w:id="262222818">
                                      <w:marLeft w:val="0"/>
                                      <w:marRight w:val="0"/>
                                      <w:marTop w:val="0"/>
                                      <w:marBottom w:val="0"/>
                                      <w:divBdr>
                                        <w:top w:val="none" w:sz="0" w:space="0" w:color="auto"/>
                                        <w:left w:val="none" w:sz="0" w:space="0" w:color="auto"/>
                                        <w:bottom w:val="none" w:sz="0" w:space="0" w:color="auto"/>
                                        <w:right w:val="none" w:sz="0" w:space="0" w:color="auto"/>
                                      </w:divBdr>
                                      <w:divsChild>
                                        <w:div w:id="1211771488">
                                          <w:marLeft w:val="0"/>
                                          <w:marRight w:val="0"/>
                                          <w:marTop w:val="0"/>
                                          <w:marBottom w:val="0"/>
                                          <w:divBdr>
                                            <w:top w:val="none" w:sz="0" w:space="0" w:color="auto"/>
                                            <w:left w:val="none" w:sz="0" w:space="0" w:color="auto"/>
                                            <w:bottom w:val="none" w:sz="0" w:space="0" w:color="auto"/>
                                            <w:right w:val="none" w:sz="0" w:space="0" w:color="auto"/>
                                          </w:divBdr>
                                        </w:div>
                                        <w:div w:id="100166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31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7662834">
      <w:bodyDiv w:val="1"/>
      <w:marLeft w:val="0"/>
      <w:marRight w:val="0"/>
      <w:marTop w:val="0"/>
      <w:marBottom w:val="0"/>
      <w:divBdr>
        <w:top w:val="none" w:sz="0" w:space="0" w:color="auto"/>
        <w:left w:val="none" w:sz="0" w:space="0" w:color="auto"/>
        <w:bottom w:val="none" w:sz="0" w:space="0" w:color="auto"/>
        <w:right w:val="none" w:sz="0" w:space="0" w:color="auto"/>
      </w:divBdr>
    </w:div>
    <w:div w:id="922908092">
      <w:bodyDiv w:val="1"/>
      <w:marLeft w:val="0"/>
      <w:marRight w:val="0"/>
      <w:marTop w:val="0"/>
      <w:marBottom w:val="0"/>
      <w:divBdr>
        <w:top w:val="none" w:sz="0" w:space="0" w:color="auto"/>
        <w:left w:val="none" w:sz="0" w:space="0" w:color="auto"/>
        <w:bottom w:val="none" w:sz="0" w:space="0" w:color="auto"/>
        <w:right w:val="none" w:sz="0" w:space="0" w:color="auto"/>
      </w:divBdr>
    </w:div>
    <w:div w:id="961571899">
      <w:bodyDiv w:val="1"/>
      <w:marLeft w:val="0"/>
      <w:marRight w:val="0"/>
      <w:marTop w:val="0"/>
      <w:marBottom w:val="0"/>
      <w:divBdr>
        <w:top w:val="none" w:sz="0" w:space="0" w:color="auto"/>
        <w:left w:val="none" w:sz="0" w:space="0" w:color="auto"/>
        <w:bottom w:val="none" w:sz="0" w:space="0" w:color="auto"/>
        <w:right w:val="none" w:sz="0" w:space="0" w:color="auto"/>
      </w:divBdr>
    </w:div>
    <w:div w:id="965354594">
      <w:bodyDiv w:val="1"/>
      <w:marLeft w:val="0"/>
      <w:marRight w:val="0"/>
      <w:marTop w:val="0"/>
      <w:marBottom w:val="0"/>
      <w:divBdr>
        <w:top w:val="none" w:sz="0" w:space="0" w:color="auto"/>
        <w:left w:val="none" w:sz="0" w:space="0" w:color="auto"/>
        <w:bottom w:val="none" w:sz="0" w:space="0" w:color="auto"/>
        <w:right w:val="none" w:sz="0" w:space="0" w:color="auto"/>
      </w:divBdr>
      <w:divsChild>
        <w:div w:id="1168132389">
          <w:marLeft w:val="0"/>
          <w:marRight w:val="0"/>
          <w:marTop w:val="0"/>
          <w:marBottom w:val="300"/>
          <w:divBdr>
            <w:top w:val="none" w:sz="0" w:space="0" w:color="auto"/>
            <w:left w:val="none" w:sz="0" w:space="0" w:color="auto"/>
            <w:bottom w:val="none" w:sz="0" w:space="0" w:color="auto"/>
            <w:right w:val="none" w:sz="0" w:space="0" w:color="auto"/>
          </w:divBdr>
          <w:divsChild>
            <w:div w:id="2116630750">
              <w:marLeft w:val="0"/>
              <w:marRight w:val="0"/>
              <w:marTop w:val="0"/>
              <w:marBottom w:val="0"/>
              <w:divBdr>
                <w:top w:val="none" w:sz="0" w:space="0" w:color="auto"/>
                <w:left w:val="none" w:sz="0" w:space="0" w:color="auto"/>
                <w:bottom w:val="none" w:sz="0" w:space="0" w:color="auto"/>
                <w:right w:val="none" w:sz="0" w:space="0" w:color="auto"/>
              </w:divBdr>
              <w:divsChild>
                <w:div w:id="1754543968">
                  <w:marLeft w:val="0"/>
                  <w:marRight w:val="0"/>
                  <w:marTop w:val="0"/>
                  <w:marBottom w:val="0"/>
                  <w:divBdr>
                    <w:top w:val="none" w:sz="0" w:space="0" w:color="auto"/>
                    <w:left w:val="none" w:sz="0" w:space="0" w:color="auto"/>
                    <w:bottom w:val="none" w:sz="0" w:space="0" w:color="auto"/>
                    <w:right w:val="none" w:sz="0" w:space="0" w:color="auto"/>
                  </w:divBdr>
                  <w:divsChild>
                    <w:div w:id="1745950607">
                      <w:marLeft w:val="0"/>
                      <w:marRight w:val="0"/>
                      <w:marTop w:val="0"/>
                      <w:marBottom w:val="0"/>
                      <w:divBdr>
                        <w:top w:val="none" w:sz="0" w:space="0" w:color="auto"/>
                        <w:left w:val="none" w:sz="0" w:space="0" w:color="auto"/>
                        <w:bottom w:val="none" w:sz="0" w:space="0" w:color="auto"/>
                        <w:right w:val="none" w:sz="0" w:space="0" w:color="auto"/>
                      </w:divBdr>
                      <w:divsChild>
                        <w:div w:id="147093291">
                          <w:marLeft w:val="0"/>
                          <w:marRight w:val="0"/>
                          <w:marTop w:val="0"/>
                          <w:marBottom w:val="0"/>
                          <w:divBdr>
                            <w:top w:val="none" w:sz="0" w:space="0" w:color="auto"/>
                            <w:left w:val="none" w:sz="0" w:space="0" w:color="auto"/>
                            <w:bottom w:val="none" w:sz="0" w:space="0" w:color="auto"/>
                            <w:right w:val="none" w:sz="0" w:space="0" w:color="auto"/>
                          </w:divBdr>
                          <w:divsChild>
                            <w:div w:id="541598112">
                              <w:marLeft w:val="0"/>
                              <w:marRight w:val="0"/>
                              <w:marTop w:val="0"/>
                              <w:marBottom w:val="0"/>
                              <w:divBdr>
                                <w:top w:val="none" w:sz="0" w:space="0" w:color="auto"/>
                                <w:left w:val="none" w:sz="0" w:space="0" w:color="auto"/>
                                <w:bottom w:val="none" w:sz="0" w:space="0" w:color="auto"/>
                                <w:right w:val="none" w:sz="0" w:space="0" w:color="auto"/>
                              </w:divBdr>
                              <w:divsChild>
                                <w:div w:id="1824272315">
                                  <w:marLeft w:val="0"/>
                                  <w:marRight w:val="0"/>
                                  <w:marTop w:val="0"/>
                                  <w:marBottom w:val="0"/>
                                  <w:divBdr>
                                    <w:top w:val="none" w:sz="0" w:space="0" w:color="auto"/>
                                    <w:left w:val="none" w:sz="0" w:space="0" w:color="auto"/>
                                    <w:bottom w:val="none" w:sz="0" w:space="0" w:color="auto"/>
                                    <w:right w:val="none" w:sz="0" w:space="0" w:color="auto"/>
                                  </w:divBdr>
                                  <w:divsChild>
                                    <w:div w:id="93015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1538549">
      <w:bodyDiv w:val="1"/>
      <w:marLeft w:val="0"/>
      <w:marRight w:val="0"/>
      <w:marTop w:val="0"/>
      <w:marBottom w:val="0"/>
      <w:divBdr>
        <w:top w:val="none" w:sz="0" w:space="0" w:color="auto"/>
        <w:left w:val="none" w:sz="0" w:space="0" w:color="auto"/>
        <w:bottom w:val="none" w:sz="0" w:space="0" w:color="auto"/>
        <w:right w:val="none" w:sz="0" w:space="0" w:color="auto"/>
      </w:divBdr>
    </w:div>
    <w:div w:id="1115562222">
      <w:bodyDiv w:val="1"/>
      <w:marLeft w:val="0"/>
      <w:marRight w:val="0"/>
      <w:marTop w:val="0"/>
      <w:marBottom w:val="0"/>
      <w:divBdr>
        <w:top w:val="none" w:sz="0" w:space="0" w:color="auto"/>
        <w:left w:val="none" w:sz="0" w:space="0" w:color="auto"/>
        <w:bottom w:val="none" w:sz="0" w:space="0" w:color="auto"/>
        <w:right w:val="none" w:sz="0" w:space="0" w:color="auto"/>
      </w:divBdr>
    </w:div>
    <w:div w:id="1515803795">
      <w:bodyDiv w:val="1"/>
      <w:marLeft w:val="0"/>
      <w:marRight w:val="0"/>
      <w:marTop w:val="0"/>
      <w:marBottom w:val="0"/>
      <w:divBdr>
        <w:top w:val="none" w:sz="0" w:space="0" w:color="auto"/>
        <w:left w:val="none" w:sz="0" w:space="0" w:color="auto"/>
        <w:bottom w:val="none" w:sz="0" w:space="0" w:color="auto"/>
        <w:right w:val="none" w:sz="0" w:space="0" w:color="auto"/>
      </w:divBdr>
    </w:div>
    <w:div w:id="1541235924">
      <w:bodyDiv w:val="1"/>
      <w:marLeft w:val="0"/>
      <w:marRight w:val="0"/>
      <w:marTop w:val="0"/>
      <w:marBottom w:val="0"/>
      <w:divBdr>
        <w:top w:val="none" w:sz="0" w:space="0" w:color="auto"/>
        <w:left w:val="none" w:sz="0" w:space="0" w:color="auto"/>
        <w:bottom w:val="none" w:sz="0" w:space="0" w:color="auto"/>
        <w:right w:val="none" w:sz="0" w:space="0" w:color="auto"/>
      </w:divBdr>
    </w:div>
    <w:div w:id="1572808179">
      <w:bodyDiv w:val="1"/>
      <w:marLeft w:val="0"/>
      <w:marRight w:val="0"/>
      <w:marTop w:val="0"/>
      <w:marBottom w:val="0"/>
      <w:divBdr>
        <w:top w:val="none" w:sz="0" w:space="0" w:color="auto"/>
        <w:left w:val="none" w:sz="0" w:space="0" w:color="auto"/>
        <w:bottom w:val="none" w:sz="0" w:space="0" w:color="auto"/>
        <w:right w:val="none" w:sz="0" w:space="0" w:color="auto"/>
      </w:divBdr>
      <w:divsChild>
        <w:div w:id="799155168">
          <w:marLeft w:val="0"/>
          <w:marRight w:val="0"/>
          <w:marTop w:val="0"/>
          <w:marBottom w:val="0"/>
          <w:divBdr>
            <w:top w:val="none" w:sz="0" w:space="0" w:color="auto"/>
            <w:left w:val="none" w:sz="0" w:space="0" w:color="auto"/>
            <w:bottom w:val="none" w:sz="0" w:space="0" w:color="auto"/>
            <w:right w:val="none" w:sz="0" w:space="0" w:color="auto"/>
          </w:divBdr>
          <w:divsChild>
            <w:div w:id="2082867285">
              <w:marLeft w:val="0"/>
              <w:marRight w:val="0"/>
              <w:marTop w:val="0"/>
              <w:marBottom w:val="0"/>
              <w:divBdr>
                <w:top w:val="none" w:sz="0" w:space="0" w:color="auto"/>
                <w:left w:val="none" w:sz="0" w:space="0" w:color="auto"/>
                <w:bottom w:val="none" w:sz="0" w:space="0" w:color="auto"/>
                <w:right w:val="none" w:sz="0" w:space="0" w:color="auto"/>
              </w:divBdr>
              <w:divsChild>
                <w:div w:id="1818298261">
                  <w:marLeft w:val="0"/>
                  <w:marRight w:val="0"/>
                  <w:marTop w:val="0"/>
                  <w:marBottom w:val="0"/>
                  <w:divBdr>
                    <w:top w:val="none" w:sz="0" w:space="0" w:color="auto"/>
                    <w:left w:val="none" w:sz="0" w:space="0" w:color="auto"/>
                    <w:bottom w:val="none" w:sz="0" w:space="0" w:color="auto"/>
                    <w:right w:val="none" w:sz="0" w:space="0" w:color="auto"/>
                  </w:divBdr>
                  <w:divsChild>
                    <w:div w:id="1188568883">
                      <w:marLeft w:val="0"/>
                      <w:marRight w:val="0"/>
                      <w:marTop w:val="0"/>
                      <w:marBottom w:val="0"/>
                      <w:divBdr>
                        <w:top w:val="none" w:sz="0" w:space="0" w:color="auto"/>
                        <w:left w:val="none" w:sz="0" w:space="0" w:color="auto"/>
                        <w:bottom w:val="none" w:sz="0" w:space="0" w:color="auto"/>
                        <w:right w:val="none" w:sz="0" w:space="0" w:color="auto"/>
                      </w:divBdr>
                      <w:divsChild>
                        <w:div w:id="228272363">
                          <w:marLeft w:val="0"/>
                          <w:marRight w:val="0"/>
                          <w:marTop w:val="0"/>
                          <w:marBottom w:val="0"/>
                          <w:divBdr>
                            <w:top w:val="none" w:sz="0" w:space="0" w:color="auto"/>
                            <w:left w:val="none" w:sz="0" w:space="0" w:color="auto"/>
                            <w:bottom w:val="none" w:sz="0" w:space="0" w:color="auto"/>
                            <w:right w:val="none" w:sz="0" w:space="0" w:color="auto"/>
                          </w:divBdr>
                          <w:divsChild>
                            <w:div w:id="917791898">
                              <w:marLeft w:val="0"/>
                              <w:marRight w:val="0"/>
                              <w:marTop w:val="0"/>
                              <w:marBottom w:val="0"/>
                              <w:divBdr>
                                <w:top w:val="none" w:sz="0" w:space="0" w:color="auto"/>
                                <w:left w:val="none" w:sz="0" w:space="0" w:color="auto"/>
                                <w:bottom w:val="none" w:sz="0" w:space="0" w:color="auto"/>
                                <w:right w:val="none" w:sz="0" w:space="0" w:color="auto"/>
                              </w:divBdr>
                              <w:divsChild>
                                <w:div w:id="279576686">
                                  <w:marLeft w:val="0"/>
                                  <w:marRight w:val="0"/>
                                  <w:marTop w:val="0"/>
                                  <w:marBottom w:val="0"/>
                                  <w:divBdr>
                                    <w:top w:val="none" w:sz="0" w:space="0" w:color="auto"/>
                                    <w:left w:val="none" w:sz="0" w:space="0" w:color="auto"/>
                                    <w:bottom w:val="none" w:sz="0" w:space="0" w:color="auto"/>
                                    <w:right w:val="none" w:sz="0" w:space="0" w:color="auto"/>
                                  </w:divBdr>
                                  <w:divsChild>
                                    <w:div w:id="1094932496">
                                      <w:marLeft w:val="0"/>
                                      <w:marRight w:val="0"/>
                                      <w:marTop w:val="0"/>
                                      <w:marBottom w:val="0"/>
                                      <w:divBdr>
                                        <w:top w:val="none" w:sz="0" w:space="0" w:color="auto"/>
                                        <w:left w:val="none" w:sz="0" w:space="0" w:color="auto"/>
                                        <w:bottom w:val="none" w:sz="0" w:space="0" w:color="auto"/>
                                        <w:right w:val="none" w:sz="0" w:space="0" w:color="auto"/>
                                      </w:divBdr>
                                      <w:divsChild>
                                        <w:div w:id="1933855826">
                                          <w:marLeft w:val="0"/>
                                          <w:marRight w:val="0"/>
                                          <w:marTop w:val="0"/>
                                          <w:marBottom w:val="0"/>
                                          <w:divBdr>
                                            <w:top w:val="none" w:sz="0" w:space="0" w:color="auto"/>
                                            <w:left w:val="none" w:sz="0" w:space="0" w:color="auto"/>
                                            <w:bottom w:val="none" w:sz="0" w:space="0" w:color="auto"/>
                                            <w:right w:val="none" w:sz="0" w:space="0" w:color="auto"/>
                                          </w:divBdr>
                                        </w:div>
                                        <w:div w:id="5158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6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9894727">
      <w:bodyDiv w:val="1"/>
      <w:marLeft w:val="0"/>
      <w:marRight w:val="0"/>
      <w:marTop w:val="0"/>
      <w:marBottom w:val="0"/>
      <w:divBdr>
        <w:top w:val="none" w:sz="0" w:space="0" w:color="auto"/>
        <w:left w:val="none" w:sz="0" w:space="0" w:color="auto"/>
        <w:bottom w:val="none" w:sz="0" w:space="0" w:color="auto"/>
        <w:right w:val="none" w:sz="0" w:space="0" w:color="auto"/>
      </w:divBdr>
    </w:div>
    <w:div w:id="1615939970">
      <w:bodyDiv w:val="1"/>
      <w:marLeft w:val="0"/>
      <w:marRight w:val="0"/>
      <w:marTop w:val="0"/>
      <w:marBottom w:val="0"/>
      <w:divBdr>
        <w:top w:val="none" w:sz="0" w:space="0" w:color="auto"/>
        <w:left w:val="none" w:sz="0" w:space="0" w:color="auto"/>
        <w:bottom w:val="none" w:sz="0" w:space="0" w:color="auto"/>
        <w:right w:val="none" w:sz="0" w:space="0" w:color="auto"/>
      </w:divBdr>
    </w:div>
    <w:div w:id="1625962327">
      <w:bodyDiv w:val="1"/>
      <w:marLeft w:val="0"/>
      <w:marRight w:val="0"/>
      <w:marTop w:val="0"/>
      <w:marBottom w:val="0"/>
      <w:divBdr>
        <w:top w:val="none" w:sz="0" w:space="0" w:color="auto"/>
        <w:left w:val="none" w:sz="0" w:space="0" w:color="auto"/>
        <w:bottom w:val="none" w:sz="0" w:space="0" w:color="auto"/>
        <w:right w:val="none" w:sz="0" w:space="0" w:color="auto"/>
      </w:divBdr>
    </w:div>
    <w:div w:id="1765956876">
      <w:bodyDiv w:val="1"/>
      <w:marLeft w:val="0"/>
      <w:marRight w:val="0"/>
      <w:marTop w:val="0"/>
      <w:marBottom w:val="0"/>
      <w:divBdr>
        <w:top w:val="none" w:sz="0" w:space="0" w:color="auto"/>
        <w:left w:val="none" w:sz="0" w:space="0" w:color="auto"/>
        <w:bottom w:val="none" w:sz="0" w:space="0" w:color="auto"/>
        <w:right w:val="none" w:sz="0" w:space="0" w:color="auto"/>
      </w:divBdr>
    </w:div>
    <w:div w:id="1811901867">
      <w:bodyDiv w:val="1"/>
      <w:marLeft w:val="0"/>
      <w:marRight w:val="0"/>
      <w:marTop w:val="0"/>
      <w:marBottom w:val="0"/>
      <w:divBdr>
        <w:top w:val="none" w:sz="0" w:space="0" w:color="auto"/>
        <w:left w:val="none" w:sz="0" w:space="0" w:color="auto"/>
        <w:bottom w:val="none" w:sz="0" w:space="0" w:color="auto"/>
        <w:right w:val="none" w:sz="0" w:space="0" w:color="auto"/>
      </w:divBdr>
    </w:div>
    <w:div w:id="1828594475">
      <w:bodyDiv w:val="1"/>
      <w:marLeft w:val="0"/>
      <w:marRight w:val="0"/>
      <w:marTop w:val="0"/>
      <w:marBottom w:val="0"/>
      <w:divBdr>
        <w:top w:val="none" w:sz="0" w:space="0" w:color="auto"/>
        <w:left w:val="none" w:sz="0" w:space="0" w:color="auto"/>
        <w:bottom w:val="none" w:sz="0" w:space="0" w:color="auto"/>
        <w:right w:val="none" w:sz="0" w:space="0" w:color="auto"/>
      </w:divBdr>
      <w:divsChild>
        <w:div w:id="335155521">
          <w:marLeft w:val="0"/>
          <w:marRight w:val="0"/>
          <w:marTop w:val="0"/>
          <w:marBottom w:val="0"/>
          <w:divBdr>
            <w:top w:val="none" w:sz="0" w:space="0" w:color="auto"/>
            <w:left w:val="none" w:sz="0" w:space="0" w:color="auto"/>
            <w:bottom w:val="none" w:sz="0" w:space="0" w:color="auto"/>
            <w:right w:val="none" w:sz="0" w:space="0" w:color="auto"/>
          </w:divBdr>
          <w:divsChild>
            <w:div w:id="926231849">
              <w:marLeft w:val="0"/>
              <w:marRight w:val="0"/>
              <w:marTop w:val="0"/>
              <w:marBottom w:val="0"/>
              <w:divBdr>
                <w:top w:val="none" w:sz="0" w:space="0" w:color="auto"/>
                <w:left w:val="none" w:sz="0" w:space="0" w:color="auto"/>
                <w:bottom w:val="none" w:sz="0" w:space="0" w:color="auto"/>
                <w:right w:val="none" w:sz="0" w:space="0" w:color="auto"/>
              </w:divBdr>
              <w:divsChild>
                <w:div w:id="1856307618">
                  <w:marLeft w:val="0"/>
                  <w:marRight w:val="0"/>
                  <w:marTop w:val="0"/>
                  <w:marBottom w:val="0"/>
                  <w:divBdr>
                    <w:top w:val="none" w:sz="0" w:space="0" w:color="auto"/>
                    <w:left w:val="none" w:sz="0" w:space="0" w:color="auto"/>
                    <w:bottom w:val="none" w:sz="0" w:space="0" w:color="auto"/>
                    <w:right w:val="none" w:sz="0" w:space="0" w:color="auto"/>
                  </w:divBdr>
                  <w:divsChild>
                    <w:div w:id="1711760150">
                      <w:marLeft w:val="0"/>
                      <w:marRight w:val="0"/>
                      <w:marTop w:val="0"/>
                      <w:marBottom w:val="0"/>
                      <w:divBdr>
                        <w:top w:val="none" w:sz="0" w:space="0" w:color="auto"/>
                        <w:left w:val="none" w:sz="0" w:space="0" w:color="auto"/>
                        <w:bottom w:val="none" w:sz="0" w:space="0" w:color="auto"/>
                        <w:right w:val="none" w:sz="0" w:space="0" w:color="auto"/>
                      </w:divBdr>
                      <w:divsChild>
                        <w:div w:id="235748012">
                          <w:marLeft w:val="0"/>
                          <w:marRight w:val="0"/>
                          <w:marTop w:val="0"/>
                          <w:marBottom w:val="0"/>
                          <w:divBdr>
                            <w:top w:val="none" w:sz="0" w:space="0" w:color="auto"/>
                            <w:left w:val="none" w:sz="0" w:space="0" w:color="auto"/>
                            <w:bottom w:val="none" w:sz="0" w:space="0" w:color="auto"/>
                            <w:right w:val="none" w:sz="0" w:space="0" w:color="auto"/>
                          </w:divBdr>
                          <w:divsChild>
                            <w:div w:id="84349752">
                              <w:marLeft w:val="0"/>
                              <w:marRight w:val="0"/>
                              <w:marTop w:val="0"/>
                              <w:marBottom w:val="0"/>
                              <w:divBdr>
                                <w:top w:val="none" w:sz="0" w:space="0" w:color="auto"/>
                                <w:left w:val="none" w:sz="0" w:space="0" w:color="auto"/>
                                <w:bottom w:val="none" w:sz="0" w:space="0" w:color="auto"/>
                                <w:right w:val="none" w:sz="0" w:space="0" w:color="auto"/>
                              </w:divBdr>
                              <w:divsChild>
                                <w:div w:id="113989736">
                                  <w:marLeft w:val="0"/>
                                  <w:marRight w:val="0"/>
                                  <w:marTop w:val="0"/>
                                  <w:marBottom w:val="0"/>
                                  <w:divBdr>
                                    <w:top w:val="none" w:sz="0" w:space="0" w:color="auto"/>
                                    <w:left w:val="none" w:sz="0" w:space="0" w:color="auto"/>
                                    <w:bottom w:val="none" w:sz="0" w:space="0" w:color="auto"/>
                                    <w:right w:val="none" w:sz="0" w:space="0" w:color="auto"/>
                                  </w:divBdr>
                                </w:div>
                                <w:div w:id="502087026">
                                  <w:marLeft w:val="0"/>
                                  <w:marRight w:val="0"/>
                                  <w:marTop w:val="0"/>
                                  <w:marBottom w:val="0"/>
                                  <w:divBdr>
                                    <w:top w:val="none" w:sz="0" w:space="0" w:color="auto"/>
                                    <w:left w:val="none" w:sz="0" w:space="0" w:color="auto"/>
                                    <w:bottom w:val="none" w:sz="0" w:space="0" w:color="auto"/>
                                    <w:right w:val="none" w:sz="0" w:space="0" w:color="auto"/>
                                  </w:divBdr>
                                </w:div>
                                <w:div w:id="1747799913">
                                  <w:marLeft w:val="0"/>
                                  <w:marRight w:val="0"/>
                                  <w:marTop w:val="0"/>
                                  <w:marBottom w:val="0"/>
                                  <w:divBdr>
                                    <w:top w:val="none" w:sz="0" w:space="0" w:color="auto"/>
                                    <w:left w:val="none" w:sz="0" w:space="0" w:color="auto"/>
                                    <w:bottom w:val="none" w:sz="0" w:space="0" w:color="auto"/>
                                    <w:right w:val="none" w:sz="0" w:space="0" w:color="auto"/>
                                  </w:divBdr>
                                </w:div>
                                <w:div w:id="135296438">
                                  <w:marLeft w:val="0"/>
                                  <w:marRight w:val="0"/>
                                  <w:marTop w:val="0"/>
                                  <w:marBottom w:val="0"/>
                                  <w:divBdr>
                                    <w:top w:val="none" w:sz="0" w:space="0" w:color="auto"/>
                                    <w:left w:val="none" w:sz="0" w:space="0" w:color="auto"/>
                                    <w:bottom w:val="none" w:sz="0" w:space="0" w:color="auto"/>
                                    <w:right w:val="none" w:sz="0" w:space="0" w:color="auto"/>
                                  </w:divBdr>
                                </w:div>
                                <w:div w:id="2083407367">
                                  <w:marLeft w:val="0"/>
                                  <w:marRight w:val="0"/>
                                  <w:marTop w:val="0"/>
                                  <w:marBottom w:val="0"/>
                                  <w:divBdr>
                                    <w:top w:val="none" w:sz="0" w:space="0" w:color="auto"/>
                                    <w:left w:val="none" w:sz="0" w:space="0" w:color="auto"/>
                                    <w:bottom w:val="none" w:sz="0" w:space="0" w:color="auto"/>
                                    <w:right w:val="none" w:sz="0" w:space="0" w:color="auto"/>
                                  </w:divBdr>
                                </w:div>
                                <w:div w:id="97725523">
                                  <w:marLeft w:val="0"/>
                                  <w:marRight w:val="0"/>
                                  <w:marTop w:val="0"/>
                                  <w:marBottom w:val="0"/>
                                  <w:divBdr>
                                    <w:top w:val="none" w:sz="0" w:space="0" w:color="auto"/>
                                    <w:left w:val="none" w:sz="0" w:space="0" w:color="auto"/>
                                    <w:bottom w:val="none" w:sz="0" w:space="0" w:color="auto"/>
                                    <w:right w:val="none" w:sz="0" w:space="0" w:color="auto"/>
                                  </w:divBdr>
                                </w:div>
                              </w:divsChild>
                            </w:div>
                            <w:div w:id="307168260">
                              <w:marLeft w:val="0"/>
                              <w:marRight w:val="0"/>
                              <w:marTop w:val="0"/>
                              <w:marBottom w:val="0"/>
                              <w:divBdr>
                                <w:top w:val="none" w:sz="0" w:space="0" w:color="auto"/>
                                <w:left w:val="none" w:sz="0" w:space="0" w:color="auto"/>
                                <w:bottom w:val="none" w:sz="0" w:space="0" w:color="auto"/>
                                <w:right w:val="none" w:sz="0" w:space="0" w:color="auto"/>
                              </w:divBdr>
                              <w:divsChild>
                                <w:div w:id="1424647522">
                                  <w:marLeft w:val="0"/>
                                  <w:marRight w:val="0"/>
                                  <w:marTop w:val="0"/>
                                  <w:marBottom w:val="240"/>
                                  <w:divBdr>
                                    <w:top w:val="none" w:sz="0" w:space="0" w:color="auto"/>
                                    <w:left w:val="none" w:sz="0" w:space="0" w:color="auto"/>
                                    <w:bottom w:val="none" w:sz="0" w:space="0" w:color="auto"/>
                                    <w:right w:val="none" w:sz="0" w:space="0" w:color="auto"/>
                                  </w:divBdr>
                                </w:div>
                                <w:div w:id="981890712">
                                  <w:marLeft w:val="0"/>
                                  <w:marRight w:val="0"/>
                                  <w:marTop w:val="0"/>
                                  <w:marBottom w:val="0"/>
                                  <w:divBdr>
                                    <w:top w:val="none" w:sz="0" w:space="0" w:color="auto"/>
                                    <w:left w:val="none" w:sz="0" w:space="0" w:color="auto"/>
                                    <w:bottom w:val="none" w:sz="0" w:space="0" w:color="auto"/>
                                    <w:right w:val="none" w:sz="0" w:space="0" w:color="auto"/>
                                  </w:divBdr>
                                </w:div>
                                <w:div w:id="1319572076">
                                  <w:marLeft w:val="0"/>
                                  <w:marRight w:val="0"/>
                                  <w:marTop w:val="0"/>
                                  <w:marBottom w:val="0"/>
                                  <w:divBdr>
                                    <w:top w:val="none" w:sz="0" w:space="0" w:color="auto"/>
                                    <w:left w:val="none" w:sz="0" w:space="0" w:color="auto"/>
                                    <w:bottom w:val="none" w:sz="0" w:space="0" w:color="auto"/>
                                    <w:right w:val="none" w:sz="0" w:space="0" w:color="auto"/>
                                  </w:divBdr>
                                </w:div>
                                <w:div w:id="1444300471">
                                  <w:marLeft w:val="0"/>
                                  <w:marRight w:val="0"/>
                                  <w:marTop w:val="0"/>
                                  <w:marBottom w:val="0"/>
                                  <w:divBdr>
                                    <w:top w:val="none" w:sz="0" w:space="0" w:color="auto"/>
                                    <w:left w:val="none" w:sz="0" w:space="0" w:color="auto"/>
                                    <w:bottom w:val="none" w:sz="0" w:space="0" w:color="auto"/>
                                    <w:right w:val="none" w:sz="0" w:space="0" w:color="auto"/>
                                  </w:divBdr>
                                </w:div>
                                <w:div w:id="1590385169">
                                  <w:marLeft w:val="0"/>
                                  <w:marRight w:val="0"/>
                                  <w:marTop w:val="0"/>
                                  <w:marBottom w:val="0"/>
                                  <w:divBdr>
                                    <w:top w:val="none" w:sz="0" w:space="0" w:color="auto"/>
                                    <w:left w:val="none" w:sz="0" w:space="0" w:color="auto"/>
                                    <w:bottom w:val="none" w:sz="0" w:space="0" w:color="auto"/>
                                    <w:right w:val="none" w:sz="0" w:space="0" w:color="auto"/>
                                  </w:divBdr>
                                  <w:divsChild>
                                    <w:div w:id="651759102">
                                      <w:marLeft w:val="0"/>
                                      <w:marRight w:val="0"/>
                                      <w:marTop w:val="0"/>
                                      <w:marBottom w:val="240"/>
                                      <w:divBdr>
                                        <w:top w:val="none" w:sz="0" w:space="0" w:color="auto"/>
                                        <w:left w:val="none" w:sz="0" w:space="0" w:color="auto"/>
                                        <w:bottom w:val="none" w:sz="0" w:space="0" w:color="auto"/>
                                        <w:right w:val="none" w:sz="0" w:space="0" w:color="auto"/>
                                      </w:divBdr>
                                    </w:div>
                                  </w:divsChild>
                                </w:div>
                                <w:div w:id="1632400101">
                                  <w:marLeft w:val="0"/>
                                  <w:marRight w:val="0"/>
                                  <w:marTop w:val="0"/>
                                  <w:marBottom w:val="0"/>
                                  <w:divBdr>
                                    <w:top w:val="none" w:sz="0" w:space="0" w:color="auto"/>
                                    <w:left w:val="none" w:sz="0" w:space="0" w:color="auto"/>
                                    <w:bottom w:val="none" w:sz="0" w:space="0" w:color="auto"/>
                                    <w:right w:val="none" w:sz="0" w:space="0" w:color="auto"/>
                                  </w:divBdr>
                                </w:div>
                                <w:div w:id="1830710493">
                                  <w:marLeft w:val="0"/>
                                  <w:marRight w:val="0"/>
                                  <w:marTop w:val="0"/>
                                  <w:marBottom w:val="0"/>
                                  <w:divBdr>
                                    <w:top w:val="none" w:sz="0" w:space="0" w:color="auto"/>
                                    <w:left w:val="none" w:sz="0" w:space="0" w:color="auto"/>
                                    <w:bottom w:val="none" w:sz="0" w:space="0" w:color="auto"/>
                                    <w:right w:val="none" w:sz="0" w:space="0" w:color="auto"/>
                                  </w:divBdr>
                                </w:div>
                                <w:div w:id="1350982953">
                                  <w:marLeft w:val="0"/>
                                  <w:marRight w:val="0"/>
                                  <w:marTop w:val="0"/>
                                  <w:marBottom w:val="0"/>
                                  <w:divBdr>
                                    <w:top w:val="none" w:sz="0" w:space="0" w:color="auto"/>
                                    <w:left w:val="none" w:sz="0" w:space="0" w:color="auto"/>
                                    <w:bottom w:val="none" w:sz="0" w:space="0" w:color="auto"/>
                                    <w:right w:val="none" w:sz="0" w:space="0" w:color="auto"/>
                                  </w:divBdr>
                                  <w:divsChild>
                                    <w:div w:id="1652976633">
                                      <w:marLeft w:val="0"/>
                                      <w:marRight w:val="0"/>
                                      <w:marTop w:val="0"/>
                                      <w:marBottom w:val="240"/>
                                      <w:divBdr>
                                        <w:top w:val="none" w:sz="0" w:space="0" w:color="auto"/>
                                        <w:left w:val="none" w:sz="0" w:space="0" w:color="auto"/>
                                        <w:bottom w:val="none" w:sz="0" w:space="0" w:color="auto"/>
                                        <w:right w:val="none" w:sz="0" w:space="0" w:color="auto"/>
                                      </w:divBdr>
                                    </w:div>
                                  </w:divsChild>
                                </w:div>
                                <w:div w:id="395662823">
                                  <w:marLeft w:val="0"/>
                                  <w:marRight w:val="0"/>
                                  <w:marTop w:val="0"/>
                                  <w:marBottom w:val="0"/>
                                  <w:divBdr>
                                    <w:top w:val="none" w:sz="0" w:space="0" w:color="auto"/>
                                    <w:left w:val="none" w:sz="0" w:space="0" w:color="auto"/>
                                    <w:bottom w:val="none" w:sz="0" w:space="0" w:color="auto"/>
                                    <w:right w:val="none" w:sz="0" w:space="0" w:color="auto"/>
                                  </w:divBdr>
                                </w:div>
                                <w:div w:id="696930979">
                                  <w:marLeft w:val="0"/>
                                  <w:marRight w:val="0"/>
                                  <w:marTop w:val="0"/>
                                  <w:marBottom w:val="0"/>
                                  <w:divBdr>
                                    <w:top w:val="none" w:sz="0" w:space="0" w:color="auto"/>
                                    <w:left w:val="none" w:sz="0" w:space="0" w:color="auto"/>
                                    <w:bottom w:val="none" w:sz="0" w:space="0" w:color="auto"/>
                                    <w:right w:val="none" w:sz="0" w:space="0" w:color="auto"/>
                                  </w:divBdr>
                                </w:div>
                                <w:div w:id="1481918619">
                                  <w:marLeft w:val="0"/>
                                  <w:marRight w:val="0"/>
                                  <w:marTop w:val="0"/>
                                  <w:marBottom w:val="0"/>
                                  <w:divBdr>
                                    <w:top w:val="none" w:sz="0" w:space="0" w:color="auto"/>
                                    <w:left w:val="none" w:sz="0" w:space="0" w:color="auto"/>
                                    <w:bottom w:val="none" w:sz="0" w:space="0" w:color="auto"/>
                                    <w:right w:val="none" w:sz="0" w:space="0" w:color="auto"/>
                                  </w:divBdr>
                                  <w:divsChild>
                                    <w:div w:id="1193224174">
                                      <w:marLeft w:val="0"/>
                                      <w:marRight w:val="0"/>
                                      <w:marTop w:val="0"/>
                                      <w:marBottom w:val="240"/>
                                      <w:divBdr>
                                        <w:top w:val="none" w:sz="0" w:space="0" w:color="auto"/>
                                        <w:left w:val="none" w:sz="0" w:space="0" w:color="auto"/>
                                        <w:bottom w:val="none" w:sz="0" w:space="0" w:color="auto"/>
                                        <w:right w:val="none" w:sz="0" w:space="0" w:color="auto"/>
                                      </w:divBdr>
                                    </w:div>
                                  </w:divsChild>
                                </w:div>
                                <w:div w:id="10265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image" Target="media/image2.wmf"/><Relationship Id="rId2" Type="http://schemas.openxmlformats.org/officeDocument/2006/relationships/oleObject" Target="embeddings/oleObject1.bin"/><Relationship Id="rId1" Type="http://schemas.openxmlformats.org/officeDocument/2006/relationships/image" Target="media/image1.wmf"/><Relationship Id="rId4" Type="http://schemas.openxmlformats.org/officeDocument/2006/relationships/oleObject" Target="embeddings/oleObject2.bin"/></Relationships>
</file>

<file path=word/charts/_rels/chart1.xml.rels><?xml version="1.0" encoding="UTF-8" standalone="yes"?>
<Relationships xmlns="http://schemas.openxmlformats.org/package/2006/relationships"><Relationship Id="rId1" Type="http://schemas.openxmlformats.org/officeDocument/2006/relationships/oleObject" Target="file:///C:\Users\User\AppData\Roaming\Microsoft\Excel\TBs%20rates%20in%20Lebanon%20(version%201).xlsb"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view3D>
      <c:perspective val="30"/>
    </c:view3D>
    <c:plotArea>
      <c:layout/>
      <c:line3DChart>
        <c:grouping val="standard"/>
        <c:ser>
          <c:idx val="0"/>
          <c:order val="0"/>
          <c:tx>
            <c:strRef>
              <c:f>'t5271-1'!$I$16</c:f>
              <c:strCache>
                <c:ptCount val="1"/>
                <c:pt idx="0">
                  <c:v>PC1</c:v>
                </c:pt>
              </c:strCache>
            </c:strRef>
          </c:tx>
          <c:cat>
            <c:strRef>
              <c:f>'t5271-1'!$H$17:$H$21</c:f>
              <c:strCache>
                <c:ptCount val="5"/>
                <c:pt idx="0">
                  <c:v>3 M</c:v>
                </c:pt>
                <c:pt idx="1">
                  <c:v>6 M</c:v>
                </c:pt>
                <c:pt idx="2">
                  <c:v>1Yr</c:v>
                </c:pt>
                <c:pt idx="3">
                  <c:v>2Yrs</c:v>
                </c:pt>
                <c:pt idx="4">
                  <c:v>3Yrs</c:v>
                </c:pt>
              </c:strCache>
            </c:strRef>
          </c:cat>
          <c:val>
            <c:numRef>
              <c:f>'t5271-1'!$I$17:$I$21</c:f>
              <c:numCache>
                <c:formatCode>General</c:formatCode>
                <c:ptCount val="5"/>
                <c:pt idx="0">
                  <c:v>0.35267297834053041</c:v>
                </c:pt>
                <c:pt idx="1">
                  <c:v>0.54245058584440031</c:v>
                </c:pt>
                <c:pt idx="2">
                  <c:v>0.51747461130184225</c:v>
                </c:pt>
                <c:pt idx="3">
                  <c:v>0.5299245523372007</c:v>
                </c:pt>
                <c:pt idx="4">
                  <c:v>0.18102245096592701</c:v>
                </c:pt>
              </c:numCache>
            </c:numRef>
          </c:val>
        </c:ser>
        <c:ser>
          <c:idx val="1"/>
          <c:order val="1"/>
          <c:tx>
            <c:strRef>
              <c:f>'t5271-1'!$J$16</c:f>
              <c:strCache>
                <c:ptCount val="1"/>
                <c:pt idx="0">
                  <c:v>PC2</c:v>
                </c:pt>
              </c:strCache>
            </c:strRef>
          </c:tx>
          <c:cat>
            <c:strRef>
              <c:f>'t5271-1'!$H$17:$H$21</c:f>
              <c:strCache>
                <c:ptCount val="5"/>
                <c:pt idx="0">
                  <c:v>3 M</c:v>
                </c:pt>
                <c:pt idx="1">
                  <c:v>6 M</c:v>
                </c:pt>
                <c:pt idx="2">
                  <c:v>1Yr</c:v>
                </c:pt>
                <c:pt idx="3">
                  <c:v>2Yrs</c:v>
                </c:pt>
                <c:pt idx="4">
                  <c:v>3Yrs</c:v>
                </c:pt>
              </c:strCache>
            </c:strRef>
          </c:cat>
          <c:val>
            <c:numRef>
              <c:f>'t5271-1'!$J$17:$J$21</c:f>
              <c:numCache>
                <c:formatCode>General</c:formatCode>
                <c:ptCount val="5"/>
                <c:pt idx="0">
                  <c:v>-7.6940535412438421E-2</c:v>
                </c:pt>
                <c:pt idx="1">
                  <c:v>-7.170496706242209E-2</c:v>
                </c:pt>
                <c:pt idx="2">
                  <c:v>-0.10497274187814375</c:v>
                </c:pt>
                <c:pt idx="3">
                  <c:v>-0.1086513024816282</c:v>
                </c:pt>
                <c:pt idx="4">
                  <c:v>0.98291106903964287</c:v>
                </c:pt>
              </c:numCache>
            </c:numRef>
          </c:val>
        </c:ser>
        <c:axId val="197928064"/>
        <c:axId val="197930368"/>
        <c:axId val="185425408"/>
      </c:line3DChart>
      <c:catAx>
        <c:axId val="197928064"/>
        <c:scaling>
          <c:orientation val="minMax"/>
        </c:scaling>
        <c:axPos val="b"/>
        <c:tickLblPos val="nextTo"/>
        <c:crossAx val="197930368"/>
        <c:crosses val="autoZero"/>
        <c:auto val="1"/>
        <c:lblAlgn val="ctr"/>
        <c:lblOffset val="100"/>
      </c:catAx>
      <c:valAx>
        <c:axId val="197930368"/>
        <c:scaling>
          <c:orientation val="minMax"/>
        </c:scaling>
        <c:axPos val="l"/>
        <c:majorGridlines/>
        <c:numFmt formatCode="General" sourceLinked="1"/>
        <c:tickLblPos val="nextTo"/>
        <c:crossAx val="197928064"/>
        <c:crosses val="autoZero"/>
        <c:crossBetween val="between"/>
      </c:valAx>
      <c:serAx>
        <c:axId val="185425408"/>
        <c:scaling>
          <c:orientation val="minMax"/>
        </c:scaling>
        <c:axPos val="b"/>
        <c:tickLblPos val="nextTo"/>
        <c:crossAx val="197930368"/>
        <c:crosses val="autoZero"/>
      </c:serAx>
    </c:plotArea>
    <c:legend>
      <c:legendPos val="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3B098A-BA75-4ACA-8E22-D973D2B36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29001</TotalTime>
  <Pages>10</Pages>
  <Words>2885</Words>
  <Characters>16449</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Viviane Naimy</cp:lastModifiedBy>
  <cp:revision>101</cp:revision>
  <dcterms:created xsi:type="dcterms:W3CDTF">2014-08-20T09:23:00Z</dcterms:created>
  <dcterms:modified xsi:type="dcterms:W3CDTF">2014-09-10T08:28:00Z</dcterms:modified>
</cp:coreProperties>
</file>