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08" w:rsidRPr="00F9712C" w:rsidRDefault="009A6708">
      <w:pPr>
        <w:pStyle w:val="BodyText"/>
        <w:spacing w:line="360" w:lineRule="auto"/>
        <w:jc w:val="both"/>
        <w:rPr>
          <w:b/>
          <w:sz w:val="28"/>
          <w:lang w:val="en-US"/>
        </w:rPr>
      </w:pPr>
    </w:p>
    <w:p w:rsidR="009A6708" w:rsidRPr="00F9712C" w:rsidRDefault="009A6708">
      <w:pPr>
        <w:pStyle w:val="BodyText"/>
        <w:spacing w:line="360" w:lineRule="auto"/>
        <w:jc w:val="both"/>
        <w:rPr>
          <w:b/>
          <w:sz w:val="28"/>
          <w:lang w:val="en-US"/>
        </w:rPr>
      </w:pPr>
    </w:p>
    <w:p w:rsidR="009A6708" w:rsidRPr="00F9712C" w:rsidRDefault="009A6708">
      <w:pPr>
        <w:pStyle w:val="BodyText"/>
        <w:spacing w:line="360" w:lineRule="auto"/>
        <w:jc w:val="both"/>
        <w:rPr>
          <w:b/>
          <w:sz w:val="28"/>
        </w:rPr>
      </w:pPr>
    </w:p>
    <w:p w:rsidR="009A6708" w:rsidRPr="00F9712C" w:rsidRDefault="00733AAD">
      <w:pPr>
        <w:pStyle w:val="BodyText"/>
        <w:spacing w:line="360" w:lineRule="auto"/>
        <w:jc w:val="center"/>
        <w:rPr>
          <w:b/>
          <w:szCs w:val="24"/>
        </w:rPr>
      </w:pPr>
      <w:r w:rsidRPr="00F9712C">
        <w:rPr>
          <w:rFonts w:hint="eastAsia"/>
          <w:b/>
          <w:szCs w:val="24"/>
        </w:rPr>
        <w:t>Price Volatility</w:t>
      </w:r>
      <w:r w:rsidR="004E3C3F" w:rsidRPr="00F9712C">
        <w:rPr>
          <w:b/>
          <w:szCs w:val="24"/>
        </w:rPr>
        <w:t>, information and noise trading:</w:t>
      </w:r>
    </w:p>
    <w:p w:rsidR="009A6708" w:rsidRPr="00F9712C" w:rsidRDefault="004E3C3F">
      <w:pPr>
        <w:pStyle w:val="BodyText"/>
        <w:spacing w:line="360" w:lineRule="auto"/>
        <w:jc w:val="center"/>
        <w:rPr>
          <w:b/>
          <w:szCs w:val="24"/>
        </w:rPr>
      </w:pPr>
      <w:r w:rsidRPr="00F9712C">
        <w:rPr>
          <w:b/>
          <w:szCs w:val="24"/>
        </w:rPr>
        <w:t xml:space="preserve">Evidence from </w:t>
      </w:r>
      <w:r w:rsidR="00733AAD" w:rsidRPr="00F9712C">
        <w:rPr>
          <w:b/>
          <w:szCs w:val="24"/>
        </w:rPr>
        <w:t>Chinese stock markets</w:t>
      </w:r>
    </w:p>
    <w:p w:rsidR="009A6708" w:rsidRPr="00F9712C" w:rsidRDefault="009A6708">
      <w:pPr>
        <w:pStyle w:val="BodyText"/>
        <w:spacing w:line="360" w:lineRule="auto"/>
        <w:jc w:val="center"/>
        <w:rPr>
          <w:b/>
          <w:szCs w:val="24"/>
        </w:rPr>
      </w:pPr>
    </w:p>
    <w:p w:rsidR="009A6708" w:rsidRPr="00F9712C" w:rsidRDefault="009A6708">
      <w:pPr>
        <w:pStyle w:val="BodyText"/>
        <w:spacing w:line="360" w:lineRule="auto"/>
        <w:jc w:val="center"/>
        <w:rPr>
          <w:b/>
          <w:sz w:val="20"/>
        </w:rPr>
      </w:pPr>
    </w:p>
    <w:p w:rsidR="009A6708" w:rsidRPr="00F9712C" w:rsidRDefault="009A6708">
      <w:pPr>
        <w:pStyle w:val="BodyText"/>
        <w:spacing w:line="360" w:lineRule="auto"/>
        <w:jc w:val="center"/>
        <w:rPr>
          <w:b/>
          <w:sz w:val="20"/>
        </w:rPr>
      </w:pPr>
    </w:p>
    <w:p w:rsidR="009A6708" w:rsidRPr="00F9712C" w:rsidRDefault="009A6708">
      <w:pPr>
        <w:pStyle w:val="BodyText"/>
        <w:spacing w:line="360" w:lineRule="auto"/>
        <w:jc w:val="center"/>
        <w:rPr>
          <w:b/>
          <w:sz w:val="20"/>
        </w:rPr>
      </w:pPr>
    </w:p>
    <w:p w:rsidR="00BA1D56" w:rsidRPr="00F9712C" w:rsidRDefault="00BA1D56" w:rsidP="00BA1D56">
      <w:pPr>
        <w:spacing w:line="360" w:lineRule="auto"/>
        <w:jc w:val="center"/>
        <w:rPr>
          <w:b/>
          <w:bCs/>
        </w:rPr>
      </w:pPr>
      <w:r w:rsidRPr="00F9712C">
        <w:rPr>
          <w:rFonts w:hint="eastAsia"/>
          <w:b/>
          <w:bCs/>
        </w:rPr>
        <w:t>Johnny K. H. Kwok</w:t>
      </w:r>
    </w:p>
    <w:p w:rsidR="00BA1D56" w:rsidRPr="007B0388" w:rsidRDefault="00BA1D56" w:rsidP="00BA1D56">
      <w:pPr>
        <w:jc w:val="center"/>
        <w:rPr>
          <w:bCs/>
        </w:rPr>
      </w:pPr>
    </w:p>
    <w:p w:rsidR="00BA1D56" w:rsidRPr="00F9712C" w:rsidRDefault="00BA1D56" w:rsidP="00BA1D56">
      <w:pPr>
        <w:jc w:val="center"/>
        <w:rPr>
          <w:bCs/>
        </w:rPr>
      </w:pPr>
      <w:r w:rsidRPr="00F9712C">
        <w:rPr>
          <w:rFonts w:hint="eastAsia"/>
          <w:bCs/>
        </w:rPr>
        <w:t>Department of Economics and Finance</w:t>
      </w:r>
    </w:p>
    <w:p w:rsidR="00BA1D56" w:rsidRPr="00F9712C" w:rsidRDefault="00BA1D56" w:rsidP="00BA1D56">
      <w:pPr>
        <w:jc w:val="center"/>
        <w:rPr>
          <w:bCs/>
        </w:rPr>
      </w:pPr>
      <w:smartTag w:uri="urn:schemas-microsoft-com:office:smarttags" w:element="place">
        <w:smartTag w:uri="urn:schemas-microsoft-com:office:smarttags" w:element="PlaceType">
          <w:r w:rsidRPr="00F9712C">
            <w:rPr>
              <w:rFonts w:hint="eastAsia"/>
              <w:bCs/>
            </w:rPr>
            <w:t>School</w:t>
          </w:r>
        </w:smartTag>
        <w:r w:rsidRPr="00F9712C">
          <w:rPr>
            <w:rFonts w:hint="eastAsia"/>
            <w:bCs/>
          </w:rPr>
          <w:t xml:space="preserve"> of </w:t>
        </w:r>
        <w:smartTag w:uri="urn:schemas-microsoft-com:office:smarttags" w:element="PlaceName">
          <w:r w:rsidRPr="00F9712C">
            <w:rPr>
              <w:rFonts w:hint="eastAsia"/>
              <w:bCs/>
            </w:rPr>
            <w:t>Business</w:t>
          </w:r>
        </w:smartTag>
      </w:smartTag>
    </w:p>
    <w:p w:rsidR="00BA1D56" w:rsidRPr="00F9712C" w:rsidRDefault="00BA1D56" w:rsidP="00BA1D56">
      <w:pPr>
        <w:jc w:val="center"/>
        <w:rPr>
          <w:bCs/>
        </w:rPr>
      </w:pPr>
      <w:smartTag w:uri="urn:schemas-microsoft-com:office:smarttags" w:element="place">
        <w:smartTag w:uri="urn:schemas-microsoft-com:office:smarttags" w:element="PlaceName">
          <w:r w:rsidRPr="00F9712C">
            <w:rPr>
              <w:rFonts w:hint="eastAsia"/>
              <w:bCs/>
            </w:rPr>
            <w:t>Hang</w:t>
          </w:r>
        </w:smartTag>
        <w:r w:rsidRPr="00F9712C">
          <w:rPr>
            <w:rFonts w:hint="eastAsia"/>
            <w:bCs/>
          </w:rPr>
          <w:t xml:space="preserve"> </w:t>
        </w:r>
        <w:smartTag w:uri="urn:schemas-microsoft-com:office:smarttags" w:element="PlaceName">
          <w:r w:rsidRPr="00F9712C">
            <w:rPr>
              <w:rFonts w:hint="eastAsia"/>
              <w:bCs/>
            </w:rPr>
            <w:t>Seng</w:t>
          </w:r>
        </w:smartTag>
        <w:r w:rsidRPr="00F9712C">
          <w:rPr>
            <w:rFonts w:hint="eastAsia"/>
            <w:bCs/>
          </w:rPr>
          <w:t xml:space="preserve"> </w:t>
        </w:r>
        <w:smartTag w:uri="urn:schemas-microsoft-com:office:smarttags" w:element="PlaceName">
          <w:r w:rsidRPr="00F9712C">
            <w:rPr>
              <w:rFonts w:hint="eastAsia"/>
              <w:bCs/>
            </w:rPr>
            <w:t>Management</w:t>
          </w:r>
        </w:smartTag>
        <w:r w:rsidRPr="00F9712C">
          <w:rPr>
            <w:rFonts w:hint="eastAsia"/>
            <w:bCs/>
          </w:rPr>
          <w:t xml:space="preserve"> </w:t>
        </w:r>
        <w:smartTag w:uri="urn:schemas-microsoft-com:office:smarttags" w:element="PlaceType">
          <w:r w:rsidRPr="00F9712C">
            <w:rPr>
              <w:rFonts w:hint="eastAsia"/>
              <w:bCs/>
            </w:rPr>
            <w:t>College</w:t>
          </w:r>
        </w:smartTag>
      </w:smartTag>
    </w:p>
    <w:p w:rsidR="00BA1D56" w:rsidRDefault="00BA1D56" w:rsidP="00BA1D56">
      <w:pPr>
        <w:jc w:val="center"/>
        <w:rPr>
          <w:rFonts w:hint="eastAsia"/>
          <w:bCs/>
        </w:rPr>
      </w:pPr>
      <w:proofErr w:type="spellStart"/>
      <w:r w:rsidRPr="00F9712C">
        <w:rPr>
          <w:rFonts w:hint="eastAsia"/>
          <w:bCs/>
        </w:rPr>
        <w:t>Shatin</w:t>
      </w:r>
      <w:proofErr w:type="spellEnd"/>
      <w:r w:rsidRPr="00F9712C">
        <w:rPr>
          <w:rFonts w:hint="eastAsia"/>
          <w:bCs/>
        </w:rPr>
        <w:t>, Hong Kong</w:t>
      </w:r>
    </w:p>
    <w:p w:rsidR="004B4BF4" w:rsidRPr="00F9712C" w:rsidRDefault="004B4BF4" w:rsidP="00BA1D56">
      <w:pPr>
        <w:jc w:val="center"/>
        <w:rPr>
          <w:bCs/>
        </w:rPr>
      </w:pPr>
      <w:bookmarkStart w:id="0" w:name="_GoBack"/>
      <w:bookmarkEnd w:id="0"/>
    </w:p>
    <w:p w:rsidR="00BA1D56" w:rsidRDefault="004B4BF4" w:rsidP="00BA1D56">
      <w:pPr>
        <w:jc w:val="center"/>
        <w:rPr>
          <w:bCs/>
        </w:rPr>
      </w:pPr>
      <w:r>
        <w:rPr>
          <w:rFonts w:hint="eastAsia"/>
          <w:bCs/>
        </w:rPr>
        <w:t>E-mail: johnnykwok@hsmc.edu.hk</w:t>
      </w:r>
    </w:p>
    <w:p w:rsidR="00775A9E" w:rsidRDefault="00775A9E" w:rsidP="00BA1D56">
      <w:pPr>
        <w:jc w:val="center"/>
        <w:rPr>
          <w:bCs/>
        </w:rPr>
      </w:pPr>
    </w:p>
    <w:p w:rsidR="00775A9E" w:rsidRPr="00F9712C" w:rsidRDefault="00775A9E" w:rsidP="00BA1D56">
      <w:pPr>
        <w:jc w:val="center"/>
        <w:rPr>
          <w:bCs/>
        </w:rPr>
      </w:pPr>
    </w:p>
    <w:p w:rsidR="00BA1D56" w:rsidRPr="00F9712C" w:rsidRDefault="00BA1D56" w:rsidP="00BA1D56">
      <w:pPr>
        <w:spacing w:line="360" w:lineRule="auto"/>
        <w:rPr>
          <w:b/>
          <w:bCs/>
        </w:rPr>
      </w:pPr>
    </w:p>
    <w:p w:rsidR="00BA1D56" w:rsidRPr="00F9712C" w:rsidRDefault="00BA1D56" w:rsidP="00BA1D56">
      <w:pPr>
        <w:rPr>
          <w:bCs/>
        </w:rPr>
      </w:pPr>
      <w:r w:rsidRPr="00F9712C">
        <w:rPr>
          <w:rFonts w:hint="eastAsia"/>
          <w:bCs/>
        </w:rPr>
        <w:t>JEL Classification: G15</w:t>
      </w:r>
    </w:p>
    <w:p w:rsidR="00BA1D56" w:rsidRPr="00F9712C" w:rsidRDefault="00BA1D56" w:rsidP="00BA1D56">
      <w:pPr>
        <w:rPr>
          <w:bCs/>
        </w:rPr>
      </w:pPr>
      <w:r w:rsidRPr="00F9712C">
        <w:rPr>
          <w:rFonts w:hint="eastAsia"/>
          <w:bCs/>
        </w:rPr>
        <w:t xml:space="preserve">Keywords: </w:t>
      </w:r>
      <w:r w:rsidRPr="00F9712C">
        <w:rPr>
          <w:bCs/>
        </w:rPr>
        <w:t>Volatility</w:t>
      </w:r>
      <w:r w:rsidRPr="00F9712C">
        <w:rPr>
          <w:rFonts w:hint="eastAsia"/>
          <w:bCs/>
        </w:rPr>
        <w:t xml:space="preserve">, </w:t>
      </w:r>
      <w:r w:rsidRPr="00F9712C">
        <w:rPr>
          <w:bCs/>
        </w:rPr>
        <w:t xml:space="preserve">Noise, </w:t>
      </w:r>
      <w:r w:rsidRPr="00F9712C">
        <w:rPr>
          <w:rFonts w:hint="eastAsia"/>
          <w:bCs/>
        </w:rPr>
        <w:t xml:space="preserve">Market segmentation, Chinese </w:t>
      </w:r>
      <w:r w:rsidR="007B0388">
        <w:rPr>
          <w:rFonts w:hint="eastAsia"/>
          <w:bCs/>
        </w:rPr>
        <w:t>s</w:t>
      </w:r>
      <w:r w:rsidRPr="00F9712C">
        <w:rPr>
          <w:rFonts w:hint="eastAsia"/>
          <w:bCs/>
        </w:rPr>
        <w:t xml:space="preserve">tock </w:t>
      </w:r>
      <w:r w:rsidR="007B0388">
        <w:rPr>
          <w:rFonts w:hint="eastAsia"/>
          <w:bCs/>
        </w:rPr>
        <w:t>m</w:t>
      </w:r>
      <w:r w:rsidRPr="00F9712C">
        <w:rPr>
          <w:rFonts w:hint="eastAsia"/>
          <w:bCs/>
        </w:rPr>
        <w:t>arkets</w:t>
      </w:r>
      <w:r w:rsidR="007B0388">
        <w:rPr>
          <w:rFonts w:hint="eastAsia"/>
          <w:bCs/>
        </w:rPr>
        <w:t>, O</w:t>
      </w:r>
      <w:r w:rsidR="007D37A6" w:rsidRPr="00F9712C">
        <w:rPr>
          <w:rFonts w:hint="eastAsia"/>
          <w:bCs/>
        </w:rPr>
        <w:t>wnership restriction</w:t>
      </w:r>
    </w:p>
    <w:p w:rsidR="009A6708" w:rsidRPr="00F9712C" w:rsidRDefault="009A6708">
      <w:pPr>
        <w:pStyle w:val="BodyText"/>
        <w:spacing w:line="360" w:lineRule="auto"/>
        <w:jc w:val="center"/>
        <w:rPr>
          <w:rFonts w:eastAsia="細明體"/>
          <w:sz w:val="20"/>
        </w:rPr>
      </w:pPr>
    </w:p>
    <w:p w:rsidR="009A6708" w:rsidRPr="00F9712C" w:rsidRDefault="009A6708">
      <w:pPr>
        <w:pStyle w:val="BodyText"/>
        <w:jc w:val="center"/>
        <w:rPr>
          <w:rFonts w:eastAsia="細明體"/>
          <w:sz w:val="20"/>
        </w:rPr>
      </w:pPr>
    </w:p>
    <w:p w:rsidR="007D37A6" w:rsidRPr="00F9712C" w:rsidRDefault="007D37A6">
      <w:pPr>
        <w:pStyle w:val="BodyText"/>
        <w:jc w:val="center"/>
        <w:rPr>
          <w:rFonts w:eastAsia="細明體"/>
          <w:sz w:val="20"/>
        </w:rPr>
      </w:pPr>
    </w:p>
    <w:p w:rsidR="009A6708" w:rsidRPr="00F9712C" w:rsidRDefault="009A6708">
      <w:pPr>
        <w:pStyle w:val="Date"/>
        <w:jc w:val="center"/>
        <w:rPr>
          <w:b w:val="0"/>
          <w:bCs/>
          <w:sz w:val="24"/>
          <w:lang w:val="en-US"/>
        </w:rPr>
      </w:pPr>
    </w:p>
    <w:p w:rsidR="009A6708" w:rsidRPr="00F9712C" w:rsidRDefault="009A6708">
      <w:pPr>
        <w:jc w:val="center"/>
        <w:rPr>
          <w:sz w:val="20"/>
        </w:rPr>
      </w:pPr>
    </w:p>
    <w:p w:rsidR="009A6708" w:rsidRPr="00F9712C" w:rsidRDefault="004E3C3F">
      <w:pPr>
        <w:pStyle w:val="BodyText"/>
        <w:spacing w:line="480" w:lineRule="auto"/>
        <w:jc w:val="center"/>
        <w:rPr>
          <w:b/>
          <w:sz w:val="22"/>
        </w:rPr>
      </w:pPr>
      <w:r w:rsidRPr="00F9712C">
        <w:rPr>
          <w:sz w:val="20"/>
        </w:rPr>
        <w:br w:type="page"/>
      </w:r>
      <w:r w:rsidRPr="00F9712C">
        <w:rPr>
          <w:b/>
          <w:sz w:val="22"/>
        </w:rPr>
        <w:lastRenderedPageBreak/>
        <w:t>Abstract</w:t>
      </w:r>
    </w:p>
    <w:p w:rsidR="009A6708" w:rsidRPr="00F9712C" w:rsidRDefault="004E3C3F">
      <w:pPr>
        <w:spacing w:line="360" w:lineRule="auto"/>
        <w:ind w:firstLine="480"/>
        <w:rPr>
          <w:strike/>
          <w:sz w:val="22"/>
        </w:rPr>
      </w:pPr>
      <w:r w:rsidRPr="00F9712C">
        <w:rPr>
          <w:sz w:val="22"/>
        </w:rPr>
        <w:t>In China, domestic firms can issue A</w:t>
      </w:r>
      <w:r w:rsidR="00F16B1C" w:rsidRPr="00F9712C">
        <w:rPr>
          <w:rFonts w:hint="eastAsia"/>
          <w:sz w:val="22"/>
        </w:rPr>
        <w:t>-</w:t>
      </w:r>
      <w:r w:rsidRPr="00F9712C">
        <w:rPr>
          <w:sz w:val="22"/>
        </w:rPr>
        <w:t xml:space="preserve"> and B</w:t>
      </w:r>
      <w:r w:rsidR="00F16B1C" w:rsidRPr="00F9712C">
        <w:rPr>
          <w:rFonts w:hint="eastAsia"/>
          <w:sz w:val="22"/>
        </w:rPr>
        <w:t>-</w:t>
      </w:r>
      <w:r w:rsidRPr="00F9712C">
        <w:rPr>
          <w:sz w:val="22"/>
        </w:rPr>
        <w:t xml:space="preserve">shares. </w:t>
      </w:r>
      <w:r w:rsidR="00F0756B" w:rsidRPr="00F9712C">
        <w:rPr>
          <w:rFonts w:hint="eastAsia"/>
          <w:sz w:val="22"/>
        </w:rPr>
        <w:t>Before Feb 2001</w:t>
      </w:r>
      <w:r w:rsidR="00F0756B" w:rsidRPr="00F9712C">
        <w:rPr>
          <w:sz w:val="22"/>
        </w:rPr>
        <w:t xml:space="preserve">, </w:t>
      </w:r>
      <w:r w:rsidRPr="00F9712C">
        <w:rPr>
          <w:sz w:val="22"/>
        </w:rPr>
        <w:t>Domestic investors can only invest A</w:t>
      </w:r>
      <w:r w:rsidR="00C30780" w:rsidRPr="00F9712C">
        <w:rPr>
          <w:rFonts w:hint="eastAsia"/>
          <w:sz w:val="22"/>
        </w:rPr>
        <w:t>-</w:t>
      </w:r>
      <w:r w:rsidRPr="00F9712C">
        <w:rPr>
          <w:sz w:val="22"/>
        </w:rPr>
        <w:t xml:space="preserve">shares while foreign investors can only </w:t>
      </w:r>
      <w:r w:rsidR="003A4D43" w:rsidRPr="00F9712C">
        <w:rPr>
          <w:sz w:val="22"/>
        </w:rPr>
        <w:t>trade</w:t>
      </w:r>
      <w:r w:rsidRPr="00F9712C">
        <w:rPr>
          <w:sz w:val="22"/>
        </w:rPr>
        <w:t xml:space="preserve"> B</w:t>
      </w:r>
      <w:r w:rsidR="00C30780" w:rsidRPr="00F9712C">
        <w:rPr>
          <w:rFonts w:hint="eastAsia"/>
          <w:sz w:val="22"/>
        </w:rPr>
        <w:t>-</w:t>
      </w:r>
      <w:r w:rsidRPr="00F9712C">
        <w:rPr>
          <w:sz w:val="22"/>
        </w:rPr>
        <w:t xml:space="preserve">shares. </w:t>
      </w:r>
      <w:r w:rsidR="00036C7C" w:rsidRPr="00F9712C">
        <w:rPr>
          <w:rFonts w:hint="eastAsia"/>
          <w:sz w:val="22"/>
        </w:rPr>
        <w:t>This paper makes use of this special feature in testing information and trading noise hypothes</w:t>
      </w:r>
      <w:r w:rsidR="00843ADB" w:rsidRPr="00F9712C">
        <w:rPr>
          <w:rFonts w:hint="eastAsia"/>
          <w:sz w:val="22"/>
        </w:rPr>
        <w:t>e</w:t>
      </w:r>
      <w:r w:rsidR="00036C7C" w:rsidRPr="00F9712C">
        <w:rPr>
          <w:rFonts w:hint="eastAsia"/>
          <w:sz w:val="22"/>
        </w:rPr>
        <w:t>s. </w:t>
      </w:r>
      <w:r w:rsidRPr="00F9712C">
        <w:rPr>
          <w:sz w:val="22"/>
        </w:rPr>
        <w:t>We find that A-share prices are more volatile than B-share prices even though they are issued by the same companies and are traded in the same stock market. We</w:t>
      </w:r>
      <w:r w:rsidR="003E4894" w:rsidRPr="00F9712C">
        <w:rPr>
          <w:rFonts w:hint="eastAsia"/>
          <w:sz w:val="22"/>
        </w:rPr>
        <w:t xml:space="preserve"> further</w:t>
      </w:r>
      <w:r w:rsidRPr="00F9712C">
        <w:rPr>
          <w:sz w:val="22"/>
        </w:rPr>
        <w:t xml:space="preserve"> find that A-share prices are much more volatile only during the daytime (trading) period while it is less volatile for A-share prices than B-shares </w:t>
      </w:r>
      <w:r w:rsidR="00BA09CB" w:rsidRPr="00F9712C">
        <w:rPr>
          <w:rFonts w:hint="eastAsia"/>
          <w:sz w:val="22"/>
        </w:rPr>
        <w:t xml:space="preserve">prices </w:t>
      </w:r>
      <w:r w:rsidRPr="00F9712C">
        <w:rPr>
          <w:sz w:val="22"/>
        </w:rPr>
        <w:t>during the overnight (nontrading) period</w:t>
      </w:r>
      <w:r w:rsidR="00C30780" w:rsidRPr="00F9712C">
        <w:rPr>
          <w:rFonts w:hint="eastAsia"/>
          <w:sz w:val="22"/>
        </w:rPr>
        <w:t xml:space="preserve"> in China</w:t>
      </w:r>
      <w:r w:rsidRPr="00F9712C">
        <w:rPr>
          <w:sz w:val="22"/>
        </w:rPr>
        <w:t xml:space="preserve">. </w:t>
      </w:r>
      <w:r w:rsidR="003E4894" w:rsidRPr="00F9712C">
        <w:rPr>
          <w:sz w:val="22"/>
        </w:rPr>
        <w:t xml:space="preserve">Since individual investors dominate A-share markets while foreign institutional investors dominate B-share markets, </w:t>
      </w:r>
      <w:r w:rsidR="00380710" w:rsidRPr="00F9712C">
        <w:rPr>
          <w:rFonts w:hint="eastAsia"/>
          <w:sz w:val="22"/>
        </w:rPr>
        <w:t>the results are consistent</w:t>
      </w:r>
      <w:r w:rsidR="00BA09CB" w:rsidRPr="00F9712C">
        <w:rPr>
          <w:rFonts w:hint="eastAsia"/>
          <w:sz w:val="22"/>
        </w:rPr>
        <w:t xml:space="preserve"> with</w:t>
      </w:r>
      <w:r w:rsidR="00380710" w:rsidRPr="00F9712C">
        <w:rPr>
          <w:rFonts w:hint="eastAsia"/>
          <w:sz w:val="22"/>
        </w:rPr>
        <w:t xml:space="preserve"> the</w:t>
      </w:r>
      <w:r w:rsidR="003E4894" w:rsidRPr="00F9712C">
        <w:rPr>
          <w:sz w:val="22"/>
        </w:rPr>
        <w:t xml:space="preserve"> conjecture that the higher volatility of A</w:t>
      </w:r>
      <w:r w:rsidR="003E4894" w:rsidRPr="00F9712C">
        <w:rPr>
          <w:rFonts w:hint="eastAsia"/>
          <w:sz w:val="22"/>
        </w:rPr>
        <w:t>-</w:t>
      </w:r>
      <w:r w:rsidR="003E4894" w:rsidRPr="00F9712C">
        <w:rPr>
          <w:sz w:val="22"/>
        </w:rPr>
        <w:t>shares is attributed to the noise trading by domestic investors.</w:t>
      </w:r>
    </w:p>
    <w:p w:rsidR="009A6708" w:rsidRPr="00F9712C" w:rsidRDefault="009A6708">
      <w:pPr>
        <w:spacing w:line="360" w:lineRule="auto"/>
        <w:ind w:firstLine="480"/>
        <w:rPr>
          <w:sz w:val="22"/>
        </w:rPr>
      </w:pPr>
    </w:p>
    <w:p w:rsidR="009A6708" w:rsidRPr="00F9712C" w:rsidRDefault="004E3C3F" w:rsidP="000354F0">
      <w:pPr>
        <w:pStyle w:val="ListParagraph"/>
        <w:numPr>
          <w:ilvl w:val="0"/>
          <w:numId w:val="5"/>
        </w:numPr>
        <w:spacing w:line="480" w:lineRule="auto"/>
        <w:ind w:leftChars="0"/>
        <w:rPr>
          <w:b/>
          <w:sz w:val="22"/>
        </w:rPr>
      </w:pPr>
      <w:r w:rsidRPr="00F9712C">
        <w:rPr>
          <w:sz w:val="22"/>
        </w:rPr>
        <w:br w:type="page"/>
      </w:r>
      <w:r w:rsidRPr="00F9712C">
        <w:rPr>
          <w:b/>
          <w:sz w:val="22"/>
        </w:rPr>
        <w:lastRenderedPageBreak/>
        <w:t>Introduction</w:t>
      </w:r>
    </w:p>
    <w:p w:rsidR="009A6708" w:rsidRPr="00F9712C" w:rsidRDefault="004E3C3F">
      <w:pPr>
        <w:spacing w:line="480" w:lineRule="auto"/>
        <w:ind w:firstLine="480"/>
        <w:rPr>
          <w:sz w:val="22"/>
        </w:rPr>
      </w:pPr>
      <w:r w:rsidRPr="00F9712C">
        <w:rPr>
          <w:sz w:val="22"/>
        </w:rPr>
        <w:t xml:space="preserve">It is generally difficult to distinguish between fundamentals or noise explanations of volatility because neither is directly observable. </w:t>
      </w:r>
      <w:r w:rsidR="007A5F4E" w:rsidRPr="00F9712C">
        <w:rPr>
          <w:sz w:val="22"/>
        </w:rPr>
        <w:t xml:space="preserve">Previous </w:t>
      </w:r>
      <w:r w:rsidRPr="00F9712C">
        <w:rPr>
          <w:sz w:val="22"/>
        </w:rPr>
        <w:t>studies use return volatilities in trading and non-trading periods to investigate the hypotheses of informational and noise trading</w:t>
      </w:r>
      <w:r w:rsidR="007A5F4E" w:rsidRPr="00F9712C">
        <w:rPr>
          <w:sz w:val="22"/>
        </w:rPr>
        <w:t xml:space="preserve"> (</w:t>
      </w:r>
      <w:r w:rsidRPr="00F9712C">
        <w:rPr>
          <w:sz w:val="22"/>
        </w:rPr>
        <w:t>French and Roll (1986)</w:t>
      </w:r>
      <w:r w:rsidR="007A5F4E" w:rsidRPr="00F9712C">
        <w:rPr>
          <w:sz w:val="22"/>
        </w:rPr>
        <w:t xml:space="preserve">, </w:t>
      </w:r>
      <w:r w:rsidRPr="00F9712C">
        <w:rPr>
          <w:sz w:val="22"/>
        </w:rPr>
        <w:t>Barclay, Litzenberger and Warner (1990)</w:t>
      </w:r>
      <w:r w:rsidR="007A5F4E" w:rsidRPr="00F9712C">
        <w:rPr>
          <w:sz w:val="22"/>
        </w:rPr>
        <w:t xml:space="preserve">, </w:t>
      </w:r>
      <w:r w:rsidRPr="00F9712C">
        <w:rPr>
          <w:sz w:val="22"/>
        </w:rPr>
        <w:t>Jones, Kaul and Lipson (1994)</w:t>
      </w:r>
      <w:r w:rsidR="007A5F4E" w:rsidRPr="00F9712C">
        <w:rPr>
          <w:sz w:val="22"/>
        </w:rPr>
        <w:t xml:space="preserve">, </w:t>
      </w:r>
      <w:r w:rsidRPr="00F9712C">
        <w:rPr>
          <w:sz w:val="22"/>
        </w:rPr>
        <w:t>Ito, Lyons and Melvin (1998)</w:t>
      </w:r>
      <w:r w:rsidR="007A5F4E" w:rsidRPr="00F9712C">
        <w:rPr>
          <w:sz w:val="22"/>
        </w:rPr>
        <w:t xml:space="preserve">). </w:t>
      </w:r>
      <w:r w:rsidRPr="00F9712C">
        <w:rPr>
          <w:sz w:val="22"/>
        </w:rPr>
        <w:t>This study, however, uses stock market segmentation to investigate the impact of informational and noise trading on stock return volatility.  The ownership restriction in Chinese stock market offers us a unique situation to investigate the impact of the investor clienteles on the return volatility of securities.  First, A</w:t>
      </w:r>
      <w:r w:rsidR="007A5F4E" w:rsidRPr="00F9712C">
        <w:rPr>
          <w:sz w:val="22"/>
        </w:rPr>
        <w:t>-</w:t>
      </w:r>
      <w:r w:rsidRPr="00F9712C">
        <w:rPr>
          <w:sz w:val="22"/>
        </w:rPr>
        <w:t>share</w:t>
      </w:r>
      <w:r w:rsidR="007A5F4E" w:rsidRPr="00F9712C">
        <w:rPr>
          <w:sz w:val="22"/>
        </w:rPr>
        <w:t>s</w:t>
      </w:r>
      <w:r w:rsidRPr="00F9712C">
        <w:rPr>
          <w:sz w:val="22"/>
        </w:rPr>
        <w:t xml:space="preserve"> and B</w:t>
      </w:r>
      <w:r w:rsidR="007A5F4E" w:rsidRPr="00F9712C">
        <w:rPr>
          <w:sz w:val="22"/>
        </w:rPr>
        <w:t>-</w:t>
      </w:r>
      <w:r w:rsidRPr="00F9712C">
        <w:rPr>
          <w:sz w:val="22"/>
        </w:rPr>
        <w:t>share</w:t>
      </w:r>
      <w:r w:rsidR="007A5F4E" w:rsidRPr="00F9712C">
        <w:rPr>
          <w:sz w:val="22"/>
        </w:rPr>
        <w:t>s</w:t>
      </w:r>
      <w:r w:rsidRPr="00F9712C">
        <w:rPr>
          <w:sz w:val="22"/>
        </w:rPr>
        <w:t xml:space="preserve"> are issued by the same company and they have same rights and are traded in the same exchange and trading mechanism.</w:t>
      </w:r>
      <w:r w:rsidR="00C93617" w:rsidRPr="00F9712C">
        <w:rPr>
          <w:sz w:val="22"/>
        </w:rPr>
        <w:t xml:space="preserve"> </w:t>
      </w:r>
      <w:r w:rsidRPr="00F9712C">
        <w:rPr>
          <w:sz w:val="22"/>
        </w:rPr>
        <w:t xml:space="preserve"> Hence, the economic fundamentals on both types of share are common.  Second, A-share and B-share markets are completely segmented from each other </w:t>
      </w:r>
      <w:r w:rsidR="00C93617" w:rsidRPr="00F9712C">
        <w:rPr>
          <w:rFonts w:hint="eastAsia"/>
          <w:sz w:val="22"/>
        </w:rPr>
        <w:t>before Feb 2001</w:t>
      </w:r>
      <w:r w:rsidR="00ED7D0B" w:rsidRPr="00F9712C">
        <w:rPr>
          <w:rFonts w:hint="eastAsia"/>
          <w:sz w:val="22"/>
        </w:rPr>
        <w:t xml:space="preserve"> (Sun, Tong and Yan (2009))</w:t>
      </w:r>
      <w:r w:rsidR="006857B9" w:rsidRPr="00F9712C">
        <w:rPr>
          <w:rFonts w:hint="eastAsia"/>
          <w:sz w:val="22"/>
        </w:rPr>
        <w:t xml:space="preserve"> and</w:t>
      </w:r>
      <w:r w:rsidR="00C93617" w:rsidRPr="00F9712C">
        <w:rPr>
          <w:rFonts w:hint="eastAsia"/>
          <w:sz w:val="22"/>
        </w:rPr>
        <w:t xml:space="preserve"> </w:t>
      </w:r>
      <w:r w:rsidR="00C93617" w:rsidRPr="00F9712C">
        <w:rPr>
          <w:sz w:val="22"/>
        </w:rPr>
        <w:t>A-shares can only be owned by domestic investors while foreign investors can trade B-shares only.</w:t>
      </w:r>
      <w:r w:rsidR="00C93617" w:rsidRPr="00F9712C">
        <w:rPr>
          <w:rFonts w:hint="eastAsia"/>
          <w:sz w:val="22"/>
        </w:rPr>
        <w:t xml:space="preserve"> Third, </w:t>
      </w:r>
      <w:r w:rsidRPr="00F9712C">
        <w:rPr>
          <w:sz w:val="22"/>
        </w:rPr>
        <w:t>the A-share market is dominated by domestic individual investors while the B-share market is dominated by foreign institutional investors</w:t>
      </w:r>
      <w:r w:rsidR="007A5F4E" w:rsidRPr="00F9712C">
        <w:rPr>
          <w:sz w:val="22"/>
        </w:rPr>
        <w:t xml:space="preserve"> (Siu (1996)).</w:t>
      </w:r>
      <w:r w:rsidRPr="00F9712C">
        <w:rPr>
          <w:sz w:val="22"/>
        </w:rPr>
        <w:t xml:space="preserve"> </w:t>
      </w:r>
      <w:r w:rsidR="00157DAD" w:rsidRPr="00F9712C">
        <w:rPr>
          <w:sz w:val="22"/>
        </w:rPr>
        <w:t>Compared with domestic investors, foreign institutional investors are more sophisticated</w:t>
      </w:r>
      <w:r w:rsidR="00157DAD" w:rsidRPr="00F9712C">
        <w:rPr>
          <w:rFonts w:hint="eastAsia"/>
          <w:sz w:val="22"/>
        </w:rPr>
        <w:t xml:space="preserve"> and </w:t>
      </w:r>
      <w:r w:rsidR="00157DAD" w:rsidRPr="00F9712C">
        <w:rPr>
          <w:sz w:val="22"/>
        </w:rPr>
        <w:t>experienced</w:t>
      </w:r>
      <w:r w:rsidR="00157DAD" w:rsidRPr="00F9712C">
        <w:rPr>
          <w:rFonts w:hint="eastAsia"/>
          <w:sz w:val="22"/>
        </w:rPr>
        <w:t xml:space="preserve">. </w:t>
      </w:r>
      <w:r w:rsidR="00CF55CE" w:rsidRPr="00F9712C">
        <w:rPr>
          <w:rFonts w:hint="eastAsia"/>
          <w:sz w:val="22"/>
        </w:rPr>
        <w:t>Foreign investors</w:t>
      </w:r>
      <w:r w:rsidR="00157DAD" w:rsidRPr="00F9712C">
        <w:rPr>
          <w:rFonts w:hint="eastAsia"/>
          <w:sz w:val="22"/>
        </w:rPr>
        <w:t xml:space="preserve"> also</w:t>
      </w:r>
      <w:r w:rsidR="00157DAD" w:rsidRPr="00F9712C">
        <w:rPr>
          <w:sz w:val="22"/>
        </w:rPr>
        <w:t xml:space="preserve"> have better means of obtaining information and access to more advanced technology to analyze data (Sjoo and Zhang </w:t>
      </w:r>
      <w:r w:rsidR="00157DAD" w:rsidRPr="00F9712C">
        <w:rPr>
          <w:rFonts w:hint="eastAsia"/>
          <w:sz w:val="22"/>
        </w:rPr>
        <w:t>(</w:t>
      </w:r>
      <w:r w:rsidR="00157DAD" w:rsidRPr="00F9712C">
        <w:rPr>
          <w:sz w:val="22"/>
        </w:rPr>
        <w:t>2000</w:t>
      </w:r>
      <w:r w:rsidR="00157DAD" w:rsidRPr="00F9712C">
        <w:rPr>
          <w:rFonts w:hint="eastAsia"/>
          <w:sz w:val="22"/>
        </w:rPr>
        <w:t>)</w:t>
      </w:r>
      <w:r w:rsidR="00157DAD" w:rsidRPr="00F9712C">
        <w:rPr>
          <w:sz w:val="22"/>
        </w:rPr>
        <w:t>).</w:t>
      </w:r>
      <w:r w:rsidR="00157DAD" w:rsidRPr="00F9712C">
        <w:rPr>
          <w:rFonts w:hint="eastAsia"/>
          <w:sz w:val="22"/>
        </w:rPr>
        <w:t xml:space="preserve"> </w:t>
      </w:r>
      <w:r w:rsidR="00BD45AF" w:rsidRPr="00F9712C">
        <w:rPr>
          <w:sz w:val="22"/>
        </w:rPr>
        <w:t xml:space="preserve">Small domestic investors only rely solely on rumor, perception and government procurements for their investment cues, they trade on noise rather than information (Sherry </w:t>
      </w:r>
      <w:r w:rsidR="00C32237" w:rsidRPr="00F9712C">
        <w:rPr>
          <w:rFonts w:hint="eastAsia"/>
          <w:sz w:val="22"/>
        </w:rPr>
        <w:t>(</w:t>
      </w:r>
      <w:r w:rsidR="00BD45AF" w:rsidRPr="00F9712C">
        <w:rPr>
          <w:sz w:val="22"/>
        </w:rPr>
        <w:t>1997</w:t>
      </w:r>
      <w:r w:rsidR="00C32237" w:rsidRPr="00F9712C">
        <w:rPr>
          <w:rFonts w:hint="eastAsia"/>
          <w:sz w:val="22"/>
        </w:rPr>
        <w:t>)</w:t>
      </w:r>
      <w:r w:rsidR="00BD45AF" w:rsidRPr="00F9712C">
        <w:rPr>
          <w:sz w:val="22"/>
        </w:rPr>
        <w:t>).</w:t>
      </w:r>
      <w:r w:rsidR="00BD45AF" w:rsidRPr="00F9712C">
        <w:rPr>
          <w:rFonts w:hint="eastAsia"/>
          <w:sz w:val="22"/>
        </w:rPr>
        <w:t xml:space="preserve"> </w:t>
      </w:r>
      <w:r w:rsidRPr="00F9712C">
        <w:rPr>
          <w:sz w:val="22"/>
        </w:rPr>
        <w:t xml:space="preserve">These particular features allow us to investigate how </w:t>
      </w:r>
      <w:r w:rsidR="00EC08C7" w:rsidRPr="00F9712C">
        <w:rPr>
          <w:rFonts w:hint="eastAsia"/>
          <w:sz w:val="22"/>
        </w:rPr>
        <w:t xml:space="preserve">price </w:t>
      </w:r>
      <w:r w:rsidRPr="00F9712C">
        <w:rPr>
          <w:sz w:val="22"/>
        </w:rPr>
        <w:t>volatility is related to informational and noise trading.</w:t>
      </w:r>
    </w:p>
    <w:p w:rsidR="009A6708" w:rsidRPr="00F9712C" w:rsidRDefault="004E3C3F">
      <w:pPr>
        <w:spacing w:line="480" w:lineRule="auto"/>
        <w:ind w:firstLine="480"/>
        <w:rPr>
          <w:sz w:val="22"/>
        </w:rPr>
      </w:pPr>
      <w:r w:rsidRPr="00F9712C">
        <w:rPr>
          <w:sz w:val="22"/>
        </w:rPr>
        <w:t>Our results show that A-</w:t>
      </w:r>
      <w:r w:rsidR="007A5F4E" w:rsidRPr="00F9712C">
        <w:rPr>
          <w:sz w:val="22"/>
        </w:rPr>
        <w:t xml:space="preserve">share prices are more volatile than </w:t>
      </w:r>
      <w:r w:rsidRPr="00F9712C">
        <w:rPr>
          <w:sz w:val="22"/>
        </w:rPr>
        <w:t xml:space="preserve">B-shares </w:t>
      </w:r>
      <w:r w:rsidR="007A5F4E" w:rsidRPr="00F9712C">
        <w:rPr>
          <w:sz w:val="22"/>
        </w:rPr>
        <w:t>of the sa</w:t>
      </w:r>
      <w:r w:rsidRPr="00F9712C">
        <w:rPr>
          <w:sz w:val="22"/>
        </w:rPr>
        <w:t xml:space="preserve">me </w:t>
      </w:r>
      <w:r w:rsidR="007A5F4E" w:rsidRPr="00F9712C">
        <w:rPr>
          <w:sz w:val="22"/>
        </w:rPr>
        <w:t>companies</w:t>
      </w:r>
      <w:r w:rsidRPr="00F9712C">
        <w:rPr>
          <w:sz w:val="22"/>
        </w:rPr>
        <w:t xml:space="preserve">. </w:t>
      </w:r>
      <w:r w:rsidR="007A5F4E" w:rsidRPr="00F9712C">
        <w:rPr>
          <w:sz w:val="22"/>
        </w:rPr>
        <w:t xml:space="preserve">More important is that </w:t>
      </w:r>
      <w:r w:rsidRPr="00F9712C">
        <w:rPr>
          <w:sz w:val="22"/>
        </w:rPr>
        <w:t>we find that prices of A-shares are more volatile only during the daytime</w:t>
      </w:r>
      <w:r w:rsidR="00BB5CC8" w:rsidRPr="00F9712C">
        <w:rPr>
          <w:sz w:val="22"/>
        </w:rPr>
        <w:t xml:space="preserve"> while t</w:t>
      </w:r>
      <w:r w:rsidRPr="00F9712C">
        <w:rPr>
          <w:sz w:val="22"/>
        </w:rPr>
        <w:t xml:space="preserve">he B-share overnight returns are more volatile than those of A-share. The results support the conjecture that price movements in A-share is due to noise trading by domestic individual investors while foreign B-share investors are motivated by </w:t>
      </w:r>
      <w:r w:rsidRPr="00F9712C">
        <w:rPr>
          <w:sz w:val="22"/>
        </w:rPr>
        <w:lastRenderedPageBreak/>
        <w:t>informational trading.</w:t>
      </w:r>
    </w:p>
    <w:p w:rsidR="009A6708" w:rsidRPr="00F9712C" w:rsidRDefault="004E3C3F">
      <w:pPr>
        <w:spacing w:line="480" w:lineRule="auto"/>
        <w:ind w:firstLine="480"/>
        <w:rPr>
          <w:sz w:val="22"/>
        </w:rPr>
      </w:pPr>
      <w:r w:rsidRPr="00F9712C">
        <w:rPr>
          <w:sz w:val="22"/>
        </w:rPr>
        <w:t>The rest of this paper is organized as follows</w:t>
      </w:r>
      <w:r w:rsidR="00BB5CC8" w:rsidRPr="00F9712C">
        <w:rPr>
          <w:sz w:val="22"/>
        </w:rPr>
        <w:t xml:space="preserve">. </w:t>
      </w:r>
      <w:r w:rsidRPr="00F9712C">
        <w:rPr>
          <w:sz w:val="22"/>
        </w:rPr>
        <w:t xml:space="preserve">Section </w:t>
      </w:r>
      <w:r w:rsidR="00D245A8" w:rsidRPr="00F9712C">
        <w:rPr>
          <w:rFonts w:hint="eastAsia"/>
          <w:sz w:val="22"/>
        </w:rPr>
        <w:t>2</w:t>
      </w:r>
      <w:r w:rsidRPr="00F9712C">
        <w:rPr>
          <w:sz w:val="22"/>
        </w:rPr>
        <w:t xml:space="preserve"> presents the methodology. Section </w:t>
      </w:r>
      <w:r w:rsidR="00D245A8" w:rsidRPr="00F9712C">
        <w:rPr>
          <w:rFonts w:hint="eastAsia"/>
          <w:sz w:val="22"/>
        </w:rPr>
        <w:t>3</w:t>
      </w:r>
      <w:r w:rsidRPr="00F9712C">
        <w:rPr>
          <w:sz w:val="22"/>
        </w:rPr>
        <w:t xml:space="preserve"> presents the sample data and the preliminary statistics. Section </w:t>
      </w:r>
      <w:r w:rsidR="00D245A8" w:rsidRPr="00F9712C">
        <w:rPr>
          <w:rFonts w:hint="eastAsia"/>
          <w:sz w:val="22"/>
        </w:rPr>
        <w:t>4</w:t>
      </w:r>
      <w:r w:rsidRPr="00F9712C">
        <w:rPr>
          <w:sz w:val="22"/>
        </w:rPr>
        <w:t xml:space="preserve"> discusses the empirical results.</w:t>
      </w:r>
      <w:r w:rsidRPr="00F9712C">
        <w:rPr>
          <w:rFonts w:eastAsia="細明體" w:hint="eastAsia"/>
          <w:sz w:val="22"/>
        </w:rPr>
        <w:t xml:space="preserve"> </w:t>
      </w:r>
      <w:r w:rsidRPr="00F9712C">
        <w:rPr>
          <w:sz w:val="22"/>
        </w:rPr>
        <w:t xml:space="preserve">Section </w:t>
      </w:r>
      <w:r w:rsidR="00D245A8" w:rsidRPr="00F9712C">
        <w:rPr>
          <w:rFonts w:hint="eastAsia"/>
          <w:sz w:val="22"/>
        </w:rPr>
        <w:t>5</w:t>
      </w:r>
      <w:r w:rsidRPr="00F9712C">
        <w:rPr>
          <w:sz w:val="22"/>
        </w:rPr>
        <w:t xml:space="preserve"> summarizes and concludes the study.</w:t>
      </w:r>
    </w:p>
    <w:p w:rsidR="000E3E30" w:rsidRPr="00F9712C" w:rsidRDefault="000E3E30">
      <w:pPr>
        <w:spacing w:line="480" w:lineRule="auto"/>
        <w:ind w:firstLine="480"/>
        <w:rPr>
          <w:sz w:val="22"/>
        </w:rPr>
      </w:pPr>
    </w:p>
    <w:p w:rsidR="001A123D" w:rsidRPr="001A123D" w:rsidRDefault="004E3C3F" w:rsidP="001A123D">
      <w:pPr>
        <w:pStyle w:val="Heading1"/>
        <w:numPr>
          <w:ilvl w:val="0"/>
          <w:numId w:val="5"/>
        </w:numPr>
        <w:spacing w:line="480" w:lineRule="auto"/>
      </w:pPr>
      <w:r w:rsidRPr="001A123D">
        <w:rPr>
          <w:sz w:val="22"/>
        </w:rPr>
        <w:t>Methodology</w:t>
      </w:r>
    </w:p>
    <w:p w:rsidR="009A6708" w:rsidRPr="00F9712C" w:rsidRDefault="004E3C3F">
      <w:pPr>
        <w:spacing w:line="480" w:lineRule="auto"/>
        <w:ind w:firstLine="480"/>
        <w:rPr>
          <w:sz w:val="22"/>
        </w:rPr>
      </w:pPr>
      <w:r w:rsidRPr="00F9712C">
        <w:rPr>
          <w:sz w:val="22"/>
        </w:rPr>
        <w:t xml:space="preserve">To </w:t>
      </w:r>
      <w:r w:rsidR="001A7720" w:rsidRPr="00F9712C">
        <w:rPr>
          <w:sz w:val="22"/>
        </w:rPr>
        <w:t>inve</w:t>
      </w:r>
      <w:r w:rsidR="00730392" w:rsidRPr="00F9712C">
        <w:rPr>
          <w:rFonts w:hint="eastAsia"/>
          <w:sz w:val="22"/>
        </w:rPr>
        <w:t>s</w:t>
      </w:r>
      <w:r w:rsidR="001A7720" w:rsidRPr="00F9712C">
        <w:rPr>
          <w:sz w:val="22"/>
        </w:rPr>
        <w:t>tigate how volatility is related to informational and noise trading</w:t>
      </w:r>
      <w:r w:rsidRPr="00F9712C">
        <w:rPr>
          <w:sz w:val="22"/>
        </w:rPr>
        <w:t>, differ</w:t>
      </w:r>
      <w:r w:rsidR="00C93617" w:rsidRPr="00F9712C">
        <w:rPr>
          <w:sz w:val="22"/>
        </w:rPr>
        <w:t xml:space="preserve">ent </w:t>
      </w:r>
      <w:r w:rsidRPr="00F9712C">
        <w:rPr>
          <w:sz w:val="22"/>
        </w:rPr>
        <w:t xml:space="preserve">stock return based on the price movement across two </w:t>
      </w:r>
      <w:r w:rsidR="000E3E30" w:rsidRPr="00F9712C">
        <w:rPr>
          <w:rFonts w:hint="eastAsia"/>
          <w:sz w:val="22"/>
        </w:rPr>
        <w:t xml:space="preserve">trading </w:t>
      </w:r>
      <w:r w:rsidRPr="00F9712C">
        <w:rPr>
          <w:sz w:val="22"/>
        </w:rPr>
        <w:t>days</w:t>
      </w:r>
      <w:r w:rsidR="00C93617" w:rsidRPr="00F9712C">
        <w:rPr>
          <w:rFonts w:hint="eastAsia"/>
          <w:sz w:val="22"/>
        </w:rPr>
        <w:t xml:space="preserve"> are used</w:t>
      </w:r>
      <w:r w:rsidRPr="00F9712C">
        <w:rPr>
          <w:sz w:val="22"/>
        </w:rPr>
        <w:t xml:space="preserve">. </w:t>
      </w:r>
    </w:p>
    <w:p w:rsidR="009A6708" w:rsidRPr="00F9712C" w:rsidRDefault="009A6708">
      <w:pPr>
        <w:spacing w:line="480" w:lineRule="auto"/>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816"/>
        <w:gridCol w:w="1816"/>
        <w:gridCol w:w="1816"/>
        <w:gridCol w:w="1418"/>
      </w:tblGrid>
      <w:tr w:rsidR="009A6708" w:rsidRPr="00F9712C">
        <w:trPr>
          <w:jc w:val="center"/>
        </w:trPr>
        <w:tc>
          <w:tcPr>
            <w:tcW w:w="1418" w:type="dxa"/>
            <w:tcBorders>
              <w:top w:val="nil"/>
              <w:left w:val="nil"/>
              <w:bottom w:val="nil"/>
              <w:right w:val="nil"/>
            </w:tcBorders>
          </w:tcPr>
          <w:p w:rsidR="009A6708" w:rsidRPr="00F9712C" w:rsidRDefault="009A6708">
            <w:pPr>
              <w:spacing w:line="480" w:lineRule="auto"/>
              <w:rPr>
                <w:sz w:val="22"/>
              </w:rPr>
            </w:pPr>
          </w:p>
        </w:tc>
        <w:tc>
          <w:tcPr>
            <w:tcW w:w="1816" w:type="dxa"/>
            <w:tcBorders>
              <w:top w:val="nil"/>
              <w:left w:val="nil"/>
              <w:bottom w:val="nil"/>
              <w:right w:val="nil"/>
            </w:tcBorders>
          </w:tcPr>
          <w:p w:rsidR="009A6708" w:rsidRPr="00F9712C" w:rsidRDefault="004E3C3F" w:rsidP="001A7720">
            <w:pPr>
              <w:spacing w:line="480" w:lineRule="auto"/>
              <w:rPr>
                <w:sz w:val="22"/>
              </w:rPr>
            </w:pPr>
            <w:r w:rsidRPr="00F9712C">
              <w:rPr>
                <w:sz w:val="22"/>
              </w:rPr>
              <w:sym w:font="Symbol" w:char="F0AC"/>
            </w:r>
            <w:r w:rsidRPr="00F9712C">
              <w:rPr>
                <w:sz w:val="22"/>
              </w:rPr>
              <w:sym w:font="Symbol" w:char="F0BE"/>
            </w:r>
            <w:r w:rsidRPr="00F9712C">
              <w:rPr>
                <w:sz w:val="22"/>
              </w:rPr>
              <w:sym w:font="Symbol" w:char="F0BE"/>
            </w:r>
            <w:r w:rsidRPr="00F9712C">
              <w:rPr>
                <w:sz w:val="22"/>
              </w:rPr>
              <w:t>R</w:t>
            </w:r>
            <w:r w:rsidRPr="00F9712C">
              <w:rPr>
                <w:sz w:val="22"/>
                <w:vertAlign w:val="subscript"/>
              </w:rPr>
              <w:t>d,t-1</w:t>
            </w:r>
            <w:r w:rsidR="001A7720" w:rsidRPr="00F9712C">
              <w:rPr>
                <w:sz w:val="22"/>
              </w:rPr>
              <w:sym w:font="Symbol" w:char="F0BE"/>
            </w:r>
            <w:r w:rsidR="001A7720" w:rsidRPr="00F9712C">
              <w:rPr>
                <w:sz w:val="22"/>
              </w:rPr>
              <w:sym w:font="Symbol" w:char="F0BE"/>
            </w:r>
            <w:r w:rsidRPr="00F9712C">
              <w:rPr>
                <w:sz w:val="22"/>
              </w:rPr>
              <w:sym w:font="Symbol" w:char="F0AE"/>
            </w:r>
          </w:p>
        </w:tc>
        <w:tc>
          <w:tcPr>
            <w:tcW w:w="1816" w:type="dxa"/>
            <w:tcBorders>
              <w:top w:val="nil"/>
              <w:left w:val="nil"/>
              <w:bottom w:val="nil"/>
              <w:right w:val="nil"/>
            </w:tcBorders>
          </w:tcPr>
          <w:p w:rsidR="009A6708" w:rsidRPr="00F9712C" w:rsidRDefault="004E3C3F">
            <w:pPr>
              <w:spacing w:line="480" w:lineRule="auto"/>
              <w:rPr>
                <w:sz w:val="22"/>
              </w:rPr>
            </w:pPr>
            <w:r w:rsidRPr="00F9712C">
              <w:rPr>
                <w:sz w:val="22"/>
              </w:rPr>
              <w:sym w:font="Symbol" w:char="F0AC"/>
            </w:r>
            <w:r w:rsidRPr="00F9712C">
              <w:rPr>
                <w:sz w:val="22"/>
              </w:rPr>
              <w:sym w:font="Symbol" w:char="F0BE"/>
            </w:r>
            <w:r w:rsidRPr="00F9712C">
              <w:rPr>
                <w:sz w:val="22"/>
              </w:rPr>
              <w:t xml:space="preserve"> R</w:t>
            </w:r>
            <w:r w:rsidRPr="00F9712C">
              <w:rPr>
                <w:sz w:val="22"/>
                <w:vertAlign w:val="subscript"/>
              </w:rPr>
              <w:t>n,t</w:t>
            </w:r>
            <w:r w:rsidRPr="00F9712C">
              <w:rPr>
                <w:sz w:val="22"/>
              </w:rPr>
              <w:t xml:space="preserve"> </w:t>
            </w:r>
            <w:r w:rsidRPr="00F9712C">
              <w:rPr>
                <w:sz w:val="22"/>
              </w:rPr>
              <w:sym w:font="Symbol" w:char="F0BE"/>
            </w:r>
            <w:r w:rsidR="001A7720" w:rsidRPr="00F9712C">
              <w:rPr>
                <w:sz w:val="22"/>
              </w:rPr>
              <w:sym w:font="Symbol" w:char="F0BE"/>
            </w:r>
            <w:r w:rsidRPr="00F9712C">
              <w:rPr>
                <w:sz w:val="22"/>
              </w:rPr>
              <w:sym w:font="Symbol" w:char="F0BE"/>
            </w:r>
            <w:r w:rsidRPr="00F9712C">
              <w:rPr>
                <w:sz w:val="22"/>
              </w:rPr>
              <w:sym w:font="Symbol" w:char="F0AE"/>
            </w:r>
          </w:p>
        </w:tc>
        <w:tc>
          <w:tcPr>
            <w:tcW w:w="1816" w:type="dxa"/>
            <w:tcBorders>
              <w:top w:val="nil"/>
              <w:left w:val="nil"/>
              <w:bottom w:val="nil"/>
              <w:right w:val="nil"/>
            </w:tcBorders>
          </w:tcPr>
          <w:p w:rsidR="009A6708" w:rsidRPr="00F9712C" w:rsidRDefault="004E3C3F">
            <w:pPr>
              <w:spacing w:line="480" w:lineRule="auto"/>
              <w:rPr>
                <w:sz w:val="22"/>
              </w:rPr>
            </w:pPr>
            <w:r w:rsidRPr="00F9712C">
              <w:rPr>
                <w:sz w:val="22"/>
              </w:rPr>
              <w:sym w:font="Symbol" w:char="F0AC"/>
            </w:r>
            <w:r w:rsidRPr="00F9712C">
              <w:rPr>
                <w:sz w:val="22"/>
              </w:rPr>
              <w:sym w:font="Symbol" w:char="F0BE"/>
            </w:r>
            <w:r w:rsidRPr="00F9712C">
              <w:rPr>
                <w:sz w:val="22"/>
              </w:rPr>
              <w:t xml:space="preserve"> R</w:t>
            </w:r>
            <w:r w:rsidRPr="00F9712C">
              <w:rPr>
                <w:sz w:val="22"/>
                <w:vertAlign w:val="subscript"/>
              </w:rPr>
              <w:t>d,t</w:t>
            </w:r>
            <w:r w:rsidRPr="00F9712C">
              <w:rPr>
                <w:sz w:val="22"/>
              </w:rPr>
              <w:sym w:font="Symbol" w:char="F0BE"/>
            </w:r>
            <w:r w:rsidR="001A7720" w:rsidRPr="00F9712C">
              <w:rPr>
                <w:sz w:val="22"/>
              </w:rPr>
              <w:sym w:font="Symbol" w:char="F0BE"/>
            </w:r>
            <w:r w:rsidRPr="00F9712C">
              <w:rPr>
                <w:sz w:val="22"/>
              </w:rPr>
              <w:sym w:font="Symbol" w:char="F0BE"/>
            </w:r>
            <w:r w:rsidRPr="00F9712C">
              <w:rPr>
                <w:sz w:val="22"/>
              </w:rPr>
              <w:sym w:font="Symbol" w:char="F0AE"/>
            </w:r>
          </w:p>
        </w:tc>
        <w:tc>
          <w:tcPr>
            <w:tcW w:w="1418" w:type="dxa"/>
            <w:tcBorders>
              <w:top w:val="nil"/>
              <w:left w:val="nil"/>
              <w:bottom w:val="nil"/>
              <w:right w:val="nil"/>
            </w:tcBorders>
          </w:tcPr>
          <w:p w:rsidR="009A6708" w:rsidRPr="00F9712C" w:rsidRDefault="009A6708">
            <w:pPr>
              <w:spacing w:line="480" w:lineRule="auto"/>
              <w:rPr>
                <w:sz w:val="22"/>
              </w:rPr>
            </w:pPr>
          </w:p>
        </w:tc>
      </w:tr>
      <w:tr w:rsidR="009A6708" w:rsidRPr="00F9712C">
        <w:trPr>
          <w:jc w:val="center"/>
        </w:trPr>
        <w:tc>
          <w:tcPr>
            <w:tcW w:w="1418" w:type="dxa"/>
            <w:tcBorders>
              <w:left w:val="nil"/>
              <w:bottom w:val="nil"/>
            </w:tcBorders>
            <w:vAlign w:val="bottom"/>
          </w:tcPr>
          <w:p w:rsidR="009A6708" w:rsidRPr="00F9712C" w:rsidRDefault="009A6708">
            <w:pPr>
              <w:spacing w:line="480" w:lineRule="auto"/>
              <w:rPr>
                <w:sz w:val="22"/>
              </w:rPr>
            </w:pPr>
          </w:p>
        </w:tc>
        <w:tc>
          <w:tcPr>
            <w:tcW w:w="1816" w:type="dxa"/>
            <w:tcBorders>
              <w:bottom w:val="nil"/>
            </w:tcBorders>
            <w:vAlign w:val="bottom"/>
          </w:tcPr>
          <w:p w:rsidR="009A6708" w:rsidRPr="00F9712C" w:rsidRDefault="004E3C3F">
            <w:pPr>
              <w:spacing w:line="480" w:lineRule="auto"/>
              <w:rPr>
                <w:sz w:val="22"/>
              </w:rPr>
            </w:pPr>
            <w:r w:rsidRPr="00F9712C">
              <w:rPr>
                <w:sz w:val="22"/>
              </w:rPr>
              <w:t>P</w:t>
            </w:r>
            <w:r w:rsidRPr="00F9712C">
              <w:rPr>
                <w:sz w:val="22"/>
                <w:vertAlign w:val="subscript"/>
              </w:rPr>
              <w:t>o, t-1</w:t>
            </w:r>
          </w:p>
        </w:tc>
        <w:tc>
          <w:tcPr>
            <w:tcW w:w="1816" w:type="dxa"/>
            <w:tcBorders>
              <w:bottom w:val="nil"/>
            </w:tcBorders>
            <w:vAlign w:val="bottom"/>
          </w:tcPr>
          <w:p w:rsidR="009A6708" w:rsidRPr="00F9712C" w:rsidRDefault="004E3C3F">
            <w:pPr>
              <w:spacing w:line="480" w:lineRule="auto"/>
              <w:rPr>
                <w:sz w:val="22"/>
              </w:rPr>
            </w:pPr>
            <w:r w:rsidRPr="00F9712C">
              <w:rPr>
                <w:sz w:val="22"/>
              </w:rPr>
              <w:t>P</w:t>
            </w:r>
            <w:r w:rsidRPr="00F9712C">
              <w:rPr>
                <w:sz w:val="22"/>
                <w:vertAlign w:val="subscript"/>
              </w:rPr>
              <w:t>c, t-1</w:t>
            </w:r>
          </w:p>
        </w:tc>
        <w:tc>
          <w:tcPr>
            <w:tcW w:w="1816" w:type="dxa"/>
            <w:tcBorders>
              <w:bottom w:val="nil"/>
            </w:tcBorders>
            <w:vAlign w:val="bottom"/>
          </w:tcPr>
          <w:p w:rsidR="009A6708" w:rsidRPr="00F9712C" w:rsidRDefault="004E3C3F">
            <w:pPr>
              <w:spacing w:line="480" w:lineRule="auto"/>
              <w:rPr>
                <w:sz w:val="22"/>
              </w:rPr>
            </w:pPr>
            <w:r w:rsidRPr="00F9712C">
              <w:rPr>
                <w:sz w:val="22"/>
              </w:rPr>
              <w:t>P</w:t>
            </w:r>
            <w:r w:rsidRPr="00F9712C">
              <w:rPr>
                <w:sz w:val="22"/>
                <w:vertAlign w:val="subscript"/>
              </w:rPr>
              <w:t>o, t</w:t>
            </w:r>
          </w:p>
        </w:tc>
        <w:tc>
          <w:tcPr>
            <w:tcW w:w="1418" w:type="dxa"/>
            <w:tcBorders>
              <w:bottom w:val="nil"/>
              <w:right w:val="nil"/>
            </w:tcBorders>
            <w:vAlign w:val="bottom"/>
          </w:tcPr>
          <w:p w:rsidR="009A6708" w:rsidRPr="00F9712C" w:rsidRDefault="004E3C3F">
            <w:pPr>
              <w:spacing w:line="480" w:lineRule="auto"/>
              <w:rPr>
                <w:sz w:val="22"/>
              </w:rPr>
            </w:pPr>
            <w:r w:rsidRPr="00F9712C">
              <w:rPr>
                <w:sz w:val="22"/>
              </w:rPr>
              <w:t>P</w:t>
            </w:r>
            <w:r w:rsidRPr="00F9712C">
              <w:rPr>
                <w:sz w:val="22"/>
                <w:vertAlign w:val="subscript"/>
              </w:rPr>
              <w:t>c, t</w:t>
            </w:r>
          </w:p>
        </w:tc>
      </w:tr>
      <w:tr w:rsidR="009A6708" w:rsidRPr="00F9712C">
        <w:trPr>
          <w:cantSplit/>
          <w:jc w:val="center"/>
        </w:trPr>
        <w:tc>
          <w:tcPr>
            <w:tcW w:w="1418" w:type="dxa"/>
            <w:tcBorders>
              <w:top w:val="nil"/>
              <w:left w:val="nil"/>
              <w:bottom w:val="nil"/>
              <w:right w:val="nil"/>
            </w:tcBorders>
          </w:tcPr>
          <w:p w:rsidR="009A6708" w:rsidRPr="00F9712C" w:rsidRDefault="009A6708">
            <w:pPr>
              <w:spacing w:line="480" w:lineRule="auto"/>
              <w:rPr>
                <w:sz w:val="22"/>
              </w:rPr>
            </w:pPr>
          </w:p>
        </w:tc>
        <w:tc>
          <w:tcPr>
            <w:tcW w:w="3632" w:type="dxa"/>
            <w:gridSpan w:val="2"/>
            <w:tcBorders>
              <w:top w:val="nil"/>
              <w:left w:val="nil"/>
              <w:bottom w:val="nil"/>
              <w:right w:val="nil"/>
            </w:tcBorders>
          </w:tcPr>
          <w:p w:rsidR="009A6708" w:rsidRPr="00F9712C" w:rsidRDefault="004E3C3F">
            <w:pPr>
              <w:spacing w:line="480" w:lineRule="auto"/>
              <w:rPr>
                <w:sz w:val="22"/>
              </w:rPr>
            </w:pPr>
            <w:r w:rsidRPr="00F9712C">
              <w:rPr>
                <w:sz w:val="22"/>
              </w:rPr>
              <w:sym w:font="Symbol" w:char="F0AC"/>
            </w:r>
            <w:r w:rsidRPr="00F9712C">
              <w:rPr>
                <w:sz w:val="22"/>
              </w:rPr>
              <w:sym w:font="Symbol" w:char="F0BE"/>
            </w:r>
            <w:r w:rsidRPr="00F9712C">
              <w:rPr>
                <w:sz w:val="22"/>
              </w:rPr>
              <w:sym w:font="Symbol" w:char="F0BE"/>
            </w:r>
            <w:r w:rsidRPr="00F9712C">
              <w:rPr>
                <w:sz w:val="22"/>
              </w:rPr>
              <w:sym w:font="Symbol" w:char="F0BE"/>
            </w:r>
            <w:r w:rsidRPr="00F9712C">
              <w:rPr>
                <w:sz w:val="22"/>
              </w:rPr>
              <w:sym w:font="Symbol" w:char="F0BE"/>
            </w:r>
            <w:r w:rsidRPr="00F9712C">
              <w:rPr>
                <w:sz w:val="22"/>
              </w:rPr>
              <w:sym w:font="Symbol" w:char="F0BE"/>
            </w:r>
            <w:r w:rsidRPr="00F9712C">
              <w:rPr>
                <w:sz w:val="22"/>
              </w:rPr>
              <w:sym w:font="Symbol" w:char="F0BE"/>
            </w:r>
            <w:r w:rsidRPr="00F9712C">
              <w:rPr>
                <w:sz w:val="22"/>
              </w:rPr>
              <w:t>R</w:t>
            </w:r>
            <w:r w:rsidRPr="00F9712C">
              <w:rPr>
                <w:sz w:val="22"/>
                <w:vertAlign w:val="subscript"/>
              </w:rPr>
              <w:t>o,t</w:t>
            </w:r>
            <w:r w:rsidRPr="00F9712C">
              <w:rPr>
                <w:sz w:val="22"/>
              </w:rPr>
              <w:sym w:font="Symbol" w:char="F0BE"/>
            </w:r>
            <w:r w:rsidRPr="00F9712C">
              <w:rPr>
                <w:sz w:val="22"/>
              </w:rPr>
              <w:sym w:font="Symbol" w:char="F0BE"/>
            </w:r>
            <w:r w:rsidRPr="00F9712C">
              <w:rPr>
                <w:sz w:val="22"/>
              </w:rPr>
              <w:sym w:font="Symbol" w:char="F0BE"/>
            </w:r>
            <w:r w:rsidR="001A7720" w:rsidRPr="00F9712C">
              <w:rPr>
                <w:sz w:val="22"/>
              </w:rPr>
              <w:sym w:font="Symbol" w:char="F0BE"/>
            </w:r>
            <w:r w:rsidRPr="00F9712C">
              <w:rPr>
                <w:sz w:val="22"/>
              </w:rPr>
              <w:sym w:font="Symbol" w:char="F0BE"/>
            </w:r>
            <w:r w:rsidRPr="00F9712C">
              <w:rPr>
                <w:sz w:val="22"/>
              </w:rPr>
              <w:sym w:font="Symbol" w:char="F0BE"/>
            </w:r>
            <w:r w:rsidRPr="00F9712C">
              <w:rPr>
                <w:sz w:val="22"/>
              </w:rPr>
              <w:sym w:font="Symbol" w:char="F0AE"/>
            </w:r>
          </w:p>
        </w:tc>
        <w:tc>
          <w:tcPr>
            <w:tcW w:w="1816" w:type="dxa"/>
            <w:tcBorders>
              <w:top w:val="nil"/>
              <w:left w:val="nil"/>
              <w:bottom w:val="nil"/>
              <w:right w:val="nil"/>
            </w:tcBorders>
          </w:tcPr>
          <w:p w:rsidR="009A6708" w:rsidRPr="00F9712C" w:rsidRDefault="009A6708">
            <w:pPr>
              <w:spacing w:line="480" w:lineRule="auto"/>
              <w:rPr>
                <w:sz w:val="22"/>
              </w:rPr>
            </w:pPr>
          </w:p>
        </w:tc>
        <w:tc>
          <w:tcPr>
            <w:tcW w:w="1418" w:type="dxa"/>
            <w:tcBorders>
              <w:top w:val="nil"/>
              <w:left w:val="nil"/>
              <w:bottom w:val="nil"/>
              <w:right w:val="nil"/>
            </w:tcBorders>
          </w:tcPr>
          <w:p w:rsidR="009A6708" w:rsidRPr="00F9712C" w:rsidRDefault="009A6708">
            <w:pPr>
              <w:spacing w:line="480" w:lineRule="auto"/>
              <w:rPr>
                <w:sz w:val="22"/>
              </w:rPr>
            </w:pPr>
          </w:p>
        </w:tc>
      </w:tr>
      <w:tr w:rsidR="009A6708" w:rsidRPr="00F9712C">
        <w:trPr>
          <w:cantSplit/>
          <w:jc w:val="center"/>
        </w:trPr>
        <w:tc>
          <w:tcPr>
            <w:tcW w:w="1418" w:type="dxa"/>
            <w:tcBorders>
              <w:top w:val="nil"/>
              <w:left w:val="nil"/>
              <w:bottom w:val="nil"/>
              <w:right w:val="nil"/>
            </w:tcBorders>
          </w:tcPr>
          <w:p w:rsidR="009A6708" w:rsidRPr="00F9712C" w:rsidRDefault="009A6708">
            <w:pPr>
              <w:spacing w:line="480" w:lineRule="auto"/>
              <w:rPr>
                <w:sz w:val="22"/>
              </w:rPr>
            </w:pPr>
          </w:p>
        </w:tc>
        <w:tc>
          <w:tcPr>
            <w:tcW w:w="1816" w:type="dxa"/>
            <w:tcBorders>
              <w:top w:val="nil"/>
              <w:left w:val="nil"/>
              <w:bottom w:val="nil"/>
              <w:right w:val="nil"/>
            </w:tcBorders>
          </w:tcPr>
          <w:p w:rsidR="009A6708" w:rsidRPr="00F9712C" w:rsidRDefault="009A6708">
            <w:pPr>
              <w:spacing w:line="480" w:lineRule="auto"/>
              <w:rPr>
                <w:sz w:val="22"/>
              </w:rPr>
            </w:pPr>
          </w:p>
        </w:tc>
        <w:tc>
          <w:tcPr>
            <w:tcW w:w="3632" w:type="dxa"/>
            <w:gridSpan w:val="2"/>
            <w:tcBorders>
              <w:top w:val="nil"/>
              <w:left w:val="nil"/>
              <w:bottom w:val="nil"/>
              <w:right w:val="nil"/>
            </w:tcBorders>
          </w:tcPr>
          <w:p w:rsidR="009A6708" w:rsidRPr="00F9712C" w:rsidRDefault="004E3C3F" w:rsidP="001A7720">
            <w:pPr>
              <w:spacing w:line="480" w:lineRule="auto"/>
              <w:rPr>
                <w:sz w:val="22"/>
              </w:rPr>
            </w:pPr>
            <w:r w:rsidRPr="00F9712C">
              <w:rPr>
                <w:sz w:val="22"/>
              </w:rPr>
              <w:sym w:font="Symbol" w:char="F0AC"/>
            </w:r>
            <w:r w:rsidRPr="00F9712C">
              <w:rPr>
                <w:sz w:val="22"/>
              </w:rPr>
              <w:sym w:font="Symbol" w:char="F0BE"/>
            </w:r>
            <w:r w:rsidRPr="00F9712C">
              <w:rPr>
                <w:sz w:val="22"/>
              </w:rPr>
              <w:sym w:font="Symbol" w:char="F0BE"/>
            </w:r>
            <w:r w:rsidRPr="00F9712C">
              <w:rPr>
                <w:sz w:val="22"/>
              </w:rPr>
              <w:sym w:font="Symbol" w:char="F0BE"/>
            </w:r>
            <w:r w:rsidRPr="00F9712C">
              <w:rPr>
                <w:sz w:val="22"/>
              </w:rPr>
              <w:sym w:font="Symbol" w:char="F0BE"/>
            </w:r>
            <w:r w:rsidRPr="00F9712C">
              <w:rPr>
                <w:sz w:val="22"/>
              </w:rPr>
              <w:sym w:font="Symbol" w:char="F0BE"/>
            </w:r>
            <w:r w:rsidRPr="00F9712C">
              <w:rPr>
                <w:sz w:val="22"/>
              </w:rPr>
              <w:sym w:font="Symbol" w:char="F0BE"/>
            </w:r>
            <w:r w:rsidRPr="00F9712C">
              <w:rPr>
                <w:sz w:val="22"/>
              </w:rPr>
              <w:t>R</w:t>
            </w:r>
            <w:r w:rsidRPr="00F9712C">
              <w:rPr>
                <w:sz w:val="22"/>
                <w:vertAlign w:val="subscript"/>
              </w:rPr>
              <w:t>c,t</w:t>
            </w:r>
            <w:r w:rsidRPr="00F9712C">
              <w:rPr>
                <w:sz w:val="22"/>
              </w:rPr>
              <w:sym w:font="Symbol" w:char="F0BE"/>
            </w:r>
            <w:r w:rsidRPr="00F9712C">
              <w:rPr>
                <w:sz w:val="22"/>
              </w:rPr>
              <w:sym w:font="Symbol" w:char="F0BE"/>
            </w:r>
            <w:r w:rsidR="001A7720" w:rsidRPr="00F9712C">
              <w:rPr>
                <w:sz w:val="22"/>
              </w:rPr>
              <w:sym w:font="Symbol" w:char="F0BE"/>
            </w:r>
            <w:r w:rsidR="001A7720" w:rsidRPr="00F9712C">
              <w:rPr>
                <w:sz w:val="22"/>
              </w:rPr>
              <w:sym w:font="Symbol" w:char="F0BE"/>
            </w:r>
            <w:r w:rsidRPr="00F9712C">
              <w:rPr>
                <w:sz w:val="22"/>
              </w:rPr>
              <w:sym w:font="Symbol" w:char="F0BE"/>
            </w:r>
            <w:r w:rsidRPr="00F9712C">
              <w:rPr>
                <w:sz w:val="22"/>
              </w:rPr>
              <w:sym w:font="Symbol" w:char="F0BE"/>
            </w:r>
            <w:r w:rsidRPr="00F9712C">
              <w:rPr>
                <w:sz w:val="22"/>
              </w:rPr>
              <w:sym w:font="Symbol" w:char="F0AE"/>
            </w:r>
          </w:p>
        </w:tc>
        <w:tc>
          <w:tcPr>
            <w:tcW w:w="1418" w:type="dxa"/>
            <w:tcBorders>
              <w:top w:val="nil"/>
              <w:left w:val="nil"/>
              <w:bottom w:val="nil"/>
              <w:right w:val="nil"/>
            </w:tcBorders>
          </w:tcPr>
          <w:p w:rsidR="009A6708" w:rsidRPr="00F9712C" w:rsidRDefault="009A6708">
            <w:pPr>
              <w:spacing w:line="480" w:lineRule="auto"/>
              <w:rPr>
                <w:sz w:val="22"/>
              </w:rPr>
            </w:pPr>
          </w:p>
        </w:tc>
      </w:tr>
    </w:tbl>
    <w:p w:rsidR="009A6708" w:rsidRPr="00F9712C" w:rsidRDefault="009A6708">
      <w:pPr>
        <w:spacing w:line="480" w:lineRule="auto"/>
        <w:rPr>
          <w:sz w:val="22"/>
        </w:rPr>
      </w:pPr>
    </w:p>
    <w:p w:rsidR="009A6708" w:rsidRPr="00F9712C" w:rsidRDefault="004E3C3F">
      <w:pPr>
        <w:spacing w:line="480" w:lineRule="auto"/>
        <w:rPr>
          <w:sz w:val="22"/>
        </w:rPr>
      </w:pPr>
      <w:r w:rsidRPr="00F9712C">
        <w:rPr>
          <w:sz w:val="22"/>
        </w:rPr>
        <w:t>where</w:t>
      </w:r>
    </w:p>
    <w:p w:rsidR="009A6708" w:rsidRPr="00F9712C" w:rsidRDefault="004E3C3F">
      <w:pPr>
        <w:spacing w:line="360" w:lineRule="auto"/>
        <w:rPr>
          <w:sz w:val="22"/>
        </w:rPr>
      </w:pPr>
      <w:r w:rsidRPr="00F9712C">
        <w:rPr>
          <w:sz w:val="22"/>
        </w:rPr>
        <w:t>P</w:t>
      </w:r>
      <w:r w:rsidRPr="00F9712C">
        <w:rPr>
          <w:sz w:val="22"/>
          <w:vertAlign w:val="subscript"/>
        </w:rPr>
        <w:t>o, t</w:t>
      </w:r>
      <w:r w:rsidRPr="00F9712C">
        <w:rPr>
          <w:sz w:val="22"/>
        </w:rPr>
        <w:t xml:space="preserve"> = opening price on day t</w:t>
      </w:r>
    </w:p>
    <w:p w:rsidR="009A6708" w:rsidRPr="00F9712C" w:rsidRDefault="004E3C3F">
      <w:pPr>
        <w:spacing w:line="360" w:lineRule="auto"/>
        <w:rPr>
          <w:sz w:val="22"/>
        </w:rPr>
      </w:pPr>
      <w:r w:rsidRPr="00F9712C">
        <w:rPr>
          <w:sz w:val="22"/>
        </w:rPr>
        <w:t>P</w:t>
      </w:r>
      <w:r w:rsidRPr="00F9712C">
        <w:rPr>
          <w:sz w:val="22"/>
          <w:vertAlign w:val="subscript"/>
        </w:rPr>
        <w:t xml:space="preserve">c, t  </w:t>
      </w:r>
      <w:r w:rsidRPr="00F9712C">
        <w:rPr>
          <w:sz w:val="22"/>
        </w:rPr>
        <w:t>= closing price on day t</w:t>
      </w:r>
    </w:p>
    <w:p w:rsidR="009A6708" w:rsidRPr="00F9712C" w:rsidRDefault="004E3C3F">
      <w:pPr>
        <w:spacing w:line="360" w:lineRule="auto"/>
        <w:rPr>
          <w:sz w:val="22"/>
        </w:rPr>
      </w:pPr>
      <w:proofErr w:type="spellStart"/>
      <w:r w:rsidRPr="00F9712C">
        <w:rPr>
          <w:sz w:val="22"/>
        </w:rPr>
        <w:t>R</w:t>
      </w:r>
      <w:r w:rsidRPr="00F9712C">
        <w:rPr>
          <w:sz w:val="22"/>
          <w:vertAlign w:val="subscript"/>
        </w:rPr>
        <w:t>o</w:t>
      </w:r>
      <w:proofErr w:type="gramStart"/>
      <w:r w:rsidRPr="00F9712C">
        <w:rPr>
          <w:sz w:val="22"/>
          <w:vertAlign w:val="subscript"/>
        </w:rPr>
        <w:t>,t</w:t>
      </w:r>
      <w:proofErr w:type="spellEnd"/>
      <w:proofErr w:type="gramEnd"/>
      <w:r w:rsidRPr="00F9712C">
        <w:rPr>
          <w:sz w:val="22"/>
        </w:rPr>
        <w:t xml:space="preserve"> = open-to-open return on day t</w:t>
      </w:r>
    </w:p>
    <w:p w:rsidR="009A6708" w:rsidRPr="00F9712C" w:rsidRDefault="004E3C3F">
      <w:pPr>
        <w:spacing w:line="360" w:lineRule="auto"/>
        <w:rPr>
          <w:sz w:val="22"/>
        </w:rPr>
      </w:pPr>
      <w:r w:rsidRPr="00F9712C">
        <w:rPr>
          <w:sz w:val="22"/>
        </w:rPr>
        <w:t>R</w:t>
      </w:r>
      <w:r w:rsidRPr="00F9712C">
        <w:rPr>
          <w:sz w:val="22"/>
          <w:vertAlign w:val="subscript"/>
        </w:rPr>
        <w:t xml:space="preserve">c,t </w:t>
      </w:r>
      <w:r w:rsidRPr="00F9712C">
        <w:rPr>
          <w:sz w:val="22"/>
        </w:rPr>
        <w:t>= close-to-close return on day t</w:t>
      </w:r>
    </w:p>
    <w:p w:rsidR="009B1576" w:rsidRPr="00F9712C" w:rsidRDefault="009B1576" w:rsidP="009B1576">
      <w:pPr>
        <w:spacing w:line="360" w:lineRule="auto"/>
        <w:rPr>
          <w:sz w:val="22"/>
        </w:rPr>
      </w:pPr>
      <w:proofErr w:type="spellStart"/>
      <w:r w:rsidRPr="00F9712C">
        <w:rPr>
          <w:sz w:val="22"/>
        </w:rPr>
        <w:t>R</w:t>
      </w:r>
      <w:r w:rsidRPr="00F9712C">
        <w:rPr>
          <w:sz w:val="22"/>
          <w:vertAlign w:val="subscript"/>
        </w:rPr>
        <w:t>d</w:t>
      </w:r>
      <w:proofErr w:type="gramStart"/>
      <w:r w:rsidRPr="00F9712C">
        <w:rPr>
          <w:sz w:val="22"/>
          <w:vertAlign w:val="subscript"/>
        </w:rPr>
        <w:t>,t</w:t>
      </w:r>
      <w:proofErr w:type="spellEnd"/>
      <w:proofErr w:type="gramEnd"/>
      <w:r w:rsidRPr="00F9712C">
        <w:rPr>
          <w:sz w:val="22"/>
        </w:rPr>
        <w:t xml:space="preserve"> = daytime return on day t</w:t>
      </w:r>
    </w:p>
    <w:p w:rsidR="009B1576" w:rsidRPr="00F9712C" w:rsidRDefault="009B1576" w:rsidP="009B1576">
      <w:pPr>
        <w:spacing w:line="360" w:lineRule="auto"/>
        <w:rPr>
          <w:sz w:val="22"/>
        </w:rPr>
      </w:pPr>
      <w:r w:rsidRPr="00F9712C">
        <w:rPr>
          <w:sz w:val="22"/>
        </w:rPr>
        <w:t>R</w:t>
      </w:r>
      <w:r w:rsidRPr="00F9712C">
        <w:rPr>
          <w:sz w:val="22"/>
          <w:vertAlign w:val="subscript"/>
        </w:rPr>
        <w:t>n,t</w:t>
      </w:r>
      <w:r w:rsidRPr="00F9712C">
        <w:rPr>
          <w:sz w:val="22"/>
        </w:rPr>
        <w:t xml:space="preserve"> = overnight return on day t</w:t>
      </w:r>
    </w:p>
    <w:p w:rsidR="009A6708" w:rsidRPr="00F9712C" w:rsidRDefault="009A6708">
      <w:pPr>
        <w:spacing w:line="360" w:lineRule="auto"/>
        <w:rPr>
          <w:sz w:val="22"/>
        </w:rPr>
      </w:pPr>
    </w:p>
    <w:p w:rsidR="009A6708" w:rsidRPr="00F9712C" w:rsidRDefault="00C93617">
      <w:pPr>
        <w:spacing w:line="480" w:lineRule="auto"/>
        <w:ind w:firstLine="480"/>
        <w:rPr>
          <w:sz w:val="22"/>
        </w:rPr>
      </w:pPr>
      <w:r w:rsidRPr="00F9712C">
        <w:rPr>
          <w:sz w:val="22"/>
        </w:rPr>
        <w:t>The open-to-open return, R</w:t>
      </w:r>
      <w:r w:rsidRPr="00F9712C">
        <w:rPr>
          <w:sz w:val="22"/>
          <w:vertAlign w:val="subscript"/>
        </w:rPr>
        <w:t>o,t</w:t>
      </w:r>
      <w:r w:rsidRPr="00F9712C">
        <w:rPr>
          <w:sz w:val="22"/>
        </w:rPr>
        <w:t>, is defined as ln(P</w:t>
      </w:r>
      <w:r w:rsidRPr="00F9712C">
        <w:rPr>
          <w:sz w:val="22"/>
          <w:vertAlign w:val="subscript"/>
        </w:rPr>
        <w:t>o, t</w:t>
      </w:r>
      <w:r w:rsidRPr="00F9712C">
        <w:rPr>
          <w:sz w:val="22"/>
        </w:rPr>
        <w:t xml:space="preserve"> / P</w:t>
      </w:r>
      <w:r w:rsidRPr="00F9712C">
        <w:rPr>
          <w:sz w:val="22"/>
          <w:vertAlign w:val="subscript"/>
        </w:rPr>
        <w:t>o, t-1</w:t>
      </w:r>
      <w:r w:rsidRPr="00F9712C">
        <w:rPr>
          <w:sz w:val="22"/>
        </w:rPr>
        <w:t>) and the variance of open-to-open return</w:t>
      </w:r>
      <w:r w:rsidR="000330AB" w:rsidRPr="00F9712C">
        <w:rPr>
          <w:rFonts w:hint="eastAsia"/>
          <w:sz w:val="22"/>
        </w:rPr>
        <w:t>,</w:t>
      </w:r>
      <w:r w:rsidRPr="00F9712C">
        <w:rPr>
          <w:sz w:val="22"/>
        </w:rPr>
        <w:t xml:space="preserve"> </w:t>
      </w:r>
      <w:proofErr w:type="spellStart"/>
      <w:r w:rsidR="000330AB" w:rsidRPr="00F9712C">
        <w:rPr>
          <w:sz w:val="22"/>
        </w:rPr>
        <w:t>Var</w:t>
      </w:r>
      <w:proofErr w:type="spellEnd"/>
      <w:r w:rsidR="000330AB" w:rsidRPr="00F9712C">
        <w:rPr>
          <w:sz w:val="22"/>
        </w:rPr>
        <w:t>(</w:t>
      </w:r>
      <w:proofErr w:type="spellStart"/>
      <w:r w:rsidR="000330AB" w:rsidRPr="00F9712C">
        <w:rPr>
          <w:sz w:val="22"/>
        </w:rPr>
        <w:t>R</w:t>
      </w:r>
      <w:r w:rsidR="000330AB" w:rsidRPr="00F9712C">
        <w:rPr>
          <w:rFonts w:hint="eastAsia"/>
          <w:sz w:val="22"/>
          <w:vertAlign w:val="subscript"/>
        </w:rPr>
        <w:t>o</w:t>
      </w:r>
      <w:r w:rsidR="000330AB" w:rsidRPr="00F9712C">
        <w:rPr>
          <w:sz w:val="22"/>
          <w:vertAlign w:val="subscript"/>
        </w:rPr>
        <w:t>,t</w:t>
      </w:r>
      <w:proofErr w:type="spellEnd"/>
      <w:r w:rsidR="000330AB" w:rsidRPr="00F9712C">
        <w:rPr>
          <w:sz w:val="22"/>
        </w:rPr>
        <w:t xml:space="preserve">), </w:t>
      </w:r>
      <w:r w:rsidRPr="00F9712C">
        <w:rPr>
          <w:sz w:val="22"/>
        </w:rPr>
        <w:t xml:space="preserve">measures the </w:t>
      </w:r>
      <w:proofErr w:type="spellStart"/>
      <w:r w:rsidR="008B4010" w:rsidRPr="00F9712C">
        <w:rPr>
          <w:rFonts w:hint="eastAsia"/>
          <w:sz w:val="22"/>
        </w:rPr>
        <w:t>interday</w:t>
      </w:r>
      <w:proofErr w:type="spellEnd"/>
      <w:r w:rsidR="008B4010" w:rsidRPr="00F9712C">
        <w:rPr>
          <w:rFonts w:hint="eastAsia"/>
          <w:sz w:val="22"/>
        </w:rPr>
        <w:t xml:space="preserve"> </w:t>
      </w:r>
      <w:r w:rsidRPr="00F9712C">
        <w:rPr>
          <w:sz w:val="22"/>
        </w:rPr>
        <w:t>stock return volatility during trading hours plus following non-trading hours after the stock exchange is closed and before the exchange opens next day.</w:t>
      </w:r>
      <w:r w:rsidRPr="00F9712C">
        <w:rPr>
          <w:rFonts w:hint="eastAsia"/>
          <w:sz w:val="22"/>
        </w:rPr>
        <w:t xml:space="preserve">  </w:t>
      </w:r>
      <w:r w:rsidRPr="00F9712C">
        <w:rPr>
          <w:sz w:val="22"/>
        </w:rPr>
        <w:t>The close-to-close return, R</w:t>
      </w:r>
      <w:r w:rsidRPr="00F9712C">
        <w:rPr>
          <w:sz w:val="22"/>
          <w:vertAlign w:val="subscript"/>
        </w:rPr>
        <w:t>c,t</w:t>
      </w:r>
      <w:r w:rsidRPr="00F9712C">
        <w:rPr>
          <w:sz w:val="22"/>
        </w:rPr>
        <w:t>, is defined as ln(P</w:t>
      </w:r>
      <w:r w:rsidRPr="00F9712C">
        <w:rPr>
          <w:sz w:val="22"/>
          <w:vertAlign w:val="subscript"/>
        </w:rPr>
        <w:t>c, t</w:t>
      </w:r>
      <w:r w:rsidRPr="00F9712C">
        <w:rPr>
          <w:sz w:val="22"/>
        </w:rPr>
        <w:t xml:space="preserve"> / P</w:t>
      </w:r>
      <w:r w:rsidRPr="00F9712C">
        <w:rPr>
          <w:sz w:val="22"/>
          <w:vertAlign w:val="subscript"/>
        </w:rPr>
        <w:t>c, t-1</w:t>
      </w:r>
      <w:r w:rsidRPr="00F9712C">
        <w:rPr>
          <w:sz w:val="22"/>
        </w:rPr>
        <w:t>) and the variance of close-to-close return</w:t>
      </w:r>
      <w:r w:rsidR="000330AB" w:rsidRPr="00F9712C">
        <w:rPr>
          <w:rFonts w:hint="eastAsia"/>
          <w:sz w:val="22"/>
        </w:rPr>
        <w:t>,</w:t>
      </w:r>
      <w:r w:rsidR="000330AB" w:rsidRPr="00F9712C">
        <w:rPr>
          <w:sz w:val="22"/>
        </w:rPr>
        <w:t xml:space="preserve"> </w:t>
      </w:r>
      <w:proofErr w:type="spellStart"/>
      <w:r w:rsidR="000330AB" w:rsidRPr="00F9712C">
        <w:rPr>
          <w:sz w:val="22"/>
        </w:rPr>
        <w:t>Var</w:t>
      </w:r>
      <w:proofErr w:type="spellEnd"/>
      <w:r w:rsidR="000330AB" w:rsidRPr="00F9712C">
        <w:rPr>
          <w:sz w:val="22"/>
        </w:rPr>
        <w:t>(</w:t>
      </w:r>
      <w:proofErr w:type="spellStart"/>
      <w:r w:rsidR="000330AB" w:rsidRPr="00F9712C">
        <w:rPr>
          <w:sz w:val="22"/>
        </w:rPr>
        <w:t>R</w:t>
      </w:r>
      <w:r w:rsidR="000330AB" w:rsidRPr="00F9712C">
        <w:rPr>
          <w:rFonts w:hint="eastAsia"/>
          <w:sz w:val="22"/>
          <w:vertAlign w:val="subscript"/>
        </w:rPr>
        <w:t>c</w:t>
      </w:r>
      <w:r w:rsidR="000330AB" w:rsidRPr="00F9712C">
        <w:rPr>
          <w:sz w:val="22"/>
          <w:vertAlign w:val="subscript"/>
        </w:rPr>
        <w:t>,t</w:t>
      </w:r>
      <w:proofErr w:type="spellEnd"/>
      <w:r w:rsidR="000330AB" w:rsidRPr="00F9712C">
        <w:rPr>
          <w:sz w:val="22"/>
        </w:rPr>
        <w:t>),</w:t>
      </w:r>
      <w:r w:rsidRPr="00F9712C">
        <w:rPr>
          <w:sz w:val="22"/>
        </w:rPr>
        <w:t xml:space="preserve"> measures the </w:t>
      </w:r>
      <w:proofErr w:type="spellStart"/>
      <w:r w:rsidR="008B4010" w:rsidRPr="00F9712C">
        <w:rPr>
          <w:rFonts w:hint="eastAsia"/>
          <w:sz w:val="22"/>
        </w:rPr>
        <w:t>interday</w:t>
      </w:r>
      <w:proofErr w:type="spellEnd"/>
      <w:r w:rsidR="008B4010" w:rsidRPr="00F9712C">
        <w:rPr>
          <w:sz w:val="22"/>
        </w:rPr>
        <w:t xml:space="preserve"> </w:t>
      </w:r>
      <w:r w:rsidRPr="00F9712C">
        <w:rPr>
          <w:sz w:val="22"/>
        </w:rPr>
        <w:t xml:space="preserve">return volatility during non-trading hours plus following trading hours after the stock exchange is opened and before the exchange closes next day.  </w:t>
      </w:r>
      <w:r w:rsidR="004E3C3F" w:rsidRPr="00F9712C">
        <w:rPr>
          <w:sz w:val="22"/>
        </w:rPr>
        <w:t>The daytime return, R</w:t>
      </w:r>
      <w:r w:rsidR="004E3C3F" w:rsidRPr="00F9712C">
        <w:rPr>
          <w:sz w:val="22"/>
          <w:vertAlign w:val="subscript"/>
        </w:rPr>
        <w:t>d,t</w:t>
      </w:r>
      <w:r w:rsidR="004E3C3F" w:rsidRPr="00F9712C">
        <w:rPr>
          <w:sz w:val="22"/>
        </w:rPr>
        <w:t>, is defined as ln(P</w:t>
      </w:r>
      <w:r w:rsidR="004E3C3F" w:rsidRPr="00F9712C">
        <w:rPr>
          <w:sz w:val="22"/>
          <w:vertAlign w:val="subscript"/>
        </w:rPr>
        <w:t>c, t</w:t>
      </w:r>
      <w:r w:rsidR="004E3C3F" w:rsidRPr="00F9712C">
        <w:rPr>
          <w:sz w:val="22"/>
        </w:rPr>
        <w:t xml:space="preserve"> / P</w:t>
      </w:r>
      <w:r w:rsidR="004E3C3F" w:rsidRPr="00F9712C">
        <w:rPr>
          <w:sz w:val="22"/>
          <w:vertAlign w:val="subscript"/>
        </w:rPr>
        <w:t>o, t</w:t>
      </w:r>
      <w:r w:rsidR="004E3C3F" w:rsidRPr="00F9712C">
        <w:rPr>
          <w:sz w:val="22"/>
        </w:rPr>
        <w:t xml:space="preserve">) and the </w:t>
      </w:r>
      <w:r w:rsidR="004E3C3F" w:rsidRPr="00F9712C">
        <w:rPr>
          <w:sz w:val="22"/>
        </w:rPr>
        <w:lastRenderedPageBreak/>
        <w:t>variance of daytime return, Var(R</w:t>
      </w:r>
      <w:r w:rsidR="004E3C3F" w:rsidRPr="00F9712C">
        <w:rPr>
          <w:sz w:val="22"/>
          <w:vertAlign w:val="subscript"/>
        </w:rPr>
        <w:t>d,t</w:t>
      </w:r>
      <w:r w:rsidR="004E3C3F" w:rsidRPr="00F9712C">
        <w:rPr>
          <w:sz w:val="22"/>
        </w:rPr>
        <w:t xml:space="preserve">), measures the </w:t>
      </w:r>
      <w:r w:rsidR="008B4010" w:rsidRPr="00F9712C">
        <w:rPr>
          <w:rFonts w:hint="eastAsia"/>
          <w:sz w:val="22"/>
        </w:rPr>
        <w:t xml:space="preserve">intraday </w:t>
      </w:r>
      <w:r w:rsidR="004E3C3F" w:rsidRPr="00F9712C">
        <w:rPr>
          <w:sz w:val="22"/>
        </w:rPr>
        <w:t>stock return volatility during trading period.  The overnight return, R</w:t>
      </w:r>
      <w:r w:rsidR="004E3C3F" w:rsidRPr="00F9712C">
        <w:rPr>
          <w:sz w:val="22"/>
          <w:vertAlign w:val="subscript"/>
        </w:rPr>
        <w:t>n</w:t>
      </w:r>
      <w:proofErr w:type="gramStart"/>
      <w:r w:rsidR="004E3C3F" w:rsidRPr="00F9712C">
        <w:rPr>
          <w:sz w:val="22"/>
          <w:vertAlign w:val="subscript"/>
        </w:rPr>
        <w:t>,t</w:t>
      </w:r>
      <w:proofErr w:type="gramEnd"/>
      <w:r w:rsidR="004E3C3F" w:rsidRPr="00F9712C">
        <w:rPr>
          <w:sz w:val="22"/>
        </w:rPr>
        <w:t>, is defined as ln(P</w:t>
      </w:r>
      <w:r w:rsidR="004E3C3F" w:rsidRPr="00F9712C">
        <w:rPr>
          <w:sz w:val="22"/>
          <w:vertAlign w:val="subscript"/>
        </w:rPr>
        <w:t>o, t</w:t>
      </w:r>
      <w:r w:rsidR="004E3C3F" w:rsidRPr="00F9712C">
        <w:rPr>
          <w:sz w:val="22"/>
        </w:rPr>
        <w:t xml:space="preserve"> / P</w:t>
      </w:r>
      <w:r w:rsidR="004E3C3F" w:rsidRPr="00F9712C">
        <w:rPr>
          <w:sz w:val="22"/>
          <w:vertAlign w:val="subscript"/>
        </w:rPr>
        <w:t>c, t-1</w:t>
      </w:r>
      <w:r w:rsidR="004E3C3F" w:rsidRPr="00F9712C">
        <w:rPr>
          <w:sz w:val="22"/>
        </w:rPr>
        <w:t>) and the variance of overnight return</w:t>
      </w:r>
      <w:r w:rsidR="00CB3E40" w:rsidRPr="00F9712C">
        <w:rPr>
          <w:sz w:val="22"/>
        </w:rPr>
        <w:t xml:space="preserve">, </w:t>
      </w:r>
      <w:proofErr w:type="spellStart"/>
      <w:r w:rsidR="00CB3E40" w:rsidRPr="00F9712C">
        <w:rPr>
          <w:sz w:val="22"/>
        </w:rPr>
        <w:t>Var</w:t>
      </w:r>
      <w:proofErr w:type="spellEnd"/>
      <w:r w:rsidR="00CB3E40" w:rsidRPr="00F9712C">
        <w:rPr>
          <w:sz w:val="22"/>
        </w:rPr>
        <w:t>(</w:t>
      </w:r>
      <w:proofErr w:type="spellStart"/>
      <w:r w:rsidR="00CB3E40" w:rsidRPr="00F9712C">
        <w:rPr>
          <w:sz w:val="22"/>
        </w:rPr>
        <w:t>R</w:t>
      </w:r>
      <w:r w:rsidR="00CB3E40" w:rsidRPr="00F9712C">
        <w:rPr>
          <w:rFonts w:hint="eastAsia"/>
          <w:sz w:val="22"/>
          <w:vertAlign w:val="subscript"/>
        </w:rPr>
        <w:t>n</w:t>
      </w:r>
      <w:r w:rsidR="00CB3E40" w:rsidRPr="00F9712C">
        <w:rPr>
          <w:sz w:val="22"/>
          <w:vertAlign w:val="subscript"/>
        </w:rPr>
        <w:t>,t</w:t>
      </w:r>
      <w:proofErr w:type="spellEnd"/>
      <w:r w:rsidR="00CB3E40" w:rsidRPr="00F9712C">
        <w:rPr>
          <w:sz w:val="22"/>
        </w:rPr>
        <w:t xml:space="preserve">), </w:t>
      </w:r>
      <w:r w:rsidR="004E3C3F" w:rsidRPr="00F9712C">
        <w:rPr>
          <w:sz w:val="22"/>
        </w:rPr>
        <w:t xml:space="preserve">measures the stock return volatility during non-trading period. </w:t>
      </w:r>
    </w:p>
    <w:p w:rsidR="00E72D38" w:rsidRPr="00F9712C" w:rsidRDefault="00E72D38">
      <w:pPr>
        <w:spacing w:line="480" w:lineRule="auto"/>
        <w:ind w:firstLine="480"/>
        <w:rPr>
          <w:sz w:val="22"/>
        </w:rPr>
      </w:pPr>
      <w:r w:rsidRPr="00F9712C">
        <w:rPr>
          <w:rFonts w:hint="eastAsia"/>
          <w:sz w:val="22"/>
        </w:rPr>
        <w:t xml:space="preserve">Since </w:t>
      </w:r>
      <w:r w:rsidRPr="00F9712C">
        <w:rPr>
          <w:sz w:val="22"/>
        </w:rPr>
        <w:t xml:space="preserve">A- and B-shares are issued by the same companies and </w:t>
      </w:r>
      <w:r w:rsidR="00EF2310">
        <w:rPr>
          <w:rFonts w:hint="eastAsia"/>
          <w:sz w:val="22"/>
        </w:rPr>
        <w:t xml:space="preserve">they </w:t>
      </w:r>
      <w:r w:rsidRPr="00F9712C">
        <w:rPr>
          <w:sz w:val="22"/>
        </w:rPr>
        <w:t>are traded on the same exchange</w:t>
      </w:r>
      <w:r w:rsidRPr="00F9712C">
        <w:rPr>
          <w:rFonts w:hint="eastAsia"/>
          <w:sz w:val="22"/>
        </w:rPr>
        <w:t>,</w:t>
      </w:r>
      <w:r w:rsidRPr="00F9712C">
        <w:rPr>
          <w:sz w:val="22"/>
        </w:rPr>
        <w:t xml:space="preserve"> </w:t>
      </w:r>
      <w:r w:rsidRPr="00F9712C">
        <w:rPr>
          <w:rFonts w:hint="eastAsia"/>
          <w:sz w:val="22"/>
        </w:rPr>
        <w:t>a</w:t>
      </w:r>
      <w:r w:rsidRPr="00F9712C">
        <w:rPr>
          <w:sz w:val="22"/>
        </w:rPr>
        <w:t xml:space="preserve">ny news or information related to the company should be reflected in both A- and B-share markets.  If both A- and B-share investors </w:t>
      </w:r>
      <w:r w:rsidRPr="00F9712C">
        <w:rPr>
          <w:rFonts w:hint="eastAsia"/>
          <w:sz w:val="22"/>
        </w:rPr>
        <w:t xml:space="preserve">trade on </w:t>
      </w:r>
      <w:r w:rsidRPr="00F9712C">
        <w:rPr>
          <w:sz w:val="22"/>
        </w:rPr>
        <w:t xml:space="preserve">information, we expect that there is no significant difference </w:t>
      </w:r>
      <w:r w:rsidR="00593183" w:rsidRPr="00F9712C">
        <w:rPr>
          <w:rFonts w:hint="eastAsia"/>
          <w:sz w:val="22"/>
        </w:rPr>
        <w:t xml:space="preserve">in the </w:t>
      </w:r>
      <w:r w:rsidR="008B4010" w:rsidRPr="00F9712C">
        <w:rPr>
          <w:rFonts w:hint="eastAsia"/>
          <w:sz w:val="22"/>
        </w:rPr>
        <w:t>interday (open</w:t>
      </w:r>
      <w:r w:rsidR="000113E2" w:rsidRPr="00F9712C">
        <w:rPr>
          <w:rFonts w:hint="eastAsia"/>
          <w:sz w:val="22"/>
        </w:rPr>
        <w:t>-</w:t>
      </w:r>
      <w:r w:rsidR="008B4010" w:rsidRPr="00F9712C">
        <w:rPr>
          <w:rFonts w:hint="eastAsia"/>
          <w:sz w:val="22"/>
        </w:rPr>
        <w:t>to</w:t>
      </w:r>
      <w:r w:rsidR="000113E2" w:rsidRPr="00F9712C">
        <w:rPr>
          <w:rFonts w:hint="eastAsia"/>
          <w:sz w:val="22"/>
        </w:rPr>
        <w:t>-</w:t>
      </w:r>
      <w:r w:rsidR="008B4010" w:rsidRPr="00F9712C">
        <w:rPr>
          <w:rFonts w:hint="eastAsia"/>
          <w:sz w:val="22"/>
        </w:rPr>
        <w:t>open and close</w:t>
      </w:r>
      <w:r w:rsidR="000113E2" w:rsidRPr="00F9712C">
        <w:rPr>
          <w:rFonts w:hint="eastAsia"/>
          <w:sz w:val="22"/>
        </w:rPr>
        <w:t>-</w:t>
      </w:r>
      <w:r w:rsidR="008B4010" w:rsidRPr="00F9712C">
        <w:rPr>
          <w:rFonts w:hint="eastAsia"/>
          <w:sz w:val="22"/>
        </w:rPr>
        <w:t>to</w:t>
      </w:r>
      <w:r w:rsidR="000113E2" w:rsidRPr="00F9712C">
        <w:rPr>
          <w:rFonts w:hint="eastAsia"/>
          <w:sz w:val="22"/>
        </w:rPr>
        <w:t>-</w:t>
      </w:r>
      <w:r w:rsidR="008B4010" w:rsidRPr="00F9712C">
        <w:rPr>
          <w:rFonts w:hint="eastAsia"/>
          <w:sz w:val="22"/>
        </w:rPr>
        <w:t>close) and intraday</w:t>
      </w:r>
      <w:r w:rsidR="000113E2" w:rsidRPr="00F9712C">
        <w:rPr>
          <w:rFonts w:hint="eastAsia"/>
          <w:sz w:val="22"/>
        </w:rPr>
        <w:t xml:space="preserve"> (daytime and overnight)</w:t>
      </w:r>
      <w:r w:rsidR="008B4010" w:rsidRPr="00F9712C">
        <w:rPr>
          <w:rFonts w:hint="eastAsia"/>
          <w:sz w:val="22"/>
        </w:rPr>
        <w:t xml:space="preserve"> </w:t>
      </w:r>
      <w:r w:rsidRPr="00F9712C">
        <w:rPr>
          <w:sz w:val="22"/>
        </w:rPr>
        <w:t>return volatilities</w:t>
      </w:r>
      <w:r w:rsidR="00593183" w:rsidRPr="00F9712C">
        <w:rPr>
          <w:sz w:val="22"/>
        </w:rPr>
        <w:t xml:space="preserve"> between A-share</w:t>
      </w:r>
      <w:r w:rsidR="00593183" w:rsidRPr="00F9712C">
        <w:rPr>
          <w:rFonts w:hint="eastAsia"/>
          <w:sz w:val="22"/>
        </w:rPr>
        <w:t>s</w:t>
      </w:r>
      <w:r w:rsidR="00593183" w:rsidRPr="00F9712C">
        <w:rPr>
          <w:sz w:val="22"/>
        </w:rPr>
        <w:t xml:space="preserve"> and B-share</w:t>
      </w:r>
      <w:r w:rsidR="00593183" w:rsidRPr="00F9712C">
        <w:rPr>
          <w:rFonts w:hint="eastAsia"/>
          <w:sz w:val="22"/>
        </w:rPr>
        <w:t>s</w:t>
      </w:r>
      <w:r w:rsidRPr="00F9712C">
        <w:rPr>
          <w:sz w:val="22"/>
        </w:rPr>
        <w:t xml:space="preserve">. Hence, the </w:t>
      </w:r>
      <w:r w:rsidR="00905C38" w:rsidRPr="00F9712C">
        <w:rPr>
          <w:rFonts w:hint="eastAsia"/>
          <w:sz w:val="22"/>
        </w:rPr>
        <w:t xml:space="preserve">return </w:t>
      </w:r>
      <w:r w:rsidRPr="00F9712C">
        <w:rPr>
          <w:sz w:val="22"/>
        </w:rPr>
        <w:t>variance ratio between A</w:t>
      </w:r>
      <w:r w:rsidRPr="00F9712C">
        <w:rPr>
          <w:rFonts w:hint="eastAsia"/>
          <w:sz w:val="22"/>
        </w:rPr>
        <w:t>-</w:t>
      </w:r>
      <w:r w:rsidRPr="00F9712C">
        <w:rPr>
          <w:sz w:val="22"/>
        </w:rPr>
        <w:t>share</w:t>
      </w:r>
      <w:r w:rsidR="00593183" w:rsidRPr="00F9712C">
        <w:rPr>
          <w:rFonts w:hint="eastAsia"/>
          <w:sz w:val="22"/>
        </w:rPr>
        <w:t>s</w:t>
      </w:r>
      <w:r w:rsidRPr="00F9712C">
        <w:rPr>
          <w:sz w:val="22"/>
        </w:rPr>
        <w:t xml:space="preserve"> and B</w:t>
      </w:r>
      <w:r w:rsidRPr="00F9712C">
        <w:rPr>
          <w:rFonts w:hint="eastAsia"/>
          <w:sz w:val="22"/>
        </w:rPr>
        <w:t>-</w:t>
      </w:r>
      <w:r w:rsidRPr="00F9712C">
        <w:rPr>
          <w:sz w:val="22"/>
        </w:rPr>
        <w:t>share</w:t>
      </w:r>
      <w:r w:rsidR="00593183" w:rsidRPr="00F9712C">
        <w:rPr>
          <w:rFonts w:hint="eastAsia"/>
          <w:sz w:val="22"/>
        </w:rPr>
        <w:t>s</w:t>
      </w:r>
      <w:r w:rsidR="00905C38" w:rsidRPr="00F9712C">
        <w:rPr>
          <w:rFonts w:hint="eastAsia"/>
          <w:sz w:val="22"/>
        </w:rPr>
        <w:t>,</w:t>
      </w:r>
      <w:r w:rsidRPr="00F9712C">
        <w:rPr>
          <w:sz w:val="22"/>
        </w:rPr>
        <w:t xml:space="preserve"> </w:t>
      </w:r>
      <w:proofErr w:type="spellStart"/>
      <w:proofErr w:type="gramStart"/>
      <w:r w:rsidR="00905C38" w:rsidRPr="00F9712C">
        <w:rPr>
          <w:rFonts w:hint="eastAsia"/>
          <w:sz w:val="22"/>
        </w:rPr>
        <w:t>Var</w:t>
      </w:r>
      <w:proofErr w:type="spellEnd"/>
      <w:r w:rsidR="00905C38" w:rsidRPr="00F9712C">
        <w:rPr>
          <w:rFonts w:hint="eastAsia"/>
          <w:sz w:val="22"/>
        </w:rPr>
        <w:t>(</w:t>
      </w:r>
      <w:proofErr w:type="gramEnd"/>
      <w:r w:rsidR="00905C38" w:rsidRPr="00F9712C">
        <w:rPr>
          <w:rFonts w:hint="eastAsia"/>
          <w:sz w:val="22"/>
        </w:rPr>
        <w:t>R</w:t>
      </w:r>
      <w:r w:rsidR="00905C38" w:rsidRPr="00F9712C">
        <w:rPr>
          <w:rFonts w:hint="eastAsia"/>
          <w:sz w:val="20"/>
          <w:vertAlign w:val="subscript"/>
        </w:rPr>
        <w:t>A</w:t>
      </w:r>
      <w:r w:rsidR="00905C38" w:rsidRPr="00F9712C">
        <w:rPr>
          <w:rFonts w:hint="eastAsia"/>
          <w:sz w:val="22"/>
        </w:rPr>
        <w:t>)/</w:t>
      </w:r>
      <w:proofErr w:type="spellStart"/>
      <w:r w:rsidR="00905C38" w:rsidRPr="00F9712C">
        <w:rPr>
          <w:rFonts w:hint="eastAsia"/>
          <w:sz w:val="22"/>
        </w:rPr>
        <w:t>Var</w:t>
      </w:r>
      <w:proofErr w:type="spellEnd"/>
      <w:r w:rsidR="00905C38" w:rsidRPr="00F9712C">
        <w:rPr>
          <w:rFonts w:hint="eastAsia"/>
          <w:sz w:val="22"/>
        </w:rPr>
        <w:t>(R</w:t>
      </w:r>
      <w:r w:rsidR="00905C38" w:rsidRPr="00F9712C">
        <w:rPr>
          <w:rFonts w:hint="eastAsia"/>
          <w:sz w:val="22"/>
          <w:vertAlign w:val="subscript"/>
        </w:rPr>
        <w:t>B</w:t>
      </w:r>
      <w:r w:rsidR="00905C38" w:rsidRPr="00F9712C">
        <w:rPr>
          <w:rFonts w:hint="eastAsia"/>
          <w:sz w:val="22"/>
        </w:rPr>
        <w:t xml:space="preserve">), </w:t>
      </w:r>
      <w:r w:rsidRPr="00F9712C">
        <w:rPr>
          <w:sz w:val="22"/>
        </w:rPr>
        <w:t>is not different from one.</w:t>
      </w:r>
    </w:p>
    <w:p w:rsidR="00845F28" w:rsidRPr="00F9712C" w:rsidRDefault="00845F28">
      <w:pPr>
        <w:spacing w:line="480" w:lineRule="auto"/>
        <w:ind w:firstLine="480"/>
        <w:rPr>
          <w:sz w:val="22"/>
        </w:rPr>
      </w:pPr>
      <w:r w:rsidRPr="00F9712C">
        <w:rPr>
          <w:sz w:val="22"/>
        </w:rPr>
        <w:t>When noise traders are causing volatility, the cause must be the trading itself. For example, poorly informed individual investors over-react to each other’s trades and this will increase return variances</w:t>
      </w:r>
      <w:r w:rsidRPr="00F9712C">
        <w:rPr>
          <w:rFonts w:hint="eastAsia"/>
          <w:sz w:val="22"/>
        </w:rPr>
        <w:t xml:space="preserve"> (Shiller (1981), French and Roll (1986), Black (1986))</w:t>
      </w:r>
      <w:r w:rsidRPr="00F9712C">
        <w:rPr>
          <w:sz w:val="22"/>
        </w:rPr>
        <w:t>.</w:t>
      </w:r>
      <w:r w:rsidRPr="00F9712C">
        <w:rPr>
          <w:rFonts w:hint="eastAsia"/>
          <w:sz w:val="22"/>
        </w:rPr>
        <w:t xml:space="preserve"> I</w:t>
      </w:r>
      <w:r w:rsidRPr="00F9712C">
        <w:rPr>
          <w:sz w:val="22"/>
        </w:rPr>
        <w:t>f A-share investors trad</w:t>
      </w:r>
      <w:r w:rsidRPr="00F9712C">
        <w:rPr>
          <w:rFonts w:hint="eastAsia"/>
          <w:sz w:val="22"/>
        </w:rPr>
        <w:t>e</w:t>
      </w:r>
      <w:r w:rsidRPr="00F9712C">
        <w:rPr>
          <w:sz w:val="22"/>
        </w:rPr>
        <w:t xml:space="preserve"> </w:t>
      </w:r>
      <w:r w:rsidRPr="00F9712C">
        <w:rPr>
          <w:rFonts w:hint="eastAsia"/>
          <w:sz w:val="22"/>
        </w:rPr>
        <w:t xml:space="preserve">on </w:t>
      </w:r>
      <w:r w:rsidRPr="00F9712C">
        <w:rPr>
          <w:sz w:val="22"/>
        </w:rPr>
        <w:t>noise</w:t>
      </w:r>
      <w:r w:rsidRPr="00F9712C">
        <w:rPr>
          <w:rFonts w:hint="eastAsia"/>
          <w:sz w:val="22"/>
        </w:rPr>
        <w:t xml:space="preserve"> rather than information</w:t>
      </w:r>
      <w:r w:rsidRPr="00F9712C">
        <w:rPr>
          <w:sz w:val="22"/>
        </w:rPr>
        <w:t xml:space="preserve">, the </w:t>
      </w:r>
      <w:proofErr w:type="spellStart"/>
      <w:r w:rsidRPr="00F9712C">
        <w:rPr>
          <w:rFonts w:hint="eastAsia"/>
          <w:sz w:val="22"/>
        </w:rPr>
        <w:t>interday</w:t>
      </w:r>
      <w:proofErr w:type="spellEnd"/>
      <w:r w:rsidRPr="00F9712C">
        <w:rPr>
          <w:rFonts w:hint="eastAsia"/>
          <w:sz w:val="22"/>
        </w:rPr>
        <w:t xml:space="preserve"> </w:t>
      </w:r>
      <w:r w:rsidRPr="00F9712C">
        <w:rPr>
          <w:sz w:val="22"/>
        </w:rPr>
        <w:t>variance ratio between A</w:t>
      </w:r>
      <w:r w:rsidRPr="00F9712C">
        <w:rPr>
          <w:rFonts w:hint="eastAsia"/>
          <w:sz w:val="22"/>
        </w:rPr>
        <w:t>-</w:t>
      </w:r>
      <w:r w:rsidRPr="00F9712C">
        <w:rPr>
          <w:sz w:val="22"/>
        </w:rPr>
        <w:t>share</w:t>
      </w:r>
      <w:r w:rsidRPr="00F9712C">
        <w:rPr>
          <w:rFonts w:hint="eastAsia"/>
          <w:sz w:val="22"/>
        </w:rPr>
        <w:t>s</w:t>
      </w:r>
      <w:r w:rsidRPr="00F9712C">
        <w:rPr>
          <w:sz w:val="22"/>
        </w:rPr>
        <w:t xml:space="preserve"> and B</w:t>
      </w:r>
      <w:r w:rsidRPr="00F9712C">
        <w:rPr>
          <w:rFonts w:hint="eastAsia"/>
          <w:sz w:val="22"/>
        </w:rPr>
        <w:t>-</w:t>
      </w:r>
      <w:r w:rsidRPr="00F9712C">
        <w:rPr>
          <w:sz w:val="22"/>
        </w:rPr>
        <w:t>share</w:t>
      </w:r>
      <w:r w:rsidRPr="00F9712C">
        <w:rPr>
          <w:rFonts w:hint="eastAsia"/>
          <w:sz w:val="22"/>
        </w:rPr>
        <w:t>s</w:t>
      </w:r>
      <w:r w:rsidRPr="00F9712C">
        <w:rPr>
          <w:sz w:val="22"/>
        </w:rPr>
        <w:t xml:space="preserve"> </w:t>
      </w:r>
      <w:r w:rsidRPr="00F9712C">
        <w:rPr>
          <w:rFonts w:hint="eastAsia"/>
          <w:sz w:val="22"/>
        </w:rPr>
        <w:t>will be larger than o</w:t>
      </w:r>
      <w:r w:rsidRPr="00F9712C">
        <w:rPr>
          <w:sz w:val="22"/>
        </w:rPr>
        <w:t>ne.</w:t>
      </w:r>
      <w:r w:rsidRPr="00F9712C">
        <w:rPr>
          <w:rFonts w:hint="eastAsia"/>
          <w:sz w:val="22"/>
        </w:rPr>
        <w:t xml:space="preserve"> Further, </w:t>
      </w:r>
      <w:r w:rsidRPr="00F9712C">
        <w:rPr>
          <w:sz w:val="22"/>
        </w:rPr>
        <w:t xml:space="preserve">volatility related to noise trading should occur </w:t>
      </w:r>
      <w:r w:rsidRPr="00F9712C">
        <w:rPr>
          <w:rFonts w:hint="eastAsia"/>
          <w:sz w:val="22"/>
        </w:rPr>
        <w:t>when</w:t>
      </w:r>
      <w:r w:rsidRPr="00F9712C">
        <w:rPr>
          <w:sz w:val="22"/>
        </w:rPr>
        <w:t xml:space="preserve"> the market is open. Thus, the variance of daytime stock returns is larger </w:t>
      </w:r>
      <w:r w:rsidR="006A2636">
        <w:rPr>
          <w:rFonts w:hint="eastAsia"/>
          <w:sz w:val="22"/>
        </w:rPr>
        <w:t>in</w:t>
      </w:r>
      <w:r w:rsidRPr="00F9712C">
        <w:rPr>
          <w:sz w:val="22"/>
        </w:rPr>
        <w:t xml:space="preserve"> A</w:t>
      </w:r>
      <w:r w:rsidRPr="00F9712C">
        <w:rPr>
          <w:rFonts w:hint="eastAsia"/>
          <w:sz w:val="22"/>
        </w:rPr>
        <w:t>-</w:t>
      </w:r>
      <w:r w:rsidRPr="00F9712C">
        <w:rPr>
          <w:sz w:val="22"/>
        </w:rPr>
        <w:t>share</w:t>
      </w:r>
      <w:r w:rsidRPr="00F9712C">
        <w:rPr>
          <w:rFonts w:hint="eastAsia"/>
          <w:sz w:val="22"/>
        </w:rPr>
        <w:t>s</w:t>
      </w:r>
      <w:r w:rsidRPr="00F9712C">
        <w:rPr>
          <w:sz w:val="22"/>
        </w:rPr>
        <w:t xml:space="preserve"> than </w:t>
      </w:r>
      <w:r w:rsidR="006A2636">
        <w:rPr>
          <w:rFonts w:hint="eastAsia"/>
          <w:sz w:val="22"/>
        </w:rPr>
        <w:t>in</w:t>
      </w:r>
      <w:r w:rsidRPr="00F9712C">
        <w:rPr>
          <w:sz w:val="22"/>
        </w:rPr>
        <w:t xml:space="preserve"> B</w:t>
      </w:r>
      <w:r w:rsidRPr="00F9712C">
        <w:rPr>
          <w:rFonts w:hint="eastAsia"/>
          <w:sz w:val="22"/>
        </w:rPr>
        <w:t>-</w:t>
      </w:r>
      <w:r w:rsidRPr="00F9712C">
        <w:rPr>
          <w:sz w:val="22"/>
        </w:rPr>
        <w:t>share</w:t>
      </w:r>
      <w:r w:rsidRPr="00F9712C">
        <w:rPr>
          <w:rFonts w:hint="eastAsia"/>
          <w:sz w:val="22"/>
        </w:rPr>
        <w:t>s</w:t>
      </w:r>
      <w:r w:rsidRPr="00F9712C">
        <w:rPr>
          <w:sz w:val="22"/>
        </w:rPr>
        <w:t xml:space="preserve"> and the </w:t>
      </w:r>
      <w:r w:rsidRPr="00F9712C">
        <w:rPr>
          <w:rFonts w:hint="eastAsia"/>
          <w:sz w:val="22"/>
        </w:rPr>
        <w:t xml:space="preserve">daytime </w:t>
      </w:r>
      <w:r w:rsidRPr="00F9712C">
        <w:rPr>
          <w:sz w:val="22"/>
        </w:rPr>
        <w:t>variance ratio between A</w:t>
      </w:r>
      <w:r w:rsidRPr="00F9712C">
        <w:rPr>
          <w:rFonts w:hint="eastAsia"/>
          <w:sz w:val="22"/>
        </w:rPr>
        <w:t>-</w:t>
      </w:r>
      <w:r w:rsidRPr="00F9712C">
        <w:rPr>
          <w:sz w:val="22"/>
        </w:rPr>
        <w:t>share</w:t>
      </w:r>
      <w:r w:rsidRPr="00F9712C">
        <w:rPr>
          <w:rFonts w:hint="eastAsia"/>
          <w:sz w:val="22"/>
        </w:rPr>
        <w:t>s</w:t>
      </w:r>
      <w:r w:rsidRPr="00F9712C">
        <w:rPr>
          <w:sz w:val="22"/>
        </w:rPr>
        <w:t xml:space="preserve"> and B</w:t>
      </w:r>
      <w:r w:rsidRPr="00F9712C">
        <w:rPr>
          <w:rFonts w:hint="eastAsia"/>
          <w:sz w:val="22"/>
        </w:rPr>
        <w:t>-</w:t>
      </w:r>
      <w:r w:rsidRPr="00F9712C">
        <w:rPr>
          <w:sz w:val="22"/>
        </w:rPr>
        <w:t>share</w:t>
      </w:r>
      <w:r w:rsidRPr="00F9712C">
        <w:rPr>
          <w:rFonts w:hint="eastAsia"/>
          <w:sz w:val="22"/>
        </w:rPr>
        <w:t>s</w:t>
      </w:r>
      <w:r w:rsidR="006A2636">
        <w:rPr>
          <w:sz w:val="22"/>
        </w:rPr>
        <w:t xml:space="preserve"> is</w:t>
      </w:r>
      <w:r w:rsidRPr="00F9712C">
        <w:rPr>
          <w:sz w:val="22"/>
        </w:rPr>
        <w:t xml:space="preserve"> larger than one. </w:t>
      </w:r>
      <w:r w:rsidRPr="00F9712C">
        <w:rPr>
          <w:rFonts w:hint="eastAsia"/>
          <w:sz w:val="22"/>
        </w:rPr>
        <w:t>T</w:t>
      </w:r>
      <w:r w:rsidRPr="00F9712C">
        <w:rPr>
          <w:sz w:val="22"/>
        </w:rPr>
        <w:t>he stock market</w:t>
      </w:r>
      <w:r w:rsidRPr="00F9712C">
        <w:rPr>
          <w:rFonts w:hint="eastAsia"/>
          <w:sz w:val="22"/>
        </w:rPr>
        <w:t xml:space="preserve"> in China</w:t>
      </w:r>
      <w:r w:rsidRPr="00F9712C">
        <w:rPr>
          <w:sz w:val="22"/>
        </w:rPr>
        <w:t xml:space="preserve"> is closed during the overnight</w:t>
      </w:r>
      <w:r w:rsidRPr="00F9712C">
        <w:rPr>
          <w:rFonts w:hint="eastAsia"/>
          <w:sz w:val="22"/>
        </w:rPr>
        <w:t xml:space="preserve"> period while it is</w:t>
      </w:r>
      <w:r w:rsidRPr="00F9712C">
        <w:rPr>
          <w:sz w:val="22"/>
        </w:rPr>
        <w:t xml:space="preserve"> the daytime of </w:t>
      </w:r>
      <w:r w:rsidRPr="00F9712C">
        <w:rPr>
          <w:rFonts w:hint="eastAsia"/>
          <w:sz w:val="22"/>
        </w:rPr>
        <w:t>foreign</w:t>
      </w:r>
      <w:r w:rsidRPr="00F9712C">
        <w:rPr>
          <w:sz w:val="22"/>
        </w:rPr>
        <w:t xml:space="preserve"> </w:t>
      </w:r>
      <w:r w:rsidRPr="00F9712C">
        <w:rPr>
          <w:rFonts w:hint="eastAsia"/>
          <w:sz w:val="22"/>
        </w:rPr>
        <w:t xml:space="preserve">markets </w:t>
      </w:r>
      <w:r w:rsidRPr="00F9712C">
        <w:rPr>
          <w:sz w:val="22"/>
        </w:rPr>
        <w:t>such as the Europe and the U.S</w:t>
      </w:r>
      <w:r w:rsidRPr="00F9712C">
        <w:rPr>
          <w:rFonts w:hint="eastAsia"/>
          <w:sz w:val="22"/>
        </w:rPr>
        <w:t xml:space="preserve"> and </w:t>
      </w:r>
      <w:r w:rsidRPr="00F9712C">
        <w:rPr>
          <w:sz w:val="22"/>
        </w:rPr>
        <w:t xml:space="preserve">news </w:t>
      </w:r>
      <w:r w:rsidRPr="00F9712C">
        <w:rPr>
          <w:rFonts w:hint="eastAsia"/>
          <w:sz w:val="22"/>
        </w:rPr>
        <w:t>from</w:t>
      </w:r>
      <w:r w:rsidRPr="00F9712C">
        <w:rPr>
          <w:sz w:val="22"/>
        </w:rPr>
        <w:t xml:space="preserve"> </w:t>
      </w:r>
      <w:r w:rsidRPr="00F9712C">
        <w:rPr>
          <w:rFonts w:hint="eastAsia"/>
          <w:sz w:val="22"/>
        </w:rPr>
        <w:t xml:space="preserve">foreign markets is continuously </w:t>
      </w:r>
      <w:r w:rsidRPr="00F9712C">
        <w:rPr>
          <w:sz w:val="22"/>
        </w:rPr>
        <w:t>produced</w:t>
      </w:r>
      <w:r w:rsidRPr="00F9712C">
        <w:rPr>
          <w:rFonts w:hint="eastAsia"/>
          <w:sz w:val="22"/>
        </w:rPr>
        <w:t>.</w:t>
      </w:r>
      <w:r w:rsidRPr="00F9712C">
        <w:rPr>
          <w:sz w:val="22"/>
        </w:rPr>
        <w:t xml:space="preserve"> </w:t>
      </w:r>
      <w:r w:rsidRPr="00F9712C">
        <w:rPr>
          <w:rFonts w:hint="eastAsia"/>
          <w:sz w:val="22"/>
        </w:rPr>
        <w:t>T</w:t>
      </w:r>
      <w:r w:rsidRPr="00F9712C">
        <w:rPr>
          <w:sz w:val="22"/>
        </w:rPr>
        <w:t>his increases the overnight volatility of B</w:t>
      </w:r>
      <w:r w:rsidRPr="00F9712C">
        <w:rPr>
          <w:rFonts w:hint="eastAsia"/>
          <w:sz w:val="22"/>
        </w:rPr>
        <w:t>-</w:t>
      </w:r>
      <w:r w:rsidRPr="00F9712C">
        <w:rPr>
          <w:sz w:val="22"/>
        </w:rPr>
        <w:t>shares</w:t>
      </w:r>
      <w:r w:rsidRPr="00F9712C">
        <w:rPr>
          <w:rFonts w:hint="eastAsia"/>
          <w:sz w:val="22"/>
        </w:rPr>
        <w:t xml:space="preserve"> </w:t>
      </w:r>
      <w:r w:rsidRPr="00F9712C">
        <w:rPr>
          <w:sz w:val="22"/>
        </w:rPr>
        <w:t xml:space="preserve">and the </w:t>
      </w:r>
      <w:r w:rsidRPr="00F9712C">
        <w:rPr>
          <w:rFonts w:hint="eastAsia"/>
          <w:sz w:val="22"/>
        </w:rPr>
        <w:t xml:space="preserve">overnight </w:t>
      </w:r>
      <w:r w:rsidRPr="00F9712C">
        <w:rPr>
          <w:sz w:val="22"/>
        </w:rPr>
        <w:t>variance ratio between A</w:t>
      </w:r>
      <w:r w:rsidRPr="00F9712C">
        <w:rPr>
          <w:rFonts w:hint="eastAsia"/>
          <w:sz w:val="22"/>
        </w:rPr>
        <w:t>-</w:t>
      </w:r>
      <w:r w:rsidRPr="00F9712C">
        <w:rPr>
          <w:sz w:val="22"/>
        </w:rPr>
        <w:t>share</w:t>
      </w:r>
      <w:r w:rsidRPr="00F9712C">
        <w:rPr>
          <w:rFonts w:hint="eastAsia"/>
          <w:sz w:val="22"/>
        </w:rPr>
        <w:t>s</w:t>
      </w:r>
      <w:r w:rsidRPr="00F9712C">
        <w:rPr>
          <w:sz w:val="22"/>
        </w:rPr>
        <w:t xml:space="preserve"> and B</w:t>
      </w:r>
      <w:r w:rsidRPr="00F9712C">
        <w:rPr>
          <w:rFonts w:hint="eastAsia"/>
          <w:sz w:val="22"/>
        </w:rPr>
        <w:t>-</w:t>
      </w:r>
      <w:r w:rsidRPr="00F9712C">
        <w:rPr>
          <w:sz w:val="22"/>
        </w:rPr>
        <w:t>share</w:t>
      </w:r>
      <w:r w:rsidRPr="00F9712C">
        <w:rPr>
          <w:rFonts w:hint="eastAsia"/>
          <w:sz w:val="22"/>
        </w:rPr>
        <w:t>s</w:t>
      </w:r>
      <w:r w:rsidRPr="00F9712C">
        <w:rPr>
          <w:sz w:val="22"/>
        </w:rPr>
        <w:t xml:space="preserve"> is </w:t>
      </w:r>
      <w:r w:rsidRPr="00F9712C">
        <w:rPr>
          <w:rFonts w:hint="eastAsia"/>
          <w:sz w:val="22"/>
        </w:rPr>
        <w:t>smaller</w:t>
      </w:r>
      <w:r w:rsidRPr="00F9712C">
        <w:rPr>
          <w:sz w:val="22"/>
        </w:rPr>
        <w:t xml:space="preserve"> than one</w:t>
      </w:r>
      <w:r w:rsidRPr="00F9712C">
        <w:rPr>
          <w:rFonts w:hint="eastAsia"/>
          <w:sz w:val="22"/>
        </w:rPr>
        <w:t>.</w:t>
      </w:r>
    </w:p>
    <w:p w:rsidR="009A6708" w:rsidRPr="00F9712C" w:rsidRDefault="004E3C3F">
      <w:pPr>
        <w:spacing w:line="480" w:lineRule="auto"/>
        <w:ind w:firstLine="480"/>
        <w:rPr>
          <w:sz w:val="22"/>
        </w:rPr>
      </w:pPr>
      <w:r w:rsidRPr="00F9712C">
        <w:rPr>
          <w:sz w:val="22"/>
        </w:rPr>
        <w:t xml:space="preserve">Ronen (1997) argues that treating cross-sectional observations as being independent overstates the power of the variance ratio test. Since stocks originating from the same country may be more or less correlated with each other, we use an alternative approach to test the equality of return variances.  We first compute the variance ratio in each month for each company. Since the mean variance ratio is biased upward, we primarily rely on the median variance ratio for inference.  In a given month, we compute the median variance ratio across </w:t>
      </w:r>
      <w:r w:rsidRPr="00F9712C">
        <w:rPr>
          <w:sz w:val="22"/>
        </w:rPr>
        <w:lastRenderedPageBreak/>
        <w:t>all stocks in each A- and B-share market.  Finally, we tabulate the distribution of the median variance ratios across sample period for Shanghai and Shenzhen markets.</w:t>
      </w:r>
      <w:r w:rsidRPr="00F9712C">
        <w:rPr>
          <w:rStyle w:val="FootnoteReference"/>
          <w:sz w:val="22"/>
        </w:rPr>
        <w:footnoteReference w:id="1"/>
      </w:r>
      <w:r w:rsidRPr="00F9712C">
        <w:rPr>
          <w:sz w:val="22"/>
        </w:rPr>
        <w:t xml:space="preserve">  By using only one observation (i.e. median) in each month, we avoid the problem of cross-sectional dependence.  Also, obtaining one variance ratio per month rather than computing one variance ratio using the entire sample period minimizes the impact of potential outliers and of changing variances through time.</w:t>
      </w:r>
      <w:r w:rsidRPr="00F9712C">
        <w:rPr>
          <w:rStyle w:val="FootnoteReference"/>
          <w:sz w:val="22"/>
        </w:rPr>
        <w:footnoteReference w:id="2"/>
      </w:r>
    </w:p>
    <w:p w:rsidR="00EF4447" w:rsidRPr="00F9712C" w:rsidRDefault="00EF4447" w:rsidP="00EF4447">
      <w:pPr>
        <w:pStyle w:val="BodyTextIndent2"/>
        <w:rPr>
          <w:color w:val="auto"/>
        </w:rPr>
      </w:pPr>
    </w:p>
    <w:p w:rsidR="009A6708" w:rsidRPr="00F9712C" w:rsidRDefault="009A6708">
      <w:pPr>
        <w:spacing w:line="360" w:lineRule="auto"/>
        <w:rPr>
          <w:sz w:val="22"/>
        </w:rPr>
      </w:pPr>
    </w:p>
    <w:p w:rsidR="009A6708" w:rsidRPr="001A123D" w:rsidRDefault="004E3C3F" w:rsidP="001A123D">
      <w:pPr>
        <w:pStyle w:val="BodyText"/>
        <w:numPr>
          <w:ilvl w:val="0"/>
          <w:numId w:val="4"/>
        </w:numPr>
        <w:spacing w:line="360" w:lineRule="auto"/>
        <w:rPr>
          <w:sz w:val="22"/>
        </w:rPr>
      </w:pPr>
      <w:r w:rsidRPr="001A123D">
        <w:rPr>
          <w:b/>
          <w:bCs/>
          <w:sz w:val="22"/>
        </w:rPr>
        <w:t>Data and sample summary statistics</w:t>
      </w:r>
    </w:p>
    <w:p w:rsidR="001A123D" w:rsidRPr="001A123D" w:rsidRDefault="001A123D" w:rsidP="001A123D">
      <w:pPr>
        <w:pStyle w:val="BodyText"/>
        <w:spacing w:line="360" w:lineRule="auto"/>
        <w:ind w:left="480"/>
        <w:rPr>
          <w:sz w:val="22"/>
        </w:rPr>
      </w:pPr>
    </w:p>
    <w:p w:rsidR="009A6708" w:rsidRPr="00F9712C" w:rsidRDefault="004E3C3F" w:rsidP="0075618F">
      <w:pPr>
        <w:pStyle w:val="BodyText"/>
        <w:spacing w:line="480" w:lineRule="auto"/>
        <w:ind w:firstLine="480"/>
        <w:rPr>
          <w:sz w:val="22"/>
        </w:rPr>
      </w:pPr>
      <w:r w:rsidRPr="00F9712C">
        <w:rPr>
          <w:sz w:val="22"/>
        </w:rPr>
        <w:t xml:space="preserve">The Shanghai Stock Exchange and the Shenzhen Stock Exchange were officially opened in December 1990 and July 1991 respectively.  Each company’s issue is restricted to one of the exchange, hence, no company is cross-listed on both exchanges.  In Shanghai, price limit rule was lifted from 21 May 1992 and resumed from 16 December 1996 with 10% of the previous day’s closing price.  In Shenzhen, price limit rule was lifted from 17 August 1991 and resumed from 16 December 1996 with 10% of the previous day’s closing price. </w:t>
      </w:r>
      <w:r w:rsidR="00495223" w:rsidRPr="00F9712C">
        <w:rPr>
          <w:sz w:val="22"/>
        </w:rPr>
        <w:t>Recent studies document that price limits delay price discovery, postpone desired trading activity, and create volatility spillovers to post-limit-hit days (Kim and Rhee (1997), Lee and Choi (2001) and Yang and Kim (2001)).  The imposition of price limit rule may have affected our results.</w:t>
      </w:r>
      <w:r w:rsidRPr="00F9712C">
        <w:rPr>
          <w:sz w:val="22"/>
        </w:rPr>
        <w:t xml:space="preserve"> To avoid the effect of price limit rule on variance estimation, the sample period is from July 1992 to November 1996 for both Shanghai and Shenzhen Stock Exchanges.  At the end of 1996, </w:t>
      </w:r>
      <w:r w:rsidRPr="00F9712C">
        <w:rPr>
          <w:rFonts w:eastAsia="細明體" w:hint="eastAsia"/>
          <w:sz w:val="22"/>
        </w:rPr>
        <w:t xml:space="preserve">there are </w:t>
      </w:r>
      <w:r w:rsidRPr="00F9712C">
        <w:rPr>
          <w:sz w:val="22"/>
        </w:rPr>
        <w:t xml:space="preserve">293 and 237 companies listed on the Shanghai and the Shenzhen Stock Exchanges respectively.  </w:t>
      </w:r>
      <w:r w:rsidRPr="00F9712C">
        <w:rPr>
          <w:rFonts w:eastAsia="細明體" w:hint="eastAsia"/>
          <w:sz w:val="22"/>
        </w:rPr>
        <w:t xml:space="preserve">There are 36 companies that have both A and B shares listed in Shanghai, and 33 companies that have both shares listed in </w:t>
      </w:r>
      <w:r w:rsidRPr="00F9712C">
        <w:rPr>
          <w:sz w:val="22"/>
        </w:rPr>
        <w:t>Shenzhen</w:t>
      </w:r>
      <w:r w:rsidRPr="00F9712C">
        <w:rPr>
          <w:rFonts w:eastAsia="細明體" w:hint="eastAsia"/>
          <w:sz w:val="22"/>
        </w:rPr>
        <w:t>.</w:t>
      </w:r>
      <w:r w:rsidRPr="00F9712C">
        <w:rPr>
          <w:rFonts w:eastAsia="細明體"/>
          <w:sz w:val="22"/>
        </w:rPr>
        <w:t xml:space="preserve">  </w:t>
      </w:r>
      <w:r w:rsidRPr="00F9712C">
        <w:rPr>
          <w:rFonts w:eastAsia="細明體" w:hint="eastAsia"/>
          <w:sz w:val="22"/>
        </w:rPr>
        <w:t>This forms ou</w:t>
      </w:r>
      <w:r w:rsidRPr="00F9712C">
        <w:rPr>
          <w:rFonts w:eastAsia="細明體"/>
          <w:sz w:val="22"/>
        </w:rPr>
        <w:t>r</w:t>
      </w:r>
      <w:r w:rsidRPr="00F9712C">
        <w:rPr>
          <w:rFonts w:eastAsia="細明體" w:hint="eastAsia"/>
          <w:sz w:val="22"/>
        </w:rPr>
        <w:t xml:space="preserve"> initial sample of </w:t>
      </w:r>
      <w:r w:rsidR="00845F28" w:rsidRPr="00F9712C">
        <w:rPr>
          <w:rFonts w:eastAsia="細明體" w:hint="eastAsia"/>
          <w:sz w:val="22"/>
        </w:rPr>
        <w:t>data</w:t>
      </w:r>
      <w:r w:rsidRPr="00F9712C">
        <w:rPr>
          <w:rFonts w:eastAsia="細明體" w:hint="eastAsia"/>
          <w:sz w:val="22"/>
        </w:rPr>
        <w:t xml:space="preserve">.  </w:t>
      </w:r>
      <w:r w:rsidRPr="00F9712C">
        <w:rPr>
          <w:sz w:val="22"/>
        </w:rPr>
        <w:t xml:space="preserve">For each company, we collect daily opening prices, closing prices, </w:t>
      </w:r>
      <w:r w:rsidRPr="00F9712C">
        <w:rPr>
          <w:sz w:val="22"/>
        </w:rPr>
        <w:lastRenderedPageBreak/>
        <w:t>trading volumes and number of circulating shares for both A and B shares from the Taiwan Economic Journal (TEJ) database.  To mitigate the effect of thin trading, only trading days with trading volume on day t-1 and day t for both A</w:t>
      </w:r>
      <w:r w:rsidR="00B43710" w:rsidRPr="00F9712C">
        <w:rPr>
          <w:rFonts w:hint="eastAsia"/>
          <w:sz w:val="22"/>
        </w:rPr>
        <w:t>-</w:t>
      </w:r>
      <w:r w:rsidRPr="00F9712C">
        <w:rPr>
          <w:sz w:val="22"/>
        </w:rPr>
        <w:t xml:space="preserve"> and B</w:t>
      </w:r>
      <w:r w:rsidR="00B43710" w:rsidRPr="00F9712C">
        <w:rPr>
          <w:rFonts w:hint="eastAsia"/>
          <w:sz w:val="22"/>
        </w:rPr>
        <w:t>-</w:t>
      </w:r>
      <w:r w:rsidRPr="00F9712C">
        <w:rPr>
          <w:sz w:val="22"/>
        </w:rPr>
        <w:t xml:space="preserve">shares will be used to calculate stock returns and variances.  We also exclude days following holidays as these days </w:t>
      </w:r>
      <w:r w:rsidR="00795278" w:rsidRPr="00F9712C">
        <w:rPr>
          <w:sz w:val="22"/>
        </w:rPr>
        <w:t xml:space="preserve">will </w:t>
      </w:r>
      <w:r w:rsidRPr="00F9712C">
        <w:rPr>
          <w:sz w:val="22"/>
        </w:rPr>
        <w:t xml:space="preserve">complicate comparisons of variance across and within day.  The elimination of such days results in a minimal loss of data.  For each stock, if there are less than ten pairs of consecutive ‘valid’ trading days in a given </w:t>
      </w:r>
      <w:r w:rsidR="00E72D38" w:rsidRPr="00F9712C">
        <w:rPr>
          <w:sz w:val="22"/>
        </w:rPr>
        <w:t>calendar</w:t>
      </w:r>
      <w:r w:rsidRPr="00F9712C">
        <w:rPr>
          <w:sz w:val="22"/>
        </w:rPr>
        <w:t xml:space="preserve"> month, the entire month is eliminated.  Finally, </w:t>
      </w:r>
      <w:r w:rsidRPr="00F9712C">
        <w:rPr>
          <w:rFonts w:eastAsia="細明體" w:hint="eastAsia"/>
          <w:sz w:val="22"/>
        </w:rPr>
        <w:t xml:space="preserve">we are left with </w:t>
      </w:r>
      <w:r w:rsidRPr="00F9712C">
        <w:rPr>
          <w:rFonts w:eastAsia="細明體"/>
          <w:sz w:val="22"/>
        </w:rPr>
        <w:t>35</w:t>
      </w:r>
      <w:r w:rsidRPr="00F9712C">
        <w:rPr>
          <w:rFonts w:eastAsia="細明體" w:hint="eastAsia"/>
          <w:sz w:val="22"/>
        </w:rPr>
        <w:t xml:space="preserve"> companies in Shanghai and </w:t>
      </w:r>
      <w:r w:rsidRPr="00F9712C">
        <w:rPr>
          <w:rFonts w:eastAsia="細明體"/>
          <w:sz w:val="22"/>
        </w:rPr>
        <w:t xml:space="preserve">32 </w:t>
      </w:r>
      <w:r w:rsidRPr="00F9712C">
        <w:rPr>
          <w:rFonts w:eastAsia="細明體" w:hint="eastAsia"/>
          <w:sz w:val="22"/>
        </w:rPr>
        <w:t xml:space="preserve">companies in </w:t>
      </w:r>
      <w:r w:rsidRPr="00F9712C">
        <w:rPr>
          <w:sz w:val="22"/>
        </w:rPr>
        <w:t>Shenzhen.</w:t>
      </w:r>
    </w:p>
    <w:p w:rsidR="009A6708" w:rsidRPr="00F9712C" w:rsidRDefault="004E3C3F">
      <w:pPr>
        <w:spacing w:line="480" w:lineRule="auto"/>
        <w:ind w:firstLine="482"/>
        <w:rPr>
          <w:sz w:val="22"/>
        </w:rPr>
      </w:pPr>
      <w:r w:rsidRPr="00F9712C">
        <w:rPr>
          <w:sz w:val="22"/>
        </w:rPr>
        <w:t xml:space="preserve">Table 1 shows the number of individual investors and institutional investors in A- and B-share markets of both Shanghai and Shenzhen Stock Exchanges from 1992 to 1996.  Compared with the B-share markets, the number of investors in the A-share markets is much enormous.  The total number of investors in the A-share market is more than 10 million </w:t>
      </w:r>
      <w:r w:rsidR="0075618F">
        <w:rPr>
          <w:rFonts w:hint="eastAsia"/>
          <w:sz w:val="22"/>
        </w:rPr>
        <w:t>in</w:t>
      </w:r>
      <w:r w:rsidRPr="00F9712C">
        <w:rPr>
          <w:sz w:val="22"/>
        </w:rPr>
        <w:t xml:space="preserve"> both Shanghai and Shenzhen Stock Exchanges while it is less than 10 thousand in the B-share market.  At the end of 1996, 99.7% and 99.6% of investors are domestic individual investors in the A-share markets of Shanghai and Shenzhen Stock Exchanges respectively.  In other words</w:t>
      </w:r>
      <w:r w:rsidR="00845F28" w:rsidRPr="00F9712C">
        <w:rPr>
          <w:rFonts w:hint="eastAsia"/>
          <w:sz w:val="22"/>
        </w:rPr>
        <w:t>,</w:t>
      </w:r>
      <w:r w:rsidRPr="00F9712C">
        <w:rPr>
          <w:sz w:val="22"/>
        </w:rPr>
        <w:t xml:space="preserve"> the proportion of domestic institutional investors is less than 1% in A-share market.  In the B-share market, however, about 10% and 5% of investors are foreign institutional investors in the B-share markets of Shanghai and Shenzhen Stock Exchanges respectively.  Individual investors dominate A-share market relative to B-share market.</w:t>
      </w:r>
    </w:p>
    <w:p w:rsidR="009A6708" w:rsidRPr="00F9712C" w:rsidRDefault="004E3C3F">
      <w:pPr>
        <w:pStyle w:val="BodyTextIndent"/>
        <w:spacing w:line="480" w:lineRule="auto"/>
        <w:rPr>
          <w:strike/>
          <w:sz w:val="22"/>
        </w:rPr>
      </w:pPr>
      <w:r w:rsidRPr="00F9712C">
        <w:rPr>
          <w:sz w:val="22"/>
        </w:rPr>
        <w:t xml:space="preserve">Table 2 presents the summary statistics of stock listed on Shanghai and Shenzhen Stock Exchanges.  Panel A shows that A-shares preformed better than B-shares of the same Shanghai listed companies during 1992 to 1996.  A-shares earn higher returns than B-shares during both interday and intraday intervals.  For Shanghai listed companies, A-shares earn positive returns except during the daytime period. The daytime return is –0.022% but is insignificant at the conventional level.  The overnight return of A-shares is significantly positive (0.080%).  B-shares earn significant negative returns except during the overnight period. Panel B shows that the performance of Shenzhen listed companies is much better than </w:t>
      </w:r>
      <w:r w:rsidRPr="00F9712C">
        <w:rPr>
          <w:sz w:val="22"/>
        </w:rPr>
        <w:lastRenderedPageBreak/>
        <w:t xml:space="preserve">that of Shanghai listed companies.  All </w:t>
      </w:r>
      <w:proofErr w:type="spellStart"/>
      <w:r w:rsidR="0075618F">
        <w:rPr>
          <w:rFonts w:hint="eastAsia"/>
          <w:sz w:val="22"/>
        </w:rPr>
        <w:t>interday</w:t>
      </w:r>
      <w:proofErr w:type="spellEnd"/>
      <w:r w:rsidR="0075618F">
        <w:rPr>
          <w:rFonts w:hint="eastAsia"/>
          <w:sz w:val="22"/>
        </w:rPr>
        <w:t xml:space="preserve"> and intraday</w:t>
      </w:r>
      <w:r w:rsidRPr="00F9712C">
        <w:rPr>
          <w:sz w:val="22"/>
        </w:rPr>
        <w:t xml:space="preserve"> returns are significantly positive and much higher for both A- and B-shares of Shenzhen listed companies.   A-shares earn higher returns than B-shares except during the overnight period.  </w:t>
      </w:r>
    </w:p>
    <w:p w:rsidR="009A6708" w:rsidRPr="00F9712C" w:rsidRDefault="004E3C3F">
      <w:pPr>
        <w:pStyle w:val="BodyTextIndent"/>
        <w:spacing w:line="480" w:lineRule="auto"/>
        <w:rPr>
          <w:sz w:val="22"/>
        </w:rPr>
      </w:pPr>
      <w:r w:rsidRPr="00F9712C">
        <w:rPr>
          <w:sz w:val="22"/>
        </w:rPr>
        <w:t>In China, only a portion of shares of a company can be listed and traded in the market.   Share turnover is measured as the trading volume divided by the number of free-floating shares.  In Shanghai, average daily turnovers are 0.028 and 0.003 for A-share and B-share respectively while they are 0.035 and 0.003 for A-share and B-share in Shenzhen respectively.  The overall result is that the liquidity of A</w:t>
      </w:r>
      <w:r w:rsidR="00B43710" w:rsidRPr="00F9712C">
        <w:rPr>
          <w:rFonts w:hint="eastAsia"/>
          <w:sz w:val="22"/>
        </w:rPr>
        <w:t>-</w:t>
      </w:r>
      <w:r w:rsidRPr="00F9712C">
        <w:rPr>
          <w:sz w:val="22"/>
        </w:rPr>
        <w:t>shares is much higher than that of B</w:t>
      </w:r>
      <w:r w:rsidR="00B43710" w:rsidRPr="00F9712C">
        <w:rPr>
          <w:rFonts w:hint="eastAsia"/>
          <w:sz w:val="22"/>
        </w:rPr>
        <w:t>-</w:t>
      </w:r>
      <w:r w:rsidRPr="00F9712C">
        <w:rPr>
          <w:sz w:val="22"/>
        </w:rPr>
        <w:t>shares.</w:t>
      </w:r>
    </w:p>
    <w:p w:rsidR="009A6708" w:rsidRPr="00F9712C" w:rsidRDefault="009A6708">
      <w:pPr>
        <w:pStyle w:val="BodyText3"/>
        <w:spacing w:line="480" w:lineRule="auto"/>
        <w:rPr>
          <w:sz w:val="22"/>
        </w:rPr>
      </w:pPr>
    </w:p>
    <w:p w:rsidR="009A6708" w:rsidRPr="00F9712C" w:rsidRDefault="004E3C3F">
      <w:pPr>
        <w:pStyle w:val="BodyText3"/>
        <w:spacing w:line="480" w:lineRule="auto"/>
        <w:rPr>
          <w:sz w:val="22"/>
        </w:rPr>
      </w:pPr>
      <w:r w:rsidRPr="00F9712C">
        <w:rPr>
          <w:sz w:val="22"/>
        </w:rPr>
        <w:t>4.</w:t>
      </w:r>
      <w:r w:rsidRPr="00F9712C">
        <w:rPr>
          <w:sz w:val="22"/>
        </w:rPr>
        <w:tab/>
        <w:t>Empirical results</w:t>
      </w:r>
    </w:p>
    <w:p w:rsidR="009A6708" w:rsidRPr="00F9712C" w:rsidRDefault="004E3C3F">
      <w:pPr>
        <w:pStyle w:val="BodyText3"/>
        <w:spacing w:line="480" w:lineRule="auto"/>
        <w:rPr>
          <w:sz w:val="22"/>
        </w:rPr>
      </w:pPr>
      <w:r w:rsidRPr="00F9712C">
        <w:rPr>
          <w:sz w:val="22"/>
        </w:rPr>
        <w:t>4.1</w:t>
      </w:r>
      <w:r w:rsidRPr="00F9712C">
        <w:rPr>
          <w:sz w:val="22"/>
        </w:rPr>
        <w:tab/>
        <w:t>Distribution of cross-sectional variance ratios</w:t>
      </w:r>
    </w:p>
    <w:p w:rsidR="009A6708" w:rsidRPr="00F9712C" w:rsidRDefault="004E3C3F">
      <w:pPr>
        <w:spacing w:line="480" w:lineRule="auto"/>
        <w:ind w:firstLine="480"/>
        <w:rPr>
          <w:sz w:val="22"/>
        </w:rPr>
      </w:pPr>
      <w:r w:rsidRPr="00F9712C">
        <w:rPr>
          <w:sz w:val="22"/>
        </w:rPr>
        <w:t>To investigate the effect of informational vs noise trading on stock return volatility, we use the variance ratio test.  We first compute the median variance ratio in each month for each company.  In a given month, we compute the median variance ratio across all stocks in each A- and B-share market.</w:t>
      </w:r>
    </w:p>
    <w:p w:rsidR="009A6708" w:rsidRPr="00F9712C" w:rsidRDefault="004E3C3F">
      <w:pPr>
        <w:spacing w:line="480" w:lineRule="auto"/>
        <w:ind w:firstLine="480"/>
        <w:rPr>
          <w:sz w:val="22"/>
        </w:rPr>
      </w:pPr>
      <w:r w:rsidRPr="00F9712C">
        <w:rPr>
          <w:sz w:val="22"/>
        </w:rPr>
        <w:t xml:space="preserve">Table 3 reports the average, the standard error of the mean, the median and the first and third quartiles using monthly median variance ratios for 53 months during the period from July 1992 to November 1996.  Panel A shows the results of all sixty-seven companies. Panel B and panel C show the results of thirty-five and thirty-two companies listed on the Shanghai and Shenzhen stock exchanges respectively.  To test the null hypothesis that the variance ratio equals to one, we conduct the sign test using monthly median variance ratios during the sample as data.  This test is robust to the existence of outliers.  </w:t>
      </w:r>
      <w:proofErr w:type="gramStart"/>
      <w:r w:rsidR="00AE5158" w:rsidRPr="00F9712C">
        <w:rPr>
          <w:sz w:val="22"/>
        </w:rPr>
        <w:t xml:space="preserve">Panel A reports that </w:t>
      </w:r>
      <w:r w:rsidR="00B746A1" w:rsidRPr="00F9712C">
        <w:rPr>
          <w:rFonts w:hint="eastAsia"/>
          <w:sz w:val="22"/>
        </w:rPr>
        <w:t xml:space="preserve">both </w:t>
      </w:r>
      <w:r w:rsidR="0081588A" w:rsidRPr="00F9712C">
        <w:rPr>
          <w:rFonts w:hint="eastAsia"/>
          <w:sz w:val="22"/>
        </w:rPr>
        <w:t xml:space="preserve">the </w:t>
      </w:r>
      <w:r w:rsidR="00D009CC" w:rsidRPr="00F9712C">
        <w:rPr>
          <w:sz w:val="22"/>
        </w:rPr>
        <w:t>open-to-open</w:t>
      </w:r>
      <w:r w:rsidR="00AE5158" w:rsidRPr="00F9712C">
        <w:rPr>
          <w:sz w:val="22"/>
        </w:rPr>
        <w:t xml:space="preserve"> and </w:t>
      </w:r>
      <w:r w:rsidR="00D009CC" w:rsidRPr="00F9712C">
        <w:rPr>
          <w:sz w:val="22"/>
        </w:rPr>
        <w:t>close-to-close</w:t>
      </w:r>
      <w:r w:rsidR="0081588A" w:rsidRPr="00F9712C">
        <w:rPr>
          <w:sz w:val="22"/>
        </w:rPr>
        <w:t xml:space="preserve"> median </w:t>
      </w:r>
      <w:r w:rsidR="00AE5158" w:rsidRPr="00F9712C">
        <w:rPr>
          <w:sz w:val="22"/>
        </w:rPr>
        <w:t xml:space="preserve">variance </w:t>
      </w:r>
      <w:r w:rsidR="0081588A" w:rsidRPr="00F9712C">
        <w:rPr>
          <w:sz w:val="22"/>
        </w:rPr>
        <w:t>ratios</w:t>
      </w:r>
      <w:r w:rsidR="0081588A" w:rsidRPr="00F9712C">
        <w:rPr>
          <w:rFonts w:hint="eastAsia"/>
          <w:sz w:val="22"/>
        </w:rPr>
        <w:t xml:space="preserve"> </w:t>
      </w:r>
      <w:r w:rsidR="00AE5158" w:rsidRPr="00F9712C">
        <w:rPr>
          <w:sz w:val="22"/>
        </w:rPr>
        <w:t>are larger than one (1.697 and 1.337</w:t>
      </w:r>
      <w:r w:rsidR="00B746A1" w:rsidRPr="00F9712C">
        <w:rPr>
          <w:rFonts w:hint="eastAsia"/>
          <w:sz w:val="22"/>
        </w:rPr>
        <w:t xml:space="preserve"> respectively</w:t>
      </w:r>
      <w:r w:rsidR="00AE5158" w:rsidRPr="00F9712C">
        <w:rPr>
          <w:sz w:val="22"/>
        </w:rPr>
        <w:t>).</w:t>
      </w:r>
      <w:proofErr w:type="gramEnd"/>
      <w:r w:rsidR="00AE5158" w:rsidRPr="00F9712C">
        <w:rPr>
          <w:sz w:val="22"/>
        </w:rPr>
        <w:t xml:space="preserve">  The result for </w:t>
      </w:r>
      <w:r w:rsidR="00D009CC" w:rsidRPr="00F9712C">
        <w:rPr>
          <w:sz w:val="22"/>
        </w:rPr>
        <w:t>open-to-open</w:t>
      </w:r>
      <w:r w:rsidR="00AE5158" w:rsidRPr="00F9712C">
        <w:rPr>
          <w:sz w:val="22"/>
        </w:rPr>
        <w:t xml:space="preserve"> return variance ratio is significant at the 1 percent level while the result for </w:t>
      </w:r>
      <w:r w:rsidR="00D009CC" w:rsidRPr="00F9712C">
        <w:rPr>
          <w:sz w:val="22"/>
        </w:rPr>
        <w:t>close-to-close</w:t>
      </w:r>
      <w:r w:rsidR="00AE5158" w:rsidRPr="00F9712C">
        <w:rPr>
          <w:sz w:val="22"/>
        </w:rPr>
        <w:t xml:space="preserve"> return variance ratio is marginally insignificant at the </w:t>
      </w:r>
      <w:r w:rsidR="00AE5158" w:rsidRPr="00F9712C">
        <w:rPr>
          <w:rFonts w:hint="eastAsia"/>
          <w:sz w:val="22"/>
        </w:rPr>
        <w:t xml:space="preserve">10 </w:t>
      </w:r>
      <w:r w:rsidR="00AE5158" w:rsidRPr="00F9712C">
        <w:rPr>
          <w:sz w:val="22"/>
        </w:rPr>
        <w:t xml:space="preserve">percent level.  </w:t>
      </w:r>
      <w:r w:rsidR="00E077AD">
        <w:rPr>
          <w:rFonts w:hint="eastAsia"/>
          <w:sz w:val="22"/>
        </w:rPr>
        <w:t>P</w:t>
      </w:r>
      <w:r w:rsidRPr="00F9712C">
        <w:rPr>
          <w:sz w:val="22"/>
        </w:rPr>
        <w:t xml:space="preserve">anel A </w:t>
      </w:r>
      <w:r w:rsidR="00AE5158" w:rsidRPr="00F9712C">
        <w:rPr>
          <w:rFonts w:hint="eastAsia"/>
          <w:sz w:val="22"/>
        </w:rPr>
        <w:t xml:space="preserve">also </w:t>
      </w:r>
      <w:r w:rsidRPr="00F9712C">
        <w:rPr>
          <w:sz w:val="22"/>
        </w:rPr>
        <w:t>show</w:t>
      </w:r>
      <w:r w:rsidR="00E077AD">
        <w:rPr>
          <w:rFonts w:hint="eastAsia"/>
          <w:sz w:val="22"/>
        </w:rPr>
        <w:t>s</w:t>
      </w:r>
      <w:r w:rsidRPr="00F9712C">
        <w:rPr>
          <w:sz w:val="22"/>
        </w:rPr>
        <w:t xml:space="preserve"> that the median variance ratio for daytime period is 1.474.  In the fifty-three months during the sample period, the median variance ratios for </w:t>
      </w:r>
      <w:r w:rsidRPr="00F9712C">
        <w:rPr>
          <w:sz w:val="22"/>
        </w:rPr>
        <w:lastRenderedPageBreak/>
        <w:t xml:space="preserve">daytime period are larger than one in thirty-six months (68 percent of trading months).  The sign test shows that the result is significant at the 1 percent level.  On the other hand, the median variance ratio for overnight period is smaller than one (0.907) and the result is significant at the </w:t>
      </w:r>
      <w:r w:rsidR="004C4B5B" w:rsidRPr="00F9712C">
        <w:rPr>
          <w:rFonts w:hint="eastAsia"/>
          <w:sz w:val="22"/>
        </w:rPr>
        <w:t>5</w:t>
      </w:r>
      <w:r w:rsidRPr="00F9712C">
        <w:rPr>
          <w:sz w:val="22"/>
        </w:rPr>
        <w:t xml:space="preserve"> percent level.  In the fifty-three months during the sample period, the median variance ratios for overnight period are larger (smaller) than one in nineteen months (thirty-four months).  As the ratio is defined as the volatility of domestic A</w:t>
      </w:r>
      <w:r w:rsidR="00AE5158" w:rsidRPr="00F9712C">
        <w:rPr>
          <w:rFonts w:hint="eastAsia"/>
          <w:sz w:val="22"/>
        </w:rPr>
        <w:t>-</w:t>
      </w:r>
      <w:r w:rsidRPr="00F9712C">
        <w:rPr>
          <w:sz w:val="22"/>
        </w:rPr>
        <w:t>share over that of foreign B</w:t>
      </w:r>
      <w:r w:rsidR="00AE5158" w:rsidRPr="00F9712C">
        <w:rPr>
          <w:rFonts w:hint="eastAsia"/>
          <w:sz w:val="22"/>
        </w:rPr>
        <w:t>-</w:t>
      </w:r>
      <w:r w:rsidRPr="00F9712C">
        <w:rPr>
          <w:sz w:val="22"/>
        </w:rPr>
        <w:t>share, the results imply that the volatility of foreign share is much larger than that of A-share during overnight period.  The overall results show that the volatility of domestic A</w:t>
      </w:r>
      <w:r w:rsidR="00AE5158" w:rsidRPr="00F9712C">
        <w:rPr>
          <w:rFonts w:hint="eastAsia"/>
          <w:sz w:val="22"/>
        </w:rPr>
        <w:t>-</w:t>
      </w:r>
      <w:r w:rsidRPr="00F9712C">
        <w:rPr>
          <w:sz w:val="22"/>
        </w:rPr>
        <w:t>shares is larger (smaller) than that of foreign B</w:t>
      </w:r>
      <w:r w:rsidR="00AE5158" w:rsidRPr="00F9712C">
        <w:rPr>
          <w:rFonts w:hint="eastAsia"/>
          <w:sz w:val="22"/>
        </w:rPr>
        <w:t>-</w:t>
      </w:r>
      <w:r w:rsidRPr="00F9712C">
        <w:rPr>
          <w:sz w:val="22"/>
        </w:rPr>
        <w:t xml:space="preserve">shares for 24-hour period and during the trading period (non-trading period).  </w:t>
      </w:r>
      <w:r w:rsidR="00617E55" w:rsidRPr="00F9712C">
        <w:rPr>
          <w:rFonts w:hint="eastAsia"/>
          <w:sz w:val="22"/>
        </w:rPr>
        <w:t>T</w:t>
      </w:r>
      <w:r w:rsidRPr="00F9712C">
        <w:rPr>
          <w:sz w:val="22"/>
        </w:rPr>
        <w:t xml:space="preserve">he variance ratio results suggest the noise trading </w:t>
      </w:r>
      <w:r w:rsidR="00617E55" w:rsidRPr="00F9712C">
        <w:rPr>
          <w:rFonts w:hint="eastAsia"/>
          <w:sz w:val="22"/>
        </w:rPr>
        <w:t>by A-share investors</w:t>
      </w:r>
      <w:r w:rsidRPr="00F9712C">
        <w:rPr>
          <w:sz w:val="22"/>
        </w:rPr>
        <w:t>.</w:t>
      </w:r>
    </w:p>
    <w:p w:rsidR="009A6708" w:rsidRPr="00F9712C" w:rsidRDefault="004E3C3F">
      <w:pPr>
        <w:spacing w:line="480" w:lineRule="auto"/>
        <w:ind w:firstLine="480"/>
        <w:rPr>
          <w:sz w:val="22"/>
        </w:rPr>
      </w:pPr>
      <w:r w:rsidRPr="00F9712C">
        <w:rPr>
          <w:sz w:val="22"/>
        </w:rPr>
        <w:t xml:space="preserve">Panel B of Table 3 shows that the results for companies listed on the Shanghai Stock Exchange.  </w:t>
      </w:r>
      <w:r w:rsidR="00AE5158" w:rsidRPr="00F9712C">
        <w:rPr>
          <w:sz w:val="22"/>
        </w:rPr>
        <w:t xml:space="preserve">The median </w:t>
      </w:r>
      <w:r w:rsidR="00D009CC" w:rsidRPr="00F9712C">
        <w:rPr>
          <w:sz w:val="22"/>
        </w:rPr>
        <w:t>open-to-open</w:t>
      </w:r>
      <w:r w:rsidR="00AE5158" w:rsidRPr="00F9712C">
        <w:rPr>
          <w:sz w:val="22"/>
        </w:rPr>
        <w:t xml:space="preserve"> and </w:t>
      </w:r>
      <w:r w:rsidR="00D009CC" w:rsidRPr="00F9712C">
        <w:rPr>
          <w:sz w:val="22"/>
        </w:rPr>
        <w:t>close-to-close</w:t>
      </w:r>
      <w:r w:rsidR="00AE5158" w:rsidRPr="00F9712C">
        <w:rPr>
          <w:sz w:val="22"/>
        </w:rPr>
        <w:t xml:space="preserve"> variance ratios are 2.135 and 1.418 respectively.  The volatility of domestic A</w:t>
      </w:r>
      <w:r w:rsidR="00AE5158" w:rsidRPr="00F9712C">
        <w:rPr>
          <w:rFonts w:hint="eastAsia"/>
          <w:sz w:val="22"/>
        </w:rPr>
        <w:t>-</w:t>
      </w:r>
      <w:r w:rsidR="00AE5158" w:rsidRPr="00F9712C">
        <w:rPr>
          <w:sz w:val="22"/>
        </w:rPr>
        <w:t>shares is larger than that of foreign B</w:t>
      </w:r>
      <w:r w:rsidR="00AE5158" w:rsidRPr="00F9712C">
        <w:rPr>
          <w:rFonts w:hint="eastAsia"/>
          <w:sz w:val="22"/>
        </w:rPr>
        <w:t>-</w:t>
      </w:r>
      <w:r w:rsidR="00AE5158" w:rsidRPr="00F9712C">
        <w:rPr>
          <w:sz w:val="22"/>
        </w:rPr>
        <w:t xml:space="preserve">shares for 24-hour period in eight-one and sixty-four percent of trading months when returns are measured by opening prices and closing prices respectively.  The results are highly significant at the </w:t>
      </w:r>
      <w:r w:rsidR="00E045CC" w:rsidRPr="00F9712C">
        <w:rPr>
          <w:rFonts w:hint="eastAsia"/>
          <w:sz w:val="22"/>
        </w:rPr>
        <w:t>5</w:t>
      </w:r>
      <w:r w:rsidR="00AE5158" w:rsidRPr="00F9712C">
        <w:rPr>
          <w:sz w:val="22"/>
        </w:rPr>
        <w:t xml:space="preserve"> percent level. </w:t>
      </w:r>
      <w:r w:rsidR="00AE5158" w:rsidRPr="00F9712C">
        <w:rPr>
          <w:rFonts w:hint="eastAsia"/>
          <w:sz w:val="22"/>
        </w:rPr>
        <w:t xml:space="preserve"> </w:t>
      </w:r>
      <w:r w:rsidRPr="00F9712C">
        <w:rPr>
          <w:sz w:val="22"/>
        </w:rPr>
        <w:t xml:space="preserve">The median variance ratio for daytime stock returns is 1.783. In the fifty-three months during the sample period, the median variance ratios for daytime period are larger than one in thirty-eight months (72 percent of trading months).  The sign test shows that the result is significant at the 1 percent level.  On the other hand, the median variance ratio for overnight period is smaller than one (0.997).  The median overnight variance ratios are larger than one in twenty-six months or in almost half of trading months.  The sign test shows that the variance ratio is insignificantly different from one.  </w:t>
      </w:r>
    </w:p>
    <w:p w:rsidR="009A6708" w:rsidRPr="00F9712C" w:rsidRDefault="004E3C3F">
      <w:pPr>
        <w:spacing w:line="480" w:lineRule="auto"/>
        <w:ind w:firstLine="480"/>
        <w:rPr>
          <w:sz w:val="22"/>
        </w:rPr>
      </w:pPr>
      <w:r w:rsidRPr="00F9712C">
        <w:rPr>
          <w:sz w:val="22"/>
        </w:rPr>
        <w:t xml:space="preserve">Panel C indicates the results for companies listed on the Shenzhen Stock Exchange.  </w:t>
      </w:r>
      <w:r w:rsidR="00AE5158" w:rsidRPr="00F9712C">
        <w:rPr>
          <w:sz w:val="22"/>
        </w:rPr>
        <w:t xml:space="preserve">The median ratios for both </w:t>
      </w:r>
      <w:r w:rsidR="00D009CC" w:rsidRPr="00F9712C">
        <w:rPr>
          <w:sz w:val="22"/>
        </w:rPr>
        <w:t>open-to-open</w:t>
      </w:r>
      <w:r w:rsidR="00AE5158" w:rsidRPr="00F9712C">
        <w:rPr>
          <w:sz w:val="22"/>
        </w:rPr>
        <w:t xml:space="preserve"> and </w:t>
      </w:r>
      <w:r w:rsidR="00D009CC" w:rsidRPr="00F9712C">
        <w:rPr>
          <w:sz w:val="22"/>
        </w:rPr>
        <w:t>close-to-close</w:t>
      </w:r>
      <w:r w:rsidR="00AE5158" w:rsidRPr="00F9712C">
        <w:rPr>
          <w:sz w:val="22"/>
        </w:rPr>
        <w:t xml:space="preserve"> return variances are larger than one (1.506 and 1.393).  The sign tests indicate that both </w:t>
      </w:r>
      <w:r w:rsidR="00D009CC" w:rsidRPr="00F9712C">
        <w:rPr>
          <w:sz w:val="22"/>
        </w:rPr>
        <w:t>open-to-open</w:t>
      </w:r>
      <w:r w:rsidR="00AE5158" w:rsidRPr="00F9712C">
        <w:rPr>
          <w:sz w:val="22"/>
        </w:rPr>
        <w:t xml:space="preserve"> and </w:t>
      </w:r>
      <w:r w:rsidR="00D009CC" w:rsidRPr="00F9712C">
        <w:rPr>
          <w:sz w:val="22"/>
        </w:rPr>
        <w:t>close-to-close</w:t>
      </w:r>
      <w:r w:rsidR="00AE5158" w:rsidRPr="00F9712C">
        <w:rPr>
          <w:sz w:val="22"/>
        </w:rPr>
        <w:t xml:space="preserve"> return variance ratio are significant at the 1 percent level.</w:t>
      </w:r>
      <w:r w:rsidR="00AE5158" w:rsidRPr="00F9712C">
        <w:rPr>
          <w:rFonts w:hint="eastAsia"/>
          <w:sz w:val="22"/>
        </w:rPr>
        <w:t xml:space="preserve"> </w:t>
      </w:r>
      <w:r w:rsidRPr="00F9712C">
        <w:rPr>
          <w:sz w:val="22"/>
        </w:rPr>
        <w:t xml:space="preserve">The median daytime variance ratio </w:t>
      </w:r>
      <w:r w:rsidRPr="00F9712C">
        <w:rPr>
          <w:sz w:val="22"/>
        </w:rPr>
        <w:lastRenderedPageBreak/>
        <w:t>for Shenzhen listed companies is 1.414.  The volatility of domestic A</w:t>
      </w:r>
      <w:r w:rsidR="00AE5158" w:rsidRPr="00F9712C">
        <w:rPr>
          <w:rFonts w:hint="eastAsia"/>
          <w:sz w:val="22"/>
        </w:rPr>
        <w:t>-</w:t>
      </w:r>
      <w:r w:rsidRPr="00F9712C">
        <w:rPr>
          <w:sz w:val="22"/>
        </w:rPr>
        <w:t>shares is larger than that of foreign B</w:t>
      </w:r>
      <w:r w:rsidR="00AE5158" w:rsidRPr="00F9712C">
        <w:rPr>
          <w:rFonts w:hint="eastAsia"/>
          <w:sz w:val="22"/>
        </w:rPr>
        <w:t>-</w:t>
      </w:r>
      <w:r w:rsidRPr="00F9712C">
        <w:rPr>
          <w:sz w:val="22"/>
        </w:rPr>
        <w:t xml:space="preserve">shares when the exchange is opened in seventy-two percent of trading months. The result is highly significant at the </w:t>
      </w:r>
      <w:r w:rsidR="00E045CC" w:rsidRPr="00F9712C">
        <w:rPr>
          <w:rFonts w:hint="eastAsia"/>
          <w:sz w:val="22"/>
        </w:rPr>
        <w:t>1</w:t>
      </w:r>
      <w:r w:rsidRPr="00F9712C">
        <w:rPr>
          <w:sz w:val="22"/>
        </w:rPr>
        <w:t xml:space="preserve"> percent level.  On the other hand, the median variance ratio for overnight period is 0.739 and is much smaller than one.  The sign test indicates that the result is significant at the </w:t>
      </w:r>
      <w:r w:rsidR="00E045CC" w:rsidRPr="00F9712C">
        <w:rPr>
          <w:rFonts w:hint="eastAsia"/>
          <w:sz w:val="22"/>
        </w:rPr>
        <w:t>10</w:t>
      </w:r>
      <w:r w:rsidRPr="00F9712C">
        <w:rPr>
          <w:sz w:val="22"/>
        </w:rPr>
        <w:t xml:space="preserve"> percent level.  During fifty-three trading months, the median variance ratios for overnight period are larger than one in forty percent of trading time, i.e. twenty-one months. The results are consistent with the trading noise hypothesis in A-share market since trading noises result from trading activities.  </w:t>
      </w:r>
    </w:p>
    <w:p w:rsidR="009A6708" w:rsidRPr="00F9712C" w:rsidRDefault="009A6708">
      <w:pPr>
        <w:pStyle w:val="Heading1"/>
        <w:spacing w:line="480" w:lineRule="auto"/>
        <w:rPr>
          <w:sz w:val="22"/>
        </w:rPr>
      </w:pPr>
    </w:p>
    <w:p w:rsidR="009A6708" w:rsidRPr="00F9712C" w:rsidRDefault="004E3C3F">
      <w:pPr>
        <w:pStyle w:val="Heading1"/>
        <w:spacing w:line="480" w:lineRule="auto"/>
        <w:rPr>
          <w:sz w:val="22"/>
        </w:rPr>
      </w:pPr>
      <w:r w:rsidRPr="00F9712C">
        <w:rPr>
          <w:sz w:val="22"/>
        </w:rPr>
        <w:t>4.2</w:t>
      </w:r>
      <w:r w:rsidRPr="00F9712C">
        <w:rPr>
          <w:sz w:val="22"/>
        </w:rPr>
        <w:tab/>
        <w:t>Sensitivity test</w:t>
      </w:r>
    </w:p>
    <w:p w:rsidR="009A6708" w:rsidRPr="00F9712C" w:rsidRDefault="004E3C3F">
      <w:pPr>
        <w:pStyle w:val="BodyTextIndent"/>
        <w:spacing w:line="480" w:lineRule="auto"/>
        <w:rPr>
          <w:sz w:val="22"/>
        </w:rPr>
      </w:pPr>
      <w:r w:rsidRPr="00F9712C">
        <w:rPr>
          <w:sz w:val="22"/>
        </w:rPr>
        <w:t xml:space="preserve">As mentioned earlier, a small number of companies may dominate in the aggregation procedure because many companies in the sample started trading during the sample period.  To address this important concern, we examine the robustness of the results by calculating the median variance ratio for each company and then obtaining the average and median across companies. We continue to use the median to guard against the unwanted impact of outliers.  </w:t>
      </w:r>
    </w:p>
    <w:p w:rsidR="009A6708" w:rsidRPr="00F9712C" w:rsidRDefault="004E3C3F">
      <w:pPr>
        <w:pStyle w:val="BodyTextIndent"/>
        <w:spacing w:line="480" w:lineRule="auto"/>
        <w:rPr>
          <w:sz w:val="22"/>
        </w:rPr>
      </w:pPr>
      <w:r w:rsidRPr="00F9712C">
        <w:rPr>
          <w:sz w:val="22"/>
        </w:rPr>
        <w:t xml:space="preserve">Table 4 shows the median variance ratios for thirty-five companies listed on the Shanghai Stock Exchange.  During the sample period of July 1992 to November 1996, the average (median) trading months included for calculating the median variance ratio for each company is 28 (29).  </w:t>
      </w:r>
      <w:r w:rsidR="00B036E4" w:rsidRPr="00F9712C">
        <w:rPr>
          <w:sz w:val="22"/>
        </w:rPr>
        <w:t xml:space="preserve">The median </w:t>
      </w:r>
      <w:r w:rsidR="00D009CC" w:rsidRPr="00F9712C">
        <w:rPr>
          <w:sz w:val="22"/>
        </w:rPr>
        <w:t>open-to-open</w:t>
      </w:r>
      <w:r w:rsidR="00B036E4" w:rsidRPr="00F9712C">
        <w:rPr>
          <w:sz w:val="22"/>
        </w:rPr>
        <w:t xml:space="preserve"> and </w:t>
      </w:r>
      <w:r w:rsidR="00D009CC" w:rsidRPr="00F9712C">
        <w:rPr>
          <w:sz w:val="22"/>
        </w:rPr>
        <w:t>close-to-close</w:t>
      </w:r>
      <w:r w:rsidR="00B036E4" w:rsidRPr="00F9712C">
        <w:rPr>
          <w:sz w:val="22"/>
        </w:rPr>
        <w:t xml:space="preserve"> variance ratios are 1.996 and 1.609 respectively.  Out of 35 Shanghai listed companies, only one company has median </w:t>
      </w:r>
      <w:r w:rsidR="00D009CC" w:rsidRPr="00F9712C">
        <w:rPr>
          <w:sz w:val="22"/>
        </w:rPr>
        <w:t>open-to-open</w:t>
      </w:r>
      <w:r w:rsidR="00B036E4" w:rsidRPr="00F9712C">
        <w:rPr>
          <w:sz w:val="22"/>
        </w:rPr>
        <w:t xml:space="preserve"> variance ratios less than one.  About ninety percent of companies have median variance ratio greater than one when </w:t>
      </w:r>
      <w:r w:rsidR="00D009CC" w:rsidRPr="00F9712C">
        <w:rPr>
          <w:sz w:val="22"/>
        </w:rPr>
        <w:t>close-to-close</w:t>
      </w:r>
      <w:r w:rsidR="00B036E4" w:rsidRPr="00F9712C">
        <w:rPr>
          <w:sz w:val="22"/>
        </w:rPr>
        <w:t xml:space="preserve"> stock returns are used.  The sign test indicates that the results are significant at the </w:t>
      </w:r>
      <w:r w:rsidR="007F100E" w:rsidRPr="00F9712C">
        <w:rPr>
          <w:rFonts w:hint="eastAsia"/>
          <w:sz w:val="22"/>
        </w:rPr>
        <w:t>1</w:t>
      </w:r>
      <w:r w:rsidR="00B036E4" w:rsidRPr="00F9712C">
        <w:rPr>
          <w:sz w:val="22"/>
        </w:rPr>
        <w:t xml:space="preserve"> percent level.</w:t>
      </w:r>
      <w:r w:rsidR="00B036E4" w:rsidRPr="00F9712C">
        <w:rPr>
          <w:rFonts w:hint="eastAsia"/>
          <w:sz w:val="22"/>
        </w:rPr>
        <w:t xml:space="preserve"> </w:t>
      </w:r>
      <w:r w:rsidRPr="00F9712C">
        <w:rPr>
          <w:sz w:val="22"/>
        </w:rPr>
        <w:t>The results</w:t>
      </w:r>
      <w:r w:rsidR="00B036E4" w:rsidRPr="00F9712C">
        <w:rPr>
          <w:rFonts w:hint="eastAsia"/>
          <w:sz w:val="22"/>
        </w:rPr>
        <w:t xml:space="preserve"> further</w:t>
      </w:r>
      <w:r w:rsidRPr="00F9712C">
        <w:rPr>
          <w:sz w:val="22"/>
        </w:rPr>
        <w:t xml:space="preserve"> confirm that the volatility of domestic A</w:t>
      </w:r>
      <w:r w:rsidR="00B036E4" w:rsidRPr="00F9712C">
        <w:rPr>
          <w:rFonts w:hint="eastAsia"/>
          <w:sz w:val="22"/>
        </w:rPr>
        <w:t>-</w:t>
      </w:r>
      <w:r w:rsidRPr="00F9712C">
        <w:rPr>
          <w:sz w:val="22"/>
        </w:rPr>
        <w:t>share</w:t>
      </w:r>
      <w:r w:rsidR="004F405D" w:rsidRPr="00F9712C">
        <w:rPr>
          <w:rFonts w:hint="eastAsia"/>
          <w:sz w:val="22"/>
        </w:rPr>
        <w:t>s</w:t>
      </w:r>
      <w:r w:rsidRPr="00F9712C">
        <w:rPr>
          <w:sz w:val="22"/>
        </w:rPr>
        <w:t xml:space="preserve"> is predominantly larger than that of foreign B</w:t>
      </w:r>
      <w:r w:rsidR="00B036E4" w:rsidRPr="00F9712C">
        <w:rPr>
          <w:rFonts w:hint="eastAsia"/>
          <w:sz w:val="22"/>
        </w:rPr>
        <w:t>-</w:t>
      </w:r>
      <w:r w:rsidRPr="00F9712C">
        <w:rPr>
          <w:sz w:val="22"/>
        </w:rPr>
        <w:t>share</w:t>
      </w:r>
      <w:r w:rsidR="004F405D" w:rsidRPr="00F9712C">
        <w:rPr>
          <w:rFonts w:hint="eastAsia"/>
          <w:sz w:val="22"/>
        </w:rPr>
        <w:t>s</w:t>
      </w:r>
      <w:r w:rsidRPr="00F9712C">
        <w:rPr>
          <w:sz w:val="22"/>
        </w:rPr>
        <w:t xml:space="preserve"> of the same company during trading period.  The median daytime variance ratio is larger than one in more than ninety percent of companies. The cross-sectional median daytime variance ratio is 2.040 and the sign test indicates that the result is significant at the </w:t>
      </w:r>
      <w:r w:rsidR="007F100E" w:rsidRPr="00F9712C">
        <w:rPr>
          <w:rFonts w:hint="eastAsia"/>
          <w:sz w:val="22"/>
        </w:rPr>
        <w:t>1</w:t>
      </w:r>
      <w:r w:rsidRPr="00F9712C">
        <w:rPr>
          <w:sz w:val="22"/>
        </w:rPr>
        <w:t xml:space="preserve"> percent level.  During </w:t>
      </w:r>
      <w:r w:rsidRPr="00F9712C">
        <w:rPr>
          <w:sz w:val="22"/>
        </w:rPr>
        <w:lastRenderedPageBreak/>
        <w:t xml:space="preserve">overnight period, fifty-seven percent of companies have median variance ratio larger than one and the cross-sectional median variance ratio is 1.117.  The sign test shows that the </w:t>
      </w:r>
      <w:r w:rsidR="00C678BA">
        <w:rPr>
          <w:rFonts w:hint="eastAsia"/>
          <w:sz w:val="22"/>
        </w:rPr>
        <w:t xml:space="preserve">overnight </w:t>
      </w:r>
      <w:r w:rsidRPr="00F9712C">
        <w:rPr>
          <w:sz w:val="22"/>
        </w:rPr>
        <w:t xml:space="preserve">variance ratio is not significantly different from one. </w:t>
      </w:r>
    </w:p>
    <w:p w:rsidR="009A6708" w:rsidRPr="00F9712C" w:rsidRDefault="004E3C3F">
      <w:pPr>
        <w:pStyle w:val="BodyTextIndent"/>
        <w:spacing w:line="480" w:lineRule="auto"/>
        <w:rPr>
          <w:sz w:val="22"/>
        </w:rPr>
      </w:pPr>
      <w:r w:rsidRPr="00F9712C">
        <w:rPr>
          <w:sz w:val="22"/>
        </w:rPr>
        <w:t xml:space="preserve">Table 5 shows the results of cross-sectional variance ratios for Shenzhen listed companies.  The average (median) trading months included for calculating the median variance ratio for each company is 17 (17).  </w:t>
      </w:r>
      <w:r w:rsidR="004F405D" w:rsidRPr="00F9712C">
        <w:rPr>
          <w:sz w:val="22"/>
        </w:rPr>
        <w:t xml:space="preserve">The cross-sectional median </w:t>
      </w:r>
      <w:r w:rsidR="00D009CC" w:rsidRPr="00F9712C">
        <w:rPr>
          <w:sz w:val="22"/>
        </w:rPr>
        <w:t>open-to-open</w:t>
      </w:r>
      <w:r w:rsidR="004F405D" w:rsidRPr="00F9712C">
        <w:rPr>
          <w:sz w:val="22"/>
        </w:rPr>
        <w:t xml:space="preserve"> and </w:t>
      </w:r>
      <w:r w:rsidR="00D009CC" w:rsidRPr="00F9712C">
        <w:rPr>
          <w:sz w:val="22"/>
        </w:rPr>
        <w:t>close-to-close</w:t>
      </w:r>
      <w:r w:rsidR="004F405D" w:rsidRPr="00F9712C">
        <w:rPr>
          <w:sz w:val="22"/>
        </w:rPr>
        <w:t xml:space="preserve"> variance ratios are 1.181 and 1.499 respectively.  The volatility of domestic A</w:t>
      </w:r>
      <w:r w:rsidR="00AD49AB" w:rsidRPr="00F9712C">
        <w:rPr>
          <w:rFonts w:hint="eastAsia"/>
          <w:sz w:val="22"/>
        </w:rPr>
        <w:t>-</w:t>
      </w:r>
      <w:r w:rsidR="004F405D" w:rsidRPr="00F9712C">
        <w:rPr>
          <w:sz w:val="22"/>
        </w:rPr>
        <w:t>shares is larger than that of foreign B</w:t>
      </w:r>
      <w:r w:rsidR="00AD49AB" w:rsidRPr="00F9712C">
        <w:rPr>
          <w:rFonts w:hint="eastAsia"/>
          <w:sz w:val="22"/>
        </w:rPr>
        <w:t>-</w:t>
      </w:r>
      <w:r w:rsidR="004F405D" w:rsidRPr="00F9712C">
        <w:rPr>
          <w:sz w:val="22"/>
        </w:rPr>
        <w:t xml:space="preserve">shares for 24-hour period in sixty-six and eight-one percent of companies when returns are measured by opening prices and closing prices respectively.  The sign test indicates that the results are significant at the </w:t>
      </w:r>
      <w:r w:rsidR="003605F0" w:rsidRPr="00F9712C">
        <w:rPr>
          <w:rFonts w:hint="eastAsia"/>
          <w:sz w:val="22"/>
        </w:rPr>
        <w:t>5</w:t>
      </w:r>
      <w:r w:rsidR="004F405D" w:rsidRPr="00F9712C">
        <w:rPr>
          <w:sz w:val="22"/>
        </w:rPr>
        <w:t xml:space="preserve"> percent level.</w:t>
      </w:r>
      <w:r w:rsidR="004F405D" w:rsidRPr="00F9712C">
        <w:rPr>
          <w:rFonts w:hint="eastAsia"/>
          <w:sz w:val="22"/>
        </w:rPr>
        <w:t xml:space="preserve"> </w:t>
      </w:r>
      <w:r w:rsidR="004F405D" w:rsidRPr="00F9712C">
        <w:rPr>
          <w:sz w:val="22"/>
        </w:rPr>
        <w:t xml:space="preserve"> </w:t>
      </w:r>
      <w:r w:rsidRPr="00F9712C">
        <w:rPr>
          <w:sz w:val="22"/>
        </w:rPr>
        <w:t xml:space="preserve">Near eighty percent of Shenzhen listed companies have the median daytime variance ratio larger than one.  The cross-sectional daytime median variance ratio is 1.288 and the sign test indicates that the result is significant at the </w:t>
      </w:r>
      <w:r w:rsidR="003605F0" w:rsidRPr="00F9712C">
        <w:rPr>
          <w:rFonts w:hint="eastAsia"/>
          <w:sz w:val="22"/>
        </w:rPr>
        <w:t>1</w:t>
      </w:r>
      <w:r w:rsidRPr="00F9712C">
        <w:rPr>
          <w:sz w:val="22"/>
        </w:rPr>
        <w:t xml:space="preserve"> percent level.  On the other hand, the median overnight variance ratio is much smaller than one (0.556).  Sixteen percent of companies have the median overnight variance ratios larger than one and the sign test confirms that the variance ratio is significantly less from one.  The results are consistent with the trading noise hypothesis in both Shanghai and Shenzhen A-share market since trading noises result from trading activities.</w:t>
      </w:r>
    </w:p>
    <w:p w:rsidR="009A6708" w:rsidRPr="00F9712C" w:rsidRDefault="009A6708">
      <w:pPr>
        <w:pStyle w:val="BodyText"/>
        <w:rPr>
          <w:b/>
          <w:sz w:val="22"/>
        </w:rPr>
      </w:pPr>
    </w:p>
    <w:p w:rsidR="009A6708" w:rsidRPr="00F9712C" w:rsidRDefault="009A6708">
      <w:pPr>
        <w:spacing w:line="480" w:lineRule="auto"/>
        <w:ind w:firstLine="480"/>
        <w:rPr>
          <w:sz w:val="22"/>
        </w:rPr>
      </w:pPr>
    </w:p>
    <w:p w:rsidR="009A6708" w:rsidRPr="00F9712C" w:rsidRDefault="004E3C3F">
      <w:pPr>
        <w:pStyle w:val="Heading1"/>
        <w:spacing w:line="480" w:lineRule="auto"/>
        <w:rPr>
          <w:sz w:val="22"/>
        </w:rPr>
      </w:pPr>
      <w:r w:rsidRPr="00F9712C">
        <w:rPr>
          <w:sz w:val="22"/>
        </w:rPr>
        <w:t>5.</w:t>
      </w:r>
      <w:r w:rsidRPr="00F9712C">
        <w:rPr>
          <w:sz w:val="22"/>
        </w:rPr>
        <w:tab/>
        <w:t>Summary and conclusion</w:t>
      </w:r>
    </w:p>
    <w:p w:rsidR="009A6708" w:rsidRPr="00F9712C" w:rsidRDefault="004E3C3F">
      <w:pPr>
        <w:pStyle w:val="BodyTextIndent"/>
        <w:spacing w:line="480" w:lineRule="auto"/>
        <w:rPr>
          <w:sz w:val="20"/>
        </w:rPr>
      </w:pPr>
      <w:r w:rsidRPr="00F9712C">
        <w:rPr>
          <w:sz w:val="22"/>
        </w:rPr>
        <w:t xml:space="preserve">In China, domestic firms can issue A- and B- shares. </w:t>
      </w:r>
      <w:r w:rsidR="00D45B72" w:rsidRPr="00F9712C">
        <w:rPr>
          <w:rFonts w:hint="eastAsia"/>
          <w:sz w:val="22"/>
        </w:rPr>
        <w:t>Before Feb 2001, d</w:t>
      </w:r>
      <w:r w:rsidRPr="00F9712C">
        <w:rPr>
          <w:sz w:val="22"/>
        </w:rPr>
        <w:t xml:space="preserve">omestic investors can only invest A-shares while foreign investors can </w:t>
      </w:r>
      <w:r w:rsidR="00635BEF" w:rsidRPr="00F9712C">
        <w:rPr>
          <w:rFonts w:hint="eastAsia"/>
          <w:sz w:val="22"/>
        </w:rPr>
        <w:t>trade</w:t>
      </w:r>
      <w:r w:rsidRPr="00F9712C">
        <w:rPr>
          <w:sz w:val="22"/>
        </w:rPr>
        <w:t xml:space="preserve"> B-shares</w:t>
      </w:r>
      <w:r w:rsidR="00635BEF" w:rsidRPr="00F9712C">
        <w:rPr>
          <w:sz w:val="22"/>
        </w:rPr>
        <w:t xml:space="preserve"> only</w:t>
      </w:r>
      <w:r w:rsidRPr="00F9712C">
        <w:rPr>
          <w:sz w:val="22"/>
        </w:rPr>
        <w:t>.</w:t>
      </w:r>
      <w:r w:rsidR="00D45B72" w:rsidRPr="00F9712C">
        <w:rPr>
          <w:rFonts w:hint="eastAsia"/>
          <w:sz w:val="22"/>
        </w:rPr>
        <w:t xml:space="preserve"> We find that</w:t>
      </w:r>
      <w:r w:rsidRPr="00F9712C">
        <w:rPr>
          <w:sz w:val="22"/>
        </w:rPr>
        <w:t xml:space="preserve"> </w:t>
      </w:r>
      <w:r w:rsidR="00D45B72" w:rsidRPr="00F9712C">
        <w:rPr>
          <w:rFonts w:hint="eastAsia"/>
          <w:sz w:val="22"/>
        </w:rPr>
        <w:t>m</w:t>
      </w:r>
      <w:r w:rsidRPr="00F9712C">
        <w:rPr>
          <w:sz w:val="22"/>
        </w:rPr>
        <w:t>arket segmentation results in different share price volatility across these shares even though they are issued by the same companies and are traded in the same stock market. We</w:t>
      </w:r>
      <w:r w:rsidR="002D6000" w:rsidRPr="00F9712C">
        <w:rPr>
          <w:rFonts w:hint="eastAsia"/>
          <w:sz w:val="22"/>
        </w:rPr>
        <w:t xml:space="preserve"> further </w:t>
      </w:r>
      <w:r w:rsidRPr="00F9712C">
        <w:rPr>
          <w:sz w:val="22"/>
        </w:rPr>
        <w:t xml:space="preserve">find that A-share prices are much more volatile than B-share prices only during the daytime (trading) period while they are less volatile during the China overnight (nontrading) period. Since individual investors dominate A-share markets while foreign institutional </w:t>
      </w:r>
      <w:r w:rsidRPr="00F9712C">
        <w:rPr>
          <w:sz w:val="22"/>
        </w:rPr>
        <w:lastRenderedPageBreak/>
        <w:t>inves</w:t>
      </w:r>
      <w:r w:rsidR="00D45B72" w:rsidRPr="00F9712C">
        <w:rPr>
          <w:sz w:val="22"/>
        </w:rPr>
        <w:t xml:space="preserve">tors dominate B-share markets, </w:t>
      </w:r>
      <w:r w:rsidR="002D6000" w:rsidRPr="00F9712C">
        <w:rPr>
          <w:rFonts w:hint="eastAsia"/>
          <w:sz w:val="22"/>
        </w:rPr>
        <w:t>t</w:t>
      </w:r>
      <w:r w:rsidRPr="00F9712C">
        <w:rPr>
          <w:sz w:val="22"/>
        </w:rPr>
        <w:t>he results support the conjecture that price movements in A-share is due to noise trading by domestic individual investors while foreign B-share investors are motivated by informational trading.</w:t>
      </w:r>
    </w:p>
    <w:p w:rsidR="009A6708" w:rsidRPr="00F9712C" w:rsidRDefault="004E3C3F">
      <w:pPr>
        <w:pStyle w:val="BodyTextIndent"/>
        <w:ind w:firstLine="0"/>
        <w:rPr>
          <w:sz w:val="22"/>
        </w:rPr>
      </w:pPr>
      <w:r w:rsidRPr="00F9712C">
        <w:rPr>
          <w:sz w:val="20"/>
        </w:rPr>
        <w:br w:type="page"/>
      </w:r>
      <w:r w:rsidRPr="00F9712C">
        <w:rPr>
          <w:sz w:val="22"/>
        </w:rPr>
        <w:lastRenderedPageBreak/>
        <w:t>References</w:t>
      </w:r>
    </w:p>
    <w:p w:rsidR="009A6708" w:rsidRPr="00F9712C" w:rsidRDefault="009A6708">
      <w:pPr>
        <w:pStyle w:val="BodyText"/>
        <w:jc w:val="both"/>
        <w:rPr>
          <w:rFonts w:eastAsia="細明體"/>
          <w:sz w:val="22"/>
        </w:rPr>
      </w:pPr>
    </w:p>
    <w:p w:rsidR="009A6708" w:rsidRPr="00F9712C" w:rsidRDefault="004E3C3F">
      <w:pPr>
        <w:pStyle w:val="BodyText"/>
        <w:jc w:val="both"/>
        <w:rPr>
          <w:rFonts w:eastAsia="細明體"/>
          <w:sz w:val="22"/>
        </w:rPr>
      </w:pPr>
      <w:r w:rsidRPr="00F9712C">
        <w:rPr>
          <w:rFonts w:eastAsia="細明體"/>
          <w:sz w:val="22"/>
        </w:rPr>
        <w:t>Barclay, M.J., R.H. Litzenberger and J.B. Warner, 1990, Private information, trading volume, and stock-return variances, Review of Financial Studies 3, 233-253</w:t>
      </w:r>
    </w:p>
    <w:p w:rsidR="009A6708" w:rsidRPr="00F9712C" w:rsidRDefault="009A6708">
      <w:pPr>
        <w:pStyle w:val="BodyText"/>
        <w:jc w:val="both"/>
        <w:rPr>
          <w:rFonts w:eastAsia="細明體"/>
          <w:sz w:val="22"/>
        </w:rPr>
      </w:pPr>
    </w:p>
    <w:p w:rsidR="009A6708" w:rsidRPr="00F9712C" w:rsidRDefault="004E3C3F">
      <w:pPr>
        <w:pStyle w:val="BodyText"/>
        <w:jc w:val="both"/>
        <w:rPr>
          <w:rFonts w:eastAsia="細明體"/>
          <w:sz w:val="22"/>
        </w:rPr>
      </w:pPr>
      <w:r w:rsidRPr="00F9712C">
        <w:rPr>
          <w:rFonts w:eastAsia="細明體"/>
          <w:sz w:val="22"/>
        </w:rPr>
        <w:t>Black, F., 1986, Noise, Journal of Finance 41, 529-543.</w:t>
      </w:r>
    </w:p>
    <w:p w:rsidR="009A6708" w:rsidRPr="00F9712C" w:rsidRDefault="009A6708">
      <w:pPr>
        <w:pStyle w:val="BodyText"/>
        <w:jc w:val="both"/>
        <w:rPr>
          <w:rFonts w:eastAsia="細明體"/>
          <w:sz w:val="22"/>
        </w:rPr>
      </w:pPr>
    </w:p>
    <w:p w:rsidR="009A6708" w:rsidRPr="00F9712C" w:rsidRDefault="004E3C3F">
      <w:pPr>
        <w:pStyle w:val="BodyText"/>
        <w:jc w:val="both"/>
        <w:rPr>
          <w:rFonts w:eastAsia="細明體"/>
          <w:sz w:val="22"/>
          <w:lang w:val="en-US"/>
        </w:rPr>
      </w:pPr>
      <w:r w:rsidRPr="00F9712C">
        <w:rPr>
          <w:rFonts w:eastAsia="細明體"/>
          <w:sz w:val="22"/>
          <w:lang w:val="en-US"/>
        </w:rPr>
        <w:t>Choe, H, 1994, Pricing errors at the open and close for foreign stocks traded on the NYSE, Pacific Basin Finance Journal 2, 481-195.</w:t>
      </w:r>
    </w:p>
    <w:p w:rsidR="009A6708" w:rsidRPr="00F9712C" w:rsidRDefault="009A6708">
      <w:pPr>
        <w:pStyle w:val="BodyText"/>
        <w:jc w:val="both"/>
        <w:rPr>
          <w:rFonts w:eastAsia="細明體"/>
          <w:sz w:val="22"/>
        </w:rPr>
      </w:pPr>
    </w:p>
    <w:p w:rsidR="009A6708" w:rsidRPr="00F9712C" w:rsidRDefault="004E3C3F">
      <w:pPr>
        <w:pStyle w:val="BodyText"/>
        <w:jc w:val="both"/>
        <w:rPr>
          <w:rFonts w:eastAsia="細明體"/>
          <w:sz w:val="22"/>
        </w:rPr>
      </w:pPr>
      <w:r w:rsidRPr="00F9712C">
        <w:rPr>
          <w:rFonts w:eastAsia="細明體"/>
          <w:sz w:val="22"/>
        </w:rPr>
        <w:t>French, K.R. and R. Roll, 1986, Stock return variances: The arrival of information and the reactions of traders, Journal of Financial Economics 17, 5-26</w:t>
      </w:r>
    </w:p>
    <w:p w:rsidR="009A6708" w:rsidRPr="00F9712C" w:rsidRDefault="009A6708">
      <w:pPr>
        <w:pStyle w:val="BodyText"/>
        <w:jc w:val="both"/>
        <w:rPr>
          <w:rFonts w:eastAsia="細明體"/>
          <w:sz w:val="22"/>
        </w:rPr>
      </w:pPr>
    </w:p>
    <w:p w:rsidR="009A6708" w:rsidRPr="00F9712C" w:rsidRDefault="004E3C3F">
      <w:pPr>
        <w:pStyle w:val="BodyText"/>
        <w:jc w:val="both"/>
        <w:rPr>
          <w:rFonts w:eastAsia="細明體"/>
          <w:sz w:val="22"/>
          <w:lang w:val="en-US"/>
        </w:rPr>
      </w:pPr>
      <w:r w:rsidRPr="00F9712C">
        <w:rPr>
          <w:rFonts w:eastAsia="細明體"/>
          <w:sz w:val="22"/>
          <w:lang w:val="en-US"/>
        </w:rPr>
        <w:t>Ito T., R. K. Lyons and M. T. Melvin, 1998, Is there private information in the FX market? The Tokyo experiment, Journal of Finance 53, 1111-1130.</w:t>
      </w:r>
    </w:p>
    <w:p w:rsidR="009A6708" w:rsidRPr="00F9712C" w:rsidRDefault="009A6708">
      <w:pPr>
        <w:pStyle w:val="BodyText"/>
        <w:jc w:val="both"/>
        <w:rPr>
          <w:rFonts w:eastAsia="細明體"/>
          <w:sz w:val="22"/>
          <w:lang w:val="en-US"/>
        </w:rPr>
      </w:pPr>
    </w:p>
    <w:p w:rsidR="009A6708" w:rsidRPr="00F9712C" w:rsidRDefault="004E3C3F">
      <w:pPr>
        <w:pStyle w:val="BodyText"/>
        <w:jc w:val="both"/>
        <w:rPr>
          <w:rFonts w:eastAsia="細明體"/>
          <w:sz w:val="22"/>
        </w:rPr>
      </w:pPr>
      <w:r w:rsidRPr="00F9712C">
        <w:rPr>
          <w:rFonts w:eastAsia="細明體"/>
          <w:sz w:val="22"/>
        </w:rPr>
        <w:t>Jones, C.M., G. Kaul and M.L. Lipson, 1994, Information, trading, and volatility, Journal of Financial Eonomics 36, 127-154</w:t>
      </w:r>
    </w:p>
    <w:p w:rsidR="009A6708" w:rsidRPr="00F9712C" w:rsidRDefault="009A6708">
      <w:pPr>
        <w:pStyle w:val="BodyText"/>
        <w:jc w:val="both"/>
        <w:rPr>
          <w:rFonts w:eastAsia="細明體"/>
          <w:sz w:val="22"/>
        </w:rPr>
      </w:pPr>
    </w:p>
    <w:p w:rsidR="00EF53B0" w:rsidRPr="00F9712C" w:rsidRDefault="00EF53B0">
      <w:pPr>
        <w:pStyle w:val="BodyText"/>
        <w:jc w:val="both"/>
        <w:rPr>
          <w:rFonts w:eastAsia="細明體"/>
          <w:sz w:val="22"/>
        </w:rPr>
      </w:pPr>
      <w:r w:rsidRPr="00F9712C">
        <w:rPr>
          <w:rFonts w:eastAsia="細明體"/>
          <w:sz w:val="22"/>
        </w:rPr>
        <w:t>Kim, K.A. &amp; Rhee S.G. (1997) “Price limit performance: evidence from the Tokyo Stock Exchange.” Journal of Finance 52: 885-901.</w:t>
      </w:r>
    </w:p>
    <w:p w:rsidR="00EF53B0" w:rsidRPr="00F9712C" w:rsidRDefault="00EF53B0">
      <w:pPr>
        <w:pStyle w:val="BodyText"/>
        <w:jc w:val="both"/>
        <w:rPr>
          <w:rFonts w:eastAsia="細明體"/>
          <w:sz w:val="22"/>
          <w:lang w:val="en-US"/>
        </w:rPr>
      </w:pPr>
    </w:p>
    <w:p w:rsidR="00075901" w:rsidRPr="00F9712C" w:rsidRDefault="00075901">
      <w:pPr>
        <w:pStyle w:val="BodyText"/>
        <w:jc w:val="both"/>
        <w:rPr>
          <w:rFonts w:eastAsia="細明體"/>
          <w:sz w:val="22"/>
        </w:rPr>
      </w:pPr>
      <w:r w:rsidRPr="00F9712C">
        <w:rPr>
          <w:rFonts w:eastAsia="細明體"/>
          <w:sz w:val="22"/>
        </w:rPr>
        <w:t xml:space="preserve">Lee, S. B. &amp; Choi W.S, (2001) “Transitory and asymmetric properties in price limits: Korean evidence with intraday data.” </w:t>
      </w:r>
      <w:smartTag w:uri="urn:schemas-microsoft-com:office:smarttags" w:element="PlaceName">
        <w:r w:rsidRPr="00F9712C">
          <w:rPr>
            <w:rFonts w:eastAsia="細明體"/>
            <w:sz w:val="22"/>
          </w:rPr>
          <w:t>Han</w:t>
        </w:r>
      </w:smartTag>
      <w:r w:rsidRPr="00F9712C">
        <w:rPr>
          <w:rFonts w:eastAsia="細明體" w:hint="eastAsia"/>
          <w:sz w:val="22"/>
        </w:rPr>
        <w:t xml:space="preserve"> </w:t>
      </w:r>
      <w:smartTag w:uri="urn:schemas-microsoft-com:office:smarttags" w:element="PlaceName">
        <w:r w:rsidRPr="00F9712C">
          <w:rPr>
            <w:rFonts w:eastAsia="細明體"/>
            <w:sz w:val="22"/>
          </w:rPr>
          <w:t>Yang</w:t>
        </w:r>
      </w:smartTag>
      <w:r w:rsidRPr="00F9712C">
        <w:rPr>
          <w:rFonts w:eastAsia="細明體"/>
          <w:sz w:val="22"/>
        </w:rPr>
        <w:t xml:space="preserve"> </w:t>
      </w:r>
      <w:smartTag w:uri="urn:schemas-microsoft-com:office:smarttags" w:element="PlaceType">
        <w:r w:rsidRPr="00F9712C">
          <w:rPr>
            <w:rFonts w:eastAsia="細明體"/>
            <w:sz w:val="22"/>
          </w:rPr>
          <w:t>University</w:t>
        </w:r>
      </w:smartTag>
      <w:r w:rsidRPr="00F9712C">
        <w:rPr>
          <w:rFonts w:eastAsia="細明體" w:hint="eastAsia"/>
          <w:sz w:val="22"/>
        </w:rPr>
        <w:t xml:space="preserve"> Working Paper</w:t>
      </w:r>
      <w:r w:rsidRPr="00F9712C">
        <w:rPr>
          <w:rFonts w:eastAsia="細明體"/>
          <w:sz w:val="22"/>
        </w:rPr>
        <w:t xml:space="preserve">, </w:t>
      </w:r>
      <w:smartTag w:uri="urn:schemas-microsoft-com:office:smarttags" w:element="City">
        <w:smartTag w:uri="urn:schemas-microsoft-com:office:smarttags" w:element="place">
          <w:r w:rsidRPr="00F9712C">
            <w:rPr>
              <w:rFonts w:eastAsia="細明體"/>
              <w:sz w:val="22"/>
            </w:rPr>
            <w:t>Seoul</w:t>
          </w:r>
        </w:smartTag>
      </w:smartTag>
      <w:r w:rsidRPr="00F9712C">
        <w:rPr>
          <w:rFonts w:eastAsia="細明體"/>
          <w:sz w:val="22"/>
        </w:rPr>
        <w:t>.</w:t>
      </w:r>
    </w:p>
    <w:p w:rsidR="00075901" w:rsidRPr="00F9712C" w:rsidRDefault="00075901">
      <w:pPr>
        <w:pStyle w:val="BodyText"/>
        <w:jc w:val="both"/>
        <w:rPr>
          <w:rFonts w:eastAsia="細明體"/>
          <w:sz w:val="22"/>
          <w:lang w:val="en-US"/>
        </w:rPr>
      </w:pPr>
    </w:p>
    <w:p w:rsidR="009A6708" w:rsidRPr="00F9712C" w:rsidRDefault="004E3C3F">
      <w:pPr>
        <w:pStyle w:val="BodyText"/>
        <w:jc w:val="both"/>
        <w:rPr>
          <w:rFonts w:eastAsia="細明體"/>
          <w:sz w:val="22"/>
        </w:rPr>
      </w:pPr>
      <w:r w:rsidRPr="00F9712C">
        <w:rPr>
          <w:rFonts w:eastAsia="細明體"/>
          <w:sz w:val="22"/>
        </w:rPr>
        <w:t>Ronen, T. 1997, Tests and properties of variances ratios in microstructure studies, Journal of Financial and Quantitative Analysis 32, No.2, 183-204.</w:t>
      </w:r>
    </w:p>
    <w:p w:rsidR="009A6708" w:rsidRPr="00F9712C" w:rsidRDefault="009A6708">
      <w:pPr>
        <w:pStyle w:val="BodyText"/>
        <w:jc w:val="both"/>
        <w:rPr>
          <w:rFonts w:eastAsia="細明體"/>
          <w:sz w:val="22"/>
        </w:rPr>
      </w:pPr>
    </w:p>
    <w:p w:rsidR="00826536" w:rsidRPr="00F9712C" w:rsidRDefault="00826536">
      <w:pPr>
        <w:pStyle w:val="BodyText"/>
        <w:jc w:val="both"/>
        <w:rPr>
          <w:rFonts w:eastAsia="細明體"/>
          <w:sz w:val="22"/>
        </w:rPr>
      </w:pPr>
      <w:r w:rsidRPr="00F9712C">
        <w:rPr>
          <w:rFonts w:eastAsia="細明體"/>
          <w:sz w:val="22"/>
        </w:rPr>
        <w:t>Sherry, A., 1997, No-news papers, Far Eastern Economic Review, 160, August 14, 53-54.</w:t>
      </w:r>
    </w:p>
    <w:p w:rsidR="00826536" w:rsidRPr="00F9712C" w:rsidRDefault="00826536">
      <w:pPr>
        <w:pStyle w:val="BodyText"/>
        <w:jc w:val="both"/>
        <w:rPr>
          <w:rFonts w:eastAsia="細明體"/>
          <w:sz w:val="22"/>
        </w:rPr>
      </w:pPr>
    </w:p>
    <w:p w:rsidR="009A6708" w:rsidRPr="00F9712C" w:rsidRDefault="004E3C3F">
      <w:pPr>
        <w:pStyle w:val="BodyText"/>
        <w:jc w:val="both"/>
        <w:rPr>
          <w:rFonts w:eastAsia="細明體"/>
          <w:sz w:val="22"/>
          <w:lang w:val="en-US"/>
        </w:rPr>
      </w:pPr>
      <w:r w:rsidRPr="00F9712C">
        <w:rPr>
          <w:rFonts w:eastAsia="細明體"/>
          <w:sz w:val="22"/>
          <w:lang w:val="en-US"/>
        </w:rPr>
        <w:t>Shiller, R.J., 1981, Do stock prices move too much to be justified by subsequent changes in dividends?, American Economic Review 71, 421-436.</w:t>
      </w:r>
    </w:p>
    <w:p w:rsidR="009A6708" w:rsidRPr="00F9712C" w:rsidRDefault="009A6708">
      <w:pPr>
        <w:pStyle w:val="BodyText"/>
        <w:jc w:val="both"/>
        <w:rPr>
          <w:rFonts w:eastAsia="細明體"/>
          <w:strike/>
          <w:sz w:val="22"/>
          <w:lang w:val="en-US"/>
        </w:rPr>
      </w:pPr>
    </w:p>
    <w:p w:rsidR="009A6708" w:rsidRPr="00F9712C" w:rsidRDefault="004E3C3F">
      <w:pPr>
        <w:pStyle w:val="BodyText"/>
        <w:jc w:val="both"/>
        <w:rPr>
          <w:rFonts w:eastAsia="細明體"/>
          <w:sz w:val="22"/>
        </w:rPr>
      </w:pPr>
      <w:r w:rsidRPr="00F9712C">
        <w:rPr>
          <w:rFonts w:eastAsia="細明體"/>
          <w:sz w:val="22"/>
        </w:rPr>
        <w:t>Siu, C.K., 1996, China stock market: Present and future, in The China Stock Market in Process (in Chinese), World Publishing Ltd., Hong Kong.</w:t>
      </w:r>
    </w:p>
    <w:p w:rsidR="009A6708" w:rsidRPr="00F9712C" w:rsidRDefault="009A6708">
      <w:pPr>
        <w:pStyle w:val="BodyText"/>
        <w:jc w:val="both"/>
        <w:rPr>
          <w:sz w:val="22"/>
        </w:rPr>
      </w:pPr>
    </w:p>
    <w:p w:rsidR="00BD45AF" w:rsidRPr="00F9712C" w:rsidRDefault="00BD45AF">
      <w:pPr>
        <w:pStyle w:val="BodyText"/>
        <w:jc w:val="both"/>
        <w:rPr>
          <w:rFonts w:eastAsia="細明體"/>
          <w:sz w:val="22"/>
        </w:rPr>
      </w:pPr>
      <w:r w:rsidRPr="00F9712C">
        <w:rPr>
          <w:rFonts w:eastAsia="細明體"/>
          <w:sz w:val="22"/>
        </w:rPr>
        <w:t>Sjoo, B. &amp; Zhang J. (2000) “Market segmentation and information diffusion in China’s stock markets.” Journal of Multinational Financial Management 10: 421-438.</w:t>
      </w:r>
    </w:p>
    <w:p w:rsidR="00BD45AF" w:rsidRPr="00F9712C" w:rsidRDefault="00BD45AF">
      <w:pPr>
        <w:pStyle w:val="BodyText"/>
        <w:jc w:val="both"/>
        <w:rPr>
          <w:sz w:val="22"/>
        </w:rPr>
      </w:pPr>
    </w:p>
    <w:p w:rsidR="00ED7D0B" w:rsidRPr="00F9712C" w:rsidRDefault="00ED7D0B">
      <w:pPr>
        <w:pStyle w:val="BodyText"/>
        <w:jc w:val="both"/>
        <w:rPr>
          <w:rFonts w:eastAsia="細明體"/>
          <w:sz w:val="22"/>
        </w:rPr>
      </w:pPr>
      <w:r w:rsidRPr="00F9712C">
        <w:rPr>
          <w:rFonts w:eastAsia="細明體"/>
          <w:sz w:val="22"/>
        </w:rPr>
        <w:t>Sun, Q.</w:t>
      </w:r>
      <w:r w:rsidRPr="00F9712C">
        <w:rPr>
          <w:rFonts w:eastAsia="細明體" w:hint="eastAsia"/>
          <w:sz w:val="22"/>
        </w:rPr>
        <w:t>,</w:t>
      </w:r>
      <w:r w:rsidRPr="00F9712C">
        <w:rPr>
          <w:rFonts w:eastAsia="細明體"/>
          <w:sz w:val="22"/>
        </w:rPr>
        <w:t xml:space="preserve"> Tong, W.</w:t>
      </w:r>
      <w:r w:rsidRPr="00F9712C">
        <w:rPr>
          <w:rFonts w:eastAsia="細明體" w:hint="eastAsia"/>
          <w:sz w:val="22"/>
        </w:rPr>
        <w:t xml:space="preserve"> &amp; Yan Y.</w:t>
      </w:r>
      <w:r w:rsidRPr="00F9712C">
        <w:rPr>
          <w:rFonts w:eastAsia="細明體"/>
          <w:sz w:val="22"/>
        </w:rPr>
        <w:t xml:space="preserve"> </w:t>
      </w:r>
      <w:r w:rsidRPr="00F9712C">
        <w:rPr>
          <w:rFonts w:eastAsia="細明體" w:hint="eastAsia"/>
          <w:sz w:val="22"/>
        </w:rPr>
        <w:t>(</w:t>
      </w:r>
      <w:r w:rsidRPr="00F9712C">
        <w:rPr>
          <w:rFonts w:eastAsia="細明體"/>
          <w:sz w:val="22"/>
        </w:rPr>
        <w:t>200</w:t>
      </w:r>
      <w:r w:rsidRPr="00F9712C">
        <w:rPr>
          <w:rFonts w:eastAsia="細明體" w:hint="eastAsia"/>
          <w:sz w:val="22"/>
        </w:rPr>
        <w:t xml:space="preserve">9) </w:t>
      </w:r>
      <w:r w:rsidRPr="00F9712C">
        <w:rPr>
          <w:rFonts w:eastAsia="細明體"/>
          <w:sz w:val="22"/>
        </w:rPr>
        <w:t>“Market liberalization within a country</w:t>
      </w:r>
      <w:r w:rsidRPr="00F9712C">
        <w:rPr>
          <w:rFonts w:eastAsia="細明體" w:hint="eastAsia"/>
          <w:sz w:val="22"/>
        </w:rPr>
        <w:t>.</w:t>
      </w:r>
      <w:r w:rsidRPr="00F9712C">
        <w:rPr>
          <w:rFonts w:eastAsia="細明體"/>
          <w:sz w:val="22"/>
        </w:rPr>
        <w:t xml:space="preserve">” </w:t>
      </w:r>
      <w:r w:rsidRPr="00F9712C">
        <w:rPr>
          <w:rFonts w:eastAsia="細明體" w:hint="eastAsia"/>
          <w:sz w:val="22"/>
        </w:rPr>
        <w:t>Journal of Empirical Finance 16</w:t>
      </w:r>
      <w:r w:rsidRPr="00F9712C">
        <w:rPr>
          <w:rFonts w:eastAsia="細明體"/>
          <w:sz w:val="22"/>
        </w:rPr>
        <w:t xml:space="preserve"> 18–</w:t>
      </w:r>
      <w:r w:rsidRPr="00F9712C">
        <w:rPr>
          <w:rFonts w:eastAsia="細明體" w:hint="eastAsia"/>
          <w:sz w:val="22"/>
        </w:rPr>
        <w:t>41.</w:t>
      </w:r>
    </w:p>
    <w:p w:rsidR="00ED7D0B" w:rsidRPr="00F9712C" w:rsidRDefault="00ED7D0B">
      <w:pPr>
        <w:pStyle w:val="BodyText"/>
        <w:jc w:val="both"/>
        <w:rPr>
          <w:rFonts w:eastAsia="細明體"/>
          <w:sz w:val="22"/>
        </w:rPr>
      </w:pPr>
    </w:p>
    <w:p w:rsidR="00310F45" w:rsidRPr="00F9712C" w:rsidRDefault="00310F45">
      <w:pPr>
        <w:pStyle w:val="BodyText"/>
        <w:jc w:val="both"/>
        <w:rPr>
          <w:rFonts w:eastAsia="細明體"/>
          <w:sz w:val="22"/>
        </w:rPr>
      </w:pPr>
      <w:r w:rsidRPr="00F9712C">
        <w:rPr>
          <w:rFonts w:eastAsia="細明體"/>
          <w:sz w:val="22"/>
        </w:rPr>
        <w:t xml:space="preserve">Yang, J.J. &amp; Kim Y.H. (2001) “The impact of price limits on initial offerings: evidence from the Taiwan Stock Exchange.” </w:t>
      </w:r>
      <w:smartTag w:uri="urn:schemas-microsoft-com:office:smarttags" w:element="place">
        <w:smartTag w:uri="urn:schemas-microsoft-com:office:smarttags" w:element="PlaceType">
          <w:r w:rsidRPr="00F9712C">
            <w:rPr>
              <w:rFonts w:eastAsia="細明體"/>
              <w:sz w:val="22"/>
            </w:rPr>
            <w:t>University</w:t>
          </w:r>
        </w:smartTag>
        <w:r w:rsidRPr="00F9712C">
          <w:rPr>
            <w:rFonts w:eastAsia="細明體"/>
            <w:sz w:val="22"/>
          </w:rPr>
          <w:t xml:space="preserve"> of </w:t>
        </w:r>
        <w:smartTag w:uri="urn:schemas-microsoft-com:office:smarttags" w:element="PlaceName">
          <w:r w:rsidRPr="00F9712C">
            <w:rPr>
              <w:rFonts w:eastAsia="細明體"/>
              <w:sz w:val="22"/>
            </w:rPr>
            <w:t>Cincinnati</w:t>
          </w:r>
        </w:smartTag>
      </w:smartTag>
      <w:r w:rsidRPr="00F9712C">
        <w:rPr>
          <w:rFonts w:eastAsia="細明體"/>
          <w:sz w:val="22"/>
        </w:rPr>
        <w:t xml:space="preserve"> </w:t>
      </w:r>
      <w:r w:rsidRPr="00F9712C">
        <w:rPr>
          <w:rFonts w:eastAsia="細明體" w:hint="eastAsia"/>
          <w:sz w:val="22"/>
        </w:rPr>
        <w:t>W</w:t>
      </w:r>
      <w:r w:rsidRPr="00F9712C">
        <w:rPr>
          <w:rFonts w:eastAsia="細明體"/>
          <w:sz w:val="22"/>
        </w:rPr>
        <w:t xml:space="preserve">orking </w:t>
      </w:r>
      <w:r w:rsidRPr="00F9712C">
        <w:rPr>
          <w:rFonts w:eastAsia="細明體" w:hint="eastAsia"/>
          <w:sz w:val="22"/>
        </w:rPr>
        <w:t>P</w:t>
      </w:r>
      <w:r w:rsidRPr="00F9712C">
        <w:rPr>
          <w:rFonts w:eastAsia="細明體"/>
          <w:sz w:val="22"/>
        </w:rPr>
        <w:t>aper.</w:t>
      </w:r>
    </w:p>
    <w:p w:rsidR="009A6708" w:rsidRPr="00F9712C" w:rsidRDefault="009A6708">
      <w:pPr>
        <w:pStyle w:val="BodyText"/>
        <w:jc w:val="both"/>
        <w:rPr>
          <w:lang w:val="en-US"/>
        </w:rPr>
        <w:sectPr w:rsidR="009A6708" w:rsidRPr="00F9712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797" w:bottom="1531" w:left="1797" w:header="851" w:footer="992" w:gutter="0"/>
          <w:pgNumType w:start="1"/>
          <w:cols w:space="425"/>
          <w:titlePg/>
        </w:sectPr>
      </w:pPr>
    </w:p>
    <w:p w:rsidR="009A6708" w:rsidRPr="00775A9E" w:rsidRDefault="004E3C3F">
      <w:pPr>
        <w:jc w:val="center"/>
        <w:rPr>
          <w:sz w:val="22"/>
          <w:szCs w:val="22"/>
        </w:rPr>
      </w:pPr>
      <w:r w:rsidRPr="00775A9E">
        <w:rPr>
          <w:sz w:val="22"/>
          <w:szCs w:val="22"/>
        </w:rPr>
        <w:lastRenderedPageBreak/>
        <w:t>Table 1</w:t>
      </w:r>
    </w:p>
    <w:p w:rsidR="009A6708" w:rsidRPr="00F9712C" w:rsidRDefault="004E3C3F">
      <w:pPr>
        <w:jc w:val="center"/>
      </w:pPr>
      <w:proofErr w:type="gramStart"/>
      <w:r w:rsidRPr="00775A9E">
        <w:rPr>
          <w:sz w:val="22"/>
          <w:szCs w:val="22"/>
        </w:rPr>
        <w:t>Investors</w:t>
      </w:r>
      <w:proofErr w:type="gramEnd"/>
      <w:r w:rsidRPr="00775A9E">
        <w:rPr>
          <w:sz w:val="22"/>
          <w:szCs w:val="22"/>
        </w:rPr>
        <w:t xml:space="preserve"> distribution in A- and B-share markets</w:t>
      </w:r>
    </w:p>
    <w:tbl>
      <w:tblPr>
        <w:tblW w:w="8985" w:type="dxa"/>
        <w:tblLayout w:type="fixed"/>
        <w:tblCellMar>
          <w:left w:w="54" w:type="dxa"/>
          <w:right w:w="54" w:type="dxa"/>
        </w:tblCellMar>
        <w:tblLook w:val="0000" w:firstRow="0" w:lastRow="0" w:firstColumn="0" w:lastColumn="0" w:noHBand="0" w:noVBand="0"/>
      </w:tblPr>
      <w:tblGrid>
        <w:gridCol w:w="1418"/>
        <w:gridCol w:w="1418"/>
        <w:gridCol w:w="1187"/>
        <w:gridCol w:w="1134"/>
        <w:gridCol w:w="1418"/>
        <w:gridCol w:w="515"/>
        <w:gridCol w:w="761"/>
        <w:gridCol w:w="657"/>
        <w:gridCol w:w="477"/>
      </w:tblGrid>
      <w:tr w:rsidR="00EF0FBD" w:rsidRPr="00F9712C" w:rsidTr="00C4552A">
        <w:trPr>
          <w:trHeight w:hRule="exact" w:val="284"/>
        </w:trPr>
        <w:tc>
          <w:tcPr>
            <w:tcW w:w="1418" w:type="dxa"/>
            <w:tcBorders>
              <w:bottom w:val="single" w:sz="4" w:space="0" w:color="auto"/>
            </w:tcBorders>
          </w:tcPr>
          <w:p w:rsidR="00EF0FBD" w:rsidRPr="00F9712C" w:rsidRDefault="00EF0FBD">
            <w:pPr>
              <w:autoSpaceDE w:val="0"/>
              <w:autoSpaceDN w:val="0"/>
              <w:spacing w:line="240" w:lineRule="auto"/>
              <w:rPr>
                <w:rFonts w:ascii="新細明體"/>
                <w:sz w:val="20"/>
              </w:rPr>
            </w:pPr>
          </w:p>
        </w:tc>
        <w:tc>
          <w:tcPr>
            <w:tcW w:w="1418" w:type="dxa"/>
            <w:tcBorders>
              <w:bottom w:val="single" w:sz="4" w:space="0" w:color="auto"/>
            </w:tcBorders>
          </w:tcPr>
          <w:p w:rsidR="00EF0FBD" w:rsidRPr="00F9712C" w:rsidRDefault="00EF0FBD">
            <w:pPr>
              <w:autoSpaceDE w:val="0"/>
              <w:autoSpaceDN w:val="0"/>
              <w:spacing w:line="240" w:lineRule="auto"/>
              <w:rPr>
                <w:rFonts w:ascii="新細明體"/>
                <w:sz w:val="20"/>
              </w:rPr>
            </w:pPr>
          </w:p>
        </w:tc>
        <w:tc>
          <w:tcPr>
            <w:tcW w:w="1187" w:type="dxa"/>
            <w:tcBorders>
              <w:bottom w:val="single" w:sz="4" w:space="0" w:color="auto"/>
            </w:tcBorders>
          </w:tcPr>
          <w:p w:rsidR="00EF0FBD" w:rsidRPr="00F9712C" w:rsidRDefault="00EF0FBD">
            <w:pPr>
              <w:autoSpaceDE w:val="0"/>
              <w:autoSpaceDN w:val="0"/>
              <w:spacing w:line="240" w:lineRule="auto"/>
              <w:rPr>
                <w:rFonts w:ascii="新細明體"/>
                <w:sz w:val="20"/>
              </w:rPr>
            </w:pPr>
          </w:p>
        </w:tc>
        <w:tc>
          <w:tcPr>
            <w:tcW w:w="1134" w:type="dxa"/>
            <w:tcBorders>
              <w:bottom w:val="single" w:sz="4" w:space="0" w:color="auto"/>
            </w:tcBorders>
          </w:tcPr>
          <w:p w:rsidR="00EF0FBD" w:rsidRPr="00F9712C" w:rsidRDefault="00EF0FBD">
            <w:pPr>
              <w:autoSpaceDE w:val="0"/>
              <w:autoSpaceDN w:val="0"/>
              <w:spacing w:line="240" w:lineRule="auto"/>
              <w:rPr>
                <w:rFonts w:ascii="新細明體"/>
                <w:sz w:val="20"/>
              </w:rPr>
            </w:pPr>
          </w:p>
        </w:tc>
        <w:tc>
          <w:tcPr>
            <w:tcW w:w="1933" w:type="dxa"/>
            <w:gridSpan w:val="2"/>
            <w:tcBorders>
              <w:bottom w:val="single" w:sz="4" w:space="0" w:color="auto"/>
            </w:tcBorders>
          </w:tcPr>
          <w:p w:rsidR="00EF0FBD" w:rsidRPr="00F9712C" w:rsidRDefault="00EF0FBD">
            <w:pPr>
              <w:autoSpaceDE w:val="0"/>
              <w:autoSpaceDN w:val="0"/>
              <w:spacing w:line="240" w:lineRule="auto"/>
              <w:rPr>
                <w:rFonts w:ascii="新細明體"/>
                <w:sz w:val="20"/>
              </w:rPr>
            </w:pPr>
          </w:p>
        </w:tc>
        <w:tc>
          <w:tcPr>
            <w:tcW w:w="1418" w:type="dxa"/>
            <w:gridSpan w:val="2"/>
            <w:tcBorders>
              <w:bottom w:val="single" w:sz="4" w:space="0" w:color="auto"/>
            </w:tcBorders>
          </w:tcPr>
          <w:p w:rsidR="00EF0FBD" w:rsidRPr="00F9712C" w:rsidRDefault="00EF0FBD">
            <w:pPr>
              <w:autoSpaceDE w:val="0"/>
              <w:autoSpaceDN w:val="0"/>
              <w:spacing w:line="240" w:lineRule="auto"/>
              <w:rPr>
                <w:rFonts w:ascii="新細明體"/>
                <w:sz w:val="20"/>
              </w:rPr>
            </w:pPr>
          </w:p>
        </w:tc>
        <w:tc>
          <w:tcPr>
            <w:tcW w:w="477" w:type="dxa"/>
            <w:tcBorders>
              <w:bottom w:val="single" w:sz="4" w:space="0" w:color="auto"/>
            </w:tcBorders>
          </w:tcPr>
          <w:p w:rsidR="00EF0FBD" w:rsidRPr="00F9712C" w:rsidRDefault="00EF0FBD">
            <w:pPr>
              <w:autoSpaceDE w:val="0"/>
              <w:autoSpaceDN w:val="0"/>
              <w:spacing w:line="240" w:lineRule="auto"/>
              <w:rPr>
                <w:rFonts w:ascii="新細明體"/>
                <w:sz w:val="20"/>
              </w:rPr>
            </w:pPr>
          </w:p>
        </w:tc>
      </w:tr>
      <w:tr w:rsidR="00EF0FBD" w:rsidRPr="00F9712C" w:rsidTr="00C4552A">
        <w:trPr>
          <w:trHeight w:hRule="exact" w:val="284"/>
        </w:trPr>
        <w:tc>
          <w:tcPr>
            <w:tcW w:w="1418" w:type="dxa"/>
            <w:tcBorders>
              <w:top w:val="single" w:sz="4" w:space="0" w:color="auto"/>
            </w:tcBorders>
          </w:tcPr>
          <w:p w:rsidR="00EF0FBD" w:rsidRPr="00F9712C" w:rsidRDefault="00EF0FBD">
            <w:pPr>
              <w:pStyle w:val="Heading1"/>
              <w:spacing w:line="240" w:lineRule="auto"/>
              <w:rPr>
                <w:sz w:val="20"/>
              </w:rPr>
            </w:pPr>
          </w:p>
        </w:tc>
        <w:tc>
          <w:tcPr>
            <w:tcW w:w="1418" w:type="dxa"/>
            <w:tcBorders>
              <w:top w:val="single" w:sz="4" w:space="0" w:color="auto"/>
            </w:tcBorders>
          </w:tcPr>
          <w:p w:rsidR="00EF0FBD" w:rsidRPr="00F9712C" w:rsidRDefault="00EF0FBD">
            <w:pPr>
              <w:autoSpaceDE w:val="0"/>
              <w:autoSpaceDN w:val="0"/>
              <w:spacing w:line="240" w:lineRule="auto"/>
              <w:jc w:val="right"/>
              <w:rPr>
                <w:sz w:val="20"/>
              </w:rPr>
            </w:pPr>
          </w:p>
        </w:tc>
        <w:tc>
          <w:tcPr>
            <w:tcW w:w="1187" w:type="dxa"/>
            <w:tcBorders>
              <w:top w:val="single" w:sz="4" w:space="0" w:color="auto"/>
            </w:tcBorders>
          </w:tcPr>
          <w:p w:rsidR="00EF0FBD" w:rsidRPr="00F9712C" w:rsidRDefault="00EF0FBD">
            <w:pPr>
              <w:autoSpaceDE w:val="0"/>
              <w:autoSpaceDN w:val="0"/>
              <w:spacing w:line="240" w:lineRule="auto"/>
              <w:jc w:val="right"/>
              <w:rPr>
                <w:sz w:val="20"/>
              </w:rPr>
            </w:pPr>
          </w:p>
        </w:tc>
        <w:tc>
          <w:tcPr>
            <w:tcW w:w="1134" w:type="dxa"/>
            <w:tcBorders>
              <w:top w:val="single" w:sz="4" w:space="0" w:color="auto"/>
            </w:tcBorders>
          </w:tcPr>
          <w:p w:rsidR="00EF0FBD" w:rsidRPr="00F9712C" w:rsidRDefault="00EF0FBD">
            <w:pPr>
              <w:autoSpaceDE w:val="0"/>
              <w:autoSpaceDN w:val="0"/>
              <w:spacing w:line="240" w:lineRule="auto"/>
              <w:jc w:val="right"/>
              <w:rPr>
                <w:sz w:val="20"/>
              </w:rPr>
            </w:pPr>
          </w:p>
        </w:tc>
        <w:tc>
          <w:tcPr>
            <w:tcW w:w="1933" w:type="dxa"/>
            <w:gridSpan w:val="2"/>
            <w:tcBorders>
              <w:top w:val="single" w:sz="4" w:space="0" w:color="auto"/>
            </w:tcBorders>
          </w:tcPr>
          <w:p w:rsidR="00EF0FBD" w:rsidRPr="00C4552A" w:rsidRDefault="00EF0FBD">
            <w:pPr>
              <w:autoSpaceDE w:val="0"/>
              <w:autoSpaceDN w:val="0"/>
              <w:spacing w:line="240" w:lineRule="auto"/>
              <w:jc w:val="right"/>
              <w:rPr>
                <w:sz w:val="20"/>
              </w:rPr>
            </w:pPr>
          </w:p>
        </w:tc>
        <w:tc>
          <w:tcPr>
            <w:tcW w:w="1418" w:type="dxa"/>
            <w:gridSpan w:val="2"/>
            <w:tcBorders>
              <w:top w:val="single" w:sz="4" w:space="0" w:color="auto"/>
            </w:tcBorders>
          </w:tcPr>
          <w:p w:rsidR="00EF0FBD" w:rsidRPr="00F9712C" w:rsidRDefault="00EF0FBD">
            <w:pPr>
              <w:autoSpaceDE w:val="0"/>
              <w:autoSpaceDN w:val="0"/>
              <w:spacing w:line="240" w:lineRule="auto"/>
              <w:jc w:val="right"/>
              <w:rPr>
                <w:sz w:val="20"/>
              </w:rPr>
            </w:pPr>
          </w:p>
        </w:tc>
        <w:tc>
          <w:tcPr>
            <w:tcW w:w="477" w:type="dxa"/>
            <w:tcBorders>
              <w:top w:val="single" w:sz="4" w:space="0" w:color="auto"/>
            </w:tcBorders>
          </w:tcPr>
          <w:p w:rsidR="00EF0FBD" w:rsidRPr="00F9712C" w:rsidRDefault="00EF0FBD">
            <w:pPr>
              <w:autoSpaceDE w:val="0"/>
              <w:autoSpaceDN w:val="0"/>
              <w:spacing w:line="240" w:lineRule="auto"/>
              <w:jc w:val="right"/>
              <w:rPr>
                <w:sz w:val="20"/>
              </w:rPr>
            </w:pPr>
          </w:p>
        </w:tc>
      </w:tr>
      <w:tr w:rsidR="00CC6E30" w:rsidRPr="00DE0512" w:rsidTr="00C4552A">
        <w:trPr>
          <w:trHeight w:hRule="exact" w:val="284"/>
        </w:trPr>
        <w:tc>
          <w:tcPr>
            <w:tcW w:w="1418" w:type="dxa"/>
            <w:tcBorders>
              <w:bottom w:val="single" w:sz="4" w:space="0" w:color="auto"/>
            </w:tcBorders>
          </w:tcPr>
          <w:p w:rsidR="00CC6E30" w:rsidRPr="00DE0512" w:rsidRDefault="00CC6E30">
            <w:pPr>
              <w:pStyle w:val="Heading1"/>
              <w:spacing w:line="240" w:lineRule="auto"/>
              <w:rPr>
                <w:sz w:val="20"/>
              </w:rPr>
            </w:pPr>
          </w:p>
        </w:tc>
        <w:tc>
          <w:tcPr>
            <w:tcW w:w="3739" w:type="dxa"/>
            <w:gridSpan w:val="3"/>
            <w:tcBorders>
              <w:bottom w:val="single" w:sz="4" w:space="0" w:color="auto"/>
            </w:tcBorders>
          </w:tcPr>
          <w:p w:rsidR="00CC6E30" w:rsidRPr="00DE0512" w:rsidRDefault="00CC6E30" w:rsidP="00EF0FBD">
            <w:pPr>
              <w:autoSpaceDE w:val="0"/>
              <w:autoSpaceDN w:val="0"/>
              <w:spacing w:line="240" w:lineRule="auto"/>
              <w:jc w:val="center"/>
              <w:rPr>
                <w:b/>
                <w:sz w:val="20"/>
              </w:rPr>
            </w:pPr>
            <w:r w:rsidRPr="00DE0512">
              <w:rPr>
                <w:rFonts w:hint="eastAsia"/>
                <w:b/>
                <w:sz w:val="20"/>
              </w:rPr>
              <w:t>A-share investors (10,000)</w:t>
            </w:r>
          </w:p>
        </w:tc>
        <w:tc>
          <w:tcPr>
            <w:tcW w:w="3828" w:type="dxa"/>
            <w:gridSpan w:val="5"/>
            <w:tcBorders>
              <w:bottom w:val="single" w:sz="4" w:space="0" w:color="auto"/>
            </w:tcBorders>
          </w:tcPr>
          <w:p w:rsidR="00CC6E30" w:rsidRPr="00DE0512" w:rsidRDefault="00CC6E30" w:rsidP="00CC6E30">
            <w:pPr>
              <w:autoSpaceDE w:val="0"/>
              <w:autoSpaceDN w:val="0"/>
              <w:spacing w:line="240" w:lineRule="auto"/>
              <w:jc w:val="center"/>
              <w:rPr>
                <w:b/>
                <w:sz w:val="20"/>
              </w:rPr>
            </w:pPr>
            <w:r w:rsidRPr="00DE0512">
              <w:rPr>
                <w:rFonts w:hint="eastAsia"/>
                <w:b/>
                <w:sz w:val="20"/>
              </w:rPr>
              <w:t>B-share investors (10,000)</w:t>
            </w:r>
          </w:p>
        </w:tc>
      </w:tr>
      <w:tr w:rsidR="00EF0FBD" w:rsidRPr="00F9712C" w:rsidTr="00C4552A">
        <w:trPr>
          <w:trHeight w:hRule="exact" w:val="284"/>
        </w:trPr>
        <w:tc>
          <w:tcPr>
            <w:tcW w:w="1418" w:type="dxa"/>
            <w:tcBorders>
              <w:top w:val="single" w:sz="4" w:space="0" w:color="auto"/>
            </w:tcBorders>
          </w:tcPr>
          <w:p w:rsidR="00EF0FBD" w:rsidRPr="00F9712C" w:rsidRDefault="00EF0FBD">
            <w:pPr>
              <w:pStyle w:val="Heading1"/>
              <w:spacing w:line="240" w:lineRule="auto"/>
              <w:rPr>
                <w:sz w:val="20"/>
              </w:rPr>
            </w:pPr>
            <w:r w:rsidRPr="00F9712C">
              <w:rPr>
                <w:sz w:val="20"/>
              </w:rPr>
              <w:t>Shanghai</w:t>
            </w:r>
          </w:p>
        </w:tc>
        <w:tc>
          <w:tcPr>
            <w:tcW w:w="1418" w:type="dxa"/>
            <w:tcBorders>
              <w:top w:val="single" w:sz="4" w:space="0" w:color="auto"/>
            </w:tcBorders>
          </w:tcPr>
          <w:p w:rsidR="00EF0FBD" w:rsidRPr="00F9712C" w:rsidRDefault="00EF0FBD">
            <w:pPr>
              <w:autoSpaceDE w:val="0"/>
              <w:autoSpaceDN w:val="0"/>
              <w:spacing w:line="240" w:lineRule="auto"/>
              <w:jc w:val="right"/>
              <w:rPr>
                <w:sz w:val="20"/>
              </w:rPr>
            </w:pPr>
          </w:p>
        </w:tc>
        <w:tc>
          <w:tcPr>
            <w:tcW w:w="1187" w:type="dxa"/>
            <w:tcBorders>
              <w:top w:val="single" w:sz="4" w:space="0" w:color="auto"/>
            </w:tcBorders>
          </w:tcPr>
          <w:p w:rsidR="00EF0FBD" w:rsidRPr="00F9712C" w:rsidRDefault="00EF0FBD">
            <w:pPr>
              <w:autoSpaceDE w:val="0"/>
              <w:autoSpaceDN w:val="0"/>
              <w:spacing w:line="240" w:lineRule="auto"/>
              <w:jc w:val="right"/>
              <w:rPr>
                <w:sz w:val="20"/>
              </w:rPr>
            </w:pPr>
          </w:p>
        </w:tc>
        <w:tc>
          <w:tcPr>
            <w:tcW w:w="1134" w:type="dxa"/>
            <w:tcBorders>
              <w:top w:val="single" w:sz="4" w:space="0" w:color="auto"/>
            </w:tcBorders>
          </w:tcPr>
          <w:p w:rsidR="00EF0FBD" w:rsidRPr="00F9712C" w:rsidRDefault="00EF0FBD">
            <w:pPr>
              <w:autoSpaceDE w:val="0"/>
              <w:autoSpaceDN w:val="0"/>
              <w:spacing w:line="240" w:lineRule="auto"/>
              <w:jc w:val="right"/>
              <w:rPr>
                <w:sz w:val="20"/>
              </w:rPr>
            </w:pPr>
          </w:p>
        </w:tc>
        <w:tc>
          <w:tcPr>
            <w:tcW w:w="1418" w:type="dxa"/>
            <w:tcBorders>
              <w:top w:val="single" w:sz="4" w:space="0" w:color="auto"/>
            </w:tcBorders>
          </w:tcPr>
          <w:p w:rsidR="00EF0FBD" w:rsidRPr="00F9712C" w:rsidRDefault="00EF0FBD">
            <w:pPr>
              <w:autoSpaceDE w:val="0"/>
              <w:autoSpaceDN w:val="0"/>
              <w:spacing w:line="240" w:lineRule="auto"/>
              <w:jc w:val="right"/>
              <w:rPr>
                <w:sz w:val="20"/>
              </w:rPr>
            </w:pPr>
          </w:p>
        </w:tc>
        <w:tc>
          <w:tcPr>
            <w:tcW w:w="1276" w:type="dxa"/>
            <w:gridSpan w:val="2"/>
            <w:tcBorders>
              <w:top w:val="single" w:sz="4" w:space="0" w:color="auto"/>
            </w:tcBorders>
          </w:tcPr>
          <w:p w:rsidR="00EF0FBD" w:rsidRPr="00F9712C" w:rsidRDefault="00EF0FBD">
            <w:pPr>
              <w:autoSpaceDE w:val="0"/>
              <w:autoSpaceDN w:val="0"/>
              <w:spacing w:line="240" w:lineRule="auto"/>
              <w:jc w:val="right"/>
              <w:rPr>
                <w:sz w:val="20"/>
              </w:rPr>
            </w:pPr>
          </w:p>
        </w:tc>
        <w:tc>
          <w:tcPr>
            <w:tcW w:w="1134" w:type="dxa"/>
            <w:gridSpan w:val="2"/>
            <w:tcBorders>
              <w:top w:val="single" w:sz="4" w:space="0" w:color="auto"/>
            </w:tcBorders>
          </w:tcPr>
          <w:p w:rsidR="00EF0FBD" w:rsidRPr="00F9712C" w:rsidRDefault="00EF0FBD">
            <w:pPr>
              <w:autoSpaceDE w:val="0"/>
              <w:autoSpaceDN w:val="0"/>
              <w:spacing w:line="240" w:lineRule="auto"/>
              <w:jc w:val="right"/>
              <w:rPr>
                <w:sz w:val="20"/>
              </w:rPr>
            </w:pPr>
          </w:p>
        </w:tc>
      </w:tr>
      <w:tr w:rsidR="00EF0FBD" w:rsidRPr="00F9712C" w:rsidTr="00C4552A">
        <w:trPr>
          <w:trHeight w:hRule="exact" w:val="284"/>
        </w:trPr>
        <w:tc>
          <w:tcPr>
            <w:tcW w:w="1418"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Year</w:t>
            </w:r>
          </w:p>
        </w:tc>
        <w:tc>
          <w:tcPr>
            <w:tcW w:w="1418"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Person</w:t>
            </w:r>
          </w:p>
        </w:tc>
        <w:tc>
          <w:tcPr>
            <w:tcW w:w="1187"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Company</w:t>
            </w:r>
          </w:p>
        </w:tc>
        <w:tc>
          <w:tcPr>
            <w:tcW w:w="1134"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Total</w:t>
            </w:r>
          </w:p>
        </w:tc>
        <w:tc>
          <w:tcPr>
            <w:tcW w:w="1418"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Person</w:t>
            </w:r>
          </w:p>
        </w:tc>
        <w:tc>
          <w:tcPr>
            <w:tcW w:w="1276" w:type="dxa"/>
            <w:gridSpan w:val="2"/>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Company</w:t>
            </w:r>
          </w:p>
        </w:tc>
        <w:tc>
          <w:tcPr>
            <w:tcW w:w="1134" w:type="dxa"/>
            <w:gridSpan w:val="2"/>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Total</w:t>
            </w:r>
          </w:p>
        </w:tc>
      </w:tr>
      <w:tr w:rsidR="00EF0FBD" w:rsidRPr="00F9712C" w:rsidTr="00C4552A">
        <w:trPr>
          <w:trHeight w:hRule="exact" w:val="284"/>
        </w:trPr>
        <w:tc>
          <w:tcPr>
            <w:tcW w:w="1418" w:type="dxa"/>
          </w:tcPr>
          <w:p w:rsidR="00EF0FBD" w:rsidRPr="00F9712C" w:rsidRDefault="00EF0FBD">
            <w:pPr>
              <w:autoSpaceDE w:val="0"/>
              <w:autoSpaceDN w:val="0"/>
              <w:spacing w:line="240" w:lineRule="auto"/>
              <w:jc w:val="right"/>
              <w:rPr>
                <w:sz w:val="20"/>
              </w:rPr>
            </w:pPr>
            <w:r w:rsidRPr="00F9712C">
              <w:rPr>
                <w:sz w:val="20"/>
              </w:rPr>
              <w:t>1992</w:t>
            </w:r>
          </w:p>
        </w:tc>
        <w:tc>
          <w:tcPr>
            <w:tcW w:w="1418" w:type="dxa"/>
          </w:tcPr>
          <w:p w:rsidR="00EF0FBD" w:rsidRPr="00F9712C" w:rsidRDefault="00EF0FBD">
            <w:pPr>
              <w:autoSpaceDE w:val="0"/>
              <w:autoSpaceDN w:val="0"/>
              <w:spacing w:line="240" w:lineRule="auto"/>
              <w:jc w:val="right"/>
              <w:rPr>
                <w:sz w:val="20"/>
              </w:rPr>
            </w:pPr>
            <w:r w:rsidRPr="00F9712C">
              <w:rPr>
                <w:sz w:val="20"/>
              </w:rPr>
              <w:t>110.23</w:t>
            </w:r>
          </w:p>
        </w:tc>
        <w:tc>
          <w:tcPr>
            <w:tcW w:w="1187" w:type="dxa"/>
          </w:tcPr>
          <w:p w:rsidR="00EF0FBD" w:rsidRPr="00F9712C" w:rsidRDefault="00EF0FBD">
            <w:pPr>
              <w:autoSpaceDE w:val="0"/>
              <w:autoSpaceDN w:val="0"/>
              <w:spacing w:line="240" w:lineRule="auto"/>
              <w:jc w:val="right"/>
              <w:rPr>
                <w:sz w:val="20"/>
              </w:rPr>
            </w:pPr>
            <w:r w:rsidRPr="00F9712C">
              <w:rPr>
                <w:sz w:val="20"/>
              </w:rPr>
              <w:t>0.70</w:t>
            </w:r>
          </w:p>
        </w:tc>
        <w:tc>
          <w:tcPr>
            <w:tcW w:w="1134" w:type="dxa"/>
          </w:tcPr>
          <w:p w:rsidR="00EF0FBD" w:rsidRPr="00F9712C" w:rsidRDefault="00EF0FBD">
            <w:pPr>
              <w:autoSpaceDE w:val="0"/>
              <w:autoSpaceDN w:val="0"/>
              <w:spacing w:line="240" w:lineRule="auto"/>
              <w:jc w:val="right"/>
              <w:rPr>
                <w:sz w:val="20"/>
              </w:rPr>
            </w:pPr>
            <w:r w:rsidRPr="00F9712C">
              <w:rPr>
                <w:sz w:val="20"/>
              </w:rPr>
              <w:t>111.23</w:t>
            </w:r>
          </w:p>
        </w:tc>
        <w:tc>
          <w:tcPr>
            <w:tcW w:w="1418" w:type="dxa"/>
          </w:tcPr>
          <w:p w:rsidR="00EF0FBD" w:rsidRPr="00F9712C" w:rsidRDefault="00EF0FBD">
            <w:pPr>
              <w:autoSpaceDE w:val="0"/>
              <w:autoSpaceDN w:val="0"/>
              <w:spacing w:line="240" w:lineRule="auto"/>
              <w:jc w:val="right"/>
              <w:rPr>
                <w:sz w:val="20"/>
              </w:rPr>
            </w:pPr>
            <w:r w:rsidRPr="00F9712C">
              <w:rPr>
                <w:sz w:val="20"/>
              </w:rPr>
              <w:t>-</w:t>
            </w:r>
          </w:p>
        </w:tc>
        <w:tc>
          <w:tcPr>
            <w:tcW w:w="1276" w:type="dxa"/>
            <w:gridSpan w:val="2"/>
          </w:tcPr>
          <w:p w:rsidR="00EF0FBD" w:rsidRPr="00F9712C" w:rsidRDefault="00EF0FBD">
            <w:pPr>
              <w:autoSpaceDE w:val="0"/>
              <w:autoSpaceDN w:val="0"/>
              <w:spacing w:line="240" w:lineRule="auto"/>
              <w:jc w:val="right"/>
              <w:rPr>
                <w:sz w:val="20"/>
              </w:rPr>
            </w:pPr>
            <w:r w:rsidRPr="00F9712C">
              <w:rPr>
                <w:sz w:val="20"/>
              </w:rPr>
              <w:t>-</w:t>
            </w:r>
          </w:p>
        </w:tc>
        <w:tc>
          <w:tcPr>
            <w:tcW w:w="1134" w:type="dxa"/>
            <w:gridSpan w:val="2"/>
          </w:tcPr>
          <w:p w:rsidR="00EF0FBD" w:rsidRPr="00F9712C" w:rsidRDefault="00EF0FBD">
            <w:pPr>
              <w:autoSpaceDE w:val="0"/>
              <w:autoSpaceDN w:val="0"/>
              <w:spacing w:line="240" w:lineRule="auto"/>
              <w:jc w:val="right"/>
              <w:rPr>
                <w:sz w:val="20"/>
              </w:rPr>
            </w:pPr>
            <w:r w:rsidRPr="00F9712C">
              <w:rPr>
                <w:sz w:val="20"/>
              </w:rPr>
              <w:t>-</w:t>
            </w:r>
          </w:p>
        </w:tc>
      </w:tr>
      <w:tr w:rsidR="00EF0FBD" w:rsidRPr="00F9712C" w:rsidTr="00C4552A">
        <w:trPr>
          <w:trHeight w:hRule="exact" w:val="284"/>
        </w:trPr>
        <w:tc>
          <w:tcPr>
            <w:tcW w:w="1418" w:type="dxa"/>
          </w:tcPr>
          <w:p w:rsidR="00EF0FBD" w:rsidRPr="00F9712C" w:rsidRDefault="00EF0FBD">
            <w:pPr>
              <w:autoSpaceDE w:val="0"/>
              <w:autoSpaceDN w:val="0"/>
              <w:spacing w:line="240" w:lineRule="auto"/>
              <w:jc w:val="right"/>
              <w:rPr>
                <w:sz w:val="20"/>
              </w:rPr>
            </w:pPr>
            <w:r w:rsidRPr="00F9712C">
              <w:rPr>
                <w:sz w:val="20"/>
              </w:rPr>
              <w:t>1993</w:t>
            </w:r>
          </w:p>
        </w:tc>
        <w:tc>
          <w:tcPr>
            <w:tcW w:w="1418" w:type="dxa"/>
          </w:tcPr>
          <w:p w:rsidR="00EF0FBD" w:rsidRPr="00F9712C" w:rsidRDefault="00EF0FBD">
            <w:pPr>
              <w:autoSpaceDE w:val="0"/>
              <w:autoSpaceDN w:val="0"/>
              <w:spacing w:line="240" w:lineRule="auto"/>
              <w:jc w:val="right"/>
              <w:rPr>
                <w:sz w:val="20"/>
              </w:rPr>
            </w:pPr>
            <w:r w:rsidRPr="00F9712C">
              <w:rPr>
                <w:sz w:val="20"/>
              </w:rPr>
              <w:t>421.09</w:t>
            </w:r>
          </w:p>
        </w:tc>
        <w:tc>
          <w:tcPr>
            <w:tcW w:w="1187" w:type="dxa"/>
          </w:tcPr>
          <w:p w:rsidR="00EF0FBD" w:rsidRPr="00F9712C" w:rsidRDefault="00EF0FBD">
            <w:pPr>
              <w:autoSpaceDE w:val="0"/>
              <w:autoSpaceDN w:val="0"/>
              <w:spacing w:line="240" w:lineRule="auto"/>
              <w:jc w:val="right"/>
              <w:rPr>
                <w:sz w:val="20"/>
              </w:rPr>
            </w:pPr>
            <w:r w:rsidRPr="00F9712C">
              <w:rPr>
                <w:sz w:val="20"/>
              </w:rPr>
              <w:t>1.40</w:t>
            </w:r>
          </w:p>
        </w:tc>
        <w:tc>
          <w:tcPr>
            <w:tcW w:w="1134" w:type="dxa"/>
          </w:tcPr>
          <w:p w:rsidR="00EF0FBD" w:rsidRPr="00F9712C" w:rsidRDefault="00EF0FBD">
            <w:pPr>
              <w:autoSpaceDE w:val="0"/>
              <w:autoSpaceDN w:val="0"/>
              <w:spacing w:line="240" w:lineRule="auto"/>
              <w:jc w:val="right"/>
              <w:rPr>
                <w:sz w:val="20"/>
              </w:rPr>
            </w:pPr>
            <w:r w:rsidRPr="00F9712C">
              <w:rPr>
                <w:sz w:val="20"/>
              </w:rPr>
              <w:t>422.49</w:t>
            </w:r>
          </w:p>
        </w:tc>
        <w:tc>
          <w:tcPr>
            <w:tcW w:w="1418" w:type="dxa"/>
          </w:tcPr>
          <w:p w:rsidR="00EF0FBD" w:rsidRPr="00F9712C" w:rsidRDefault="00EF0FBD">
            <w:pPr>
              <w:autoSpaceDE w:val="0"/>
              <w:autoSpaceDN w:val="0"/>
              <w:spacing w:line="240" w:lineRule="auto"/>
              <w:jc w:val="right"/>
              <w:rPr>
                <w:sz w:val="20"/>
              </w:rPr>
            </w:pPr>
            <w:r w:rsidRPr="00F9712C">
              <w:rPr>
                <w:sz w:val="20"/>
              </w:rPr>
              <w:t>0.83</w:t>
            </w:r>
          </w:p>
        </w:tc>
        <w:tc>
          <w:tcPr>
            <w:tcW w:w="1276" w:type="dxa"/>
            <w:gridSpan w:val="2"/>
          </w:tcPr>
          <w:p w:rsidR="00EF0FBD" w:rsidRPr="00F9712C" w:rsidRDefault="00EF0FBD">
            <w:pPr>
              <w:autoSpaceDE w:val="0"/>
              <w:autoSpaceDN w:val="0"/>
              <w:spacing w:line="240" w:lineRule="auto"/>
              <w:jc w:val="right"/>
              <w:rPr>
                <w:sz w:val="20"/>
              </w:rPr>
            </w:pPr>
            <w:r w:rsidRPr="00F9712C">
              <w:rPr>
                <w:sz w:val="20"/>
              </w:rPr>
              <w:t>0.19</w:t>
            </w:r>
          </w:p>
        </w:tc>
        <w:tc>
          <w:tcPr>
            <w:tcW w:w="1134" w:type="dxa"/>
            <w:gridSpan w:val="2"/>
          </w:tcPr>
          <w:p w:rsidR="00EF0FBD" w:rsidRPr="00F9712C" w:rsidRDefault="00EF0FBD">
            <w:pPr>
              <w:autoSpaceDE w:val="0"/>
              <w:autoSpaceDN w:val="0"/>
              <w:spacing w:line="240" w:lineRule="auto"/>
              <w:jc w:val="right"/>
              <w:rPr>
                <w:sz w:val="20"/>
              </w:rPr>
            </w:pPr>
            <w:r w:rsidRPr="00F9712C">
              <w:rPr>
                <w:sz w:val="20"/>
              </w:rPr>
              <w:t>1.02</w:t>
            </w:r>
          </w:p>
        </w:tc>
      </w:tr>
      <w:tr w:rsidR="00EF0FBD" w:rsidRPr="00F9712C" w:rsidTr="00C4552A">
        <w:trPr>
          <w:trHeight w:hRule="exact" w:val="284"/>
        </w:trPr>
        <w:tc>
          <w:tcPr>
            <w:tcW w:w="1418" w:type="dxa"/>
          </w:tcPr>
          <w:p w:rsidR="00EF0FBD" w:rsidRPr="00F9712C" w:rsidRDefault="00EF0FBD">
            <w:pPr>
              <w:autoSpaceDE w:val="0"/>
              <w:autoSpaceDN w:val="0"/>
              <w:spacing w:line="240" w:lineRule="auto"/>
              <w:jc w:val="right"/>
              <w:rPr>
                <w:sz w:val="20"/>
              </w:rPr>
            </w:pPr>
            <w:r w:rsidRPr="00F9712C">
              <w:rPr>
                <w:sz w:val="20"/>
              </w:rPr>
              <w:t>1994</w:t>
            </w:r>
          </w:p>
        </w:tc>
        <w:tc>
          <w:tcPr>
            <w:tcW w:w="1418" w:type="dxa"/>
          </w:tcPr>
          <w:p w:rsidR="00EF0FBD" w:rsidRPr="00F9712C" w:rsidRDefault="00EF0FBD">
            <w:pPr>
              <w:autoSpaceDE w:val="0"/>
              <w:autoSpaceDN w:val="0"/>
              <w:spacing w:line="240" w:lineRule="auto"/>
              <w:jc w:val="right"/>
              <w:rPr>
                <w:sz w:val="20"/>
              </w:rPr>
            </w:pPr>
            <w:r w:rsidRPr="00F9712C">
              <w:rPr>
                <w:sz w:val="20"/>
              </w:rPr>
              <w:t>571.00</w:t>
            </w:r>
          </w:p>
        </w:tc>
        <w:tc>
          <w:tcPr>
            <w:tcW w:w="1187" w:type="dxa"/>
          </w:tcPr>
          <w:p w:rsidR="00EF0FBD" w:rsidRPr="00F9712C" w:rsidRDefault="00EF0FBD">
            <w:pPr>
              <w:autoSpaceDE w:val="0"/>
              <w:autoSpaceDN w:val="0"/>
              <w:spacing w:line="240" w:lineRule="auto"/>
              <w:jc w:val="right"/>
              <w:rPr>
                <w:sz w:val="20"/>
              </w:rPr>
            </w:pPr>
            <w:r w:rsidRPr="00F9712C">
              <w:rPr>
                <w:sz w:val="20"/>
              </w:rPr>
              <w:t>2.00</w:t>
            </w:r>
          </w:p>
        </w:tc>
        <w:tc>
          <w:tcPr>
            <w:tcW w:w="1134" w:type="dxa"/>
          </w:tcPr>
          <w:p w:rsidR="00EF0FBD" w:rsidRPr="00F9712C" w:rsidRDefault="00EF0FBD">
            <w:pPr>
              <w:autoSpaceDE w:val="0"/>
              <w:autoSpaceDN w:val="0"/>
              <w:spacing w:line="240" w:lineRule="auto"/>
              <w:jc w:val="right"/>
              <w:rPr>
                <w:sz w:val="20"/>
              </w:rPr>
            </w:pPr>
            <w:r w:rsidRPr="00F9712C">
              <w:rPr>
                <w:sz w:val="20"/>
              </w:rPr>
              <w:t>573.00</w:t>
            </w:r>
          </w:p>
        </w:tc>
        <w:tc>
          <w:tcPr>
            <w:tcW w:w="1418" w:type="dxa"/>
          </w:tcPr>
          <w:p w:rsidR="00EF0FBD" w:rsidRPr="00F9712C" w:rsidRDefault="00EF0FBD">
            <w:pPr>
              <w:autoSpaceDE w:val="0"/>
              <w:autoSpaceDN w:val="0"/>
              <w:spacing w:line="240" w:lineRule="auto"/>
              <w:jc w:val="right"/>
              <w:rPr>
                <w:sz w:val="20"/>
              </w:rPr>
            </w:pPr>
            <w:r w:rsidRPr="00F9712C">
              <w:rPr>
                <w:sz w:val="20"/>
              </w:rPr>
              <w:t>1.57</w:t>
            </w:r>
          </w:p>
        </w:tc>
        <w:tc>
          <w:tcPr>
            <w:tcW w:w="1276" w:type="dxa"/>
            <w:gridSpan w:val="2"/>
          </w:tcPr>
          <w:p w:rsidR="00EF0FBD" w:rsidRPr="00F9712C" w:rsidRDefault="00EF0FBD">
            <w:pPr>
              <w:autoSpaceDE w:val="0"/>
              <w:autoSpaceDN w:val="0"/>
              <w:spacing w:line="240" w:lineRule="auto"/>
              <w:jc w:val="right"/>
              <w:rPr>
                <w:sz w:val="20"/>
              </w:rPr>
            </w:pPr>
            <w:r w:rsidRPr="00F9712C">
              <w:rPr>
                <w:sz w:val="20"/>
              </w:rPr>
              <w:t>0.32</w:t>
            </w:r>
          </w:p>
        </w:tc>
        <w:tc>
          <w:tcPr>
            <w:tcW w:w="1134" w:type="dxa"/>
            <w:gridSpan w:val="2"/>
          </w:tcPr>
          <w:p w:rsidR="00EF0FBD" w:rsidRPr="00F9712C" w:rsidRDefault="00EF0FBD">
            <w:pPr>
              <w:autoSpaceDE w:val="0"/>
              <w:autoSpaceDN w:val="0"/>
              <w:spacing w:line="240" w:lineRule="auto"/>
              <w:jc w:val="right"/>
              <w:rPr>
                <w:sz w:val="20"/>
              </w:rPr>
            </w:pPr>
            <w:r w:rsidRPr="00F9712C">
              <w:rPr>
                <w:sz w:val="20"/>
              </w:rPr>
              <w:t>1.89</w:t>
            </w:r>
          </w:p>
        </w:tc>
      </w:tr>
      <w:tr w:rsidR="00EF0FBD" w:rsidRPr="00F9712C" w:rsidTr="00C4552A">
        <w:trPr>
          <w:trHeight w:hRule="exact" w:val="284"/>
        </w:trPr>
        <w:tc>
          <w:tcPr>
            <w:tcW w:w="1418" w:type="dxa"/>
          </w:tcPr>
          <w:p w:rsidR="00EF0FBD" w:rsidRPr="00F9712C" w:rsidRDefault="00EF0FBD">
            <w:pPr>
              <w:autoSpaceDE w:val="0"/>
              <w:autoSpaceDN w:val="0"/>
              <w:spacing w:line="240" w:lineRule="auto"/>
              <w:jc w:val="right"/>
              <w:rPr>
                <w:sz w:val="20"/>
              </w:rPr>
            </w:pPr>
            <w:r w:rsidRPr="00F9712C">
              <w:rPr>
                <w:sz w:val="20"/>
              </w:rPr>
              <w:t>1995</w:t>
            </w:r>
          </w:p>
        </w:tc>
        <w:tc>
          <w:tcPr>
            <w:tcW w:w="1418" w:type="dxa"/>
          </w:tcPr>
          <w:p w:rsidR="00EF0FBD" w:rsidRPr="00F9712C" w:rsidRDefault="00EF0FBD">
            <w:pPr>
              <w:autoSpaceDE w:val="0"/>
              <w:autoSpaceDN w:val="0"/>
              <w:spacing w:line="240" w:lineRule="auto"/>
              <w:jc w:val="right"/>
              <w:rPr>
                <w:sz w:val="20"/>
              </w:rPr>
            </w:pPr>
            <w:r w:rsidRPr="00F9712C">
              <w:rPr>
                <w:sz w:val="20"/>
              </w:rPr>
              <w:t>682.00</w:t>
            </w:r>
          </w:p>
        </w:tc>
        <w:tc>
          <w:tcPr>
            <w:tcW w:w="1187" w:type="dxa"/>
          </w:tcPr>
          <w:p w:rsidR="00EF0FBD" w:rsidRPr="00F9712C" w:rsidRDefault="00EF0FBD">
            <w:pPr>
              <w:autoSpaceDE w:val="0"/>
              <w:autoSpaceDN w:val="0"/>
              <w:spacing w:line="240" w:lineRule="auto"/>
              <w:jc w:val="right"/>
              <w:rPr>
                <w:sz w:val="20"/>
              </w:rPr>
            </w:pPr>
            <w:r w:rsidRPr="00F9712C">
              <w:rPr>
                <w:sz w:val="20"/>
              </w:rPr>
              <w:t>2.50</w:t>
            </w:r>
          </w:p>
        </w:tc>
        <w:tc>
          <w:tcPr>
            <w:tcW w:w="1134" w:type="dxa"/>
          </w:tcPr>
          <w:p w:rsidR="00EF0FBD" w:rsidRPr="00F9712C" w:rsidRDefault="00EF0FBD">
            <w:pPr>
              <w:autoSpaceDE w:val="0"/>
              <w:autoSpaceDN w:val="0"/>
              <w:spacing w:line="240" w:lineRule="auto"/>
              <w:jc w:val="right"/>
              <w:rPr>
                <w:sz w:val="20"/>
              </w:rPr>
            </w:pPr>
            <w:r w:rsidRPr="00F9712C">
              <w:rPr>
                <w:sz w:val="20"/>
              </w:rPr>
              <w:t>682.50</w:t>
            </w:r>
          </w:p>
        </w:tc>
        <w:tc>
          <w:tcPr>
            <w:tcW w:w="1418" w:type="dxa"/>
          </w:tcPr>
          <w:p w:rsidR="00EF0FBD" w:rsidRPr="00F9712C" w:rsidRDefault="00EF0FBD">
            <w:pPr>
              <w:autoSpaceDE w:val="0"/>
              <w:autoSpaceDN w:val="0"/>
              <w:spacing w:line="240" w:lineRule="auto"/>
              <w:jc w:val="right"/>
              <w:rPr>
                <w:sz w:val="20"/>
              </w:rPr>
            </w:pPr>
            <w:r w:rsidRPr="00F9712C">
              <w:rPr>
                <w:sz w:val="20"/>
              </w:rPr>
              <w:t>2.32</w:t>
            </w:r>
          </w:p>
        </w:tc>
        <w:tc>
          <w:tcPr>
            <w:tcW w:w="1276" w:type="dxa"/>
            <w:gridSpan w:val="2"/>
          </w:tcPr>
          <w:p w:rsidR="00EF0FBD" w:rsidRPr="00F9712C" w:rsidRDefault="00EF0FBD">
            <w:pPr>
              <w:autoSpaceDE w:val="0"/>
              <w:autoSpaceDN w:val="0"/>
              <w:spacing w:line="240" w:lineRule="auto"/>
              <w:jc w:val="right"/>
              <w:rPr>
                <w:sz w:val="20"/>
              </w:rPr>
            </w:pPr>
            <w:r w:rsidRPr="00F9712C">
              <w:rPr>
                <w:sz w:val="20"/>
              </w:rPr>
              <w:t>0.38</w:t>
            </w:r>
          </w:p>
        </w:tc>
        <w:tc>
          <w:tcPr>
            <w:tcW w:w="1134" w:type="dxa"/>
            <w:gridSpan w:val="2"/>
          </w:tcPr>
          <w:p w:rsidR="00EF0FBD" w:rsidRPr="00F9712C" w:rsidRDefault="00EF0FBD">
            <w:pPr>
              <w:autoSpaceDE w:val="0"/>
              <w:autoSpaceDN w:val="0"/>
              <w:spacing w:line="240" w:lineRule="auto"/>
              <w:jc w:val="right"/>
              <w:rPr>
                <w:sz w:val="20"/>
              </w:rPr>
            </w:pPr>
            <w:r w:rsidRPr="00F9712C">
              <w:rPr>
                <w:sz w:val="20"/>
              </w:rPr>
              <w:t>2.70</w:t>
            </w:r>
          </w:p>
        </w:tc>
      </w:tr>
      <w:tr w:rsidR="00EF0FBD" w:rsidRPr="00F9712C" w:rsidTr="00C4552A">
        <w:trPr>
          <w:trHeight w:hRule="exact" w:val="284"/>
        </w:trPr>
        <w:tc>
          <w:tcPr>
            <w:tcW w:w="1418" w:type="dxa"/>
          </w:tcPr>
          <w:p w:rsidR="00EF0FBD" w:rsidRPr="00F9712C" w:rsidRDefault="00EF0FBD">
            <w:pPr>
              <w:autoSpaceDE w:val="0"/>
              <w:autoSpaceDN w:val="0"/>
              <w:spacing w:line="240" w:lineRule="auto"/>
              <w:jc w:val="right"/>
              <w:rPr>
                <w:sz w:val="20"/>
              </w:rPr>
            </w:pPr>
            <w:r w:rsidRPr="00F9712C">
              <w:rPr>
                <w:sz w:val="20"/>
              </w:rPr>
              <w:t>1996</w:t>
            </w:r>
          </w:p>
        </w:tc>
        <w:tc>
          <w:tcPr>
            <w:tcW w:w="1418" w:type="dxa"/>
          </w:tcPr>
          <w:p w:rsidR="00EF0FBD" w:rsidRPr="00F9712C" w:rsidRDefault="00EF0FBD">
            <w:pPr>
              <w:autoSpaceDE w:val="0"/>
              <w:autoSpaceDN w:val="0"/>
              <w:spacing w:line="240" w:lineRule="auto"/>
              <w:jc w:val="right"/>
              <w:rPr>
                <w:sz w:val="20"/>
              </w:rPr>
            </w:pPr>
            <w:r w:rsidRPr="00F9712C">
              <w:rPr>
                <w:sz w:val="20"/>
              </w:rPr>
              <w:t>1200.00</w:t>
            </w:r>
          </w:p>
        </w:tc>
        <w:tc>
          <w:tcPr>
            <w:tcW w:w="1187" w:type="dxa"/>
          </w:tcPr>
          <w:p w:rsidR="00EF0FBD" w:rsidRPr="00F9712C" w:rsidRDefault="00EF0FBD">
            <w:pPr>
              <w:autoSpaceDE w:val="0"/>
              <w:autoSpaceDN w:val="0"/>
              <w:spacing w:line="240" w:lineRule="auto"/>
              <w:jc w:val="right"/>
              <w:rPr>
                <w:sz w:val="20"/>
              </w:rPr>
            </w:pPr>
            <w:r w:rsidRPr="00F9712C">
              <w:rPr>
                <w:sz w:val="20"/>
              </w:rPr>
              <w:t>3.30</w:t>
            </w:r>
          </w:p>
        </w:tc>
        <w:tc>
          <w:tcPr>
            <w:tcW w:w="1134" w:type="dxa"/>
          </w:tcPr>
          <w:p w:rsidR="00EF0FBD" w:rsidRPr="00F9712C" w:rsidRDefault="00EF0FBD">
            <w:pPr>
              <w:autoSpaceDE w:val="0"/>
              <w:autoSpaceDN w:val="0"/>
              <w:spacing w:line="240" w:lineRule="auto"/>
              <w:jc w:val="right"/>
              <w:rPr>
                <w:sz w:val="20"/>
              </w:rPr>
            </w:pPr>
            <w:r w:rsidRPr="00F9712C">
              <w:rPr>
                <w:sz w:val="20"/>
              </w:rPr>
              <w:t>1203.30</w:t>
            </w:r>
          </w:p>
        </w:tc>
        <w:tc>
          <w:tcPr>
            <w:tcW w:w="1418" w:type="dxa"/>
          </w:tcPr>
          <w:p w:rsidR="00EF0FBD" w:rsidRPr="00F9712C" w:rsidRDefault="00EF0FBD">
            <w:pPr>
              <w:autoSpaceDE w:val="0"/>
              <w:autoSpaceDN w:val="0"/>
              <w:spacing w:line="240" w:lineRule="auto"/>
              <w:jc w:val="right"/>
              <w:rPr>
                <w:sz w:val="20"/>
              </w:rPr>
            </w:pPr>
            <w:r w:rsidRPr="00F9712C">
              <w:rPr>
                <w:sz w:val="20"/>
              </w:rPr>
              <w:t>4.11</w:t>
            </w:r>
          </w:p>
        </w:tc>
        <w:tc>
          <w:tcPr>
            <w:tcW w:w="1276" w:type="dxa"/>
            <w:gridSpan w:val="2"/>
          </w:tcPr>
          <w:p w:rsidR="00EF0FBD" w:rsidRPr="00F9712C" w:rsidRDefault="00EF0FBD">
            <w:pPr>
              <w:autoSpaceDE w:val="0"/>
              <w:autoSpaceDN w:val="0"/>
              <w:spacing w:line="240" w:lineRule="auto"/>
              <w:jc w:val="right"/>
              <w:rPr>
                <w:sz w:val="20"/>
              </w:rPr>
            </w:pPr>
            <w:r w:rsidRPr="00F9712C">
              <w:rPr>
                <w:sz w:val="20"/>
              </w:rPr>
              <w:t>0.46</w:t>
            </w:r>
          </w:p>
        </w:tc>
        <w:tc>
          <w:tcPr>
            <w:tcW w:w="1134" w:type="dxa"/>
            <w:gridSpan w:val="2"/>
          </w:tcPr>
          <w:p w:rsidR="00EF0FBD" w:rsidRPr="00F9712C" w:rsidRDefault="00EF0FBD">
            <w:pPr>
              <w:autoSpaceDE w:val="0"/>
              <w:autoSpaceDN w:val="0"/>
              <w:spacing w:line="240" w:lineRule="auto"/>
              <w:jc w:val="right"/>
              <w:rPr>
                <w:sz w:val="20"/>
              </w:rPr>
            </w:pPr>
            <w:r w:rsidRPr="00F9712C">
              <w:rPr>
                <w:sz w:val="20"/>
              </w:rPr>
              <w:t>4.57</w:t>
            </w:r>
          </w:p>
        </w:tc>
      </w:tr>
      <w:tr w:rsidR="00EF0FBD" w:rsidRPr="00F9712C" w:rsidTr="00C4552A">
        <w:trPr>
          <w:trHeight w:hRule="exact" w:val="284"/>
        </w:trPr>
        <w:tc>
          <w:tcPr>
            <w:tcW w:w="1418" w:type="dxa"/>
            <w:tcBorders>
              <w:bottom w:val="single" w:sz="4" w:space="0" w:color="auto"/>
            </w:tcBorders>
          </w:tcPr>
          <w:p w:rsidR="00EF0FBD" w:rsidRPr="00F9712C" w:rsidRDefault="00EF0FBD">
            <w:pPr>
              <w:pStyle w:val="Heading1"/>
              <w:spacing w:line="240" w:lineRule="auto"/>
              <w:rPr>
                <w:sz w:val="20"/>
              </w:rPr>
            </w:pPr>
          </w:p>
        </w:tc>
        <w:tc>
          <w:tcPr>
            <w:tcW w:w="1418" w:type="dxa"/>
            <w:tcBorders>
              <w:bottom w:val="single" w:sz="4" w:space="0" w:color="auto"/>
            </w:tcBorders>
          </w:tcPr>
          <w:p w:rsidR="00EF0FBD" w:rsidRPr="00F9712C" w:rsidRDefault="00EF0FBD">
            <w:pPr>
              <w:autoSpaceDE w:val="0"/>
              <w:autoSpaceDN w:val="0"/>
              <w:spacing w:line="240" w:lineRule="auto"/>
              <w:rPr>
                <w:rFonts w:ascii="新細明體"/>
                <w:sz w:val="20"/>
              </w:rPr>
            </w:pPr>
          </w:p>
        </w:tc>
        <w:tc>
          <w:tcPr>
            <w:tcW w:w="1187" w:type="dxa"/>
            <w:tcBorders>
              <w:bottom w:val="single" w:sz="4" w:space="0" w:color="auto"/>
            </w:tcBorders>
          </w:tcPr>
          <w:p w:rsidR="00EF0FBD" w:rsidRPr="00F9712C" w:rsidRDefault="00EF0FBD">
            <w:pPr>
              <w:autoSpaceDE w:val="0"/>
              <w:autoSpaceDN w:val="0"/>
              <w:spacing w:line="240" w:lineRule="auto"/>
              <w:rPr>
                <w:rFonts w:ascii="新細明體"/>
                <w:sz w:val="20"/>
              </w:rPr>
            </w:pPr>
          </w:p>
        </w:tc>
        <w:tc>
          <w:tcPr>
            <w:tcW w:w="1134" w:type="dxa"/>
            <w:tcBorders>
              <w:bottom w:val="single" w:sz="4" w:space="0" w:color="auto"/>
            </w:tcBorders>
          </w:tcPr>
          <w:p w:rsidR="00EF0FBD" w:rsidRPr="00F9712C" w:rsidRDefault="00EF0FBD">
            <w:pPr>
              <w:autoSpaceDE w:val="0"/>
              <w:autoSpaceDN w:val="0"/>
              <w:spacing w:line="240" w:lineRule="auto"/>
              <w:rPr>
                <w:rFonts w:ascii="新細明體"/>
                <w:sz w:val="20"/>
              </w:rPr>
            </w:pPr>
          </w:p>
        </w:tc>
        <w:tc>
          <w:tcPr>
            <w:tcW w:w="1418" w:type="dxa"/>
            <w:tcBorders>
              <w:bottom w:val="single" w:sz="4" w:space="0" w:color="auto"/>
            </w:tcBorders>
          </w:tcPr>
          <w:p w:rsidR="00EF0FBD" w:rsidRPr="00F9712C" w:rsidRDefault="00EF0FBD">
            <w:pPr>
              <w:autoSpaceDE w:val="0"/>
              <w:autoSpaceDN w:val="0"/>
              <w:spacing w:line="240" w:lineRule="auto"/>
              <w:rPr>
                <w:rFonts w:ascii="新細明體"/>
                <w:sz w:val="20"/>
              </w:rPr>
            </w:pPr>
          </w:p>
        </w:tc>
        <w:tc>
          <w:tcPr>
            <w:tcW w:w="1276" w:type="dxa"/>
            <w:gridSpan w:val="2"/>
            <w:tcBorders>
              <w:bottom w:val="single" w:sz="4" w:space="0" w:color="auto"/>
            </w:tcBorders>
          </w:tcPr>
          <w:p w:rsidR="00EF0FBD" w:rsidRPr="00F9712C" w:rsidRDefault="00EF0FBD">
            <w:pPr>
              <w:autoSpaceDE w:val="0"/>
              <w:autoSpaceDN w:val="0"/>
              <w:spacing w:line="240" w:lineRule="auto"/>
              <w:rPr>
                <w:rFonts w:ascii="新細明體"/>
                <w:sz w:val="20"/>
              </w:rPr>
            </w:pPr>
          </w:p>
        </w:tc>
        <w:tc>
          <w:tcPr>
            <w:tcW w:w="1134" w:type="dxa"/>
            <w:gridSpan w:val="2"/>
            <w:tcBorders>
              <w:bottom w:val="single" w:sz="4" w:space="0" w:color="auto"/>
            </w:tcBorders>
          </w:tcPr>
          <w:p w:rsidR="00EF0FBD" w:rsidRPr="00F9712C" w:rsidRDefault="00EF0FBD">
            <w:pPr>
              <w:autoSpaceDE w:val="0"/>
              <w:autoSpaceDN w:val="0"/>
              <w:spacing w:line="240" w:lineRule="auto"/>
              <w:rPr>
                <w:rFonts w:ascii="新細明體"/>
                <w:sz w:val="20"/>
              </w:rPr>
            </w:pPr>
          </w:p>
        </w:tc>
      </w:tr>
      <w:tr w:rsidR="00EF0FBD" w:rsidRPr="00F9712C" w:rsidTr="00C4552A">
        <w:trPr>
          <w:trHeight w:hRule="exact" w:val="284"/>
        </w:trPr>
        <w:tc>
          <w:tcPr>
            <w:tcW w:w="1418" w:type="dxa"/>
            <w:tcBorders>
              <w:top w:val="single" w:sz="4" w:space="0" w:color="auto"/>
            </w:tcBorders>
          </w:tcPr>
          <w:p w:rsidR="00EF0FBD" w:rsidRPr="00F9712C" w:rsidRDefault="00EF0FBD">
            <w:pPr>
              <w:pStyle w:val="Heading1"/>
              <w:spacing w:line="240" w:lineRule="auto"/>
              <w:rPr>
                <w:sz w:val="20"/>
              </w:rPr>
            </w:pPr>
            <w:r w:rsidRPr="00F9712C">
              <w:rPr>
                <w:sz w:val="20"/>
              </w:rPr>
              <w:t>Shenzhen</w:t>
            </w:r>
          </w:p>
        </w:tc>
        <w:tc>
          <w:tcPr>
            <w:tcW w:w="1418" w:type="dxa"/>
            <w:tcBorders>
              <w:top w:val="single" w:sz="4" w:space="0" w:color="auto"/>
            </w:tcBorders>
          </w:tcPr>
          <w:p w:rsidR="00EF0FBD" w:rsidRPr="00F9712C" w:rsidRDefault="00EF0FBD">
            <w:pPr>
              <w:autoSpaceDE w:val="0"/>
              <w:autoSpaceDN w:val="0"/>
              <w:spacing w:line="240" w:lineRule="auto"/>
              <w:rPr>
                <w:rFonts w:ascii="新細明體"/>
                <w:sz w:val="20"/>
              </w:rPr>
            </w:pPr>
          </w:p>
        </w:tc>
        <w:tc>
          <w:tcPr>
            <w:tcW w:w="1187" w:type="dxa"/>
            <w:tcBorders>
              <w:top w:val="single" w:sz="4" w:space="0" w:color="auto"/>
            </w:tcBorders>
          </w:tcPr>
          <w:p w:rsidR="00EF0FBD" w:rsidRPr="00F9712C" w:rsidRDefault="00EF0FBD">
            <w:pPr>
              <w:autoSpaceDE w:val="0"/>
              <w:autoSpaceDN w:val="0"/>
              <w:spacing w:line="240" w:lineRule="auto"/>
              <w:rPr>
                <w:rFonts w:ascii="新細明體"/>
                <w:sz w:val="20"/>
              </w:rPr>
            </w:pPr>
          </w:p>
        </w:tc>
        <w:tc>
          <w:tcPr>
            <w:tcW w:w="1134" w:type="dxa"/>
            <w:tcBorders>
              <w:top w:val="single" w:sz="4" w:space="0" w:color="auto"/>
            </w:tcBorders>
          </w:tcPr>
          <w:p w:rsidR="00EF0FBD" w:rsidRPr="00F9712C" w:rsidRDefault="00EF0FBD">
            <w:pPr>
              <w:autoSpaceDE w:val="0"/>
              <w:autoSpaceDN w:val="0"/>
              <w:spacing w:line="240" w:lineRule="auto"/>
              <w:rPr>
                <w:rFonts w:ascii="新細明體"/>
                <w:sz w:val="20"/>
              </w:rPr>
            </w:pPr>
          </w:p>
        </w:tc>
        <w:tc>
          <w:tcPr>
            <w:tcW w:w="1418" w:type="dxa"/>
            <w:tcBorders>
              <w:top w:val="single" w:sz="4" w:space="0" w:color="auto"/>
            </w:tcBorders>
          </w:tcPr>
          <w:p w:rsidR="00EF0FBD" w:rsidRPr="00F9712C" w:rsidRDefault="00EF0FBD">
            <w:pPr>
              <w:autoSpaceDE w:val="0"/>
              <w:autoSpaceDN w:val="0"/>
              <w:spacing w:line="240" w:lineRule="auto"/>
              <w:rPr>
                <w:rFonts w:ascii="新細明體"/>
                <w:sz w:val="20"/>
              </w:rPr>
            </w:pPr>
          </w:p>
        </w:tc>
        <w:tc>
          <w:tcPr>
            <w:tcW w:w="1276" w:type="dxa"/>
            <w:gridSpan w:val="2"/>
            <w:tcBorders>
              <w:top w:val="single" w:sz="4" w:space="0" w:color="auto"/>
            </w:tcBorders>
          </w:tcPr>
          <w:p w:rsidR="00EF0FBD" w:rsidRPr="00F9712C" w:rsidRDefault="00EF0FBD">
            <w:pPr>
              <w:autoSpaceDE w:val="0"/>
              <w:autoSpaceDN w:val="0"/>
              <w:spacing w:line="240" w:lineRule="auto"/>
              <w:rPr>
                <w:rFonts w:ascii="新細明體"/>
                <w:sz w:val="20"/>
              </w:rPr>
            </w:pPr>
          </w:p>
        </w:tc>
        <w:tc>
          <w:tcPr>
            <w:tcW w:w="1134" w:type="dxa"/>
            <w:gridSpan w:val="2"/>
            <w:tcBorders>
              <w:top w:val="single" w:sz="4" w:space="0" w:color="auto"/>
            </w:tcBorders>
          </w:tcPr>
          <w:p w:rsidR="00EF0FBD" w:rsidRPr="00F9712C" w:rsidRDefault="00EF0FBD">
            <w:pPr>
              <w:autoSpaceDE w:val="0"/>
              <w:autoSpaceDN w:val="0"/>
              <w:spacing w:line="240" w:lineRule="auto"/>
              <w:rPr>
                <w:rFonts w:ascii="新細明體"/>
                <w:sz w:val="20"/>
              </w:rPr>
            </w:pPr>
          </w:p>
        </w:tc>
      </w:tr>
      <w:tr w:rsidR="00EF0FBD" w:rsidRPr="00F9712C" w:rsidTr="00C4552A">
        <w:trPr>
          <w:trHeight w:hRule="exact" w:val="284"/>
        </w:trPr>
        <w:tc>
          <w:tcPr>
            <w:tcW w:w="1418"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Year</w:t>
            </w:r>
          </w:p>
        </w:tc>
        <w:tc>
          <w:tcPr>
            <w:tcW w:w="1418"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Person</w:t>
            </w:r>
          </w:p>
        </w:tc>
        <w:tc>
          <w:tcPr>
            <w:tcW w:w="1187"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Company</w:t>
            </w:r>
          </w:p>
        </w:tc>
        <w:tc>
          <w:tcPr>
            <w:tcW w:w="1134"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Total</w:t>
            </w:r>
          </w:p>
        </w:tc>
        <w:tc>
          <w:tcPr>
            <w:tcW w:w="1418"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Person</w:t>
            </w:r>
          </w:p>
        </w:tc>
        <w:tc>
          <w:tcPr>
            <w:tcW w:w="1276" w:type="dxa"/>
            <w:gridSpan w:val="2"/>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Company</w:t>
            </w:r>
          </w:p>
        </w:tc>
        <w:tc>
          <w:tcPr>
            <w:tcW w:w="1134" w:type="dxa"/>
            <w:gridSpan w:val="2"/>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Total</w:t>
            </w:r>
          </w:p>
        </w:tc>
      </w:tr>
      <w:tr w:rsidR="00EF0FBD" w:rsidRPr="00F9712C" w:rsidTr="00C4552A">
        <w:trPr>
          <w:trHeight w:hRule="exact" w:val="284"/>
        </w:trPr>
        <w:tc>
          <w:tcPr>
            <w:tcW w:w="1418" w:type="dxa"/>
          </w:tcPr>
          <w:p w:rsidR="00EF0FBD" w:rsidRPr="00F9712C" w:rsidRDefault="00EF0FBD">
            <w:pPr>
              <w:autoSpaceDE w:val="0"/>
              <w:autoSpaceDN w:val="0"/>
              <w:spacing w:line="240" w:lineRule="auto"/>
              <w:jc w:val="right"/>
              <w:rPr>
                <w:sz w:val="20"/>
              </w:rPr>
            </w:pPr>
            <w:r w:rsidRPr="00F9712C">
              <w:rPr>
                <w:sz w:val="20"/>
              </w:rPr>
              <w:t>1992</w:t>
            </w:r>
          </w:p>
        </w:tc>
        <w:tc>
          <w:tcPr>
            <w:tcW w:w="1418" w:type="dxa"/>
          </w:tcPr>
          <w:p w:rsidR="00EF0FBD" w:rsidRPr="00F9712C" w:rsidRDefault="00EF0FBD">
            <w:pPr>
              <w:autoSpaceDE w:val="0"/>
              <w:autoSpaceDN w:val="0"/>
              <w:spacing w:line="240" w:lineRule="auto"/>
              <w:jc w:val="right"/>
              <w:rPr>
                <w:sz w:val="20"/>
              </w:rPr>
            </w:pPr>
            <w:r w:rsidRPr="00F9712C">
              <w:rPr>
                <w:sz w:val="20"/>
              </w:rPr>
              <w:t>104.91</w:t>
            </w:r>
          </w:p>
        </w:tc>
        <w:tc>
          <w:tcPr>
            <w:tcW w:w="1187" w:type="dxa"/>
          </w:tcPr>
          <w:p w:rsidR="00EF0FBD" w:rsidRPr="00F9712C" w:rsidRDefault="00EF0FBD">
            <w:pPr>
              <w:autoSpaceDE w:val="0"/>
              <w:autoSpaceDN w:val="0"/>
              <w:spacing w:line="240" w:lineRule="auto"/>
              <w:jc w:val="right"/>
              <w:rPr>
                <w:sz w:val="20"/>
              </w:rPr>
            </w:pPr>
            <w:r w:rsidRPr="00F9712C">
              <w:rPr>
                <w:sz w:val="20"/>
              </w:rPr>
              <w:t>0.14</w:t>
            </w:r>
          </w:p>
        </w:tc>
        <w:tc>
          <w:tcPr>
            <w:tcW w:w="1134" w:type="dxa"/>
          </w:tcPr>
          <w:p w:rsidR="00EF0FBD" w:rsidRPr="00F9712C" w:rsidRDefault="00EF0FBD">
            <w:pPr>
              <w:autoSpaceDE w:val="0"/>
              <w:autoSpaceDN w:val="0"/>
              <w:spacing w:line="240" w:lineRule="auto"/>
              <w:jc w:val="right"/>
              <w:rPr>
                <w:sz w:val="20"/>
              </w:rPr>
            </w:pPr>
            <w:r w:rsidRPr="00F9712C">
              <w:rPr>
                <w:sz w:val="20"/>
              </w:rPr>
              <w:t>105.05</w:t>
            </w:r>
          </w:p>
        </w:tc>
        <w:tc>
          <w:tcPr>
            <w:tcW w:w="1418" w:type="dxa"/>
          </w:tcPr>
          <w:p w:rsidR="00EF0FBD" w:rsidRPr="00F9712C" w:rsidRDefault="00EF0FBD">
            <w:pPr>
              <w:autoSpaceDE w:val="0"/>
              <w:autoSpaceDN w:val="0"/>
              <w:spacing w:line="240" w:lineRule="auto"/>
              <w:jc w:val="right"/>
              <w:rPr>
                <w:sz w:val="20"/>
              </w:rPr>
            </w:pPr>
            <w:r w:rsidRPr="00F9712C">
              <w:rPr>
                <w:sz w:val="20"/>
              </w:rPr>
              <w:t>0.26</w:t>
            </w:r>
          </w:p>
        </w:tc>
        <w:tc>
          <w:tcPr>
            <w:tcW w:w="1276" w:type="dxa"/>
            <w:gridSpan w:val="2"/>
          </w:tcPr>
          <w:p w:rsidR="00EF0FBD" w:rsidRPr="00F9712C" w:rsidRDefault="00EF0FBD">
            <w:pPr>
              <w:autoSpaceDE w:val="0"/>
              <w:autoSpaceDN w:val="0"/>
              <w:spacing w:line="240" w:lineRule="auto"/>
              <w:jc w:val="right"/>
              <w:rPr>
                <w:sz w:val="20"/>
              </w:rPr>
            </w:pPr>
            <w:r w:rsidRPr="00F9712C">
              <w:rPr>
                <w:sz w:val="20"/>
              </w:rPr>
              <w:t>0.11</w:t>
            </w:r>
          </w:p>
        </w:tc>
        <w:tc>
          <w:tcPr>
            <w:tcW w:w="1134" w:type="dxa"/>
            <w:gridSpan w:val="2"/>
          </w:tcPr>
          <w:p w:rsidR="00EF0FBD" w:rsidRPr="00F9712C" w:rsidRDefault="00EF0FBD">
            <w:pPr>
              <w:autoSpaceDE w:val="0"/>
              <w:autoSpaceDN w:val="0"/>
              <w:spacing w:line="240" w:lineRule="auto"/>
              <w:jc w:val="right"/>
              <w:rPr>
                <w:sz w:val="20"/>
              </w:rPr>
            </w:pPr>
            <w:r w:rsidRPr="00F9712C">
              <w:rPr>
                <w:sz w:val="20"/>
              </w:rPr>
              <w:t>0.37</w:t>
            </w:r>
          </w:p>
        </w:tc>
      </w:tr>
      <w:tr w:rsidR="00EF0FBD" w:rsidRPr="00F9712C" w:rsidTr="00C4552A">
        <w:trPr>
          <w:trHeight w:hRule="exact" w:val="284"/>
        </w:trPr>
        <w:tc>
          <w:tcPr>
            <w:tcW w:w="1418" w:type="dxa"/>
          </w:tcPr>
          <w:p w:rsidR="00EF0FBD" w:rsidRPr="00F9712C" w:rsidRDefault="00EF0FBD">
            <w:pPr>
              <w:autoSpaceDE w:val="0"/>
              <w:autoSpaceDN w:val="0"/>
              <w:spacing w:line="240" w:lineRule="auto"/>
              <w:jc w:val="right"/>
              <w:rPr>
                <w:sz w:val="20"/>
              </w:rPr>
            </w:pPr>
            <w:r w:rsidRPr="00F9712C">
              <w:rPr>
                <w:sz w:val="20"/>
              </w:rPr>
              <w:t>1993</w:t>
            </w:r>
          </w:p>
        </w:tc>
        <w:tc>
          <w:tcPr>
            <w:tcW w:w="1418" w:type="dxa"/>
          </w:tcPr>
          <w:p w:rsidR="00EF0FBD" w:rsidRPr="00F9712C" w:rsidRDefault="00EF0FBD">
            <w:pPr>
              <w:autoSpaceDE w:val="0"/>
              <w:autoSpaceDN w:val="0"/>
              <w:spacing w:line="240" w:lineRule="auto"/>
              <w:jc w:val="right"/>
              <w:rPr>
                <w:sz w:val="20"/>
              </w:rPr>
            </w:pPr>
            <w:r w:rsidRPr="00F9712C">
              <w:rPr>
                <w:sz w:val="20"/>
              </w:rPr>
              <w:t>352.22</w:t>
            </w:r>
          </w:p>
        </w:tc>
        <w:tc>
          <w:tcPr>
            <w:tcW w:w="1187" w:type="dxa"/>
          </w:tcPr>
          <w:p w:rsidR="00EF0FBD" w:rsidRPr="00F9712C" w:rsidRDefault="00EF0FBD">
            <w:pPr>
              <w:autoSpaceDE w:val="0"/>
              <w:autoSpaceDN w:val="0"/>
              <w:spacing w:line="240" w:lineRule="auto"/>
              <w:jc w:val="right"/>
              <w:rPr>
                <w:sz w:val="20"/>
              </w:rPr>
            </w:pPr>
            <w:r w:rsidRPr="00F9712C">
              <w:rPr>
                <w:sz w:val="20"/>
              </w:rPr>
              <w:t>1.05</w:t>
            </w:r>
          </w:p>
        </w:tc>
        <w:tc>
          <w:tcPr>
            <w:tcW w:w="1134" w:type="dxa"/>
          </w:tcPr>
          <w:p w:rsidR="00EF0FBD" w:rsidRPr="00F9712C" w:rsidRDefault="00EF0FBD">
            <w:pPr>
              <w:autoSpaceDE w:val="0"/>
              <w:autoSpaceDN w:val="0"/>
              <w:spacing w:line="240" w:lineRule="auto"/>
              <w:jc w:val="right"/>
              <w:rPr>
                <w:sz w:val="20"/>
              </w:rPr>
            </w:pPr>
            <w:r w:rsidRPr="00F9712C">
              <w:rPr>
                <w:sz w:val="20"/>
              </w:rPr>
              <w:t>353.28</w:t>
            </w:r>
          </w:p>
        </w:tc>
        <w:tc>
          <w:tcPr>
            <w:tcW w:w="1418" w:type="dxa"/>
          </w:tcPr>
          <w:p w:rsidR="00EF0FBD" w:rsidRPr="00F9712C" w:rsidRDefault="00EF0FBD">
            <w:pPr>
              <w:autoSpaceDE w:val="0"/>
              <w:autoSpaceDN w:val="0"/>
              <w:spacing w:line="240" w:lineRule="auto"/>
              <w:jc w:val="right"/>
              <w:rPr>
                <w:sz w:val="20"/>
              </w:rPr>
            </w:pPr>
            <w:r w:rsidRPr="00F9712C">
              <w:rPr>
                <w:sz w:val="20"/>
              </w:rPr>
              <w:t>0.68</w:t>
            </w:r>
          </w:p>
        </w:tc>
        <w:tc>
          <w:tcPr>
            <w:tcW w:w="1276" w:type="dxa"/>
            <w:gridSpan w:val="2"/>
          </w:tcPr>
          <w:p w:rsidR="00EF0FBD" w:rsidRPr="00F9712C" w:rsidRDefault="00EF0FBD">
            <w:pPr>
              <w:autoSpaceDE w:val="0"/>
              <w:autoSpaceDN w:val="0"/>
              <w:spacing w:line="240" w:lineRule="auto"/>
              <w:jc w:val="right"/>
              <w:rPr>
                <w:sz w:val="20"/>
              </w:rPr>
            </w:pPr>
            <w:r w:rsidRPr="00F9712C">
              <w:rPr>
                <w:sz w:val="20"/>
              </w:rPr>
              <w:t>0.20</w:t>
            </w:r>
          </w:p>
        </w:tc>
        <w:tc>
          <w:tcPr>
            <w:tcW w:w="1134" w:type="dxa"/>
            <w:gridSpan w:val="2"/>
          </w:tcPr>
          <w:p w:rsidR="00EF0FBD" w:rsidRPr="00F9712C" w:rsidRDefault="00EF0FBD">
            <w:pPr>
              <w:autoSpaceDE w:val="0"/>
              <w:autoSpaceDN w:val="0"/>
              <w:spacing w:line="240" w:lineRule="auto"/>
              <w:jc w:val="right"/>
              <w:rPr>
                <w:sz w:val="20"/>
              </w:rPr>
            </w:pPr>
            <w:r w:rsidRPr="00F9712C">
              <w:rPr>
                <w:sz w:val="20"/>
              </w:rPr>
              <w:t>0.88</w:t>
            </w:r>
          </w:p>
        </w:tc>
      </w:tr>
      <w:tr w:rsidR="00EF0FBD" w:rsidRPr="00F9712C" w:rsidTr="00C4552A">
        <w:trPr>
          <w:trHeight w:hRule="exact" w:val="284"/>
        </w:trPr>
        <w:tc>
          <w:tcPr>
            <w:tcW w:w="1418" w:type="dxa"/>
          </w:tcPr>
          <w:p w:rsidR="00EF0FBD" w:rsidRPr="00F9712C" w:rsidRDefault="00EF0FBD">
            <w:pPr>
              <w:autoSpaceDE w:val="0"/>
              <w:autoSpaceDN w:val="0"/>
              <w:spacing w:line="240" w:lineRule="auto"/>
              <w:jc w:val="right"/>
              <w:rPr>
                <w:sz w:val="20"/>
              </w:rPr>
            </w:pPr>
            <w:r w:rsidRPr="00F9712C">
              <w:rPr>
                <w:sz w:val="20"/>
              </w:rPr>
              <w:t>1994</w:t>
            </w:r>
          </w:p>
        </w:tc>
        <w:tc>
          <w:tcPr>
            <w:tcW w:w="1418" w:type="dxa"/>
          </w:tcPr>
          <w:p w:rsidR="00EF0FBD" w:rsidRPr="00F9712C" w:rsidRDefault="00EF0FBD">
            <w:pPr>
              <w:autoSpaceDE w:val="0"/>
              <w:autoSpaceDN w:val="0"/>
              <w:spacing w:line="240" w:lineRule="auto"/>
              <w:jc w:val="right"/>
              <w:rPr>
                <w:sz w:val="20"/>
              </w:rPr>
            </w:pPr>
            <w:r w:rsidRPr="00F9712C">
              <w:rPr>
                <w:sz w:val="20"/>
              </w:rPr>
              <w:t>480.72</w:t>
            </w:r>
          </w:p>
        </w:tc>
        <w:tc>
          <w:tcPr>
            <w:tcW w:w="1187" w:type="dxa"/>
          </w:tcPr>
          <w:p w:rsidR="00EF0FBD" w:rsidRPr="00F9712C" w:rsidRDefault="00EF0FBD">
            <w:pPr>
              <w:autoSpaceDE w:val="0"/>
              <w:autoSpaceDN w:val="0"/>
              <w:spacing w:line="240" w:lineRule="auto"/>
              <w:jc w:val="right"/>
              <w:rPr>
                <w:sz w:val="20"/>
              </w:rPr>
            </w:pPr>
            <w:r w:rsidRPr="00F9712C">
              <w:rPr>
                <w:sz w:val="20"/>
              </w:rPr>
              <w:t>2.27</w:t>
            </w:r>
          </w:p>
        </w:tc>
        <w:tc>
          <w:tcPr>
            <w:tcW w:w="1134" w:type="dxa"/>
          </w:tcPr>
          <w:p w:rsidR="00EF0FBD" w:rsidRPr="00F9712C" w:rsidRDefault="00EF0FBD">
            <w:pPr>
              <w:autoSpaceDE w:val="0"/>
              <w:autoSpaceDN w:val="0"/>
              <w:spacing w:line="240" w:lineRule="auto"/>
              <w:jc w:val="right"/>
              <w:rPr>
                <w:sz w:val="20"/>
              </w:rPr>
            </w:pPr>
            <w:r w:rsidRPr="00F9712C">
              <w:rPr>
                <w:sz w:val="20"/>
              </w:rPr>
              <w:t>483.00</w:t>
            </w:r>
          </w:p>
        </w:tc>
        <w:tc>
          <w:tcPr>
            <w:tcW w:w="1418" w:type="dxa"/>
          </w:tcPr>
          <w:p w:rsidR="00EF0FBD" w:rsidRPr="00F9712C" w:rsidRDefault="00EF0FBD">
            <w:pPr>
              <w:autoSpaceDE w:val="0"/>
              <w:autoSpaceDN w:val="0"/>
              <w:spacing w:line="240" w:lineRule="auto"/>
              <w:jc w:val="right"/>
              <w:rPr>
                <w:sz w:val="20"/>
              </w:rPr>
            </w:pPr>
            <w:r w:rsidRPr="00F9712C">
              <w:rPr>
                <w:sz w:val="20"/>
              </w:rPr>
              <w:t>0.80</w:t>
            </w:r>
          </w:p>
        </w:tc>
        <w:tc>
          <w:tcPr>
            <w:tcW w:w="1276" w:type="dxa"/>
            <w:gridSpan w:val="2"/>
          </w:tcPr>
          <w:p w:rsidR="00EF0FBD" w:rsidRPr="00F9712C" w:rsidRDefault="00EF0FBD">
            <w:pPr>
              <w:autoSpaceDE w:val="0"/>
              <w:autoSpaceDN w:val="0"/>
              <w:spacing w:line="240" w:lineRule="auto"/>
              <w:jc w:val="right"/>
              <w:rPr>
                <w:sz w:val="20"/>
              </w:rPr>
            </w:pPr>
            <w:r w:rsidRPr="00F9712C">
              <w:rPr>
                <w:sz w:val="20"/>
              </w:rPr>
              <w:t>0.30</w:t>
            </w:r>
          </w:p>
        </w:tc>
        <w:tc>
          <w:tcPr>
            <w:tcW w:w="1134" w:type="dxa"/>
            <w:gridSpan w:val="2"/>
          </w:tcPr>
          <w:p w:rsidR="00EF0FBD" w:rsidRPr="00F9712C" w:rsidRDefault="00EF0FBD">
            <w:pPr>
              <w:autoSpaceDE w:val="0"/>
              <w:autoSpaceDN w:val="0"/>
              <w:spacing w:line="240" w:lineRule="auto"/>
              <w:jc w:val="right"/>
              <w:rPr>
                <w:sz w:val="20"/>
              </w:rPr>
            </w:pPr>
            <w:r w:rsidRPr="00F9712C">
              <w:rPr>
                <w:sz w:val="20"/>
              </w:rPr>
              <w:t>1.10</w:t>
            </w:r>
          </w:p>
        </w:tc>
      </w:tr>
      <w:tr w:rsidR="00EF0FBD" w:rsidRPr="00F9712C" w:rsidTr="00C4552A">
        <w:trPr>
          <w:trHeight w:hRule="exact" w:val="284"/>
        </w:trPr>
        <w:tc>
          <w:tcPr>
            <w:tcW w:w="1418" w:type="dxa"/>
          </w:tcPr>
          <w:p w:rsidR="00EF0FBD" w:rsidRPr="00F9712C" w:rsidRDefault="00EF0FBD">
            <w:pPr>
              <w:autoSpaceDE w:val="0"/>
              <w:autoSpaceDN w:val="0"/>
              <w:spacing w:line="240" w:lineRule="auto"/>
              <w:jc w:val="right"/>
              <w:rPr>
                <w:sz w:val="20"/>
              </w:rPr>
            </w:pPr>
            <w:r w:rsidRPr="00F9712C">
              <w:rPr>
                <w:sz w:val="20"/>
              </w:rPr>
              <w:t>1995</w:t>
            </w:r>
          </w:p>
        </w:tc>
        <w:tc>
          <w:tcPr>
            <w:tcW w:w="1418" w:type="dxa"/>
          </w:tcPr>
          <w:p w:rsidR="00EF0FBD" w:rsidRPr="00F9712C" w:rsidRDefault="00EF0FBD">
            <w:pPr>
              <w:autoSpaceDE w:val="0"/>
              <w:autoSpaceDN w:val="0"/>
              <w:spacing w:line="240" w:lineRule="auto"/>
              <w:jc w:val="right"/>
              <w:rPr>
                <w:sz w:val="20"/>
              </w:rPr>
            </w:pPr>
            <w:r w:rsidRPr="00F9712C">
              <w:rPr>
                <w:sz w:val="20"/>
              </w:rPr>
              <w:t>551.90</w:t>
            </w:r>
          </w:p>
        </w:tc>
        <w:tc>
          <w:tcPr>
            <w:tcW w:w="1187" w:type="dxa"/>
          </w:tcPr>
          <w:p w:rsidR="00EF0FBD" w:rsidRPr="00F9712C" w:rsidRDefault="00EF0FBD">
            <w:pPr>
              <w:autoSpaceDE w:val="0"/>
              <w:autoSpaceDN w:val="0"/>
              <w:spacing w:line="240" w:lineRule="auto"/>
              <w:jc w:val="right"/>
              <w:rPr>
                <w:sz w:val="20"/>
              </w:rPr>
            </w:pPr>
            <w:r w:rsidRPr="00F9712C">
              <w:rPr>
                <w:sz w:val="20"/>
              </w:rPr>
              <w:t>3.14</w:t>
            </w:r>
          </w:p>
        </w:tc>
        <w:tc>
          <w:tcPr>
            <w:tcW w:w="1134" w:type="dxa"/>
          </w:tcPr>
          <w:p w:rsidR="00EF0FBD" w:rsidRPr="00F9712C" w:rsidRDefault="00EF0FBD">
            <w:pPr>
              <w:autoSpaceDE w:val="0"/>
              <w:autoSpaceDN w:val="0"/>
              <w:spacing w:line="240" w:lineRule="auto"/>
              <w:jc w:val="right"/>
              <w:rPr>
                <w:sz w:val="20"/>
              </w:rPr>
            </w:pPr>
            <w:r w:rsidRPr="00F9712C">
              <w:rPr>
                <w:sz w:val="20"/>
              </w:rPr>
              <w:t>555.04</w:t>
            </w:r>
          </w:p>
        </w:tc>
        <w:tc>
          <w:tcPr>
            <w:tcW w:w="1418" w:type="dxa"/>
          </w:tcPr>
          <w:p w:rsidR="00EF0FBD" w:rsidRPr="00F9712C" w:rsidRDefault="00EF0FBD">
            <w:pPr>
              <w:autoSpaceDE w:val="0"/>
              <w:autoSpaceDN w:val="0"/>
              <w:spacing w:line="240" w:lineRule="auto"/>
              <w:jc w:val="right"/>
              <w:rPr>
                <w:sz w:val="20"/>
              </w:rPr>
            </w:pPr>
            <w:r w:rsidRPr="00F9712C">
              <w:rPr>
                <w:sz w:val="20"/>
              </w:rPr>
              <w:t>1.86</w:t>
            </w:r>
          </w:p>
        </w:tc>
        <w:tc>
          <w:tcPr>
            <w:tcW w:w="1276" w:type="dxa"/>
            <w:gridSpan w:val="2"/>
          </w:tcPr>
          <w:p w:rsidR="00EF0FBD" w:rsidRPr="00F9712C" w:rsidRDefault="00EF0FBD">
            <w:pPr>
              <w:autoSpaceDE w:val="0"/>
              <w:autoSpaceDN w:val="0"/>
              <w:spacing w:line="240" w:lineRule="auto"/>
              <w:jc w:val="right"/>
              <w:rPr>
                <w:sz w:val="20"/>
              </w:rPr>
            </w:pPr>
            <w:r w:rsidRPr="00F9712C">
              <w:rPr>
                <w:sz w:val="20"/>
              </w:rPr>
              <w:t>0.36</w:t>
            </w:r>
          </w:p>
        </w:tc>
        <w:tc>
          <w:tcPr>
            <w:tcW w:w="1134" w:type="dxa"/>
            <w:gridSpan w:val="2"/>
          </w:tcPr>
          <w:p w:rsidR="00EF0FBD" w:rsidRPr="00F9712C" w:rsidRDefault="00EF0FBD">
            <w:pPr>
              <w:autoSpaceDE w:val="0"/>
              <w:autoSpaceDN w:val="0"/>
              <w:spacing w:line="240" w:lineRule="auto"/>
              <w:jc w:val="right"/>
              <w:rPr>
                <w:sz w:val="20"/>
              </w:rPr>
            </w:pPr>
            <w:r w:rsidRPr="00F9712C">
              <w:rPr>
                <w:sz w:val="20"/>
              </w:rPr>
              <w:t>2.23</w:t>
            </w:r>
          </w:p>
        </w:tc>
      </w:tr>
      <w:tr w:rsidR="00EF0FBD" w:rsidRPr="00F9712C" w:rsidTr="00C4552A">
        <w:trPr>
          <w:trHeight w:hRule="exact" w:val="284"/>
        </w:trPr>
        <w:tc>
          <w:tcPr>
            <w:tcW w:w="1418"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1996</w:t>
            </w:r>
          </w:p>
        </w:tc>
        <w:tc>
          <w:tcPr>
            <w:tcW w:w="1418"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1085.30</w:t>
            </w:r>
          </w:p>
        </w:tc>
        <w:tc>
          <w:tcPr>
            <w:tcW w:w="1187"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4.27</w:t>
            </w:r>
          </w:p>
        </w:tc>
        <w:tc>
          <w:tcPr>
            <w:tcW w:w="1134"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1089.58</w:t>
            </w:r>
          </w:p>
        </w:tc>
        <w:tc>
          <w:tcPr>
            <w:tcW w:w="1418" w:type="dxa"/>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8.91</w:t>
            </w:r>
          </w:p>
        </w:tc>
        <w:tc>
          <w:tcPr>
            <w:tcW w:w="1276" w:type="dxa"/>
            <w:gridSpan w:val="2"/>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0.45</w:t>
            </w:r>
          </w:p>
        </w:tc>
        <w:tc>
          <w:tcPr>
            <w:tcW w:w="1134" w:type="dxa"/>
            <w:gridSpan w:val="2"/>
            <w:tcBorders>
              <w:bottom w:val="single" w:sz="4" w:space="0" w:color="auto"/>
            </w:tcBorders>
          </w:tcPr>
          <w:p w:rsidR="00EF0FBD" w:rsidRPr="00F9712C" w:rsidRDefault="00EF0FBD">
            <w:pPr>
              <w:autoSpaceDE w:val="0"/>
              <w:autoSpaceDN w:val="0"/>
              <w:spacing w:line="240" w:lineRule="auto"/>
              <w:jc w:val="right"/>
              <w:rPr>
                <w:sz w:val="20"/>
              </w:rPr>
            </w:pPr>
            <w:r w:rsidRPr="00F9712C">
              <w:rPr>
                <w:sz w:val="20"/>
              </w:rPr>
              <w:t>9.36</w:t>
            </w:r>
          </w:p>
        </w:tc>
      </w:tr>
    </w:tbl>
    <w:p w:rsidR="009A6708" w:rsidRPr="00F9712C" w:rsidRDefault="004E3C3F">
      <w:pPr>
        <w:autoSpaceDE w:val="0"/>
        <w:autoSpaceDN w:val="0"/>
        <w:rPr>
          <w:sz w:val="18"/>
        </w:rPr>
      </w:pPr>
      <w:r w:rsidRPr="00F9712C">
        <w:rPr>
          <w:sz w:val="18"/>
        </w:rPr>
        <w:t>Sources: Shanghai Stock Exchange Statistics Annual</w:t>
      </w:r>
      <w:r w:rsidR="00FB2F3D" w:rsidRPr="00F9712C">
        <w:rPr>
          <w:rFonts w:hint="eastAsia"/>
          <w:sz w:val="18"/>
        </w:rPr>
        <w:t xml:space="preserve"> and</w:t>
      </w:r>
      <w:r w:rsidRPr="00F9712C">
        <w:rPr>
          <w:sz w:val="18"/>
        </w:rPr>
        <w:t xml:space="preserve"> Shenzhen Stock Exchange Fact Book</w:t>
      </w:r>
      <w:r w:rsidR="00FB2F3D" w:rsidRPr="00F9712C">
        <w:rPr>
          <w:rFonts w:hint="eastAsia"/>
          <w:sz w:val="18"/>
        </w:rPr>
        <w:t>, various years.</w:t>
      </w:r>
    </w:p>
    <w:p w:rsidR="00711C12" w:rsidRDefault="00711C12">
      <w:pPr>
        <w:widowControl/>
        <w:adjustRightInd/>
        <w:spacing w:line="240" w:lineRule="auto"/>
        <w:textAlignment w:val="auto"/>
        <w:rPr>
          <w:sz w:val="22"/>
        </w:rPr>
      </w:pPr>
      <w:r>
        <w:rPr>
          <w:sz w:val="22"/>
        </w:rPr>
        <w:br w:type="page"/>
      </w:r>
    </w:p>
    <w:p w:rsidR="009A6708" w:rsidRPr="00F9712C" w:rsidRDefault="004E3C3F">
      <w:pPr>
        <w:pStyle w:val="Heading3"/>
        <w:jc w:val="center"/>
        <w:rPr>
          <w:sz w:val="22"/>
        </w:rPr>
      </w:pPr>
      <w:r w:rsidRPr="00F9712C">
        <w:rPr>
          <w:sz w:val="22"/>
        </w:rPr>
        <w:lastRenderedPageBreak/>
        <w:t>Table 2</w:t>
      </w:r>
    </w:p>
    <w:p w:rsidR="009A6708" w:rsidRPr="00F9712C" w:rsidRDefault="004E3C3F">
      <w:pPr>
        <w:pStyle w:val="Heading3"/>
        <w:jc w:val="center"/>
        <w:rPr>
          <w:sz w:val="22"/>
        </w:rPr>
      </w:pPr>
      <w:r w:rsidRPr="00F9712C">
        <w:rPr>
          <w:sz w:val="22"/>
        </w:rPr>
        <w:t>Summary Statistics for A- and B-shares traded on the Shanghai and Shenzhen Stock Exchanges</w:t>
      </w:r>
    </w:p>
    <w:p w:rsidR="009A6708" w:rsidRPr="00F9712C" w:rsidRDefault="009A6708">
      <w:pPr>
        <w:pStyle w:val="NormalIndent"/>
        <w:ind w:left="0"/>
        <w:rPr>
          <w:sz w:val="20"/>
        </w:rPr>
      </w:pPr>
    </w:p>
    <w:p w:rsidR="009A6708" w:rsidRPr="00F9712C" w:rsidRDefault="004E3C3F">
      <w:pPr>
        <w:pStyle w:val="NormalIndent"/>
        <w:spacing w:line="240" w:lineRule="exact"/>
        <w:ind w:left="0"/>
        <w:rPr>
          <w:sz w:val="20"/>
        </w:rPr>
      </w:pPr>
      <w:r w:rsidRPr="00F9712C">
        <w:rPr>
          <w:sz w:val="20"/>
        </w:rPr>
        <w:t xml:space="preserve">This table reports returns and turnover for A- and B-shares, July 1992 to November 1996. </w:t>
      </w:r>
      <w:r w:rsidR="00D009CC" w:rsidRPr="00F9712C">
        <w:rPr>
          <w:b/>
          <w:bCs/>
          <w:sz w:val="20"/>
        </w:rPr>
        <w:t>Open-to-open</w:t>
      </w:r>
      <w:r w:rsidR="00BC1F59" w:rsidRPr="00F9712C">
        <w:rPr>
          <w:sz w:val="20"/>
        </w:rPr>
        <w:t xml:space="preserve"> denotes the average daily open-to-open return R</w:t>
      </w:r>
      <w:r w:rsidR="00BC1F59" w:rsidRPr="00F9712C">
        <w:rPr>
          <w:sz w:val="20"/>
          <w:vertAlign w:val="subscript"/>
        </w:rPr>
        <w:t>o</w:t>
      </w:r>
      <w:proofErr w:type="gramStart"/>
      <w:r w:rsidR="00BC1F59" w:rsidRPr="00F9712C">
        <w:rPr>
          <w:sz w:val="20"/>
          <w:vertAlign w:val="subscript"/>
        </w:rPr>
        <w:t>,t</w:t>
      </w:r>
      <w:proofErr w:type="gramEnd"/>
      <w:r w:rsidR="00BC1F59" w:rsidRPr="00F9712C">
        <w:rPr>
          <w:sz w:val="20"/>
        </w:rPr>
        <w:t xml:space="preserve"> defined as ln(P</w:t>
      </w:r>
      <w:r w:rsidR="00BC1F59" w:rsidRPr="00F9712C">
        <w:rPr>
          <w:sz w:val="20"/>
          <w:vertAlign w:val="subscript"/>
        </w:rPr>
        <w:t>o, t</w:t>
      </w:r>
      <w:r w:rsidR="00BC1F59" w:rsidRPr="00F9712C">
        <w:rPr>
          <w:sz w:val="20"/>
        </w:rPr>
        <w:t xml:space="preserve"> / P</w:t>
      </w:r>
      <w:r w:rsidR="00BC1F59" w:rsidRPr="00F9712C">
        <w:rPr>
          <w:sz w:val="20"/>
          <w:vertAlign w:val="subscript"/>
        </w:rPr>
        <w:t>o, t-1</w:t>
      </w:r>
      <w:r w:rsidR="00BC1F59" w:rsidRPr="00F9712C">
        <w:rPr>
          <w:sz w:val="20"/>
        </w:rPr>
        <w:t xml:space="preserve">). </w:t>
      </w:r>
      <w:r w:rsidR="00D009CC" w:rsidRPr="00F9712C">
        <w:rPr>
          <w:b/>
          <w:bCs/>
          <w:sz w:val="20"/>
        </w:rPr>
        <w:t>Close-to-close</w:t>
      </w:r>
      <w:r w:rsidR="00BC1F59" w:rsidRPr="00F9712C">
        <w:rPr>
          <w:sz w:val="20"/>
        </w:rPr>
        <w:t xml:space="preserve"> denotes the average daily close-to-close return R</w:t>
      </w:r>
      <w:r w:rsidR="00BC1F59" w:rsidRPr="00F9712C">
        <w:rPr>
          <w:sz w:val="20"/>
          <w:vertAlign w:val="subscript"/>
        </w:rPr>
        <w:t>c</w:t>
      </w:r>
      <w:proofErr w:type="gramStart"/>
      <w:r w:rsidR="00BC1F59" w:rsidRPr="00F9712C">
        <w:rPr>
          <w:sz w:val="20"/>
          <w:vertAlign w:val="subscript"/>
        </w:rPr>
        <w:t>,t</w:t>
      </w:r>
      <w:proofErr w:type="gramEnd"/>
      <w:r w:rsidR="00BC1F59" w:rsidRPr="00F9712C">
        <w:rPr>
          <w:sz w:val="20"/>
        </w:rPr>
        <w:t xml:space="preserve"> defined as ln(P</w:t>
      </w:r>
      <w:r w:rsidR="00BC1F59" w:rsidRPr="00F9712C">
        <w:rPr>
          <w:sz w:val="20"/>
          <w:vertAlign w:val="subscript"/>
        </w:rPr>
        <w:t>c, t</w:t>
      </w:r>
      <w:r w:rsidR="00BC1F59" w:rsidRPr="00F9712C">
        <w:rPr>
          <w:sz w:val="20"/>
        </w:rPr>
        <w:t xml:space="preserve"> / P</w:t>
      </w:r>
      <w:r w:rsidR="00BC1F59" w:rsidRPr="00F9712C">
        <w:rPr>
          <w:sz w:val="20"/>
          <w:vertAlign w:val="subscript"/>
        </w:rPr>
        <w:t>c, t-1</w:t>
      </w:r>
      <w:r w:rsidR="00BC1F59" w:rsidRPr="00F9712C">
        <w:rPr>
          <w:sz w:val="20"/>
        </w:rPr>
        <w:t>). Numbers in parentheses represent the standard deviations of these returns.</w:t>
      </w:r>
      <w:r w:rsidR="00BC1F59" w:rsidRPr="00F9712C">
        <w:rPr>
          <w:rFonts w:hint="eastAsia"/>
          <w:sz w:val="20"/>
        </w:rPr>
        <w:t xml:space="preserve"> </w:t>
      </w:r>
      <w:r w:rsidRPr="00F9712C">
        <w:rPr>
          <w:b/>
          <w:bCs/>
          <w:sz w:val="20"/>
        </w:rPr>
        <w:t>Daytime</w:t>
      </w:r>
      <w:r w:rsidRPr="00F9712C">
        <w:rPr>
          <w:sz w:val="20"/>
        </w:rPr>
        <w:t xml:space="preserve"> denotes the average daytime return R</w:t>
      </w:r>
      <w:r w:rsidRPr="00F9712C">
        <w:rPr>
          <w:sz w:val="20"/>
          <w:vertAlign w:val="subscript"/>
        </w:rPr>
        <w:t>d,t</w:t>
      </w:r>
      <w:r w:rsidRPr="00F9712C">
        <w:rPr>
          <w:sz w:val="20"/>
        </w:rPr>
        <w:t xml:space="preserve"> defined as ln(P</w:t>
      </w:r>
      <w:r w:rsidRPr="00F9712C">
        <w:rPr>
          <w:sz w:val="20"/>
          <w:vertAlign w:val="subscript"/>
        </w:rPr>
        <w:t>c, t</w:t>
      </w:r>
      <w:r w:rsidRPr="00F9712C">
        <w:rPr>
          <w:sz w:val="20"/>
        </w:rPr>
        <w:t xml:space="preserve"> / P</w:t>
      </w:r>
      <w:r w:rsidRPr="00F9712C">
        <w:rPr>
          <w:sz w:val="20"/>
          <w:vertAlign w:val="subscript"/>
        </w:rPr>
        <w:t>o, t</w:t>
      </w:r>
      <w:r w:rsidRPr="00F9712C">
        <w:rPr>
          <w:sz w:val="20"/>
        </w:rPr>
        <w:t xml:space="preserve">). </w:t>
      </w:r>
      <w:r w:rsidRPr="00F9712C">
        <w:rPr>
          <w:b/>
          <w:bCs/>
          <w:sz w:val="20"/>
        </w:rPr>
        <w:t>Overnight</w:t>
      </w:r>
      <w:r w:rsidRPr="00F9712C">
        <w:rPr>
          <w:sz w:val="20"/>
        </w:rPr>
        <w:t xml:space="preserve"> denotes the average overnight return R</w:t>
      </w:r>
      <w:r w:rsidRPr="00F9712C">
        <w:rPr>
          <w:sz w:val="20"/>
          <w:vertAlign w:val="subscript"/>
        </w:rPr>
        <w:t>n,t</w:t>
      </w:r>
      <w:r w:rsidRPr="00F9712C">
        <w:rPr>
          <w:sz w:val="20"/>
        </w:rPr>
        <w:t xml:space="preserve"> defined as ln(P</w:t>
      </w:r>
      <w:r w:rsidRPr="00F9712C">
        <w:rPr>
          <w:sz w:val="20"/>
          <w:vertAlign w:val="subscript"/>
        </w:rPr>
        <w:t>o, t</w:t>
      </w:r>
      <w:r w:rsidRPr="00F9712C">
        <w:rPr>
          <w:sz w:val="20"/>
        </w:rPr>
        <w:t xml:space="preserve"> / P</w:t>
      </w:r>
      <w:r w:rsidRPr="00F9712C">
        <w:rPr>
          <w:sz w:val="20"/>
          <w:vertAlign w:val="subscript"/>
        </w:rPr>
        <w:t>c, t-1</w:t>
      </w:r>
      <w:r w:rsidRPr="00F9712C">
        <w:rPr>
          <w:sz w:val="20"/>
        </w:rPr>
        <w:t xml:space="preserve">). </w:t>
      </w:r>
      <w:r w:rsidRPr="00F9712C">
        <w:rPr>
          <w:b/>
          <w:bCs/>
          <w:sz w:val="20"/>
        </w:rPr>
        <w:t>Turnover</w:t>
      </w:r>
      <w:r w:rsidRPr="00F9712C">
        <w:rPr>
          <w:sz w:val="20"/>
        </w:rPr>
        <w:t xml:space="preserve"> denotes the average daily turnover (number of shares traded / number of free-floating shares) for each type of shares. To mitigate the effect of thin trading, only trading days with trading volume on day t-1 and day t for both A and B shares are used to calculate stock returns and turnover. If there are less than 10 pairs of consecutive ‘valid’ trading days in a given calendar month for a company, the entire month is eliminated. </w:t>
      </w:r>
      <w:r w:rsidRPr="00F9712C">
        <w:rPr>
          <w:b/>
          <w:bCs/>
          <w:sz w:val="20"/>
        </w:rPr>
        <w:t>N</w:t>
      </w:r>
      <w:r w:rsidRPr="00F9712C">
        <w:rPr>
          <w:sz w:val="20"/>
        </w:rPr>
        <w:t xml:space="preserve"> is the total number of observations. ** and * denote significant at the 5% and 10% level respectively.</w:t>
      </w:r>
    </w:p>
    <w:p w:rsidR="009A6708" w:rsidRPr="00F9712C" w:rsidRDefault="009A6708">
      <w:pPr>
        <w:pStyle w:val="NormalIndent"/>
        <w:ind w:left="0"/>
      </w:pPr>
    </w:p>
    <w:tbl>
      <w:tblPr>
        <w:tblW w:w="5006" w:type="pct"/>
        <w:tblCellMar>
          <w:left w:w="0" w:type="dxa"/>
          <w:right w:w="0" w:type="dxa"/>
        </w:tblCellMar>
        <w:tblLook w:val="0000" w:firstRow="0" w:lastRow="0" w:firstColumn="0" w:lastColumn="0" w:noHBand="0" w:noVBand="0"/>
      </w:tblPr>
      <w:tblGrid>
        <w:gridCol w:w="1755"/>
        <w:gridCol w:w="1318"/>
        <w:gridCol w:w="1318"/>
        <w:gridCol w:w="1318"/>
        <w:gridCol w:w="1318"/>
        <w:gridCol w:w="1318"/>
        <w:gridCol w:w="1318"/>
      </w:tblGrid>
      <w:tr w:rsidR="009A6708" w:rsidRPr="00F9712C">
        <w:trPr>
          <w:trHeight w:val="324"/>
        </w:trPr>
        <w:tc>
          <w:tcPr>
            <w:tcW w:w="908"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rPr>
                <w:sz w:val="22"/>
                <w:szCs w:val="24"/>
              </w:rPr>
            </w:pP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Daytime</w:t>
            </w: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Overnight</w:t>
            </w: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D009CC">
            <w:pPr>
              <w:jc w:val="center"/>
              <w:rPr>
                <w:sz w:val="22"/>
                <w:szCs w:val="24"/>
              </w:rPr>
            </w:pPr>
            <w:r w:rsidRPr="00F9712C">
              <w:rPr>
                <w:sz w:val="22"/>
              </w:rPr>
              <w:t>Open-to-open</w:t>
            </w: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D009CC">
            <w:pPr>
              <w:jc w:val="center"/>
              <w:rPr>
                <w:sz w:val="22"/>
                <w:szCs w:val="24"/>
              </w:rPr>
            </w:pPr>
            <w:r w:rsidRPr="00F9712C">
              <w:rPr>
                <w:sz w:val="22"/>
              </w:rPr>
              <w:t>Close-to-close</w:t>
            </w: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Turnover</w:t>
            </w:r>
          </w:p>
        </w:tc>
        <w:tc>
          <w:tcPr>
            <w:tcW w:w="683" w:type="pct"/>
            <w:tcBorders>
              <w:top w:val="single" w:sz="4" w:space="0" w:color="auto"/>
              <w:left w:val="nil"/>
              <w:bottom w:val="single" w:sz="4" w:space="0" w:color="auto"/>
              <w:right w:val="nil"/>
            </w:tcBorders>
          </w:tcPr>
          <w:p w:rsidR="009A6708" w:rsidRPr="00F9712C" w:rsidRDefault="004E3C3F">
            <w:pPr>
              <w:jc w:val="center"/>
              <w:rPr>
                <w:sz w:val="22"/>
              </w:rPr>
            </w:pPr>
            <w:r w:rsidRPr="00F9712C">
              <w:rPr>
                <w:sz w:val="22"/>
              </w:rPr>
              <w:t>N</w:t>
            </w:r>
          </w:p>
        </w:tc>
      </w:tr>
      <w:tr w:rsidR="009A6708" w:rsidRPr="00F9712C">
        <w:trPr>
          <w:trHeight w:val="324"/>
        </w:trPr>
        <w:tc>
          <w:tcPr>
            <w:tcW w:w="908"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rPr>
                <w:sz w:val="22"/>
              </w:rPr>
            </w:pPr>
            <w:r w:rsidRPr="00F9712C">
              <w:rPr>
                <w:sz w:val="22"/>
              </w:rPr>
              <w:t>Panel A - Shanghai</w:t>
            </w: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rFonts w:ascii="新細明體"/>
                <w:sz w:val="22"/>
              </w:rPr>
            </w:pP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rFonts w:ascii="新細明體"/>
                <w:sz w:val="22"/>
              </w:rPr>
            </w:pP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rFonts w:ascii="新細明體"/>
                <w:sz w:val="22"/>
              </w:rPr>
            </w:pP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rFonts w:ascii="新細明體"/>
                <w:sz w:val="22"/>
              </w:rPr>
            </w:pP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rFonts w:ascii="新細明體"/>
                <w:sz w:val="22"/>
              </w:rPr>
            </w:pPr>
          </w:p>
        </w:tc>
        <w:tc>
          <w:tcPr>
            <w:tcW w:w="683" w:type="pct"/>
            <w:tcBorders>
              <w:top w:val="single" w:sz="4" w:space="0" w:color="auto"/>
              <w:left w:val="nil"/>
              <w:bottom w:val="nil"/>
              <w:right w:val="nil"/>
            </w:tcBorders>
          </w:tcPr>
          <w:p w:rsidR="009A6708" w:rsidRPr="00F9712C" w:rsidRDefault="009A6708">
            <w:pPr>
              <w:jc w:val="center"/>
              <w:rPr>
                <w:rFonts w:ascii="新細明體"/>
                <w:sz w:val="22"/>
              </w:rPr>
            </w:pPr>
          </w:p>
        </w:tc>
      </w:tr>
      <w:tr w:rsidR="009A6708" w:rsidRPr="00F9712C">
        <w:trPr>
          <w:trHeight w:val="324"/>
        </w:trPr>
        <w:tc>
          <w:tcPr>
            <w:tcW w:w="908"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rPr>
                <w:sz w:val="22"/>
                <w:szCs w:val="24"/>
              </w:rPr>
            </w:pPr>
            <w:r w:rsidRPr="00F9712C">
              <w:rPr>
                <w:sz w:val="22"/>
              </w:rPr>
              <w:t>A-share</w:t>
            </w: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-0.022</w:t>
            </w: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0.080**</w:t>
            </w: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0.026</w:t>
            </w: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0.032</w:t>
            </w: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0.0280</w:t>
            </w:r>
          </w:p>
        </w:tc>
        <w:tc>
          <w:tcPr>
            <w:tcW w:w="683" w:type="pct"/>
            <w:tcBorders>
              <w:top w:val="single" w:sz="4" w:space="0" w:color="auto"/>
              <w:left w:val="nil"/>
              <w:bottom w:val="nil"/>
              <w:right w:val="nil"/>
            </w:tcBorders>
          </w:tcPr>
          <w:p w:rsidR="009A6708" w:rsidRPr="00F9712C" w:rsidRDefault="004E3C3F">
            <w:pPr>
              <w:jc w:val="center"/>
              <w:rPr>
                <w:sz w:val="22"/>
              </w:rPr>
            </w:pPr>
            <w:r w:rsidRPr="00F9712C">
              <w:rPr>
                <w:sz w:val="22"/>
              </w:rPr>
              <w:t>16914</w:t>
            </w:r>
          </w:p>
        </w:tc>
      </w:tr>
      <w:tr w:rsidR="009A6708" w:rsidRPr="00F9712C">
        <w:trPr>
          <w:trHeight w:val="324"/>
        </w:trPr>
        <w:tc>
          <w:tcPr>
            <w:tcW w:w="908"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rPr>
                <w:sz w:val="22"/>
                <w:szCs w:val="24"/>
              </w:rPr>
            </w:pPr>
          </w:p>
        </w:tc>
        <w:tc>
          <w:tcPr>
            <w:tcW w:w="68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3" w:type="pct"/>
            <w:tcBorders>
              <w:top w:val="nil"/>
              <w:left w:val="nil"/>
              <w:bottom w:val="nil"/>
              <w:right w:val="nil"/>
            </w:tcBorders>
          </w:tcPr>
          <w:p w:rsidR="009A6708" w:rsidRPr="00F9712C" w:rsidRDefault="009A6708">
            <w:pPr>
              <w:jc w:val="center"/>
              <w:rPr>
                <w:sz w:val="22"/>
                <w:szCs w:val="24"/>
              </w:rPr>
            </w:pPr>
          </w:p>
        </w:tc>
      </w:tr>
      <w:tr w:rsidR="009A6708" w:rsidRPr="00F9712C">
        <w:trPr>
          <w:trHeight w:val="324"/>
        </w:trPr>
        <w:tc>
          <w:tcPr>
            <w:tcW w:w="908" w:type="pct"/>
            <w:tcBorders>
              <w:top w:val="nil"/>
              <w:left w:val="nil"/>
              <w:right w:val="nil"/>
            </w:tcBorders>
            <w:noWrap/>
            <w:tcMar>
              <w:top w:w="12" w:type="dxa"/>
              <w:left w:w="12" w:type="dxa"/>
              <w:bottom w:w="0" w:type="dxa"/>
              <w:right w:w="12" w:type="dxa"/>
            </w:tcMar>
            <w:vAlign w:val="bottom"/>
          </w:tcPr>
          <w:p w:rsidR="009A6708" w:rsidRPr="00F9712C" w:rsidRDefault="004E3C3F">
            <w:pPr>
              <w:rPr>
                <w:sz w:val="22"/>
                <w:szCs w:val="24"/>
              </w:rPr>
            </w:pPr>
            <w:r w:rsidRPr="00F9712C">
              <w:rPr>
                <w:sz w:val="22"/>
              </w:rPr>
              <w:t>B-share</w:t>
            </w:r>
          </w:p>
        </w:tc>
        <w:tc>
          <w:tcPr>
            <w:tcW w:w="682" w:type="pct"/>
            <w:tcBorders>
              <w:top w:val="nil"/>
              <w:left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-0.118**</w:t>
            </w:r>
          </w:p>
        </w:tc>
        <w:tc>
          <w:tcPr>
            <w:tcW w:w="682" w:type="pct"/>
            <w:tcBorders>
              <w:top w:val="nil"/>
              <w:left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0.020</w:t>
            </w:r>
          </w:p>
        </w:tc>
        <w:tc>
          <w:tcPr>
            <w:tcW w:w="682" w:type="pct"/>
            <w:tcBorders>
              <w:top w:val="nil"/>
              <w:left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-0.051*</w:t>
            </w:r>
          </w:p>
        </w:tc>
        <w:tc>
          <w:tcPr>
            <w:tcW w:w="682" w:type="pct"/>
            <w:tcBorders>
              <w:top w:val="nil"/>
              <w:left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-0.048*</w:t>
            </w:r>
          </w:p>
        </w:tc>
        <w:tc>
          <w:tcPr>
            <w:tcW w:w="682" w:type="pct"/>
            <w:tcBorders>
              <w:top w:val="nil"/>
              <w:left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0.0033</w:t>
            </w:r>
          </w:p>
        </w:tc>
        <w:tc>
          <w:tcPr>
            <w:tcW w:w="683" w:type="pct"/>
            <w:tcBorders>
              <w:top w:val="nil"/>
              <w:left w:val="nil"/>
              <w:right w:val="nil"/>
            </w:tcBorders>
          </w:tcPr>
          <w:p w:rsidR="009A6708" w:rsidRPr="00F9712C" w:rsidRDefault="009A6708">
            <w:pPr>
              <w:jc w:val="center"/>
              <w:rPr>
                <w:sz w:val="22"/>
              </w:rPr>
            </w:pPr>
          </w:p>
        </w:tc>
      </w:tr>
      <w:tr w:rsidR="009A6708" w:rsidRPr="00F9712C">
        <w:trPr>
          <w:trHeight w:val="324"/>
        </w:trPr>
        <w:tc>
          <w:tcPr>
            <w:tcW w:w="908"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rPr>
                <w:sz w:val="22"/>
                <w:szCs w:val="24"/>
              </w:rPr>
            </w:pPr>
          </w:p>
        </w:tc>
        <w:tc>
          <w:tcPr>
            <w:tcW w:w="682"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3" w:type="pct"/>
            <w:tcBorders>
              <w:top w:val="nil"/>
              <w:left w:val="nil"/>
              <w:bottom w:val="single" w:sz="4" w:space="0" w:color="auto"/>
              <w:right w:val="nil"/>
            </w:tcBorders>
          </w:tcPr>
          <w:p w:rsidR="009A6708" w:rsidRPr="00F9712C" w:rsidRDefault="009A6708">
            <w:pPr>
              <w:jc w:val="center"/>
              <w:rPr>
                <w:sz w:val="22"/>
                <w:szCs w:val="24"/>
              </w:rPr>
            </w:pPr>
          </w:p>
        </w:tc>
      </w:tr>
      <w:tr w:rsidR="009A6708" w:rsidRPr="00F9712C">
        <w:trPr>
          <w:trHeight w:val="324"/>
        </w:trPr>
        <w:tc>
          <w:tcPr>
            <w:tcW w:w="908"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rPr>
                <w:rFonts w:ascii="新細明體" w:hAnsi="Arial Unicode MS" w:cs="Arial Unicode MS"/>
                <w:sz w:val="22"/>
                <w:szCs w:val="24"/>
              </w:rPr>
            </w:pP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rFonts w:ascii="新細明體" w:hAnsi="Arial Unicode MS" w:cs="Arial Unicode MS"/>
                <w:sz w:val="22"/>
                <w:szCs w:val="24"/>
              </w:rPr>
            </w:pP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rFonts w:ascii="新細明體" w:hAnsi="Arial Unicode MS" w:cs="Arial Unicode MS"/>
                <w:sz w:val="22"/>
                <w:szCs w:val="24"/>
              </w:rPr>
            </w:pP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rFonts w:ascii="新細明體" w:hAnsi="Arial Unicode MS" w:cs="Arial Unicode MS"/>
                <w:sz w:val="22"/>
                <w:szCs w:val="24"/>
              </w:rPr>
            </w:pP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rFonts w:ascii="新細明體" w:hAnsi="Arial Unicode MS" w:cs="Arial Unicode MS"/>
                <w:sz w:val="22"/>
                <w:szCs w:val="24"/>
              </w:rPr>
            </w:pP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rFonts w:ascii="新細明體" w:hAnsi="Arial Unicode MS" w:cs="Arial Unicode MS"/>
                <w:sz w:val="22"/>
                <w:szCs w:val="24"/>
              </w:rPr>
            </w:pPr>
          </w:p>
        </w:tc>
        <w:tc>
          <w:tcPr>
            <w:tcW w:w="683" w:type="pct"/>
            <w:tcBorders>
              <w:top w:val="single" w:sz="4" w:space="0" w:color="auto"/>
              <w:left w:val="nil"/>
              <w:bottom w:val="single" w:sz="4" w:space="0" w:color="auto"/>
              <w:right w:val="nil"/>
            </w:tcBorders>
          </w:tcPr>
          <w:p w:rsidR="009A6708" w:rsidRPr="00F9712C" w:rsidRDefault="009A6708">
            <w:pPr>
              <w:jc w:val="center"/>
              <w:rPr>
                <w:rFonts w:ascii="新細明體" w:hAnsi="Arial Unicode MS" w:cs="Arial Unicode MS"/>
                <w:sz w:val="22"/>
                <w:szCs w:val="24"/>
              </w:rPr>
            </w:pPr>
          </w:p>
        </w:tc>
      </w:tr>
      <w:tr w:rsidR="009A6708" w:rsidRPr="00F9712C">
        <w:trPr>
          <w:trHeight w:val="324"/>
        </w:trPr>
        <w:tc>
          <w:tcPr>
            <w:tcW w:w="908"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rPr>
                <w:sz w:val="22"/>
                <w:szCs w:val="24"/>
              </w:rPr>
            </w:pPr>
            <w:r w:rsidRPr="00F9712C">
              <w:rPr>
                <w:sz w:val="22"/>
              </w:rPr>
              <w:t>Panel B - Shenzhen</w:t>
            </w: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3" w:type="pct"/>
            <w:tcBorders>
              <w:top w:val="single" w:sz="4" w:space="0" w:color="auto"/>
              <w:left w:val="nil"/>
              <w:bottom w:val="single" w:sz="4" w:space="0" w:color="auto"/>
              <w:right w:val="nil"/>
            </w:tcBorders>
          </w:tcPr>
          <w:p w:rsidR="009A6708" w:rsidRPr="00F9712C" w:rsidRDefault="009A6708">
            <w:pPr>
              <w:jc w:val="center"/>
              <w:rPr>
                <w:sz w:val="22"/>
                <w:szCs w:val="24"/>
              </w:rPr>
            </w:pPr>
          </w:p>
        </w:tc>
      </w:tr>
      <w:tr w:rsidR="009A6708" w:rsidRPr="00F9712C">
        <w:trPr>
          <w:trHeight w:val="324"/>
        </w:trPr>
        <w:tc>
          <w:tcPr>
            <w:tcW w:w="908"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rPr>
                <w:sz w:val="22"/>
                <w:szCs w:val="24"/>
              </w:rPr>
            </w:pPr>
            <w:r w:rsidRPr="00F9712C">
              <w:rPr>
                <w:sz w:val="22"/>
              </w:rPr>
              <w:t>A-share</w:t>
            </w: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0.579**</w:t>
            </w: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0.112**</w:t>
            </w: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0.362**</w:t>
            </w: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0.332**</w:t>
            </w:r>
          </w:p>
        </w:tc>
        <w:tc>
          <w:tcPr>
            <w:tcW w:w="68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0.0348</w:t>
            </w:r>
          </w:p>
        </w:tc>
        <w:tc>
          <w:tcPr>
            <w:tcW w:w="683" w:type="pct"/>
            <w:tcBorders>
              <w:top w:val="single" w:sz="4" w:space="0" w:color="auto"/>
              <w:left w:val="nil"/>
              <w:bottom w:val="nil"/>
              <w:right w:val="nil"/>
            </w:tcBorders>
          </w:tcPr>
          <w:p w:rsidR="009A6708" w:rsidRPr="00F9712C" w:rsidRDefault="004E3C3F">
            <w:pPr>
              <w:jc w:val="center"/>
              <w:rPr>
                <w:sz w:val="22"/>
              </w:rPr>
            </w:pPr>
            <w:r w:rsidRPr="00F9712C">
              <w:rPr>
                <w:sz w:val="22"/>
              </w:rPr>
              <w:t>8624</w:t>
            </w:r>
          </w:p>
        </w:tc>
      </w:tr>
      <w:tr w:rsidR="009A6708" w:rsidRPr="00F9712C">
        <w:trPr>
          <w:trHeight w:val="324"/>
        </w:trPr>
        <w:tc>
          <w:tcPr>
            <w:tcW w:w="908"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rPr>
                <w:sz w:val="22"/>
                <w:szCs w:val="24"/>
              </w:rPr>
            </w:pPr>
          </w:p>
        </w:tc>
        <w:tc>
          <w:tcPr>
            <w:tcW w:w="68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3" w:type="pct"/>
            <w:tcBorders>
              <w:top w:val="nil"/>
              <w:left w:val="nil"/>
              <w:bottom w:val="nil"/>
              <w:right w:val="nil"/>
            </w:tcBorders>
          </w:tcPr>
          <w:p w:rsidR="009A6708" w:rsidRPr="00F9712C" w:rsidRDefault="009A6708">
            <w:pPr>
              <w:jc w:val="center"/>
              <w:rPr>
                <w:sz w:val="22"/>
                <w:szCs w:val="24"/>
              </w:rPr>
            </w:pPr>
          </w:p>
        </w:tc>
      </w:tr>
      <w:tr w:rsidR="009A6708" w:rsidRPr="00F9712C">
        <w:trPr>
          <w:trHeight w:val="324"/>
        </w:trPr>
        <w:tc>
          <w:tcPr>
            <w:tcW w:w="908" w:type="pct"/>
            <w:tcBorders>
              <w:top w:val="nil"/>
              <w:left w:val="nil"/>
              <w:right w:val="nil"/>
            </w:tcBorders>
            <w:noWrap/>
            <w:tcMar>
              <w:top w:w="12" w:type="dxa"/>
              <w:left w:w="12" w:type="dxa"/>
              <w:bottom w:w="0" w:type="dxa"/>
              <w:right w:w="12" w:type="dxa"/>
            </w:tcMar>
            <w:vAlign w:val="bottom"/>
          </w:tcPr>
          <w:p w:rsidR="009A6708" w:rsidRPr="00F9712C" w:rsidRDefault="004E3C3F">
            <w:pPr>
              <w:rPr>
                <w:sz w:val="22"/>
                <w:szCs w:val="24"/>
              </w:rPr>
            </w:pPr>
            <w:r w:rsidRPr="00F9712C">
              <w:rPr>
                <w:sz w:val="22"/>
              </w:rPr>
              <w:t>B-share</w:t>
            </w:r>
          </w:p>
        </w:tc>
        <w:tc>
          <w:tcPr>
            <w:tcW w:w="682" w:type="pct"/>
            <w:tcBorders>
              <w:top w:val="nil"/>
              <w:left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0.428**</w:t>
            </w:r>
          </w:p>
        </w:tc>
        <w:tc>
          <w:tcPr>
            <w:tcW w:w="682" w:type="pct"/>
            <w:tcBorders>
              <w:top w:val="nil"/>
              <w:left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0.213**</w:t>
            </w:r>
          </w:p>
        </w:tc>
        <w:tc>
          <w:tcPr>
            <w:tcW w:w="682" w:type="pct"/>
            <w:tcBorders>
              <w:top w:val="nil"/>
              <w:left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0.315**</w:t>
            </w:r>
          </w:p>
        </w:tc>
        <w:tc>
          <w:tcPr>
            <w:tcW w:w="682" w:type="pct"/>
            <w:tcBorders>
              <w:top w:val="nil"/>
              <w:left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0.328**</w:t>
            </w:r>
          </w:p>
        </w:tc>
        <w:tc>
          <w:tcPr>
            <w:tcW w:w="682" w:type="pct"/>
            <w:tcBorders>
              <w:top w:val="nil"/>
              <w:left w:val="nil"/>
              <w:right w:val="nil"/>
            </w:tcBorders>
            <w:noWrap/>
            <w:tcMar>
              <w:top w:w="12" w:type="dxa"/>
              <w:left w:w="12" w:type="dxa"/>
              <w:bottom w:w="0" w:type="dxa"/>
              <w:right w:w="12" w:type="dxa"/>
            </w:tcMar>
            <w:vAlign w:val="bottom"/>
          </w:tcPr>
          <w:p w:rsidR="009A6708" w:rsidRPr="00F9712C" w:rsidRDefault="004E3C3F">
            <w:pPr>
              <w:jc w:val="center"/>
              <w:rPr>
                <w:sz w:val="22"/>
                <w:szCs w:val="24"/>
              </w:rPr>
            </w:pPr>
            <w:r w:rsidRPr="00F9712C">
              <w:rPr>
                <w:sz w:val="22"/>
              </w:rPr>
              <w:t>0.0032</w:t>
            </w:r>
          </w:p>
        </w:tc>
        <w:tc>
          <w:tcPr>
            <w:tcW w:w="683" w:type="pct"/>
            <w:tcBorders>
              <w:top w:val="nil"/>
              <w:left w:val="nil"/>
              <w:right w:val="nil"/>
            </w:tcBorders>
          </w:tcPr>
          <w:p w:rsidR="009A6708" w:rsidRPr="00F9712C" w:rsidRDefault="009A6708">
            <w:pPr>
              <w:jc w:val="center"/>
              <w:rPr>
                <w:sz w:val="22"/>
              </w:rPr>
            </w:pPr>
          </w:p>
        </w:tc>
      </w:tr>
      <w:tr w:rsidR="009A6708" w:rsidRPr="00F9712C">
        <w:trPr>
          <w:trHeight w:val="324"/>
        </w:trPr>
        <w:tc>
          <w:tcPr>
            <w:tcW w:w="908"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rPr>
                <w:sz w:val="22"/>
                <w:szCs w:val="24"/>
              </w:rPr>
            </w:pPr>
          </w:p>
        </w:tc>
        <w:tc>
          <w:tcPr>
            <w:tcW w:w="682"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2"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9A6708">
            <w:pPr>
              <w:jc w:val="center"/>
              <w:rPr>
                <w:sz w:val="22"/>
                <w:szCs w:val="24"/>
              </w:rPr>
            </w:pPr>
          </w:p>
        </w:tc>
        <w:tc>
          <w:tcPr>
            <w:tcW w:w="683" w:type="pct"/>
            <w:tcBorders>
              <w:top w:val="nil"/>
              <w:left w:val="nil"/>
              <w:bottom w:val="single" w:sz="4" w:space="0" w:color="auto"/>
              <w:right w:val="nil"/>
            </w:tcBorders>
          </w:tcPr>
          <w:p w:rsidR="009A6708" w:rsidRPr="00F9712C" w:rsidRDefault="009A6708">
            <w:pPr>
              <w:jc w:val="center"/>
              <w:rPr>
                <w:sz w:val="22"/>
                <w:szCs w:val="24"/>
              </w:rPr>
            </w:pPr>
          </w:p>
        </w:tc>
      </w:tr>
    </w:tbl>
    <w:p w:rsidR="009A6708" w:rsidRPr="00775A9E" w:rsidRDefault="004E3C3F" w:rsidP="00055CE9">
      <w:pPr>
        <w:pStyle w:val="Heading3"/>
        <w:jc w:val="center"/>
        <w:rPr>
          <w:sz w:val="22"/>
          <w:szCs w:val="22"/>
        </w:rPr>
      </w:pPr>
      <w:r w:rsidRPr="00F9712C">
        <w:rPr>
          <w:sz w:val="24"/>
        </w:rPr>
        <w:br w:type="page"/>
      </w:r>
      <w:r w:rsidRPr="00775A9E">
        <w:rPr>
          <w:sz w:val="22"/>
          <w:szCs w:val="22"/>
        </w:rPr>
        <w:lastRenderedPageBreak/>
        <w:t>Table 3</w:t>
      </w:r>
    </w:p>
    <w:p w:rsidR="009A6708" w:rsidRPr="00775A9E" w:rsidRDefault="004E3C3F">
      <w:pPr>
        <w:jc w:val="center"/>
        <w:rPr>
          <w:sz w:val="22"/>
          <w:szCs w:val="22"/>
        </w:rPr>
      </w:pPr>
      <w:r w:rsidRPr="00775A9E">
        <w:rPr>
          <w:sz w:val="22"/>
          <w:szCs w:val="22"/>
        </w:rPr>
        <w:t>Distribution of cross-sectional variance ratios</w:t>
      </w:r>
    </w:p>
    <w:p w:rsidR="009A6708" w:rsidRPr="00F9712C" w:rsidRDefault="009A6708">
      <w:pPr>
        <w:jc w:val="center"/>
        <w:rPr>
          <w:sz w:val="28"/>
        </w:rPr>
      </w:pPr>
    </w:p>
    <w:p w:rsidR="009A6708" w:rsidRPr="00F9712C" w:rsidRDefault="004E3C3F">
      <w:pPr>
        <w:pStyle w:val="BodyText2"/>
        <w:autoSpaceDE/>
        <w:autoSpaceDN/>
        <w:textAlignment w:val="baseline"/>
        <w:rPr>
          <w:sz w:val="20"/>
        </w:rPr>
      </w:pPr>
      <w:r w:rsidRPr="00F9712C">
        <w:rPr>
          <w:sz w:val="20"/>
        </w:rPr>
        <w:t xml:space="preserve">This table reports the distributions of cross-sectional median variance ratios for </w:t>
      </w:r>
      <w:proofErr w:type="spellStart"/>
      <w:r w:rsidR="003A6337" w:rsidRPr="00F9712C">
        <w:rPr>
          <w:sz w:val="20"/>
        </w:rPr>
        <w:t>interday</w:t>
      </w:r>
      <w:proofErr w:type="spellEnd"/>
      <w:r w:rsidR="003A6337" w:rsidRPr="00F9712C">
        <w:rPr>
          <w:sz w:val="20"/>
        </w:rPr>
        <w:t xml:space="preserve"> </w:t>
      </w:r>
      <w:r w:rsidR="003A6337" w:rsidRPr="00F9712C">
        <w:rPr>
          <w:rFonts w:hint="eastAsia"/>
          <w:sz w:val="20"/>
        </w:rPr>
        <w:t xml:space="preserve">and </w:t>
      </w:r>
      <w:r w:rsidRPr="00F9712C">
        <w:rPr>
          <w:sz w:val="20"/>
        </w:rPr>
        <w:t xml:space="preserve">intraday returns for A and B shares traded on the Shanghai and Shenzhen Stock Exchange during July 1992 to November 1996. We calculate the variance ratio for each company in each month, and obtain the median variance ratio across all companies in each month. Then, we tabulate the distribution of the median variance ratios across the 53 months. </w:t>
      </w:r>
      <w:r w:rsidR="009A1BA0" w:rsidRPr="00F9712C">
        <w:rPr>
          <w:sz w:val="20"/>
        </w:rPr>
        <w:t xml:space="preserve">The variance of open-to-open return measures the stock return volatility during trading hours plus following non-trading hours after the stock exchange is closed and before the exchange opens next day. The variance of close-to-close return measures the stock return volatility during non-trading hours plus following trading hours after the stock exchange is opened and before the exchange closes next day. </w:t>
      </w:r>
      <w:r w:rsidR="003A6337" w:rsidRPr="00F9712C">
        <w:rPr>
          <w:rFonts w:hint="eastAsia"/>
          <w:sz w:val="20"/>
        </w:rPr>
        <w:t>T</w:t>
      </w:r>
      <w:r w:rsidRPr="00F9712C">
        <w:rPr>
          <w:sz w:val="20"/>
        </w:rPr>
        <w:t>he variance of daytime return</w:t>
      </w:r>
      <w:r w:rsidR="003A6337" w:rsidRPr="00F9712C">
        <w:rPr>
          <w:rFonts w:hint="eastAsia"/>
          <w:sz w:val="20"/>
        </w:rPr>
        <w:t xml:space="preserve"> </w:t>
      </w:r>
      <w:r w:rsidRPr="00F9712C">
        <w:rPr>
          <w:sz w:val="20"/>
        </w:rPr>
        <w:t>measures the stock return volatility during trading period.  The variance of overnight return measures the stock return volatility during non-trading period.  The last</w:t>
      </w:r>
      <w:r w:rsidR="003A6337" w:rsidRPr="00F9712C">
        <w:rPr>
          <w:sz w:val="20"/>
        </w:rPr>
        <w:t xml:space="preserve"> column presents the sign test </w:t>
      </w:r>
      <w:r w:rsidR="003A6337" w:rsidRPr="00F9712C">
        <w:rPr>
          <w:rFonts w:hint="eastAsia"/>
          <w:sz w:val="20"/>
        </w:rPr>
        <w:t>p</w:t>
      </w:r>
      <w:r w:rsidRPr="00F9712C">
        <w:rPr>
          <w:sz w:val="20"/>
        </w:rPr>
        <w:t>-value based on the 53 median variance ratios.</w:t>
      </w:r>
    </w:p>
    <w:p w:rsidR="009A6708" w:rsidRPr="00F9712C" w:rsidRDefault="009A6708">
      <w:pPr>
        <w:pStyle w:val="BodyText2"/>
        <w:autoSpaceDE/>
        <w:autoSpaceDN/>
        <w:spacing w:line="360" w:lineRule="atLeast"/>
        <w:textAlignment w:val="baseline"/>
        <w:rPr>
          <w:sz w:val="20"/>
        </w:rPr>
      </w:pPr>
    </w:p>
    <w:tbl>
      <w:tblPr>
        <w:tblW w:w="5000" w:type="pct"/>
        <w:tblCellMar>
          <w:left w:w="0" w:type="dxa"/>
          <w:right w:w="0" w:type="dxa"/>
        </w:tblCellMar>
        <w:tblLook w:val="0000" w:firstRow="0" w:lastRow="0" w:firstColumn="0" w:lastColumn="0" w:noHBand="0" w:noVBand="0"/>
      </w:tblPr>
      <w:tblGrid>
        <w:gridCol w:w="1535"/>
        <w:gridCol w:w="1822"/>
        <w:gridCol w:w="727"/>
        <w:gridCol w:w="673"/>
        <w:gridCol w:w="674"/>
        <w:gridCol w:w="972"/>
        <w:gridCol w:w="674"/>
        <w:gridCol w:w="1635"/>
        <w:gridCol w:w="951"/>
      </w:tblGrid>
      <w:tr w:rsidR="009A6708" w:rsidRPr="00F9712C" w:rsidTr="00593E30">
        <w:trPr>
          <w:trHeight w:val="324"/>
        </w:trPr>
        <w:tc>
          <w:tcPr>
            <w:tcW w:w="794"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rPr>
                <w:sz w:val="20"/>
                <w:szCs w:val="24"/>
              </w:rPr>
            </w:pPr>
            <w:r w:rsidRPr="00F9712C">
              <w:rPr>
                <w:sz w:val="20"/>
              </w:rPr>
              <w:t>Variance Ratio</w:t>
            </w:r>
          </w:p>
        </w:tc>
        <w:tc>
          <w:tcPr>
            <w:tcW w:w="943"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No. of months</w:t>
            </w:r>
          </w:p>
        </w:tc>
        <w:tc>
          <w:tcPr>
            <w:tcW w:w="376"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Mean</w:t>
            </w:r>
          </w:p>
        </w:tc>
        <w:tc>
          <w:tcPr>
            <w:tcW w:w="348"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S.E.</w:t>
            </w:r>
          </w:p>
        </w:tc>
        <w:tc>
          <w:tcPr>
            <w:tcW w:w="349"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Q1</w:t>
            </w:r>
          </w:p>
        </w:tc>
        <w:tc>
          <w:tcPr>
            <w:tcW w:w="503"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Median</w:t>
            </w:r>
          </w:p>
        </w:tc>
        <w:tc>
          <w:tcPr>
            <w:tcW w:w="349"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Q3</w:t>
            </w:r>
          </w:p>
        </w:tc>
        <w:tc>
          <w:tcPr>
            <w:tcW w:w="846"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pStyle w:val="FootnoteText"/>
              <w:widowControl w:val="0"/>
              <w:adjustRightInd w:val="0"/>
              <w:spacing w:line="360" w:lineRule="atLeast"/>
              <w:jc w:val="center"/>
              <w:textAlignment w:val="baseline"/>
              <w:rPr>
                <w:rFonts w:ascii="Times New Roman" w:hAnsi="Times New Roman"/>
                <w:szCs w:val="24"/>
                <w:lang w:val="en-US"/>
              </w:rPr>
            </w:pPr>
            <w:r w:rsidRPr="00F9712C">
              <w:rPr>
                <w:rFonts w:ascii="Times New Roman" w:hAnsi="Times New Roman"/>
                <w:lang w:val="en-US"/>
              </w:rPr>
              <w:t>%(ratio &gt; 1)</w:t>
            </w:r>
          </w:p>
        </w:tc>
        <w:tc>
          <w:tcPr>
            <w:tcW w:w="49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p-value</w:t>
            </w:r>
          </w:p>
        </w:tc>
      </w:tr>
      <w:tr w:rsidR="009A6708" w:rsidRPr="00F9712C" w:rsidTr="00593E30">
        <w:trPr>
          <w:trHeight w:val="324"/>
        </w:trPr>
        <w:tc>
          <w:tcPr>
            <w:tcW w:w="794"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9A6708" w:rsidRPr="00F9712C" w:rsidRDefault="004E3C3F">
            <w:pPr>
              <w:pStyle w:val="FootnoteText"/>
              <w:widowControl w:val="0"/>
              <w:adjustRightInd w:val="0"/>
              <w:spacing w:line="360" w:lineRule="atLeast"/>
              <w:textAlignment w:val="baseline"/>
              <w:rPr>
                <w:rFonts w:ascii="Times New Roman" w:hAnsi="Times New Roman"/>
                <w:lang w:val="en-US"/>
              </w:rPr>
            </w:pPr>
            <w:r w:rsidRPr="00F9712C">
              <w:rPr>
                <w:rFonts w:ascii="Times New Roman" w:hAnsi="Times New Roman"/>
                <w:lang w:val="en-US"/>
              </w:rPr>
              <w:t>Panel A: All</w:t>
            </w:r>
          </w:p>
        </w:tc>
        <w:tc>
          <w:tcPr>
            <w:tcW w:w="943"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sz w:val="20"/>
              </w:rPr>
            </w:pPr>
          </w:p>
        </w:tc>
        <w:tc>
          <w:tcPr>
            <w:tcW w:w="376"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sz w:val="20"/>
              </w:rPr>
            </w:pPr>
          </w:p>
        </w:tc>
        <w:tc>
          <w:tcPr>
            <w:tcW w:w="348"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sz w:val="20"/>
              </w:rPr>
            </w:pPr>
          </w:p>
        </w:tc>
        <w:tc>
          <w:tcPr>
            <w:tcW w:w="349"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sz w:val="20"/>
              </w:rPr>
            </w:pPr>
          </w:p>
        </w:tc>
        <w:tc>
          <w:tcPr>
            <w:tcW w:w="503"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sz w:val="20"/>
              </w:rPr>
            </w:pPr>
          </w:p>
        </w:tc>
        <w:tc>
          <w:tcPr>
            <w:tcW w:w="349"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sz w:val="20"/>
              </w:rPr>
            </w:pPr>
          </w:p>
        </w:tc>
        <w:tc>
          <w:tcPr>
            <w:tcW w:w="846"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pStyle w:val="FootnoteText"/>
              <w:widowControl w:val="0"/>
              <w:adjustRightInd w:val="0"/>
              <w:spacing w:line="360" w:lineRule="atLeast"/>
              <w:jc w:val="center"/>
              <w:textAlignment w:val="baseline"/>
              <w:rPr>
                <w:rFonts w:ascii="Times New Roman" w:hAnsi="Times New Roman"/>
                <w:lang w:val="en-US"/>
              </w:rPr>
            </w:pPr>
          </w:p>
        </w:tc>
        <w:tc>
          <w:tcPr>
            <w:tcW w:w="492" w:type="pct"/>
            <w:tcBorders>
              <w:top w:val="single" w:sz="4" w:space="0" w:color="auto"/>
              <w:left w:val="nil"/>
              <w:bottom w:val="nil"/>
              <w:right w:val="nil"/>
            </w:tcBorders>
            <w:noWrap/>
            <w:tcMar>
              <w:top w:w="12" w:type="dxa"/>
              <w:left w:w="12" w:type="dxa"/>
              <w:bottom w:w="0" w:type="dxa"/>
              <w:right w:w="12" w:type="dxa"/>
            </w:tcMar>
            <w:vAlign w:val="bottom"/>
          </w:tcPr>
          <w:p w:rsidR="009A6708" w:rsidRPr="00F9712C" w:rsidRDefault="009A6708">
            <w:pPr>
              <w:jc w:val="center"/>
              <w:rPr>
                <w:sz w:val="20"/>
              </w:rPr>
            </w:pPr>
          </w:p>
        </w:tc>
      </w:tr>
      <w:tr w:rsidR="00E633E0" w:rsidRPr="00F9712C" w:rsidTr="00593E30">
        <w:trPr>
          <w:trHeight w:val="324"/>
        </w:trPr>
        <w:tc>
          <w:tcPr>
            <w:tcW w:w="794" w:type="pct"/>
            <w:tcBorders>
              <w:top w:val="single" w:sz="4" w:space="0" w:color="auto"/>
              <w:left w:val="nil"/>
              <w:bottom w:val="nil"/>
              <w:right w:val="nil"/>
            </w:tcBorders>
            <w:noWrap/>
            <w:tcMar>
              <w:top w:w="12" w:type="dxa"/>
              <w:left w:w="12" w:type="dxa"/>
              <w:bottom w:w="0" w:type="dxa"/>
              <w:right w:w="12" w:type="dxa"/>
            </w:tcMar>
            <w:vAlign w:val="bottom"/>
          </w:tcPr>
          <w:p w:rsidR="00E633E0" w:rsidRPr="00F9712C" w:rsidRDefault="00D009CC" w:rsidP="00036C7C">
            <w:pPr>
              <w:rPr>
                <w:sz w:val="20"/>
                <w:szCs w:val="24"/>
              </w:rPr>
            </w:pPr>
            <w:r w:rsidRPr="00F9712C">
              <w:rPr>
                <w:sz w:val="20"/>
              </w:rPr>
              <w:t>Open-to-open</w:t>
            </w:r>
          </w:p>
        </w:tc>
        <w:tc>
          <w:tcPr>
            <w:tcW w:w="943"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53</w:t>
            </w:r>
          </w:p>
        </w:tc>
        <w:tc>
          <w:tcPr>
            <w:tcW w:w="376"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3.109</w:t>
            </w:r>
          </w:p>
        </w:tc>
        <w:tc>
          <w:tcPr>
            <w:tcW w:w="348"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0.508</w:t>
            </w:r>
          </w:p>
        </w:tc>
        <w:tc>
          <w:tcPr>
            <w:tcW w:w="349"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0.989</w:t>
            </w:r>
          </w:p>
        </w:tc>
        <w:tc>
          <w:tcPr>
            <w:tcW w:w="503"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1.697</w:t>
            </w:r>
          </w:p>
        </w:tc>
        <w:tc>
          <w:tcPr>
            <w:tcW w:w="349"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2.699</w:t>
            </w:r>
          </w:p>
        </w:tc>
        <w:tc>
          <w:tcPr>
            <w:tcW w:w="846"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0.74</w:t>
            </w:r>
          </w:p>
        </w:tc>
        <w:tc>
          <w:tcPr>
            <w:tcW w:w="492"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0.000</w:t>
            </w:r>
          </w:p>
        </w:tc>
      </w:tr>
      <w:tr w:rsidR="00E633E0" w:rsidRPr="00F9712C" w:rsidTr="00036C7C">
        <w:trPr>
          <w:trHeight w:val="324"/>
        </w:trPr>
        <w:tc>
          <w:tcPr>
            <w:tcW w:w="794" w:type="pct"/>
            <w:tcBorders>
              <w:top w:val="nil"/>
              <w:left w:val="nil"/>
              <w:bottom w:val="nil"/>
              <w:right w:val="nil"/>
            </w:tcBorders>
            <w:noWrap/>
            <w:tcMar>
              <w:top w:w="12" w:type="dxa"/>
              <w:left w:w="12" w:type="dxa"/>
              <w:bottom w:w="0" w:type="dxa"/>
              <w:right w:w="12" w:type="dxa"/>
            </w:tcMar>
            <w:vAlign w:val="bottom"/>
          </w:tcPr>
          <w:p w:rsidR="00E633E0" w:rsidRPr="00F9712C" w:rsidRDefault="00D009CC" w:rsidP="00036C7C">
            <w:pPr>
              <w:rPr>
                <w:sz w:val="20"/>
                <w:szCs w:val="24"/>
              </w:rPr>
            </w:pPr>
            <w:r w:rsidRPr="00F9712C">
              <w:rPr>
                <w:sz w:val="20"/>
              </w:rPr>
              <w:t>Close-to-close</w:t>
            </w:r>
          </w:p>
        </w:tc>
        <w:tc>
          <w:tcPr>
            <w:tcW w:w="943"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53</w:t>
            </w:r>
          </w:p>
        </w:tc>
        <w:tc>
          <w:tcPr>
            <w:tcW w:w="376"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2.852</w:t>
            </w:r>
          </w:p>
        </w:tc>
        <w:tc>
          <w:tcPr>
            <w:tcW w:w="348"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0.521</w:t>
            </w:r>
          </w:p>
        </w:tc>
        <w:tc>
          <w:tcPr>
            <w:tcW w:w="349"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0.830</w:t>
            </w:r>
          </w:p>
        </w:tc>
        <w:tc>
          <w:tcPr>
            <w:tcW w:w="503"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1.337</w:t>
            </w:r>
          </w:p>
        </w:tc>
        <w:tc>
          <w:tcPr>
            <w:tcW w:w="349"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2.378</w:t>
            </w:r>
          </w:p>
        </w:tc>
        <w:tc>
          <w:tcPr>
            <w:tcW w:w="846"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0.58</w:t>
            </w:r>
          </w:p>
        </w:tc>
        <w:tc>
          <w:tcPr>
            <w:tcW w:w="492" w:type="pct"/>
            <w:tcBorders>
              <w:top w:val="nil"/>
              <w:left w:val="nil"/>
              <w:bottom w:val="nil"/>
              <w:right w:val="nil"/>
            </w:tcBorders>
            <w:noWrap/>
            <w:tcMar>
              <w:top w:w="12" w:type="dxa"/>
              <w:left w:w="12" w:type="dxa"/>
              <w:bottom w:w="0" w:type="dxa"/>
              <w:right w:w="12" w:type="dxa"/>
            </w:tcMar>
            <w:vAlign w:val="bottom"/>
          </w:tcPr>
          <w:p w:rsidR="00E633E0" w:rsidRPr="00F9712C" w:rsidRDefault="00E633E0" w:rsidP="00036C7C">
            <w:pPr>
              <w:jc w:val="center"/>
              <w:rPr>
                <w:sz w:val="20"/>
                <w:szCs w:val="24"/>
              </w:rPr>
            </w:pPr>
            <w:r w:rsidRPr="00F9712C">
              <w:rPr>
                <w:sz w:val="20"/>
              </w:rPr>
              <w:t>0.108</w:t>
            </w:r>
          </w:p>
        </w:tc>
      </w:tr>
      <w:tr w:rsidR="009A6708" w:rsidRPr="00F9712C">
        <w:trPr>
          <w:trHeight w:val="324"/>
        </w:trPr>
        <w:tc>
          <w:tcPr>
            <w:tcW w:w="794"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rPr>
                <w:sz w:val="20"/>
                <w:szCs w:val="24"/>
              </w:rPr>
            </w:pPr>
            <w:r w:rsidRPr="00F9712C">
              <w:rPr>
                <w:sz w:val="20"/>
              </w:rPr>
              <w:t>Daytime</w:t>
            </w:r>
          </w:p>
        </w:tc>
        <w:tc>
          <w:tcPr>
            <w:tcW w:w="943"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53</w:t>
            </w:r>
          </w:p>
        </w:tc>
        <w:tc>
          <w:tcPr>
            <w:tcW w:w="376"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3.106</w:t>
            </w:r>
          </w:p>
        </w:tc>
        <w:tc>
          <w:tcPr>
            <w:tcW w:w="348"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0.574</w:t>
            </w: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0.791</w:t>
            </w:r>
          </w:p>
        </w:tc>
        <w:tc>
          <w:tcPr>
            <w:tcW w:w="503"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1.474</w:t>
            </w: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2.689</w:t>
            </w:r>
          </w:p>
        </w:tc>
        <w:tc>
          <w:tcPr>
            <w:tcW w:w="846"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0.68</w:t>
            </w:r>
          </w:p>
        </w:tc>
        <w:tc>
          <w:tcPr>
            <w:tcW w:w="492"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0.005</w:t>
            </w:r>
          </w:p>
        </w:tc>
      </w:tr>
      <w:tr w:rsidR="009A6708" w:rsidRPr="00F9712C">
        <w:trPr>
          <w:trHeight w:val="324"/>
        </w:trPr>
        <w:tc>
          <w:tcPr>
            <w:tcW w:w="794"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rPr>
                <w:sz w:val="20"/>
                <w:szCs w:val="24"/>
              </w:rPr>
            </w:pPr>
            <w:r w:rsidRPr="00F9712C">
              <w:rPr>
                <w:sz w:val="20"/>
              </w:rPr>
              <w:t>Overnight</w:t>
            </w:r>
          </w:p>
        </w:tc>
        <w:tc>
          <w:tcPr>
            <w:tcW w:w="943"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53</w:t>
            </w:r>
          </w:p>
        </w:tc>
        <w:tc>
          <w:tcPr>
            <w:tcW w:w="376"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1.473</w:t>
            </w:r>
          </w:p>
        </w:tc>
        <w:tc>
          <w:tcPr>
            <w:tcW w:w="348"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0.220</w:t>
            </w: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0.617</w:t>
            </w:r>
          </w:p>
        </w:tc>
        <w:tc>
          <w:tcPr>
            <w:tcW w:w="503"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0.907</w:t>
            </w: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1.288</w:t>
            </w:r>
          </w:p>
        </w:tc>
        <w:tc>
          <w:tcPr>
            <w:tcW w:w="846"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0.36</w:t>
            </w:r>
          </w:p>
        </w:tc>
        <w:tc>
          <w:tcPr>
            <w:tcW w:w="492"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0.020</w:t>
            </w:r>
          </w:p>
        </w:tc>
      </w:tr>
      <w:tr w:rsidR="009A6708" w:rsidRPr="00F9712C" w:rsidTr="00593E30">
        <w:trPr>
          <w:trHeight w:val="324"/>
        </w:trPr>
        <w:tc>
          <w:tcPr>
            <w:tcW w:w="794" w:type="pct"/>
            <w:tcBorders>
              <w:top w:val="nil"/>
              <w:left w:val="nil"/>
              <w:right w:val="nil"/>
            </w:tcBorders>
            <w:noWrap/>
            <w:tcMar>
              <w:top w:w="12" w:type="dxa"/>
              <w:left w:w="12" w:type="dxa"/>
              <w:bottom w:w="0" w:type="dxa"/>
              <w:right w:w="12" w:type="dxa"/>
            </w:tcMar>
            <w:vAlign w:val="bottom"/>
          </w:tcPr>
          <w:p w:rsidR="009A6708" w:rsidRPr="00F9712C" w:rsidRDefault="009A6708">
            <w:pPr>
              <w:rPr>
                <w:sz w:val="20"/>
                <w:szCs w:val="24"/>
              </w:rPr>
            </w:pPr>
          </w:p>
        </w:tc>
        <w:tc>
          <w:tcPr>
            <w:tcW w:w="943"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76"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8"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503"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846"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49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r>
      <w:tr w:rsidR="009A6708" w:rsidRPr="00F9712C" w:rsidTr="00593E30">
        <w:trPr>
          <w:trHeight w:val="324"/>
        </w:trPr>
        <w:tc>
          <w:tcPr>
            <w:tcW w:w="794"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4E3C3F">
            <w:pPr>
              <w:rPr>
                <w:sz w:val="20"/>
                <w:szCs w:val="24"/>
              </w:rPr>
            </w:pPr>
            <w:r w:rsidRPr="00F9712C">
              <w:rPr>
                <w:sz w:val="20"/>
              </w:rPr>
              <w:t>Panel B: Shanghai</w:t>
            </w:r>
          </w:p>
        </w:tc>
        <w:tc>
          <w:tcPr>
            <w:tcW w:w="943"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76"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8"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503"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846"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49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r>
      <w:tr w:rsidR="00593E30" w:rsidRPr="00F9712C" w:rsidTr="00593E30">
        <w:trPr>
          <w:trHeight w:val="324"/>
        </w:trPr>
        <w:tc>
          <w:tcPr>
            <w:tcW w:w="794" w:type="pct"/>
            <w:tcBorders>
              <w:top w:val="single" w:sz="4" w:space="0" w:color="auto"/>
              <w:left w:val="nil"/>
              <w:bottom w:val="nil"/>
              <w:right w:val="nil"/>
            </w:tcBorders>
            <w:noWrap/>
            <w:tcMar>
              <w:top w:w="12" w:type="dxa"/>
              <w:left w:w="12" w:type="dxa"/>
              <w:bottom w:w="0" w:type="dxa"/>
              <w:right w:w="12" w:type="dxa"/>
            </w:tcMar>
            <w:vAlign w:val="bottom"/>
          </w:tcPr>
          <w:p w:rsidR="00593E30" w:rsidRPr="00F9712C" w:rsidRDefault="00D009CC" w:rsidP="00036C7C">
            <w:pPr>
              <w:rPr>
                <w:sz w:val="20"/>
                <w:szCs w:val="24"/>
              </w:rPr>
            </w:pPr>
            <w:r w:rsidRPr="00F9712C">
              <w:rPr>
                <w:sz w:val="20"/>
              </w:rPr>
              <w:t>Open-to-open</w:t>
            </w:r>
          </w:p>
        </w:tc>
        <w:tc>
          <w:tcPr>
            <w:tcW w:w="943"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53</w:t>
            </w:r>
          </w:p>
        </w:tc>
        <w:tc>
          <w:tcPr>
            <w:tcW w:w="376"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4.941</w:t>
            </w:r>
          </w:p>
        </w:tc>
        <w:tc>
          <w:tcPr>
            <w:tcW w:w="348"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1.447</w:t>
            </w:r>
          </w:p>
        </w:tc>
        <w:tc>
          <w:tcPr>
            <w:tcW w:w="349"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1.160</w:t>
            </w:r>
          </w:p>
        </w:tc>
        <w:tc>
          <w:tcPr>
            <w:tcW w:w="503"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2.135</w:t>
            </w:r>
          </w:p>
        </w:tc>
        <w:tc>
          <w:tcPr>
            <w:tcW w:w="349"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3.912</w:t>
            </w:r>
          </w:p>
        </w:tc>
        <w:tc>
          <w:tcPr>
            <w:tcW w:w="846"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0.81</w:t>
            </w:r>
          </w:p>
        </w:tc>
        <w:tc>
          <w:tcPr>
            <w:tcW w:w="492"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0.000</w:t>
            </w:r>
          </w:p>
        </w:tc>
      </w:tr>
      <w:tr w:rsidR="00593E30" w:rsidRPr="00F9712C" w:rsidTr="00036C7C">
        <w:trPr>
          <w:trHeight w:val="324"/>
        </w:trPr>
        <w:tc>
          <w:tcPr>
            <w:tcW w:w="794" w:type="pct"/>
            <w:tcBorders>
              <w:top w:val="nil"/>
              <w:left w:val="nil"/>
              <w:bottom w:val="nil"/>
              <w:right w:val="nil"/>
            </w:tcBorders>
            <w:noWrap/>
            <w:tcMar>
              <w:top w:w="12" w:type="dxa"/>
              <w:left w:w="12" w:type="dxa"/>
              <w:bottom w:w="0" w:type="dxa"/>
              <w:right w:w="12" w:type="dxa"/>
            </w:tcMar>
            <w:vAlign w:val="bottom"/>
          </w:tcPr>
          <w:p w:rsidR="00593E30" w:rsidRPr="00F9712C" w:rsidRDefault="00D009CC" w:rsidP="00036C7C">
            <w:pPr>
              <w:rPr>
                <w:sz w:val="20"/>
                <w:szCs w:val="24"/>
              </w:rPr>
            </w:pPr>
            <w:r w:rsidRPr="00F9712C">
              <w:rPr>
                <w:sz w:val="20"/>
              </w:rPr>
              <w:t>Close-to-close</w:t>
            </w:r>
          </w:p>
        </w:tc>
        <w:tc>
          <w:tcPr>
            <w:tcW w:w="943"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53</w:t>
            </w:r>
          </w:p>
        </w:tc>
        <w:tc>
          <w:tcPr>
            <w:tcW w:w="376"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3.746</w:t>
            </w:r>
          </w:p>
        </w:tc>
        <w:tc>
          <w:tcPr>
            <w:tcW w:w="348"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0.733</w:t>
            </w:r>
          </w:p>
        </w:tc>
        <w:tc>
          <w:tcPr>
            <w:tcW w:w="349"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0.862</w:t>
            </w:r>
          </w:p>
        </w:tc>
        <w:tc>
          <w:tcPr>
            <w:tcW w:w="503"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1.418</w:t>
            </w:r>
          </w:p>
        </w:tc>
        <w:tc>
          <w:tcPr>
            <w:tcW w:w="349"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2.825</w:t>
            </w:r>
          </w:p>
        </w:tc>
        <w:tc>
          <w:tcPr>
            <w:tcW w:w="846"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0.64</w:t>
            </w:r>
          </w:p>
        </w:tc>
        <w:tc>
          <w:tcPr>
            <w:tcW w:w="492" w:type="pct"/>
            <w:tcBorders>
              <w:top w:val="nil"/>
              <w:left w:val="nil"/>
              <w:bottom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0.020</w:t>
            </w:r>
          </w:p>
        </w:tc>
      </w:tr>
      <w:tr w:rsidR="009A6708" w:rsidRPr="00F9712C">
        <w:trPr>
          <w:trHeight w:val="324"/>
        </w:trPr>
        <w:tc>
          <w:tcPr>
            <w:tcW w:w="794"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rPr>
                <w:sz w:val="20"/>
                <w:szCs w:val="24"/>
              </w:rPr>
            </w:pPr>
            <w:r w:rsidRPr="00F9712C">
              <w:rPr>
                <w:sz w:val="20"/>
              </w:rPr>
              <w:t>Daytime</w:t>
            </w:r>
          </w:p>
        </w:tc>
        <w:tc>
          <w:tcPr>
            <w:tcW w:w="943"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53</w:t>
            </w:r>
          </w:p>
        </w:tc>
        <w:tc>
          <w:tcPr>
            <w:tcW w:w="376"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4.610</w:t>
            </w:r>
          </w:p>
        </w:tc>
        <w:tc>
          <w:tcPr>
            <w:tcW w:w="348"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1.155</w:t>
            </w: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0.943</w:t>
            </w:r>
          </w:p>
        </w:tc>
        <w:tc>
          <w:tcPr>
            <w:tcW w:w="503"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1.783</w:t>
            </w: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2.864</w:t>
            </w:r>
          </w:p>
        </w:tc>
        <w:tc>
          <w:tcPr>
            <w:tcW w:w="846"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0.72</w:t>
            </w:r>
          </w:p>
        </w:tc>
        <w:tc>
          <w:tcPr>
            <w:tcW w:w="492"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0.001</w:t>
            </w:r>
          </w:p>
        </w:tc>
      </w:tr>
      <w:tr w:rsidR="009A6708" w:rsidRPr="00F9712C">
        <w:trPr>
          <w:trHeight w:val="324"/>
        </w:trPr>
        <w:tc>
          <w:tcPr>
            <w:tcW w:w="794"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rPr>
                <w:sz w:val="20"/>
                <w:szCs w:val="24"/>
              </w:rPr>
            </w:pPr>
            <w:r w:rsidRPr="00F9712C">
              <w:rPr>
                <w:sz w:val="20"/>
              </w:rPr>
              <w:t>Overnight</w:t>
            </w:r>
          </w:p>
        </w:tc>
        <w:tc>
          <w:tcPr>
            <w:tcW w:w="943"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53</w:t>
            </w:r>
          </w:p>
        </w:tc>
        <w:tc>
          <w:tcPr>
            <w:tcW w:w="376"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1.977</w:t>
            </w:r>
          </w:p>
        </w:tc>
        <w:tc>
          <w:tcPr>
            <w:tcW w:w="348"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0.360</w:t>
            </w: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0.716</w:t>
            </w:r>
          </w:p>
        </w:tc>
        <w:tc>
          <w:tcPr>
            <w:tcW w:w="503"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0.997</w:t>
            </w: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1.479</w:t>
            </w:r>
          </w:p>
        </w:tc>
        <w:tc>
          <w:tcPr>
            <w:tcW w:w="846"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0.49</w:t>
            </w:r>
          </w:p>
        </w:tc>
        <w:tc>
          <w:tcPr>
            <w:tcW w:w="492" w:type="pct"/>
            <w:tcBorders>
              <w:top w:val="nil"/>
              <w:left w:val="nil"/>
              <w:bottom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0.445</w:t>
            </w:r>
          </w:p>
        </w:tc>
      </w:tr>
      <w:tr w:rsidR="009A6708" w:rsidRPr="00F9712C" w:rsidTr="00593E30">
        <w:trPr>
          <w:trHeight w:val="324"/>
        </w:trPr>
        <w:tc>
          <w:tcPr>
            <w:tcW w:w="794" w:type="pct"/>
            <w:tcBorders>
              <w:top w:val="nil"/>
              <w:left w:val="nil"/>
              <w:right w:val="nil"/>
            </w:tcBorders>
            <w:noWrap/>
            <w:tcMar>
              <w:top w:w="12" w:type="dxa"/>
              <w:left w:w="12" w:type="dxa"/>
              <w:bottom w:w="0" w:type="dxa"/>
              <w:right w:w="12" w:type="dxa"/>
            </w:tcMar>
            <w:vAlign w:val="bottom"/>
          </w:tcPr>
          <w:p w:rsidR="009A6708" w:rsidRPr="00F9712C" w:rsidRDefault="009A6708">
            <w:pPr>
              <w:rPr>
                <w:sz w:val="20"/>
                <w:szCs w:val="24"/>
              </w:rPr>
            </w:pPr>
          </w:p>
        </w:tc>
        <w:tc>
          <w:tcPr>
            <w:tcW w:w="943"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76"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8"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503"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846"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49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r>
      <w:tr w:rsidR="009A6708" w:rsidRPr="00F9712C" w:rsidTr="00593E30">
        <w:trPr>
          <w:trHeight w:val="324"/>
        </w:trPr>
        <w:tc>
          <w:tcPr>
            <w:tcW w:w="794"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4E3C3F">
            <w:pPr>
              <w:rPr>
                <w:sz w:val="20"/>
                <w:szCs w:val="24"/>
              </w:rPr>
            </w:pPr>
            <w:r w:rsidRPr="00F9712C">
              <w:rPr>
                <w:sz w:val="20"/>
              </w:rPr>
              <w:t>Panel C: Shenzhen</w:t>
            </w:r>
          </w:p>
        </w:tc>
        <w:tc>
          <w:tcPr>
            <w:tcW w:w="943"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76"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8"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503"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349"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846"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c>
          <w:tcPr>
            <w:tcW w:w="492" w:type="pct"/>
            <w:tcBorders>
              <w:top w:val="nil"/>
              <w:left w:val="nil"/>
              <w:bottom w:val="nil"/>
              <w:right w:val="nil"/>
            </w:tcBorders>
            <w:noWrap/>
            <w:tcMar>
              <w:top w:w="12" w:type="dxa"/>
              <w:left w:w="12" w:type="dxa"/>
              <w:bottom w:w="0" w:type="dxa"/>
              <w:right w:w="12" w:type="dxa"/>
            </w:tcMar>
            <w:vAlign w:val="bottom"/>
          </w:tcPr>
          <w:p w:rsidR="009A6708" w:rsidRPr="00F9712C" w:rsidRDefault="009A6708">
            <w:pPr>
              <w:jc w:val="center"/>
              <w:rPr>
                <w:sz w:val="20"/>
                <w:szCs w:val="24"/>
              </w:rPr>
            </w:pPr>
          </w:p>
        </w:tc>
      </w:tr>
      <w:tr w:rsidR="00593E30" w:rsidRPr="00F9712C" w:rsidTr="00593E30">
        <w:trPr>
          <w:trHeight w:val="324"/>
        </w:trPr>
        <w:tc>
          <w:tcPr>
            <w:tcW w:w="794" w:type="pct"/>
            <w:tcBorders>
              <w:top w:val="single" w:sz="4" w:space="0" w:color="auto"/>
              <w:left w:val="nil"/>
              <w:right w:val="nil"/>
            </w:tcBorders>
            <w:noWrap/>
            <w:tcMar>
              <w:top w:w="12" w:type="dxa"/>
              <w:left w:w="12" w:type="dxa"/>
              <w:bottom w:w="0" w:type="dxa"/>
              <w:right w:w="12" w:type="dxa"/>
            </w:tcMar>
            <w:vAlign w:val="bottom"/>
          </w:tcPr>
          <w:p w:rsidR="00593E30" w:rsidRPr="00F9712C" w:rsidRDefault="00D009CC" w:rsidP="00036C7C">
            <w:pPr>
              <w:rPr>
                <w:sz w:val="20"/>
                <w:szCs w:val="24"/>
              </w:rPr>
            </w:pPr>
            <w:r w:rsidRPr="00F9712C">
              <w:rPr>
                <w:sz w:val="20"/>
              </w:rPr>
              <w:t>Open-to-open</w:t>
            </w:r>
          </w:p>
        </w:tc>
        <w:tc>
          <w:tcPr>
            <w:tcW w:w="943"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53</w:t>
            </w:r>
          </w:p>
        </w:tc>
        <w:tc>
          <w:tcPr>
            <w:tcW w:w="376"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2.914</w:t>
            </w:r>
          </w:p>
        </w:tc>
        <w:tc>
          <w:tcPr>
            <w:tcW w:w="348"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0.772</w:t>
            </w:r>
          </w:p>
        </w:tc>
        <w:tc>
          <w:tcPr>
            <w:tcW w:w="349"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0.814</w:t>
            </w:r>
          </w:p>
        </w:tc>
        <w:tc>
          <w:tcPr>
            <w:tcW w:w="503"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1.506</w:t>
            </w:r>
          </w:p>
        </w:tc>
        <w:tc>
          <w:tcPr>
            <w:tcW w:w="349"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2.551</w:t>
            </w:r>
          </w:p>
        </w:tc>
        <w:tc>
          <w:tcPr>
            <w:tcW w:w="846"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0.68</w:t>
            </w:r>
          </w:p>
        </w:tc>
        <w:tc>
          <w:tcPr>
            <w:tcW w:w="492"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0.005</w:t>
            </w:r>
          </w:p>
        </w:tc>
      </w:tr>
      <w:tr w:rsidR="00593E30" w:rsidRPr="00F9712C" w:rsidTr="00E633E0">
        <w:trPr>
          <w:trHeight w:val="324"/>
        </w:trPr>
        <w:tc>
          <w:tcPr>
            <w:tcW w:w="794" w:type="pct"/>
            <w:tcBorders>
              <w:top w:val="nil"/>
              <w:left w:val="nil"/>
              <w:right w:val="nil"/>
            </w:tcBorders>
            <w:noWrap/>
            <w:tcMar>
              <w:top w:w="12" w:type="dxa"/>
              <w:left w:w="12" w:type="dxa"/>
              <w:bottom w:w="0" w:type="dxa"/>
              <w:right w:w="12" w:type="dxa"/>
            </w:tcMar>
            <w:vAlign w:val="bottom"/>
          </w:tcPr>
          <w:p w:rsidR="00593E30" w:rsidRPr="00F9712C" w:rsidRDefault="00D009CC" w:rsidP="00036C7C">
            <w:pPr>
              <w:rPr>
                <w:sz w:val="20"/>
                <w:szCs w:val="24"/>
              </w:rPr>
            </w:pPr>
            <w:r w:rsidRPr="00F9712C">
              <w:rPr>
                <w:sz w:val="20"/>
              </w:rPr>
              <w:t>Close-to-close</w:t>
            </w:r>
          </w:p>
        </w:tc>
        <w:tc>
          <w:tcPr>
            <w:tcW w:w="943"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53</w:t>
            </w:r>
          </w:p>
        </w:tc>
        <w:tc>
          <w:tcPr>
            <w:tcW w:w="376"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2.597</w:t>
            </w:r>
          </w:p>
        </w:tc>
        <w:tc>
          <w:tcPr>
            <w:tcW w:w="348"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0.645</w:t>
            </w:r>
          </w:p>
        </w:tc>
        <w:tc>
          <w:tcPr>
            <w:tcW w:w="349"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0.875</w:t>
            </w:r>
          </w:p>
        </w:tc>
        <w:tc>
          <w:tcPr>
            <w:tcW w:w="503"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1.393</w:t>
            </w:r>
          </w:p>
        </w:tc>
        <w:tc>
          <w:tcPr>
            <w:tcW w:w="349"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2.500</w:t>
            </w:r>
          </w:p>
        </w:tc>
        <w:tc>
          <w:tcPr>
            <w:tcW w:w="846"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0.72</w:t>
            </w:r>
          </w:p>
        </w:tc>
        <w:tc>
          <w:tcPr>
            <w:tcW w:w="492" w:type="pct"/>
            <w:tcBorders>
              <w:top w:val="nil"/>
              <w:left w:val="nil"/>
              <w:right w:val="nil"/>
            </w:tcBorders>
            <w:noWrap/>
            <w:tcMar>
              <w:top w:w="12" w:type="dxa"/>
              <w:left w:w="12" w:type="dxa"/>
              <w:bottom w:w="0" w:type="dxa"/>
              <w:right w:w="12" w:type="dxa"/>
            </w:tcMar>
            <w:vAlign w:val="bottom"/>
          </w:tcPr>
          <w:p w:rsidR="00593E30" w:rsidRPr="00F9712C" w:rsidRDefault="00593E30" w:rsidP="00036C7C">
            <w:pPr>
              <w:jc w:val="center"/>
              <w:rPr>
                <w:sz w:val="20"/>
                <w:szCs w:val="24"/>
              </w:rPr>
            </w:pPr>
            <w:r w:rsidRPr="00F9712C">
              <w:rPr>
                <w:sz w:val="20"/>
              </w:rPr>
              <w:t>0.001</w:t>
            </w:r>
          </w:p>
        </w:tc>
      </w:tr>
      <w:tr w:rsidR="009A6708" w:rsidRPr="00F9712C" w:rsidTr="00E633E0">
        <w:trPr>
          <w:trHeight w:val="324"/>
        </w:trPr>
        <w:tc>
          <w:tcPr>
            <w:tcW w:w="794" w:type="pct"/>
            <w:tcBorders>
              <w:left w:val="nil"/>
              <w:right w:val="nil"/>
            </w:tcBorders>
            <w:noWrap/>
            <w:tcMar>
              <w:top w:w="12" w:type="dxa"/>
              <w:left w:w="12" w:type="dxa"/>
              <w:bottom w:w="0" w:type="dxa"/>
              <w:right w:w="12" w:type="dxa"/>
            </w:tcMar>
            <w:vAlign w:val="bottom"/>
          </w:tcPr>
          <w:p w:rsidR="009A6708" w:rsidRPr="00F9712C" w:rsidRDefault="004E3C3F">
            <w:pPr>
              <w:rPr>
                <w:sz w:val="20"/>
                <w:szCs w:val="24"/>
              </w:rPr>
            </w:pPr>
            <w:r w:rsidRPr="00F9712C">
              <w:rPr>
                <w:sz w:val="20"/>
              </w:rPr>
              <w:t>Daytime</w:t>
            </w:r>
          </w:p>
        </w:tc>
        <w:tc>
          <w:tcPr>
            <w:tcW w:w="943" w:type="pct"/>
            <w:tcBorders>
              <w:left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53</w:t>
            </w:r>
          </w:p>
        </w:tc>
        <w:tc>
          <w:tcPr>
            <w:tcW w:w="376" w:type="pct"/>
            <w:tcBorders>
              <w:left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3.684</w:t>
            </w:r>
          </w:p>
        </w:tc>
        <w:tc>
          <w:tcPr>
            <w:tcW w:w="348" w:type="pct"/>
            <w:tcBorders>
              <w:left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1.324</w:t>
            </w:r>
          </w:p>
        </w:tc>
        <w:tc>
          <w:tcPr>
            <w:tcW w:w="349" w:type="pct"/>
            <w:tcBorders>
              <w:left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0.939</w:t>
            </w:r>
          </w:p>
        </w:tc>
        <w:tc>
          <w:tcPr>
            <w:tcW w:w="503" w:type="pct"/>
            <w:tcBorders>
              <w:left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1.414</w:t>
            </w:r>
          </w:p>
        </w:tc>
        <w:tc>
          <w:tcPr>
            <w:tcW w:w="349" w:type="pct"/>
            <w:tcBorders>
              <w:left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2.904</w:t>
            </w:r>
          </w:p>
        </w:tc>
        <w:tc>
          <w:tcPr>
            <w:tcW w:w="846" w:type="pct"/>
            <w:tcBorders>
              <w:left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0.72</w:t>
            </w:r>
          </w:p>
        </w:tc>
        <w:tc>
          <w:tcPr>
            <w:tcW w:w="492" w:type="pct"/>
            <w:tcBorders>
              <w:left w:val="nil"/>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0.001</w:t>
            </w:r>
          </w:p>
        </w:tc>
      </w:tr>
      <w:tr w:rsidR="009A6708" w:rsidRPr="00F9712C" w:rsidTr="00E633E0">
        <w:trPr>
          <w:trHeight w:val="324"/>
        </w:trPr>
        <w:tc>
          <w:tcPr>
            <w:tcW w:w="794"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4E3C3F">
            <w:pPr>
              <w:rPr>
                <w:sz w:val="20"/>
                <w:szCs w:val="24"/>
              </w:rPr>
            </w:pPr>
            <w:r w:rsidRPr="00F9712C">
              <w:rPr>
                <w:sz w:val="20"/>
              </w:rPr>
              <w:t>Overnight</w:t>
            </w:r>
          </w:p>
        </w:tc>
        <w:tc>
          <w:tcPr>
            <w:tcW w:w="943"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53</w:t>
            </w:r>
          </w:p>
        </w:tc>
        <w:tc>
          <w:tcPr>
            <w:tcW w:w="376"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1.323</w:t>
            </w:r>
          </w:p>
        </w:tc>
        <w:tc>
          <w:tcPr>
            <w:tcW w:w="348"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0.256</w:t>
            </w:r>
          </w:p>
        </w:tc>
        <w:tc>
          <w:tcPr>
            <w:tcW w:w="349"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0.335</w:t>
            </w:r>
          </w:p>
        </w:tc>
        <w:tc>
          <w:tcPr>
            <w:tcW w:w="503"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0.739</w:t>
            </w:r>
          </w:p>
        </w:tc>
        <w:tc>
          <w:tcPr>
            <w:tcW w:w="349"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1.316</w:t>
            </w:r>
          </w:p>
        </w:tc>
        <w:tc>
          <w:tcPr>
            <w:tcW w:w="846"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0.40</w:t>
            </w:r>
          </w:p>
        </w:tc>
        <w:tc>
          <w:tcPr>
            <w:tcW w:w="492" w:type="pct"/>
            <w:tcBorders>
              <w:top w:val="nil"/>
              <w:left w:val="nil"/>
              <w:bottom w:val="single" w:sz="4" w:space="0" w:color="auto"/>
              <w:right w:val="nil"/>
            </w:tcBorders>
            <w:noWrap/>
            <w:tcMar>
              <w:top w:w="12" w:type="dxa"/>
              <w:left w:w="12" w:type="dxa"/>
              <w:bottom w:w="0" w:type="dxa"/>
              <w:right w:w="12" w:type="dxa"/>
            </w:tcMar>
            <w:vAlign w:val="bottom"/>
          </w:tcPr>
          <w:p w:rsidR="009A6708" w:rsidRPr="00F9712C" w:rsidRDefault="004E3C3F">
            <w:pPr>
              <w:jc w:val="center"/>
              <w:rPr>
                <w:sz w:val="20"/>
                <w:szCs w:val="24"/>
              </w:rPr>
            </w:pPr>
            <w:r w:rsidRPr="00F9712C">
              <w:rPr>
                <w:sz w:val="20"/>
              </w:rPr>
              <w:t>0.065</w:t>
            </w:r>
          </w:p>
        </w:tc>
      </w:tr>
    </w:tbl>
    <w:p w:rsidR="009A6708" w:rsidRPr="00F9712C" w:rsidRDefault="009A6708">
      <w:pPr>
        <w:pStyle w:val="BodyText2"/>
        <w:autoSpaceDE/>
        <w:autoSpaceDN/>
        <w:spacing w:line="360" w:lineRule="atLeast"/>
        <w:textAlignment w:val="baseline"/>
        <w:rPr>
          <w:sz w:val="20"/>
        </w:rPr>
      </w:pPr>
    </w:p>
    <w:p w:rsidR="00711C12" w:rsidRDefault="00711C12">
      <w:pPr>
        <w:widowControl/>
        <w:adjustRightInd/>
        <w:spacing w:line="240" w:lineRule="auto"/>
        <w:textAlignment w:val="auto"/>
        <w:rPr>
          <w:sz w:val="22"/>
        </w:rPr>
      </w:pPr>
      <w:r>
        <w:rPr>
          <w:sz w:val="22"/>
        </w:rPr>
        <w:br w:type="page"/>
      </w:r>
    </w:p>
    <w:p w:rsidR="009A6708" w:rsidRPr="00F9712C" w:rsidRDefault="004E3C3F">
      <w:pPr>
        <w:jc w:val="center"/>
        <w:rPr>
          <w:sz w:val="22"/>
        </w:rPr>
      </w:pPr>
      <w:r w:rsidRPr="00F9712C">
        <w:rPr>
          <w:sz w:val="22"/>
        </w:rPr>
        <w:lastRenderedPageBreak/>
        <w:t>Table 4</w:t>
      </w:r>
    </w:p>
    <w:p w:rsidR="009A6708" w:rsidRPr="00F9712C" w:rsidRDefault="004E3C3F">
      <w:pPr>
        <w:jc w:val="center"/>
        <w:rPr>
          <w:sz w:val="22"/>
        </w:rPr>
      </w:pPr>
      <w:r w:rsidRPr="00F9712C">
        <w:rPr>
          <w:sz w:val="22"/>
        </w:rPr>
        <w:t xml:space="preserve">Summary statistics of cross-sectional variance ratio for </w:t>
      </w:r>
      <w:r w:rsidR="0075328B" w:rsidRPr="00F9712C">
        <w:rPr>
          <w:rFonts w:hint="eastAsia"/>
          <w:sz w:val="22"/>
        </w:rPr>
        <w:t xml:space="preserve">companies listed on the </w:t>
      </w:r>
      <w:r w:rsidRPr="00F9712C">
        <w:rPr>
          <w:sz w:val="22"/>
        </w:rPr>
        <w:t xml:space="preserve">Shanghai </w:t>
      </w:r>
      <w:r w:rsidR="0075328B" w:rsidRPr="00F9712C">
        <w:rPr>
          <w:rFonts w:hint="eastAsia"/>
          <w:sz w:val="22"/>
        </w:rPr>
        <w:t>Stock Exchange</w:t>
      </w:r>
    </w:p>
    <w:p w:rsidR="0075328B" w:rsidRPr="00F9712C" w:rsidRDefault="0075328B">
      <w:pPr>
        <w:jc w:val="center"/>
        <w:rPr>
          <w:sz w:val="22"/>
        </w:rPr>
      </w:pPr>
    </w:p>
    <w:p w:rsidR="009A6708" w:rsidRPr="00F9712C" w:rsidRDefault="004E3C3F">
      <w:pPr>
        <w:pStyle w:val="BodyText2"/>
        <w:spacing w:line="240" w:lineRule="exact"/>
        <w:rPr>
          <w:sz w:val="18"/>
        </w:rPr>
      </w:pPr>
      <w:r w:rsidRPr="00F9712C">
        <w:rPr>
          <w:sz w:val="18"/>
        </w:rPr>
        <w:t>This table reports the median variance ratios for various returns for A and B shares traded on the Shanghai Stock Exchange during July 1992 to November 1996.  To mitigate the effect of thin trading, only trading days with trading volume on day t-1 and day t for both A and B shares are used to calculate stock returns and variances.  If there are less than 10 pairs of consecutive ‘valid’ trading days in a given calendar month, the entire mont</w:t>
      </w:r>
      <w:r w:rsidR="005D0586" w:rsidRPr="00F9712C">
        <w:rPr>
          <w:sz w:val="18"/>
        </w:rPr>
        <w:t xml:space="preserve">h is eliminated. The sign test </w:t>
      </w:r>
      <w:r w:rsidR="005D0586" w:rsidRPr="00F9712C">
        <w:rPr>
          <w:rFonts w:hint="eastAsia"/>
          <w:sz w:val="18"/>
        </w:rPr>
        <w:t>p</w:t>
      </w:r>
      <w:r w:rsidRPr="00F9712C">
        <w:rPr>
          <w:sz w:val="18"/>
        </w:rPr>
        <w:t>-value is based on the 35 median variance ratios.</w:t>
      </w:r>
    </w:p>
    <w:p w:rsidR="009A6708" w:rsidRPr="00F9712C" w:rsidRDefault="009A6708">
      <w:pPr>
        <w:pStyle w:val="BodyText2"/>
        <w:spacing w:line="240" w:lineRule="exact"/>
        <w:rPr>
          <w:sz w:val="18"/>
        </w:rPr>
      </w:pPr>
    </w:p>
    <w:tbl>
      <w:tblPr>
        <w:tblW w:w="5000" w:type="pct"/>
        <w:tblCellMar>
          <w:left w:w="0" w:type="dxa"/>
          <w:right w:w="0" w:type="dxa"/>
        </w:tblCellMar>
        <w:tblLook w:val="0000" w:firstRow="0" w:lastRow="0" w:firstColumn="0" w:lastColumn="0" w:noHBand="0" w:noVBand="0"/>
      </w:tblPr>
      <w:tblGrid>
        <w:gridCol w:w="2695"/>
        <w:gridCol w:w="1392"/>
        <w:gridCol w:w="1395"/>
        <w:gridCol w:w="1395"/>
        <w:gridCol w:w="1395"/>
        <w:gridCol w:w="1391"/>
      </w:tblGrid>
      <w:tr w:rsidR="009A1BA0" w:rsidRPr="00F9712C" w:rsidTr="009A1BA0">
        <w:trPr>
          <w:trHeight w:hRule="exact" w:val="284"/>
        </w:trPr>
        <w:tc>
          <w:tcPr>
            <w:tcW w:w="1394" w:type="pct"/>
            <w:tcBorders>
              <w:top w:val="single" w:sz="4" w:space="0" w:color="auto"/>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rPr>
                <w:sz w:val="20"/>
                <w:szCs w:val="24"/>
              </w:rPr>
            </w:pPr>
            <w:r w:rsidRPr="00F9712C">
              <w:rPr>
                <w:sz w:val="20"/>
              </w:rPr>
              <w:t>Company</w:t>
            </w:r>
          </w:p>
        </w:tc>
        <w:tc>
          <w:tcPr>
            <w:tcW w:w="720" w:type="pct"/>
            <w:tcBorders>
              <w:top w:val="single" w:sz="4" w:space="0" w:color="auto"/>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jc w:val="center"/>
              <w:rPr>
                <w:sz w:val="20"/>
                <w:szCs w:val="24"/>
              </w:rPr>
            </w:pPr>
            <w:r w:rsidRPr="00F9712C">
              <w:rPr>
                <w:sz w:val="20"/>
              </w:rPr>
              <w:t>N</w:t>
            </w:r>
          </w:p>
        </w:tc>
        <w:tc>
          <w:tcPr>
            <w:tcW w:w="722" w:type="pct"/>
            <w:tcBorders>
              <w:top w:val="single" w:sz="4" w:space="0" w:color="auto"/>
              <w:left w:val="nil"/>
              <w:bottom w:val="single" w:sz="4" w:space="0" w:color="auto"/>
              <w:right w:val="nil"/>
            </w:tcBorders>
          </w:tcPr>
          <w:p w:rsidR="009A1BA0" w:rsidRPr="00F9712C" w:rsidRDefault="00D009CC" w:rsidP="00036C7C">
            <w:pPr>
              <w:spacing w:line="240" w:lineRule="exact"/>
              <w:jc w:val="center"/>
              <w:rPr>
                <w:sz w:val="20"/>
                <w:szCs w:val="24"/>
              </w:rPr>
            </w:pPr>
            <w:r w:rsidRPr="00F9712C">
              <w:rPr>
                <w:sz w:val="20"/>
              </w:rPr>
              <w:t>Open-to-open</w:t>
            </w:r>
          </w:p>
        </w:tc>
        <w:tc>
          <w:tcPr>
            <w:tcW w:w="722" w:type="pct"/>
            <w:tcBorders>
              <w:top w:val="single" w:sz="4" w:space="0" w:color="auto"/>
              <w:left w:val="nil"/>
              <w:bottom w:val="single" w:sz="4" w:space="0" w:color="auto"/>
              <w:right w:val="nil"/>
            </w:tcBorders>
          </w:tcPr>
          <w:p w:rsidR="009A1BA0" w:rsidRPr="00F9712C" w:rsidRDefault="00D009CC" w:rsidP="00036C7C">
            <w:pPr>
              <w:spacing w:line="240" w:lineRule="exact"/>
              <w:jc w:val="center"/>
              <w:rPr>
                <w:sz w:val="20"/>
                <w:szCs w:val="24"/>
              </w:rPr>
            </w:pPr>
            <w:r w:rsidRPr="00F9712C">
              <w:rPr>
                <w:sz w:val="20"/>
              </w:rPr>
              <w:t>Close-to-close</w:t>
            </w:r>
          </w:p>
        </w:tc>
        <w:tc>
          <w:tcPr>
            <w:tcW w:w="722" w:type="pct"/>
            <w:tcBorders>
              <w:top w:val="single" w:sz="4" w:space="0" w:color="auto"/>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jc w:val="center"/>
              <w:rPr>
                <w:sz w:val="20"/>
                <w:szCs w:val="24"/>
              </w:rPr>
            </w:pPr>
            <w:r w:rsidRPr="00F9712C">
              <w:rPr>
                <w:sz w:val="20"/>
              </w:rPr>
              <w:t>Daytime</w:t>
            </w:r>
          </w:p>
        </w:tc>
        <w:tc>
          <w:tcPr>
            <w:tcW w:w="720" w:type="pct"/>
            <w:tcBorders>
              <w:top w:val="single" w:sz="4" w:space="0" w:color="auto"/>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jc w:val="center"/>
              <w:rPr>
                <w:sz w:val="20"/>
                <w:szCs w:val="24"/>
              </w:rPr>
            </w:pPr>
            <w:r w:rsidRPr="00F9712C">
              <w:rPr>
                <w:sz w:val="20"/>
              </w:rPr>
              <w:t>Overnight</w:t>
            </w:r>
          </w:p>
        </w:tc>
      </w:tr>
      <w:tr w:rsidR="009A1BA0" w:rsidRPr="00F9712C" w:rsidTr="009A1BA0">
        <w:trPr>
          <w:trHeight w:hRule="exact" w:val="284"/>
        </w:trPr>
        <w:tc>
          <w:tcPr>
            <w:tcW w:w="1394" w:type="pct"/>
            <w:tcBorders>
              <w:top w:val="single" w:sz="4" w:space="0" w:color="auto"/>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Automation Instrumentation</w:t>
            </w:r>
          </w:p>
        </w:tc>
        <w:tc>
          <w:tcPr>
            <w:tcW w:w="720" w:type="pct"/>
            <w:tcBorders>
              <w:top w:val="single" w:sz="4" w:space="0" w:color="auto"/>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23</w:t>
            </w:r>
          </w:p>
        </w:tc>
        <w:tc>
          <w:tcPr>
            <w:tcW w:w="722" w:type="pct"/>
            <w:tcBorders>
              <w:top w:val="single" w:sz="4" w:space="0" w:color="auto"/>
              <w:left w:val="nil"/>
              <w:bottom w:val="nil"/>
              <w:right w:val="nil"/>
            </w:tcBorders>
          </w:tcPr>
          <w:p w:rsidR="009A1BA0" w:rsidRPr="00F9712C" w:rsidRDefault="009A1BA0" w:rsidP="00036C7C">
            <w:pPr>
              <w:spacing w:line="240" w:lineRule="exact"/>
              <w:jc w:val="center"/>
              <w:rPr>
                <w:sz w:val="18"/>
                <w:szCs w:val="24"/>
              </w:rPr>
            </w:pPr>
            <w:r w:rsidRPr="00F9712C">
              <w:rPr>
                <w:sz w:val="18"/>
              </w:rPr>
              <w:t>1.107</w:t>
            </w:r>
          </w:p>
        </w:tc>
        <w:tc>
          <w:tcPr>
            <w:tcW w:w="722" w:type="pct"/>
            <w:tcBorders>
              <w:top w:val="single" w:sz="4" w:space="0" w:color="auto"/>
              <w:left w:val="nil"/>
              <w:bottom w:val="nil"/>
              <w:right w:val="nil"/>
            </w:tcBorders>
          </w:tcPr>
          <w:p w:rsidR="009A1BA0" w:rsidRPr="00F9712C" w:rsidRDefault="009A1BA0" w:rsidP="00036C7C">
            <w:pPr>
              <w:spacing w:line="240" w:lineRule="exact"/>
              <w:jc w:val="center"/>
              <w:rPr>
                <w:sz w:val="18"/>
                <w:szCs w:val="24"/>
              </w:rPr>
            </w:pPr>
            <w:r w:rsidRPr="00F9712C">
              <w:rPr>
                <w:sz w:val="18"/>
              </w:rPr>
              <w:t>0.954</w:t>
            </w:r>
          </w:p>
        </w:tc>
        <w:tc>
          <w:tcPr>
            <w:tcW w:w="722" w:type="pct"/>
            <w:tcBorders>
              <w:top w:val="single" w:sz="4" w:space="0" w:color="auto"/>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0.936</w:t>
            </w:r>
          </w:p>
        </w:tc>
        <w:tc>
          <w:tcPr>
            <w:tcW w:w="720" w:type="pct"/>
            <w:tcBorders>
              <w:top w:val="single" w:sz="4" w:space="0" w:color="auto"/>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0.776</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China 1st Pencil</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36</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2.457</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1.943</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2.682</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1.297</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China Textile Machinary</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36</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1.847</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2.183</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1.534</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1.128</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Chlor Alkali Chemical</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48</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2.580</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2.111</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2.470</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1.687</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Dajiang (Group) Stock</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14</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2.343</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1.621</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2.119</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1.244</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Dazhong Taxi</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46</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2.933</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2.004</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3.529</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1.296</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Diesel Engine</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31</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3.050</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2.623</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2.789</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1.772</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Erfangji</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52</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1.729</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1.609</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2.013</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0.803</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Forever</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13</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4.231</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2.327</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2.398</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1.918</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 xml:space="preserve">Friendship </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22</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1.616</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1.896</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1.555</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1.069</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 xml:space="preserve">Good &amp; Materials </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29</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1.262</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1.428</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1.906</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0.894</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Haixin</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19</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1.514</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1.367</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1.510</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0.735</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Heilonggiang Ele</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5</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3.016</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1.739</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2.979</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0.688</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Hero</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29</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2.773</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1.729</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2.040</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1.940</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Hua Xin Cement</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19</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1.996</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1.347</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1.646</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1.050</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Industrial Sewing Machine</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24</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2.177</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1.829</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2.328</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0.782</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Jinjiang Tower</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36</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1.718</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1.307</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1.932</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0.811</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 xml:space="preserve">Jinqiao Export </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42</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1.802</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1.250</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1.502</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1.118</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Lianhua Fibre</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16</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2.334</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1.073</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2.415</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3.149</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 xml:space="preserve">Lujiazui </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24</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2.264</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2.482</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2.176</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2.485</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Narcissus Electric Appliances</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24</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1.508</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1.308</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1.369</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0.584</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New Asia</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5.368</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3.288</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4.906</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0.474</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Phoenix</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32</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1.217</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0.846</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0.961</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0.743</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Posts &amp; Telecommunications</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25</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1.086</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0.579</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0.710</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0.951</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 xml:space="preserve">Refrigerator Compressor </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39</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2.493</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1.293</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2.181</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1.117</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Rubber Belt</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21</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1.701</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0.879</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1.931</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0.729</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Sanmao Textile</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11</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0.970</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1.161</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1.593</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0.686</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Shangling Electric Appliances</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31</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2.704</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2.322</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2.512</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1.148</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Steel Tube (Baosight)</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30</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1.828</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1.289</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2.221</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0.797</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Tianjin Marine</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2.996</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1.653</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2.247</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1.263</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Tyre &amp; Rubber</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48</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1.935</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1.292</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1.790</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1.478</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Vacuum Electron Device</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52</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1.352</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1.257</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1.658</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0.437</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Wai Gaoqiao</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40</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1.271</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1.175</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1.305</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1.120</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Wing Sung</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18</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3.430</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3.792</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3.740</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2.466</w:t>
            </w:r>
          </w:p>
        </w:tc>
      </w:tr>
      <w:tr w:rsidR="009A1BA0" w:rsidRPr="00F9712C" w:rsidTr="009A1BA0">
        <w:trPr>
          <w:trHeight w:hRule="exact" w:val="284"/>
        </w:trPr>
        <w:tc>
          <w:tcPr>
            <w:tcW w:w="1394" w:type="pct"/>
            <w:tcBorders>
              <w:top w:val="nil"/>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Yaohua Pilkington Glass</w:t>
            </w:r>
          </w:p>
        </w:tc>
        <w:tc>
          <w:tcPr>
            <w:tcW w:w="720" w:type="pct"/>
            <w:tcBorders>
              <w:top w:val="nil"/>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34</w:t>
            </w:r>
          </w:p>
        </w:tc>
        <w:tc>
          <w:tcPr>
            <w:tcW w:w="722" w:type="pct"/>
            <w:tcBorders>
              <w:top w:val="nil"/>
              <w:left w:val="nil"/>
              <w:bottom w:val="single" w:sz="4" w:space="0" w:color="auto"/>
              <w:right w:val="nil"/>
            </w:tcBorders>
          </w:tcPr>
          <w:p w:rsidR="009A1BA0" w:rsidRPr="00F9712C" w:rsidRDefault="009A1BA0" w:rsidP="00036C7C">
            <w:pPr>
              <w:spacing w:line="240" w:lineRule="exact"/>
              <w:jc w:val="center"/>
              <w:rPr>
                <w:sz w:val="18"/>
                <w:szCs w:val="24"/>
              </w:rPr>
            </w:pPr>
            <w:r w:rsidRPr="00F9712C">
              <w:rPr>
                <w:sz w:val="18"/>
              </w:rPr>
              <w:t>2.520</w:t>
            </w:r>
          </w:p>
        </w:tc>
        <w:tc>
          <w:tcPr>
            <w:tcW w:w="722" w:type="pct"/>
            <w:tcBorders>
              <w:top w:val="nil"/>
              <w:left w:val="nil"/>
              <w:bottom w:val="single" w:sz="4" w:space="0" w:color="auto"/>
              <w:right w:val="nil"/>
            </w:tcBorders>
          </w:tcPr>
          <w:p w:rsidR="009A1BA0" w:rsidRPr="00F9712C" w:rsidRDefault="009A1BA0" w:rsidP="00036C7C">
            <w:pPr>
              <w:spacing w:line="240" w:lineRule="exact"/>
              <w:jc w:val="center"/>
              <w:rPr>
                <w:sz w:val="18"/>
                <w:szCs w:val="24"/>
              </w:rPr>
            </w:pPr>
            <w:r w:rsidRPr="00F9712C">
              <w:rPr>
                <w:sz w:val="18"/>
              </w:rPr>
              <w:t>1.917</w:t>
            </w:r>
          </w:p>
        </w:tc>
        <w:tc>
          <w:tcPr>
            <w:tcW w:w="722" w:type="pct"/>
            <w:tcBorders>
              <w:top w:val="nil"/>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2.110</w:t>
            </w:r>
          </w:p>
        </w:tc>
        <w:tc>
          <w:tcPr>
            <w:tcW w:w="720" w:type="pct"/>
            <w:tcBorders>
              <w:top w:val="nil"/>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2.512</w:t>
            </w:r>
          </w:p>
        </w:tc>
      </w:tr>
      <w:tr w:rsidR="009A1BA0" w:rsidRPr="00F9712C" w:rsidTr="009A1BA0">
        <w:trPr>
          <w:trHeight w:hRule="exact" w:val="284"/>
        </w:trPr>
        <w:tc>
          <w:tcPr>
            <w:tcW w:w="1394" w:type="pct"/>
            <w:tcBorders>
              <w:top w:val="single" w:sz="4" w:space="0" w:color="auto"/>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mean</w:t>
            </w:r>
          </w:p>
        </w:tc>
        <w:tc>
          <w:tcPr>
            <w:tcW w:w="720" w:type="pct"/>
            <w:tcBorders>
              <w:top w:val="single" w:sz="4" w:space="0" w:color="auto"/>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28</w:t>
            </w:r>
          </w:p>
        </w:tc>
        <w:tc>
          <w:tcPr>
            <w:tcW w:w="722" w:type="pct"/>
            <w:tcBorders>
              <w:top w:val="single" w:sz="4" w:space="0" w:color="auto"/>
              <w:left w:val="nil"/>
              <w:bottom w:val="nil"/>
              <w:right w:val="nil"/>
            </w:tcBorders>
          </w:tcPr>
          <w:p w:rsidR="009A1BA0" w:rsidRPr="00F9712C" w:rsidRDefault="009A1BA0" w:rsidP="00036C7C">
            <w:pPr>
              <w:spacing w:line="240" w:lineRule="exact"/>
              <w:jc w:val="center"/>
              <w:rPr>
                <w:sz w:val="18"/>
                <w:szCs w:val="24"/>
              </w:rPr>
            </w:pPr>
            <w:r w:rsidRPr="00F9712C">
              <w:rPr>
                <w:sz w:val="18"/>
              </w:rPr>
              <w:t>2.204</w:t>
            </w:r>
          </w:p>
        </w:tc>
        <w:tc>
          <w:tcPr>
            <w:tcW w:w="722" w:type="pct"/>
            <w:tcBorders>
              <w:top w:val="single" w:sz="4" w:space="0" w:color="auto"/>
              <w:left w:val="nil"/>
              <w:bottom w:val="nil"/>
              <w:right w:val="nil"/>
            </w:tcBorders>
          </w:tcPr>
          <w:p w:rsidR="009A1BA0" w:rsidRPr="00F9712C" w:rsidRDefault="009A1BA0" w:rsidP="00036C7C">
            <w:pPr>
              <w:spacing w:line="240" w:lineRule="exact"/>
              <w:jc w:val="center"/>
              <w:rPr>
                <w:sz w:val="18"/>
                <w:szCs w:val="24"/>
              </w:rPr>
            </w:pPr>
            <w:r w:rsidRPr="00F9712C">
              <w:rPr>
                <w:sz w:val="18"/>
              </w:rPr>
              <w:t>1.682</w:t>
            </w:r>
          </w:p>
        </w:tc>
        <w:tc>
          <w:tcPr>
            <w:tcW w:w="722" w:type="pct"/>
            <w:tcBorders>
              <w:top w:val="single" w:sz="4" w:space="0" w:color="auto"/>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2.106</w:t>
            </w:r>
          </w:p>
        </w:tc>
        <w:tc>
          <w:tcPr>
            <w:tcW w:w="720" w:type="pct"/>
            <w:tcBorders>
              <w:top w:val="single" w:sz="4" w:space="0" w:color="auto"/>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1.233</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median</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29</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1.996</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1.609</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2.040</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1.117</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S.E.</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0.157</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0.114</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0.138</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0.109</w:t>
            </w:r>
          </w:p>
        </w:tc>
      </w:tr>
      <w:tr w:rsidR="009A1BA0" w:rsidRPr="00F9712C" w:rsidTr="009A1BA0">
        <w:trPr>
          <w:trHeight w:hRule="exact" w:val="284"/>
        </w:trPr>
        <w:tc>
          <w:tcPr>
            <w:tcW w:w="1394"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rPr>
                <w:sz w:val="18"/>
                <w:szCs w:val="24"/>
              </w:rPr>
            </w:pPr>
            <w:r w:rsidRPr="00F9712C">
              <w:rPr>
                <w:sz w:val="18"/>
              </w:rPr>
              <w:t>%VR &gt; 1</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97</w:t>
            </w:r>
          </w:p>
        </w:tc>
        <w:tc>
          <w:tcPr>
            <w:tcW w:w="722" w:type="pct"/>
            <w:tcBorders>
              <w:top w:val="nil"/>
              <w:left w:val="nil"/>
              <w:bottom w:val="nil"/>
              <w:right w:val="nil"/>
            </w:tcBorders>
          </w:tcPr>
          <w:p w:rsidR="009A1BA0" w:rsidRPr="00F9712C" w:rsidRDefault="009A1BA0" w:rsidP="00036C7C">
            <w:pPr>
              <w:spacing w:line="240" w:lineRule="exact"/>
              <w:jc w:val="center"/>
              <w:rPr>
                <w:sz w:val="18"/>
                <w:szCs w:val="24"/>
              </w:rPr>
            </w:pPr>
            <w:r w:rsidRPr="00F9712C">
              <w:rPr>
                <w:sz w:val="18"/>
              </w:rPr>
              <w:t>89</w:t>
            </w:r>
          </w:p>
        </w:tc>
        <w:tc>
          <w:tcPr>
            <w:tcW w:w="722"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91</w:t>
            </w:r>
          </w:p>
        </w:tc>
        <w:tc>
          <w:tcPr>
            <w:tcW w:w="720" w:type="pct"/>
            <w:tcBorders>
              <w:top w:val="nil"/>
              <w:left w:val="nil"/>
              <w:bottom w:val="nil"/>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r w:rsidRPr="00F9712C">
              <w:rPr>
                <w:sz w:val="18"/>
              </w:rPr>
              <w:t>57</w:t>
            </w:r>
          </w:p>
        </w:tc>
      </w:tr>
      <w:tr w:rsidR="009A1BA0" w:rsidRPr="00F9712C" w:rsidTr="009A1BA0">
        <w:trPr>
          <w:trHeight w:hRule="exact" w:val="284"/>
        </w:trPr>
        <w:tc>
          <w:tcPr>
            <w:tcW w:w="1394" w:type="pct"/>
            <w:tcBorders>
              <w:top w:val="nil"/>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rPr>
                <w:sz w:val="18"/>
              </w:rPr>
            </w:pPr>
            <w:r w:rsidRPr="00F9712C">
              <w:rPr>
                <w:sz w:val="18"/>
              </w:rPr>
              <w:t>p-value</w:t>
            </w:r>
          </w:p>
        </w:tc>
        <w:tc>
          <w:tcPr>
            <w:tcW w:w="720" w:type="pct"/>
            <w:tcBorders>
              <w:top w:val="nil"/>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jc w:val="center"/>
              <w:rPr>
                <w:sz w:val="18"/>
                <w:szCs w:val="24"/>
              </w:rPr>
            </w:pPr>
          </w:p>
        </w:tc>
        <w:tc>
          <w:tcPr>
            <w:tcW w:w="722" w:type="pct"/>
            <w:tcBorders>
              <w:top w:val="nil"/>
              <w:left w:val="nil"/>
              <w:bottom w:val="single" w:sz="4" w:space="0" w:color="auto"/>
              <w:right w:val="nil"/>
            </w:tcBorders>
          </w:tcPr>
          <w:p w:rsidR="009A1BA0" w:rsidRPr="00F9712C" w:rsidRDefault="009A1BA0" w:rsidP="00036C7C">
            <w:pPr>
              <w:spacing w:line="240" w:lineRule="exact"/>
              <w:jc w:val="center"/>
              <w:rPr>
                <w:sz w:val="18"/>
              </w:rPr>
            </w:pPr>
            <w:r w:rsidRPr="00F9712C">
              <w:rPr>
                <w:sz w:val="18"/>
              </w:rPr>
              <w:t>0.000</w:t>
            </w:r>
          </w:p>
        </w:tc>
        <w:tc>
          <w:tcPr>
            <w:tcW w:w="722" w:type="pct"/>
            <w:tcBorders>
              <w:top w:val="nil"/>
              <w:left w:val="nil"/>
              <w:bottom w:val="single" w:sz="4" w:space="0" w:color="auto"/>
              <w:right w:val="nil"/>
            </w:tcBorders>
          </w:tcPr>
          <w:p w:rsidR="009A1BA0" w:rsidRPr="00F9712C" w:rsidRDefault="009A1BA0" w:rsidP="00036C7C">
            <w:pPr>
              <w:spacing w:line="240" w:lineRule="exact"/>
              <w:jc w:val="center"/>
              <w:rPr>
                <w:sz w:val="18"/>
              </w:rPr>
            </w:pPr>
            <w:r w:rsidRPr="00F9712C">
              <w:rPr>
                <w:sz w:val="18"/>
              </w:rPr>
              <w:t>0.000</w:t>
            </w:r>
          </w:p>
        </w:tc>
        <w:tc>
          <w:tcPr>
            <w:tcW w:w="722" w:type="pct"/>
            <w:tcBorders>
              <w:top w:val="nil"/>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jc w:val="center"/>
              <w:rPr>
                <w:sz w:val="18"/>
              </w:rPr>
            </w:pPr>
            <w:r w:rsidRPr="00F9712C">
              <w:rPr>
                <w:sz w:val="18"/>
              </w:rPr>
              <w:t>0.000</w:t>
            </w:r>
          </w:p>
        </w:tc>
        <w:tc>
          <w:tcPr>
            <w:tcW w:w="720" w:type="pct"/>
            <w:tcBorders>
              <w:top w:val="nil"/>
              <w:left w:val="nil"/>
              <w:bottom w:val="single" w:sz="4" w:space="0" w:color="auto"/>
              <w:right w:val="nil"/>
            </w:tcBorders>
            <w:noWrap/>
            <w:tcMar>
              <w:top w:w="12" w:type="dxa"/>
              <w:left w:w="12" w:type="dxa"/>
              <w:bottom w:w="0" w:type="dxa"/>
              <w:right w:w="12" w:type="dxa"/>
            </w:tcMar>
          </w:tcPr>
          <w:p w:rsidR="009A1BA0" w:rsidRPr="00F9712C" w:rsidRDefault="009A1BA0">
            <w:pPr>
              <w:spacing w:line="240" w:lineRule="exact"/>
              <w:jc w:val="center"/>
              <w:rPr>
                <w:sz w:val="18"/>
              </w:rPr>
            </w:pPr>
            <w:r w:rsidRPr="00F9712C">
              <w:rPr>
                <w:sz w:val="18"/>
              </w:rPr>
              <w:t>0.199</w:t>
            </w:r>
          </w:p>
        </w:tc>
      </w:tr>
    </w:tbl>
    <w:p w:rsidR="009A6708" w:rsidRPr="00F9712C" w:rsidRDefault="004E3C3F">
      <w:pPr>
        <w:jc w:val="center"/>
        <w:rPr>
          <w:sz w:val="22"/>
        </w:rPr>
      </w:pPr>
      <w:r w:rsidRPr="00F9712C">
        <w:rPr>
          <w:sz w:val="22"/>
        </w:rPr>
        <w:lastRenderedPageBreak/>
        <w:t>Table 5</w:t>
      </w:r>
    </w:p>
    <w:p w:rsidR="009A6708" w:rsidRPr="00F9712C" w:rsidRDefault="004E3C3F">
      <w:pPr>
        <w:jc w:val="center"/>
        <w:rPr>
          <w:sz w:val="22"/>
        </w:rPr>
      </w:pPr>
      <w:r w:rsidRPr="00F9712C">
        <w:rPr>
          <w:sz w:val="22"/>
        </w:rPr>
        <w:t>Summary statistics of cross-sectional variance ratio for compan</w:t>
      </w:r>
      <w:r w:rsidR="0075328B" w:rsidRPr="00F9712C">
        <w:rPr>
          <w:rFonts w:hint="eastAsia"/>
          <w:sz w:val="22"/>
        </w:rPr>
        <w:t xml:space="preserve">ies listed on the </w:t>
      </w:r>
      <w:r w:rsidR="0075328B" w:rsidRPr="00F9712C">
        <w:rPr>
          <w:sz w:val="22"/>
        </w:rPr>
        <w:t xml:space="preserve">Shenzhen </w:t>
      </w:r>
      <w:r w:rsidR="0075328B" w:rsidRPr="00F9712C">
        <w:rPr>
          <w:rFonts w:hint="eastAsia"/>
          <w:sz w:val="22"/>
        </w:rPr>
        <w:t>Stock Exchange</w:t>
      </w:r>
    </w:p>
    <w:p w:rsidR="0075328B" w:rsidRPr="00F9712C" w:rsidRDefault="0075328B">
      <w:pPr>
        <w:jc w:val="center"/>
      </w:pPr>
    </w:p>
    <w:p w:rsidR="009A6708" w:rsidRPr="00F9712C" w:rsidRDefault="004E3C3F">
      <w:pPr>
        <w:pStyle w:val="BodyText2"/>
        <w:spacing w:line="240" w:lineRule="exact"/>
        <w:rPr>
          <w:sz w:val="18"/>
        </w:rPr>
      </w:pPr>
      <w:r w:rsidRPr="00F9712C">
        <w:rPr>
          <w:sz w:val="18"/>
        </w:rPr>
        <w:t>This table reports the median variance ratios for various returns for A and B shares traded on the Shenzhen Stock Exchange during July 1992 to November 1996.  To mitigate the effect of thin trading, only trading days with trading volume on day t-1 and day t for both A and B shares are used to calculate stock returns and variances.  If there are less than 10 pairs of consecutive ‘valid’ trading days in a given calendar month, the entire mont</w:t>
      </w:r>
      <w:r w:rsidR="005D0586" w:rsidRPr="00F9712C">
        <w:rPr>
          <w:sz w:val="18"/>
        </w:rPr>
        <w:t xml:space="preserve">h is eliminated. The sign test </w:t>
      </w:r>
      <w:r w:rsidR="005D0586" w:rsidRPr="00F9712C">
        <w:rPr>
          <w:rFonts w:hint="eastAsia"/>
          <w:sz w:val="18"/>
        </w:rPr>
        <w:t>p</w:t>
      </w:r>
      <w:r w:rsidRPr="00F9712C">
        <w:rPr>
          <w:sz w:val="18"/>
        </w:rPr>
        <w:t>-value is based on the 32 median variance ratios.</w:t>
      </w:r>
    </w:p>
    <w:p w:rsidR="009A6708" w:rsidRPr="00F9712C" w:rsidRDefault="009A6708">
      <w:pPr>
        <w:pStyle w:val="BodyText2"/>
        <w:spacing w:line="240" w:lineRule="exact"/>
        <w:rPr>
          <w:sz w:val="18"/>
        </w:rPr>
      </w:pPr>
    </w:p>
    <w:tbl>
      <w:tblPr>
        <w:tblW w:w="5000" w:type="pct"/>
        <w:tblCellMar>
          <w:left w:w="0" w:type="dxa"/>
          <w:right w:w="0" w:type="dxa"/>
        </w:tblCellMar>
        <w:tblLook w:val="0000" w:firstRow="0" w:lastRow="0" w:firstColumn="0" w:lastColumn="0" w:noHBand="0" w:noVBand="0"/>
      </w:tblPr>
      <w:tblGrid>
        <w:gridCol w:w="3746"/>
        <w:gridCol w:w="1168"/>
        <w:gridCol w:w="1174"/>
        <w:gridCol w:w="1225"/>
        <w:gridCol w:w="1175"/>
        <w:gridCol w:w="1175"/>
      </w:tblGrid>
      <w:tr w:rsidR="008B1922" w:rsidRPr="00F9712C" w:rsidTr="008B1922">
        <w:trPr>
          <w:trHeight w:hRule="exact" w:val="284"/>
        </w:trPr>
        <w:tc>
          <w:tcPr>
            <w:tcW w:w="1938"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8B1922" w:rsidRPr="00F9712C" w:rsidRDefault="008B1922">
            <w:pPr>
              <w:spacing w:line="240" w:lineRule="exact"/>
              <w:rPr>
                <w:sz w:val="20"/>
                <w:szCs w:val="24"/>
              </w:rPr>
            </w:pPr>
            <w:r w:rsidRPr="00F9712C">
              <w:rPr>
                <w:sz w:val="20"/>
              </w:rPr>
              <w:t>Company</w:t>
            </w:r>
          </w:p>
        </w:tc>
        <w:tc>
          <w:tcPr>
            <w:tcW w:w="604"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8B1922" w:rsidRPr="00F9712C" w:rsidRDefault="008B1922">
            <w:pPr>
              <w:pStyle w:val="FootnoteText"/>
              <w:widowControl w:val="0"/>
              <w:adjustRightInd w:val="0"/>
              <w:spacing w:line="240" w:lineRule="exact"/>
              <w:jc w:val="center"/>
              <w:textAlignment w:val="baseline"/>
              <w:rPr>
                <w:rFonts w:ascii="Times New Roman" w:hAnsi="Times New Roman"/>
                <w:szCs w:val="24"/>
                <w:lang w:val="en-US"/>
              </w:rPr>
            </w:pPr>
            <w:r w:rsidRPr="00F9712C">
              <w:rPr>
                <w:rFonts w:ascii="Times New Roman" w:hAnsi="Times New Roman"/>
                <w:lang w:val="en-US"/>
              </w:rPr>
              <w:t>N</w:t>
            </w:r>
          </w:p>
        </w:tc>
        <w:tc>
          <w:tcPr>
            <w:tcW w:w="607" w:type="pct"/>
            <w:tcBorders>
              <w:top w:val="single" w:sz="4" w:space="0" w:color="auto"/>
              <w:left w:val="nil"/>
              <w:bottom w:val="single" w:sz="4" w:space="0" w:color="auto"/>
              <w:right w:val="nil"/>
            </w:tcBorders>
            <w:vAlign w:val="bottom"/>
          </w:tcPr>
          <w:p w:rsidR="008B1922" w:rsidRPr="00F9712C" w:rsidRDefault="00D009CC" w:rsidP="00036C7C">
            <w:pPr>
              <w:spacing w:line="240" w:lineRule="exact"/>
              <w:jc w:val="center"/>
              <w:rPr>
                <w:sz w:val="20"/>
                <w:szCs w:val="24"/>
              </w:rPr>
            </w:pPr>
            <w:r w:rsidRPr="00F9712C">
              <w:rPr>
                <w:sz w:val="20"/>
              </w:rPr>
              <w:t>Open-to-open</w:t>
            </w:r>
          </w:p>
        </w:tc>
        <w:tc>
          <w:tcPr>
            <w:tcW w:w="634" w:type="pct"/>
            <w:tcBorders>
              <w:top w:val="single" w:sz="4" w:space="0" w:color="auto"/>
              <w:left w:val="nil"/>
              <w:bottom w:val="single" w:sz="4" w:space="0" w:color="auto"/>
              <w:right w:val="nil"/>
            </w:tcBorders>
            <w:vAlign w:val="bottom"/>
          </w:tcPr>
          <w:p w:rsidR="008B1922" w:rsidRPr="00F9712C" w:rsidRDefault="00D009CC" w:rsidP="00036C7C">
            <w:pPr>
              <w:spacing w:line="240" w:lineRule="exact"/>
              <w:jc w:val="center"/>
              <w:rPr>
                <w:sz w:val="20"/>
                <w:szCs w:val="24"/>
              </w:rPr>
            </w:pPr>
            <w:r w:rsidRPr="00F9712C">
              <w:rPr>
                <w:sz w:val="20"/>
              </w:rPr>
              <w:t>Close-to-close</w:t>
            </w:r>
          </w:p>
        </w:tc>
        <w:tc>
          <w:tcPr>
            <w:tcW w:w="608"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8B1922" w:rsidRPr="00F9712C" w:rsidRDefault="008B1922">
            <w:pPr>
              <w:spacing w:line="240" w:lineRule="exact"/>
              <w:jc w:val="center"/>
              <w:rPr>
                <w:sz w:val="20"/>
                <w:szCs w:val="24"/>
              </w:rPr>
            </w:pPr>
            <w:r w:rsidRPr="00F9712C">
              <w:rPr>
                <w:sz w:val="20"/>
              </w:rPr>
              <w:t>Daytime</w:t>
            </w:r>
          </w:p>
        </w:tc>
        <w:tc>
          <w:tcPr>
            <w:tcW w:w="608"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8B1922" w:rsidRPr="00F9712C" w:rsidRDefault="008B1922">
            <w:pPr>
              <w:spacing w:line="240" w:lineRule="exact"/>
              <w:jc w:val="center"/>
              <w:rPr>
                <w:sz w:val="20"/>
                <w:szCs w:val="24"/>
              </w:rPr>
            </w:pPr>
            <w:r w:rsidRPr="00F9712C">
              <w:rPr>
                <w:sz w:val="20"/>
              </w:rPr>
              <w:t>Overnight</w:t>
            </w:r>
          </w:p>
        </w:tc>
      </w:tr>
      <w:tr w:rsidR="008B1922" w:rsidRPr="00F9712C" w:rsidTr="008B1922">
        <w:trPr>
          <w:trHeight w:hRule="exact" w:val="284"/>
        </w:trPr>
        <w:tc>
          <w:tcPr>
            <w:tcW w:w="1938" w:type="pct"/>
            <w:tcBorders>
              <w:top w:val="single" w:sz="4" w:space="0" w:color="auto"/>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Baoshi</w:t>
            </w:r>
          </w:p>
        </w:tc>
        <w:tc>
          <w:tcPr>
            <w:tcW w:w="604" w:type="pct"/>
            <w:tcBorders>
              <w:top w:val="single" w:sz="4" w:space="0" w:color="auto"/>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w:t>
            </w:r>
          </w:p>
        </w:tc>
        <w:tc>
          <w:tcPr>
            <w:tcW w:w="607" w:type="pct"/>
            <w:tcBorders>
              <w:top w:val="single" w:sz="4" w:space="0" w:color="auto"/>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7.716</w:t>
            </w:r>
          </w:p>
        </w:tc>
        <w:tc>
          <w:tcPr>
            <w:tcW w:w="634" w:type="pct"/>
            <w:tcBorders>
              <w:top w:val="single" w:sz="4" w:space="0" w:color="auto"/>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7.567</w:t>
            </w:r>
          </w:p>
        </w:tc>
        <w:tc>
          <w:tcPr>
            <w:tcW w:w="608" w:type="pct"/>
            <w:tcBorders>
              <w:top w:val="single" w:sz="4" w:space="0" w:color="auto"/>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9.063</w:t>
            </w:r>
          </w:p>
        </w:tc>
        <w:tc>
          <w:tcPr>
            <w:tcW w:w="608" w:type="pct"/>
            <w:tcBorders>
              <w:top w:val="single" w:sz="4" w:space="0" w:color="auto"/>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0.473</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Changchai</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5.304</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3.775</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6.791</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3.107</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China Bicycles</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41</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1.998</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1.715</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1.693</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1.165</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China International Marine Containers</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15</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2.422</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1.643</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2.149</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1.386</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China Merchants Shekou Port Service</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30</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1.591</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1.484</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1.272</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0.698</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China Southern Glass (Csg Tech)</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21</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1.041</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1.727</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1.304</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0.456</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China Vanke</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27</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0.703</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0.711</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0.773</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0.339</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Chiwan Wharf</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26</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0.907</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1.685</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1.029</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0.540</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Fangda</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8</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1.176</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1.668</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1.122</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0.496</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 xml:space="preserve">Fiyta </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29</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0.915</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0.997</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1.165</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0.303</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Foshan Electrical and Lighting</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8</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4.368</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2.564</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3.400</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0.755</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Gintian Industry</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24</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0.862</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0.917</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1.159</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0.298</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Guangdong Electric Power Development</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17</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0.772</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1.222</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1.034</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0.926</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Gujing Distile</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3.875</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7.258</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3.143</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2.182</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Hainan Pearl River Enterprises</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8</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1.186</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1.267</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0.937</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0.487</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Health Mineral water (Accord Pharma)</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19</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1.421</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1.595</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1.525</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0.564</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Huafa Electronics</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14</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0.763</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0.755</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0.662</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0.350</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Jiangling Motors</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13</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0.941</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1.294</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1.196</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0.512</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Konka Group</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12</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0.661</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1.814</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1.185</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0.610</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Lionda Holdings</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17</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0.949</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1.835</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1.069</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0.562</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Livzon Pharmaceutical</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13</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1.991</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1.508</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2.438</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0.456</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Hefei Meran</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3</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5.062</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9.220</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7.201</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1.042</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Nanshan Power station company</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22</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1.650</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1.490</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1.897</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0.705</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Petrochemical</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16</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1.082</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1.757</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1.752</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0.592</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Properties &amp; Resources Development</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22</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1.008</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0.900</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0.850</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0.418</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SEZ Real Estate &amp; Properties</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26</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1.534</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1.399</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1.664</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0.818</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Shenbao Industrial</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19</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1.061</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1.053</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0.996</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0.633</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Shenzhen Textile</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17</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1.364</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1.235</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1.483</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0.551</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Tellus</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14</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1.234</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1.510</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1.398</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0.416</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Victor Onward Textile Industrial</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18</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0.789</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1.364</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0.959</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0.951</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Zhonghao</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26</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1.315</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1.045</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1.412</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0.373</w:t>
            </w:r>
          </w:p>
        </w:tc>
      </w:tr>
      <w:tr w:rsidR="008B1922" w:rsidRPr="00F9712C" w:rsidTr="008B1922">
        <w:trPr>
          <w:trHeight w:hRule="exact" w:val="284"/>
        </w:trPr>
        <w:tc>
          <w:tcPr>
            <w:tcW w:w="1938" w:type="pct"/>
            <w:tcBorders>
              <w:top w:val="nil"/>
              <w:left w:val="nil"/>
              <w:bottom w:val="single" w:sz="4" w:space="0" w:color="auto"/>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International Enterprise</w:t>
            </w:r>
          </w:p>
        </w:tc>
        <w:tc>
          <w:tcPr>
            <w:tcW w:w="604" w:type="pct"/>
            <w:tcBorders>
              <w:top w:val="nil"/>
              <w:left w:val="nil"/>
              <w:bottom w:val="single" w:sz="4" w:space="0" w:color="auto"/>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5</w:t>
            </w:r>
          </w:p>
        </w:tc>
        <w:tc>
          <w:tcPr>
            <w:tcW w:w="607" w:type="pct"/>
            <w:tcBorders>
              <w:top w:val="nil"/>
              <w:left w:val="nil"/>
              <w:bottom w:val="single" w:sz="4" w:space="0" w:color="auto"/>
              <w:right w:val="nil"/>
            </w:tcBorders>
            <w:vAlign w:val="bottom"/>
          </w:tcPr>
          <w:p w:rsidR="008B1922" w:rsidRPr="00F9712C" w:rsidRDefault="008B1922" w:rsidP="00036C7C">
            <w:pPr>
              <w:spacing w:line="240" w:lineRule="exact"/>
              <w:jc w:val="center"/>
              <w:rPr>
                <w:sz w:val="18"/>
                <w:szCs w:val="24"/>
              </w:rPr>
            </w:pPr>
            <w:r w:rsidRPr="00F9712C">
              <w:rPr>
                <w:sz w:val="18"/>
              </w:rPr>
              <w:t>0.956</w:t>
            </w:r>
          </w:p>
        </w:tc>
        <w:tc>
          <w:tcPr>
            <w:tcW w:w="634" w:type="pct"/>
            <w:tcBorders>
              <w:top w:val="nil"/>
              <w:left w:val="nil"/>
              <w:bottom w:val="single" w:sz="4" w:space="0" w:color="auto"/>
              <w:right w:val="nil"/>
            </w:tcBorders>
            <w:vAlign w:val="bottom"/>
          </w:tcPr>
          <w:p w:rsidR="008B1922" w:rsidRPr="00F9712C" w:rsidRDefault="008B1922" w:rsidP="00036C7C">
            <w:pPr>
              <w:spacing w:line="240" w:lineRule="exact"/>
              <w:jc w:val="center"/>
              <w:rPr>
                <w:sz w:val="18"/>
                <w:szCs w:val="24"/>
              </w:rPr>
            </w:pPr>
            <w:r w:rsidRPr="00F9712C">
              <w:rPr>
                <w:sz w:val="18"/>
              </w:rPr>
              <w:t>0.778</w:t>
            </w:r>
          </w:p>
        </w:tc>
        <w:tc>
          <w:tcPr>
            <w:tcW w:w="608" w:type="pct"/>
            <w:tcBorders>
              <w:top w:val="nil"/>
              <w:left w:val="nil"/>
              <w:bottom w:val="single" w:sz="4" w:space="0" w:color="auto"/>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0.696</w:t>
            </w:r>
          </w:p>
        </w:tc>
        <w:tc>
          <w:tcPr>
            <w:tcW w:w="608" w:type="pct"/>
            <w:tcBorders>
              <w:top w:val="nil"/>
              <w:left w:val="nil"/>
              <w:bottom w:val="single" w:sz="4" w:space="0" w:color="auto"/>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0.504</w:t>
            </w:r>
          </w:p>
        </w:tc>
      </w:tr>
      <w:tr w:rsidR="008B1922" w:rsidRPr="00F9712C" w:rsidTr="008B1922">
        <w:trPr>
          <w:trHeight w:hRule="exact" w:val="284"/>
        </w:trPr>
        <w:tc>
          <w:tcPr>
            <w:tcW w:w="1938" w:type="pct"/>
            <w:tcBorders>
              <w:top w:val="single" w:sz="4" w:space="0" w:color="auto"/>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mean</w:t>
            </w:r>
          </w:p>
        </w:tc>
        <w:tc>
          <w:tcPr>
            <w:tcW w:w="604" w:type="pct"/>
            <w:tcBorders>
              <w:top w:val="single" w:sz="4" w:space="0" w:color="auto"/>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17</w:t>
            </w:r>
          </w:p>
        </w:tc>
        <w:tc>
          <w:tcPr>
            <w:tcW w:w="607" w:type="pct"/>
            <w:tcBorders>
              <w:top w:val="single" w:sz="4" w:space="0" w:color="auto"/>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1.832</w:t>
            </w:r>
          </w:p>
        </w:tc>
        <w:tc>
          <w:tcPr>
            <w:tcW w:w="634" w:type="pct"/>
            <w:tcBorders>
              <w:top w:val="single" w:sz="4" w:space="0" w:color="auto"/>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2.086</w:t>
            </w:r>
          </w:p>
        </w:tc>
        <w:tc>
          <w:tcPr>
            <w:tcW w:w="608" w:type="pct"/>
            <w:tcBorders>
              <w:top w:val="single" w:sz="4" w:space="0" w:color="auto"/>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2.013</w:t>
            </w:r>
          </w:p>
        </w:tc>
        <w:tc>
          <w:tcPr>
            <w:tcW w:w="608" w:type="pct"/>
            <w:tcBorders>
              <w:top w:val="single" w:sz="4" w:space="0" w:color="auto"/>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0.740</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median</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17</w:t>
            </w: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1.181</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1.499</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1.288</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0.556</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S.E.</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0.290</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0.360</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0.350</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0.101</w:t>
            </w:r>
          </w:p>
        </w:tc>
      </w:tr>
      <w:tr w:rsidR="008B1922" w:rsidRPr="00F9712C" w:rsidTr="008B1922">
        <w:trPr>
          <w:trHeight w:hRule="exact" w:val="284"/>
        </w:trPr>
        <w:tc>
          <w:tcPr>
            <w:tcW w:w="193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rPr>
                <w:sz w:val="18"/>
                <w:szCs w:val="24"/>
              </w:rPr>
            </w:pPr>
            <w:r w:rsidRPr="00F9712C">
              <w:rPr>
                <w:sz w:val="18"/>
              </w:rPr>
              <w:t>%VR &gt; 1</w:t>
            </w:r>
          </w:p>
        </w:tc>
        <w:tc>
          <w:tcPr>
            <w:tcW w:w="604"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p>
        </w:tc>
        <w:tc>
          <w:tcPr>
            <w:tcW w:w="607"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66</w:t>
            </w:r>
          </w:p>
        </w:tc>
        <w:tc>
          <w:tcPr>
            <w:tcW w:w="634" w:type="pct"/>
            <w:tcBorders>
              <w:top w:val="nil"/>
              <w:left w:val="nil"/>
              <w:bottom w:val="nil"/>
              <w:right w:val="nil"/>
            </w:tcBorders>
            <w:vAlign w:val="bottom"/>
          </w:tcPr>
          <w:p w:rsidR="008B1922" w:rsidRPr="00F9712C" w:rsidRDefault="008B1922" w:rsidP="00036C7C">
            <w:pPr>
              <w:spacing w:line="240" w:lineRule="exact"/>
              <w:jc w:val="center"/>
              <w:rPr>
                <w:sz w:val="18"/>
                <w:szCs w:val="24"/>
              </w:rPr>
            </w:pPr>
            <w:r w:rsidRPr="00F9712C">
              <w:rPr>
                <w:sz w:val="18"/>
              </w:rPr>
              <w:t>81</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78</w:t>
            </w:r>
          </w:p>
        </w:tc>
        <w:tc>
          <w:tcPr>
            <w:tcW w:w="608" w:type="pct"/>
            <w:tcBorders>
              <w:top w:val="nil"/>
              <w:left w:val="nil"/>
              <w:bottom w:val="nil"/>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r w:rsidRPr="00F9712C">
              <w:rPr>
                <w:sz w:val="18"/>
              </w:rPr>
              <w:t>16</w:t>
            </w:r>
          </w:p>
        </w:tc>
      </w:tr>
      <w:tr w:rsidR="008B1922" w:rsidRPr="00F9712C" w:rsidTr="008B1922">
        <w:trPr>
          <w:trHeight w:hRule="exact" w:val="284"/>
        </w:trPr>
        <w:tc>
          <w:tcPr>
            <w:tcW w:w="1938" w:type="pct"/>
            <w:tcBorders>
              <w:top w:val="nil"/>
              <w:left w:val="nil"/>
              <w:bottom w:val="single" w:sz="4" w:space="0" w:color="auto"/>
              <w:right w:val="nil"/>
            </w:tcBorders>
            <w:noWrap/>
            <w:tcMar>
              <w:top w:w="12" w:type="dxa"/>
              <w:left w:w="12" w:type="dxa"/>
              <w:bottom w:w="0" w:type="dxa"/>
              <w:right w:w="12" w:type="dxa"/>
            </w:tcMar>
            <w:vAlign w:val="bottom"/>
          </w:tcPr>
          <w:p w:rsidR="008B1922" w:rsidRPr="00F9712C" w:rsidRDefault="008B1922">
            <w:pPr>
              <w:spacing w:line="240" w:lineRule="exact"/>
              <w:rPr>
                <w:sz w:val="18"/>
              </w:rPr>
            </w:pPr>
            <w:r w:rsidRPr="00F9712C">
              <w:rPr>
                <w:sz w:val="18"/>
              </w:rPr>
              <w:t>p-value</w:t>
            </w:r>
          </w:p>
        </w:tc>
        <w:tc>
          <w:tcPr>
            <w:tcW w:w="604" w:type="pct"/>
            <w:tcBorders>
              <w:top w:val="nil"/>
              <w:left w:val="nil"/>
              <w:bottom w:val="single" w:sz="4" w:space="0" w:color="auto"/>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szCs w:val="24"/>
              </w:rPr>
            </w:pPr>
          </w:p>
        </w:tc>
        <w:tc>
          <w:tcPr>
            <w:tcW w:w="607" w:type="pct"/>
            <w:tcBorders>
              <w:top w:val="nil"/>
              <w:left w:val="nil"/>
              <w:bottom w:val="single" w:sz="4" w:space="0" w:color="auto"/>
              <w:right w:val="nil"/>
            </w:tcBorders>
            <w:vAlign w:val="bottom"/>
          </w:tcPr>
          <w:p w:rsidR="008B1922" w:rsidRPr="00F9712C" w:rsidRDefault="008B1922" w:rsidP="00036C7C">
            <w:pPr>
              <w:spacing w:line="240" w:lineRule="exact"/>
              <w:jc w:val="center"/>
              <w:rPr>
                <w:sz w:val="18"/>
              </w:rPr>
            </w:pPr>
            <w:r w:rsidRPr="00F9712C">
              <w:rPr>
                <w:sz w:val="18"/>
              </w:rPr>
              <w:t>0.039</w:t>
            </w:r>
          </w:p>
        </w:tc>
        <w:tc>
          <w:tcPr>
            <w:tcW w:w="634" w:type="pct"/>
            <w:tcBorders>
              <w:top w:val="nil"/>
              <w:left w:val="nil"/>
              <w:bottom w:val="single" w:sz="4" w:space="0" w:color="auto"/>
              <w:right w:val="nil"/>
            </w:tcBorders>
            <w:vAlign w:val="bottom"/>
          </w:tcPr>
          <w:p w:rsidR="008B1922" w:rsidRPr="00F9712C" w:rsidRDefault="008B1922" w:rsidP="00036C7C">
            <w:pPr>
              <w:spacing w:line="240" w:lineRule="exact"/>
              <w:jc w:val="center"/>
              <w:rPr>
                <w:sz w:val="18"/>
              </w:rPr>
            </w:pPr>
            <w:r w:rsidRPr="00F9712C">
              <w:rPr>
                <w:sz w:val="18"/>
              </w:rPr>
              <w:t>0.000</w:t>
            </w:r>
          </w:p>
        </w:tc>
        <w:tc>
          <w:tcPr>
            <w:tcW w:w="608" w:type="pct"/>
            <w:tcBorders>
              <w:top w:val="nil"/>
              <w:left w:val="nil"/>
              <w:bottom w:val="single" w:sz="4" w:space="0" w:color="auto"/>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rPr>
            </w:pPr>
            <w:r w:rsidRPr="00F9712C">
              <w:rPr>
                <w:sz w:val="18"/>
              </w:rPr>
              <w:t>0.001</w:t>
            </w:r>
          </w:p>
        </w:tc>
        <w:tc>
          <w:tcPr>
            <w:tcW w:w="608" w:type="pct"/>
            <w:tcBorders>
              <w:top w:val="nil"/>
              <w:left w:val="nil"/>
              <w:bottom w:val="single" w:sz="4" w:space="0" w:color="auto"/>
              <w:right w:val="nil"/>
            </w:tcBorders>
            <w:noWrap/>
            <w:tcMar>
              <w:top w:w="12" w:type="dxa"/>
              <w:left w:w="12" w:type="dxa"/>
              <w:bottom w:w="0" w:type="dxa"/>
              <w:right w:w="12" w:type="dxa"/>
            </w:tcMar>
            <w:vAlign w:val="bottom"/>
          </w:tcPr>
          <w:p w:rsidR="008B1922" w:rsidRPr="00F9712C" w:rsidRDefault="008B1922">
            <w:pPr>
              <w:spacing w:line="240" w:lineRule="exact"/>
              <w:jc w:val="center"/>
              <w:rPr>
                <w:sz w:val="18"/>
              </w:rPr>
            </w:pPr>
            <w:r w:rsidRPr="00F9712C">
              <w:rPr>
                <w:sz w:val="18"/>
              </w:rPr>
              <w:t>0.000</w:t>
            </w:r>
          </w:p>
        </w:tc>
      </w:tr>
    </w:tbl>
    <w:p w:rsidR="004E3C3F" w:rsidRPr="00F9712C" w:rsidRDefault="004E3C3F" w:rsidP="00EF0FBD">
      <w:pPr>
        <w:pStyle w:val="Heading1"/>
        <w:spacing w:line="240" w:lineRule="exact"/>
      </w:pPr>
    </w:p>
    <w:sectPr w:rsidR="004E3C3F" w:rsidRPr="00F9712C" w:rsidSect="0060407A">
      <w:footerReference w:type="even" r:id="rId14"/>
      <w:footerReference w:type="default" r:id="rId15"/>
      <w:type w:val="evenPage"/>
      <w:pgSz w:w="11907" w:h="16840" w:code="9"/>
      <w:pgMar w:top="1418" w:right="1134" w:bottom="113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0F" w:rsidRDefault="00C73F0F">
      <w:pPr>
        <w:spacing w:line="240" w:lineRule="auto"/>
      </w:pPr>
      <w:r>
        <w:separator/>
      </w:r>
    </w:p>
  </w:endnote>
  <w:endnote w:type="continuationSeparator" w:id="0">
    <w:p w:rsidR="00C73F0F" w:rsidRDefault="00C73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7B" w:rsidRDefault="00A76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627B" w:rsidRDefault="00A76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7B" w:rsidRDefault="00A76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BF4">
      <w:rPr>
        <w:rStyle w:val="PageNumber"/>
        <w:noProof/>
      </w:rPr>
      <w:t>2</w:t>
    </w:r>
    <w:r>
      <w:rPr>
        <w:rStyle w:val="PageNumber"/>
      </w:rPr>
      <w:fldChar w:fldCharType="end"/>
    </w:r>
  </w:p>
  <w:p w:rsidR="00A7627B" w:rsidRDefault="00A76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A" w:rsidRDefault="006040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7B" w:rsidRDefault="00A76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627B" w:rsidRDefault="00A762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7B" w:rsidRDefault="00A76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BF4">
      <w:rPr>
        <w:rStyle w:val="PageNumber"/>
        <w:noProof/>
      </w:rPr>
      <w:t>18</w:t>
    </w:r>
    <w:r>
      <w:rPr>
        <w:rStyle w:val="PageNumber"/>
      </w:rPr>
      <w:fldChar w:fldCharType="end"/>
    </w:r>
  </w:p>
  <w:p w:rsidR="00A7627B" w:rsidRDefault="00A76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0F" w:rsidRDefault="00C73F0F">
      <w:pPr>
        <w:spacing w:line="240" w:lineRule="auto"/>
      </w:pPr>
      <w:r>
        <w:separator/>
      </w:r>
    </w:p>
  </w:footnote>
  <w:footnote w:type="continuationSeparator" w:id="0">
    <w:p w:rsidR="00C73F0F" w:rsidRDefault="00C73F0F">
      <w:pPr>
        <w:spacing w:line="240" w:lineRule="auto"/>
      </w:pPr>
      <w:r>
        <w:continuationSeparator/>
      </w:r>
    </w:p>
  </w:footnote>
  <w:footnote w:id="1">
    <w:p w:rsidR="00A7627B" w:rsidRDefault="00A7627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Choe (1994) uses similar method to investigate transitory volatility at the open and close for foreign stocks traded on the NYSE.</w:t>
      </w:r>
    </w:p>
  </w:footnote>
  <w:footnote w:id="2">
    <w:p w:rsidR="00A7627B" w:rsidRDefault="00A7627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 drawback of this aggregation procedure is that only a small number of stocks may dominate the picture because many stocks in the sample started trading during the sample period.  We examined the sensitivity of the results by calculating the median variance ratio for each stock and then obtaining the average and median across stocks.  The results were similar to what we reported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A" w:rsidRDefault="00604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A" w:rsidRDefault="00604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A" w:rsidRDefault="00604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92A3C"/>
    <w:multiLevelType w:val="hybridMultilevel"/>
    <w:tmpl w:val="4E3A8B08"/>
    <w:lvl w:ilvl="0" w:tplc="B5260FF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78619E"/>
    <w:multiLevelType w:val="hybridMultilevel"/>
    <w:tmpl w:val="C8B8BA32"/>
    <w:lvl w:ilvl="0" w:tplc="8C60C662">
      <w:start w:val="2"/>
      <w:numFmt w:val="upperLetter"/>
      <w:lvlText w:val="%1."/>
      <w:lvlJc w:val="left"/>
      <w:pPr>
        <w:tabs>
          <w:tab w:val="num" w:pos="480"/>
        </w:tabs>
        <w:ind w:left="480" w:hanging="480"/>
      </w:pPr>
      <w:rPr>
        <w:rFonts w:hint="default"/>
      </w:rPr>
    </w:lvl>
    <w:lvl w:ilvl="1" w:tplc="1E92317E" w:tentative="1">
      <w:start w:val="1"/>
      <w:numFmt w:val="ideographTraditional"/>
      <w:lvlText w:val="%2、"/>
      <w:lvlJc w:val="left"/>
      <w:pPr>
        <w:tabs>
          <w:tab w:val="num" w:pos="960"/>
        </w:tabs>
        <w:ind w:left="960" w:hanging="480"/>
      </w:pPr>
    </w:lvl>
    <w:lvl w:ilvl="2" w:tplc="2F727E68" w:tentative="1">
      <w:start w:val="1"/>
      <w:numFmt w:val="lowerRoman"/>
      <w:lvlText w:val="%3."/>
      <w:lvlJc w:val="right"/>
      <w:pPr>
        <w:tabs>
          <w:tab w:val="num" w:pos="1440"/>
        </w:tabs>
        <w:ind w:left="1440" w:hanging="480"/>
      </w:pPr>
    </w:lvl>
    <w:lvl w:ilvl="3" w:tplc="CCF67432" w:tentative="1">
      <w:start w:val="1"/>
      <w:numFmt w:val="decimal"/>
      <w:lvlText w:val="%4."/>
      <w:lvlJc w:val="left"/>
      <w:pPr>
        <w:tabs>
          <w:tab w:val="num" w:pos="1920"/>
        </w:tabs>
        <w:ind w:left="1920" w:hanging="480"/>
      </w:pPr>
    </w:lvl>
    <w:lvl w:ilvl="4" w:tplc="3F1445F4" w:tentative="1">
      <w:start w:val="1"/>
      <w:numFmt w:val="ideographTraditional"/>
      <w:lvlText w:val="%5、"/>
      <w:lvlJc w:val="left"/>
      <w:pPr>
        <w:tabs>
          <w:tab w:val="num" w:pos="2400"/>
        </w:tabs>
        <w:ind w:left="2400" w:hanging="480"/>
      </w:pPr>
    </w:lvl>
    <w:lvl w:ilvl="5" w:tplc="FD401348" w:tentative="1">
      <w:start w:val="1"/>
      <w:numFmt w:val="lowerRoman"/>
      <w:lvlText w:val="%6."/>
      <w:lvlJc w:val="right"/>
      <w:pPr>
        <w:tabs>
          <w:tab w:val="num" w:pos="2880"/>
        </w:tabs>
        <w:ind w:left="2880" w:hanging="480"/>
      </w:pPr>
    </w:lvl>
    <w:lvl w:ilvl="6" w:tplc="223CD688" w:tentative="1">
      <w:start w:val="1"/>
      <w:numFmt w:val="decimal"/>
      <w:lvlText w:val="%7."/>
      <w:lvlJc w:val="left"/>
      <w:pPr>
        <w:tabs>
          <w:tab w:val="num" w:pos="3360"/>
        </w:tabs>
        <w:ind w:left="3360" w:hanging="480"/>
      </w:pPr>
    </w:lvl>
    <w:lvl w:ilvl="7" w:tplc="9DA2FBD8" w:tentative="1">
      <w:start w:val="1"/>
      <w:numFmt w:val="ideographTraditional"/>
      <w:lvlText w:val="%8、"/>
      <w:lvlJc w:val="left"/>
      <w:pPr>
        <w:tabs>
          <w:tab w:val="num" w:pos="3840"/>
        </w:tabs>
        <w:ind w:left="3840" w:hanging="480"/>
      </w:pPr>
    </w:lvl>
    <w:lvl w:ilvl="8" w:tplc="4F5E4808" w:tentative="1">
      <w:start w:val="1"/>
      <w:numFmt w:val="lowerRoman"/>
      <w:lvlText w:val="%9."/>
      <w:lvlJc w:val="right"/>
      <w:pPr>
        <w:tabs>
          <w:tab w:val="num" w:pos="4320"/>
        </w:tabs>
        <w:ind w:left="4320" w:hanging="480"/>
      </w:pPr>
    </w:lvl>
  </w:abstractNum>
  <w:abstractNum w:abstractNumId="2">
    <w:nsid w:val="457F5A92"/>
    <w:multiLevelType w:val="singleLevel"/>
    <w:tmpl w:val="A068648E"/>
    <w:lvl w:ilvl="0">
      <w:numFmt w:val="bullet"/>
      <w:lvlText w:val=""/>
      <w:lvlJc w:val="left"/>
      <w:pPr>
        <w:tabs>
          <w:tab w:val="num" w:pos="360"/>
        </w:tabs>
        <w:ind w:left="360" w:hanging="360"/>
      </w:pPr>
      <w:rPr>
        <w:rFonts w:ascii="Wingdings" w:eastAsia="新細明體" w:hAnsi="Wingdings" w:hint="default"/>
      </w:rPr>
    </w:lvl>
  </w:abstractNum>
  <w:abstractNum w:abstractNumId="3">
    <w:nsid w:val="4B802AB3"/>
    <w:multiLevelType w:val="hybridMultilevel"/>
    <w:tmpl w:val="2116B17A"/>
    <w:lvl w:ilvl="0" w:tplc="2FB82DAA">
      <w:start w:val="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8457732"/>
    <w:multiLevelType w:val="multilevel"/>
    <w:tmpl w:val="41DC26F6"/>
    <w:lvl w:ilvl="0">
      <w:start w:val="4"/>
      <w:numFmt w:val="upperLetter"/>
      <w:pStyle w:val="Heading5"/>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6B"/>
    <w:rsid w:val="0000233D"/>
    <w:rsid w:val="00003A21"/>
    <w:rsid w:val="000113E2"/>
    <w:rsid w:val="00025D77"/>
    <w:rsid w:val="000330AB"/>
    <w:rsid w:val="000354F0"/>
    <w:rsid w:val="00036C7C"/>
    <w:rsid w:val="00041579"/>
    <w:rsid w:val="00055CE9"/>
    <w:rsid w:val="00075901"/>
    <w:rsid w:val="00077EDD"/>
    <w:rsid w:val="000A1160"/>
    <w:rsid w:val="000E3E30"/>
    <w:rsid w:val="000E41F9"/>
    <w:rsid w:val="00123CBA"/>
    <w:rsid w:val="0012566D"/>
    <w:rsid w:val="00157DAD"/>
    <w:rsid w:val="00167347"/>
    <w:rsid w:val="00196313"/>
    <w:rsid w:val="001A123D"/>
    <w:rsid w:val="001A4EB9"/>
    <w:rsid w:val="001A7720"/>
    <w:rsid w:val="001D04B4"/>
    <w:rsid w:val="001E0599"/>
    <w:rsid w:val="00224BFB"/>
    <w:rsid w:val="00253207"/>
    <w:rsid w:val="002740C3"/>
    <w:rsid w:val="00277180"/>
    <w:rsid w:val="002A6BEB"/>
    <w:rsid w:val="002D4B99"/>
    <w:rsid w:val="002D6000"/>
    <w:rsid w:val="00310F45"/>
    <w:rsid w:val="003605F0"/>
    <w:rsid w:val="003663A6"/>
    <w:rsid w:val="00380710"/>
    <w:rsid w:val="00385B9B"/>
    <w:rsid w:val="003A4D43"/>
    <w:rsid w:val="003A6337"/>
    <w:rsid w:val="003E34E8"/>
    <w:rsid w:val="003E4894"/>
    <w:rsid w:val="003F67AF"/>
    <w:rsid w:val="00406BE4"/>
    <w:rsid w:val="00430DD5"/>
    <w:rsid w:val="00434DB9"/>
    <w:rsid w:val="00446806"/>
    <w:rsid w:val="00495223"/>
    <w:rsid w:val="004B0FBB"/>
    <w:rsid w:val="004B4BF4"/>
    <w:rsid w:val="004C4B5B"/>
    <w:rsid w:val="004C4C77"/>
    <w:rsid w:val="004E3C3F"/>
    <w:rsid w:val="004F405D"/>
    <w:rsid w:val="00502294"/>
    <w:rsid w:val="00512D28"/>
    <w:rsid w:val="00535846"/>
    <w:rsid w:val="00561268"/>
    <w:rsid w:val="00593183"/>
    <w:rsid w:val="00593E30"/>
    <w:rsid w:val="005D0586"/>
    <w:rsid w:val="005F550B"/>
    <w:rsid w:val="005F5547"/>
    <w:rsid w:val="0060407A"/>
    <w:rsid w:val="00610617"/>
    <w:rsid w:val="00617E55"/>
    <w:rsid w:val="00635BEF"/>
    <w:rsid w:val="00657B65"/>
    <w:rsid w:val="006857B9"/>
    <w:rsid w:val="006A2636"/>
    <w:rsid w:val="006B2480"/>
    <w:rsid w:val="006F0EE3"/>
    <w:rsid w:val="00711C12"/>
    <w:rsid w:val="00730392"/>
    <w:rsid w:val="00733AAD"/>
    <w:rsid w:val="0075328B"/>
    <w:rsid w:val="00753698"/>
    <w:rsid w:val="0075618F"/>
    <w:rsid w:val="00775A9E"/>
    <w:rsid w:val="00784837"/>
    <w:rsid w:val="00795278"/>
    <w:rsid w:val="007A5F4E"/>
    <w:rsid w:val="007B0388"/>
    <w:rsid w:val="007D37A6"/>
    <w:rsid w:val="007F100E"/>
    <w:rsid w:val="0081588A"/>
    <w:rsid w:val="008170E7"/>
    <w:rsid w:val="00826536"/>
    <w:rsid w:val="008402B1"/>
    <w:rsid w:val="00843ADB"/>
    <w:rsid w:val="0084468F"/>
    <w:rsid w:val="00845F28"/>
    <w:rsid w:val="00847E1D"/>
    <w:rsid w:val="00857736"/>
    <w:rsid w:val="0087416D"/>
    <w:rsid w:val="00884292"/>
    <w:rsid w:val="008B1922"/>
    <w:rsid w:val="008B4010"/>
    <w:rsid w:val="008B503E"/>
    <w:rsid w:val="008C52A0"/>
    <w:rsid w:val="008D21C6"/>
    <w:rsid w:val="008D45B3"/>
    <w:rsid w:val="008E6691"/>
    <w:rsid w:val="00905C38"/>
    <w:rsid w:val="00907870"/>
    <w:rsid w:val="009728E7"/>
    <w:rsid w:val="009849AC"/>
    <w:rsid w:val="009A1BA0"/>
    <w:rsid w:val="009A5C41"/>
    <w:rsid w:val="009A6708"/>
    <w:rsid w:val="009A7F8E"/>
    <w:rsid w:val="009B1576"/>
    <w:rsid w:val="009D0551"/>
    <w:rsid w:val="00A31F6B"/>
    <w:rsid w:val="00A75203"/>
    <w:rsid w:val="00A7627B"/>
    <w:rsid w:val="00AA030F"/>
    <w:rsid w:val="00AA2FDC"/>
    <w:rsid w:val="00AA52AB"/>
    <w:rsid w:val="00AC2754"/>
    <w:rsid w:val="00AD49AB"/>
    <w:rsid w:val="00AE5158"/>
    <w:rsid w:val="00B036E4"/>
    <w:rsid w:val="00B21718"/>
    <w:rsid w:val="00B43163"/>
    <w:rsid w:val="00B43710"/>
    <w:rsid w:val="00B746A1"/>
    <w:rsid w:val="00B74A01"/>
    <w:rsid w:val="00B839D9"/>
    <w:rsid w:val="00B86E5F"/>
    <w:rsid w:val="00BA09CB"/>
    <w:rsid w:val="00BA1D56"/>
    <w:rsid w:val="00BB5CC8"/>
    <w:rsid w:val="00BC1F59"/>
    <w:rsid w:val="00BD45AF"/>
    <w:rsid w:val="00C159CF"/>
    <w:rsid w:val="00C25394"/>
    <w:rsid w:val="00C30780"/>
    <w:rsid w:val="00C32237"/>
    <w:rsid w:val="00C4552A"/>
    <w:rsid w:val="00C678BA"/>
    <w:rsid w:val="00C73F0F"/>
    <w:rsid w:val="00C77714"/>
    <w:rsid w:val="00C93617"/>
    <w:rsid w:val="00CB3E40"/>
    <w:rsid w:val="00CC6E30"/>
    <w:rsid w:val="00CF55CE"/>
    <w:rsid w:val="00D009CC"/>
    <w:rsid w:val="00D245A8"/>
    <w:rsid w:val="00D45B72"/>
    <w:rsid w:val="00D508AB"/>
    <w:rsid w:val="00D57ED7"/>
    <w:rsid w:val="00D74544"/>
    <w:rsid w:val="00D94F6B"/>
    <w:rsid w:val="00DA75F2"/>
    <w:rsid w:val="00DE0512"/>
    <w:rsid w:val="00DF4FBF"/>
    <w:rsid w:val="00DF6549"/>
    <w:rsid w:val="00E045CC"/>
    <w:rsid w:val="00E052F2"/>
    <w:rsid w:val="00E077AD"/>
    <w:rsid w:val="00E15C69"/>
    <w:rsid w:val="00E447D8"/>
    <w:rsid w:val="00E633E0"/>
    <w:rsid w:val="00E72D38"/>
    <w:rsid w:val="00E877D4"/>
    <w:rsid w:val="00EA1848"/>
    <w:rsid w:val="00EC08C7"/>
    <w:rsid w:val="00EC71D9"/>
    <w:rsid w:val="00EC77A7"/>
    <w:rsid w:val="00ED7D0B"/>
    <w:rsid w:val="00EF0FBD"/>
    <w:rsid w:val="00EF2310"/>
    <w:rsid w:val="00EF4447"/>
    <w:rsid w:val="00EF53B0"/>
    <w:rsid w:val="00F0756B"/>
    <w:rsid w:val="00F16B1C"/>
    <w:rsid w:val="00F86748"/>
    <w:rsid w:val="00F9712C"/>
    <w:rsid w:val="00FB2F3D"/>
    <w:rsid w:val="00FB3818"/>
    <w:rsid w:val="00FD16DB"/>
    <w:rsid w:val="00FF0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textAlignment w:val="baseline"/>
    </w:pPr>
    <w:rPr>
      <w:sz w:val="24"/>
      <w:lang w:eastAsia="zh-TW"/>
    </w:rPr>
  </w:style>
  <w:style w:type="paragraph" w:styleId="Heading1">
    <w:name w:val="heading 1"/>
    <w:basedOn w:val="Normal"/>
    <w:next w:val="Normal"/>
    <w:qFormat/>
    <w:pPr>
      <w:keepNext/>
      <w:outlineLvl w:val="0"/>
    </w:pPr>
    <w:rPr>
      <w:b/>
    </w:rPr>
  </w:style>
  <w:style w:type="paragraph" w:styleId="Heading2">
    <w:name w:val="heading 2"/>
    <w:basedOn w:val="Normal"/>
    <w:next w:val="NormalIndent"/>
    <w:qFormat/>
    <w:pPr>
      <w:keepNext/>
      <w:outlineLvl w:val="1"/>
    </w:pPr>
    <w:rPr>
      <w:u w:val="single"/>
    </w:rPr>
  </w:style>
  <w:style w:type="paragraph" w:styleId="Heading3">
    <w:name w:val="heading 3"/>
    <w:basedOn w:val="Normal"/>
    <w:next w:val="NormalIndent"/>
    <w:qFormat/>
    <w:pPr>
      <w:keepNext/>
      <w:outlineLvl w:val="2"/>
    </w:pPr>
    <w:rPr>
      <w:sz w:val="28"/>
    </w:rPr>
  </w:style>
  <w:style w:type="paragraph" w:styleId="Heading4">
    <w:name w:val="heading 4"/>
    <w:basedOn w:val="Normal"/>
    <w:next w:val="Normal"/>
    <w:qFormat/>
    <w:pPr>
      <w:keepNext/>
      <w:autoSpaceDE w:val="0"/>
      <w:autoSpaceDN w:val="0"/>
      <w:jc w:val="center"/>
      <w:outlineLvl w:val="3"/>
    </w:pPr>
    <w:rPr>
      <w:b/>
      <w:bCs/>
    </w:rPr>
  </w:style>
  <w:style w:type="paragraph" w:styleId="Heading5">
    <w:name w:val="heading 5"/>
    <w:basedOn w:val="Normal"/>
    <w:next w:val="NormalIndent"/>
    <w:qFormat/>
    <w:pPr>
      <w:keepNext/>
      <w:numPr>
        <w:numId w:val="3"/>
      </w:numPr>
      <w:outlineLvl w:val="4"/>
    </w:pPr>
    <w:rPr>
      <w:b/>
    </w:rPr>
  </w:style>
  <w:style w:type="paragraph" w:styleId="Heading6">
    <w:name w:val="heading 6"/>
    <w:basedOn w:val="Normal"/>
    <w:next w:val="Normal"/>
    <w:qFormat/>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480"/>
    </w:pPr>
  </w:style>
  <w:style w:type="paragraph" w:styleId="BodyText">
    <w:name w:val="Body Text"/>
    <w:basedOn w:val="Normal"/>
    <w:semiHidden/>
    <w:pPr>
      <w:widowControl/>
      <w:adjustRightInd/>
      <w:spacing w:line="240" w:lineRule="auto"/>
      <w:textAlignment w:val="auto"/>
    </w:pPr>
    <w:rPr>
      <w:lang w:val="en-AU"/>
    </w:rPr>
  </w:style>
  <w:style w:type="paragraph" w:styleId="FootnoteText">
    <w:name w:val="footnote text"/>
    <w:basedOn w:val="Normal"/>
    <w:semiHidden/>
    <w:pPr>
      <w:widowControl/>
      <w:adjustRightInd/>
      <w:spacing w:line="240" w:lineRule="auto"/>
      <w:textAlignment w:val="auto"/>
    </w:pPr>
    <w:rPr>
      <w:rFonts w:ascii="Tahoma" w:hAnsi="Tahoma"/>
      <w:sz w:val="20"/>
      <w:lang w:val="en-AU"/>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153"/>
        <w:tab w:val="right" w:pos="8306"/>
      </w:tabs>
      <w:snapToGrid w:val="0"/>
    </w:pPr>
    <w:rPr>
      <w:sz w:val="20"/>
    </w:rPr>
  </w:style>
  <w:style w:type="character" w:styleId="PageNumber">
    <w:name w:val="page number"/>
    <w:basedOn w:val="DefaultParagraphFont"/>
    <w:semiHidden/>
  </w:style>
  <w:style w:type="paragraph" w:styleId="Date">
    <w:name w:val="Date"/>
    <w:basedOn w:val="Normal"/>
    <w:next w:val="Normal"/>
    <w:semiHidden/>
    <w:pPr>
      <w:jc w:val="right"/>
    </w:pPr>
    <w:rPr>
      <w:b/>
      <w:sz w:val="28"/>
      <w:lang w:val="en-AU"/>
    </w:rPr>
  </w:style>
  <w:style w:type="paragraph" w:styleId="Header">
    <w:name w:val="header"/>
    <w:basedOn w:val="Normal"/>
    <w:semiHidden/>
    <w:pPr>
      <w:tabs>
        <w:tab w:val="center" w:pos="4153"/>
        <w:tab w:val="right" w:pos="8306"/>
      </w:tabs>
      <w:snapToGrid w:val="0"/>
    </w:pPr>
    <w:rPr>
      <w:sz w:val="20"/>
    </w:rPr>
  </w:style>
  <w:style w:type="paragraph" w:styleId="BodyText2">
    <w:name w:val="Body Text 2"/>
    <w:basedOn w:val="Normal"/>
    <w:semiHidden/>
    <w:pPr>
      <w:autoSpaceDE w:val="0"/>
      <w:autoSpaceDN w:val="0"/>
      <w:spacing w:line="240" w:lineRule="auto"/>
      <w:jc w:val="both"/>
      <w:textAlignment w:val="auto"/>
    </w:pPr>
  </w:style>
  <w:style w:type="paragraph" w:styleId="BodyText3">
    <w:name w:val="Body Text 3"/>
    <w:basedOn w:val="Normal"/>
    <w:semiHidden/>
    <w:rPr>
      <w:b/>
      <w:bCs/>
    </w:rPr>
  </w:style>
  <w:style w:type="paragraph" w:styleId="BodyTextIndent">
    <w:name w:val="Body Text Indent"/>
    <w:basedOn w:val="Normal"/>
    <w:semiHidden/>
    <w:pPr>
      <w:spacing w:line="360" w:lineRule="auto"/>
      <w:ind w:firstLine="480"/>
    </w:pPr>
  </w:style>
  <w:style w:type="paragraph" w:customStyle="1" w:styleId="font5">
    <w:name w:val="font5"/>
    <w:basedOn w:val="Normal"/>
    <w:pPr>
      <w:widowControl/>
      <w:adjustRightInd/>
      <w:spacing w:before="100" w:beforeAutospacing="1" w:after="100" w:afterAutospacing="1" w:line="240" w:lineRule="auto"/>
      <w:textAlignment w:val="auto"/>
    </w:pPr>
    <w:rPr>
      <w:rFonts w:ascii="新細明體" w:hAnsi="Arial Unicode MS" w:cs="Arial Unicode MS" w:hint="eastAsia"/>
      <w:sz w:val="18"/>
      <w:szCs w:val="18"/>
    </w:rPr>
  </w:style>
  <w:style w:type="paragraph" w:styleId="BodyTextIndent2">
    <w:name w:val="Body Text Indent 2"/>
    <w:basedOn w:val="Normal"/>
    <w:semiHidden/>
    <w:pPr>
      <w:spacing w:line="480" w:lineRule="auto"/>
      <w:ind w:firstLine="480"/>
    </w:pPr>
    <w:rPr>
      <w:color w:val="0000FF"/>
      <w:sz w:val="22"/>
    </w:rPr>
  </w:style>
  <w:style w:type="character" w:styleId="Hyperlink">
    <w:name w:val="Hyperlink"/>
    <w:rsid w:val="00BA1D56"/>
    <w:rPr>
      <w:color w:val="0000FF"/>
      <w:u w:val="single"/>
    </w:rPr>
  </w:style>
  <w:style w:type="character" w:customStyle="1" w:styleId="apple-converted-space">
    <w:name w:val="apple-converted-space"/>
    <w:basedOn w:val="DefaultParagraphFont"/>
    <w:rsid w:val="00036C7C"/>
  </w:style>
  <w:style w:type="paragraph" w:styleId="ListParagraph">
    <w:name w:val="List Paragraph"/>
    <w:basedOn w:val="Normal"/>
    <w:uiPriority w:val="34"/>
    <w:qFormat/>
    <w:rsid w:val="000354F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textAlignment w:val="baseline"/>
    </w:pPr>
    <w:rPr>
      <w:sz w:val="24"/>
      <w:lang w:eastAsia="zh-TW"/>
    </w:rPr>
  </w:style>
  <w:style w:type="paragraph" w:styleId="Heading1">
    <w:name w:val="heading 1"/>
    <w:basedOn w:val="Normal"/>
    <w:next w:val="Normal"/>
    <w:qFormat/>
    <w:pPr>
      <w:keepNext/>
      <w:outlineLvl w:val="0"/>
    </w:pPr>
    <w:rPr>
      <w:b/>
    </w:rPr>
  </w:style>
  <w:style w:type="paragraph" w:styleId="Heading2">
    <w:name w:val="heading 2"/>
    <w:basedOn w:val="Normal"/>
    <w:next w:val="NormalIndent"/>
    <w:qFormat/>
    <w:pPr>
      <w:keepNext/>
      <w:outlineLvl w:val="1"/>
    </w:pPr>
    <w:rPr>
      <w:u w:val="single"/>
    </w:rPr>
  </w:style>
  <w:style w:type="paragraph" w:styleId="Heading3">
    <w:name w:val="heading 3"/>
    <w:basedOn w:val="Normal"/>
    <w:next w:val="NormalIndent"/>
    <w:qFormat/>
    <w:pPr>
      <w:keepNext/>
      <w:outlineLvl w:val="2"/>
    </w:pPr>
    <w:rPr>
      <w:sz w:val="28"/>
    </w:rPr>
  </w:style>
  <w:style w:type="paragraph" w:styleId="Heading4">
    <w:name w:val="heading 4"/>
    <w:basedOn w:val="Normal"/>
    <w:next w:val="Normal"/>
    <w:qFormat/>
    <w:pPr>
      <w:keepNext/>
      <w:autoSpaceDE w:val="0"/>
      <w:autoSpaceDN w:val="0"/>
      <w:jc w:val="center"/>
      <w:outlineLvl w:val="3"/>
    </w:pPr>
    <w:rPr>
      <w:b/>
      <w:bCs/>
    </w:rPr>
  </w:style>
  <w:style w:type="paragraph" w:styleId="Heading5">
    <w:name w:val="heading 5"/>
    <w:basedOn w:val="Normal"/>
    <w:next w:val="NormalIndent"/>
    <w:qFormat/>
    <w:pPr>
      <w:keepNext/>
      <w:numPr>
        <w:numId w:val="3"/>
      </w:numPr>
      <w:outlineLvl w:val="4"/>
    </w:pPr>
    <w:rPr>
      <w:b/>
    </w:rPr>
  </w:style>
  <w:style w:type="paragraph" w:styleId="Heading6">
    <w:name w:val="heading 6"/>
    <w:basedOn w:val="Normal"/>
    <w:next w:val="Normal"/>
    <w:qFormat/>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480"/>
    </w:pPr>
  </w:style>
  <w:style w:type="paragraph" w:styleId="BodyText">
    <w:name w:val="Body Text"/>
    <w:basedOn w:val="Normal"/>
    <w:semiHidden/>
    <w:pPr>
      <w:widowControl/>
      <w:adjustRightInd/>
      <w:spacing w:line="240" w:lineRule="auto"/>
      <w:textAlignment w:val="auto"/>
    </w:pPr>
    <w:rPr>
      <w:lang w:val="en-AU"/>
    </w:rPr>
  </w:style>
  <w:style w:type="paragraph" w:styleId="FootnoteText">
    <w:name w:val="footnote text"/>
    <w:basedOn w:val="Normal"/>
    <w:semiHidden/>
    <w:pPr>
      <w:widowControl/>
      <w:adjustRightInd/>
      <w:spacing w:line="240" w:lineRule="auto"/>
      <w:textAlignment w:val="auto"/>
    </w:pPr>
    <w:rPr>
      <w:rFonts w:ascii="Tahoma" w:hAnsi="Tahoma"/>
      <w:sz w:val="20"/>
      <w:lang w:val="en-AU"/>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153"/>
        <w:tab w:val="right" w:pos="8306"/>
      </w:tabs>
      <w:snapToGrid w:val="0"/>
    </w:pPr>
    <w:rPr>
      <w:sz w:val="20"/>
    </w:rPr>
  </w:style>
  <w:style w:type="character" w:styleId="PageNumber">
    <w:name w:val="page number"/>
    <w:basedOn w:val="DefaultParagraphFont"/>
    <w:semiHidden/>
  </w:style>
  <w:style w:type="paragraph" w:styleId="Date">
    <w:name w:val="Date"/>
    <w:basedOn w:val="Normal"/>
    <w:next w:val="Normal"/>
    <w:semiHidden/>
    <w:pPr>
      <w:jc w:val="right"/>
    </w:pPr>
    <w:rPr>
      <w:b/>
      <w:sz w:val="28"/>
      <w:lang w:val="en-AU"/>
    </w:rPr>
  </w:style>
  <w:style w:type="paragraph" w:styleId="Header">
    <w:name w:val="header"/>
    <w:basedOn w:val="Normal"/>
    <w:semiHidden/>
    <w:pPr>
      <w:tabs>
        <w:tab w:val="center" w:pos="4153"/>
        <w:tab w:val="right" w:pos="8306"/>
      </w:tabs>
      <w:snapToGrid w:val="0"/>
    </w:pPr>
    <w:rPr>
      <w:sz w:val="20"/>
    </w:rPr>
  </w:style>
  <w:style w:type="paragraph" w:styleId="BodyText2">
    <w:name w:val="Body Text 2"/>
    <w:basedOn w:val="Normal"/>
    <w:semiHidden/>
    <w:pPr>
      <w:autoSpaceDE w:val="0"/>
      <w:autoSpaceDN w:val="0"/>
      <w:spacing w:line="240" w:lineRule="auto"/>
      <w:jc w:val="both"/>
      <w:textAlignment w:val="auto"/>
    </w:pPr>
  </w:style>
  <w:style w:type="paragraph" w:styleId="BodyText3">
    <w:name w:val="Body Text 3"/>
    <w:basedOn w:val="Normal"/>
    <w:semiHidden/>
    <w:rPr>
      <w:b/>
      <w:bCs/>
    </w:rPr>
  </w:style>
  <w:style w:type="paragraph" w:styleId="BodyTextIndent">
    <w:name w:val="Body Text Indent"/>
    <w:basedOn w:val="Normal"/>
    <w:semiHidden/>
    <w:pPr>
      <w:spacing w:line="360" w:lineRule="auto"/>
      <w:ind w:firstLine="480"/>
    </w:pPr>
  </w:style>
  <w:style w:type="paragraph" w:customStyle="1" w:styleId="font5">
    <w:name w:val="font5"/>
    <w:basedOn w:val="Normal"/>
    <w:pPr>
      <w:widowControl/>
      <w:adjustRightInd/>
      <w:spacing w:before="100" w:beforeAutospacing="1" w:after="100" w:afterAutospacing="1" w:line="240" w:lineRule="auto"/>
      <w:textAlignment w:val="auto"/>
    </w:pPr>
    <w:rPr>
      <w:rFonts w:ascii="新細明體" w:hAnsi="Arial Unicode MS" w:cs="Arial Unicode MS" w:hint="eastAsia"/>
      <w:sz w:val="18"/>
      <w:szCs w:val="18"/>
    </w:rPr>
  </w:style>
  <w:style w:type="paragraph" w:styleId="BodyTextIndent2">
    <w:name w:val="Body Text Indent 2"/>
    <w:basedOn w:val="Normal"/>
    <w:semiHidden/>
    <w:pPr>
      <w:spacing w:line="480" w:lineRule="auto"/>
      <w:ind w:firstLine="480"/>
    </w:pPr>
    <w:rPr>
      <w:color w:val="0000FF"/>
      <w:sz w:val="22"/>
    </w:rPr>
  </w:style>
  <w:style w:type="character" w:styleId="Hyperlink">
    <w:name w:val="Hyperlink"/>
    <w:rsid w:val="00BA1D56"/>
    <w:rPr>
      <w:color w:val="0000FF"/>
      <w:u w:val="single"/>
    </w:rPr>
  </w:style>
  <w:style w:type="character" w:customStyle="1" w:styleId="apple-converted-space">
    <w:name w:val="apple-converted-space"/>
    <w:basedOn w:val="DefaultParagraphFont"/>
    <w:rsid w:val="00036C7C"/>
  </w:style>
  <w:style w:type="paragraph" w:styleId="ListParagraph">
    <w:name w:val="List Paragraph"/>
    <w:basedOn w:val="Normal"/>
    <w:uiPriority w:val="34"/>
    <w:qFormat/>
    <w:rsid w:val="000354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4797</Words>
  <Characters>27348</Characters>
  <Application>Microsoft Office Word</Application>
  <DocSecurity>0</DocSecurity>
  <Lines>227</Lines>
  <Paragraphs>64</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This objective of this paper is to investigate how capital market segmentation affect share price volatility</vt:lpstr>
      <vt:lpstr>This objective of this paper is to investigate how capital market segmentation affect share price volatility</vt:lpstr>
    </vt:vector>
  </TitlesOfParts>
  <Company>THE OPEN UNIVERSITY OF HONG KONG</Company>
  <LinksUpToDate>false</LinksUpToDate>
  <CharactersWithSpaces>32081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objective of this paper is to investigate how capital market segmentation affect share price volatility</dc:title>
  <dc:creator>ba_user</dc:creator>
  <cp:lastModifiedBy>Janetcclee</cp:lastModifiedBy>
  <cp:revision>2</cp:revision>
  <cp:lastPrinted>2003-04-04T11:36:00Z</cp:lastPrinted>
  <dcterms:created xsi:type="dcterms:W3CDTF">2015-04-05T19:23:00Z</dcterms:created>
  <dcterms:modified xsi:type="dcterms:W3CDTF">2015-04-05T19:23:00Z</dcterms:modified>
</cp:coreProperties>
</file>