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EE" w:rsidRPr="00BB5825" w:rsidRDefault="00965657" w:rsidP="00965657">
      <w:pPr>
        <w:spacing w:after="0" w:line="276" w:lineRule="auto"/>
        <w:jc w:val="center"/>
        <w:rPr>
          <w:sz w:val="32"/>
        </w:rPr>
      </w:pPr>
      <w:r>
        <w:rPr>
          <w:sz w:val="32"/>
        </w:rPr>
        <w:t>Is financial</w:t>
      </w:r>
      <w:r w:rsidR="00855DEE" w:rsidRPr="00BB5825">
        <w:rPr>
          <w:sz w:val="32"/>
        </w:rPr>
        <w:t xml:space="preserve"> </w:t>
      </w:r>
      <w:r>
        <w:rPr>
          <w:sz w:val="32"/>
        </w:rPr>
        <w:t>communication on Euronext Brussels linked to ownership structure?</w:t>
      </w:r>
    </w:p>
    <w:p w:rsidR="00855DEE" w:rsidRPr="00BB5825" w:rsidRDefault="00855DEE" w:rsidP="004828B5">
      <w:pPr>
        <w:spacing w:after="0" w:line="276" w:lineRule="auto"/>
      </w:pPr>
    </w:p>
    <w:p w:rsidR="00855DEE" w:rsidRPr="00BB5825" w:rsidRDefault="00855DEE" w:rsidP="004828B5">
      <w:pPr>
        <w:spacing w:after="0" w:line="276" w:lineRule="auto"/>
        <w:jc w:val="center"/>
        <w:rPr>
          <w:lang w:val="fr-BE"/>
        </w:rPr>
      </w:pPr>
      <w:r w:rsidRPr="00BB5825">
        <w:rPr>
          <w:lang w:val="fr-BE"/>
        </w:rPr>
        <w:t>Laetitia Pozniak</w:t>
      </w:r>
    </w:p>
    <w:p w:rsidR="00855DEE" w:rsidRPr="00BB5825" w:rsidRDefault="00855DEE" w:rsidP="004828B5">
      <w:pPr>
        <w:spacing w:after="0" w:line="276" w:lineRule="auto"/>
        <w:jc w:val="center"/>
        <w:rPr>
          <w:lang w:val="fr-BE"/>
        </w:rPr>
      </w:pPr>
      <w:r w:rsidRPr="00BB5825">
        <w:rPr>
          <w:lang w:val="fr-BE"/>
        </w:rPr>
        <w:t>Mélanie Croquet</w:t>
      </w:r>
    </w:p>
    <w:p w:rsidR="00855DEE" w:rsidRPr="00BB5825" w:rsidRDefault="00855DEE" w:rsidP="004828B5">
      <w:pPr>
        <w:spacing w:after="0" w:line="276" w:lineRule="auto"/>
        <w:jc w:val="center"/>
        <w:rPr>
          <w:lang w:val="fr-BE"/>
        </w:rPr>
      </w:pPr>
      <w:r w:rsidRPr="00BB5825">
        <w:rPr>
          <w:lang w:val="fr-BE"/>
        </w:rPr>
        <w:t>Olivier Colot</w:t>
      </w:r>
    </w:p>
    <w:p w:rsidR="00855DEE" w:rsidRPr="00BB5825" w:rsidRDefault="00855DEE" w:rsidP="004828B5">
      <w:pPr>
        <w:spacing w:after="0" w:line="276" w:lineRule="auto"/>
        <w:rPr>
          <w:lang w:val="fr-BE"/>
        </w:rPr>
      </w:pPr>
    </w:p>
    <w:p w:rsidR="00855DEE" w:rsidRPr="00BB5825" w:rsidRDefault="00855DEE" w:rsidP="004828B5">
      <w:pPr>
        <w:spacing w:after="0" w:line="276" w:lineRule="auto"/>
        <w:jc w:val="center"/>
      </w:pPr>
      <w:proofErr w:type="spellStart"/>
      <w:r w:rsidRPr="00BB5825">
        <w:t>Warocqué</w:t>
      </w:r>
      <w:proofErr w:type="spellEnd"/>
      <w:r w:rsidRPr="00BB5825">
        <w:t xml:space="preserve"> School of Business and Economics –</w:t>
      </w:r>
    </w:p>
    <w:p w:rsidR="00855DEE" w:rsidRPr="00BB5825" w:rsidRDefault="00855DEE" w:rsidP="004828B5">
      <w:pPr>
        <w:spacing w:after="0" w:line="276" w:lineRule="auto"/>
        <w:jc w:val="center"/>
      </w:pPr>
      <w:r w:rsidRPr="00BB5825">
        <w:t>University of Mons</w:t>
      </w:r>
    </w:p>
    <w:p w:rsidR="00855DEE" w:rsidRPr="00BB5825" w:rsidRDefault="00855DEE" w:rsidP="004828B5">
      <w:pPr>
        <w:spacing w:after="0" w:line="276" w:lineRule="auto"/>
        <w:jc w:val="center"/>
      </w:pPr>
      <w:r w:rsidRPr="00BB5825">
        <w:t xml:space="preserve">17 Place </w:t>
      </w:r>
      <w:proofErr w:type="spellStart"/>
      <w:r w:rsidRPr="00BB5825">
        <w:t>Warocqué</w:t>
      </w:r>
      <w:proofErr w:type="spellEnd"/>
    </w:p>
    <w:p w:rsidR="00855DEE" w:rsidRPr="00BB5825" w:rsidRDefault="00855DEE" w:rsidP="004828B5">
      <w:pPr>
        <w:spacing w:after="0" w:line="276" w:lineRule="auto"/>
        <w:jc w:val="center"/>
      </w:pPr>
      <w:r w:rsidRPr="00BB5825">
        <w:t>7000 Mons (Belgium)</w:t>
      </w:r>
    </w:p>
    <w:p w:rsidR="00855DEE" w:rsidRPr="00BB5825" w:rsidRDefault="000E2648" w:rsidP="004828B5">
      <w:pPr>
        <w:spacing w:after="0" w:line="276" w:lineRule="auto"/>
        <w:jc w:val="center"/>
      </w:pPr>
      <w:hyperlink r:id="rId9" w:history="1">
        <w:r w:rsidR="00855DEE" w:rsidRPr="00BB5825">
          <w:rPr>
            <w:rStyle w:val="Lienhypertexte"/>
            <w:color w:val="auto"/>
            <w:u w:val="none"/>
          </w:rPr>
          <w:t>Laetitia.pozniak@umons.ac.be</w:t>
        </w:r>
      </w:hyperlink>
    </w:p>
    <w:p w:rsidR="00AA3562" w:rsidRPr="00BB5825" w:rsidRDefault="00AA3562" w:rsidP="004828B5">
      <w:pPr>
        <w:spacing w:after="0" w:line="276" w:lineRule="auto"/>
      </w:pPr>
    </w:p>
    <w:p w:rsidR="00855DEE" w:rsidRPr="00BB5825" w:rsidRDefault="00855DEE" w:rsidP="004828B5">
      <w:pPr>
        <w:spacing w:after="0" w:line="276" w:lineRule="auto"/>
      </w:pPr>
    </w:p>
    <w:p w:rsidR="00855DEE" w:rsidRPr="00BB5825" w:rsidRDefault="00A8121B" w:rsidP="006B2450">
      <w:pPr>
        <w:spacing w:after="0" w:line="276" w:lineRule="auto"/>
      </w:pPr>
      <w:r w:rsidRPr="00BB5825">
        <w:t>Abstract</w:t>
      </w:r>
    </w:p>
    <w:p w:rsidR="00A8121B" w:rsidRPr="00BB5825" w:rsidRDefault="00A8121B" w:rsidP="006B2450">
      <w:pPr>
        <w:spacing w:after="0" w:line="276" w:lineRule="auto"/>
      </w:pPr>
      <w:bookmarkStart w:id="0" w:name="_GoBack"/>
      <w:r w:rsidRPr="00BB5825">
        <w:t>The aim of this research is to study the financial communication’s quality of firms quoted on the NYSE Euronext in Brussels and to find a link with the ownership structure.</w:t>
      </w:r>
    </w:p>
    <w:p w:rsidR="00A8121B" w:rsidRPr="00BB5825" w:rsidRDefault="00A8121B" w:rsidP="006B2450">
      <w:pPr>
        <w:spacing w:after="0" w:line="276" w:lineRule="auto"/>
      </w:pPr>
      <w:r w:rsidRPr="00BB5825">
        <w:t>To reach this goal we</w:t>
      </w:r>
      <w:r w:rsidR="006B2450" w:rsidRPr="00BB5825">
        <w:t xml:space="preserve"> use two techniques. First of all, we</w:t>
      </w:r>
      <w:r w:rsidRPr="00BB5825">
        <w:t xml:space="preserve"> build an analysis grid of annual </w:t>
      </w:r>
      <w:r w:rsidR="006B2450" w:rsidRPr="00BB5825">
        <w:t xml:space="preserve">report in order to get a score for each company of our sample. </w:t>
      </w:r>
    </w:p>
    <w:p w:rsidR="00A8121B" w:rsidRPr="00BB5825" w:rsidRDefault="006B2450" w:rsidP="006B2450">
      <w:pPr>
        <w:spacing w:after="0" w:line="276" w:lineRule="auto"/>
      </w:pPr>
      <w:r w:rsidRPr="00BB5825">
        <w:t xml:space="preserve">Then we use a </w:t>
      </w:r>
      <w:proofErr w:type="spellStart"/>
      <w:r w:rsidRPr="00BB5825">
        <w:t>Logit</w:t>
      </w:r>
      <w:proofErr w:type="spellEnd"/>
      <w:r w:rsidRPr="00BB5825">
        <w:t xml:space="preserve"> model in order to </w:t>
      </w:r>
      <w:proofErr w:type="gramStart"/>
      <w:r w:rsidRPr="00BB5825">
        <w:t>regress</w:t>
      </w:r>
      <w:proofErr w:type="gramEnd"/>
      <w:r w:rsidRPr="00BB5825">
        <w:t xml:space="preserve"> the probability of having a good quality score of financial communication with ownership structure variables and other control variables.</w:t>
      </w:r>
    </w:p>
    <w:p w:rsidR="006B2450" w:rsidRPr="00BB5825" w:rsidRDefault="006B2450" w:rsidP="006B2450">
      <w:pPr>
        <w:spacing w:after="0" w:line="276" w:lineRule="auto"/>
      </w:pPr>
      <w:r w:rsidRPr="00BB5825">
        <w:t xml:space="preserve">The results show that concentration capital in the hands of institutional investors and families tend to push companies to disclose financial information of higher quality in their annual report. The size of the firm and its level of debts also </w:t>
      </w:r>
      <w:r w:rsidR="00965657" w:rsidRPr="00BB5825">
        <w:t>seem</w:t>
      </w:r>
      <w:r w:rsidRPr="00BB5825">
        <w:t xml:space="preserve"> to have a positive impact.</w:t>
      </w:r>
    </w:p>
    <w:bookmarkEnd w:id="0"/>
    <w:p w:rsidR="00A8121B" w:rsidRPr="00BB5825" w:rsidRDefault="00A8121B" w:rsidP="006B2450">
      <w:pPr>
        <w:spacing w:after="0" w:line="276" w:lineRule="auto"/>
      </w:pPr>
    </w:p>
    <w:p w:rsidR="00A8121B" w:rsidRPr="00BB5825" w:rsidRDefault="00AC22C0" w:rsidP="006B2450">
      <w:pPr>
        <w:spacing w:after="0" w:line="276" w:lineRule="auto"/>
      </w:pPr>
      <w:r>
        <w:t>Key words</w:t>
      </w:r>
      <w:r w:rsidR="00A8121B" w:rsidRPr="00BB5825">
        <w:t xml:space="preserve">: </w:t>
      </w:r>
      <w:r w:rsidR="006B2450" w:rsidRPr="00BB5825">
        <w:t>ownership structure, financial communication, Euronext Brussels, concentration/dilution capital</w:t>
      </w:r>
    </w:p>
    <w:p w:rsidR="00A8121B" w:rsidRPr="00BB5825" w:rsidRDefault="00A8121B" w:rsidP="004828B5">
      <w:pPr>
        <w:spacing w:after="0" w:line="276" w:lineRule="auto"/>
        <w:jc w:val="left"/>
      </w:pPr>
    </w:p>
    <w:p w:rsidR="006B2450" w:rsidRPr="00BB5825" w:rsidRDefault="006B2450">
      <w:pPr>
        <w:spacing w:after="200" w:line="276" w:lineRule="auto"/>
        <w:jc w:val="left"/>
      </w:pPr>
      <w:r w:rsidRPr="00BB5825">
        <w:br w:type="page"/>
      </w:r>
    </w:p>
    <w:p w:rsidR="00855DEE" w:rsidRPr="00BB5825" w:rsidRDefault="00855DEE" w:rsidP="004828B5">
      <w:pPr>
        <w:spacing w:after="0" w:line="276" w:lineRule="auto"/>
      </w:pPr>
      <w:r w:rsidRPr="00BB5825">
        <w:lastRenderedPageBreak/>
        <w:t>Introduction</w:t>
      </w:r>
    </w:p>
    <w:p w:rsidR="00855DEE" w:rsidRPr="00BB5825" w:rsidRDefault="00855DEE" w:rsidP="004828B5">
      <w:pPr>
        <w:spacing w:after="0" w:line="276" w:lineRule="auto"/>
      </w:pPr>
    </w:p>
    <w:p w:rsidR="00855DEE" w:rsidRPr="00BB5825" w:rsidRDefault="00E7124E" w:rsidP="004828B5">
      <w:pPr>
        <w:spacing w:after="0" w:line="276" w:lineRule="auto"/>
      </w:pPr>
      <w:r w:rsidRPr="00BB5825">
        <w:t xml:space="preserve">In Belgium, the analysis of financial communication, on the internet or in the annual report, has focused on the unregulated markets of the NYSE Euronext: the Free Market and </w:t>
      </w:r>
      <w:proofErr w:type="spellStart"/>
      <w:r w:rsidRPr="00BB5825">
        <w:t>Alternext</w:t>
      </w:r>
      <w:proofErr w:type="spellEnd"/>
      <w:r w:rsidRPr="00BB5825">
        <w:t xml:space="preserve"> (Pozniak, 2010; Pozniak &amp; Croquet, 2011; Pozniak, 2013). Those markets are especially design for small and medium sized firms because their rules and obligations are softer than on the regulated market.</w:t>
      </w:r>
    </w:p>
    <w:p w:rsidR="00E7124E" w:rsidRPr="00BB5825" w:rsidRDefault="00E7124E" w:rsidP="00E7124E">
      <w:pPr>
        <w:spacing w:after="0" w:line="276" w:lineRule="auto"/>
        <w:rPr>
          <w:rFonts w:ascii="Times" w:hAnsi="Times" w:cs="Times"/>
        </w:rPr>
      </w:pPr>
      <w:r w:rsidRPr="00BB5825">
        <w:rPr>
          <w:rFonts w:ascii="Times" w:hAnsi="Times" w:cs="Times"/>
        </w:rPr>
        <w:t>Previous studies have highlighted that:</w:t>
      </w:r>
    </w:p>
    <w:p w:rsidR="00E7124E" w:rsidRPr="00BB5825" w:rsidRDefault="00E7124E" w:rsidP="00E7124E">
      <w:pPr>
        <w:pStyle w:val="Paragraphedeliste"/>
        <w:numPr>
          <w:ilvl w:val="0"/>
          <w:numId w:val="6"/>
        </w:numPr>
        <w:spacing w:after="0" w:line="276" w:lineRule="auto"/>
        <w:rPr>
          <w:rFonts w:ascii="Times New Roman" w:hAnsi="Times New Roman"/>
          <w:color w:val="auto"/>
          <w:sz w:val="24"/>
          <w:szCs w:val="24"/>
          <w:lang w:bidi="en-US"/>
        </w:rPr>
      </w:pPr>
      <w:r w:rsidRPr="00BB5825">
        <w:rPr>
          <w:rFonts w:ascii="Times New Roman" w:hAnsi="Times New Roman"/>
          <w:color w:val="auto"/>
          <w:sz w:val="24"/>
          <w:szCs w:val="24"/>
          <w:lang w:bidi="en-US"/>
        </w:rPr>
        <w:t>There is a big diversity in the way to communicate financial information</w:t>
      </w:r>
    </w:p>
    <w:p w:rsidR="00E7124E" w:rsidRPr="00BB5825" w:rsidRDefault="00E7124E" w:rsidP="00E7124E">
      <w:pPr>
        <w:pStyle w:val="Paragraphedeliste"/>
        <w:numPr>
          <w:ilvl w:val="0"/>
          <w:numId w:val="6"/>
        </w:numPr>
        <w:spacing w:after="0" w:line="276" w:lineRule="auto"/>
        <w:rPr>
          <w:rFonts w:ascii="Times New Roman" w:hAnsi="Times New Roman"/>
          <w:color w:val="auto"/>
          <w:sz w:val="24"/>
          <w:szCs w:val="24"/>
          <w:lang w:bidi="en-US"/>
        </w:rPr>
      </w:pPr>
      <w:r w:rsidRPr="00BB5825">
        <w:rPr>
          <w:rFonts w:ascii="Times New Roman" w:hAnsi="Times New Roman"/>
          <w:color w:val="auto"/>
          <w:sz w:val="24"/>
          <w:szCs w:val="24"/>
          <w:lang w:bidi="en-US"/>
        </w:rPr>
        <w:t>The link between ownership structure and financial communication is not obvious and influenced by the firm performance.</w:t>
      </w:r>
    </w:p>
    <w:p w:rsidR="00AA68B6" w:rsidRPr="00BB5825" w:rsidRDefault="00E7124E" w:rsidP="00E7124E">
      <w:pPr>
        <w:spacing w:after="0" w:line="276" w:lineRule="auto"/>
        <w:rPr>
          <w:rFonts w:ascii="Times" w:hAnsi="Times" w:cs="Times"/>
        </w:rPr>
      </w:pPr>
      <w:r w:rsidRPr="00BB5825">
        <w:rPr>
          <w:rFonts w:ascii="Times" w:hAnsi="Times" w:cs="Times"/>
        </w:rPr>
        <w:t xml:space="preserve">Quite the same results are found by Labelle &amp; </w:t>
      </w:r>
      <w:proofErr w:type="spellStart"/>
      <w:r w:rsidRPr="00BB5825">
        <w:rPr>
          <w:rFonts w:ascii="Times" w:hAnsi="Times" w:cs="Times"/>
        </w:rPr>
        <w:t>Schatt</w:t>
      </w:r>
      <w:proofErr w:type="spellEnd"/>
      <w:r w:rsidRPr="00BB5825">
        <w:rPr>
          <w:rFonts w:ascii="Times" w:hAnsi="Times" w:cs="Times"/>
        </w:rPr>
        <w:t xml:space="preserve"> (2005) </w:t>
      </w:r>
      <w:r w:rsidR="00AA68B6" w:rsidRPr="00BB5825">
        <w:rPr>
          <w:rFonts w:ascii="Times" w:hAnsi="Times" w:cs="Times"/>
        </w:rPr>
        <w:t xml:space="preserve">and </w:t>
      </w:r>
      <w:proofErr w:type="spellStart"/>
      <w:r w:rsidR="00AA68B6" w:rsidRPr="00BB5825">
        <w:rPr>
          <w:rFonts w:ascii="Times" w:hAnsi="Times" w:cs="Times"/>
        </w:rPr>
        <w:t>Bauweraert</w:t>
      </w:r>
      <w:proofErr w:type="spellEnd"/>
      <w:r w:rsidR="00AA68B6" w:rsidRPr="00BB5825">
        <w:rPr>
          <w:rFonts w:ascii="Times" w:hAnsi="Times" w:cs="Times"/>
        </w:rPr>
        <w:t xml:space="preserve"> &amp; </w:t>
      </w:r>
      <w:proofErr w:type="spellStart"/>
      <w:r w:rsidR="00AA68B6" w:rsidRPr="00BB5825">
        <w:rPr>
          <w:rFonts w:ascii="Times" w:hAnsi="Times" w:cs="Times"/>
        </w:rPr>
        <w:t>Colot</w:t>
      </w:r>
      <w:proofErr w:type="spellEnd"/>
      <w:r w:rsidR="00AA68B6" w:rsidRPr="00BB5825">
        <w:rPr>
          <w:rFonts w:ascii="Times" w:hAnsi="Times" w:cs="Times"/>
        </w:rPr>
        <w:t xml:space="preserve"> (2013) </w:t>
      </w:r>
      <w:r w:rsidRPr="00BB5825">
        <w:rPr>
          <w:rFonts w:ascii="Times" w:hAnsi="Times" w:cs="Times"/>
        </w:rPr>
        <w:t>who studied</w:t>
      </w:r>
      <w:r w:rsidR="00AA68B6" w:rsidRPr="00BB5825">
        <w:rPr>
          <w:rFonts w:ascii="Times" w:hAnsi="Times" w:cs="Times"/>
        </w:rPr>
        <w:t xml:space="preserve"> non-</w:t>
      </w:r>
      <w:r w:rsidRPr="00BB5825">
        <w:rPr>
          <w:rFonts w:ascii="Times" w:hAnsi="Times" w:cs="Times"/>
        </w:rPr>
        <w:t>financial firms quoted o</w:t>
      </w:r>
      <w:r w:rsidR="00AA68B6" w:rsidRPr="00BB5825">
        <w:rPr>
          <w:rFonts w:ascii="Times" w:hAnsi="Times" w:cs="Times"/>
        </w:rPr>
        <w:t xml:space="preserve">n Euronext Paris. </w:t>
      </w:r>
    </w:p>
    <w:p w:rsidR="00AA68B6" w:rsidRPr="00BB5825" w:rsidRDefault="00AA68B6" w:rsidP="00E7124E">
      <w:pPr>
        <w:spacing w:after="0" w:line="276" w:lineRule="auto"/>
        <w:rPr>
          <w:rFonts w:ascii="Times" w:hAnsi="Times" w:cs="Times"/>
        </w:rPr>
      </w:pPr>
      <w:r w:rsidRPr="00BB5825">
        <w:rPr>
          <w:rFonts w:ascii="Times" w:hAnsi="Times" w:cs="Times"/>
        </w:rPr>
        <w:t>The regulated market of the NYSE Euronext imposes important obligations of financial communication but has no requirement regarding the quality of this communication.</w:t>
      </w:r>
    </w:p>
    <w:p w:rsidR="00E7124E" w:rsidRPr="00BB5825" w:rsidRDefault="00AA68B6" w:rsidP="00E7124E">
      <w:pPr>
        <w:spacing w:after="0" w:line="276" w:lineRule="auto"/>
        <w:rPr>
          <w:rFonts w:ascii="Times" w:hAnsi="Times" w:cs="Times"/>
        </w:rPr>
      </w:pPr>
      <w:r w:rsidRPr="00BB5825">
        <w:rPr>
          <w:rFonts w:ascii="Times" w:hAnsi="Times" w:cs="Times"/>
        </w:rPr>
        <w:t xml:space="preserve"> </w:t>
      </w:r>
    </w:p>
    <w:p w:rsidR="00AA68B6" w:rsidRPr="00BB5825" w:rsidRDefault="00AA68B6" w:rsidP="00E7124E">
      <w:pPr>
        <w:spacing w:after="0" w:line="276" w:lineRule="auto"/>
        <w:rPr>
          <w:rFonts w:ascii="Times" w:hAnsi="Times" w:cs="Times"/>
        </w:rPr>
      </w:pPr>
      <w:r w:rsidRPr="00BB5825">
        <w:rPr>
          <w:rFonts w:ascii="Times" w:hAnsi="Times" w:cs="Times"/>
        </w:rPr>
        <w:t xml:space="preserve">This research has two goals. First, we want to evaluate the financial communication’s quality in the annual report of firms quoted on Euronext Brussels. </w:t>
      </w:r>
    </w:p>
    <w:p w:rsidR="00AA68B6" w:rsidRPr="00BB5825" w:rsidRDefault="00AA68B6" w:rsidP="00E7124E">
      <w:pPr>
        <w:spacing w:after="0" w:line="276" w:lineRule="auto"/>
        <w:rPr>
          <w:rFonts w:ascii="Times" w:hAnsi="Times" w:cs="Times"/>
        </w:rPr>
      </w:pPr>
      <w:r w:rsidRPr="00BB5825">
        <w:rPr>
          <w:rFonts w:ascii="Times" w:hAnsi="Times" w:cs="Times"/>
        </w:rPr>
        <w:t xml:space="preserve">Second, we want to highlight the link between the ownership structure and financial communication’s quality, like Labelle &amp; </w:t>
      </w:r>
      <w:proofErr w:type="spellStart"/>
      <w:r w:rsidRPr="00BB5825">
        <w:rPr>
          <w:rFonts w:ascii="Times" w:hAnsi="Times" w:cs="Times"/>
        </w:rPr>
        <w:t>Schatt</w:t>
      </w:r>
      <w:proofErr w:type="spellEnd"/>
      <w:r w:rsidRPr="00BB5825">
        <w:rPr>
          <w:rFonts w:ascii="Times" w:hAnsi="Times" w:cs="Times"/>
        </w:rPr>
        <w:t xml:space="preserve"> (2005), </w:t>
      </w:r>
      <w:r w:rsidRPr="00BB5825">
        <w:rPr>
          <w:rFonts w:ascii="Times" w:hAnsi="Times" w:cs="Times"/>
          <w:highlight w:val="yellow"/>
        </w:rPr>
        <w:t>de</w:t>
      </w:r>
      <w:r w:rsidRPr="00BB5825">
        <w:rPr>
          <w:rFonts w:ascii="Times" w:hAnsi="Times" w:cs="Times"/>
        </w:rPr>
        <w:t xml:space="preserve"> </w:t>
      </w:r>
      <w:proofErr w:type="spellStart"/>
      <w:r w:rsidRPr="00BB5825">
        <w:rPr>
          <w:rFonts w:ascii="Times" w:hAnsi="Times" w:cs="Times"/>
        </w:rPr>
        <w:t>Burako</w:t>
      </w:r>
      <w:proofErr w:type="spellEnd"/>
      <w:r w:rsidRPr="00BB5825">
        <w:rPr>
          <w:rFonts w:ascii="Times" w:hAnsi="Times" w:cs="Times"/>
        </w:rPr>
        <w:t xml:space="preserve"> (2007), </w:t>
      </w:r>
      <w:proofErr w:type="spellStart"/>
      <w:r w:rsidRPr="00BB5825">
        <w:rPr>
          <w:rFonts w:ascii="Times" w:hAnsi="Times" w:cs="Times"/>
        </w:rPr>
        <w:t>Khodadadi</w:t>
      </w:r>
      <w:proofErr w:type="spellEnd"/>
      <w:r w:rsidRPr="00BB5825">
        <w:rPr>
          <w:rFonts w:ascii="Times" w:hAnsi="Times" w:cs="Times"/>
        </w:rPr>
        <w:t xml:space="preserve"> et al. (2010) and Ben </w:t>
      </w:r>
      <w:proofErr w:type="spellStart"/>
      <w:r w:rsidRPr="00BB5825">
        <w:rPr>
          <w:rFonts w:ascii="Times" w:hAnsi="Times" w:cs="Times"/>
        </w:rPr>
        <w:t>Ayed-Koubaa</w:t>
      </w:r>
      <w:proofErr w:type="spellEnd"/>
      <w:r w:rsidRPr="00BB5825">
        <w:rPr>
          <w:rFonts w:ascii="Times" w:hAnsi="Times" w:cs="Times"/>
        </w:rPr>
        <w:t xml:space="preserve"> (2011) did.</w:t>
      </w:r>
    </w:p>
    <w:p w:rsidR="00AA68B6" w:rsidRPr="00BB5825" w:rsidRDefault="00AA68B6" w:rsidP="00E7124E">
      <w:pPr>
        <w:spacing w:after="0" w:line="276" w:lineRule="auto"/>
        <w:rPr>
          <w:rFonts w:ascii="Times" w:hAnsi="Times" w:cs="Times"/>
        </w:rPr>
      </w:pPr>
    </w:p>
    <w:p w:rsidR="00AA68B6" w:rsidRPr="00BB5825" w:rsidRDefault="00AA68B6" w:rsidP="00E7124E">
      <w:pPr>
        <w:spacing w:after="0" w:line="276" w:lineRule="auto"/>
        <w:rPr>
          <w:rFonts w:ascii="Times" w:hAnsi="Times" w:cs="Times"/>
        </w:rPr>
      </w:pPr>
      <w:r w:rsidRPr="00BB5825">
        <w:rPr>
          <w:rFonts w:ascii="Times" w:hAnsi="Times" w:cs="Times"/>
        </w:rPr>
        <w:t>The first point of this paper present the literature review related to the link between the ownership structure and financial communication’s quality and our research hypothesis.</w:t>
      </w:r>
    </w:p>
    <w:p w:rsidR="00AA68B6" w:rsidRPr="00BB5825" w:rsidRDefault="00AA68B6" w:rsidP="00E7124E">
      <w:pPr>
        <w:spacing w:after="0" w:line="276" w:lineRule="auto"/>
        <w:rPr>
          <w:rFonts w:ascii="Times" w:hAnsi="Times" w:cs="Times"/>
        </w:rPr>
      </w:pPr>
      <w:r w:rsidRPr="00BB5825">
        <w:rPr>
          <w:rFonts w:ascii="Times" w:hAnsi="Times" w:cs="Times"/>
        </w:rPr>
        <w:t xml:space="preserve">The second part present the methodology used to evaluate financial communication’s quality and to highlight the link with the capital structure. </w:t>
      </w:r>
    </w:p>
    <w:p w:rsidR="00D357D7" w:rsidRPr="00BB5825" w:rsidRDefault="00D357D7" w:rsidP="00E7124E">
      <w:pPr>
        <w:spacing w:after="0" w:line="276" w:lineRule="auto"/>
        <w:rPr>
          <w:rFonts w:ascii="Times" w:hAnsi="Times" w:cs="Times"/>
        </w:rPr>
      </w:pPr>
      <w:r w:rsidRPr="00BB5825">
        <w:rPr>
          <w:rFonts w:ascii="Times" w:hAnsi="Times" w:cs="Times"/>
        </w:rPr>
        <w:t xml:space="preserve">The third part shows the results of the annual report analysis and the </w:t>
      </w:r>
      <w:proofErr w:type="spellStart"/>
      <w:r w:rsidRPr="00BB5825">
        <w:rPr>
          <w:rFonts w:ascii="Times" w:hAnsi="Times" w:cs="Times"/>
        </w:rPr>
        <w:t>Logit</w:t>
      </w:r>
      <w:proofErr w:type="spellEnd"/>
      <w:r w:rsidRPr="00BB5825">
        <w:rPr>
          <w:rFonts w:ascii="Times" w:hAnsi="Times" w:cs="Times"/>
        </w:rPr>
        <w:t xml:space="preserve"> Model.</w:t>
      </w:r>
    </w:p>
    <w:p w:rsidR="00D357D7" w:rsidRPr="00BB5825" w:rsidRDefault="00D357D7" w:rsidP="00E7124E">
      <w:pPr>
        <w:spacing w:after="0" w:line="276" w:lineRule="auto"/>
        <w:rPr>
          <w:rFonts w:ascii="Times" w:hAnsi="Times" w:cs="Times"/>
        </w:rPr>
      </w:pPr>
      <w:r w:rsidRPr="00BB5825">
        <w:rPr>
          <w:rFonts w:ascii="Times" w:hAnsi="Times" w:cs="Times"/>
        </w:rPr>
        <w:t>Conclusion and future researches possibilities are finally exposed.</w:t>
      </w:r>
    </w:p>
    <w:p w:rsidR="00AA68B6" w:rsidRPr="00BB5825" w:rsidRDefault="00AA68B6" w:rsidP="00E7124E">
      <w:pPr>
        <w:spacing w:after="0" w:line="276" w:lineRule="auto"/>
        <w:rPr>
          <w:rFonts w:ascii="Times" w:hAnsi="Times" w:cs="Times"/>
        </w:rPr>
      </w:pPr>
    </w:p>
    <w:p w:rsidR="00855DEE" w:rsidRPr="00BB5825" w:rsidRDefault="00855DEE" w:rsidP="004828B5">
      <w:pPr>
        <w:spacing w:after="0" w:line="276" w:lineRule="auto"/>
      </w:pPr>
      <w:r w:rsidRPr="00BB5825">
        <w:t>Literature review</w:t>
      </w:r>
    </w:p>
    <w:p w:rsidR="00855DEE" w:rsidRPr="00BB5825" w:rsidRDefault="00855DEE" w:rsidP="004828B5">
      <w:pPr>
        <w:spacing w:after="0" w:line="276" w:lineRule="auto"/>
      </w:pPr>
    </w:p>
    <w:p w:rsidR="00855DEE" w:rsidRPr="00BB5825" w:rsidRDefault="00855DEE" w:rsidP="004828B5">
      <w:pPr>
        <w:spacing w:after="0" w:line="276" w:lineRule="auto"/>
      </w:pPr>
      <w:r w:rsidRPr="00BB5825">
        <w:t xml:space="preserve">Several theories are usually mobilized when the link between the structure of property and financial communication is explored. </w:t>
      </w:r>
    </w:p>
    <w:p w:rsidR="00855DEE" w:rsidRPr="00BB5825" w:rsidRDefault="00855DEE" w:rsidP="004828B5">
      <w:pPr>
        <w:spacing w:after="0" w:line="276" w:lineRule="auto"/>
      </w:pPr>
      <w:r w:rsidRPr="00BB5825">
        <w:t xml:space="preserve">The first theory concerns the positive link between the part of the capital held by the public and the quality of financial communication. This theory is supported by the Agency theory developed by Jensen and </w:t>
      </w:r>
      <w:proofErr w:type="spellStart"/>
      <w:r w:rsidRPr="00BB5825">
        <w:t>Meckling</w:t>
      </w:r>
      <w:proofErr w:type="spellEnd"/>
      <w:r w:rsidRPr="00BB5825">
        <w:t xml:space="preserve"> (1976). The agency costs engendered by the separation of the property and the management of the company indeed increase when the shareholding is diluted. A financial communications of better quality would thus be a necessity in this type of company to improve the transparency of the management in the eyes of the shareholders.</w:t>
      </w:r>
    </w:p>
    <w:p w:rsidR="00855DEE" w:rsidRPr="00BB5825" w:rsidRDefault="00855DEE" w:rsidP="004828B5">
      <w:pPr>
        <w:spacing w:after="0" w:line="276" w:lineRule="auto"/>
      </w:pPr>
      <w:r w:rsidRPr="00BB5825">
        <w:t>The positive impact of capital dispersion on financial communication’s quality is highlighted by several empirical researches, presented in Table 1.</w:t>
      </w:r>
    </w:p>
    <w:p w:rsidR="00855DEE" w:rsidRPr="00BB5825" w:rsidRDefault="00855DEE" w:rsidP="004828B5">
      <w:pPr>
        <w:spacing w:after="0" w:line="276" w:lineRule="auto"/>
      </w:pPr>
    </w:p>
    <w:p w:rsidR="00855DEE" w:rsidRPr="00BB5825" w:rsidRDefault="00855DEE" w:rsidP="004828B5">
      <w:pPr>
        <w:spacing w:after="0" w:line="276" w:lineRule="auto"/>
      </w:pPr>
      <w:r w:rsidRPr="00BB5825">
        <w:t>Table 1 – Impact of capital dispersion on financial communication’s quality</w:t>
      </w:r>
    </w:p>
    <w:tbl>
      <w:tblPr>
        <w:tblW w:w="9339" w:type="dxa"/>
        <w:jc w:val="center"/>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1316"/>
        <w:gridCol w:w="1461"/>
        <w:gridCol w:w="1294"/>
        <w:gridCol w:w="1206"/>
        <w:gridCol w:w="1650"/>
        <w:gridCol w:w="1205"/>
      </w:tblGrid>
      <w:tr w:rsidR="00BB5825" w:rsidRPr="00BB5825" w:rsidTr="00AC22C0">
        <w:trPr>
          <w:trHeight w:val="300"/>
          <w:jc w:val="center"/>
        </w:trPr>
        <w:tc>
          <w:tcPr>
            <w:tcW w:w="1207" w:type="dxa"/>
            <w:shd w:val="clear" w:color="auto" w:fill="D9D9D9" w:themeFill="background1" w:themeFillShade="D9"/>
            <w:noWrap/>
            <w:vAlign w:val="center"/>
          </w:tcPr>
          <w:p w:rsidR="00855DEE" w:rsidRPr="00BB5825" w:rsidRDefault="00855DEE" w:rsidP="004828B5">
            <w:pPr>
              <w:spacing w:after="0" w:line="276" w:lineRule="auto"/>
              <w:jc w:val="center"/>
              <w:rPr>
                <w:rFonts w:ascii="Times" w:hAnsi="Times" w:cs="Times"/>
                <w:b/>
                <w:bCs/>
                <w:i/>
                <w:sz w:val="20"/>
                <w:lang w:eastAsia="fr-BE"/>
              </w:rPr>
            </w:pPr>
            <w:proofErr w:type="spellStart"/>
            <w:r w:rsidRPr="00BB5825">
              <w:rPr>
                <w:rFonts w:ascii="Times" w:hAnsi="Times" w:cs="Times"/>
                <w:b/>
                <w:bCs/>
                <w:i/>
                <w:sz w:val="20"/>
                <w:lang w:eastAsia="fr-BE"/>
              </w:rPr>
              <w:t>Autors</w:t>
            </w:r>
            <w:proofErr w:type="spellEnd"/>
          </w:p>
        </w:tc>
        <w:tc>
          <w:tcPr>
            <w:tcW w:w="1316" w:type="dxa"/>
            <w:shd w:val="clear" w:color="auto" w:fill="D9D9D9" w:themeFill="background1" w:themeFillShade="D9"/>
            <w:noWrap/>
            <w:vAlign w:val="center"/>
          </w:tcPr>
          <w:p w:rsidR="00855DEE" w:rsidRPr="00BB5825" w:rsidRDefault="00855DEE" w:rsidP="004828B5">
            <w:pPr>
              <w:spacing w:after="0" w:line="276" w:lineRule="auto"/>
              <w:jc w:val="center"/>
              <w:rPr>
                <w:rFonts w:ascii="Times" w:hAnsi="Times" w:cs="Times"/>
                <w:b/>
                <w:bCs/>
                <w:i/>
                <w:sz w:val="20"/>
                <w:lang w:eastAsia="fr-BE"/>
              </w:rPr>
            </w:pPr>
            <w:r w:rsidRPr="00BB5825">
              <w:rPr>
                <w:rFonts w:ascii="Times" w:hAnsi="Times" w:cs="Times"/>
                <w:b/>
                <w:bCs/>
                <w:i/>
                <w:sz w:val="20"/>
                <w:lang w:eastAsia="fr-BE"/>
              </w:rPr>
              <w:t>Sample</w:t>
            </w:r>
          </w:p>
        </w:tc>
        <w:tc>
          <w:tcPr>
            <w:tcW w:w="1461" w:type="dxa"/>
            <w:shd w:val="clear" w:color="auto" w:fill="D9D9D9" w:themeFill="background1" w:themeFillShade="D9"/>
            <w:vAlign w:val="center"/>
          </w:tcPr>
          <w:p w:rsidR="00855DEE" w:rsidRPr="00BB5825" w:rsidRDefault="00855DEE" w:rsidP="004828B5">
            <w:pPr>
              <w:spacing w:after="0" w:line="276" w:lineRule="auto"/>
              <w:jc w:val="center"/>
              <w:rPr>
                <w:rFonts w:ascii="Times" w:hAnsi="Times" w:cs="Times"/>
                <w:b/>
                <w:bCs/>
                <w:i/>
                <w:sz w:val="20"/>
                <w:lang w:eastAsia="fr-BE"/>
              </w:rPr>
            </w:pPr>
            <w:r w:rsidRPr="00BB5825">
              <w:rPr>
                <w:rFonts w:ascii="Times" w:hAnsi="Times" w:cs="Times"/>
                <w:b/>
                <w:bCs/>
                <w:i/>
                <w:sz w:val="20"/>
                <w:lang w:eastAsia="fr-BE"/>
              </w:rPr>
              <w:t xml:space="preserve">Aim of the </w:t>
            </w:r>
            <w:r w:rsidRPr="00BB5825">
              <w:rPr>
                <w:rFonts w:ascii="Times" w:hAnsi="Times" w:cs="Times"/>
                <w:b/>
                <w:bCs/>
                <w:i/>
                <w:sz w:val="20"/>
                <w:lang w:eastAsia="fr-BE"/>
              </w:rPr>
              <w:lastRenderedPageBreak/>
              <w:t>study</w:t>
            </w:r>
          </w:p>
        </w:tc>
        <w:tc>
          <w:tcPr>
            <w:tcW w:w="1294" w:type="dxa"/>
            <w:shd w:val="clear" w:color="auto" w:fill="D9D9D9" w:themeFill="background1" w:themeFillShade="D9"/>
            <w:vAlign w:val="center"/>
          </w:tcPr>
          <w:p w:rsidR="00855DEE" w:rsidRPr="00BB5825" w:rsidRDefault="00855DEE" w:rsidP="004828B5">
            <w:pPr>
              <w:spacing w:after="0" w:line="276" w:lineRule="auto"/>
              <w:jc w:val="center"/>
              <w:rPr>
                <w:rFonts w:ascii="Times" w:hAnsi="Times" w:cs="Times"/>
                <w:b/>
                <w:bCs/>
                <w:i/>
                <w:sz w:val="20"/>
                <w:lang w:val="fr-BE" w:eastAsia="fr-BE"/>
              </w:rPr>
            </w:pPr>
            <w:r w:rsidRPr="00BB5825">
              <w:rPr>
                <w:rFonts w:ascii="Times" w:hAnsi="Times" w:cs="Times"/>
                <w:b/>
                <w:bCs/>
                <w:i/>
                <w:sz w:val="20"/>
                <w:lang w:eastAsia="fr-BE"/>
              </w:rPr>
              <w:lastRenderedPageBreak/>
              <w:t>Methodology</w:t>
            </w:r>
          </w:p>
        </w:tc>
        <w:tc>
          <w:tcPr>
            <w:tcW w:w="1206" w:type="dxa"/>
            <w:shd w:val="clear" w:color="auto" w:fill="D9D9D9" w:themeFill="background1" w:themeFillShade="D9"/>
            <w:vAlign w:val="center"/>
          </w:tcPr>
          <w:p w:rsidR="00855DEE" w:rsidRPr="00BB5825" w:rsidRDefault="00855DEE" w:rsidP="004828B5">
            <w:pPr>
              <w:spacing w:after="0" w:line="276" w:lineRule="auto"/>
              <w:rPr>
                <w:rFonts w:ascii="Times" w:hAnsi="Times" w:cs="Times"/>
                <w:b/>
                <w:bCs/>
                <w:i/>
                <w:sz w:val="20"/>
                <w:lang w:val="fr-BE" w:eastAsia="fr-BE"/>
              </w:rPr>
            </w:pPr>
            <w:r w:rsidRPr="00BB5825">
              <w:rPr>
                <w:rFonts w:ascii="Times" w:hAnsi="Times" w:cs="Times"/>
                <w:b/>
                <w:bCs/>
                <w:i/>
                <w:sz w:val="20"/>
                <w:lang w:val="fr-BE" w:eastAsia="fr-BE"/>
              </w:rPr>
              <w:t xml:space="preserve">Capital </w:t>
            </w:r>
            <w:proofErr w:type="spellStart"/>
            <w:r w:rsidRPr="00BB5825">
              <w:rPr>
                <w:rFonts w:ascii="Times" w:hAnsi="Times" w:cs="Times"/>
                <w:b/>
                <w:bCs/>
                <w:i/>
                <w:sz w:val="20"/>
                <w:lang w:val="fr-BE" w:eastAsia="fr-BE"/>
              </w:rPr>
              <w:lastRenderedPageBreak/>
              <w:t>dispersion’s</w:t>
            </w:r>
            <w:proofErr w:type="spellEnd"/>
            <w:r w:rsidRPr="00BB5825">
              <w:rPr>
                <w:rFonts w:ascii="Times" w:hAnsi="Times" w:cs="Times"/>
                <w:b/>
                <w:bCs/>
                <w:i/>
                <w:sz w:val="20"/>
                <w:lang w:val="fr-BE" w:eastAsia="fr-BE"/>
              </w:rPr>
              <w:t xml:space="preserve"> </w:t>
            </w:r>
            <w:proofErr w:type="spellStart"/>
            <w:r w:rsidRPr="00BB5825">
              <w:rPr>
                <w:rFonts w:ascii="Times" w:hAnsi="Times" w:cs="Times"/>
                <w:b/>
                <w:bCs/>
                <w:i/>
                <w:sz w:val="20"/>
                <w:lang w:val="fr-BE" w:eastAsia="fr-BE"/>
              </w:rPr>
              <w:t>measure</w:t>
            </w:r>
            <w:proofErr w:type="spellEnd"/>
          </w:p>
        </w:tc>
        <w:tc>
          <w:tcPr>
            <w:tcW w:w="1650" w:type="dxa"/>
            <w:shd w:val="clear" w:color="auto" w:fill="D9D9D9" w:themeFill="background1" w:themeFillShade="D9"/>
            <w:vAlign w:val="center"/>
          </w:tcPr>
          <w:p w:rsidR="00855DEE" w:rsidRPr="00BB5825" w:rsidRDefault="00855DEE" w:rsidP="004828B5">
            <w:pPr>
              <w:spacing w:after="0" w:line="276" w:lineRule="auto"/>
              <w:jc w:val="center"/>
              <w:rPr>
                <w:rFonts w:ascii="Times" w:hAnsi="Times" w:cs="Times"/>
                <w:b/>
                <w:bCs/>
                <w:i/>
                <w:sz w:val="20"/>
                <w:lang w:val="fr-BE" w:eastAsia="fr-BE"/>
              </w:rPr>
            </w:pPr>
            <w:r w:rsidRPr="00BB5825">
              <w:rPr>
                <w:rFonts w:ascii="Times" w:hAnsi="Times" w:cs="Times"/>
                <w:b/>
                <w:bCs/>
                <w:i/>
                <w:sz w:val="20"/>
                <w:lang w:val="fr-BE" w:eastAsia="fr-BE"/>
              </w:rPr>
              <w:lastRenderedPageBreak/>
              <w:t xml:space="preserve">Financial  </w:t>
            </w:r>
            <w:proofErr w:type="spellStart"/>
            <w:r w:rsidRPr="00BB5825">
              <w:rPr>
                <w:rFonts w:ascii="Times" w:hAnsi="Times" w:cs="Times"/>
                <w:b/>
                <w:bCs/>
                <w:i/>
                <w:sz w:val="20"/>
                <w:lang w:val="fr-BE" w:eastAsia="fr-BE"/>
              </w:rPr>
              <w:lastRenderedPageBreak/>
              <w:t>communication’s</w:t>
            </w:r>
            <w:proofErr w:type="spellEnd"/>
            <w:r w:rsidRPr="00BB5825">
              <w:rPr>
                <w:rFonts w:ascii="Times" w:hAnsi="Times" w:cs="Times"/>
                <w:b/>
                <w:bCs/>
                <w:i/>
                <w:sz w:val="20"/>
                <w:lang w:val="fr-BE" w:eastAsia="fr-BE"/>
              </w:rPr>
              <w:t xml:space="preserve"> </w:t>
            </w:r>
            <w:proofErr w:type="spellStart"/>
            <w:r w:rsidRPr="00BB5825">
              <w:rPr>
                <w:rFonts w:ascii="Times" w:hAnsi="Times" w:cs="Times"/>
                <w:b/>
                <w:bCs/>
                <w:i/>
                <w:sz w:val="20"/>
                <w:lang w:val="fr-BE" w:eastAsia="fr-BE"/>
              </w:rPr>
              <w:t>measure</w:t>
            </w:r>
            <w:proofErr w:type="spellEnd"/>
          </w:p>
        </w:tc>
        <w:tc>
          <w:tcPr>
            <w:tcW w:w="1205" w:type="dxa"/>
            <w:shd w:val="clear" w:color="auto" w:fill="D9D9D9" w:themeFill="background1" w:themeFillShade="D9"/>
            <w:noWrap/>
            <w:vAlign w:val="center"/>
          </w:tcPr>
          <w:p w:rsidR="00855DEE" w:rsidRPr="00BB5825" w:rsidRDefault="00855DEE" w:rsidP="004828B5">
            <w:pPr>
              <w:spacing w:after="0" w:line="276" w:lineRule="auto"/>
              <w:jc w:val="center"/>
              <w:rPr>
                <w:rFonts w:ascii="Times" w:hAnsi="Times" w:cs="Times"/>
                <w:b/>
                <w:bCs/>
                <w:i/>
                <w:sz w:val="20"/>
                <w:lang w:val="fr-BE" w:eastAsia="fr-BE"/>
              </w:rPr>
            </w:pPr>
            <w:proofErr w:type="spellStart"/>
            <w:r w:rsidRPr="00BB5825">
              <w:rPr>
                <w:rFonts w:ascii="Times" w:hAnsi="Times" w:cs="Times"/>
                <w:b/>
                <w:bCs/>
                <w:i/>
                <w:sz w:val="20"/>
                <w:lang w:val="fr-BE" w:eastAsia="fr-BE"/>
              </w:rPr>
              <w:lastRenderedPageBreak/>
              <w:t>Observed</w:t>
            </w:r>
            <w:proofErr w:type="spellEnd"/>
            <w:r w:rsidRPr="00BB5825">
              <w:rPr>
                <w:rFonts w:ascii="Times" w:hAnsi="Times" w:cs="Times"/>
                <w:b/>
                <w:bCs/>
                <w:i/>
                <w:sz w:val="20"/>
                <w:lang w:val="fr-BE" w:eastAsia="fr-BE"/>
              </w:rPr>
              <w:t xml:space="preserve"> </w:t>
            </w:r>
            <w:proofErr w:type="spellStart"/>
            <w:r w:rsidRPr="00BB5825">
              <w:rPr>
                <w:rFonts w:ascii="Times" w:hAnsi="Times" w:cs="Times"/>
                <w:b/>
                <w:bCs/>
                <w:i/>
                <w:sz w:val="20"/>
                <w:lang w:val="fr-BE" w:eastAsia="fr-BE"/>
              </w:rPr>
              <w:lastRenderedPageBreak/>
              <w:t>effect</w:t>
            </w:r>
            <w:proofErr w:type="spellEnd"/>
            <w:r w:rsidRPr="00BB5825">
              <w:rPr>
                <w:rFonts w:ascii="Times" w:hAnsi="Times" w:cs="Times"/>
                <w:b/>
                <w:bCs/>
                <w:i/>
                <w:sz w:val="20"/>
                <w:lang w:val="fr-BE" w:eastAsia="fr-BE"/>
              </w:rPr>
              <w:t xml:space="preserve"> </w:t>
            </w:r>
          </w:p>
        </w:tc>
      </w:tr>
      <w:tr w:rsidR="00BB5825" w:rsidRPr="00BB5825" w:rsidTr="00AC22C0">
        <w:trPr>
          <w:trHeight w:val="960"/>
          <w:jc w:val="center"/>
        </w:trPr>
        <w:tc>
          <w:tcPr>
            <w:tcW w:w="1207" w:type="dxa"/>
            <w:shd w:val="clear" w:color="auto" w:fill="auto"/>
            <w:noWrap/>
            <w:vAlign w:val="center"/>
          </w:tcPr>
          <w:p w:rsidR="00855DEE" w:rsidRPr="00BB5825" w:rsidRDefault="00855DEE" w:rsidP="004828B5">
            <w:pPr>
              <w:spacing w:after="0" w:line="276" w:lineRule="auto"/>
              <w:jc w:val="center"/>
              <w:rPr>
                <w:rFonts w:ascii="Times" w:hAnsi="Times" w:cs="Times"/>
                <w:b/>
                <w:bCs/>
                <w:sz w:val="20"/>
                <w:lang w:eastAsia="fr-BE"/>
              </w:rPr>
            </w:pPr>
            <w:proofErr w:type="spellStart"/>
            <w:r w:rsidRPr="00BB5825">
              <w:rPr>
                <w:rFonts w:ascii="Times" w:hAnsi="Times" w:cs="Times"/>
                <w:bCs/>
                <w:sz w:val="20"/>
                <w:lang w:eastAsia="fr-BE"/>
              </w:rPr>
              <w:lastRenderedPageBreak/>
              <w:t>Asbaugh</w:t>
            </w:r>
            <w:proofErr w:type="spellEnd"/>
            <w:r w:rsidRPr="00BB5825">
              <w:rPr>
                <w:rFonts w:ascii="Times" w:hAnsi="Times" w:cs="Times"/>
                <w:bCs/>
                <w:sz w:val="20"/>
                <w:lang w:eastAsia="fr-BE"/>
              </w:rPr>
              <w:t xml:space="preserve">, </w:t>
            </w:r>
            <w:proofErr w:type="spellStart"/>
            <w:r w:rsidRPr="00BB5825">
              <w:rPr>
                <w:rFonts w:ascii="Times" w:hAnsi="Times" w:cs="Times"/>
                <w:bCs/>
                <w:sz w:val="20"/>
                <w:lang w:eastAsia="fr-BE"/>
              </w:rPr>
              <w:t>Johnstone</w:t>
            </w:r>
            <w:proofErr w:type="spellEnd"/>
            <w:r w:rsidRPr="00BB5825">
              <w:rPr>
                <w:rFonts w:ascii="Times" w:hAnsi="Times" w:cs="Times"/>
                <w:bCs/>
                <w:sz w:val="20"/>
                <w:lang w:eastAsia="fr-BE"/>
              </w:rPr>
              <w:t xml:space="preserve"> &amp; Warfield (1999)</w:t>
            </w:r>
          </w:p>
        </w:tc>
        <w:tc>
          <w:tcPr>
            <w:tcW w:w="1316" w:type="dxa"/>
            <w:shd w:val="clear" w:color="auto" w:fill="auto"/>
            <w:noWrap/>
            <w:vAlign w:val="center"/>
          </w:tcPr>
          <w:p w:rsidR="00855DEE" w:rsidRPr="00BB5825" w:rsidRDefault="00855DEE"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290 </w:t>
            </w:r>
            <w:r w:rsidR="00EF51CC" w:rsidRPr="00BB5825">
              <w:rPr>
                <w:rFonts w:ascii="Times" w:hAnsi="Times" w:cs="Times"/>
                <w:sz w:val="20"/>
                <w:lang w:eastAsia="fr-BE"/>
              </w:rPr>
              <w:t>un-financial firms identified thanks to their</w:t>
            </w:r>
            <w:r w:rsidRPr="00BB5825">
              <w:rPr>
                <w:rFonts w:ascii="Times" w:hAnsi="Times" w:cs="Times"/>
                <w:sz w:val="20"/>
                <w:lang w:eastAsia="fr-BE"/>
              </w:rPr>
              <w:t xml:space="preserve"> AIMR</w:t>
            </w:r>
            <w:r w:rsidR="00EF51CC" w:rsidRPr="00BB5825">
              <w:rPr>
                <w:rFonts w:ascii="Times" w:hAnsi="Times" w:cs="Times"/>
                <w:sz w:val="20"/>
                <w:lang w:eastAsia="fr-BE"/>
              </w:rPr>
              <w:t xml:space="preserve"> rating</w:t>
            </w:r>
            <w:r w:rsidRPr="00BB5825">
              <w:rPr>
                <w:rFonts w:ascii="Times" w:hAnsi="Times" w:cs="Times"/>
                <w:sz w:val="20"/>
                <w:lang w:eastAsia="fr-BE"/>
              </w:rPr>
              <w:t>.</w:t>
            </w:r>
          </w:p>
        </w:tc>
        <w:tc>
          <w:tcPr>
            <w:tcW w:w="1461" w:type="dxa"/>
            <w:shd w:val="clear" w:color="auto" w:fill="auto"/>
            <w:vAlign w:val="center"/>
          </w:tcPr>
          <w:p w:rsidR="00855DEE" w:rsidRPr="00BB5825" w:rsidRDefault="00855DEE" w:rsidP="004828B5">
            <w:pPr>
              <w:spacing w:after="0" w:line="276" w:lineRule="auto"/>
              <w:jc w:val="center"/>
              <w:rPr>
                <w:rFonts w:ascii="Times" w:hAnsi="Times" w:cs="Times"/>
                <w:sz w:val="20"/>
                <w:lang w:eastAsia="fr-BE"/>
              </w:rPr>
            </w:pPr>
            <w:r w:rsidRPr="00BB5825">
              <w:rPr>
                <w:rFonts w:ascii="Times" w:hAnsi="Times" w:cs="Times"/>
                <w:sz w:val="20"/>
                <w:lang w:eastAsia="fr-BE"/>
              </w:rPr>
              <w:t>D</w:t>
            </w:r>
            <w:r w:rsidR="00AE0511" w:rsidRPr="00BB5825">
              <w:rPr>
                <w:rFonts w:ascii="Times" w:hAnsi="Times" w:cs="Times"/>
                <w:sz w:val="20"/>
                <w:lang w:eastAsia="fr-BE"/>
              </w:rPr>
              <w:t>eterminers of investor relation’s quality on the internet</w:t>
            </w:r>
          </w:p>
        </w:tc>
        <w:tc>
          <w:tcPr>
            <w:tcW w:w="1294" w:type="dxa"/>
            <w:shd w:val="clear" w:color="auto" w:fill="auto"/>
            <w:vAlign w:val="center"/>
          </w:tcPr>
          <w:p w:rsidR="00855DEE" w:rsidRPr="00BB5825" w:rsidRDefault="00EF51CC"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Logistic</w:t>
            </w:r>
            <w:proofErr w:type="spellEnd"/>
            <w:r w:rsidRPr="00BB5825">
              <w:rPr>
                <w:rFonts w:ascii="Times" w:hAnsi="Times" w:cs="Times"/>
                <w:sz w:val="20"/>
                <w:lang w:val="fr-BE" w:eastAsia="fr-BE"/>
              </w:rPr>
              <w:t xml:space="preserve"> </w:t>
            </w:r>
            <w:proofErr w:type="spellStart"/>
            <w:r w:rsidRPr="00BB5825">
              <w:rPr>
                <w:rFonts w:ascii="Times" w:hAnsi="Times" w:cs="Times"/>
                <w:sz w:val="20"/>
                <w:lang w:val="fr-BE" w:eastAsia="fr-BE"/>
              </w:rPr>
              <w:t>Regression</w:t>
            </w:r>
            <w:proofErr w:type="spellEnd"/>
          </w:p>
        </w:tc>
        <w:tc>
          <w:tcPr>
            <w:tcW w:w="1206" w:type="dxa"/>
            <w:shd w:val="clear" w:color="auto" w:fill="auto"/>
            <w:vAlign w:val="center"/>
          </w:tcPr>
          <w:p w:rsidR="00855DEE" w:rsidRPr="00BB5825" w:rsidRDefault="00EF51CC"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Free </w:t>
            </w:r>
            <w:proofErr w:type="spellStart"/>
            <w:r w:rsidRPr="00BB5825">
              <w:rPr>
                <w:rFonts w:ascii="Times" w:hAnsi="Times" w:cs="Times"/>
                <w:sz w:val="20"/>
                <w:lang w:val="fr-BE" w:eastAsia="fr-BE"/>
              </w:rPr>
              <w:t>float</w:t>
            </w:r>
            <w:proofErr w:type="spellEnd"/>
          </w:p>
        </w:tc>
        <w:tc>
          <w:tcPr>
            <w:tcW w:w="1650" w:type="dxa"/>
            <w:shd w:val="clear" w:color="auto" w:fill="auto"/>
            <w:vAlign w:val="center"/>
          </w:tcPr>
          <w:p w:rsidR="00855DEE" w:rsidRPr="00BB5825" w:rsidRDefault="00855DEE" w:rsidP="004828B5">
            <w:pPr>
              <w:spacing w:after="0" w:line="276" w:lineRule="auto"/>
              <w:jc w:val="center"/>
              <w:rPr>
                <w:rFonts w:ascii="Times" w:hAnsi="Times" w:cs="Times"/>
                <w:sz w:val="20"/>
                <w:lang w:eastAsia="fr-BE"/>
              </w:rPr>
            </w:pPr>
            <w:r w:rsidRPr="00BB5825">
              <w:rPr>
                <w:rFonts w:ascii="Times" w:hAnsi="Times" w:cs="Times"/>
                <w:sz w:val="20"/>
                <w:lang w:eastAsia="fr-BE"/>
              </w:rPr>
              <w:t>Scoring</w:t>
            </w:r>
          </w:p>
        </w:tc>
        <w:tc>
          <w:tcPr>
            <w:tcW w:w="1205" w:type="dxa"/>
            <w:shd w:val="clear" w:color="auto" w:fill="auto"/>
            <w:noWrap/>
            <w:vAlign w:val="center"/>
          </w:tcPr>
          <w:p w:rsidR="00855DEE" w:rsidRPr="00BB5825" w:rsidRDefault="00EF51CC" w:rsidP="004828B5">
            <w:pPr>
              <w:spacing w:after="0" w:line="276" w:lineRule="auto"/>
              <w:jc w:val="center"/>
              <w:rPr>
                <w:rFonts w:ascii="Times" w:hAnsi="Times" w:cs="Times"/>
                <w:sz w:val="20"/>
                <w:lang w:eastAsia="fr-BE"/>
              </w:rPr>
            </w:pPr>
            <w:r w:rsidRPr="00BB5825">
              <w:rPr>
                <w:rFonts w:ascii="Times" w:hAnsi="Times" w:cs="Times"/>
                <w:sz w:val="20"/>
                <w:lang w:eastAsia="fr-BE"/>
              </w:rPr>
              <w:t>Positive</w:t>
            </w:r>
          </w:p>
        </w:tc>
      </w:tr>
      <w:tr w:rsidR="00BB5825" w:rsidRPr="00BB5825" w:rsidTr="00AC22C0">
        <w:trPr>
          <w:trHeight w:val="529"/>
          <w:jc w:val="center"/>
        </w:trPr>
        <w:tc>
          <w:tcPr>
            <w:tcW w:w="1207" w:type="dxa"/>
            <w:shd w:val="clear" w:color="auto" w:fill="auto"/>
            <w:noWrap/>
            <w:vAlign w:val="center"/>
          </w:tcPr>
          <w:p w:rsidR="00855DEE" w:rsidRPr="00BB5825" w:rsidRDefault="00855DEE" w:rsidP="004828B5">
            <w:pPr>
              <w:spacing w:after="0" w:line="276" w:lineRule="auto"/>
              <w:jc w:val="center"/>
              <w:rPr>
                <w:rFonts w:ascii="Times" w:hAnsi="Times" w:cs="Times"/>
                <w:b/>
                <w:bCs/>
                <w:sz w:val="20"/>
                <w:lang w:eastAsia="fr-BE"/>
              </w:rPr>
            </w:pPr>
            <w:proofErr w:type="spellStart"/>
            <w:r w:rsidRPr="00BB5825">
              <w:rPr>
                <w:rFonts w:ascii="Times" w:hAnsi="Times" w:cs="Times"/>
                <w:bCs/>
                <w:sz w:val="20"/>
                <w:lang w:val="fr-BE" w:eastAsia="fr-BE"/>
              </w:rPr>
              <w:t>Bollen</w:t>
            </w:r>
            <w:proofErr w:type="spellEnd"/>
            <w:r w:rsidRPr="00BB5825">
              <w:rPr>
                <w:rFonts w:ascii="Times" w:hAnsi="Times" w:cs="Times"/>
                <w:bCs/>
                <w:sz w:val="20"/>
                <w:lang w:val="fr-BE" w:eastAsia="fr-BE"/>
              </w:rPr>
              <w:t xml:space="preserve">, </w:t>
            </w:r>
            <w:proofErr w:type="spellStart"/>
            <w:r w:rsidRPr="00BB5825">
              <w:rPr>
                <w:rFonts w:ascii="Times" w:hAnsi="Times" w:cs="Times"/>
                <w:bCs/>
                <w:sz w:val="20"/>
                <w:lang w:val="fr-BE" w:eastAsia="fr-BE"/>
              </w:rPr>
              <w:t>Hassink</w:t>
            </w:r>
            <w:proofErr w:type="spellEnd"/>
            <w:r w:rsidRPr="00BB5825">
              <w:rPr>
                <w:rFonts w:ascii="Times" w:hAnsi="Times" w:cs="Times"/>
                <w:bCs/>
                <w:sz w:val="20"/>
                <w:lang w:val="fr-BE" w:eastAsia="fr-BE"/>
              </w:rPr>
              <w:t xml:space="preserve"> &amp; </w:t>
            </w:r>
            <w:proofErr w:type="spellStart"/>
            <w:r w:rsidRPr="00BB5825">
              <w:rPr>
                <w:rFonts w:ascii="Times" w:hAnsi="Times" w:cs="Times"/>
                <w:bCs/>
                <w:sz w:val="20"/>
                <w:lang w:val="fr-BE" w:eastAsia="fr-BE"/>
              </w:rPr>
              <w:t>Bozic</w:t>
            </w:r>
            <w:proofErr w:type="spellEnd"/>
            <w:r w:rsidRPr="00BB5825">
              <w:rPr>
                <w:rFonts w:ascii="Times" w:hAnsi="Times" w:cs="Times"/>
                <w:bCs/>
                <w:sz w:val="20"/>
                <w:lang w:val="fr-BE" w:eastAsia="fr-BE"/>
              </w:rPr>
              <w:t xml:space="preserve"> (2006)</w:t>
            </w:r>
          </w:p>
        </w:tc>
        <w:tc>
          <w:tcPr>
            <w:tcW w:w="1316" w:type="dxa"/>
            <w:shd w:val="clear" w:color="auto" w:fill="auto"/>
            <w:noWrap/>
            <w:vAlign w:val="center"/>
          </w:tcPr>
          <w:p w:rsidR="00855DEE" w:rsidRPr="00BB5825" w:rsidRDefault="00855DEE" w:rsidP="004828B5">
            <w:pPr>
              <w:spacing w:after="0" w:line="276" w:lineRule="auto"/>
              <w:jc w:val="center"/>
              <w:rPr>
                <w:rFonts w:ascii="Times" w:hAnsi="Times" w:cs="Times"/>
                <w:sz w:val="20"/>
                <w:lang w:eastAsia="fr-BE"/>
              </w:rPr>
            </w:pPr>
            <w:r w:rsidRPr="00BB5825">
              <w:rPr>
                <w:rFonts w:ascii="Times" w:hAnsi="Times" w:cs="Times"/>
                <w:sz w:val="20"/>
                <w:lang w:eastAsia="fr-BE"/>
              </w:rPr>
              <w:t>270</w:t>
            </w:r>
            <w:r w:rsidR="00EF51CC" w:rsidRPr="00BB5825">
              <w:rPr>
                <w:rFonts w:ascii="Times" w:hAnsi="Times" w:cs="Times"/>
                <w:sz w:val="20"/>
                <w:lang w:eastAsia="fr-BE"/>
              </w:rPr>
              <w:t xml:space="preserve"> firms quoted in Bruss</w:t>
            </w:r>
            <w:r w:rsidRPr="00BB5825">
              <w:rPr>
                <w:rFonts w:ascii="Times" w:hAnsi="Times" w:cs="Times"/>
                <w:sz w:val="20"/>
                <w:lang w:eastAsia="fr-BE"/>
              </w:rPr>
              <w:t>els, Paris, Ams</w:t>
            </w:r>
            <w:r w:rsidR="00EF51CC" w:rsidRPr="00BB5825">
              <w:rPr>
                <w:rFonts w:ascii="Times" w:hAnsi="Times" w:cs="Times"/>
                <w:sz w:val="20"/>
                <w:lang w:eastAsia="fr-BE"/>
              </w:rPr>
              <w:t>terdam, London, Johannesburg &amp;</w:t>
            </w:r>
            <w:r w:rsidRPr="00BB5825">
              <w:rPr>
                <w:rFonts w:ascii="Times" w:hAnsi="Times" w:cs="Times"/>
                <w:sz w:val="20"/>
                <w:lang w:eastAsia="fr-BE"/>
              </w:rPr>
              <w:t xml:space="preserve"> Sidney, </w:t>
            </w:r>
            <w:r w:rsidR="00EF51CC" w:rsidRPr="00BB5825">
              <w:rPr>
                <w:rFonts w:ascii="Times" w:hAnsi="Times" w:cs="Times"/>
                <w:sz w:val="20"/>
                <w:lang w:eastAsia="fr-BE"/>
              </w:rPr>
              <w:t>with biggest market</w:t>
            </w:r>
            <w:r w:rsidRPr="00BB5825">
              <w:rPr>
                <w:rFonts w:ascii="Times" w:hAnsi="Times" w:cs="Times"/>
                <w:sz w:val="20"/>
                <w:lang w:eastAsia="fr-BE"/>
              </w:rPr>
              <w:t xml:space="preserve"> </w:t>
            </w:r>
            <w:r w:rsidR="00EF51CC" w:rsidRPr="00BB5825">
              <w:rPr>
                <w:rFonts w:ascii="Times" w:hAnsi="Times" w:cs="Times"/>
                <w:sz w:val="20"/>
                <w:lang w:eastAsia="fr-BE"/>
              </w:rPr>
              <w:t>capitalization</w:t>
            </w:r>
          </w:p>
        </w:tc>
        <w:tc>
          <w:tcPr>
            <w:tcW w:w="1461" w:type="dxa"/>
            <w:shd w:val="clear" w:color="auto" w:fill="auto"/>
            <w:vAlign w:val="center"/>
          </w:tcPr>
          <w:p w:rsidR="00855DEE" w:rsidRPr="00BB5825" w:rsidRDefault="00AE0511"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Determiners of investor relation’s quality on the internet </w:t>
            </w:r>
          </w:p>
        </w:tc>
        <w:tc>
          <w:tcPr>
            <w:tcW w:w="1294" w:type="dxa"/>
            <w:shd w:val="clear" w:color="auto" w:fill="auto"/>
            <w:vAlign w:val="center"/>
          </w:tcPr>
          <w:p w:rsidR="00855DEE" w:rsidRPr="00BB5825" w:rsidRDefault="00EF51CC"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OLS </w:t>
            </w:r>
            <w:proofErr w:type="spellStart"/>
            <w:r w:rsidRPr="00BB5825">
              <w:rPr>
                <w:rFonts w:ascii="Times" w:hAnsi="Times" w:cs="Times"/>
                <w:sz w:val="20"/>
                <w:lang w:val="fr-BE" w:eastAsia="fr-BE"/>
              </w:rPr>
              <w:t>Regression</w:t>
            </w:r>
            <w:proofErr w:type="spellEnd"/>
          </w:p>
        </w:tc>
        <w:tc>
          <w:tcPr>
            <w:tcW w:w="1206" w:type="dxa"/>
            <w:shd w:val="clear" w:color="auto" w:fill="auto"/>
            <w:vAlign w:val="center"/>
          </w:tcPr>
          <w:p w:rsidR="00855DEE" w:rsidRPr="00BB5825" w:rsidRDefault="00EF51CC"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Free </w:t>
            </w:r>
            <w:proofErr w:type="spellStart"/>
            <w:r w:rsidRPr="00BB5825">
              <w:rPr>
                <w:rFonts w:ascii="Times" w:hAnsi="Times" w:cs="Times"/>
                <w:sz w:val="20"/>
                <w:lang w:val="fr-BE" w:eastAsia="fr-BE"/>
              </w:rPr>
              <w:t>float</w:t>
            </w:r>
            <w:proofErr w:type="spellEnd"/>
          </w:p>
        </w:tc>
        <w:tc>
          <w:tcPr>
            <w:tcW w:w="1650" w:type="dxa"/>
            <w:shd w:val="clear" w:color="auto" w:fill="auto"/>
            <w:vAlign w:val="center"/>
          </w:tcPr>
          <w:p w:rsidR="00855DEE" w:rsidRPr="00BB5825" w:rsidRDefault="00855DEE"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Scoring</w:t>
            </w:r>
            <w:proofErr w:type="spellEnd"/>
          </w:p>
        </w:tc>
        <w:tc>
          <w:tcPr>
            <w:tcW w:w="1205" w:type="dxa"/>
            <w:shd w:val="clear" w:color="auto" w:fill="auto"/>
            <w:noWrap/>
            <w:vAlign w:val="center"/>
          </w:tcPr>
          <w:p w:rsidR="00855DEE" w:rsidRPr="00BB5825" w:rsidRDefault="00EF51CC"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Positive</w:t>
            </w:r>
          </w:p>
        </w:tc>
      </w:tr>
      <w:tr w:rsidR="00BB5825" w:rsidRPr="00BB5825" w:rsidTr="00AC22C0">
        <w:trPr>
          <w:trHeight w:val="1897"/>
          <w:jc w:val="center"/>
        </w:trPr>
        <w:tc>
          <w:tcPr>
            <w:tcW w:w="1207" w:type="dxa"/>
            <w:shd w:val="clear" w:color="auto" w:fill="auto"/>
            <w:noWrap/>
            <w:vAlign w:val="center"/>
          </w:tcPr>
          <w:p w:rsidR="00855DEE" w:rsidRPr="00BB5825" w:rsidRDefault="00855DEE" w:rsidP="004828B5">
            <w:pPr>
              <w:spacing w:after="0" w:line="276" w:lineRule="auto"/>
              <w:jc w:val="center"/>
              <w:rPr>
                <w:rFonts w:ascii="Times" w:hAnsi="Times" w:cs="Times"/>
                <w:b/>
                <w:bCs/>
                <w:sz w:val="20"/>
                <w:lang w:eastAsia="fr-BE"/>
              </w:rPr>
            </w:pPr>
            <w:r w:rsidRPr="00BB5825">
              <w:rPr>
                <w:rFonts w:ascii="Times" w:hAnsi="Times" w:cs="Times"/>
                <w:bCs/>
                <w:sz w:val="20"/>
                <w:lang w:val="fr-BE" w:eastAsia="fr-BE"/>
              </w:rPr>
              <w:t>Pozniak (2013)</w:t>
            </w:r>
          </w:p>
        </w:tc>
        <w:tc>
          <w:tcPr>
            <w:tcW w:w="1316" w:type="dxa"/>
            <w:shd w:val="clear" w:color="auto" w:fill="auto"/>
            <w:noWrap/>
            <w:vAlign w:val="center"/>
          </w:tcPr>
          <w:p w:rsidR="00855DEE" w:rsidRPr="00BB5825" w:rsidRDefault="00855DEE"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68 </w:t>
            </w:r>
            <w:r w:rsidR="00EF51CC" w:rsidRPr="00BB5825">
              <w:rPr>
                <w:rFonts w:ascii="Times" w:hAnsi="Times" w:cs="Times"/>
                <w:sz w:val="20"/>
                <w:lang w:eastAsia="fr-BE"/>
              </w:rPr>
              <w:t>firms quoted on French and Belgian un-regulated markets</w:t>
            </w:r>
            <w:r w:rsidRPr="00BB5825">
              <w:rPr>
                <w:rFonts w:ascii="Times" w:hAnsi="Times" w:cs="Times"/>
                <w:sz w:val="20"/>
                <w:lang w:eastAsia="fr-BE"/>
              </w:rPr>
              <w:t>.</w:t>
            </w:r>
          </w:p>
        </w:tc>
        <w:tc>
          <w:tcPr>
            <w:tcW w:w="1461" w:type="dxa"/>
            <w:shd w:val="clear" w:color="auto" w:fill="auto"/>
            <w:vAlign w:val="center"/>
          </w:tcPr>
          <w:p w:rsidR="00855DEE" w:rsidRPr="00BB5825" w:rsidRDefault="00AE0511" w:rsidP="004828B5">
            <w:pPr>
              <w:spacing w:after="0" w:line="276" w:lineRule="auto"/>
              <w:jc w:val="center"/>
              <w:rPr>
                <w:rFonts w:ascii="Times" w:hAnsi="Times" w:cs="Times"/>
                <w:sz w:val="20"/>
                <w:lang w:eastAsia="fr-BE"/>
              </w:rPr>
            </w:pPr>
            <w:r w:rsidRPr="00BB5825">
              <w:rPr>
                <w:rFonts w:ascii="Times" w:hAnsi="Times" w:cs="Times"/>
                <w:sz w:val="20"/>
                <w:lang w:eastAsia="fr-BE"/>
              </w:rPr>
              <w:t>Determiners of internet financial communication</w:t>
            </w:r>
          </w:p>
        </w:tc>
        <w:tc>
          <w:tcPr>
            <w:tcW w:w="1294" w:type="dxa"/>
            <w:shd w:val="clear" w:color="auto" w:fill="auto"/>
            <w:vAlign w:val="center"/>
          </w:tcPr>
          <w:p w:rsidR="00855DEE" w:rsidRPr="00BB5825" w:rsidRDefault="00855DEE"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OLS</w:t>
            </w:r>
            <w:r w:rsidR="00EF51CC" w:rsidRPr="00BB5825">
              <w:rPr>
                <w:rFonts w:ascii="Times" w:hAnsi="Times" w:cs="Times"/>
                <w:sz w:val="20"/>
                <w:lang w:val="fr-BE" w:eastAsia="fr-BE"/>
              </w:rPr>
              <w:t xml:space="preserve"> </w:t>
            </w:r>
            <w:proofErr w:type="spellStart"/>
            <w:r w:rsidR="00EF51CC" w:rsidRPr="00BB5825">
              <w:rPr>
                <w:rFonts w:ascii="Times" w:hAnsi="Times" w:cs="Times"/>
                <w:sz w:val="20"/>
                <w:lang w:val="fr-BE" w:eastAsia="fr-BE"/>
              </w:rPr>
              <w:t>Regression</w:t>
            </w:r>
            <w:proofErr w:type="spellEnd"/>
          </w:p>
        </w:tc>
        <w:tc>
          <w:tcPr>
            <w:tcW w:w="1206" w:type="dxa"/>
            <w:shd w:val="clear" w:color="auto" w:fill="auto"/>
            <w:vAlign w:val="center"/>
          </w:tcPr>
          <w:p w:rsidR="00855DEE" w:rsidRPr="00BB5825" w:rsidRDefault="00EF51CC"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Free </w:t>
            </w:r>
            <w:proofErr w:type="spellStart"/>
            <w:r w:rsidRPr="00BB5825">
              <w:rPr>
                <w:rFonts w:ascii="Times" w:hAnsi="Times" w:cs="Times"/>
                <w:sz w:val="20"/>
                <w:lang w:val="fr-BE" w:eastAsia="fr-BE"/>
              </w:rPr>
              <w:t>float</w:t>
            </w:r>
            <w:proofErr w:type="spellEnd"/>
          </w:p>
        </w:tc>
        <w:tc>
          <w:tcPr>
            <w:tcW w:w="1650" w:type="dxa"/>
            <w:shd w:val="clear" w:color="auto" w:fill="auto"/>
            <w:vAlign w:val="center"/>
          </w:tcPr>
          <w:p w:rsidR="00855DEE" w:rsidRPr="00BB5825" w:rsidRDefault="00855DEE"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Scoring</w:t>
            </w:r>
            <w:proofErr w:type="spellEnd"/>
          </w:p>
        </w:tc>
        <w:tc>
          <w:tcPr>
            <w:tcW w:w="1205" w:type="dxa"/>
            <w:shd w:val="clear" w:color="auto" w:fill="auto"/>
            <w:noWrap/>
            <w:vAlign w:val="center"/>
          </w:tcPr>
          <w:p w:rsidR="00855DEE" w:rsidRPr="00BB5825" w:rsidRDefault="00EF51CC"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Un-significative</w:t>
            </w:r>
          </w:p>
        </w:tc>
      </w:tr>
    </w:tbl>
    <w:p w:rsidR="00AD305E" w:rsidRPr="00BB5825" w:rsidRDefault="00AD305E" w:rsidP="004828B5">
      <w:pPr>
        <w:spacing w:after="0" w:line="276" w:lineRule="auto"/>
      </w:pPr>
    </w:p>
    <w:p w:rsidR="00855DEE" w:rsidRPr="00BB5825" w:rsidRDefault="00AD305E" w:rsidP="004828B5">
      <w:pPr>
        <w:spacing w:after="0" w:line="276" w:lineRule="auto"/>
        <w:rPr>
          <w:i/>
        </w:rPr>
      </w:pPr>
      <w:r w:rsidRPr="00BB5825">
        <w:t>The literature review concerning the connection between dispersion of the capital and quality of the financial information brings us to put the hypothesis 1 has follows</w:t>
      </w:r>
      <w:proofErr w:type="gramStart"/>
      <w:r w:rsidRPr="00BB5825">
        <w:t>:</w:t>
      </w:r>
      <w:proofErr w:type="gramEnd"/>
      <w:r w:rsidRPr="00BB5825">
        <w:br/>
      </w:r>
      <w:r w:rsidRPr="00BB5825">
        <w:br/>
      </w:r>
      <w:r w:rsidRPr="00BB5825">
        <w:rPr>
          <w:i/>
        </w:rPr>
        <w:t>Hypothesis 1 : Com</w:t>
      </w:r>
      <w:r w:rsidR="009D5D2E" w:rsidRPr="00BB5825">
        <w:rPr>
          <w:i/>
        </w:rPr>
        <w:t>panies with diluted capital</w:t>
      </w:r>
      <w:r w:rsidRPr="00BB5825">
        <w:rPr>
          <w:i/>
        </w:rPr>
        <w:t xml:space="preserve"> present a financial communication of higher quality.</w:t>
      </w:r>
    </w:p>
    <w:p w:rsidR="00CF67C1" w:rsidRPr="00BB5825" w:rsidRDefault="00CF67C1" w:rsidP="004828B5">
      <w:pPr>
        <w:spacing w:after="0" w:line="276" w:lineRule="auto"/>
      </w:pPr>
      <w:r w:rsidRPr="00BB5825">
        <w:t xml:space="preserve">The second theory is connected to the influence of the capital concentration on </w:t>
      </w:r>
      <w:r w:rsidR="00AD305E" w:rsidRPr="00BB5825">
        <w:t>financial communication’s quality</w:t>
      </w:r>
      <w:r w:rsidRPr="00BB5825">
        <w:t xml:space="preserve">. </w:t>
      </w:r>
      <w:r w:rsidR="00AD305E" w:rsidRPr="00BB5825">
        <w:t>M</w:t>
      </w:r>
      <w:r w:rsidRPr="00BB5825">
        <w:t xml:space="preserve">ost of the empirical studies seem to validate the negative effect of the </w:t>
      </w:r>
      <w:r w:rsidR="00AD305E" w:rsidRPr="00BB5825">
        <w:t xml:space="preserve">capital </w:t>
      </w:r>
      <w:r w:rsidRPr="00BB5825">
        <w:t xml:space="preserve">concentration </w:t>
      </w:r>
      <w:r w:rsidR="00AD305E" w:rsidRPr="00BB5825">
        <w:t>f</w:t>
      </w:r>
      <w:r w:rsidRPr="00BB5825">
        <w:t xml:space="preserve">inancial </w:t>
      </w:r>
      <w:r w:rsidR="00AD305E" w:rsidRPr="00BB5825">
        <w:t>communication’s quality</w:t>
      </w:r>
      <w:r w:rsidRPr="00BB5825">
        <w:t xml:space="preserve">. The transparency of the financial information would seem less necessary within companies </w:t>
      </w:r>
      <w:r w:rsidR="00AD305E" w:rsidRPr="00BB5825">
        <w:t>c</w:t>
      </w:r>
      <w:r w:rsidRPr="00BB5825">
        <w:t>ontrolled by a majority shareholding.</w:t>
      </w:r>
    </w:p>
    <w:p w:rsidR="00A7696C" w:rsidRPr="00BB5825" w:rsidRDefault="00A7696C" w:rsidP="004828B5">
      <w:pPr>
        <w:spacing w:after="0" w:line="276" w:lineRule="auto"/>
      </w:pPr>
    </w:p>
    <w:p w:rsidR="00BB1877" w:rsidRPr="00BB5825" w:rsidRDefault="00BB1877" w:rsidP="004828B5">
      <w:pPr>
        <w:spacing w:after="0" w:line="276" w:lineRule="auto"/>
      </w:pPr>
      <w:r w:rsidRPr="00BB5825">
        <w:t>Table 2 – Impact of capital concentration on financial communication’s quality</w:t>
      </w:r>
    </w:p>
    <w:tbl>
      <w:tblPr>
        <w:tblW w:w="9423" w:type="dxa"/>
        <w:jc w:val="center"/>
        <w:tblInd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005"/>
        <w:gridCol w:w="1605"/>
        <w:gridCol w:w="1294"/>
        <w:gridCol w:w="1701"/>
        <w:gridCol w:w="1650"/>
        <w:gridCol w:w="1205"/>
      </w:tblGrid>
      <w:tr w:rsidR="00BB5825" w:rsidRPr="00BB5825" w:rsidTr="00AC22C0">
        <w:trPr>
          <w:trHeight w:val="300"/>
          <w:jc w:val="center"/>
        </w:trPr>
        <w:tc>
          <w:tcPr>
            <w:tcW w:w="1222" w:type="dxa"/>
            <w:shd w:val="clear" w:color="auto" w:fill="D9D9D9" w:themeFill="background1" w:themeFillShade="D9"/>
            <w:noWrap/>
            <w:vAlign w:val="center"/>
          </w:tcPr>
          <w:p w:rsidR="00BB1877" w:rsidRPr="00BB5825" w:rsidRDefault="00BB1877" w:rsidP="004828B5">
            <w:pPr>
              <w:spacing w:after="0" w:line="276" w:lineRule="auto"/>
              <w:jc w:val="center"/>
              <w:rPr>
                <w:rFonts w:ascii="Times" w:hAnsi="Times" w:cs="Times"/>
                <w:b/>
                <w:bCs/>
                <w:i/>
                <w:sz w:val="20"/>
                <w:lang w:eastAsia="fr-BE"/>
              </w:rPr>
            </w:pPr>
            <w:proofErr w:type="spellStart"/>
            <w:r w:rsidRPr="00BB5825">
              <w:rPr>
                <w:rFonts w:ascii="Times" w:hAnsi="Times" w:cs="Times"/>
                <w:b/>
                <w:bCs/>
                <w:i/>
                <w:sz w:val="20"/>
                <w:lang w:eastAsia="fr-BE"/>
              </w:rPr>
              <w:t>Autors</w:t>
            </w:r>
            <w:proofErr w:type="spellEnd"/>
          </w:p>
        </w:tc>
        <w:tc>
          <w:tcPr>
            <w:tcW w:w="1005" w:type="dxa"/>
            <w:shd w:val="clear" w:color="auto" w:fill="D9D9D9" w:themeFill="background1" w:themeFillShade="D9"/>
            <w:noWrap/>
            <w:vAlign w:val="center"/>
          </w:tcPr>
          <w:p w:rsidR="00BB1877" w:rsidRPr="00BB5825" w:rsidRDefault="00BB1877" w:rsidP="004828B5">
            <w:pPr>
              <w:spacing w:after="0" w:line="276" w:lineRule="auto"/>
              <w:jc w:val="center"/>
              <w:rPr>
                <w:rFonts w:ascii="Times" w:hAnsi="Times" w:cs="Times"/>
                <w:b/>
                <w:bCs/>
                <w:i/>
                <w:sz w:val="20"/>
                <w:lang w:eastAsia="fr-BE"/>
              </w:rPr>
            </w:pPr>
            <w:r w:rsidRPr="00BB5825">
              <w:rPr>
                <w:rFonts w:ascii="Times" w:hAnsi="Times" w:cs="Times"/>
                <w:b/>
                <w:bCs/>
                <w:i/>
                <w:sz w:val="20"/>
                <w:lang w:eastAsia="fr-BE"/>
              </w:rPr>
              <w:t>Sample</w:t>
            </w:r>
          </w:p>
        </w:tc>
        <w:tc>
          <w:tcPr>
            <w:tcW w:w="1605" w:type="dxa"/>
            <w:shd w:val="clear" w:color="auto" w:fill="D9D9D9" w:themeFill="background1" w:themeFillShade="D9"/>
            <w:vAlign w:val="center"/>
          </w:tcPr>
          <w:p w:rsidR="00BB1877" w:rsidRPr="00BB5825" w:rsidRDefault="00BB1877" w:rsidP="004828B5">
            <w:pPr>
              <w:spacing w:after="0" w:line="276" w:lineRule="auto"/>
              <w:jc w:val="center"/>
              <w:rPr>
                <w:rFonts w:ascii="Times" w:hAnsi="Times" w:cs="Times"/>
                <w:b/>
                <w:bCs/>
                <w:i/>
                <w:sz w:val="20"/>
                <w:lang w:eastAsia="fr-BE"/>
              </w:rPr>
            </w:pPr>
            <w:r w:rsidRPr="00BB5825">
              <w:rPr>
                <w:rFonts w:ascii="Times" w:hAnsi="Times" w:cs="Times"/>
                <w:b/>
                <w:bCs/>
                <w:i/>
                <w:sz w:val="20"/>
                <w:lang w:eastAsia="fr-BE"/>
              </w:rPr>
              <w:t>Aim of the study</w:t>
            </w:r>
          </w:p>
        </w:tc>
        <w:tc>
          <w:tcPr>
            <w:tcW w:w="1294" w:type="dxa"/>
            <w:shd w:val="clear" w:color="auto" w:fill="D9D9D9" w:themeFill="background1" w:themeFillShade="D9"/>
            <w:vAlign w:val="center"/>
          </w:tcPr>
          <w:p w:rsidR="00BB1877" w:rsidRPr="00BB5825" w:rsidRDefault="00BB1877" w:rsidP="004828B5">
            <w:pPr>
              <w:spacing w:after="0" w:line="276" w:lineRule="auto"/>
              <w:jc w:val="center"/>
              <w:rPr>
                <w:rFonts w:ascii="Times" w:hAnsi="Times" w:cs="Times"/>
                <w:b/>
                <w:bCs/>
                <w:i/>
                <w:sz w:val="20"/>
                <w:lang w:eastAsia="fr-BE"/>
              </w:rPr>
            </w:pPr>
            <w:r w:rsidRPr="00BB5825">
              <w:rPr>
                <w:rFonts w:ascii="Times" w:hAnsi="Times" w:cs="Times"/>
                <w:b/>
                <w:bCs/>
                <w:i/>
                <w:sz w:val="20"/>
                <w:lang w:eastAsia="fr-BE"/>
              </w:rPr>
              <w:t>Methodology</w:t>
            </w:r>
          </w:p>
        </w:tc>
        <w:tc>
          <w:tcPr>
            <w:tcW w:w="1701" w:type="dxa"/>
            <w:shd w:val="clear" w:color="auto" w:fill="D9D9D9" w:themeFill="background1" w:themeFillShade="D9"/>
            <w:noWrap/>
            <w:vAlign w:val="center"/>
          </w:tcPr>
          <w:p w:rsidR="00BB1877" w:rsidRPr="00BB5825" w:rsidRDefault="00BB1877" w:rsidP="004828B5">
            <w:pPr>
              <w:spacing w:after="0" w:line="276" w:lineRule="auto"/>
              <w:jc w:val="center"/>
              <w:rPr>
                <w:rFonts w:ascii="Times" w:hAnsi="Times" w:cs="Times"/>
                <w:b/>
                <w:bCs/>
                <w:i/>
                <w:sz w:val="20"/>
                <w:lang w:val="fr-BE" w:eastAsia="fr-BE"/>
              </w:rPr>
            </w:pPr>
            <w:r w:rsidRPr="00BB5825">
              <w:rPr>
                <w:rFonts w:ascii="Times" w:hAnsi="Times" w:cs="Times"/>
                <w:b/>
                <w:bCs/>
                <w:i/>
                <w:sz w:val="20"/>
                <w:lang w:val="fr-BE" w:eastAsia="fr-BE"/>
              </w:rPr>
              <w:t xml:space="preserve">Capital </w:t>
            </w:r>
            <w:proofErr w:type="spellStart"/>
            <w:r w:rsidRPr="00BB5825">
              <w:rPr>
                <w:rFonts w:ascii="Times" w:hAnsi="Times" w:cs="Times"/>
                <w:b/>
                <w:bCs/>
                <w:i/>
                <w:sz w:val="20"/>
                <w:lang w:val="fr-BE" w:eastAsia="fr-BE"/>
              </w:rPr>
              <w:t>concentration’s</w:t>
            </w:r>
            <w:proofErr w:type="spellEnd"/>
            <w:r w:rsidRPr="00BB5825">
              <w:rPr>
                <w:rFonts w:ascii="Times" w:hAnsi="Times" w:cs="Times"/>
                <w:b/>
                <w:bCs/>
                <w:i/>
                <w:sz w:val="20"/>
                <w:lang w:val="fr-BE" w:eastAsia="fr-BE"/>
              </w:rPr>
              <w:t xml:space="preserve"> </w:t>
            </w:r>
            <w:proofErr w:type="spellStart"/>
            <w:r w:rsidRPr="00BB5825">
              <w:rPr>
                <w:rFonts w:ascii="Times" w:hAnsi="Times" w:cs="Times"/>
                <w:b/>
                <w:bCs/>
                <w:i/>
                <w:sz w:val="20"/>
                <w:lang w:val="fr-BE" w:eastAsia="fr-BE"/>
              </w:rPr>
              <w:t>measure</w:t>
            </w:r>
            <w:proofErr w:type="spellEnd"/>
          </w:p>
        </w:tc>
        <w:tc>
          <w:tcPr>
            <w:tcW w:w="1650" w:type="dxa"/>
            <w:shd w:val="clear" w:color="auto" w:fill="D9D9D9" w:themeFill="background1" w:themeFillShade="D9"/>
            <w:vAlign w:val="center"/>
          </w:tcPr>
          <w:p w:rsidR="00BB1877" w:rsidRPr="00BB5825" w:rsidRDefault="00BB1877" w:rsidP="004828B5">
            <w:pPr>
              <w:spacing w:after="0" w:line="276" w:lineRule="auto"/>
              <w:jc w:val="center"/>
              <w:rPr>
                <w:rFonts w:ascii="Times" w:hAnsi="Times" w:cs="Times"/>
                <w:b/>
                <w:bCs/>
                <w:i/>
                <w:sz w:val="20"/>
                <w:lang w:val="fr-BE" w:eastAsia="fr-BE"/>
              </w:rPr>
            </w:pPr>
            <w:r w:rsidRPr="00BB5825">
              <w:rPr>
                <w:rFonts w:ascii="Times" w:hAnsi="Times" w:cs="Times"/>
                <w:b/>
                <w:bCs/>
                <w:i/>
                <w:sz w:val="20"/>
                <w:lang w:val="fr-BE" w:eastAsia="fr-BE"/>
              </w:rPr>
              <w:t xml:space="preserve">Financial  </w:t>
            </w:r>
            <w:proofErr w:type="spellStart"/>
            <w:r w:rsidRPr="00BB5825">
              <w:rPr>
                <w:rFonts w:ascii="Times" w:hAnsi="Times" w:cs="Times"/>
                <w:b/>
                <w:bCs/>
                <w:i/>
                <w:sz w:val="20"/>
                <w:lang w:val="fr-BE" w:eastAsia="fr-BE"/>
              </w:rPr>
              <w:t>communication’s</w:t>
            </w:r>
            <w:proofErr w:type="spellEnd"/>
            <w:r w:rsidRPr="00BB5825">
              <w:rPr>
                <w:rFonts w:ascii="Times" w:hAnsi="Times" w:cs="Times"/>
                <w:b/>
                <w:bCs/>
                <w:i/>
                <w:sz w:val="20"/>
                <w:lang w:val="fr-BE" w:eastAsia="fr-BE"/>
              </w:rPr>
              <w:t xml:space="preserve"> </w:t>
            </w:r>
            <w:proofErr w:type="spellStart"/>
            <w:r w:rsidRPr="00BB5825">
              <w:rPr>
                <w:rFonts w:ascii="Times" w:hAnsi="Times" w:cs="Times"/>
                <w:b/>
                <w:bCs/>
                <w:i/>
                <w:sz w:val="20"/>
                <w:lang w:val="fr-BE" w:eastAsia="fr-BE"/>
              </w:rPr>
              <w:t>measure</w:t>
            </w:r>
            <w:proofErr w:type="spellEnd"/>
          </w:p>
        </w:tc>
        <w:tc>
          <w:tcPr>
            <w:tcW w:w="946" w:type="dxa"/>
            <w:shd w:val="clear" w:color="auto" w:fill="D9D9D9" w:themeFill="background1" w:themeFillShade="D9"/>
            <w:noWrap/>
            <w:vAlign w:val="center"/>
          </w:tcPr>
          <w:p w:rsidR="00BB1877" w:rsidRPr="00BB5825" w:rsidRDefault="00BB1877" w:rsidP="004828B5">
            <w:pPr>
              <w:spacing w:after="0" w:line="276" w:lineRule="auto"/>
              <w:jc w:val="center"/>
              <w:rPr>
                <w:rFonts w:ascii="Times" w:hAnsi="Times" w:cs="Times"/>
                <w:b/>
                <w:bCs/>
                <w:i/>
                <w:sz w:val="20"/>
                <w:lang w:val="fr-BE" w:eastAsia="fr-BE"/>
              </w:rPr>
            </w:pPr>
            <w:proofErr w:type="spellStart"/>
            <w:r w:rsidRPr="00BB5825">
              <w:rPr>
                <w:rFonts w:ascii="Times" w:hAnsi="Times" w:cs="Times"/>
                <w:b/>
                <w:bCs/>
                <w:i/>
                <w:sz w:val="20"/>
                <w:lang w:val="fr-BE" w:eastAsia="fr-BE"/>
              </w:rPr>
              <w:t>Observed</w:t>
            </w:r>
            <w:proofErr w:type="spellEnd"/>
            <w:r w:rsidRPr="00BB5825">
              <w:rPr>
                <w:rFonts w:ascii="Times" w:hAnsi="Times" w:cs="Times"/>
                <w:b/>
                <w:bCs/>
                <w:i/>
                <w:sz w:val="20"/>
                <w:lang w:val="fr-BE" w:eastAsia="fr-BE"/>
              </w:rPr>
              <w:t xml:space="preserve"> </w:t>
            </w:r>
            <w:proofErr w:type="spellStart"/>
            <w:r w:rsidRPr="00BB5825">
              <w:rPr>
                <w:rFonts w:ascii="Times" w:hAnsi="Times" w:cs="Times"/>
                <w:b/>
                <w:bCs/>
                <w:i/>
                <w:sz w:val="20"/>
                <w:lang w:val="fr-BE" w:eastAsia="fr-BE"/>
              </w:rPr>
              <w:t>effect</w:t>
            </w:r>
            <w:proofErr w:type="spellEnd"/>
            <w:r w:rsidRPr="00BB5825">
              <w:rPr>
                <w:rFonts w:ascii="Times" w:hAnsi="Times" w:cs="Times"/>
                <w:b/>
                <w:bCs/>
                <w:i/>
                <w:sz w:val="20"/>
                <w:lang w:val="fr-BE" w:eastAsia="fr-BE"/>
              </w:rPr>
              <w:t xml:space="preserve"> </w:t>
            </w:r>
          </w:p>
        </w:tc>
      </w:tr>
      <w:tr w:rsidR="00BB5825" w:rsidRPr="00BB5825" w:rsidTr="00AC22C0">
        <w:trPr>
          <w:trHeight w:hRule="exact" w:val="1404"/>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val="fr-BE" w:eastAsia="fr-BE"/>
              </w:rPr>
            </w:pPr>
            <w:proofErr w:type="spellStart"/>
            <w:r w:rsidRPr="00BB5825">
              <w:rPr>
                <w:rFonts w:ascii="Times" w:hAnsi="Times" w:cs="Times"/>
                <w:bCs/>
                <w:sz w:val="20"/>
                <w:lang w:val="fr-BE" w:eastAsia="fr-BE"/>
              </w:rPr>
              <w:t>Gelb</w:t>
            </w:r>
            <w:proofErr w:type="spellEnd"/>
            <w:r w:rsidRPr="00BB5825">
              <w:rPr>
                <w:rFonts w:ascii="Times" w:hAnsi="Times" w:cs="Times"/>
                <w:bCs/>
                <w:sz w:val="20"/>
                <w:lang w:val="fr-BE" w:eastAsia="fr-BE"/>
              </w:rPr>
              <w:t xml:space="preserve"> (2000)</w:t>
            </w:r>
          </w:p>
        </w:tc>
        <w:tc>
          <w:tcPr>
            <w:tcW w:w="1005" w:type="dxa"/>
            <w:shd w:val="clear" w:color="auto" w:fill="auto"/>
            <w:noWrap/>
            <w:vAlign w:val="center"/>
          </w:tcPr>
          <w:p w:rsidR="00BB1877" w:rsidRPr="00BB5825" w:rsidRDefault="00055050"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3219 </w:t>
            </w:r>
            <w:proofErr w:type="spellStart"/>
            <w:r w:rsidRPr="00BB5825">
              <w:rPr>
                <w:rFonts w:ascii="Times" w:hAnsi="Times" w:cs="Times"/>
                <w:sz w:val="20"/>
                <w:lang w:val="fr-BE" w:eastAsia="fr-BE"/>
              </w:rPr>
              <w:t>firms</w:t>
            </w:r>
            <w:proofErr w:type="spellEnd"/>
            <w:r w:rsidR="00BB1877" w:rsidRPr="00BB5825">
              <w:rPr>
                <w:rFonts w:ascii="Times" w:hAnsi="Times" w:cs="Times"/>
                <w:sz w:val="20"/>
                <w:lang w:val="fr-BE" w:eastAsia="fr-BE"/>
              </w:rPr>
              <w:t xml:space="preserve"> </w:t>
            </w:r>
            <w:r w:rsidRPr="00BB5825">
              <w:rPr>
                <w:rFonts w:ascii="Times" w:hAnsi="Times" w:cs="Times"/>
                <w:sz w:val="20"/>
                <w:lang w:eastAsia="fr-BE"/>
              </w:rPr>
              <w:t>(except financial firms)</w:t>
            </w:r>
          </w:p>
        </w:tc>
        <w:tc>
          <w:tcPr>
            <w:tcW w:w="1605" w:type="dxa"/>
            <w:shd w:val="clear" w:color="auto" w:fill="auto"/>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Li</w:t>
            </w:r>
            <w:r w:rsidR="00E72CF9" w:rsidRPr="00BB5825">
              <w:rPr>
                <w:rFonts w:ascii="Times" w:hAnsi="Times" w:cs="Times"/>
                <w:sz w:val="20"/>
                <w:lang w:eastAsia="fr-BE"/>
              </w:rPr>
              <w:t xml:space="preserve">nk between capital </w:t>
            </w:r>
            <w:r w:rsidRPr="00BB5825">
              <w:rPr>
                <w:rFonts w:ascii="Times" w:hAnsi="Times" w:cs="Times"/>
                <w:sz w:val="20"/>
                <w:lang w:eastAsia="fr-BE"/>
              </w:rPr>
              <w:t xml:space="preserve">concentration </w:t>
            </w:r>
            <w:r w:rsidR="00E72CF9" w:rsidRPr="00BB5825">
              <w:rPr>
                <w:rFonts w:ascii="Times" w:hAnsi="Times" w:cs="Times"/>
                <w:sz w:val="20"/>
                <w:lang w:eastAsia="fr-BE"/>
              </w:rPr>
              <w:t>and financial communication</w:t>
            </w:r>
          </w:p>
        </w:tc>
        <w:tc>
          <w:tcPr>
            <w:tcW w:w="1294" w:type="dxa"/>
            <w:shd w:val="clear" w:color="auto" w:fill="auto"/>
            <w:vAlign w:val="center"/>
          </w:tcPr>
          <w:p w:rsidR="00BB1877" w:rsidRPr="00BB5825" w:rsidRDefault="00BB1877"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OLS</w:t>
            </w:r>
            <w:r w:rsidR="00055050" w:rsidRPr="00BB5825">
              <w:rPr>
                <w:rFonts w:ascii="Times" w:hAnsi="Times" w:cs="Times"/>
                <w:sz w:val="20"/>
                <w:lang w:val="fr-BE" w:eastAsia="fr-BE"/>
              </w:rPr>
              <w:t xml:space="preserve"> </w:t>
            </w:r>
            <w:proofErr w:type="spellStart"/>
            <w:r w:rsidR="00055050" w:rsidRPr="00BB5825">
              <w:rPr>
                <w:rFonts w:ascii="Times" w:hAnsi="Times" w:cs="Times"/>
                <w:sz w:val="20"/>
                <w:lang w:val="fr-BE" w:eastAsia="fr-BE"/>
              </w:rPr>
              <w:t>regression</w:t>
            </w:r>
            <w:proofErr w:type="spellEnd"/>
          </w:p>
        </w:tc>
        <w:tc>
          <w:tcPr>
            <w:tcW w:w="1701" w:type="dxa"/>
            <w:shd w:val="clear" w:color="auto" w:fill="auto"/>
            <w:noWrap/>
            <w:vAlign w:val="center"/>
          </w:tcPr>
          <w:p w:rsidR="00BB1877" w:rsidRPr="00BB5825" w:rsidRDefault="006A7A6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Amount of share held by majority </w:t>
            </w:r>
            <w:proofErr w:type="gramStart"/>
            <w:r w:rsidRPr="00BB5825">
              <w:rPr>
                <w:rFonts w:ascii="Times" w:hAnsi="Times" w:cs="Times"/>
                <w:sz w:val="20"/>
                <w:lang w:eastAsia="fr-BE"/>
              </w:rPr>
              <w:t xml:space="preserve">shareholders  </w:t>
            </w:r>
            <w:r w:rsidR="00BB1877" w:rsidRPr="00BB5825">
              <w:rPr>
                <w:rFonts w:ascii="Times" w:hAnsi="Times" w:cs="Times"/>
                <w:sz w:val="20"/>
                <w:lang w:eastAsia="fr-BE"/>
              </w:rPr>
              <w:t>(</w:t>
            </w:r>
            <w:proofErr w:type="gramEnd"/>
            <w:r w:rsidR="00BB1877" w:rsidRPr="00BB5825">
              <w:rPr>
                <w:rFonts w:ascii="Times" w:hAnsi="Times" w:cs="Times"/>
                <w:sz w:val="20"/>
                <w:lang w:eastAsia="fr-BE"/>
              </w:rPr>
              <w:t>min 10%).</w:t>
            </w:r>
          </w:p>
        </w:tc>
        <w:tc>
          <w:tcPr>
            <w:tcW w:w="1650" w:type="dxa"/>
            <w:shd w:val="clear" w:color="auto" w:fill="auto"/>
            <w:vAlign w:val="center"/>
          </w:tcPr>
          <w:p w:rsidR="00BB1877" w:rsidRPr="00BB5825" w:rsidRDefault="00BB1877"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AIMR </w:t>
            </w:r>
            <w:proofErr w:type="spellStart"/>
            <w:r w:rsidRPr="00BB5825">
              <w:rPr>
                <w:rFonts w:ascii="Times" w:hAnsi="Times" w:cs="Times"/>
                <w:sz w:val="20"/>
                <w:lang w:val="fr-BE" w:eastAsia="fr-BE"/>
              </w:rPr>
              <w:t>disclosure</w:t>
            </w:r>
            <w:proofErr w:type="spellEnd"/>
            <w:r w:rsidRPr="00BB5825">
              <w:rPr>
                <w:rFonts w:ascii="Times" w:hAnsi="Times" w:cs="Times"/>
                <w:sz w:val="20"/>
                <w:lang w:val="fr-BE" w:eastAsia="fr-BE"/>
              </w:rPr>
              <w:t xml:space="preserve"> </w:t>
            </w:r>
            <w:proofErr w:type="spellStart"/>
            <w:r w:rsidRPr="00BB5825">
              <w:rPr>
                <w:rFonts w:ascii="Times" w:hAnsi="Times" w:cs="Times"/>
                <w:sz w:val="20"/>
                <w:lang w:val="fr-BE" w:eastAsia="fr-BE"/>
              </w:rPr>
              <w:t>ranking</w:t>
            </w:r>
            <w:proofErr w:type="spellEnd"/>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Negative</w:t>
            </w:r>
            <w:proofErr w:type="spellEnd"/>
          </w:p>
        </w:tc>
      </w:tr>
      <w:tr w:rsidR="00BB5825" w:rsidRPr="00BB5825" w:rsidTr="00AC22C0">
        <w:trPr>
          <w:trHeight w:hRule="exact" w:val="1245"/>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eastAsia="fr-BE"/>
              </w:rPr>
            </w:pPr>
            <w:r w:rsidRPr="00BB5825">
              <w:rPr>
                <w:rFonts w:ascii="Times" w:hAnsi="Times" w:cs="Times"/>
                <w:bCs/>
                <w:sz w:val="20"/>
                <w:lang w:val="fr-BE" w:eastAsia="fr-BE"/>
              </w:rPr>
              <w:lastRenderedPageBreak/>
              <w:t xml:space="preserve">Paturel, </w:t>
            </w:r>
            <w:proofErr w:type="spellStart"/>
            <w:r w:rsidRPr="00BB5825">
              <w:rPr>
                <w:rFonts w:ascii="Times" w:hAnsi="Times" w:cs="Times"/>
                <w:bCs/>
                <w:sz w:val="20"/>
                <w:lang w:val="fr-BE" w:eastAsia="fr-BE"/>
              </w:rPr>
              <w:t>Matouissi</w:t>
            </w:r>
            <w:proofErr w:type="spellEnd"/>
            <w:r w:rsidRPr="00BB5825">
              <w:rPr>
                <w:rFonts w:ascii="Times" w:hAnsi="Times" w:cs="Times"/>
                <w:bCs/>
                <w:sz w:val="20"/>
                <w:lang w:val="fr-BE" w:eastAsia="fr-BE"/>
              </w:rPr>
              <w:t xml:space="preserve"> &amp; </w:t>
            </w:r>
            <w:proofErr w:type="spellStart"/>
            <w:r w:rsidRPr="00BB5825">
              <w:rPr>
                <w:rFonts w:ascii="Times" w:hAnsi="Times" w:cs="Times"/>
                <w:bCs/>
                <w:sz w:val="20"/>
                <w:lang w:val="fr-BE" w:eastAsia="fr-BE"/>
              </w:rPr>
              <w:t>Jouini</w:t>
            </w:r>
            <w:proofErr w:type="spellEnd"/>
            <w:r w:rsidRPr="00BB5825">
              <w:rPr>
                <w:rFonts w:ascii="Times" w:hAnsi="Times" w:cs="Times"/>
                <w:bCs/>
                <w:sz w:val="20"/>
                <w:lang w:val="fr-BE" w:eastAsia="fr-BE"/>
              </w:rPr>
              <w:t>, (2006)</w:t>
            </w:r>
          </w:p>
        </w:tc>
        <w:tc>
          <w:tcPr>
            <w:tcW w:w="1005" w:type="dxa"/>
            <w:shd w:val="clear" w:color="auto" w:fill="auto"/>
            <w:noWrap/>
            <w:vAlign w:val="center"/>
          </w:tcPr>
          <w:p w:rsidR="00BB1877" w:rsidRPr="00BB5825" w:rsidRDefault="00055050" w:rsidP="004828B5">
            <w:pPr>
              <w:spacing w:after="0" w:line="276" w:lineRule="auto"/>
              <w:jc w:val="center"/>
              <w:rPr>
                <w:rFonts w:ascii="Times" w:hAnsi="Times" w:cs="Times"/>
                <w:sz w:val="20"/>
                <w:lang w:eastAsia="fr-BE"/>
              </w:rPr>
            </w:pPr>
            <w:r w:rsidRPr="00BB5825">
              <w:rPr>
                <w:rFonts w:ascii="Times" w:hAnsi="Times" w:cs="Times"/>
                <w:sz w:val="20"/>
                <w:lang w:eastAsia="fr-BE"/>
              </w:rPr>
              <w:t>SBF 120 and</w:t>
            </w:r>
            <w:r w:rsidR="00BB1877" w:rsidRPr="00BB5825">
              <w:rPr>
                <w:rFonts w:ascii="Times" w:hAnsi="Times" w:cs="Times"/>
                <w:sz w:val="20"/>
                <w:lang w:eastAsia="fr-BE"/>
              </w:rPr>
              <w:t xml:space="preserve"> FTSE 100 </w:t>
            </w:r>
            <w:r w:rsidRPr="00BB5825">
              <w:rPr>
                <w:rFonts w:ascii="Times" w:hAnsi="Times" w:cs="Times"/>
                <w:sz w:val="20"/>
                <w:lang w:eastAsia="fr-BE"/>
              </w:rPr>
              <w:t>(except financial firms)</w:t>
            </w:r>
          </w:p>
        </w:tc>
        <w:tc>
          <w:tcPr>
            <w:tcW w:w="1605" w:type="dxa"/>
            <w:shd w:val="clear" w:color="auto" w:fill="auto"/>
            <w:vAlign w:val="center"/>
          </w:tcPr>
          <w:p w:rsidR="00BB1877" w:rsidRPr="00BB5825" w:rsidRDefault="00E72CF9" w:rsidP="004828B5">
            <w:pPr>
              <w:spacing w:after="0" w:line="276" w:lineRule="auto"/>
              <w:jc w:val="center"/>
              <w:rPr>
                <w:rFonts w:ascii="Times" w:hAnsi="Times" w:cs="Times"/>
                <w:sz w:val="20"/>
                <w:lang w:eastAsia="fr-BE"/>
              </w:rPr>
            </w:pPr>
            <w:r w:rsidRPr="00BB5825">
              <w:rPr>
                <w:rFonts w:ascii="Times" w:hAnsi="Times" w:cs="Times"/>
                <w:sz w:val="20"/>
                <w:lang w:eastAsia="fr-BE"/>
              </w:rPr>
              <w:t>Determiners of internet fi</w:t>
            </w:r>
            <w:r w:rsidR="00BB1877" w:rsidRPr="00BB5825">
              <w:rPr>
                <w:rFonts w:ascii="Times" w:hAnsi="Times" w:cs="Times"/>
                <w:sz w:val="20"/>
                <w:lang w:eastAsia="fr-BE"/>
              </w:rPr>
              <w:t>nanci</w:t>
            </w:r>
            <w:r w:rsidRPr="00BB5825">
              <w:rPr>
                <w:rFonts w:ascii="Times" w:hAnsi="Times" w:cs="Times"/>
                <w:sz w:val="20"/>
                <w:lang w:eastAsia="fr-BE"/>
              </w:rPr>
              <w:t>al communication</w:t>
            </w:r>
          </w:p>
        </w:tc>
        <w:tc>
          <w:tcPr>
            <w:tcW w:w="1294" w:type="dxa"/>
            <w:shd w:val="clear" w:color="auto" w:fill="auto"/>
            <w:vAlign w:val="center"/>
          </w:tcPr>
          <w:p w:rsidR="00BB1877" w:rsidRPr="00BB5825" w:rsidRDefault="00055050"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OLS </w:t>
            </w:r>
            <w:proofErr w:type="spellStart"/>
            <w:r w:rsidRPr="00BB5825">
              <w:rPr>
                <w:rFonts w:ascii="Times" w:hAnsi="Times" w:cs="Times"/>
                <w:sz w:val="20"/>
                <w:lang w:val="fr-BE" w:eastAsia="fr-BE"/>
              </w:rPr>
              <w:t>regression</w:t>
            </w:r>
            <w:proofErr w:type="spellEnd"/>
          </w:p>
        </w:tc>
        <w:tc>
          <w:tcPr>
            <w:tcW w:w="1701" w:type="dxa"/>
            <w:shd w:val="clear" w:color="auto" w:fill="auto"/>
            <w:noWrap/>
            <w:vAlign w:val="center"/>
          </w:tcPr>
          <w:p w:rsidR="00BB1877" w:rsidRPr="00BB5825" w:rsidRDefault="006A7A6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Amount of share held by majority </w:t>
            </w:r>
            <w:proofErr w:type="gramStart"/>
            <w:r w:rsidRPr="00BB5825">
              <w:rPr>
                <w:rFonts w:ascii="Times" w:hAnsi="Times" w:cs="Times"/>
                <w:sz w:val="20"/>
                <w:lang w:eastAsia="fr-BE"/>
              </w:rPr>
              <w:t>shareholders  (</w:t>
            </w:r>
            <w:proofErr w:type="gramEnd"/>
            <w:r w:rsidRPr="00BB5825">
              <w:rPr>
                <w:rFonts w:ascii="Times" w:hAnsi="Times" w:cs="Times"/>
                <w:sz w:val="20"/>
                <w:lang w:eastAsia="fr-BE"/>
              </w:rPr>
              <w:t>min 5%).</w:t>
            </w:r>
          </w:p>
        </w:tc>
        <w:tc>
          <w:tcPr>
            <w:tcW w:w="1650" w:type="dxa"/>
            <w:shd w:val="clear" w:color="auto" w:fill="auto"/>
            <w:vAlign w:val="center"/>
          </w:tcPr>
          <w:p w:rsidR="00BB1877" w:rsidRPr="00BB5825" w:rsidRDefault="00BB187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Scoring</w:t>
            </w:r>
            <w:proofErr w:type="spellEnd"/>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Negative</w:t>
            </w:r>
            <w:proofErr w:type="spellEnd"/>
          </w:p>
        </w:tc>
      </w:tr>
      <w:tr w:rsidR="00BB5825" w:rsidRPr="00BB5825" w:rsidTr="00AC22C0">
        <w:trPr>
          <w:trHeight w:hRule="exact" w:val="1398"/>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val="fr-BE" w:eastAsia="fr-BE"/>
              </w:rPr>
            </w:pPr>
            <w:r w:rsidRPr="00BB5825">
              <w:rPr>
                <w:rFonts w:ascii="Times" w:hAnsi="Times" w:cs="Times"/>
                <w:bCs/>
                <w:sz w:val="20"/>
                <w:lang w:val="fr-BE" w:eastAsia="fr-BE"/>
              </w:rPr>
              <w:t xml:space="preserve">Ben Ali &amp; </w:t>
            </w:r>
            <w:proofErr w:type="spellStart"/>
            <w:r w:rsidRPr="00BB5825">
              <w:rPr>
                <w:rFonts w:ascii="Times" w:hAnsi="Times" w:cs="Times"/>
                <w:bCs/>
                <w:sz w:val="20"/>
                <w:lang w:val="fr-BE" w:eastAsia="fr-BE"/>
              </w:rPr>
              <w:t>Gettler</w:t>
            </w:r>
            <w:proofErr w:type="spellEnd"/>
            <w:r w:rsidRPr="00BB5825">
              <w:rPr>
                <w:rFonts w:ascii="Times" w:hAnsi="Times" w:cs="Times"/>
                <w:bCs/>
                <w:sz w:val="20"/>
                <w:lang w:val="fr-BE" w:eastAsia="fr-BE"/>
              </w:rPr>
              <w:t xml:space="preserve"> </w:t>
            </w:r>
            <w:proofErr w:type="spellStart"/>
            <w:r w:rsidRPr="00BB5825">
              <w:rPr>
                <w:rFonts w:ascii="Times" w:hAnsi="Times" w:cs="Times"/>
                <w:bCs/>
                <w:sz w:val="20"/>
                <w:lang w:val="fr-BE" w:eastAsia="fr-BE"/>
              </w:rPr>
              <w:t>Summa</w:t>
            </w:r>
            <w:proofErr w:type="spellEnd"/>
            <w:r w:rsidRPr="00BB5825">
              <w:rPr>
                <w:rFonts w:ascii="Times" w:hAnsi="Times" w:cs="Times"/>
                <w:bCs/>
                <w:sz w:val="20"/>
                <w:lang w:val="fr-BE" w:eastAsia="fr-BE"/>
              </w:rPr>
              <w:t xml:space="preserve"> (2006)</w:t>
            </w:r>
          </w:p>
        </w:tc>
        <w:tc>
          <w:tcPr>
            <w:tcW w:w="1005"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SBF 120 (</w:t>
            </w:r>
            <w:r w:rsidR="00055050" w:rsidRPr="00BB5825">
              <w:rPr>
                <w:rFonts w:ascii="Times" w:hAnsi="Times" w:cs="Times"/>
                <w:sz w:val="20"/>
                <w:lang w:eastAsia="fr-BE"/>
              </w:rPr>
              <w:t>except financial firms)</w:t>
            </w:r>
          </w:p>
        </w:tc>
        <w:tc>
          <w:tcPr>
            <w:tcW w:w="1605" w:type="dxa"/>
            <w:shd w:val="clear" w:color="auto" w:fill="auto"/>
            <w:vAlign w:val="center"/>
          </w:tcPr>
          <w:p w:rsidR="00BB1877" w:rsidRPr="00BB5825" w:rsidRDefault="00E72CF9" w:rsidP="004828B5">
            <w:pPr>
              <w:spacing w:after="0" w:line="276" w:lineRule="auto"/>
              <w:jc w:val="center"/>
              <w:rPr>
                <w:rFonts w:ascii="Times" w:hAnsi="Times" w:cs="Times"/>
                <w:sz w:val="20"/>
                <w:lang w:eastAsia="fr-BE"/>
              </w:rPr>
            </w:pPr>
            <w:r w:rsidRPr="00BB5825">
              <w:rPr>
                <w:rFonts w:ascii="Times" w:hAnsi="Times" w:cs="Times"/>
                <w:sz w:val="20"/>
                <w:lang w:eastAsia="fr-BE"/>
              </w:rPr>
              <w:t>Link between capital structure and financial communication</w:t>
            </w:r>
          </w:p>
        </w:tc>
        <w:tc>
          <w:tcPr>
            <w:tcW w:w="1294" w:type="dxa"/>
            <w:shd w:val="clear" w:color="auto" w:fill="auto"/>
            <w:vAlign w:val="center"/>
          </w:tcPr>
          <w:p w:rsidR="00BB1877" w:rsidRPr="00BB5825" w:rsidRDefault="00055050"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Logistic</w:t>
            </w:r>
            <w:proofErr w:type="spellEnd"/>
            <w:r w:rsidRPr="00BB5825">
              <w:rPr>
                <w:rFonts w:ascii="Times" w:hAnsi="Times" w:cs="Times"/>
                <w:sz w:val="20"/>
                <w:lang w:val="fr-BE" w:eastAsia="fr-BE"/>
              </w:rPr>
              <w:t xml:space="preserve"> </w:t>
            </w:r>
            <w:proofErr w:type="spellStart"/>
            <w:r w:rsidRPr="00BB5825">
              <w:rPr>
                <w:rFonts w:ascii="Times" w:hAnsi="Times" w:cs="Times"/>
                <w:sz w:val="20"/>
                <w:lang w:val="fr-BE" w:eastAsia="fr-BE"/>
              </w:rPr>
              <w:t>regression</w:t>
            </w:r>
            <w:proofErr w:type="spellEnd"/>
          </w:p>
        </w:tc>
        <w:tc>
          <w:tcPr>
            <w:tcW w:w="1701"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Herfindhal</w:t>
            </w:r>
            <w:r w:rsidR="006A7A67" w:rsidRPr="00BB5825">
              <w:rPr>
                <w:rFonts w:ascii="Times" w:hAnsi="Times" w:cs="Times"/>
                <w:sz w:val="20"/>
                <w:lang w:val="fr-BE" w:eastAsia="fr-BE"/>
              </w:rPr>
              <w:t>’s</w:t>
            </w:r>
            <w:proofErr w:type="spellEnd"/>
            <w:r w:rsidR="006A7A67" w:rsidRPr="00BB5825">
              <w:rPr>
                <w:rFonts w:ascii="Times" w:hAnsi="Times" w:cs="Times"/>
                <w:sz w:val="20"/>
                <w:lang w:val="fr-BE" w:eastAsia="fr-BE"/>
              </w:rPr>
              <w:t xml:space="preserve"> index</w:t>
            </w:r>
          </w:p>
        </w:tc>
        <w:tc>
          <w:tcPr>
            <w:tcW w:w="1650" w:type="dxa"/>
            <w:shd w:val="clear" w:color="auto" w:fill="auto"/>
            <w:vAlign w:val="center"/>
          </w:tcPr>
          <w:p w:rsidR="00BB1877" w:rsidRPr="00BB5825" w:rsidRDefault="006A7A67" w:rsidP="004828B5">
            <w:pPr>
              <w:spacing w:after="0" w:line="276" w:lineRule="auto"/>
              <w:jc w:val="center"/>
              <w:rPr>
                <w:rFonts w:ascii="Times" w:hAnsi="Times" w:cs="Times"/>
                <w:sz w:val="20"/>
                <w:lang w:eastAsia="fr-BE"/>
              </w:rPr>
            </w:pPr>
            <w:r w:rsidRPr="00BB5825">
              <w:rPr>
                <w:rFonts w:ascii="Times" w:hAnsi="Times" w:cs="Times"/>
                <w:sz w:val="20"/>
                <w:lang w:eastAsia="fr-BE"/>
              </w:rPr>
              <w:t>Nominated for best annual report award</w:t>
            </w:r>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Negative</w:t>
            </w:r>
            <w:proofErr w:type="spellEnd"/>
          </w:p>
        </w:tc>
      </w:tr>
      <w:tr w:rsidR="00BB5825" w:rsidRPr="00BB5825" w:rsidTr="00AC22C0">
        <w:trPr>
          <w:trHeight w:hRule="exact" w:val="1576"/>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val="fr-BE" w:eastAsia="fr-BE"/>
              </w:rPr>
            </w:pPr>
            <w:proofErr w:type="spellStart"/>
            <w:r w:rsidRPr="00BB5825">
              <w:rPr>
                <w:rFonts w:ascii="Times" w:hAnsi="Times" w:cs="Times"/>
                <w:bCs/>
                <w:sz w:val="20"/>
                <w:lang w:val="fr-BE" w:eastAsia="fr-BE"/>
              </w:rPr>
              <w:t>Abdelsalam</w:t>
            </w:r>
            <w:proofErr w:type="spellEnd"/>
            <w:r w:rsidRPr="00BB5825">
              <w:rPr>
                <w:rFonts w:ascii="Times" w:hAnsi="Times" w:cs="Times"/>
                <w:bCs/>
                <w:sz w:val="20"/>
                <w:lang w:val="fr-BE" w:eastAsia="fr-BE"/>
              </w:rPr>
              <w:t>, Bryant &amp; Street (2007)</w:t>
            </w:r>
          </w:p>
        </w:tc>
        <w:tc>
          <w:tcPr>
            <w:tcW w:w="1005"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120 </w:t>
            </w:r>
            <w:r w:rsidR="00055050" w:rsidRPr="00BB5825">
              <w:rPr>
                <w:rFonts w:ascii="Times" w:hAnsi="Times" w:cs="Times"/>
                <w:sz w:val="20"/>
                <w:lang w:eastAsia="fr-BE"/>
              </w:rPr>
              <w:t xml:space="preserve">firms quoted on the </w:t>
            </w:r>
            <w:r w:rsidRPr="00BB5825">
              <w:rPr>
                <w:rFonts w:ascii="Times" w:hAnsi="Times" w:cs="Times"/>
                <w:sz w:val="20"/>
                <w:lang w:eastAsia="fr-BE"/>
              </w:rPr>
              <w:t>London Stock Exchange</w:t>
            </w:r>
          </w:p>
        </w:tc>
        <w:tc>
          <w:tcPr>
            <w:tcW w:w="1605" w:type="dxa"/>
            <w:shd w:val="clear" w:color="auto" w:fill="auto"/>
            <w:vAlign w:val="center"/>
          </w:tcPr>
          <w:p w:rsidR="00BB1877" w:rsidRPr="00BB5825" w:rsidRDefault="00E72CF9" w:rsidP="004828B5">
            <w:pPr>
              <w:spacing w:after="0" w:line="276" w:lineRule="auto"/>
              <w:jc w:val="center"/>
              <w:rPr>
                <w:rFonts w:ascii="Times" w:hAnsi="Times" w:cs="Times"/>
                <w:sz w:val="20"/>
                <w:lang w:eastAsia="fr-BE"/>
              </w:rPr>
            </w:pPr>
            <w:r w:rsidRPr="00BB5825">
              <w:rPr>
                <w:rFonts w:ascii="Times" w:hAnsi="Times" w:cs="Times"/>
                <w:sz w:val="20"/>
                <w:lang w:eastAsia="fr-BE"/>
              </w:rPr>
              <w:t>Determiners of internet financial communication</w:t>
            </w:r>
          </w:p>
        </w:tc>
        <w:tc>
          <w:tcPr>
            <w:tcW w:w="1294" w:type="dxa"/>
            <w:shd w:val="clear" w:color="auto" w:fill="auto"/>
            <w:vAlign w:val="center"/>
          </w:tcPr>
          <w:p w:rsidR="00BB1877" w:rsidRPr="00BB5825" w:rsidRDefault="00055050"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OLS </w:t>
            </w:r>
            <w:proofErr w:type="spellStart"/>
            <w:r w:rsidRPr="00BB5825">
              <w:rPr>
                <w:rFonts w:ascii="Times" w:hAnsi="Times" w:cs="Times"/>
                <w:sz w:val="20"/>
                <w:lang w:val="fr-BE" w:eastAsia="fr-BE"/>
              </w:rPr>
              <w:t>regression</w:t>
            </w:r>
            <w:proofErr w:type="spellEnd"/>
          </w:p>
        </w:tc>
        <w:tc>
          <w:tcPr>
            <w:tcW w:w="1701" w:type="dxa"/>
            <w:shd w:val="clear" w:color="auto" w:fill="auto"/>
            <w:noWrap/>
            <w:vAlign w:val="center"/>
          </w:tcPr>
          <w:p w:rsidR="006A7A67" w:rsidRPr="00BB5825" w:rsidRDefault="006A7A67" w:rsidP="004828B5">
            <w:pPr>
              <w:spacing w:after="0" w:line="276" w:lineRule="auto"/>
              <w:jc w:val="center"/>
              <w:rPr>
                <w:rFonts w:ascii="Times" w:hAnsi="Times" w:cs="Times"/>
                <w:sz w:val="20"/>
                <w:lang w:eastAsia="fr-BE"/>
              </w:rPr>
            </w:pPr>
            <w:r w:rsidRPr="00BB5825">
              <w:rPr>
                <w:rFonts w:ascii="Times" w:hAnsi="Times" w:cs="Times"/>
                <w:sz w:val="20"/>
                <w:lang w:eastAsia="fr-BE"/>
              </w:rPr>
              <w:t>Amount of share held by majority shareholders</w:t>
            </w:r>
          </w:p>
          <w:p w:rsidR="00BB1877" w:rsidRPr="00BB5825" w:rsidRDefault="006A7A6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 (</w:t>
            </w:r>
            <w:proofErr w:type="gramStart"/>
            <w:r w:rsidRPr="00BB5825">
              <w:rPr>
                <w:rFonts w:ascii="Times" w:hAnsi="Times" w:cs="Times"/>
                <w:sz w:val="20"/>
                <w:lang w:eastAsia="fr-BE"/>
              </w:rPr>
              <w:t>min</w:t>
            </w:r>
            <w:proofErr w:type="gramEnd"/>
            <w:r w:rsidRPr="00BB5825">
              <w:rPr>
                <w:rFonts w:ascii="Times" w:hAnsi="Times" w:cs="Times"/>
                <w:sz w:val="20"/>
                <w:lang w:eastAsia="fr-BE"/>
              </w:rPr>
              <w:t xml:space="preserve"> 3%).</w:t>
            </w:r>
          </w:p>
        </w:tc>
        <w:tc>
          <w:tcPr>
            <w:tcW w:w="1650" w:type="dxa"/>
            <w:shd w:val="clear" w:color="auto" w:fill="auto"/>
            <w:vAlign w:val="center"/>
          </w:tcPr>
          <w:p w:rsidR="00BB1877" w:rsidRPr="00BB5825" w:rsidRDefault="00BB1877" w:rsidP="004828B5">
            <w:pPr>
              <w:spacing w:after="0" w:line="276" w:lineRule="auto"/>
              <w:ind w:firstLine="360"/>
              <w:rPr>
                <w:rFonts w:ascii="Times" w:hAnsi="Times" w:cs="Times"/>
                <w:sz w:val="20"/>
                <w:lang w:val="fr-BE" w:eastAsia="fr-BE"/>
              </w:rPr>
            </w:pPr>
            <w:proofErr w:type="spellStart"/>
            <w:r w:rsidRPr="00BB5825">
              <w:rPr>
                <w:rFonts w:ascii="Times" w:hAnsi="Times" w:cs="Times"/>
                <w:sz w:val="20"/>
                <w:lang w:val="fr-BE" w:eastAsia="fr-BE"/>
              </w:rPr>
              <w:t>Scoring</w:t>
            </w:r>
            <w:proofErr w:type="spellEnd"/>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Un-significative</w:t>
            </w:r>
          </w:p>
        </w:tc>
      </w:tr>
      <w:tr w:rsidR="00BB5825" w:rsidRPr="00BB5825" w:rsidTr="00AC22C0">
        <w:trPr>
          <w:trHeight w:hRule="exact" w:val="1614"/>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eastAsia="fr-BE"/>
              </w:rPr>
            </w:pPr>
            <w:proofErr w:type="spellStart"/>
            <w:r w:rsidRPr="00BB5825">
              <w:rPr>
                <w:rFonts w:ascii="Times" w:hAnsi="Times" w:cs="Times"/>
                <w:bCs/>
                <w:sz w:val="20"/>
                <w:lang w:val="fr-BE" w:eastAsia="fr-BE"/>
              </w:rPr>
              <w:t>Barredy</w:t>
            </w:r>
            <w:proofErr w:type="spellEnd"/>
            <w:r w:rsidRPr="00BB5825">
              <w:rPr>
                <w:rFonts w:ascii="Times" w:hAnsi="Times" w:cs="Times"/>
                <w:bCs/>
                <w:sz w:val="20"/>
                <w:lang w:val="fr-BE" w:eastAsia="fr-BE"/>
              </w:rPr>
              <w:t xml:space="preserve"> &amp; </w:t>
            </w:r>
            <w:proofErr w:type="spellStart"/>
            <w:r w:rsidRPr="00BB5825">
              <w:rPr>
                <w:rFonts w:ascii="Times" w:hAnsi="Times" w:cs="Times"/>
                <w:bCs/>
                <w:sz w:val="20"/>
                <w:lang w:val="fr-BE" w:eastAsia="fr-BE"/>
              </w:rPr>
              <w:t>Darras</w:t>
            </w:r>
            <w:proofErr w:type="spellEnd"/>
            <w:r w:rsidRPr="00BB5825">
              <w:rPr>
                <w:rFonts w:ascii="Times" w:hAnsi="Times" w:cs="Times"/>
                <w:bCs/>
                <w:sz w:val="20"/>
                <w:lang w:val="fr-BE" w:eastAsia="fr-BE"/>
              </w:rPr>
              <w:t>, (2008)</w:t>
            </w:r>
          </w:p>
        </w:tc>
        <w:tc>
          <w:tcPr>
            <w:tcW w:w="1005"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203 </w:t>
            </w:r>
            <w:r w:rsidR="00055050" w:rsidRPr="00BB5825">
              <w:rPr>
                <w:rFonts w:ascii="Times" w:hAnsi="Times" w:cs="Times"/>
                <w:sz w:val="20"/>
                <w:lang w:eastAsia="fr-BE"/>
              </w:rPr>
              <w:t>family firms</w:t>
            </w:r>
          </w:p>
        </w:tc>
        <w:tc>
          <w:tcPr>
            <w:tcW w:w="1605" w:type="dxa"/>
            <w:shd w:val="clear" w:color="auto" w:fill="auto"/>
            <w:vAlign w:val="center"/>
          </w:tcPr>
          <w:p w:rsidR="00BB1877" w:rsidRPr="00BB5825" w:rsidRDefault="00E72CF9" w:rsidP="004828B5">
            <w:pPr>
              <w:spacing w:after="0" w:line="276" w:lineRule="auto"/>
              <w:jc w:val="center"/>
              <w:rPr>
                <w:rFonts w:ascii="Times" w:hAnsi="Times" w:cs="Times"/>
                <w:sz w:val="20"/>
                <w:lang w:eastAsia="fr-BE"/>
              </w:rPr>
            </w:pPr>
            <w:r w:rsidRPr="00BB5825">
              <w:rPr>
                <w:rFonts w:ascii="Times" w:hAnsi="Times" w:cs="Times"/>
                <w:sz w:val="20"/>
                <w:lang w:eastAsia="fr-BE"/>
              </w:rPr>
              <w:t>Link between capital concentration and internet financial communication</w:t>
            </w:r>
          </w:p>
        </w:tc>
        <w:tc>
          <w:tcPr>
            <w:tcW w:w="1294" w:type="dxa"/>
            <w:shd w:val="clear" w:color="auto" w:fill="auto"/>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AFC </w:t>
            </w:r>
            <w:r w:rsidR="006F55FB" w:rsidRPr="00BB5825">
              <w:rPr>
                <w:rFonts w:ascii="Times" w:hAnsi="Times" w:cs="Times"/>
                <w:sz w:val="20"/>
                <w:lang w:eastAsia="fr-BE"/>
              </w:rPr>
              <w:t xml:space="preserve">and </w:t>
            </w:r>
            <w:r w:rsidRPr="00BB5825">
              <w:rPr>
                <w:rFonts w:ascii="Times" w:hAnsi="Times" w:cs="Times"/>
                <w:sz w:val="20"/>
                <w:lang w:eastAsia="fr-BE"/>
              </w:rPr>
              <w:t>non</w:t>
            </w:r>
            <w:r w:rsidR="006F55FB" w:rsidRPr="00BB5825">
              <w:rPr>
                <w:rFonts w:ascii="Times" w:hAnsi="Times" w:cs="Times"/>
                <w:sz w:val="20"/>
                <w:lang w:eastAsia="fr-BE"/>
              </w:rPr>
              <w:t>-parametric test</w:t>
            </w:r>
          </w:p>
        </w:tc>
        <w:tc>
          <w:tcPr>
            <w:tcW w:w="1701"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Min 50% </w:t>
            </w:r>
            <w:r w:rsidR="006A7A67" w:rsidRPr="00BB5825">
              <w:rPr>
                <w:rFonts w:ascii="Times" w:hAnsi="Times" w:cs="Times"/>
                <w:sz w:val="20"/>
                <w:lang w:eastAsia="fr-BE"/>
              </w:rPr>
              <w:t>held by a family</w:t>
            </w:r>
          </w:p>
        </w:tc>
        <w:tc>
          <w:tcPr>
            <w:tcW w:w="1650" w:type="dxa"/>
            <w:shd w:val="clear" w:color="auto" w:fill="auto"/>
            <w:vAlign w:val="center"/>
          </w:tcPr>
          <w:p w:rsidR="00BB1877" w:rsidRPr="00BB5825" w:rsidRDefault="00BB1877" w:rsidP="004828B5">
            <w:pPr>
              <w:spacing w:after="0" w:line="276" w:lineRule="auto"/>
              <w:ind w:firstLine="360"/>
              <w:rPr>
                <w:rFonts w:ascii="Times" w:hAnsi="Times" w:cs="Times"/>
                <w:sz w:val="20"/>
                <w:lang w:val="fr-BE" w:eastAsia="fr-BE"/>
              </w:rPr>
            </w:pPr>
            <w:proofErr w:type="spellStart"/>
            <w:r w:rsidRPr="00BB5825">
              <w:rPr>
                <w:rFonts w:ascii="Times" w:hAnsi="Times" w:cs="Times"/>
                <w:sz w:val="20"/>
                <w:lang w:val="fr-BE" w:eastAsia="fr-BE"/>
              </w:rPr>
              <w:t>Scoring</w:t>
            </w:r>
            <w:proofErr w:type="spellEnd"/>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Negative</w:t>
            </w:r>
            <w:proofErr w:type="spellEnd"/>
          </w:p>
        </w:tc>
      </w:tr>
      <w:tr w:rsidR="00BB5825" w:rsidRPr="00BB5825" w:rsidTr="00AC22C0">
        <w:trPr>
          <w:trHeight w:hRule="exact" w:val="1352"/>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eastAsia="fr-BE"/>
              </w:rPr>
            </w:pPr>
            <w:proofErr w:type="spellStart"/>
            <w:r w:rsidRPr="00BB5825">
              <w:rPr>
                <w:rFonts w:ascii="Times" w:hAnsi="Times" w:cs="Times"/>
                <w:bCs/>
                <w:sz w:val="20"/>
                <w:lang w:val="fr-BE" w:eastAsia="fr-BE"/>
              </w:rPr>
              <w:t>Almilia</w:t>
            </w:r>
            <w:proofErr w:type="spellEnd"/>
            <w:r w:rsidRPr="00BB5825">
              <w:rPr>
                <w:rFonts w:ascii="Times" w:hAnsi="Times" w:cs="Times"/>
                <w:bCs/>
                <w:sz w:val="20"/>
                <w:lang w:val="fr-BE" w:eastAsia="fr-BE"/>
              </w:rPr>
              <w:t xml:space="preserve"> (2009a)</w:t>
            </w:r>
          </w:p>
        </w:tc>
        <w:tc>
          <w:tcPr>
            <w:tcW w:w="1005"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303</w:t>
            </w:r>
            <w:r w:rsidR="00055050" w:rsidRPr="00BB5825">
              <w:rPr>
                <w:rFonts w:ascii="Times" w:hAnsi="Times" w:cs="Times"/>
                <w:sz w:val="20"/>
                <w:lang w:eastAsia="fr-BE"/>
              </w:rPr>
              <w:t xml:space="preserve">firms quoted on the </w:t>
            </w:r>
            <w:r w:rsidRPr="00BB5825">
              <w:rPr>
                <w:rFonts w:ascii="Times" w:hAnsi="Times" w:cs="Times"/>
                <w:sz w:val="20"/>
                <w:lang w:eastAsia="fr-BE"/>
              </w:rPr>
              <w:t>Indonesia stock exchange</w:t>
            </w:r>
          </w:p>
        </w:tc>
        <w:tc>
          <w:tcPr>
            <w:tcW w:w="1605" w:type="dxa"/>
            <w:shd w:val="clear" w:color="auto" w:fill="auto"/>
            <w:vAlign w:val="center"/>
          </w:tcPr>
          <w:p w:rsidR="00BB1877" w:rsidRPr="00BB5825" w:rsidRDefault="00E72CF9" w:rsidP="004828B5">
            <w:pPr>
              <w:spacing w:after="0" w:line="276" w:lineRule="auto"/>
              <w:jc w:val="center"/>
              <w:rPr>
                <w:rFonts w:ascii="Times" w:hAnsi="Times" w:cs="Times"/>
                <w:sz w:val="20"/>
                <w:lang w:eastAsia="fr-BE"/>
              </w:rPr>
            </w:pPr>
            <w:r w:rsidRPr="00BB5825">
              <w:rPr>
                <w:rFonts w:ascii="Times" w:hAnsi="Times" w:cs="Times"/>
                <w:sz w:val="20"/>
                <w:lang w:eastAsia="fr-BE"/>
              </w:rPr>
              <w:t>Determiners of internet financial communication</w:t>
            </w:r>
          </w:p>
        </w:tc>
        <w:tc>
          <w:tcPr>
            <w:tcW w:w="1294" w:type="dxa"/>
            <w:shd w:val="clear" w:color="auto" w:fill="auto"/>
            <w:vAlign w:val="center"/>
          </w:tcPr>
          <w:p w:rsidR="00BB1877" w:rsidRPr="00BB5825" w:rsidRDefault="00055050" w:rsidP="004828B5">
            <w:pPr>
              <w:spacing w:after="0" w:line="276" w:lineRule="auto"/>
              <w:jc w:val="center"/>
              <w:rPr>
                <w:rFonts w:ascii="Times" w:hAnsi="Times" w:cs="Times"/>
                <w:sz w:val="20"/>
                <w:lang w:eastAsia="fr-BE"/>
              </w:rPr>
            </w:pPr>
            <w:proofErr w:type="spellStart"/>
            <w:r w:rsidRPr="00BB5825">
              <w:rPr>
                <w:rFonts w:ascii="Times" w:hAnsi="Times" w:cs="Times"/>
                <w:sz w:val="20"/>
                <w:lang w:val="fr-BE" w:eastAsia="fr-BE"/>
              </w:rPr>
              <w:t>Logistic</w:t>
            </w:r>
            <w:proofErr w:type="spellEnd"/>
            <w:r w:rsidRPr="00BB5825">
              <w:rPr>
                <w:rFonts w:ascii="Times" w:hAnsi="Times" w:cs="Times"/>
                <w:sz w:val="20"/>
                <w:lang w:val="fr-BE" w:eastAsia="fr-BE"/>
              </w:rPr>
              <w:t xml:space="preserve"> </w:t>
            </w:r>
            <w:proofErr w:type="spellStart"/>
            <w:r w:rsidRPr="00BB5825">
              <w:rPr>
                <w:rFonts w:ascii="Times" w:hAnsi="Times" w:cs="Times"/>
                <w:sz w:val="20"/>
                <w:lang w:val="fr-BE" w:eastAsia="fr-BE"/>
              </w:rPr>
              <w:t>regression</w:t>
            </w:r>
            <w:proofErr w:type="spellEnd"/>
          </w:p>
        </w:tc>
        <w:tc>
          <w:tcPr>
            <w:tcW w:w="1701" w:type="dxa"/>
            <w:shd w:val="clear" w:color="auto" w:fill="auto"/>
            <w:noWrap/>
            <w:vAlign w:val="center"/>
          </w:tcPr>
          <w:p w:rsidR="00BB1877" w:rsidRPr="00BB5825" w:rsidRDefault="006A7A67" w:rsidP="004828B5">
            <w:pPr>
              <w:spacing w:after="0" w:line="276" w:lineRule="auto"/>
              <w:jc w:val="center"/>
              <w:rPr>
                <w:rFonts w:ascii="Times" w:hAnsi="Times" w:cs="Times"/>
                <w:sz w:val="20"/>
                <w:lang w:eastAsia="fr-BE"/>
              </w:rPr>
            </w:pPr>
            <w:r w:rsidRPr="00BB5825">
              <w:rPr>
                <w:rFonts w:ascii="Times" w:hAnsi="Times" w:cs="Times"/>
                <w:sz w:val="20"/>
                <w:lang w:eastAsia="fr-BE"/>
              </w:rPr>
              <w:t>Amount of share held by majority shareholders</w:t>
            </w:r>
          </w:p>
        </w:tc>
        <w:tc>
          <w:tcPr>
            <w:tcW w:w="1650" w:type="dxa"/>
            <w:shd w:val="clear" w:color="auto" w:fill="auto"/>
            <w:vAlign w:val="center"/>
          </w:tcPr>
          <w:p w:rsidR="00BB1877" w:rsidRPr="00BB5825" w:rsidRDefault="00BB1877" w:rsidP="004828B5">
            <w:pPr>
              <w:spacing w:after="0" w:line="276" w:lineRule="auto"/>
              <w:ind w:firstLine="360"/>
              <w:rPr>
                <w:rFonts w:ascii="Times" w:hAnsi="Times" w:cs="Times"/>
                <w:sz w:val="20"/>
                <w:lang w:eastAsia="fr-BE"/>
              </w:rPr>
            </w:pPr>
            <w:proofErr w:type="spellStart"/>
            <w:r w:rsidRPr="00BB5825">
              <w:rPr>
                <w:rFonts w:ascii="Times" w:hAnsi="Times" w:cs="Times"/>
                <w:sz w:val="20"/>
                <w:lang w:val="fr-BE" w:eastAsia="fr-BE"/>
              </w:rPr>
              <w:t>Scoring</w:t>
            </w:r>
            <w:proofErr w:type="spellEnd"/>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Positive</w:t>
            </w:r>
          </w:p>
        </w:tc>
      </w:tr>
      <w:tr w:rsidR="00BB5825" w:rsidRPr="00BB5825" w:rsidTr="00AC22C0">
        <w:trPr>
          <w:trHeight w:hRule="exact" w:val="1854"/>
          <w:jc w:val="center"/>
        </w:trPr>
        <w:tc>
          <w:tcPr>
            <w:tcW w:w="1222" w:type="dxa"/>
            <w:shd w:val="clear" w:color="auto" w:fill="auto"/>
            <w:noWrap/>
            <w:vAlign w:val="center"/>
          </w:tcPr>
          <w:p w:rsidR="00BB1877" w:rsidRPr="00BB5825" w:rsidRDefault="00BB1877" w:rsidP="004828B5">
            <w:pPr>
              <w:spacing w:after="0" w:line="276" w:lineRule="auto"/>
              <w:jc w:val="center"/>
              <w:rPr>
                <w:rFonts w:ascii="Times" w:hAnsi="Times" w:cs="Times"/>
                <w:b/>
                <w:bCs/>
                <w:sz w:val="20"/>
                <w:lang w:val="fr-BE" w:eastAsia="fr-BE"/>
              </w:rPr>
            </w:pPr>
            <w:r w:rsidRPr="00BB5825">
              <w:rPr>
                <w:rFonts w:ascii="Times" w:hAnsi="Times" w:cs="Times"/>
                <w:bCs/>
                <w:sz w:val="20"/>
                <w:lang w:val="fr-BE" w:eastAsia="fr-BE"/>
              </w:rPr>
              <w:t xml:space="preserve">Ben </w:t>
            </w:r>
            <w:proofErr w:type="spellStart"/>
            <w:r w:rsidRPr="00BB5825">
              <w:rPr>
                <w:rFonts w:ascii="Times" w:hAnsi="Times" w:cs="Times"/>
                <w:bCs/>
                <w:sz w:val="20"/>
                <w:lang w:val="fr-BE" w:eastAsia="fr-BE"/>
              </w:rPr>
              <w:t>Ayed</w:t>
            </w:r>
            <w:proofErr w:type="spellEnd"/>
            <w:r w:rsidRPr="00BB5825">
              <w:rPr>
                <w:rFonts w:ascii="Times" w:hAnsi="Times" w:cs="Times"/>
                <w:bCs/>
                <w:sz w:val="20"/>
                <w:lang w:val="fr-BE" w:eastAsia="fr-BE"/>
              </w:rPr>
              <w:t xml:space="preserve">- </w:t>
            </w:r>
            <w:proofErr w:type="spellStart"/>
            <w:r w:rsidRPr="00BB5825">
              <w:rPr>
                <w:rFonts w:ascii="Times" w:hAnsi="Times" w:cs="Times"/>
                <w:bCs/>
                <w:sz w:val="20"/>
                <w:lang w:val="fr-BE" w:eastAsia="fr-BE"/>
              </w:rPr>
              <w:t>Koubaa</w:t>
            </w:r>
            <w:proofErr w:type="spellEnd"/>
            <w:r w:rsidRPr="00BB5825">
              <w:rPr>
                <w:rFonts w:ascii="Times" w:hAnsi="Times" w:cs="Times"/>
                <w:bCs/>
                <w:sz w:val="20"/>
                <w:lang w:val="fr-BE" w:eastAsia="fr-BE"/>
              </w:rPr>
              <w:t xml:space="preserve"> (2011)</w:t>
            </w:r>
          </w:p>
        </w:tc>
        <w:tc>
          <w:tcPr>
            <w:tcW w:w="1005"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61 </w:t>
            </w:r>
            <w:r w:rsidR="00055050" w:rsidRPr="00BB5825">
              <w:rPr>
                <w:rFonts w:ascii="Times" w:hAnsi="Times" w:cs="Times"/>
                <w:sz w:val="20"/>
                <w:lang w:eastAsia="fr-BE"/>
              </w:rPr>
              <w:t xml:space="preserve">firms of </w:t>
            </w:r>
            <w:r w:rsidRPr="00BB5825">
              <w:rPr>
                <w:rFonts w:ascii="Times" w:hAnsi="Times" w:cs="Times"/>
                <w:sz w:val="20"/>
                <w:lang w:eastAsia="fr-BE"/>
              </w:rPr>
              <w:t xml:space="preserve">SBF120 </w:t>
            </w:r>
            <w:r w:rsidR="00055050" w:rsidRPr="00BB5825">
              <w:rPr>
                <w:rFonts w:ascii="Times" w:hAnsi="Times" w:cs="Times"/>
                <w:sz w:val="20"/>
                <w:lang w:eastAsia="fr-BE"/>
              </w:rPr>
              <w:t xml:space="preserve">studied from </w:t>
            </w:r>
            <w:r w:rsidRPr="00BB5825">
              <w:rPr>
                <w:rFonts w:ascii="Times" w:hAnsi="Times" w:cs="Times"/>
                <w:sz w:val="20"/>
                <w:lang w:eastAsia="fr-BE"/>
              </w:rPr>
              <w:t xml:space="preserve">2002 </w:t>
            </w:r>
            <w:r w:rsidR="00055050" w:rsidRPr="00BB5825">
              <w:rPr>
                <w:rFonts w:ascii="Times" w:hAnsi="Times" w:cs="Times"/>
                <w:sz w:val="20"/>
                <w:lang w:eastAsia="fr-BE"/>
              </w:rPr>
              <w:t>to</w:t>
            </w:r>
            <w:r w:rsidRPr="00BB5825">
              <w:rPr>
                <w:rFonts w:ascii="Times" w:hAnsi="Times" w:cs="Times"/>
                <w:sz w:val="20"/>
                <w:lang w:eastAsia="fr-BE"/>
              </w:rPr>
              <w:t xml:space="preserve"> 2007</w:t>
            </w:r>
          </w:p>
        </w:tc>
        <w:tc>
          <w:tcPr>
            <w:tcW w:w="1605" w:type="dxa"/>
            <w:shd w:val="clear" w:color="auto" w:fill="auto"/>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Li</w:t>
            </w:r>
            <w:r w:rsidR="00E72CF9" w:rsidRPr="00BB5825">
              <w:rPr>
                <w:rFonts w:ascii="Times" w:hAnsi="Times" w:cs="Times"/>
                <w:sz w:val="20"/>
                <w:lang w:eastAsia="fr-BE"/>
              </w:rPr>
              <w:t>nk between corporate g</w:t>
            </w:r>
            <w:r w:rsidRPr="00BB5825">
              <w:rPr>
                <w:rFonts w:ascii="Times" w:hAnsi="Times" w:cs="Times"/>
                <w:sz w:val="20"/>
                <w:lang w:eastAsia="fr-BE"/>
              </w:rPr>
              <w:t xml:space="preserve">overnance </w:t>
            </w:r>
            <w:r w:rsidR="00E72CF9" w:rsidRPr="00BB5825">
              <w:rPr>
                <w:rFonts w:ascii="Times" w:hAnsi="Times" w:cs="Times"/>
                <w:sz w:val="20"/>
                <w:lang w:eastAsia="fr-BE"/>
              </w:rPr>
              <w:t>and financial communication’s quality</w:t>
            </w:r>
          </w:p>
        </w:tc>
        <w:tc>
          <w:tcPr>
            <w:tcW w:w="1294" w:type="dxa"/>
            <w:shd w:val="clear" w:color="auto" w:fill="auto"/>
            <w:vAlign w:val="center"/>
          </w:tcPr>
          <w:p w:rsidR="00BB1877" w:rsidRPr="00BB5825" w:rsidRDefault="00055050"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 xml:space="preserve">OLS </w:t>
            </w:r>
            <w:proofErr w:type="spellStart"/>
            <w:r w:rsidRPr="00BB5825">
              <w:rPr>
                <w:rFonts w:ascii="Times" w:hAnsi="Times" w:cs="Times"/>
                <w:sz w:val="20"/>
                <w:lang w:val="fr-BE" w:eastAsia="fr-BE"/>
              </w:rPr>
              <w:t>regression</w:t>
            </w:r>
            <w:proofErr w:type="spellEnd"/>
          </w:p>
        </w:tc>
        <w:tc>
          <w:tcPr>
            <w:tcW w:w="1701" w:type="dxa"/>
            <w:shd w:val="clear" w:color="auto" w:fill="auto"/>
            <w:noWrap/>
            <w:vAlign w:val="center"/>
          </w:tcPr>
          <w:p w:rsidR="00BB1877" w:rsidRPr="00BB5825" w:rsidRDefault="00BB1877" w:rsidP="004828B5">
            <w:pPr>
              <w:spacing w:after="0" w:line="276" w:lineRule="auto"/>
              <w:jc w:val="center"/>
              <w:rPr>
                <w:rFonts w:ascii="Times" w:hAnsi="Times" w:cs="Times"/>
                <w:sz w:val="20"/>
                <w:lang w:eastAsia="fr-BE"/>
              </w:rPr>
            </w:pPr>
            <w:r w:rsidRPr="00BB5825">
              <w:rPr>
                <w:rFonts w:ascii="Times" w:hAnsi="Times" w:cs="Times"/>
                <w:sz w:val="20"/>
                <w:lang w:eastAsia="fr-BE"/>
              </w:rPr>
              <w:t xml:space="preserve">Existence </w:t>
            </w:r>
            <w:r w:rsidR="006A7A67" w:rsidRPr="00BB5825">
              <w:rPr>
                <w:rFonts w:ascii="Times" w:hAnsi="Times" w:cs="Times"/>
                <w:sz w:val="20"/>
                <w:lang w:eastAsia="fr-BE"/>
              </w:rPr>
              <w:t>of a company control or not</w:t>
            </w:r>
          </w:p>
        </w:tc>
        <w:tc>
          <w:tcPr>
            <w:tcW w:w="1650" w:type="dxa"/>
            <w:shd w:val="clear" w:color="auto" w:fill="auto"/>
            <w:vAlign w:val="center"/>
          </w:tcPr>
          <w:p w:rsidR="00BB1877" w:rsidRPr="00BB5825" w:rsidRDefault="006A7A67" w:rsidP="004828B5">
            <w:pPr>
              <w:spacing w:after="0" w:line="276" w:lineRule="auto"/>
              <w:jc w:val="center"/>
              <w:rPr>
                <w:rFonts w:ascii="Times" w:hAnsi="Times" w:cs="Times"/>
                <w:sz w:val="20"/>
                <w:lang w:val="fr-BE" w:eastAsia="fr-BE"/>
              </w:rPr>
            </w:pPr>
            <w:proofErr w:type="spellStart"/>
            <w:r w:rsidRPr="00BB5825">
              <w:rPr>
                <w:rFonts w:ascii="Times" w:hAnsi="Times" w:cs="Times"/>
                <w:sz w:val="20"/>
                <w:lang w:val="fr-BE" w:eastAsia="fr-BE"/>
              </w:rPr>
              <w:t>Mistake</w:t>
            </w:r>
            <w:proofErr w:type="spellEnd"/>
            <w:r w:rsidRPr="00BB5825">
              <w:rPr>
                <w:rFonts w:ascii="Times" w:hAnsi="Times" w:cs="Times"/>
                <w:sz w:val="20"/>
                <w:lang w:val="fr-BE" w:eastAsia="fr-BE"/>
              </w:rPr>
              <w:t xml:space="preserve"> of </w:t>
            </w:r>
            <w:proofErr w:type="spellStart"/>
            <w:r w:rsidRPr="00BB5825">
              <w:rPr>
                <w:rFonts w:ascii="Times" w:hAnsi="Times" w:cs="Times"/>
                <w:sz w:val="20"/>
                <w:lang w:val="fr-BE" w:eastAsia="fr-BE"/>
              </w:rPr>
              <w:t>financial</w:t>
            </w:r>
            <w:proofErr w:type="spellEnd"/>
            <w:r w:rsidRPr="00BB5825">
              <w:rPr>
                <w:rFonts w:ascii="Times" w:hAnsi="Times" w:cs="Times"/>
                <w:sz w:val="20"/>
                <w:lang w:val="fr-BE" w:eastAsia="fr-BE"/>
              </w:rPr>
              <w:t xml:space="preserve"> </w:t>
            </w:r>
            <w:proofErr w:type="spellStart"/>
            <w:r w:rsidRPr="00BB5825">
              <w:rPr>
                <w:rFonts w:ascii="Times" w:hAnsi="Times" w:cs="Times"/>
                <w:sz w:val="20"/>
                <w:lang w:val="fr-BE" w:eastAsia="fr-BE"/>
              </w:rPr>
              <w:t>analysts’forecast</w:t>
            </w:r>
            <w:proofErr w:type="spellEnd"/>
          </w:p>
        </w:tc>
        <w:tc>
          <w:tcPr>
            <w:tcW w:w="946" w:type="dxa"/>
            <w:shd w:val="clear" w:color="auto" w:fill="auto"/>
            <w:noWrap/>
            <w:vAlign w:val="center"/>
          </w:tcPr>
          <w:p w:rsidR="00BB1877" w:rsidRPr="00BB5825" w:rsidRDefault="00BB1877" w:rsidP="004828B5">
            <w:pPr>
              <w:spacing w:after="0" w:line="276" w:lineRule="auto"/>
              <w:jc w:val="center"/>
              <w:rPr>
                <w:rFonts w:ascii="Times" w:hAnsi="Times" w:cs="Times"/>
                <w:sz w:val="20"/>
                <w:lang w:val="fr-BE" w:eastAsia="fr-BE"/>
              </w:rPr>
            </w:pPr>
            <w:r w:rsidRPr="00BB5825">
              <w:rPr>
                <w:rFonts w:ascii="Times" w:hAnsi="Times" w:cs="Times"/>
                <w:sz w:val="20"/>
                <w:lang w:val="fr-BE" w:eastAsia="fr-BE"/>
              </w:rPr>
              <w:t>Positive</w:t>
            </w:r>
          </w:p>
        </w:tc>
      </w:tr>
    </w:tbl>
    <w:p w:rsidR="00BB1877" w:rsidRPr="00BB5825" w:rsidRDefault="00BB1877" w:rsidP="004828B5">
      <w:pPr>
        <w:autoSpaceDE w:val="0"/>
        <w:autoSpaceDN w:val="0"/>
        <w:adjustRightInd w:val="0"/>
        <w:snapToGrid w:val="0"/>
        <w:spacing w:after="0" w:line="276" w:lineRule="auto"/>
        <w:rPr>
          <w:rFonts w:ascii="Times" w:hAnsi="Times" w:cs="Times"/>
        </w:rPr>
      </w:pPr>
    </w:p>
    <w:p w:rsidR="002C58B0" w:rsidRPr="00BB5825" w:rsidRDefault="00F87C46" w:rsidP="004828B5">
      <w:pPr>
        <w:autoSpaceDE w:val="0"/>
        <w:autoSpaceDN w:val="0"/>
        <w:adjustRightInd w:val="0"/>
        <w:snapToGrid w:val="0"/>
        <w:spacing w:after="0" w:line="276" w:lineRule="auto"/>
        <w:rPr>
          <w:rFonts w:ascii="Times" w:hAnsi="Times" w:cs="Times"/>
        </w:rPr>
      </w:pPr>
      <w:r w:rsidRPr="00BB5825">
        <w:rPr>
          <w:rFonts w:ascii="Times" w:hAnsi="Times" w:cs="Times"/>
        </w:rPr>
        <w:t xml:space="preserve">However, the argument according to which the </w:t>
      </w:r>
      <w:r w:rsidR="002C58B0" w:rsidRPr="00BB5825">
        <w:rPr>
          <w:rFonts w:ascii="Times" w:hAnsi="Times" w:cs="Times"/>
        </w:rPr>
        <w:t xml:space="preserve">capital </w:t>
      </w:r>
      <w:r w:rsidRPr="00BB5825">
        <w:rPr>
          <w:rFonts w:ascii="Times" w:hAnsi="Times" w:cs="Times"/>
        </w:rPr>
        <w:t xml:space="preserve">concentration would have a negative impact on the quality of the revealed financial information seems rather restrictive given the various </w:t>
      </w:r>
      <w:proofErr w:type="gramStart"/>
      <w:r w:rsidRPr="00BB5825">
        <w:rPr>
          <w:rFonts w:ascii="Times" w:hAnsi="Times" w:cs="Times"/>
        </w:rPr>
        <w:t>types</w:t>
      </w:r>
      <w:proofErr w:type="gramEnd"/>
      <w:r w:rsidR="002C58B0" w:rsidRPr="00BB5825">
        <w:rPr>
          <w:rFonts w:ascii="Times" w:hAnsi="Times" w:cs="Times"/>
        </w:rPr>
        <w:t xml:space="preserve"> capital </w:t>
      </w:r>
      <w:r w:rsidRPr="00BB5825">
        <w:rPr>
          <w:rFonts w:ascii="Times" w:hAnsi="Times" w:cs="Times"/>
        </w:rPr>
        <w:t>concentration and their links with the control of the company. In a context of concentrated property, the conflicts of agency are especially situated between the shareholders of control and the minority shareholders</w:t>
      </w:r>
      <w:r w:rsidR="002C58B0" w:rsidRPr="00BB5825">
        <w:rPr>
          <w:rFonts w:ascii="Times" w:hAnsi="Times" w:cs="Times"/>
        </w:rPr>
        <w:t xml:space="preserve"> (La </w:t>
      </w:r>
      <w:proofErr w:type="spellStart"/>
      <w:r w:rsidR="002C58B0" w:rsidRPr="00BB5825">
        <w:rPr>
          <w:rFonts w:ascii="Times" w:hAnsi="Times" w:cs="Times"/>
        </w:rPr>
        <w:t>Porta</w:t>
      </w:r>
      <w:proofErr w:type="spellEnd"/>
      <w:r w:rsidR="002C58B0" w:rsidRPr="00BB5825">
        <w:rPr>
          <w:rFonts w:ascii="Times" w:hAnsi="Times" w:cs="Times"/>
        </w:rPr>
        <w:t xml:space="preserve">, Lopez de </w:t>
      </w:r>
      <w:proofErr w:type="spellStart"/>
      <w:r w:rsidR="002C58B0" w:rsidRPr="00BB5825">
        <w:rPr>
          <w:rFonts w:ascii="Times" w:hAnsi="Times" w:cs="Times"/>
        </w:rPr>
        <w:t>Silanes</w:t>
      </w:r>
      <w:proofErr w:type="spellEnd"/>
      <w:r w:rsidR="002C58B0" w:rsidRPr="00BB5825">
        <w:rPr>
          <w:rFonts w:ascii="Times" w:hAnsi="Times" w:cs="Times"/>
        </w:rPr>
        <w:t xml:space="preserve">, </w:t>
      </w:r>
      <w:proofErr w:type="spellStart"/>
      <w:r w:rsidR="002C58B0" w:rsidRPr="00BB5825">
        <w:rPr>
          <w:rFonts w:ascii="Times" w:hAnsi="Times" w:cs="Times"/>
        </w:rPr>
        <w:t>Shleifer</w:t>
      </w:r>
      <w:proofErr w:type="spellEnd"/>
      <w:r w:rsidR="002C58B0" w:rsidRPr="00BB5825">
        <w:rPr>
          <w:rFonts w:ascii="Times" w:hAnsi="Times" w:cs="Times"/>
        </w:rPr>
        <w:t xml:space="preserve"> &amp; </w:t>
      </w:r>
      <w:proofErr w:type="spellStart"/>
      <w:r w:rsidR="002C58B0" w:rsidRPr="00BB5825">
        <w:rPr>
          <w:rFonts w:ascii="Times" w:hAnsi="Times" w:cs="Times"/>
        </w:rPr>
        <w:t>Vishny</w:t>
      </w:r>
      <w:proofErr w:type="spellEnd"/>
      <w:r w:rsidR="002C58B0" w:rsidRPr="00BB5825">
        <w:rPr>
          <w:rFonts w:ascii="Times" w:hAnsi="Times" w:cs="Times"/>
        </w:rPr>
        <w:t>, 1998).The control shareholders can effectively be tempted to appropriate "</w:t>
      </w:r>
      <w:r w:rsidR="002C58B0" w:rsidRPr="00BB5825">
        <w:rPr>
          <w:rFonts w:ascii="Times" w:hAnsi="Times" w:cs="Times"/>
          <w:i/>
        </w:rPr>
        <w:t>private profits besides the public profits</w:t>
      </w:r>
      <w:r w:rsidR="002C58B0" w:rsidRPr="00BB5825">
        <w:rPr>
          <w:rFonts w:ascii="Times" w:hAnsi="Times" w:cs="Times"/>
        </w:rPr>
        <w:t>" (</w:t>
      </w:r>
      <w:proofErr w:type="spellStart"/>
      <w:r w:rsidR="002C58B0" w:rsidRPr="00BB5825">
        <w:rPr>
          <w:rFonts w:ascii="Times" w:hAnsi="Times" w:cs="Times"/>
        </w:rPr>
        <w:t>Ledentu</w:t>
      </w:r>
      <w:proofErr w:type="spellEnd"/>
      <w:r w:rsidR="002C58B0" w:rsidRPr="00BB5825">
        <w:rPr>
          <w:rFonts w:ascii="Times" w:hAnsi="Times" w:cs="Times"/>
        </w:rPr>
        <w:t xml:space="preserve">, 2008: 27) and / or to maintain narrow relations with the manager (Denis &amp; </w:t>
      </w:r>
      <w:proofErr w:type="spellStart"/>
      <w:r w:rsidR="002C58B0" w:rsidRPr="00BB5825">
        <w:rPr>
          <w:rFonts w:ascii="Times" w:hAnsi="Times" w:cs="Times"/>
        </w:rPr>
        <w:t>McConell</w:t>
      </w:r>
      <w:proofErr w:type="spellEnd"/>
      <w:r w:rsidR="002C58B0" w:rsidRPr="00BB5825">
        <w:rPr>
          <w:rFonts w:ascii="Times" w:hAnsi="Times" w:cs="Times"/>
        </w:rPr>
        <w:t>, 2003).</w:t>
      </w:r>
      <w:r w:rsidR="00111A80" w:rsidRPr="00BB5825">
        <w:rPr>
          <w:rFonts w:ascii="Times" w:hAnsi="Times" w:cs="Times"/>
        </w:rPr>
        <w:t xml:space="preserve"> </w:t>
      </w:r>
      <w:r w:rsidR="002C58B0" w:rsidRPr="00BB5825">
        <w:rPr>
          <w:rFonts w:ascii="Times" w:hAnsi="Times" w:cs="Times"/>
        </w:rPr>
        <w:t>Accordingly, the level of financial transparency of companies with concentrated shareholding can strongly vary according to the level of informative asymmetry between majority shareholders and minority shareholders.</w:t>
      </w:r>
    </w:p>
    <w:p w:rsidR="00111A80" w:rsidRPr="00BB5825" w:rsidRDefault="00111A80" w:rsidP="004828B5">
      <w:pPr>
        <w:autoSpaceDE w:val="0"/>
        <w:autoSpaceDN w:val="0"/>
        <w:adjustRightInd w:val="0"/>
        <w:snapToGrid w:val="0"/>
        <w:spacing w:after="0" w:line="276" w:lineRule="auto"/>
        <w:rPr>
          <w:rFonts w:ascii="Times" w:hAnsi="Times" w:cs="Times"/>
        </w:rPr>
      </w:pPr>
    </w:p>
    <w:p w:rsidR="002C58B0" w:rsidRPr="00BB5825" w:rsidRDefault="002C58B0" w:rsidP="004828B5">
      <w:pPr>
        <w:autoSpaceDE w:val="0"/>
        <w:autoSpaceDN w:val="0"/>
        <w:adjustRightInd w:val="0"/>
        <w:snapToGrid w:val="0"/>
        <w:spacing w:after="0" w:line="276" w:lineRule="auto"/>
        <w:rPr>
          <w:rFonts w:ascii="Times" w:hAnsi="Times" w:cs="Times"/>
        </w:rPr>
      </w:pPr>
      <w:r w:rsidRPr="00BB5825">
        <w:rPr>
          <w:rFonts w:ascii="Times" w:hAnsi="Times" w:cs="Times"/>
        </w:rPr>
        <w:t xml:space="preserve">Two cases of capital concentration here to be envisaged: the case of the concentration in the hands of external shareholders of control such as institutional investors and case of the company concentrated in the hands of families. The impact analysis of these two types of </w:t>
      </w:r>
      <w:r w:rsidRPr="00BB5825">
        <w:rPr>
          <w:rFonts w:ascii="Times" w:hAnsi="Times" w:cs="Times"/>
        </w:rPr>
        <w:lastRenderedPageBreak/>
        <w:t>concentration on financial communication’s quality engenders two different argumentations even if it seems that the existence of control shareholders tends to reduce the managerial opportunism (</w:t>
      </w:r>
      <w:proofErr w:type="spellStart"/>
      <w:r w:rsidRPr="00BB5825">
        <w:rPr>
          <w:rFonts w:ascii="Times" w:hAnsi="Times" w:cs="Times"/>
        </w:rPr>
        <w:t>Demsetz</w:t>
      </w:r>
      <w:proofErr w:type="spellEnd"/>
      <w:r w:rsidRPr="00BB5825">
        <w:rPr>
          <w:rFonts w:ascii="Times" w:hAnsi="Times" w:cs="Times"/>
        </w:rPr>
        <w:t xml:space="preserve"> &amp; Lehn, 1985).</w:t>
      </w:r>
    </w:p>
    <w:p w:rsidR="00111A80" w:rsidRPr="00BB5825" w:rsidRDefault="00111A80" w:rsidP="004828B5">
      <w:pPr>
        <w:spacing w:after="0" w:line="276" w:lineRule="auto"/>
      </w:pPr>
    </w:p>
    <w:p w:rsidR="009D5D2E" w:rsidRPr="00BB5825" w:rsidRDefault="00766292" w:rsidP="004828B5">
      <w:pPr>
        <w:spacing w:after="0" w:line="276" w:lineRule="auto"/>
      </w:pPr>
      <w:r w:rsidRPr="00BB5825">
        <w:t xml:space="preserve">The first argumentation is the based on the manager’s monitoring and the disciplinary role played by the external control shareholders who would favor the performance of companies </w:t>
      </w:r>
      <w:r w:rsidRPr="00BB5825">
        <w:rPr>
          <w:rFonts w:ascii="Times" w:hAnsi="Times" w:cs="Times"/>
        </w:rPr>
        <w:t xml:space="preserve">(Kaplan &amp; Minton, </w:t>
      </w:r>
      <w:proofErr w:type="gramStart"/>
      <w:r w:rsidRPr="00BB5825">
        <w:rPr>
          <w:rFonts w:ascii="Times" w:hAnsi="Times" w:cs="Times"/>
        </w:rPr>
        <w:t>1994 ;</w:t>
      </w:r>
      <w:proofErr w:type="gramEnd"/>
      <w:r w:rsidRPr="00BB5825">
        <w:rPr>
          <w:rFonts w:ascii="Times" w:hAnsi="Times" w:cs="Times"/>
        </w:rPr>
        <w:t xml:space="preserve"> </w:t>
      </w:r>
      <w:proofErr w:type="spellStart"/>
      <w:r w:rsidRPr="00BB5825">
        <w:rPr>
          <w:rFonts w:ascii="Times" w:hAnsi="Times" w:cs="Times"/>
        </w:rPr>
        <w:t>Morck</w:t>
      </w:r>
      <w:proofErr w:type="spellEnd"/>
      <w:r w:rsidRPr="00BB5825">
        <w:rPr>
          <w:rFonts w:ascii="Times" w:hAnsi="Times" w:cs="Times"/>
        </w:rPr>
        <w:t xml:space="preserve">, Nakamura &amp; </w:t>
      </w:r>
      <w:proofErr w:type="spellStart"/>
      <w:r w:rsidRPr="00BB5825">
        <w:rPr>
          <w:rFonts w:ascii="Times" w:hAnsi="Times" w:cs="Times"/>
        </w:rPr>
        <w:t>Shivdasani</w:t>
      </w:r>
      <w:proofErr w:type="spellEnd"/>
      <w:r w:rsidRPr="00BB5825">
        <w:rPr>
          <w:rFonts w:ascii="Times" w:hAnsi="Times" w:cs="Times"/>
        </w:rPr>
        <w:t xml:space="preserve">, 2000 ; Gordon &amp; </w:t>
      </w:r>
      <w:proofErr w:type="spellStart"/>
      <w:r w:rsidRPr="00BB5825">
        <w:rPr>
          <w:rFonts w:ascii="Times" w:hAnsi="Times" w:cs="Times"/>
        </w:rPr>
        <w:t>Smid</w:t>
      </w:r>
      <w:proofErr w:type="spellEnd"/>
      <w:r w:rsidRPr="00BB5825">
        <w:rPr>
          <w:rFonts w:ascii="Times" w:hAnsi="Times" w:cs="Times"/>
        </w:rPr>
        <w:t xml:space="preserve">, 2000 ; Chen, 2001 ; </w:t>
      </w:r>
      <w:proofErr w:type="spellStart"/>
      <w:r w:rsidRPr="00BB5825">
        <w:rPr>
          <w:rFonts w:ascii="Times" w:hAnsi="Times" w:cs="Times"/>
        </w:rPr>
        <w:t>Wiwattanakantung</w:t>
      </w:r>
      <w:proofErr w:type="spellEnd"/>
      <w:r w:rsidRPr="00BB5825">
        <w:rPr>
          <w:rFonts w:ascii="Times" w:hAnsi="Times" w:cs="Times"/>
        </w:rPr>
        <w:t>, 2001).</w:t>
      </w:r>
      <w:r w:rsidRPr="00BB5825">
        <w:t xml:space="preserve">This disciplinary role would be strengthened within the framework of the shareholder structures dominated by institutional investors </w:t>
      </w:r>
      <w:r w:rsidRPr="00BB5825">
        <w:rPr>
          <w:rFonts w:ascii="Times" w:hAnsi="Times" w:cs="Times"/>
        </w:rPr>
        <w:t xml:space="preserve">(Agrawal &amp; </w:t>
      </w:r>
      <w:proofErr w:type="spellStart"/>
      <w:r w:rsidRPr="00BB5825">
        <w:rPr>
          <w:rFonts w:ascii="Times" w:hAnsi="Times" w:cs="Times"/>
        </w:rPr>
        <w:t>Mandelker</w:t>
      </w:r>
      <w:proofErr w:type="spellEnd"/>
      <w:r w:rsidRPr="00BB5825">
        <w:rPr>
          <w:rFonts w:ascii="Times" w:hAnsi="Times" w:cs="Times"/>
        </w:rPr>
        <w:t>, 1990 ; Jiang &amp; Habib, 2009).</w:t>
      </w:r>
      <w:r w:rsidRPr="00BB5825">
        <w:t xml:space="preserve"> </w:t>
      </w:r>
      <w:r w:rsidR="009D5D2E" w:rsidRPr="00BB5825">
        <w:rPr>
          <w:rFonts w:ascii="Times" w:hAnsi="Times" w:cs="Times"/>
        </w:rPr>
        <w:t xml:space="preserve">This type </w:t>
      </w:r>
      <w:r w:rsidRPr="00BB5825">
        <w:rPr>
          <w:rFonts w:ascii="Times" w:hAnsi="Times" w:cs="Times"/>
        </w:rPr>
        <w:t>of shareholding is p</w:t>
      </w:r>
      <w:r w:rsidR="009D5D2E" w:rsidRPr="00BB5825">
        <w:rPr>
          <w:rFonts w:ascii="Times" w:hAnsi="Times" w:cs="Times"/>
        </w:rPr>
        <w:t>articularly requiring</w:t>
      </w:r>
      <w:r w:rsidRPr="00BB5825">
        <w:rPr>
          <w:rFonts w:ascii="Times" w:hAnsi="Times" w:cs="Times"/>
        </w:rPr>
        <w:t xml:space="preserve"> in terms of financial quality information</w:t>
      </w:r>
      <w:r w:rsidR="009D5D2E" w:rsidRPr="00BB5825">
        <w:rPr>
          <w:rFonts w:ascii="Times" w:hAnsi="Times" w:cs="Times"/>
        </w:rPr>
        <w:t xml:space="preserve"> (Healy et al., </w:t>
      </w:r>
      <w:proofErr w:type="gramStart"/>
      <w:r w:rsidR="009D5D2E" w:rsidRPr="00BB5825">
        <w:rPr>
          <w:rFonts w:ascii="Times" w:hAnsi="Times" w:cs="Times"/>
        </w:rPr>
        <w:t>1999 ;</w:t>
      </w:r>
      <w:proofErr w:type="gramEnd"/>
      <w:r w:rsidR="009D5D2E" w:rsidRPr="00BB5825">
        <w:rPr>
          <w:rFonts w:ascii="Times" w:hAnsi="Times" w:cs="Times"/>
        </w:rPr>
        <w:t xml:space="preserve"> </w:t>
      </w:r>
      <w:proofErr w:type="spellStart"/>
      <w:r w:rsidR="009D5D2E" w:rsidRPr="00BB5825">
        <w:rPr>
          <w:rFonts w:ascii="Times" w:hAnsi="Times" w:cs="Times"/>
        </w:rPr>
        <w:t>Bushee</w:t>
      </w:r>
      <w:proofErr w:type="spellEnd"/>
      <w:r w:rsidR="009D5D2E" w:rsidRPr="00BB5825">
        <w:rPr>
          <w:rFonts w:ascii="Times" w:hAnsi="Times" w:cs="Times"/>
        </w:rPr>
        <w:t xml:space="preserve"> &amp; </w:t>
      </w:r>
      <w:proofErr w:type="spellStart"/>
      <w:r w:rsidR="009D5D2E" w:rsidRPr="00BB5825">
        <w:rPr>
          <w:rFonts w:ascii="Times" w:hAnsi="Times" w:cs="Times"/>
        </w:rPr>
        <w:t>Noe</w:t>
      </w:r>
      <w:proofErr w:type="spellEnd"/>
      <w:r w:rsidR="009D5D2E" w:rsidRPr="00BB5825">
        <w:rPr>
          <w:rFonts w:ascii="Times" w:hAnsi="Times" w:cs="Times"/>
        </w:rPr>
        <w:t xml:space="preserve">, 2000). </w:t>
      </w:r>
      <w:r w:rsidR="009D5D2E" w:rsidRPr="00BB5825">
        <w:t xml:space="preserve">The studies of </w:t>
      </w:r>
      <w:proofErr w:type="spellStart"/>
      <w:r w:rsidR="009D5D2E" w:rsidRPr="00BB5825">
        <w:t>Burako</w:t>
      </w:r>
      <w:proofErr w:type="spellEnd"/>
      <w:r w:rsidR="009D5D2E" w:rsidRPr="00BB5825">
        <w:t xml:space="preserve"> (2007), </w:t>
      </w:r>
      <w:proofErr w:type="spellStart"/>
      <w:r w:rsidR="009D5D2E" w:rsidRPr="00BB5825">
        <w:t>Khodadadi</w:t>
      </w:r>
      <w:proofErr w:type="spellEnd"/>
      <w:r w:rsidR="009D5D2E" w:rsidRPr="00BB5825">
        <w:t xml:space="preserve"> et al. (2010) and </w:t>
      </w:r>
      <w:proofErr w:type="spellStart"/>
      <w:r w:rsidR="009D5D2E" w:rsidRPr="00BB5825">
        <w:t>Ayed-Koubaa</w:t>
      </w:r>
      <w:proofErr w:type="spellEnd"/>
      <w:r w:rsidR="009D5D2E" w:rsidRPr="00BB5825">
        <w:t xml:space="preserve"> (2011) highlight positive link between the percentage of capital in the hands of institutional investors and the quality of financial information disclosure.</w:t>
      </w:r>
    </w:p>
    <w:p w:rsidR="00111A80" w:rsidRPr="00BB5825" w:rsidRDefault="00111A80" w:rsidP="004828B5">
      <w:pPr>
        <w:spacing w:after="0" w:line="276" w:lineRule="auto"/>
      </w:pPr>
    </w:p>
    <w:p w:rsidR="009D5D2E" w:rsidRPr="00BB5825" w:rsidRDefault="009D5D2E" w:rsidP="004828B5">
      <w:pPr>
        <w:spacing w:after="0" w:line="276" w:lineRule="auto"/>
        <w:rPr>
          <w:i/>
        </w:rPr>
      </w:pPr>
      <w:r w:rsidRPr="00BB5825">
        <w:rPr>
          <w:i/>
        </w:rPr>
        <w:t>Hypothesis 2: Companies with capital concentrated in the hands of institutional investors present a financial communication of higher quality.</w:t>
      </w:r>
    </w:p>
    <w:p w:rsidR="004828B5" w:rsidRPr="00BB5825" w:rsidRDefault="004828B5" w:rsidP="004828B5">
      <w:pPr>
        <w:spacing w:after="0" w:line="276" w:lineRule="auto"/>
      </w:pPr>
    </w:p>
    <w:p w:rsidR="00111A80" w:rsidRPr="00BB5825" w:rsidRDefault="004828B5" w:rsidP="004828B5">
      <w:pPr>
        <w:spacing w:after="0" w:line="276" w:lineRule="auto"/>
      </w:pPr>
      <w:r w:rsidRPr="00BB5825">
        <w:t xml:space="preserve">The second argumentation argues that a company held by a family has a </w:t>
      </w:r>
      <w:r w:rsidR="00111A80" w:rsidRPr="00BB5825">
        <w:t xml:space="preserve">best knowledge </w:t>
      </w:r>
      <w:r w:rsidRPr="00BB5825">
        <w:t xml:space="preserve">of the </w:t>
      </w:r>
      <w:r w:rsidR="00111A80" w:rsidRPr="00BB5825">
        <w:t xml:space="preserve">activities </w:t>
      </w:r>
      <w:r w:rsidRPr="00BB5825">
        <w:t xml:space="preserve">and so a lower </w:t>
      </w:r>
      <w:r w:rsidR="00111A80" w:rsidRPr="00BB5825">
        <w:t xml:space="preserve">need for information. Besides, several studies showed that the interests of the minority </w:t>
      </w:r>
      <w:r w:rsidR="00C70945" w:rsidRPr="00BB5825">
        <w:t>shareholders</w:t>
      </w:r>
      <w:r w:rsidR="00111A80" w:rsidRPr="00BB5825">
        <w:t xml:space="preserve"> were better protected within the family companies because of the presence of the family within the capital and within the management of the company.</w:t>
      </w:r>
      <w:r w:rsidR="00C70945" w:rsidRPr="00BB5825">
        <w:t xml:space="preserve"> There would be thus within these companies a weaker propensity to disclose financial information (Ben </w:t>
      </w:r>
      <w:proofErr w:type="spellStart"/>
      <w:r w:rsidR="00C70945" w:rsidRPr="00BB5825">
        <w:t>ali</w:t>
      </w:r>
      <w:proofErr w:type="spellEnd"/>
      <w:r w:rsidR="00C70945" w:rsidRPr="00BB5825">
        <w:t xml:space="preserve"> &amp; </w:t>
      </w:r>
      <w:proofErr w:type="spellStart"/>
      <w:r w:rsidR="00C70945" w:rsidRPr="00BB5825">
        <w:t>Gettler</w:t>
      </w:r>
      <w:proofErr w:type="spellEnd"/>
      <w:r w:rsidR="00C70945" w:rsidRPr="00BB5825">
        <w:t xml:space="preserve">-Summa, 2006; </w:t>
      </w:r>
      <w:proofErr w:type="spellStart"/>
      <w:r w:rsidR="00C70945" w:rsidRPr="00BB5825">
        <w:t>Barredy</w:t>
      </w:r>
      <w:proofErr w:type="spellEnd"/>
      <w:r w:rsidR="00C70945" w:rsidRPr="00BB5825">
        <w:t xml:space="preserve"> &amp; </w:t>
      </w:r>
      <w:proofErr w:type="spellStart"/>
      <w:r w:rsidR="00C70945" w:rsidRPr="00BB5825">
        <w:t>Darras</w:t>
      </w:r>
      <w:proofErr w:type="spellEnd"/>
      <w:r w:rsidR="00C70945" w:rsidRPr="00BB5825">
        <w:t xml:space="preserve">, </w:t>
      </w:r>
      <w:proofErr w:type="gramStart"/>
      <w:r w:rsidR="00C70945" w:rsidRPr="00BB5825">
        <w:t>2008 ;</w:t>
      </w:r>
      <w:proofErr w:type="gramEnd"/>
      <w:r w:rsidR="00C70945" w:rsidRPr="00BB5825">
        <w:t xml:space="preserve"> </w:t>
      </w:r>
      <w:proofErr w:type="spellStart"/>
      <w:r w:rsidR="00C70945" w:rsidRPr="00BB5825">
        <w:t>Amal</w:t>
      </w:r>
      <w:proofErr w:type="spellEnd"/>
      <w:r w:rsidR="00C70945" w:rsidRPr="00BB5825">
        <w:t xml:space="preserve"> &amp; </w:t>
      </w:r>
      <w:proofErr w:type="spellStart"/>
      <w:r w:rsidR="00C70945" w:rsidRPr="00BB5825">
        <w:t>Faten</w:t>
      </w:r>
      <w:proofErr w:type="spellEnd"/>
      <w:r w:rsidR="00C70945" w:rsidRPr="00BB5825">
        <w:t>, 2010).</w:t>
      </w:r>
    </w:p>
    <w:p w:rsidR="00C70945" w:rsidRPr="00BB5825" w:rsidRDefault="00C70945" w:rsidP="00C70945">
      <w:pPr>
        <w:spacing w:after="0" w:line="276" w:lineRule="auto"/>
        <w:rPr>
          <w:rFonts w:ascii="Times" w:hAnsi="Times" w:cs="Times"/>
        </w:rPr>
      </w:pPr>
      <w:r w:rsidRPr="00BB5825">
        <w:t>Agency conflicts between majority and minority shareholders would be higher in family company. Those conflicts incite the majority to maintain the informative asymmetry between their block of control and the minority shareholding by checking the information disclosure (Al</w:t>
      </w:r>
      <w:r w:rsidRPr="00BB5825">
        <w:rPr>
          <w:rFonts w:ascii="Times" w:hAnsi="Times" w:cs="Times"/>
        </w:rPr>
        <w:t xml:space="preserve">i, Chen &amp; </w:t>
      </w:r>
      <w:proofErr w:type="spellStart"/>
      <w:r w:rsidRPr="00BB5825">
        <w:rPr>
          <w:rFonts w:ascii="Times" w:hAnsi="Times" w:cs="Times"/>
        </w:rPr>
        <w:t>Radhakishnan</w:t>
      </w:r>
      <w:proofErr w:type="spellEnd"/>
      <w:r w:rsidRPr="00BB5825">
        <w:rPr>
          <w:rFonts w:ascii="Times" w:hAnsi="Times" w:cs="Times"/>
        </w:rPr>
        <w:t xml:space="preserve">, 2007). </w:t>
      </w:r>
    </w:p>
    <w:p w:rsidR="00C70945" w:rsidRPr="00BB5825" w:rsidRDefault="00C70945" w:rsidP="004828B5">
      <w:pPr>
        <w:spacing w:after="0" w:line="276" w:lineRule="auto"/>
      </w:pPr>
    </w:p>
    <w:p w:rsidR="00D1287A" w:rsidRPr="00BB5825" w:rsidRDefault="00D1287A" w:rsidP="00D1287A">
      <w:pPr>
        <w:spacing w:after="0" w:line="276" w:lineRule="auto"/>
        <w:rPr>
          <w:i/>
        </w:rPr>
      </w:pPr>
      <w:r w:rsidRPr="00BB5825">
        <w:rPr>
          <w:i/>
        </w:rPr>
        <w:t>Hypothesis 3: Companies with capital concentrated in the hands of a family present a financial communication of lower quality.</w:t>
      </w:r>
    </w:p>
    <w:p w:rsidR="004828B5" w:rsidRPr="00BB5825" w:rsidRDefault="004828B5" w:rsidP="004828B5">
      <w:pPr>
        <w:spacing w:after="0" w:line="276" w:lineRule="auto"/>
        <w:rPr>
          <w:rStyle w:val="transpan"/>
          <w:shd w:val="clear" w:color="auto" w:fill="EFEFEF"/>
        </w:rPr>
      </w:pPr>
    </w:p>
    <w:p w:rsidR="00A417DF" w:rsidRPr="00BB5825" w:rsidRDefault="00A417DF" w:rsidP="00655501">
      <w:pPr>
        <w:spacing w:after="0" w:line="276" w:lineRule="auto"/>
      </w:pPr>
      <w:r w:rsidRPr="00BB5825">
        <w:t xml:space="preserve">The link between the ownership structure and financial communication’s quality could be influenced by others variables such as the </w:t>
      </w:r>
      <w:proofErr w:type="spellStart"/>
      <w:r w:rsidRPr="00BB5825">
        <w:t>firm’s</w:t>
      </w:r>
      <w:r w:rsidR="003008D3" w:rsidRPr="00BB5825">
        <w:t>ize</w:t>
      </w:r>
      <w:proofErr w:type="spellEnd"/>
      <w:r w:rsidR="003008D3" w:rsidRPr="00BB5825">
        <w:t>, its</w:t>
      </w:r>
      <w:r w:rsidRPr="00BB5825">
        <w:t xml:space="preserve"> performance, and its level of debts.  </w:t>
      </w:r>
    </w:p>
    <w:p w:rsidR="00A417DF" w:rsidRPr="00BB5825" w:rsidRDefault="00A417DF" w:rsidP="00655501">
      <w:pPr>
        <w:spacing w:after="0" w:line="276" w:lineRule="auto"/>
      </w:pPr>
    </w:p>
    <w:p w:rsidR="003008D3" w:rsidRPr="00BB5825" w:rsidRDefault="003008D3" w:rsidP="005C6B93">
      <w:pPr>
        <w:spacing w:after="0" w:line="276" w:lineRule="auto"/>
      </w:pPr>
      <w:r w:rsidRPr="00BB5825">
        <w:t xml:space="preserve">Many academic researchers highlight the size effect on the level of financial disclosure  </w:t>
      </w:r>
      <w:r w:rsidRPr="00BB5825">
        <w:rPr>
          <w:rFonts w:ascii="Times" w:hAnsi="Times" w:cs="Times"/>
        </w:rPr>
        <w:t xml:space="preserve">(Craven &amp; </w:t>
      </w:r>
      <w:proofErr w:type="spellStart"/>
      <w:r w:rsidRPr="00BB5825">
        <w:rPr>
          <w:rFonts w:ascii="Times" w:hAnsi="Times" w:cs="Times"/>
        </w:rPr>
        <w:t>Martson</w:t>
      </w:r>
      <w:proofErr w:type="spellEnd"/>
      <w:r w:rsidRPr="00BB5825">
        <w:rPr>
          <w:rFonts w:ascii="Times" w:hAnsi="Times" w:cs="Times"/>
        </w:rPr>
        <w:t xml:space="preserve">, 1999 ; </w:t>
      </w:r>
      <w:proofErr w:type="spellStart"/>
      <w:r w:rsidRPr="00BB5825">
        <w:rPr>
          <w:rFonts w:ascii="Times" w:hAnsi="Times" w:cs="Times"/>
        </w:rPr>
        <w:t>Asbaugh</w:t>
      </w:r>
      <w:proofErr w:type="spellEnd"/>
      <w:r w:rsidRPr="00BB5825">
        <w:rPr>
          <w:rFonts w:ascii="Times" w:hAnsi="Times" w:cs="Times"/>
        </w:rPr>
        <w:t xml:space="preserve">, </w:t>
      </w:r>
      <w:proofErr w:type="spellStart"/>
      <w:r w:rsidRPr="00BB5825">
        <w:rPr>
          <w:rFonts w:ascii="Times" w:hAnsi="Times" w:cs="Times"/>
        </w:rPr>
        <w:t>Johnstone</w:t>
      </w:r>
      <w:proofErr w:type="spellEnd"/>
      <w:r w:rsidRPr="00BB5825">
        <w:rPr>
          <w:rFonts w:ascii="Times" w:hAnsi="Times" w:cs="Times"/>
        </w:rPr>
        <w:t xml:space="preserve"> &amp; Warfield, 1999; Ho &amp; Wong, 2001; </w:t>
      </w:r>
      <w:proofErr w:type="spellStart"/>
      <w:r w:rsidRPr="00BB5825">
        <w:rPr>
          <w:rFonts w:ascii="Times" w:hAnsi="Times" w:cs="Times"/>
        </w:rPr>
        <w:t>Larran</w:t>
      </w:r>
      <w:proofErr w:type="spellEnd"/>
      <w:r w:rsidRPr="00BB5825">
        <w:rPr>
          <w:rFonts w:ascii="Times" w:hAnsi="Times" w:cs="Times"/>
        </w:rPr>
        <w:t xml:space="preserve"> &amp; </w:t>
      </w:r>
      <w:proofErr w:type="spellStart"/>
      <w:r w:rsidRPr="00BB5825">
        <w:rPr>
          <w:rFonts w:ascii="Times" w:hAnsi="Times" w:cs="Times"/>
        </w:rPr>
        <w:t>Giner</w:t>
      </w:r>
      <w:proofErr w:type="spellEnd"/>
      <w:r w:rsidRPr="00BB5825">
        <w:rPr>
          <w:rFonts w:ascii="Times" w:hAnsi="Times" w:cs="Times"/>
        </w:rPr>
        <w:t xml:space="preserve">, 2002; </w:t>
      </w:r>
      <w:proofErr w:type="spellStart"/>
      <w:r w:rsidRPr="00BB5825">
        <w:rPr>
          <w:rFonts w:ascii="Times" w:hAnsi="Times" w:cs="Times"/>
        </w:rPr>
        <w:t>Bonson</w:t>
      </w:r>
      <w:proofErr w:type="spellEnd"/>
      <w:r w:rsidRPr="00BB5825">
        <w:rPr>
          <w:rFonts w:ascii="Times" w:hAnsi="Times" w:cs="Times"/>
        </w:rPr>
        <w:t xml:space="preserve"> &amp; Escobar, 2002; </w:t>
      </w:r>
      <w:proofErr w:type="spellStart"/>
      <w:r w:rsidRPr="00BB5825">
        <w:rPr>
          <w:rFonts w:ascii="Times" w:hAnsi="Times" w:cs="Times"/>
        </w:rPr>
        <w:t>Debreceny</w:t>
      </w:r>
      <w:proofErr w:type="spellEnd"/>
      <w:r w:rsidRPr="00BB5825">
        <w:rPr>
          <w:rFonts w:ascii="Times" w:hAnsi="Times" w:cs="Times"/>
        </w:rPr>
        <w:t xml:space="preserve">, Gray &amp; Rahman, 2002; </w:t>
      </w:r>
      <w:proofErr w:type="spellStart"/>
      <w:r w:rsidRPr="00BB5825">
        <w:rPr>
          <w:rFonts w:ascii="Times" w:hAnsi="Times" w:cs="Times"/>
        </w:rPr>
        <w:t>Ettredge</w:t>
      </w:r>
      <w:proofErr w:type="spellEnd"/>
      <w:r w:rsidRPr="00BB5825">
        <w:rPr>
          <w:rFonts w:ascii="Times" w:hAnsi="Times" w:cs="Times"/>
        </w:rPr>
        <w:t xml:space="preserve">, Richardson &amp; </w:t>
      </w:r>
      <w:proofErr w:type="spellStart"/>
      <w:r w:rsidRPr="00BB5825">
        <w:rPr>
          <w:rFonts w:ascii="Times" w:hAnsi="Times" w:cs="Times"/>
        </w:rPr>
        <w:t>Scholz</w:t>
      </w:r>
      <w:proofErr w:type="spellEnd"/>
      <w:r w:rsidRPr="00BB5825">
        <w:rPr>
          <w:rFonts w:ascii="Times" w:hAnsi="Times" w:cs="Times"/>
        </w:rPr>
        <w:t xml:space="preserve">, 2002; </w:t>
      </w:r>
      <w:proofErr w:type="spellStart"/>
      <w:r w:rsidRPr="00BB5825">
        <w:rPr>
          <w:rFonts w:ascii="Times" w:hAnsi="Times" w:cs="Times"/>
        </w:rPr>
        <w:t>Oyelere</w:t>
      </w:r>
      <w:proofErr w:type="spellEnd"/>
      <w:r w:rsidRPr="00BB5825">
        <w:rPr>
          <w:rFonts w:ascii="Times" w:hAnsi="Times" w:cs="Times"/>
        </w:rPr>
        <w:t xml:space="preserve">, </w:t>
      </w:r>
      <w:proofErr w:type="spellStart"/>
      <w:r w:rsidRPr="00BB5825">
        <w:rPr>
          <w:rFonts w:ascii="Times" w:hAnsi="Times" w:cs="Times"/>
        </w:rPr>
        <w:t>Laswad</w:t>
      </w:r>
      <w:proofErr w:type="spellEnd"/>
      <w:r w:rsidRPr="00BB5825">
        <w:rPr>
          <w:rFonts w:ascii="Times" w:hAnsi="Times" w:cs="Times"/>
        </w:rPr>
        <w:t xml:space="preserve"> &amp; Fisher, 2003 ; Rodriguez &amp; </w:t>
      </w:r>
      <w:proofErr w:type="spellStart"/>
      <w:r w:rsidRPr="00BB5825">
        <w:rPr>
          <w:rFonts w:ascii="Times" w:hAnsi="Times" w:cs="Times"/>
        </w:rPr>
        <w:t>Menezes</w:t>
      </w:r>
      <w:proofErr w:type="spellEnd"/>
      <w:r w:rsidRPr="00BB5825">
        <w:rPr>
          <w:rFonts w:ascii="Times" w:hAnsi="Times" w:cs="Times"/>
        </w:rPr>
        <w:t xml:space="preserve">, 2003; Mendes-da-Silva &amp; Christensen, 2004; </w:t>
      </w:r>
      <w:proofErr w:type="spellStart"/>
      <w:r w:rsidRPr="00BB5825">
        <w:rPr>
          <w:rFonts w:ascii="Times" w:hAnsi="Times" w:cs="Times"/>
        </w:rPr>
        <w:t>Bollen</w:t>
      </w:r>
      <w:proofErr w:type="spellEnd"/>
      <w:r w:rsidRPr="00BB5825">
        <w:rPr>
          <w:rFonts w:ascii="Times" w:hAnsi="Times" w:cs="Times"/>
        </w:rPr>
        <w:t xml:space="preserve">, </w:t>
      </w:r>
      <w:proofErr w:type="spellStart"/>
      <w:r w:rsidRPr="00BB5825">
        <w:rPr>
          <w:rFonts w:ascii="Times" w:hAnsi="Times" w:cs="Times"/>
        </w:rPr>
        <w:t>Hassink</w:t>
      </w:r>
      <w:proofErr w:type="spellEnd"/>
      <w:r w:rsidRPr="00BB5825">
        <w:rPr>
          <w:rFonts w:ascii="Times" w:hAnsi="Times" w:cs="Times"/>
        </w:rPr>
        <w:t xml:space="preserve"> &amp; Bozic,2006; </w:t>
      </w:r>
      <w:proofErr w:type="spellStart"/>
      <w:r w:rsidRPr="00BB5825">
        <w:rPr>
          <w:rFonts w:ascii="Times" w:hAnsi="Times" w:cs="Times"/>
        </w:rPr>
        <w:t>Andrikopoulos</w:t>
      </w:r>
      <w:proofErr w:type="spellEnd"/>
      <w:r w:rsidRPr="00BB5825">
        <w:rPr>
          <w:rFonts w:ascii="Times" w:hAnsi="Times" w:cs="Times"/>
        </w:rPr>
        <w:t xml:space="preserve"> &amp; </w:t>
      </w:r>
      <w:proofErr w:type="spellStart"/>
      <w:r w:rsidRPr="00BB5825">
        <w:rPr>
          <w:rFonts w:ascii="Times" w:hAnsi="Times" w:cs="Times"/>
        </w:rPr>
        <w:t>Diakidis</w:t>
      </w:r>
      <w:proofErr w:type="spellEnd"/>
      <w:r w:rsidRPr="00BB5825">
        <w:rPr>
          <w:rFonts w:ascii="Times" w:hAnsi="Times" w:cs="Times"/>
        </w:rPr>
        <w:t xml:space="preserve">, 2007; </w:t>
      </w:r>
      <w:proofErr w:type="spellStart"/>
      <w:r w:rsidRPr="00BB5825">
        <w:rPr>
          <w:rFonts w:ascii="Times" w:hAnsi="Times" w:cs="Times"/>
        </w:rPr>
        <w:t>Almilia</w:t>
      </w:r>
      <w:proofErr w:type="spellEnd"/>
      <w:r w:rsidRPr="00BB5825">
        <w:rPr>
          <w:rFonts w:ascii="Times" w:hAnsi="Times" w:cs="Times"/>
        </w:rPr>
        <w:t>, 2009a et b; Pozniak &amp; Croquet, 2011; Pozniak, 2013).</w:t>
      </w:r>
      <w:r w:rsidR="005C6B93" w:rsidRPr="00BB5825">
        <w:rPr>
          <w:rFonts w:ascii="Times" w:hAnsi="Times" w:cs="Times"/>
        </w:rPr>
        <w:t xml:space="preserve"> Several reasons are put forward: </w:t>
      </w:r>
    </w:p>
    <w:p w:rsidR="003008D3" w:rsidRPr="00BB5825" w:rsidRDefault="005C6B93" w:rsidP="005C6B93">
      <w:pPr>
        <w:pStyle w:val="Paragraphedeliste"/>
        <w:numPr>
          <w:ilvl w:val="0"/>
          <w:numId w:val="1"/>
        </w:numPr>
        <w:spacing w:line="276" w:lineRule="auto"/>
        <w:ind w:left="284" w:firstLine="0"/>
        <w:rPr>
          <w:rFonts w:ascii="Times New Roman" w:hAnsi="Times New Roman"/>
          <w:color w:val="auto"/>
          <w:sz w:val="24"/>
          <w:szCs w:val="24"/>
        </w:rPr>
      </w:pPr>
      <w:r w:rsidRPr="00BB5825">
        <w:rPr>
          <w:rFonts w:ascii="Times New Roman" w:hAnsi="Times New Roman"/>
          <w:color w:val="auto"/>
          <w:sz w:val="24"/>
          <w:szCs w:val="24"/>
        </w:rPr>
        <w:lastRenderedPageBreak/>
        <w:t>The information asymmetry between managers and shareholders is higher in bigger companies. So those companies suffer from higher agency costs. In order to reduce this information asymmetry and the agency costs, bigger companies tend to disclose more financial information.</w:t>
      </w:r>
    </w:p>
    <w:p w:rsidR="005C6B93" w:rsidRPr="00BB5825" w:rsidRDefault="005C6B93" w:rsidP="00655501">
      <w:pPr>
        <w:pStyle w:val="Paragraphedeliste"/>
        <w:numPr>
          <w:ilvl w:val="0"/>
          <w:numId w:val="1"/>
        </w:numPr>
        <w:spacing w:after="0" w:line="276" w:lineRule="auto"/>
        <w:ind w:left="284" w:firstLine="0"/>
        <w:rPr>
          <w:rFonts w:ascii="Times New Roman" w:hAnsi="Times New Roman"/>
          <w:color w:val="auto"/>
          <w:sz w:val="24"/>
          <w:szCs w:val="24"/>
        </w:rPr>
      </w:pPr>
      <w:r w:rsidRPr="00BB5825">
        <w:rPr>
          <w:rFonts w:ascii="Times New Roman" w:hAnsi="Times New Roman"/>
          <w:color w:val="auto"/>
          <w:sz w:val="24"/>
          <w:szCs w:val="24"/>
        </w:rPr>
        <w:t>Bigger companies are more visible publicly and more susceptible to draw the attention of the authorities. So they disclose more financial information to look after their reputation and their image.</w:t>
      </w:r>
    </w:p>
    <w:p w:rsidR="003008D3" w:rsidRPr="00BB5825" w:rsidRDefault="005C6B93" w:rsidP="00655501">
      <w:pPr>
        <w:pStyle w:val="Paragraphedeliste"/>
        <w:numPr>
          <w:ilvl w:val="0"/>
          <w:numId w:val="1"/>
        </w:numPr>
        <w:spacing w:after="0" w:line="276" w:lineRule="auto"/>
        <w:rPr>
          <w:color w:val="auto"/>
        </w:rPr>
      </w:pPr>
      <w:r w:rsidRPr="00BB5825">
        <w:rPr>
          <w:rFonts w:ascii="Times New Roman" w:hAnsi="Times New Roman"/>
          <w:color w:val="auto"/>
          <w:sz w:val="24"/>
          <w:szCs w:val="24"/>
        </w:rPr>
        <w:t>Having an information system more developed than small companies, production and communication of information represent a lower cost for large companies.</w:t>
      </w:r>
    </w:p>
    <w:p w:rsidR="003008D3" w:rsidRPr="00BB5825" w:rsidRDefault="003008D3" w:rsidP="00655501">
      <w:pPr>
        <w:spacing w:after="0" w:line="276" w:lineRule="auto"/>
      </w:pPr>
    </w:p>
    <w:p w:rsidR="003008D3" w:rsidRPr="00BB5825" w:rsidRDefault="003008D3" w:rsidP="003008D3">
      <w:pPr>
        <w:spacing w:after="0" w:line="276" w:lineRule="auto"/>
        <w:rPr>
          <w:i/>
        </w:rPr>
      </w:pPr>
      <w:r w:rsidRPr="00BB5825">
        <w:rPr>
          <w:i/>
        </w:rPr>
        <w:t>Hypothesis control variable A: Bigger companies present a financial communication of higher quality.</w:t>
      </w:r>
    </w:p>
    <w:p w:rsidR="003008D3" w:rsidRPr="00BB5825" w:rsidRDefault="003008D3" w:rsidP="00655501">
      <w:pPr>
        <w:spacing w:after="0" w:line="276" w:lineRule="auto"/>
      </w:pPr>
    </w:p>
    <w:p w:rsidR="003008D3" w:rsidRPr="00BB5825" w:rsidRDefault="00A417DF" w:rsidP="003008D3">
      <w:pPr>
        <w:spacing w:after="0" w:line="276" w:lineRule="auto"/>
        <w:rPr>
          <w:rFonts w:ascii="Times" w:hAnsi="Times" w:cs="Times"/>
        </w:rPr>
      </w:pPr>
      <w:r w:rsidRPr="00BB5825">
        <w:t>The impact of capital ‘structure is strengthened by the fact that within companies with strongly diluted shareholding, the risk of eviction of the managers is increased and strengthened by possible bad performances of the company</w:t>
      </w:r>
      <w:r w:rsidR="00B00391" w:rsidRPr="00BB5825">
        <w:t xml:space="preserve"> (Labelle &amp; </w:t>
      </w:r>
      <w:proofErr w:type="spellStart"/>
      <w:r w:rsidR="00B00391" w:rsidRPr="00BB5825">
        <w:t>Schatt</w:t>
      </w:r>
      <w:proofErr w:type="spellEnd"/>
      <w:r w:rsidR="00B00391" w:rsidRPr="00BB5825">
        <w:t>, 2005).</w:t>
      </w:r>
      <w:r w:rsidR="003008D3" w:rsidRPr="00BB5825">
        <w:rPr>
          <w:rFonts w:ascii="Times" w:hAnsi="Times" w:cs="Times"/>
        </w:rPr>
        <w:t xml:space="preserve"> A financial disclosure of high quality could help the manager to differ from its bad performances and to avoid its eviction.</w:t>
      </w:r>
    </w:p>
    <w:p w:rsidR="00655501" w:rsidRPr="00BB5825" w:rsidRDefault="00655501" w:rsidP="00655501">
      <w:pPr>
        <w:spacing w:after="0" w:line="276" w:lineRule="auto"/>
        <w:rPr>
          <w:rFonts w:ascii="Times" w:hAnsi="Times" w:cs="Times"/>
        </w:rPr>
      </w:pPr>
      <w:r w:rsidRPr="00BB5825">
        <w:t xml:space="preserve">Bad performance could lead to takeovers in which the rate of manager replacement is raised </w:t>
      </w:r>
      <w:r w:rsidRPr="00BB5825">
        <w:rPr>
          <w:rFonts w:ascii="Times" w:hAnsi="Times" w:cs="Times"/>
        </w:rPr>
        <w:t>(Martin &amp; Mc Connell, 1991). Levant (2000) discovers that in 60 % of the cases of strategic acquisitions, the manager is replaced the year following the takeover.</w:t>
      </w:r>
    </w:p>
    <w:p w:rsidR="00655501" w:rsidRPr="00BB5825" w:rsidRDefault="00655501" w:rsidP="00655501">
      <w:pPr>
        <w:spacing w:after="0" w:line="276" w:lineRule="auto"/>
        <w:rPr>
          <w:rFonts w:ascii="Times" w:hAnsi="Times" w:cs="Times"/>
        </w:rPr>
      </w:pPr>
      <w:proofErr w:type="spellStart"/>
      <w:r w:rsidRPr="00BB5825">
        <w:rPr>
          <w:rFonts w:ascii="Times" w:hAnsi="Times" w:cs="Times"/>
        </w:rPr>
        <w:t>Futhermore</w:t>
      </w:r>
      <w:proofErr w:type="spellEnd"/>
      <w:r w:rsidRPr="00BB5825">
        <w:rPr>
          <w:rFonts w:ascii="Times" w:hAnsi="Times" w:cs="Times"/>
        </w:rPr>
        <w:t>, conflicts between majority and minority shareholders would be less important in good performing firms (</w:t>
      </w:r>
      <w:proofErr w:type="spellStart"/>
      <w:r w:rsidRPr="00BB5825">
        <w:rPr>
          <w:rFonts w:ascii="Times" w:hAnsi="Times" w:cs="Times"/>
        </w:rPr>
        <w:t>Charlier</w:t>
      </w:r>
      <w:proofErr w:type="spellEnd"/>
      <w:r w:rsidRPr="00BB5825">
        <w:rPr>
          <w:rFonts w:ascii="Times" w:hAnsi="Times" w:cs="Times"/>
        </w:rPr>
        <w:t xml:space="preserve"> &amp; Lambert, 2013).</w:t>
      </w:r>
    </w:p>
    <w:p w:rsidR="003008D3" w:rsidRPr="00BB5825" w:rsidRDefault="003008D3" w:rsidP="00655501">
      <w:pPr>
        <w:spacing w:after="0" w:line="276" w:lineRule="auto"/>
        <w:rPr>
          <w:rFonts w:ascii="Times" w:hAnsi="Times" w:cs="Times"/>
        </w:rPr>
      </w:pPr>
    </w:p>
    <w:p w:rsidR="003008D3" w:rsidRPr="00BB5825" w:rsidRDefault="003008D3" w:rsidP="003008D3">
      <w:pPr>
        <w:spacing w:after="0" w:line="276" w:lineRule="auto"/>
        <w:rPr>
          <w:i/>
        </w:rPr>
      </w:pPr>
      <w:r w:rsidRPr="00BB5825">
        <w:rPr>
          <w:i/>
        </w:rPr>
        <w:t>Hypothesis control variable B: Companies with higher performance level present a financial communication of higher quality.</w:t>
      </w:r>
    </w:p>
    <w:p w:rsidR="003008D3" w:rsidRPr="00BB5825" w:rsidRDefault="003008D3" w:rsidP="00655501">
      <w:pPr>
        <w:spacing w:after="0" w:line="276" w:lineRule="auto"/>
        <w:rPr>
          <w:rFonts w:ascii="Times" w:hAnsi="Times" w:cs="Times"/>
        </w:rPr>
      </w:pPr>
    </w:p>
    <w:p w:rsidR="005F0410" w:rsidRPr="00BB5825" w:rsidRDefault="007A74CE" w:rsidP="004828B5">
      <w:pPr>
        <w:spacing w:after="0" w:line="276" w:lineRule="auto"/>
        <w:rPr>
          <w:rFonts w:ascii="Times" w:hAnsi="Times" w:cs="Times"/>
        </w:rPr>
      </w:pPr>
      <w:r w:rsidRPr="00BB5825">
        <w:rPr>
          <w:rFonts w:ascii="Times" w:hAnsi="Times" w:cs="Times"/>
        </w:rPr>
        <w:t>The role played by company’s level of debts on the level of financial disclosure was studied by several empirical researches. Most of these works (</w:t>
      </w:r>
      <w:proofErr w:type="spellStart"/>
      <w:r w:rsidRPr="00BB5825">
        <w:rPr>
          <w:rFonts w:ascii="Times" w:hAnsi="Times" w:cs="Times"/>
        </w:rPr>
        <w:t>Debreceny</w:t>
      </w:r>
      <w:proofErr w:type="spellEnd"/>
      <w:r w:rsidRPr="00BB5825">
        <w:rPr>
          <w:rFonts w:ascii="Times" w:hAnsi="Times" w:cs="Times"/>
        </w:rPr>
        <w:t xml:space="preserve">, Gray &amp; Rahman, 2002 ; </w:t>
      </w:r>
      <w:proofErr w:type="spellStart"/>
      <w:r w:rsidRPr="00BB5825">
        <w:rPr>
          <w:rFonts w:ascii="Times" w:hAnsi="Times" w:cs="Times"/>
        </w:rPr>
        <w:t>Oyelere</w:t>
      </w:r>
      <w:proofErr w:type="spellEnd"/>
      <w:r w:rsidRPr="00BB5825">
        <w:rPr>
          <w:rFonts w:ascii="Times" w:hAnsi="Times" w:cs="Times"/>
        </w:rPr>
        <w:t xml:space="preserve">, </w:t>
      </w:r>
      <w:proofErr w:type="spellStart"/>
      <w:r w:rsidRPr="00BB5825">
        <w:rPr>
          <w:rFonts w:ascii="Times" w:hAnsi="Times" w:cs="Times"/>
        </w:rPr>
        <w:t>Laswad</w:t>
      </w:r>
      <w:proofErr w:type="spellEnd"/>
      <w:r w:rsidRPr="00BB5825">
        <w:rPr>
          <w:rFonts w:ascii="Times" w:hAnsi="Times" w:cs="Times"/>
        </w:rPr>
        <w:t xml:space="preserve"> &amp; Fisher, 2003 ; </w:t>
      </w:r>
      <w:proofErr w:type="spellStart"/>
      <w:r w:rsidRPr="00BB5825">
        <w:rPr>
          <w:rFonts w:ascii="Times" w:hAnsi="Times" w:cs="Times"/>
        </w:rPr>
        <w:t>Laswad</w:t>
      </w:r>
      <w:proofErr w:type="spellEnd"/>
      <w:r w:rsidRPr="00BB5825">
        <w:rPr>
          <w:rFonts w:ascii="Times" w:hAnsi="Times" w:cs="Times"/>
        </w:rPr>
        <w:t xml:space="preserve">, Fisher &amp; </w:t>
      </w:r>
      <w:proofErr w:type="spellStart"/>
      <w:r w:rsidRPr="00BB5825">
        <w:rPr>
          <w:rFonts w:ascii="Times" w:hAnsi="Times" w:cs="Times"/>
        </w:rPr>
        <w:t>Oyelere</w:t>
      </w:r>
      <w:proofErr w:type="spellEnd"/>
      <w:r w:rsidRPr="00BB5825">
        <w:rPr>
          <w:rFonts w:ascii="Times" w:hAnsi="Times" w:cs="Times"/>
        </w:rPr>
        <w:t xml:space="preserve">, 2005 ; </w:t>
      </w:r>
      <w:proofErr w:type="spellStart"/>
      <w:r w:rsidRPr="00BB5825">
        <w:rPr>
          <w:rFonts w:ascii="Times" w:hAnsi="Times" w:cs="Times"/>
        </w:rPr>
        <w:t>Andrikopoulos</w:t>
      </w:r>
      <w:proofErr w:type="spellEnd"/>
      <w:r w:rsidRPr="00BB5825">
        <w:rPr>
          <w:rFonts w:ascii="Times" w:hAnsi="Times" w:cs="Times"/>
        </w:rPr>
        <w:t xml:space="preserve"> &amp; </w:t>
      </w:r>
      <w:proofErr w:type="spellStart"/>
      <w:r w:rsidRPr="00BB5825">
        <w:rPr>
          <w:rFonts w:ascii="Times" w:hAnsi="Times" w:cs="Times"/>
        </w:rPr>
        <w:t>Diakidis</w:t>
      </w:r>
      <w:proofErr w:type="spellEnd"/>
      <w:r w:rsidRPr="00BB5825">
        <w:rPr>
          <w:rFonts w:ascii="Times" w:hAnsi="Times" w:cs="Times"/>
        </w:rPr>
        <w:t xml:space="preserve">, 2007 ;  </w:t>
      </w:r>
      <w:proofErr w:type="spellStart"/>
      <w:r w:rsidRPr="00BB5825">
        <w:rPr>
          <w:rFonts w:ascii="Times" w:hAnsi="Times" w:cs="Times"/>
        </w:rPr>
        <w:t>Almilia</w:t>
      </w:r>
      <w:proofErr w:type="spellEnd"/>
      <w:r w:rsidRPr="00BB5825">
        <w:rPr>
          <w:rFonts w:ascii="Times" w:hAnsi="Times" w:cs="Times"/>
        </w:rPr>
        <w:t xml:space="preserve">, 2009a) discovered a positive </w:t>
      </w:r>
      <w:r w:rsidR="005F0410" w:rsidRPr="00BB5825">
        <w:rPr>
          <w:rFonts w:ascii="Times" w:hAnsi="Times" w:cs="Times"/>
        </w:rPr>
        <w:t>link. The authors mobilize the agency</w:t>
      </w:r>
      <w:r w:rsidR="005F0410" w:rsidRPr="00BB5825">
        <w:rPr>
          <w:rStyle w:val="transpan"/>
          <w:shd w:val="clear" w:color="auto" w:fill="EFEFEF"/>
        </w:rPr>
        <w:t xml:space="preserve"> </w:t>
      </w:r>
      <w:r w:rsidR="005F0410" w:rsidRPr="00BB5825">
        <w:rPr>
          <w:rFonts w:ascii="Times" w:hAnsi="Times" w:cs="Times"/>
        </w:rPr>
        <w:t xml:space="preserve">theory to explain that: the increase of the debts came with the increase of agency conflicts between shareholders and creditors. To reassure its creditors on its capacity to pay its debts, the company will tend to communicate more information. According to Jensen and </w:t>
      </w:r>
      <w:proofErr w:type="spellStart"/>
      <w:r w:rsidR="005F0410" w:rsidRPr="00BB5825">
        <w:rPr>
          <w:rFonts w:ascii="Times" w:hAnsi="Times" w:cs="Times"/>
        </w:rPr>
        <w:t>Meckling</w:t>
      </w:r>
      <w:proofErr w:type="spellEnd"/>
      <w:r w:rsidR="005F0410" w:rsidRPr="00BB5825">
        <w:rPr>
          <w:rFonts w:ascii="Times" w:hAnsi="Times" w:cs="Times"/>
        </w:rPr>
        <w:t xml:space="preserve"> (1976) the most indebted companies should rather communicate voluntarily information with the stakeholders of the company to reduce the information asymmetry.</w:t>
      </w:r>
    </w:p>
    <w:p w:rsidR="00B00391" w:rsidRPr="00BB5825" w:rsidRDefault="00B00391" w:rsidP="004828B5">
      <w:pPr>
        <w:spacing w:after="0" w:line="276" w:lineRule="auto"/>
        <w:rPr>
          <w:shd w:val="clear" w:color="auto" w:fill="EFEFEF"/>
        </w:rPr>
      </w:pPr>
    </w:p>
    <w:p w:rsidR="003008D3" w:rsidRPr="00BB5825" w:rsidRDefault="003008D3" w:rsidP="003008D3">
      <w:pPr>
        <w:spacing w:after="0" w:line="276" w:lineRule="auto"/>
        <w:rPr>
          <w:i/>
        </w:rPr>
      </w:pPr>
      <w:r w:rsidRPr="00BB5825">
        <w:rPr>
          <w:i/>
        </w:rPr>
        <w:t>Hypothesis control variable C: Companies with higher debts level present a financial communication of higher quality.</w:t>
      </w:r>
    </w:p>
    <w:p w:rsidR="00B00391" w:rsidRPr="00BB5825" w:rsidRDefault="00B00391" w:rsidP="004828B5">
      <w:pPr>
        <w:spacing w:after="0" w:line="276" w:lineRule="auto"/>
        <w:rPr>
          <w:shd w:val="clear" w:color="auto" w:fill="EFEFEF"/>
        </w:rPr>
      </w:pPr>
    </w:p>
    <w:p w:rsidR="00494584" w:rsidRPr="00BB5825" w:rsidRDefault="00494584" w:rsidP="004828B5">
      <w:pPr>
        <w:spacing w:after="0" w:line="276" w:lineRule="auto"/>
        <w:rPr>
          <w:rFonts w:ascii="Times" w:hAnsi="Times" w:cs="Times"/>
        </w:rPr>
      </w:pPr>
      <w:r w:rsidRPr="00BB5825">
        <w:rPr>
          <w:rFonts w:ascii="Times" w:hAnsi="Times" w:cs="Times"/>
        </w:rPr>
        <w:t>Methodology and data</w:t>
      </w:r>
    </w:p>
    <w:p w:rsidR="00494584" w:rsidRPr="00BB5825" w:rsidRDefault="00494584" w:rsidP="004828B5">
      <w:pPr>
        <w:spacing w:after="0" w:line="276" w:lineRule="auto"/>
        <w:rPr>
          <w:rFonts w:ascii="Times" w:hAnsi="Times" w:cs="Times"/>
        </w:rPr>
      </w:pPr>
    </w:p>
    <w:p w:rsidR="00494584" w:rsidRPr="00BB5825" w:rsidRDefault="00494584" w:rsidP="004828B5">
      <w:pPr>
        <w:spacing w:after="0" w:line="276" w:lineRule="auto"/>
        <w:rPr>
          <w:rFonts w:ascii="Times" w:hAnsi="Times" w:cs="Times"/>
        </w:rPr>
      </w:pPr>
      <w:r w:rsidRPr="00BB5825">
        <w:rPr>
          <w:rFonts w:ascii="Times" w:hAnsi="Times" w:cs="Times"/>
        </w:rPr>
        <w:t>In this section, we present first of all the sample which our study concerns.</w:t>
      </w:r>
      <w:r w:rsidRPr="00BB5825">
        <w:rPr>
          <w:rFonts w:ascii="Times" w:hAnsi="Times" w:cs="Times"/>
        </w:rPr>
        <w:br/>
        <w:t xml:space="preserve">Then, we develop elements allowing estimating the quality of financial communication and </w:t>
      </w:r>
      <w:r w:rsidRPr="00BB5825">
        <w:rPr>
          <w:rFonts w:ascii="Times" w:hAnsi="Times" w:cs="Times"/>
        </w:rPr>
        <w:lastRenderedPageBreak/>
        <w:t>we explain how we built our analysis grid of annual reports.</w:t>
      </w:r>
      <w:r w:rsidRPr="00BB5825">
        <w:rPr>
          <w:rFonts w:ascii="Times" w:hAnsi="Times" w:cs="Times"/>
        </w:rPr>
        <w:br/>
        <w:t xml:space="preserve">The scoring is specified and we demonstrate the way this score allow us to classify our sample in two groups: the companies with higher quality of financial communication and the others. </w:t>
      </w:r>
      <w:r w:rsidRPr="00BB5825">
        <w:rPr>
          <w:rFonts w:ascii="Times" w:hAnsi="Times" w:cs="Times"/>
        </w:rPr>
        <w:br/>
        <w:t xml:space="preserve">Finally, the </w:t>
      </w:r>
      <w:proofErr w:type="spellStart"/>
      <w:r w:rsidRPr="00BB5825">
        <w:rPr>
          <w:rFonts w:ascii="Times" w:hAnsi="Times" w:cs="Times"/>
        </w:rPr>
        <w:t>Logit</w:t>
      </w:r>
      <w:proofErr w:type="spellEnd"/>
      <w:r w:rsidRPr="00BB5825">
        <w:rPr>
          <w:rFonts w:ascii="Times" w:hAnsi="Times" w:cs="Times"/>
        </w:rPr>
        <w:t xml:space="preserve"> model is exposed and the explanatory variables are defined.</w:t>
      </w:r>
    </w:p>
    <w:p w:rsidR="00B00391" w:rsidRPr="00BB5825" w:rsidRDefault="00B00391" w:rsidP="004828B5">
      <w:pPr>
        <w:spacing w:after="0" w:line="276" w:lineRule="auto"/>
        <w:rPr>
          <w:rFonts w:ascii="Times" w:hAnsi="Times" w:cs="Times"/>
        </w:rPr>
      </w:pPr>
    </w:p>
    <w:p w:rsidR="002173D7" w:rsidRPr="00BB5825" w:rsidRDefault="002173D7" w:rsidP="004828B5">
      <w:pPr>
        <w:spacing w:after="0" w:line="276" w:lineRule="auto"/>
        <w:rPr>
          <w:rFonts w:ascii="Times" w:hAnsi="Times" w:cs="Times"/>
        </w:rPr>
      </w:pPr>
      <w:r w:rsidRPr="00BB5825">
        <w:rPr>
          <w:rFonts w:ascii="Times" w:hAnsi="Times" w:cs="Times"/>
        </w:rPr>
        <w:t>Sample</w:t>
      </w:r>
    </w:p>
    <w:p w:rsidR="002173D7" w:rsidRPr="00BB5825" w:rsidRDefault="002173D7" w:rsidP="004828B5">
      <w:pPr>
        <w:spacing w:after="0" w:line="276" w:lineRule="auto"/>
        <w:rPr>
          <w:rFonts w:ascii="Times" w:hAnsi="Times" w:cs="Times"/>
        </w:rPr>
      </w:pPr>
    </w:p>
    <w:p w:rsidR="00E84945" w:rsidRPr="00BB5825" w:rsidRDefault="002173D7" w:rsidP="004828B5">
      <w:pPr>
        <w:spacing w:after="0" w:line="276" w:lineRule="auto"/>
        <w:rPr>
          <w:rFonts w:ascii="Times" w:hAnsi="Times" w:cs="Times"/>
        </w:rPr>
      </w:pPr>
      <w:r w:rsidRPr="00BB5825">
        <w:rPr>
          <w:rFonts w:ascii="Times" w:hAnsi="Times" w:cs="Times"/>
        </w:rPr>
        <w:t>This study concerns 68 firms quoted on the stock market of Brussels</w:t>
      </w:r>
      <w:r w:rsidR="008A63BA" w:rsidRPr="00BB5825">
        <w:rPr>
          <w:rFonts w:ascii="Times" w:hAnsi="Times" w:cs="Times"/>
        </w:rPr>
        <w:t xml:space="preserve"> which belong to</w:t>
      </w:r>
      <w:r w:rsidRPr="00BB5825">
        <w:rPr>
          <w:rFonts w:ascii="Times" w:hAnsi="Times" w:cs="Times"/>
        </w:rPr>
        <w:t xml:space="preserve"> the NYSE Euronext</w:t>
      </w:r>
      <w:r w:rsidR="008A63BA" w:rsidRPr="00BB5825">
        <w:rPr>
          <w:rFonts w:ascii="Times" w:hAnsi="Times" w:cs="Times"/>
        </w:rPr>
        <w:t xml:space="preserve">. We choose to focus </w:t>
      </w:r>
      <w:r w:rsidR="00E84945" w:rsidRPr="00BB5825">
        <w:rPr>
          <w:rFonts w:ascii="Times" w:hAnsi="Times" w:cs="Times"/>
        </w:rPr>
        <w:t>on companies members of compart</w:t>
      </w:r>
      <w:r w:rsidR="008A63BA" w:rsidRPr="00BB5825">
        <w:rPr>
          <w:rFonts w:ascii="Times" w:hAnsi="Times" w:cs="Times"/>
        </w:rPr>
        <w:t>ment A and C. This choice</w:t>
      </w:r>
      <w:r w:rsidRPr="00BB5825">
        <w:rPr>
          <w:rFonts w:ascii="Times" w:hAnsi="Times" w:cs="Times"/>
        </w:rPr>
        <w:t xml:space="preserve"> allow</w:t>
      </w:r>
      <w:r w:rsidR="008A63BA" w:rsidRPr="00BB5825">
        <w:rPr>
          <w:rFonts w:ascii="Times" w:hAnsi="Times" w:cs="Times"/>
        </w:rPr>
        <w:t>s</w:t>
      </w:r>
      <w:r w:rsidRPr="00BB5825">
        <w:rPr>
          <w:rFonts w:ascii="Times" w:hAnsi="Times" w:cs="Times"/>
        </w:rPr>
        <w:t xml:space="preserve"> </w:t>
      </w:r>
      <w:r w:rsidR="008A63BA" w:rsidRPr="00BB5825">
        <w:rPr>
          <w:rFonts w:ascii="Times" w:hAnsi="Times" w:cs="Times"/>
        </w:rPr>
        <w:t>measuring</w:t>
      </w:r>
      <w:r w:rsidRPr="00BB5825">
        <w:rPr>
          <w:rFonts w:ascii="Times" w:hAnsi="Times" w:cs="Times"/>
        </w:rPr>
        <w:t xml:space="preserve"> the </w:t>
      </w:r>
      <w:r w:rsidR="008A63BA" w:rsidRPr="00BB5825">
        <w:rPr>
          <w:rFonts w:ascii="Times" w:hAnsi="Times" w:cs="Times"/>
        </w:rPr>
        <w:t xml:space="preserve">size </w:t>
      </w:r>
      <w:r w:rsidRPr="00BB5825">
        <w:rPr>
          <w:rFonts w:ascii="Times" w:hAnsi="Times" w:cs="Times"/>
        </w:rPr>
        <w:t xml:space="preserve">effect. Proxy of the size is naturally the market capitalization because companies </w:t>
      </w:r>
      <w:r w:rsidR="008A63BA" w:rsidRPr="00BB5825">
        <w:rPr>
          <w:rFonts w:ascii="Times" w:hAnsi="Times" w:cs="Times"/>
        </w:rPr>
        <w:t>quoted</w:t>
      </w:r>
      <w:r w:rsidRPr="00BB5825">
        <w:rPr>
          <w:rFonts w:ascii="Times" w:hAnsi="Times" w:cs="Times"/>
        </w:rPr>
        <w:t xml:space="preserve"> on the compartment A </w:t>
      </w:r>
      <w:r w:rsidR="00E84945" w:rsidRPr="00BB5825">
        <w:rPr>
          <w:rFonts w:ascii="Times" w:hAnsi="Times" w:cs="Times"/>
        </w:rPr>
        <w:t xml:space="preserve">have </w:t>
      </w:r>
      <w:r w:rsidRPr="00BB5825">
        <w:rPr>
          <w:rFonts w:ascii="Times" w:hAnsi="Times" w:cs="Times"/>
        </w:rPr>
        <w:t xml:space="preserve">market capitalization </w:t>
      </w:r>
      <w:r w:rsidR="00E84945" w:rsidRPr="00BB5825">
        <w:rPr>
          <w:rFonts w:ascii="Times" w:hAnsi="Times" w:cs="Times"/>
        </w:rPr>
        <w:t>over</w:t>
      </w:r>
      <w:r w:rsidRPr="00BB5825">
        <w:rPr>
          <w:rFonts w:ascii="Times" w:hAnsi="Times" w:cs="Times"/>
        </w:rPr>
        <w:t xml:space="preserve"> the billion euros</w:t>
      </w:r>
      <w:r w:rsidR="00C83D22" w:rsidRPr="00BB5825">
        <w:rPr>
          <w:rFonts w:ascii="Times" w:hAnsi="Times" w:cs="Times"/>
        </w:rPr>
        <w:t xml:space="preserve"> (blue chips)</w:t>
      </w:r>
      <w:r w:rsidR="00E84945" w:rsidRPr="00BB5825">
        <w:rPr>
          <w:rFonts w:ascii="Times" w:hAnsi="Times" w:cs="Times"/>
        </w:rPr>
        <w:t xml:space="preserve">; companies </w:t>
      </w:r>
      <w:r w:rsidRPr="00BB5825">
        <w:rPr>
          <w:rFonts w:ascii="Times" w:hAnsi="Times" w:cs="Times"/>
        </w:rPr>
        <w:t>quoted</w:t>
      </w:r>
      <w:r w:rsidR="00E84945" w:rsidRPr="00BB5825">
        <w:rPr>
          <w:rFonts w:ascii="Times" w:hAnsi="Times" w:cs="Times"/>
        </w:rPr>
        <w:t xml:space="preserve"> </w:t>
      </w:r>
      <w:r w:rsidRPr="00BB5825">
        <w:rPr>
          <w:rFonts w:ascii="Times" w:hAnsi="Times" w:cs="Times"/>
        </w:rPr>
        <w:t xml:space="preserve">on the compartment C </w:t>
      </w:r>
      <w:r w:rsidR="00E84945" w:rsidRPr="00BB5825">
        <w:rPr>
          <w:rFonts w:ascii="Times" w:hAnsi="Times" w:cs="Times"/>
        </w:rPr>
        <w:t>have</w:t>
      </w:r>
      <w:r w:rsidRPr="00BB5825">
        <w:rPr>
          <w:rFonts w:ascii="Times" w:hAnsi="Times" w:cs="Times"/>
        </w:rPr>
        <w:t xml:space="preserve"> market capitalization lower than 150 million euros</w:t>
      </w:r>
      <w:r w:rsidR="00C83D22" w:rsidRPr="00BB5825">
        <w:rPr>
          <w:rFonts w:ascii="Times" w:hAnsi="Times" w:cs="Times"/>
        </w:rPr>
        <w:t xml:space="preserve"> (small caps)</w:t>
      </w:r>
      <w:r w:rsidRPr="00BB5825">
        <w:rPr>
          <w:rFonts w:ascii="Times" w:hAnsi="Times" w:cs="Times"/>
        </w:rPr>
        <w:t xml:space="preserve">. </w:t>
      </w:r>
    </w:p>
    <w:p w:rsidR="002173D7" w:rsidRPr="00BB5825" w:rsidRDefault="00E84945" w:rsidP="004828B5">
      <w:pPr>
        <w:spacing w:after="0" w:line="276" w:lineRule="auto"/>
        <w:rPr>
          <w:rFonts w:ascii="Times" w:hAnsi="Times" w:cs="Times"/>
        </w:rPr>
      </w:pPr>
      <w:r w:rsidRPr="00BB5825">
        <w:rPr>
          <w:rFonts w:ascii="Times" w:hAnsi="Times" w:cs="Times"/>
        </w:rPr>
        <w:t>In our sample,</w:t>
      </w:r>
      <w:r w:rsidR="00D21073" w:rsidRPr="00BB5825">
        <w:rPr>
          <w:rFonts w:ascii="Times" w:hAnsi="Times" w:cs="Times"/>
        </w:rPr>
        <w:t xml:space="preserve"> </w:t>
      </w:r>
      <w:r w:rsidR="002173D7" w:rsidRPr="00BB5825">
        <w:rPr>
          <w:rFonts w:ascii="Times" w:hAnsi="Times" w:cs="Times"/>
        </w:rPr>
        <w:t>47 Belgian companies are situated in compartment A and 21 in the compartment</w:t>
      </w:r>
      <w:r w:rsidRPr="00BB5825">
        <w:rPr>
          <w:rFonts w:ascii="Times" w:hAnsi="Times" w:cs="Times"/>
        </w:rPr>
        <w:t xml:space="preserve"> C.</w:t>
      </w:r>
    </w:p>
    <w:p w:rsidR="00D21073" w:rsidRPr="00BB5825" w:rsidRDefault="00D21073" w:rsidP="004828B5">
      <w:pPr>
        <w:spacing w:after="0" w:line="276" w:lineRule="auto"/>
        <w:rPr>
          <w:rFonts w:ascii="Times" w:hAnsi="Times" w:cs="Times"/>
        </w:rPr>
      </w:pPr>
    </w:p>
    <w:p w:rsidR="00D21073" w:rsidRPr="00BB5825" w:rsidRDefault="00D21073" w:rsidP="004828B5">
      <w:pPr>
        <w:spacing w:after="0" w:line="276" w:lineRule="auto"/>
        <w:rPr>
          <w:rFonts w:ascii="Times" w:hAnsi="Times" w:cs="Times"/>
        </w:rPr>
      </w:pPr>
      <w:r w:rsidRPr="00BB5825">
        <w:rPr>
          <w:rFonts w:ascii="Times" w:hAnsi="Times" w:cs="Times"/>
        </w:rPr>
        <w:t>Eval</w:t>
      </w:r>
      <w:r w:rsidR="00C83D22" w:rsidRPr="00BB5825">
        <w:rPr>
          <w:rFonts w:ascii="Times" w:hAnsi="Times" w:cs="Times"/>
        </w:rPr>
        <w:t>u</w:t>
      </w:r>
      <w:r w:rsidRPr="00BB5825">
        <w:rPr>
          <w:rFonts w:ascii="Times" w:hAnsi="Times" w:cs="Times"/>
        </w:rPr>
        <w:t>ation of financial communication’s quality</w:t>
      </w:r>
    </w:p>
    <w:p w:rsidR="00D21073" w:rsidRPr="00BB5825" w:rsidRDefault="00D21073" w:rsidP="004828B5">
      <w:pPr>
        <w:spacing w:after="0" w:line="276" w:lineRule="auto"/>
        <w:rPr>
          <w:rFonts w:ascii="Times" w:hAnsi="Times" w:cs="Times"/>
        </w:rPr>
      </w:pPr>
    </w:p>
    <w:p w:rsidR="00D21073" w:rsidRDefault="00D21073" w:rsidP="004828B5">
      <w:pPr>
        <w:spacing w:after="0" w:line="276" w:lineRule="auto"/>
        <w:rPr>
          <w:rFonts w:ascii="Times" w:hAnsi="Times" w:cs="Times"/>
        </w:rPr>
      </w:pPr>
      <w:r w:rsidRPr="00BB5825">
        <w:rPr>
          <w:rFonts w:ascii="Times" w:hAnsi="Times" w:cs="Times"/>
        </w:rPr>
        <w:t>The study of the financial communication’s quality is not a recent subject because one of the first studies carried out</w:t>
      </w:r>
      <w:r w:rsidR="0029246A">
        <w:rPr>
          <w:rFonts w:ascii="Times" w:hAnsi="Times" w:cs="Times"/>
        </w:rPr>
        <w:t xml:space="preserve"> on the subject is the one of C</w:t>
      </w:r>
      <w:r w:rsidRPr="00BB5825">
        <w:rPr>
          <w:rFonts w:ascii="Times" w:hAnsi="Times" w:cs="Times"/>
        </w:rPr>
        <w:t>er</w:t>
      </w:r>
      <w:r w:rsidR="0029246A">
        <w:rPr>
          <w:rFonts w:ascii="Times" w:hAnsi="Times" w:cs="Times"/>
        </w:rPr>
        <w:t>f</w:t>
      </w:r>
      <w:r w:rsidRPr="00BB5825">
        <w:rPr>
          <w:rFonts w:ascii="Times" w:hAnsi="Times" w:cs="Times"/>
        </w:rPr>
        <w:t xml:space="preserve"> (1961). However, Ben </w:t>
      </w:r>
      <w:proofErr w:type="spellStart"/>
      <w:r w:rsidRPr="00BB5825">
        <w:rPr>
          <w:rFonts w:ascii="Times" w:hAnsi="Times" w:cs="Times"/>
        </w:rPr>
        <w:t>Ayed-Koubaa</w:t>
      </w:r>
      <w:proofErr w:type="spellEnd"/>
      <w:r w:rsidRPr="00BB5825">
        <w:rPr>
          <w:rFonts w:ascii="Times" w:hAnsi="Times" w:cs="Times"/>
        </w:rPr>
        <w:t xml:space="preserve"> (2011) underlines the rarity of the definitions of the quality of the information and the fact that it makes difficult evaluating this quality. According to </w:t>
      </w:r>
      <w:proofErr w:type="spellStart"/>
      <w:r w:rsidRPr="00BB5825">
        <w:rPr>
          <w:rFonts w:ascii="Times" w:hAnsi="Times" w:cs="Times"/>
        </w:rPr>
        <w:t>Michaïlesco</w:t>
      </w:r>
      <w:proofErr w:type="spellEnd"/>
      <w:r w:rsidRPr="00BB5825">
        <w:rPr>
          <w:rFonts w:ascii="Times" w:hAnsi="Times" w:cs="Times"/>
        </w:rPr>
        <w:t xml:space="preserve"> (1999), to be of quality, information needs to be sincere, valuable and understandable. Bertrand (2000) defines the quality of the information through the meeting of three criteria: the comprehensiveness, the precision and the reliability.</w:t>
      </w:r>
    </w:p>
    <w:p w:rsidR="00C65CC6" w:rsidRDefault="00C65CC6" w:rsidP="00C65CC6">
      <w:pPr>
        <w:spacing w:after="0" w:line="276" w:lineRule="auto"/>
        <w:rPr>
          <w:rFonts w:ascii="Times" w:hAnsi="Times" w:cs="Times"/>
        </w:rPr>
      </w:pPr>
    </w:p>
    <w:p w:rsidR="00C65CC6" w:rsidRPr="00C65CC6" w:rsidRDefault="00C65CC6" w:rsidP="00C65CC6">
      <w:pPr>
        <w:spacing w:after="0" w:line="276" w:lineRule="auto"/>
        <w:rPr>
          <w:rFonts w:ascii="Times" w:hAnsi="Times" w:cs="Times"/>
        </w:rPr>
      </w:pPr>
      <w:r w:rsidRPr="00C65CC6">
        <w:rPr>
          <w:rFonts w:ascii="Times" w:hAnsi="Times" w:cs="Times"/>
        </w:rPr>
        <w:t>Many authors measure the quality of information with the level of voluntary disclosure. They can be divided in two categories which use the annual rapport as the main communication tool.</w:t>
      </w:r>
    </w:p>
    <w:p w:rsidR="00C65CC6" w:rsidRPr="00C65CC6" w:rsidRDefault="00C65CC6" w:rsidP="00C65CC6">
      <w:pPr>
        <w:spacing w:after="0" w:line="276" w:lineRule="auto"/>
        <w:rPr>
          <w:rFonts w:ascii="Times" w:hAnsi="Times" w:cs="Times"/>
        </w:rPr>
      </w:pPr>
      <w:r w:rsidRPr="00C65CC6">
        <w:rPr>
          <w:rFonts w:ascii="Times" w:hAnsi="Times" w:cs="Times"/>
        </w:rPr>
        <w:t xml:space="preserve">The first category study the voluntary effort of communication </w:t>
      </w:r>
      <w:r>
        <w:rPr>
          <w:rFonts w:ascii="Times" w:hAnsi="Times" w:cs="Times"/>
        </w:rPr>
        <w:t>(</w:t>
      </w:r>
      <w:r w:rsidRPr="00C65CC6">
        <w:rPr>
          <w:rFonts w:ascii="Times" w:hAnsi="Times" w:cs="Times"/>
        </w:rPr>
        <w:t>Firth</w:t>
      </w:r>
      <w:r>
        <w:rPr>
          <w:rFonts w:ascii="Times" w:hAnsi="Times" w:cs="Times"/>
        </w:rPr>
        <w:t xml:space="preserve">, </w:t>
      </w:r>
      <w:r w:rsidRPr="00C65CC6">
        <w:rPr>
          <w:rFonts w:ascii="Times" w:hAnsi="Times" w:cs="Times"/>
        </w:rPr>
        <w:t>1979</w:t>
      </w:r>
      <w:r>
        <w:rPr>
          <w:rFonts w:ascii="Times" w:hAnsi="Times" w:cs="Times"/>
        </w:rPr>
        <w:t>;</w:t>
      </w:r>
      <w:r w:rsidRPr="00C65CC6">
        <w:rPr>
          <w:rFonts w:ascii="Times" w:hAnsi="Times" w:cs="Times"/>
        </w:rPr>
        <w:t xml:space="preserve"> Mac </w:t>
      </w:r>
      <w:proofErr w:type="spellStart"/>
      <w:r w:rsidRPr="00C65CC6">
        <w:rPr>
          <w:rFonts w:ascii="Times" w:hAnsi="Times" w:cs="Times"/>
        </w:rPr>
        <w:t>Nally</w:t>
      </w:r>
      <w:proofErr w:type="spellEnd"/>
      <w:r w:rsidRPr="00C65CC6">
        <w:rPr>
          <w:rFonts w:ascii="Times" w:hAnsi="Times" w:cs="Times"/>
        </w:rPr>
        <w:t xml:space="preserve"> et al. 1982</w:t>
      </w:r>
      <w:r>
        <w:rPr>
          <w:rFonts w:ascii="Times" w:hAnsi="Times" w:cs="Times"/>
        </w:rPr>
        <w:t>;</w:t>
      </w:r>
      <w:r w:rsidRPr="00C65CC6">
        <w:rPr>
          <w:rFonts w:ascii="Times" w:hAnsi="Times" w:cs="Times"/>
        </w:rPr>
        <w:t xml:space="preserve"> Chow &amp; Wong Boren</w:t>
      </w:r>
      <w:r>
        <w:rPr>
          <w:rFonts w:ascii="Times" w:hAnsi="Times" w:cs="Times"/>
        </w:rPr>
        <w:t xml:space="preserve">, </w:t>
      </w:r>
      <w:r w:rsidRPr="00C65CC6">
        <w:rPr>
          <w:rFonts w:ascii="Times" w:hAnsi="Times" w:cs="Times"/>
        </w:rPr>
        <w:t>1987</w:t>
      </w:r>
      <w:r>
        <w:rPr>
          <w:rFonts w:ascii="Times" w:hAnsi="Times" w:cs="Times"/>
        </w:rPr>
        <w:t>;</w:t>
      </w:r>
      <w:r w:rsidRPr="00C65CC6">
        <w:rPr>
          <w:rFonts w:ascii="Times" w:hAnsi="Times" w:cs="Times"/>
        </w:rPr>
        <w:t xml:space="preserve"> Cooke</w:t>
      </w:r>
      <w:r>
        <w:rPr>
          <w:rFonts w:ascii="Times" w:hAnsi="Times" w:cs="Times"/>
        </w:rPr>
        <w:t xml:space="preserve">, </w:t>
      </w:r>
      <w:r w:rsidRPr="00C65CC6">
        <w:rPr>
          <w:rFonts w:ascii="Times" w:hAnsi="Times" w:cs="Times"/>
        </w:rPr>
        <w:t xml:space="preserve">1989 </w:t>
      </w:r>
      <w:r>
        <w:rPr>
          <w:rFonts w:ascii="Times" w:hAnsi="Times" w:cs="Times"/>
        </w:rPr>
        <w:t xml:space="preserve">&amp; </w:t>
      </w:r>
      <w:r w:rsidRPr="00C65CC6">
        <w:rPr>
          <w:rFonts w:ascii="Times" w:hAnsi="Times" w:cs="Times"/>
        </w:rPr>
        <w:t>1991</w:t>
      </w:r>
      <w:r>
        <w:rPr>
          <w:rFonts w:ascii="Times" w:hAnsi="Times" w:cs="Times"/>
        </w:rPr>
        <w:t>;</w:t>
      </w:r>
      <w:r w:rsidRPr="00C65CC6">
        <w:rPr>
          <w:rFonts w:ascii="Times" w:hAnsi="Times" w:cs="Times"/>
        </w:rPr>
        <w:t xml:space="preserve"> Meek et al. 1995</w:t>
      </w:r>
      <w:r>
        <w:rPr>
          <w:rFonts w:ascii="Times" w:hAnsi="Times" w:cs="Times"/>
        </w:rPr>
        <w:t>;</w:t>
      </w:r>
      <w:r w:rsidRPr="00C65CC6">
        <w:rPr>
          <w:rFonts w:ascii="Times" w:hAnsi="Times" w:cs="Times"/>
        </w:rPr>
        <w:t xml:space="preserve"> </w:t>
      </w:r>
      <w:proofErr w:type="spellStart"/>
      <w:r w:rsidRPr="00C65CC6">
        <w:rPr>
          <w:rFonts w:ascii="Times" w:hAnsi="Times" w:cs="Times"/>
        </w:rPr>
        <w:t>Raffournier</w:t>
      </w:r>
      <w:proofErr w:type="spellEnd"/>
      <w:r>
        <w:rPr>
          <w:rFonts w:ascii="Times" w:hAnsi="Times" w:cs="Times"/>
        </w:rPr>
        <w:t xml:space="preserve">, </w:t>
      </w:r>
      <w:r w:rsidRPr="00C65CC6">
        <w:rPr>
          <w:rFonts w:ascii="Times" w:hAnsi="Times" w:cs="Times"/>
        </w:rPr>
        <w:t>1995</w:t>
      </w:r>
      <w:r>
        <w:rPr>
          <w:rFonts w:ascii="Times" w:hAnsi="Times" w:cs="Times"/>
        </w:rPr>
        <w:t>;</w:t>
      </w:r>
      <w:r w:rsidRPr="00C65CC6">
        <w:rPr>
          <w:rFonts w:ascii="Times" w:hAnsi="Times" w:cs="Times"/>
        </w:rPr>
        <w:t xml:space="preserve"> </w:t>
      </w:r>
      <w:proofErr w:type="spellStart"/>
      <w:r w:rsidRPr="00C65CC6">
        <w:rPr>
          <w:rFonts w:ascii="Times" w:hAnsi="Times" w:cs="Times"/>
        </w:rPr>
        <w:t>Michailesco</w:t>
      </w:r>
      <w:proofErr w:type="spellEnd"/>
      <w:r>
        <w:rPr>
          <w:rFonts w:ascii="Times" w:hAnsi="Times" w:cs="Times"/>
        </w:rPr>
        <w:t xml:space="preserve">, </w:t>
      </w:r>
      <w:r w:rsidRPr="00C65CC6">
        <w:rPr>
          <w:rFonts w:ascii="Times" w:hAnsi="Times" w:cs="Times"/>
        </w:rPr>
        <w:t>1999</w:t>
      </w:r>
      <w:r>
        <w:rPr>
          <w:rFonts w:ascii="Times" w:hAnsi="Times" w:cs="Times"/>
        </w:rPr>
        <w:t>;</w:t>
      </w:r>
      <w:r w:rsidRPr="00C65CC6">
        <w:rPr>
          <w:rFonts w:ascii="Times" w:hAnsi="Times" w:cs="Times"/>
        </w:rPr>
        <w:t xml:space="preserve"> </w:t>
      </w:r>
      <w:proofErr w:type="spellStart"/>
      <w:r w:rsidRPr="00C65CC6">
        <w:rPr>
          <w:rFonts w:ascii="Times" w:hAnsi="Times" w:cs="Times"/>
        </w:rPr>
        <w:t>Depoers</w:t>
      </w:r>
      <w:proofErr w:type="spellEnd"/>
      <w:r>
        <w:rPr>
          <w:rFonts w:ascii="Times" w:hAnsi="Times" w:cs="Times"/>
        </w:rPr>
        <w:t xml:space="preserve">, </w:t>
      </w:r>
      <w:r w:rsidRPr="00C65CC6">
        <w:rPr>
          <w:rFonts w:ascii="Times" w:hAnsi="Times" w:cs="Times"/>
        </w:rPr>
        <w:t>1999</w:t>
      </w:r>
      <w:r>
        <w:rPr>
          <w:rFonts w:ascii="Times" w:hAnsi="Times" w:cs="Times"/>
        </w:rPr>
        <w:t>;</w:t>
      </w:r>
      <w:r w:rsidRPr="00C65CC6">
        <w:rPr>
          <w:rFonts w:ascii="Times" w:hAnsi="Times" w:cs="Times"/>
        </w:rPr>
        <w:t xml:space="preserve"> Ho &amp; Wong</w:t>
      </w:r>
      <w:r>
        <w:rPr>
          <w:rFonts w:ascii="Times" w:hAnsi="Times" w:cs="Times"/>
        </w:rPr>
        <w:t xml:space="preserve">, </w:t>
      </w:r>
      <w:r w:rsidRPr="00C65CC6">
        <w:rPr>
          <w:rFonts w:ascii="Times" w:hAnsi="Times" w:cs="Times"/>
        </w:rPr>
        <w:t>2001</w:t>
      </w:r>
      <w:r>
        <w:rPr>
          <w:rFonts w:ascii="Times" w:hAnsi="Times" w:cs="Times"/>
        </w:rPr>
        <w:t>;</w:t>
      </w:r>
      <w:r w:rsidRPr="00C65CC6">
        <w:rPr>
          <w:rFonts w:ascii="Times" w:hAnsi="Times" w:cs="Times"/>
        </w:rPr>
        <w:t xml:space="preserve"> Chau &amp; Gray</w:t>
      </w:r>
      <w:r>
        <w:rPr>
          <w:rFonts w:ascii="Times" w:hAnsi="Times" w:cs="Times"/>
        </w:rPr>
        <w:t xml:space="preserve">, </w:t>
      </w:r>
      <w:r w:rsidRPr="00C65CC6">
        <w:rPr>
          <w:rFonts w:ascii="Times" w:hAnsi="Times" w:cs="Times"/>
        </w:rPr>
        <w:t>2002</w:t>
      </w:r>
      <w:r>
        <w:rPr>
          <w:rFonts w:ascii="Times" w:hAnsi="Times" w:cs="Times"/>
        </w:rPr>
        <w:t>;</w:t>
      </w:r>
      <w:r w:rsidRPr="00C65CC6">
        <w:rPr>
          <w:rFonts w:ascii="Times" w:hAnsi="Times" w:cs="Times"/>
        </w:rPr>
        <w:t xml:space="preserve"> Ferguson et al. 2002</w:t>
      </w:r>
      <w:r>
        <w:rPr>
          <w:rFonts w:ascii="Times" w:hAnsi="Times" w:cs="Times"/>
        </w:rPr>
        <w:t>;</w:t>
      </w:r>
      <w:r w:rsidRPr="00C65CC6">
        <w:rPr>
          <w:rFonts w:ascii="Times" w:hAnsi="Times" w:cs="Times"/>
        </w:rPr>
        <w:t xml:space="preserve"> </w:t>
      </w:r>
      <w:proofErr w:type="spellStart"/>
      <w:r w:rsidRPr="00C65CC6">
        <w:rPr>
          <w:rFonts w:ascii="Times" w:hAnsi="Times" w:cs="Times"/>
        </w:rPr>
        <w:t>Akhtaruddin</w:t>
      </w:r>
      <w:proofErr w:type="spellEnd"/>
      <w:r w:rsidRPr="00C65CC6">
        <w:rPr>
          <w:rFonts w:ascii="Times" w:hAnsi="Times" w:cs="Times"/>
        </w:rPr>
        <w:t xml:space="preserve"> et al. 2009). </w:t>
      </w:r>
    </w:p>
    <w:p w:rsidR="00C65CC6" w:rsidRDefault="00C65CC6" w:rsidP="00C65CC6">
      <w:pPr>
        <w:spacing w:after="0" w:line="276" w:lineRule="auto"/>
        <w:rPr>
          <w:rFonts w:ascii="Times" w:hAnsi="Times" w:cs="Times"/>
        </w:rPr>
      </w:pPr>
      <w:r w:rsidRPr="00C65CC6">
        <w:rPr>
          <w:rFonts w:ascii="Times" w:hAnsi="Times" w:cs="Times"/>
        </w:rPr>
        <w:t xml:space="preserve">The second category study </w:t>
      </w:r>
      <w:r>
        <w:rPr>
          <w:rFonts w:ascii="Times" w:hAnsi="Times" w:cs="Times"/>
        </w:rPr>
        <w:t>sector</w:t>
      </w:r>
      <w:r w:rsidRPr="00C65CC6">
        <w:rPr>
          <w:rFonts w:ascii="Times" w:hAnsi="Times" w:cs="Times"/>
        </w:rPr>
        <w:t xml:space="preserve"> information disclosure and corporate communication</w:t>
      </w:r>
      <w:r>
        <w:rPr>
          <w:rFonts w:ascii="Times" w:hAnsi="Times" w:cs="Times"/>
        </w:rPr>
        <w:t xml:space="preserve"> (</w:t>
      </w:r>
      <w:r w:rsidRPr="00C65CC6">
        <w:rPr>
          <w:rFonts w:ascii="Times" w:hAnsi="Times" w:cs="Times"/>
        </w:rPr>
        <w:t>Bradbury</w:t>
      </w:r>
      <w:r>
        <w:rPr>
          <w:rFonts w:ascii="Times" w:hAnsi="Times" w:cs="Times"/>
        </w:rPr>
        <w:t xml:space="preserve">, </w:t>
      </w:r>
      <w:r w:rsidRPr="00C65CC6">
        <w:rPr>
          <w:rFonts w:ascii="Times" w:hAnsi="Times" w:cs="Times"/>
        </w:rPr>
        <w:t>1992</w:t>
      </w:r>
      <w:r>
        <w:rPr>
          <w:rFonts w:ascii="Times" w:hAnsi="Times" w:cs="Times"/>
        </w:rPr>
        <w:t xml:space="preserve">; Mc </w:t>
      </w:r>
      <w:proofErr w:type="spellStart"/>
      <w:r>
        <w:rPr>
          <w:rFonts w:ascii="Times" w:hAnsi="Times" w:cs="Times"/>
        </w:rPr>
        <w:t>Kinnon</w:t>
      </w:r>
      <w:proofErr w:type="spellEnd"/>
      <w:r>
        <w:rPr>
          <w:rFonts w:ascii="Times" w:hAnsi="Times" w:cs="Times"/>
        </w:rPr>
        <w:t xml:space="preserve"> &amp; </w:t>
      </w:r>
      <w:proofErr w:type="spellStart"/>
      <w:r>
        <w:rPr>
          <w:rFonts w:ascii="Times" w:hAnsi="Times" w:cs="Times"/>
        </w:rPr>
        <w:t>Dalimunthe</w:t>
      </w:r>
      <w:proofErr w:type="spellEnd"/>
      <w:r>
        <w:rPr>
          <w:rFonts w:ascii="Times" w:hAnsi="Times" w:cs="Times"/>
        </w:rPr>
        <w:t xml:space="preserve">, </w:t>
      </w:r>
      <w:r w:rsidRPr="00C65CC6">
        <w:rPr>
          <w:rFonts w:ascii="Times" w:hAnsi="Times" w:cs="Times"/>
        </w:rPr>
        <w:t>1993</w:t>
      </w:r>
      <w:r>
        <w:rPr>
          <w:rFonts w:ascii="Times" w:hAnsi="Times" w:cs="Times"/>
        </w:rPr>
        <w:t>;</w:t>
      </w:r>
      <w:r w:rsidRPr="00C65CC6">
        <w:rPr>
          <w:rFonts w:ascii="Times" w:hAnsi="Times" w:cs="Times"/>
        </w:rPr>
        <w:t xml:space="preserve"> Mitchell et al.</w:t>
      </w:r>
      <w:r>
        <w:rPr>
          <w:rFonts w:ascii="Times" w:hAnsi="Times" w:cs="Times"/>
        </w:rPr>
        <w:t xml:space="preserve"> </w:t>
      </w:r>
      <w:r w:rsidRPr="00C65CC6">
        <w:rPr>
          <w:rFonts w:ascii="Times" w:hAnsi="Times" w:cs="Times"/>
        </w:rPr>
        <w:t>1995</w:t>
      </w:r>
      <w:r>
        <w:rPr>
          <w:rFonts w:ascii="Times" w:hAnsi="Times" w:cs="Times"/>
        </w:rPr>
        <w:t>;</w:t>
      </w:r>
      <w:r w:rsidRPr="00C65CC6">
        <w:rPr>
          <w:rFonts w:ascii="Times" w:hAnsi="Times" w:cs="Times"/>
        </w:rPr>
        <w:t xml:space="preserve"> Scott</w:t>
      </w:r>
      <w:r>
        <w:rPr>
          <w:rFonts w:ascii="Times" w:hAnsi="Times" w:cs="Times"/>
        </w:rPr>
        <w:t xml:space="preserve">, </w:t>
      </w:r>
      <w:r w:rsidRPr="00C65CC6">
        <w:rPr>
          <w:rFonts w:ascii="Times" w:hAnsi="Times" w:cs="Times"/>
        </w:rPr>
        <w:t>1994</w:t>
      </w:r>
      <w:r>
        <w:rPr>
          <w:rFonts w:ascii="Times" w:hAnsi="Times" w:cs="Times"/>
        </w:rPr>
        <w:t>;</w:t>
      </w:r>
      <w:r w:rsidRPr="00C65CC6">
        <w:rPr>
          <w:rFonts w:ascii="Times" w:hAnsi="Times" w:cs="Times"/>
        </w:rPr>
        <w:t xml:space="preserve"> </w:t>
      </w:r>
      <w:proofErr w:type="spellStart"/>
      <w:r w:rsidRPr="00C65CC6">
        <w:rPr>
          <w:rFonts w:ascii="Times" w:hAnsi="Times" w:cs="Times"/>
        </w:rPr>
        <w:t>Entwistle</w:t>
      </w:r>
      <w:proofErr w:type="spellEnd"/>
      <w:r>
        <w:rPr>
          <w:rFonts w:ascii="Times" w:hAnsi="Times" w:cs="Times"/>
        </w:rPr>
        <w:t xml:space="preserve">, </w:t>
      </w:r>
      <w:r w:rsidRPr="00C65CC6">
        <w:rPr>
          <w:rFonts w:ascii="Times" w:hAnsi="Times" w:cs="Times"/>
        </w:rPr>
        <w:t>1999</w:t>
      </w:r>
      <w:r>
        <w:rPr>
          <w:rFonts w:ascii="Times" w:hAnsi="Times" w:cs="Times"/>
        </w:rPr>
        <w:t>;</w:t>
      </w:r>
      <w:r w:rsidRPr="00C65CC6">
        <w:rPr>
          <w:rFonts w:ascii="Times" w:hAnsi="Times" w:cs="Times"/>
        </w:rPr>
        <w:t xml:space="preserve"> </w:t>
      </w:r>
      <w:proofErr w:type="spellStart"/>
      <w:r w:rsidRPr="00C65CC6">
        <w:rPr>
          <w:rFonts w:ascii="Times" w:hAnsi="Times" w:cs="Times"/>
        </w:rPr>
        <w:t>Stolowy</w:t>
      </w:r>
      <w:proofErr w:type="spellEnd"/>
      <w:r w:rsidRPr="00C65CC6">
        <w:rPr>
          <w:rFonts w:ascii="Times" w:hAnsi="Times" w:cs="Times"/>
        </w:rPr>
        <w:t xml:space="preserve"> &amp; Ding</w:t>
      </w:r>
      <w:r>
        <w:rPr>
          <w:rFonts w:ascii="Times" w:hAnsi="Times" w:cs="Times"/>
        </w:rPr>
        <w:t xml:space="preserve">, </w:t>
      </w:r>
      <w:r w:rsidRPr="00C65CC6">
        <w:rPr>
          <w:rFonts w:ascii="Times" w:hAnsi="Times" w:cs="Times"/>
        </w:rPr>
        <w:t>2003)</w:t>
      </w:r>
      <w:r>
        <w:rPr>
          <w:rFonts w:ascii="Times" w:hAnsi="Times" w:cs="Times"/>
        </w:rPr>
        <w:t>.</w:t>
      </w:r>
    </w:p>
    <w:p w:rsidR="007E4316" w:rsidRDefault="007E4316" w:rsidP="00C65CC6">
      <w:pPr>
        <w:spacing w:after="0" w:line="276" w:lineRule="auto"/>
        <w:rPr>
          <w:rFonts w:ascii="Times" w:hAnsi="Times" w:cs="Times"/>
        </w:rPr>
      </w:pPr>
    </w:p>
    <w:p w:rsidR="007E4316" w:rsidRDefault="007E4316" w:rsidP="00C65CC6">
      <w:pPr>
        <w:spacing w:after="0" w:line="276" w:lineRule="auto"/>
        <w:rPr>
          <w:rFonts w:ascii="Times" w:hAnsi="Times" w:cs="Times"/>
        </w:rPr>
      </w:pPr>
      <w:r>
        <w:rPr>
          <w:rFonts w:ascii="Times" w:hAnsi="Times" w:cs="Times"/>
        </w:rPr>
        <w:t xml:space="preserve">Those studies use the same methodology to measure the level of voluntary </w:t>
      </w:r>
      <w:proofErr w:type="gramStart"/>
      <w:r>
        <w:rPr>
          <w:rFonts w:ascii="Times" w:hAnsi="Times" w:cs="Times"/>
        </w:rPr>
        <w:t>disclosure :</w:t>
      </w:r>
      <w:proofErr w:type="gramEnd"/>
      <w:r w:rsidR="004F3755">
        <w:rPr>
          <w:rFonts w:ascii="Times" w:hAnsi="Times" w:cs="Times"/>
        </w:rPr>
        <w:t xml:space="preserve"> with the help of an analysis grid, they count the item of the grid available in the annual rapport and they get a score of voluntary disclosure.</w:t>
      </w:r>
      <w:r>
        <w:rPr>
          <w:rFonts w:ascii="Times" w:hAnsi="Times" w:cs="Times"/>
        </w:rPr>
        <w:t xml:space="preserve"> </w:t>
      </w:r>
    </w:p>
    <w:p w:rsidR="004F3755" w:rsidRPr="004F3755" w:rsidRDefault="004F3755" w:rsidP="004F3755">
      <w:pPr>
        <w:spacing w:after="0" w:line="276" w:lineRule="auto"/>
        <w:rPr>
          <w:rFonts w:ascii="Times" w:hAnsi="Times" w:cs="Times"/>
        </w:rPr>
      </w:pPr>
    </w:p>
    <w:p w:rsidR="007E4316" w:rsidRPr="00431BD7" w:rsidRDefault="007E4316" w:rsidP="00C65CC6">
      <w:pPr>
        <w:spacing w:after="0" w:line="276" w:lineRule="auto"/>
        <w:rPr>
          <w:rFonts w:ascii="Times" w:hAnsi="Times" w:cs="Times"/>
        </w:rPr>
      </w:pPr>
    </w:p>
    <w:p w:rsidR="004F3755" w:rsidRPr="004F3755" w:rsidRDefault="004F3755" w:rsidP="004F3755">
      <w:pPr>
        <w:spacing w:after="0" w:line="276" w:lineRule="auto"/>
        <w:rPr>
          <w:rFonts w:ascii="Times" w:hAnsi="Times" w:cs="Times"/>
        </w:rPr>
      </w:pPr>
      <w:r w:rsidRPr="004F3755">
        <w:rPr>
          <w:rFonts w:ascii="Times" w:hAnsi="Times" w:cs="Times"/>
        </w:rPr>
        <w:lastRenderedPageBreak/>
        <w:t xml:space="preserve">Ben </w:t>
      </w:r>
      <w:proofErr w:type="spellStart"/>
      <w:r w:rsidRPr="004F3755">
        <w:rPr>
          <w:rFonts w:ascii="Times" w:hAnsi="Times" w:cs="Times"/>
        </w:rPr>
        <w:t>Ayed-Koubaa</w:t>
      </w:r>
      <w:proofErr w:type="spellEnd"/>
      <w:r w:rsidRPr="004F3755">
        <w:rPr>
          <w:rFonts w:ascii="Times" w:hAnsi="Times" w:cs="Times"/>
        </w:rPr>
        <w:t xml:space="preserve"> (2011) mentions the evaluation of information’s quality by independent organisms. Three kind of evaluation are possible:</w:t>
      </w:r>
    </w:p>
    <w:p w:rsidR="004F3755" w:rsidRPr="004F3755" w:rsidRDefault="004F3755" w:rsidP="004F3755">
      <w:pPr>
        <w:numPr>
          <w:ilvl w:val="0"/>
          <w:numId w:val="9"/>
        </w:numPr>
        <w:adjustRightInd w:val="0"/>
        <w:snapToGrid w:val="0"/>
        <w:spacing w:after="0"/>
        <w:rPr>
          <w:rFonts w:ascii="Times" w:hAnsi="Times" w:cs="Times"/>
        </w:rPr>
      </w:pPr>
      <w:r w:rsidRPr="004F3755">
        <w:rPr>
          <w:rFonts w:ascii="Times" w:hAnsi="Times" w:cs="Times"/>
        </w:rPr>
        <w:t>Scores given by “Association for Investment Management and Research » (AIMR).</w:t>
      </w:r>
      <w:r w:rsidRPr="004F3755">
        <w:rPr>
          <w:rFonts w:ascii="Times" w:hAnsi="Times" w:cs="Times"/>
        </w:rPr>
        <w:br/>
        <w:t xml:space="preserve">Those scores were used by several researchers (Lang &amp; </w:t>
      </w:r>
      <w:proofErr w:type="spellStart"/>
      <w:r w:rsidRPr="004F3755">
        <w:rPr>
          <w:rFonts w:ascii="Times" w:hAnsi="Times" w:cs="Times"/>
        </w:rPr>
        <w:t>Lundholm</w:t>
      </w:r>
      <w:proofErr w:type="spellEnd"/>
      <w:r w:rsidRPr="004F3755">
        <w:rPr>
          <w:rFonts w:ascii="Times" w:hAnsi="Times" w:cs="Times"/>
        </w:rPr>
        <w:t xml:space="preserve">, 1996 ; </w:t>
      </w:r>
      <w:proofErr w:type="spellStart"/>
      <w:r w:rsidRPr="004F3755">
        <w:rPr>
          <w:rFonts w:ascii="Times" w:hAnsi="Times" w:cs="Times"/>
        </w:rPr>
        <w:t>Sengupta</w:t>
      </w:r>
      <w:proofErr w:type="spellEnd"/>
      <w:r w:rsidRPr="004F3755">
        <w:rPr>
          <w:rFonts w:ascii="Times" w:hAnsi="Times" w:cs="Times"/>
        </w:rPr>
        <w:t xml:space="preserve">, 1998 ; Healy et al., 1999 ; </w:t>
      </w:r>
      <w:proofErr w:type="spellStart"/>
      <w:r w:rsidRPr="004F3755">
        <w:rPr>
          <w:rFonts w:ascii="Times" w:hAnsi="Times" w:cs="Times"/>
        </w:rPr>
        <w:t>Bushee</w:t>
      </w:r>
      <w:proofErr w:type="spellEnd"/>
      <w:r w:rsidRPr="004F3755">
        <w:rPr>
          <w:rFonts w:ascii="Times" w:hAnsi="Times" w:cs="Times"/>
        </w:rPr>
        <w:t xml:space="preserve"> &amp; </w:t>
      </w:r>
      <w:proofErr w:type="spellStart"/>
      <w:r w:rsidRPr="004F3755">
        <w:rPr>
          <w:rFonts w:ascii="Times" w:hAnsi="Times" w:cs="Times"/>
        </w:rPr>
        <w:t>Noé</w:t>
      </w:r>
      <w:proofErr w:type="spellEnd"/>
      <w:r w:rsidRPr="004F3755">
        <w:rPr>
          <w:rFonts w:ascii="Times" w:hAnsi="Times" w:cs="Times"/>
        </w:rPr>
        <w:t xml:space="preserve">, 2000 ; Gelb, 2000 ; </w:t>
      </w:r>
      <w:proofErr w:type="spellStart"/>
      <w:r w:rsidRPr="004F3755">
        <w:rPr>
          <w:rFonts w:ascii="Times" w:hAnsi="Times" w:cs="Times"/>
        </w:rPr>
        <w:t>Botosan</w:t>
      </w:r>
      <w:proofErr w:type="spellEnd"/>
      <w:r w:rsidRPr="004F3755">
        <w:rPr>
          <w:rFonts w:ascii="Times" w:hAnsi="Times" w:cs="Times"/>
        </w:rPr>
        <w:t xml:space="preserve"> &amp; </w:t>
      </w:r>
      <w:proofErr w:type="spellStart"/>
      <w:r w:rsidRPr="004F3755">
        <w:rPr>
          <w:rFonts w:ascii="Times" w:hAnsi="Times" w:cs="Times"/>
        </w:rPr>
        <w:t>Plumlee</w:t>
      </w:r>
      <w:proofErr w:type="spellEnd"/>
      <w:r w:rsidRPr="004F3755">
        <w:rPr>
          <w:rFonts w:ascii="Times" w:hAnsi="Times" w:cs="Times"/>
        </w:rPr>
        <w:t>, 2002);</w:t>
      </w:r>
    </w:p>
    <w:p w:rsidR="004F3755" w:rsidRPr="004F3755" w:rsidRDefault="004F3755" w:rsidP="004F3755">
      <w:pPr>
        <w:pStyle w:val="Paragraphedeliste"/>
        <w:numPr>
          <w:ilvl w:val="0"/>
          <w:numId w:val="1"/>
        </w:numPr>
        <w:spacing w:after="0" w:line="276" w:lineRule="auto"/>
        <w:rPr>
          <w:rFonts w:ascii="Times" w:hAnsi="Times" w:cs="Times"/>
          <w:color w:val="auto"/>
          <w:sz w:val="24"/>
        </w:rPr>
      </w:pPr>
      <w:r w:rsidRPr="004F3755">
        <w:rPr>
          <w:rFonts w:ascii="Times" w:hAnsi="Times" w:cs="Times"/>
          <w:color w:val="auto"/>
          <w:sz w:val="24"/>
        </w:rPr>
        <w:t>Transparency index developed by the international center of research and financial analysis (used in Hope, 2003);</w:t>
      </w:r>
    </w:p>
    <w:p w:rsidR="004F3755" w:rsidRPr="004F3755" w:rsidRDefault="004F3755" w:rsidP="004F3755">
      <w:pPr>
        <w:pStyle w:val="Paragraphedeliste"/>
        <w:numPr>
          <w:ilvl w:val="0"/>
          <w:numId w:val="1"/>
        </w:numPr>
        <w:spacing w:after="0" w:line="276" w:lineRule="auto"/>
        <w:rPr>
          <w:rFonts w:ascii="Times" w:hAnsi="Times" w:cs="Times"/>
          <w:color w:val="auto"/>
          <w:sz w:val="24"/>
        </w:rPr>
      </w:pPr>
      <w:r w:rsidRPr="004F3755">
        <w:rPr>
          <w:rFonts w:ascii="Times" w:hAnsi="Times" w:cs="Times"/>
          <w:color w:val="auto"/>
          <w:sz w:val="24"/>
        </w:rPr>
        <w:t xml:space="preserve"> The evaluation of SBF 120 done by </w:t>
      </w:r>
      <w:proofErr w:type="spellStart"/>
      <w:r w:rsidRPr="004F3755">
        <w:rPr>
          <w:rFonts w:ascii="Times" w:hAnsi="Times" w:cs="Times"/>
          <w:color w:val="auto"/>
          <w:sz w:val="24"/>
        </w:rPr>
        <w:t>Sofres</w:t>
      </w:r>
      <w:proofErr w:type="spellEnd"/>
      <w:r w:rsidRPr="004F3755">
        <w:rPr>
          <w:rFonts w:ascii="Times" w:hAnsi="Times" w:cs="Times"/>
          <w:color w:val="auto"/>
          <w:sz w:val="24"/>
        </w:rPr>
        <w:t xml:space="preserve"> Institute in 2000 at Euronext’s demand. This evaluation was used at first place by </w:t>
      </w:r>
      <w:r w:rsidRPr="004F3755">
        <w:rPr>
          <w:rFonts w:ascii="Times" w:hAnsi="Times" w:cs="Times"/>
          <w:color w:val="auto"/>
          <w:sz w:val="24"/>
          <w:szCs w:val="24"/>
        </w:rPr>
        <w:t xml:space="preserve">Labelle &amp; </w:t>
      </w:r>
      <w:proofErr w:type="spellStart"/>
      <w:r w:rsidRPr="004F3755">
        <w:rPr>
          <w:rFonts w:ascii="Times" w:hAnsi="Times" w:cs="Times"/>
          <w:color w:val="auto"/>
          <w:sz w:val="24"/>
          <w:szCs w:val="24"/>
        </w:rPr>
        <w:t>Schatt</w:t>
      </w:r>
      <w:proofErr w:type="spellEnd"/>
      <w:r w:rsidRPr="004F3755">
        <w:rPr>
          <w:rFonts w:ascii="Times" w:hAnsi="Times" w:cs="Times"/>
          <w:color w:val="auto"/>
          <w:sz w:val="24"/>
          <w:szCs w:val="24"/>
        </w:rPr>
        <w:t xml:space="preserve"> (2005).</w:t>
      </w:r>
    </w:p>
    <w:p w:rsidR="004F3755" w:rsidRPr="00431BD7" w:rsidRDefault="004F3755" w:rsidP="009B6F4E">
      <w:pPr>
        <w:spacing w:after="0" w:line="276" w:lineRule="auto"/>
        <w:rPr>
          <w:rFonts w:ascii="Times" w:hAnsi="Times" w:cs="Times"/>
        </w:rPr>
      </w:pPr>
    </w:p>
    <w:p w:rsidR="00EB1573" w:rsidRPr="00431BD7" w:rsidRDefault="004F3755" w:rsidP="009B6F4E">
      <w:pPr>
        <w:spacing w:after="0" w:line="276" w:lineRule="auto"/>
        <w:rPr>
          <w:rFonts w:ascii="Times" w:hAnsi="Times" w:cs="Times"/>
        </w:rPr>
      </w:pPr>
      <w:r w:rsidRPr="00431BD7">
        <w:rPr>
          <w:rFonts w:ascii="Times" w:hAnsi="Times" w:cs="Times"/>
        </w:rPr>
        <w:t xml:space="preserve">Ben </w:t>
      </w:r>
      <w:proofErr w:type="spellStart"/>
      <w:r w:rsidRPr="00431BD7">
        <w:rPr>
          <w:rFonts w:ascii="Times" w:hAnsi="Times" w:cs="Times"/>
        </w:rPr>
        <w:t>Ayed-Koubaa</w:t>
      </w:r>
      <w:proofErr w:type="spellEnd"/>
      <w:r w:rsidRPr="00431BD7">
        <w:rPr>
          <w:rFonts w:ascii="Times" w:hAnsi="Times" w:cs="Times"/>
        </w:rPr>
        <w:t xml:space="preserve"> (2011)</w:t>
      </w:r>
      <w:r w:rsidR="00EB1573" w:rsidRPr="00431BD7">
        <w:rPr>
          <w:rFonts w:ascii="Times" w:hAnsi="Times" w:cs="Times"/>
        </w:rPr>
        <w:t xml:space="preserve"> says that the precision of analysts’ previsions is a better measure of information’s quality than a score. </w:t>
      </w:r>
      <w:r w:rsidR="009B6F4E" w:rsidRPr="00431BD7">
        <w:rPr>
          <w:rFonts w:ascii="Times" w:hAnsi="Times" w:cs="Times"/>
        </w:rPr>
        <w:t>Nevertheless we can observe very different prevision and we are not sure that prevision’s gap is a signal of bad communication.</w:t>
      </w:r>
    </w:p>
    <w:p w:rsidR="00C62BB7" w:rsidRPr="00431BD7" w:rsidRDefault="00C62BB7" w:rsidP="004828B5">
      <w:pPr>
        <w:spacing w:after="0" w:line="276" w:lineRule="auto"/>
        <w:rPr>
          <w:rFonts w:ascii="Times" w:hAnsi="Times" w:cs="Times"/>
        </w:rPr>
      </w:pPr>
    </w:p>
    <w:p w:rsidR="00317DA4" w:rsidRPr="00BB5825" w:rsidRDefault="00C62BB7" w:rsidP="00E35CDE">
      <w:pPr>
        <w:spacing w:after="0" w:line="276" w:lineRule="auto"/>
        <w:rPr>
          <w:rFonts w:ascii="Times" w:hAnsi="Times" w:cs="Times"/>
        </w:rPr>
      </w:pPr>
      <w:r w:rsidRPr="00BB5825">
        <w:rPr>
          <w:rFonts w:ascii="Times" w:hAnsi="Times" w:cs="Times"/>
        </w:rPr>
        <w:t xml:space="preserve">In this study the quality of financial communication </w:t>
      </w:r>
      <w:r w:rsidR="00317DA4" w:rsidRPr="00BB5825">
        <w:rPr>
          <w:rFonts w:ascii="Times" w:hAnsi="Times" w:cs="Times"/>
        </w:rPr>
        <w:t xml:space="preserve">is measured </w:t>
      </w:r>
      <w:r w:rsidRPr="00BB5825">
        <w:rPr>
          <w:rFonts w:ascii="Times" w:hAnsi="Times" w:cs="Times"/>
        </w:rPr>
        <w:t>by a scoring established</w:t>
      </w:r>
      <w:r w:rsidR="00317DA4" w:rsidRPr="00BB5825">
        <w:rPr>
          <w:rFonts w:ascii="Times" w:hAnsi="Times" w:cs="Times"/>
        </w:rPr>
        <w:t xml:space="preserve"> thanks to our analysis grid</w:t>
      </w:r>
      <w:r w:rsidRPr="00BB5825">
        <w:rPr>
          <w:rFonts w:ascii="Times" w:hAnsi="Times" w:cs="Times"/>
        </w:rPr>
        <w:t xml:space="preserve"> of 40 items. The constitution of this </w:t>
      </w:r>
      <w:r w:rsidR="00317DA4" w:rsidRPr="00BB5825">
        <w:rPr>
          <w:rFonts w:ascii="Times" w:hAnsi="Times" w:cs="Times"/>
        </w:rPr>
        <w:t xml:space="preserve">analysis grid is based on </w:t>
      </w:r>
      <w:r w:rsidRPr="00BB5825">
        <w:rPr>
          <w:rFonts w:ascii="Times" w:hAnsi="Times" w:cs="Times"/>
        </w:rPr>
        <w:t xml:space="preserve">the works of </w:t>
      </w:r>
      <w:proofErr w:type="spellStart"/>
      <w:r w:rsidRPr="00BB5825">
        <w:rPr>
          <w:rFonts w:ascii="Times" w:hAnsi="Times" w:cs="Times"/>
        </w:rPr>
        <w:t>Botosan</w:t>
      </w:r>
      <w:proofErr w:type="spellEnd"/>
      <w:r w:rsidRPr="00BB5825">
        <w:rPr>
          <w:rFonts w:ascii="Times" w:hAnsi="Times" w:cs="Times"/>
        </w:rPr>
        <w:t xml:space="preserve"> (1997</w:t>
      </w:r>
      <w:r w:rsidR="00317DA4" w:rsidRPr="00BB5825">
        <w:rPr>
          <w:rFonts w:ascii="Times" w:hAnsi="Times" w:cs="Times"/>
        </w:rPr>
        <w:t>), Robb et al. (2001), Beattie &amp; Pratt (</w:t>
      </w:r>
      <w:r w:rsidRPr="00BB5825">
        <w:rPr>
          <w:rFonts w:ascii="Times" w:hAnsi="Times" w:cs="Times"/>
        </w:rPr>
        <w:t xml:space="preserve">2002), </w:t>
      </w:r>
      <w:proofErr w:type="spellStart"/>
      <w:r w:rsidRPr="00BB5825">
        <w:rPr>
          <w:rFonts w:ascii="Times" w:hAnsi="Times" w:cs="Times"/>
        </w:rPr>
        <w:t>Vanstraelen</w:t>
      </w:r>
      <w:proofErr w:type="spellEnd"/>
      <w:r w:rsidRPr="00BB5825">
        <w:rPr>
          <w:rFonts w:ascii="Times" w:hAnsi="Times" w:cs="Times"/>
        </w:rPr>
        <w:t xml:space="preserve"> </w:t>
      </w:r>
      <w:r w:rsidR="00317DA4" w:rsidRPr="00BB5825">
        <w:rPr>
          <w:rFonts w:ascii="Times" w:hAnsi="Times" w:cs="Times"/>
        </w:rPr>
        <w:t>et</w:t>
      </w:r>
      <w:r w:rsidRPr="00BB5825">
        <w:rPr>
          <w:rFonts w:ascii="Times" w:hAnsi="Times" w:cs="Times"/>
        </w:rPr>
        <w:t xml:space="preserve"> al. (2003) and Beattie </w:t>
      </w:r>
      <w:r w:rsidR="00317DA4" w:rsidRPr="00BB5825">
        <w:rPr>
          <w:rFonts w:ascii="Times" w:hAnsi="Times" w:cs="Times"/>
        </w:rPr>
        <w:t>et</w:t>
      </w:r>
      <w:r w:rsidRPr="00BB5825">
        <w:rPr>
          <w:rFonts w:ascii="Times" w:hAnsi="Times" w:cs="Times"/>
        </w:rPr>
        <w:t xml:space="preserve"> al. (2004)</w:t>
      </w:r>
      <w:r w:rsidR="00317DA4" w:rsidRPr="00BB5825">
        <w:rPr>
          <w:rFonts w:ascii="Times" w:hAnsi="Times" w:cs="Times"/>
        </w:rPr>
        <w:t xml:space="preserve">. They </w:t>
      </w:r>
      <w:r w:rsidRPr="00BB5825">
        <w:rPr>
          <w:rFonts w:ascii="Times" w:hAnsi="Times" w:cs="Times"/>
        </w:rPr>
        <w:t xml:space="preserve">developed </w:t>
      </w:r>
      <w:r w:rsidR="00317DA4" w:rsidRPr="00BB5825">
        <w:rPr>
          <w:rFonts w:ascii="Times" w:hAnsi="Times" w:cs="Times"/>
        </w:rPr>
        <w:t>their analysis grid inspiring themselves of J</w:t>
      </w:r>
      <w:r w:rsidRPr="00BB5825">
        <w:rPr>
          <w:rFonts w:ascii="Times" w:hAnsi="Times" w:cs="Times"/>
        </w:rPr>
        <w:t>enkins</w:t>
      </w:r>
      <w:r w:rsidR="00317DA4" w:rsidRPr="00BB5825">
        <w:rPr>
          <w:rFonts w:ascii="Times" w:hAnsi="Times" w:cs="Times"/>
        </w:rPr>
        <w:t xml:space="preserve"> committee‘s report</w:t>
      </w:r>
      <w:r w:rsidRPr="00BB5825">
        <w:rPr>
          <w:rFonts w:ascii="Times" w:hAnsi="Times" w:cs="Times"/>
        </w:rPr>
        <w:t>. This committee, created in 1991 by American Institute of Certified Public Accountants, was in charge of working on the relevance and the utility of financial communication. This report proposes recommendations to improve the quality of financial communication</w:t>
      </w:r>
      <w:r w:rsidR="00317DA4" w:rsidRPr="00BB5825">
        <w:rPr>
          <w:rFonts w:ascii="Times" w:hAnsi="Times" w:cs="Times"/>
        </w:rPr>
        <w:t xml:space="preserve"> of companies (Robb et </w:t>
      </w:r>
      <w:r w:rsidRPr="00BB5825">
        <w:rPr>
          <w:rFonts w:ascii="Times" w:hAnsi="Times" w:cs="Times"/>
        </w:rPr>
        <w:t>al. 2001</w:t>
      </w:r>
      <w:r w:rsidR="00317DA4" w:rsidRPr="00BB5825">
        <w:rPr>
          <w:rFonts w:ascii="Times" w:hAnsi="Times" w:cs="Times"/>
        </w:rPr>
        <w:t>), it</w:t>
      </w:r>
      <w:r w:rsidR="00E35CDE" w:rsidRPr="00BB5825">
        <w:rPr>
          <w:rFonts w:ascii="Times" w:hAnsi="Times" w:cs="Times"/>
        </w:rPr>
        <w:t xml:space="preserve"> is</w:t>
      </w:r>
      <w:r w:rsidR="00317DA4" w:rsidRPr="00BB5825">
        <w:rPr>
          <w:rFonts w:ascii="Times" w:hAnsi="Times" w:cs="Times"/>
        </w:rPr>
        <w:t xml:space="preserve"> a foundation in this domain and it influences very widely researches in the financial communication’s fields (Beattie et al. (2004).</w:t>
      </w:r>
    </w:p>
    <w:p w:rsidR="00C62BB7" w:rsidRPr="00BB5825" w:rsidRDefault="00C62BB7" w:rsidP="004828B5">
      <w:pPr>
        <w:spacing w:after="0" w:line="276" w:lineRule="auto"/>
        <w:rPr>
          <w:shd w:val="clear" w:color="auto" w:fill="EFEFEF"/>
        </w:rPr>
      </w:pPr>
    </w:p>
    <w:p w:rsidR="00B00391" w:rsidRPr="00BB5825" w:rsidRDefault="000B2240" w:rsidP="004828B5">
      <w:pPr>
        <w:spacing w:after="0" w:line="276" w:lineRule="auto"/>
        <w:rPr>
          <w:rFonts w:ascii="Times" w:hAnsi="Times" w:cs="Times"/>
        </w:rPr>
      </w:pPr>
      <w:r w:rsidRPr="00BB5825">
        <w:rPr>
          <w:rFonts w:ascii="Times" w:hAnsi="Times" w:cs="Times"/>
        </w:rPr>
        <w:t>Table 3</w:t>
      </w:r>
      <w:r w:rsidR="00E35CDE" w:rsidRPr="00BB5825">
        <w:rPr>
          <w:rFonts w:ascii="Times" w:hAnsi="Times" w:cs="Times"/>
        </w:rPr>
        <w:t>: Analysis grid of annual reports</w:t>
      </w:r>
    </w:p>
    <w:p w:rsidR="00B00391" w:rsidRPr="00BB5825" w:rsidRDefault="00B00391" w:rsidP="004828B5">
      <w:pPr>
        <w:spacing w:after="0" w:line="276" w:lineRule="auto"/>
        <w:rPr>
          <w:shd w:val="clear" w:color="auto" w:fill="EFEFEF"/>
        </w:rPr>
      </w:pPr>
    </w:p>
    <w:tbl>
      <w:tblPr>
        <w:tblW w:w="7512" w:type="dxa"/>
        <w:tblInd w:w="496" w:type="dxa"/>
        <w:tblCellMar>
          <w:left w:w="70" w:type="dxa"/>
          <w:right w:w="70" w:type="dxa"/>
        </w:tblCellMar>
        <w:tblLook w:val="0000" w:firstRow="0" w:lastRow="0" w:firstColumn="0" w:lastColumn="0" w:noHBand="0" w:noVBand="0"/>
      </w:tblPr>
      <w:tblGrid>
        <w:gridCol w:w="520"/>
        <w:gridCol w:w="6992"/>
      </w:tblGrid>
      <w:tr w:rsidR="00BB5825" w:rsidRPr="00BB5825" w:rsidTr="008566D5">
        <w:trPr>
          <w:trHeight w:hRule="exact" w:val="340"/>
        </w:trPr>
        <w:tc>
          <w:tcPr>
            <w:tcW w:w="75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35CDE" w:rsidRPr="00BB5825" w:rsidRDefault="00E35CDE" w:rsidP="00E35CDE">
            <w:pPr>
              <w:spacing w:line="240" w:lineRule="auto"/>
              <w:jc w:val="center"/>
              <w:rPr>
                <w:rFonts w:eastAsia="Batang"/>
                <w:b/>
                <w:bCs/>
                <w:sz w:val="20"/>
                <w:lang w:val="fr-BE" w:eastAsia="ko-KR"/>
              </w:rPr>
            </w:pPr>
            <w:r w:rsidRPr="00BB5825">
              <w:rPr>
                <w:rFonts w:eastAsia="Batang"/>
                <w:sz w:val="20"/>
                <w:lang w:eastAsia="ko-KR"/>
              </w:rPr>
              <w:t> </w:t>
            </w:r>
            <w:r w:rsidRPr="00BB5825">
              <w:rPr>
                <w:rFonts w:eastAsia="Batang"/>
                <w:b/>
                <w:bCs/>
                <w:sz w:val="20"/>
                <w:lang w:val="fr-BE" w:eastAsia="ko-KR"/>
              </w:rPr>
              <w:t xml:space="preserve">1) Financial and non </w:t>
            </w:r>
            <w:r w:rsidR="00A7696C" w:rsidRPr="00BB5825">
              <w:rPr>
                <w:rFonts w:eastAsia="Batang"/>
                <w:b/>
                <w:bCs/>
                <w:sz w:val="20"/>
                <w:lang w:val="fr-BE" w:eastAsia="ko-KR"/>
              </w:rPr>
              <w:t>Financial</w:t>
            </w:r>
            <w:r w:rsidRPr="00BB5825">
              <w:rPr>
                <w:rFonts w:eastAsia="Batang"/>
                <w:b/>
                <w:bCs/>
                <w:sz w:val="20"/>
                <w:lang w:val="fr-BE" w:eastAsia="ko-KR"/>
              </w:rPr>
              <w:t xml:space="preserve"> informations </w:t>
            </w:r>
          </w:p>
        </w:tc>
      </w:tr>
      <w:tr w:rsidR="00BB5825" w:rsidRPr="00BB5825" w:rsidTr="008566D5">
        <w:trPr>
          <w:trHeight w:hRule="exact" w:val="340"/>
        </w:trPr>
        <w:tc>
          <w:tcPr>
            <w:tcW w:w="7512" w:type="dxa"/>
            <w:gridSpan w:val="2"/>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b/>
                <w:bCs/>
                <w:sz w:val="20"/>
                <w:lang w:eastAsia="ko-KR"/>
              </w:rPr>
            </w:pPr>
            <w:r w:rsidRPr="00BB5825">
              <w:rPr>
                <w:rFonts w:eastAsia="Batang"/>
                <w:b/>
                <w:bCs/>
                <w:sz w:val="20"/>
                <w:lang w:eastAsia="ko-KR"/>
              </w:rPr>
              <w:t>a. Financial</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1</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E35CDE">
            <w:pPr>
              <w:spacing w:line="240" w:lineRule="auto"/>
              <w:rPr>
                <w:rFonts w:eastAsia="Batang"/>
                <w:sz w:val="20"/>
                <w:lang w:eastAsia="ko-KR"/>
              </w:rPr>
            </w:pPr>
            <w:r w:rsidRPr="00BB5825">
              <w:rPr>
                <w:rFonts w:eastAsia="Batang"/>
                <w:sz w:val="20"/>
                <w:lang w:eastAsia="ko-KR"/>
              </w:rPr>
              <w:t>Return on assets (ROA)</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Return on equity (ROE)</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val="fr-BE" w:eastAsia="ko-KR"/>
              </w:rPr>
            </w:pPr>
            <w:r w:rsidRPr="00BB5825">
              <w:rPr>
                <w:rFonts w:eastAsia="Batang"/>
                <w:sz w:val="20"/>
                <w:lang w:val="fr-BE" w:eastAsia="ko-KR"/>
              </w:rPr>
              <w:t>Cash-flow</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4</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E35CDE">
            <w:pPr>
              <w:spacing w:line="240" w:lineRule="auto"/>
              <w:rPr>
                <w:rFonts w:eastAsia="Batang"/>
                <w:sz w:val="20"/>
                <w:lang w:eastAsia="ko-KR"/>
              </w:rPr>
            </w:pPr>
            <w:r w:rsidRPr="00BB5825">
              <w:rPr>
                <w:rFonts w:eastAsia="Batang"/>
                <w:sz w:val="20"/>
                <w:lang w:eastAsia="ko-KR"/>
              </w:rPr>
              <w:t>I</w:t>
            </w:r>
            <w:r w:rsidR="00A7696C" w:rsidRPr="00BB5825">
              <w:rPr>
                <w:rFonts w:eastAsia="Batang"/>
                <w:sz w:val="20"/>
                <w:lang w:eastAsia="ko-KR"/>
              </w:rPr>
              <w:t>nvest</w:t>
            </w:r>
            <w:r w:rsidRPr="00BB5825">
              <w:rPr>
                <w:rFonts w:eastAsia="Batang"/>
                <w:sz w:val="20"/>
                <w:lang w:eastAsia="ko-KR"/>
              </w:rPr>
              <w:t>ment amount</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5</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1713C3" w:rsidP="008566D5">
            <w:pPr>
              <w:spacing w:line="240" w:lineRule="auto"/>
              <w:rPr>
                <w:rFonts w:eastAsia="Batang"/>
                <w:sz w:val="20"/>
                <w:lang w:eastAsia="ko-KR"/>
              </w:rPr>
            </w:pPr>
            <w:r>
              <w:rPr>
                <w:rFonts w:eastAsia="Batang"/>
                <w:sz w:val="20"/>
                <w:lang w:eastAsia="ko-KR"/>
              </w:rPr>
              <w:t>Operating capital</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6</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val="en-GB" w:eastAsia="ko-KR"/>
              </w:rPr>
              <w:t>Earnings per share</w:t>
            </w:r>
            <w:r w:rsidRPr="00BB5825">
              <w:rPr>
                <w:rFonts w:eastAsia="Batang"/>
                <w:sz w:val="20"/>
                <w:lang w:eastAsia="ko-KR"/>
              </w:rPr>
              <w:t xml:space="preserve"> (EPS)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7</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E35CDE">
            <w:pPr>
              <w:spacing w:line="240" w:lineRule="auto"/>
              <w:rPr>
                <w:rFonts w:eastAsia="Batang"/>
                <w:sz w:val="20"/>
                <w:lang w:eastAsia="ko-KR"/>
              </w:rPr>
            </w:pPr>
            <w:r w:rsidRPr="00BB5825">
              <w:rPr>
                <w:rFonts w:eastAsia="Batang"/>
                <w:sz w:val="20"/>
                <w:lang w:eastAsia="ko-KR"/>
              </w:rPr>
              <w:t>Market capitalization</w:t>
            </w:r>
          </w:p>
        </w:tc>
      </w:tr>
      <w:tr w:rsidR="00BB5825" w:rsidRPr="00BB5825" w:rsidTr="008566D5">
        <w:trPr>
          <w:trHeight w:hRule="exact" w:val="340"/>
        </w:trPr>
        <w:tc>
          <w:tcPr>
            <w:tcW w:w="7512" w:type="dxa"/>
            <w:gridSpan w:val="2"/>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b/>
                <w:bCs/>
                <w:sz w:val="20"/>
                <w:lang w:val="fr-BE" w:eastAsia="ko-KR"/>
              </w:rPr>
            </w:pPr>
            <w:r w:rsidRPr="00BB5825">
              <w:rPr>
                <w:rFonts w:eastAsia="Batang"/>
                <w:b/>
                <w:bCs/>
                <w:sz w:val="20"/>
                <w:lang w:val="fr-BE" w:eastAsia="ko-KR"/>
              </w:rPr>
              <w:t xml:space="preserve">b. Non </w:t>
            </w:r>
            <w:r w:rsidR="00A7696C" w:rsidRPr="00BB5825">
              <w:rPr>
                <w:rFonts w:eastAsia="Batang"/>
                <w:b/>
                <w:bCs/>
                <w:sz w:val="20"/>
                <w:lang w:val="fr-BE" w:eastAsia="ko-KR"/>
              </w:rPr>
              <w:t>Financial</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8</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E35CDE">
            <w:pPr>
              <w:spacing w:line="240" w:lineRule="auto"/>
              <w:rPr>
                <w:rFonts w:eastAsia="Batang"/>
                <w:sz w:val="20"/>
                <w:lang w:eastAsia="ko-KR"/>
              </w:rPr>
            </w:pPr>
            <w:r w:rsidRPr="00BB5825">
              <w:rPr>
                <w:rFonts w:eastAsia="Batang"/>
                <w:sz w:val="20"/>
                <w:lang w:eastAsia="ko-KR"/>
              </w:rPr>
              <w:t>Number of workers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9</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Salaries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10</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E35CDE">
            <w:pPr>
              <w:spacing w:line="240" w:lineRule="auto"/>
              <w:rPr>
                <w:rFonts w:eastAsia="Batang"/>
                <w:sz w:val="20"/>
                <w:lang w:val="fr-BE" w:eastAsia="ko-KR"/>
              </w:rPr>
            </w:pPr>
            <w:r w:rsidRPr="00BB5825">
              <w:rPr>
                <w:rFonts w:eastAsia="Batang"/>
                <w:sz w:val="20"/>
                <w:lang w:eastAsia="ko-KR"/>
              </w:rPr>
              <w:t>Markets</w:t>
            </w:r>
            <w:r w:rsidRPr="00BB5825">
              <w:rPr>
                <w:rFonts w:eastAsia="Batang"/>
                <w:sz w:val="20"/>
                <w:lang w:val="fr-BE" w:eastAsia="ko-KR"/>
              </w:rPr>
              <w:t xml:space="preserve"> </w:t>
            </w:r>
            <w:r w:rsidRPr="00BB5825">
              <w:rPr>
                <w:rFonts w:eastAsia="Batang"/>
                <w:sz w:val="20"/>
                <w:lang w:eastAsia="ko-KR"/>
              </w:rPr>
              <w:t>shares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lastRenderedPageBreak/>
              <w:t>11</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Numbers of sales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12</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val="fr-BE" w:eastAsia="ko-KR"/>
              </w:rPr>
            </w:pPr>
            <w:r w:rsidRPr="00BB5825">
              <w:rPr>
                <w:rFonts w:eastAsia="Batang"/>
                <w:sz w:val="20"/>
                <w:lang w:val="fr-BE" w:eastAsia="ko-KR"/>
              </w:rPr>
              <w:t xml:space="preserve">Price for a </w:t>
            </w:r>
            <w:r w:rsidRPr="00BB5825">
              <w:rPr>
                <w:rFonts w:eastAsia="Batang"/>
                <w:sz w:val="20"/>
                <w:lang w:eastAsia="ko-KR"/>
              </w:rPr>
              <w:t>product</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13</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Customers’ satisfaction</w:t>
            </w:r>
          </w:p>
        </w:tc>
      </w:tr>
      <w:tr w:rsidR="00BB5825" w:rsidRPr="00BB5825" w:rsidTr="008566D5">
        <w:trPr>
          <w:trHeight w:hRule="exact" w:val="340"/>
        </w:trPr>
        <w:tc>
          <w:tcPr>
            <w:tcW w:w="75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35CDE" w:rsidRPr="00BB5825" w:rsidRDefault="00E35CDE" w:rsidP="00E84B02">
            <w:pPr>
              <w:spacing w:line="240" w:lineRule="auto"/>
              <w:jc w:val="center"/>
              <w:rPr>
                <w:rFonts w:eastAsia="Batang"/>
                <w:b/>
                <w:bCs/>
                <w:sz w:val="20"/>
                <w:lang w:val="fr-BE" w:eastAsia="ko-KR"/>
              </w:rPr>
            </w:pPr>
            <w:r w:rsidRPr="00BB5825">
              <w:rPr>
                <w:rFonts w:eastAsia="Batang"/>
                <w:b/>
                <w:bCs/>
                <w:sz w:val="20"/>
                <w:lang w:val="fr-BE" w:eastAsia="ko-KR"/>
              </w:rPr>
              <w:t xml:space="preserve">2) </w:t>
            </w:r>
            <w:r w:rsidR="00A7696C" w:rsidRPr="00BB5825">
              <w:rPr>
                <w:rFonts w:eastAsia="Batang"/>
                <w:b/>
                <w:bCs/>
                <w:sz w:val="20"/>
                <w:lang w:val="fr-BE" w:eastAsia="ko-KR"/>
              </w:rPr>
              <w:t xml:space="preserve">Managers’ </w:t>
            </w:r>
            <w:r w:rsidR="00A7696C" w:rsidRPr="00BB5825">
              <w:rPr>
                <w:rFonts w:eastAsia="Batang"/>
                <w:b/>
                <w:bCs/>
                <w:sz w:val="20"/>
                <w:lang w:eastAsia="ko-KR"/>
              </w:rPr>
              <w:t>analysis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14</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Variation of sales</w:t>
            </w:r>
          </w:p>
        </w:tc>
      </w:tr>
      <w:tr w:rsidR="00BB5825" w:rsidRPr="001713C3"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1713C3" w:rsidRDefault="00E35CDE" w:rsidP="008566D5">
            <w:pPr>
              <w:spacing w:line="240" w:lineRule="auto"/>
              <w:jc w:val="center"/>
              <w:rPr>
                <w:rFonts w:eastAsia="Batang"/>
                <w:sz w:val="20"/>
                <w:lang w:eastAsia="ko-KR"/>
              </w:rPr>
            </w:pPr>
            <w:r w:rsidRPr="001713C3">
              <w:rPr>
                <w:rFonts w:eastAsia="Batang"/>
                <w:sz w:val="20"/>
                <w:lang w:eastAsia="ko-KR"/>
              </w:rPr>
              <w:t>15</w:t>
            </w:r>
          </w:p>
        </w:tc>
        <w:tc>
          <w:tcPr>
            <w:tcW w:w="6992" w:type="dxa"/>
            <w:tcBorders>
              <w:top w:val="nil"/>
              <w:left w:val="nil"/>
              <w:bottom w:val="single" w:sz="4" w:space="0" w:color="auto"/>
              <w:right w:val="single" w:sz="4" w:space="0" w:color="auto"/>
            </w:tcBorders>
            <w:shd w:val="clear" w:color="auto" w:fill="auto"/>
            <w:noWrap/>
            <w:vAlign w:val="center"/>
          </w:tcPr>
          <w:p w:rsidR="00E35CDE" w:rsidRPr="001713C3" w:rsidRDefault="00E35CDE" w:rsidP="008566D5">
            <w:pPr>
              <w:spacing w:line="240" w:lineRule="auto"/>
              <w:rPr>
                <w:rFonts w:eastAsia="Batang"/>
                <w:sz w:val="20"/>
                <w:lang w:eastAsia="ko-KR"/>
              </w:rPr>
            </w:pPr>
            <w:r w:rsidRPr="001713C3">
              <w:rPr>
                <w:rFonts w:eastAsia="Batang"/>
                <w:sz w:val="20"/>
                <w:lang w:eastAsia="ko-KR"/>
              </w:rPr>
              <w:t>Vari</w:t>
            </w:r>
            <w:r w:rsidR="001713C3" w:rsidRPr="001713C3">
              <w:rPr>
                <w:rFonts w:eastAsia="Batang"/>
                <w:sz w:val="20"/>
                <w:lang w:eastAsia="ko-KR"/>
              </w:rPr>
              <w:t>ation of operating profit</w:t>
            </w:r>
          </w:p>
        </w:tc>
      </w:tr>
      <w:tr w:rsidR="00BB5825" w:rsidRPr="001713C3"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1713C3" w:rsidRDefault="00E35CDE" w:rsidP="008566D5">
            <w:pPr>
              <w:spacing w:line="240" w:lineRule="auto"/>
              <w:jc w:val="center"/>
              <w:rPr>
                <w:rFonts w:eastAsia="Batang"/>
                <w:sz w:val="20"/>
                <w:lang w:eastAsia="ko-KR"/>
              </w:rPr>
            </w:pPr>
            <w:r w:rsidRPr="001713C3">
              <w:rPr>
                <w:rFonts w:eastAsia="Batang"/>
                <w:sz w:val="20"/>
                <w:lang w:eastAsia="ko-KR"/>
              </w:rPr>
              <w:t>16</w:t>
            </w:r>
          </w:p>
        </w:tc>
        <w:tc>
          <w:tcPr>
            <w:tcW w:w="6992" w:type="dxa"/>
            <w:tcBorders>
              <w:top w:val="nil"/>
              <w:left w:val="nil"/>
              <w:bottom w:val="single" w:sz="4" w:space="0" w:color="auto"/>
              <w:right w:val="single" w:sz="4" w:space="0" w:color="auto"/>
            </w:tcBorders>
            <w:shd w:val="clear" w:color="auto" w:fill="auto"/>
            <w:noWrap/>
            <w:vAlign w:val="center"/>
          </w:tcPr>
          <w:p w:rsidR="00E35CDE" w:rsidRPr="001713C3" w:rsidRDefault="001713C3" w:rsidP="008566D5">
            <w:pPr>
              <w:spacing w:line="240" w:lineRule="auto"/>
              <w:rPr>
                <w:rFonts w:eastAsia="Batang"/>
                <w:sz w:val="20"/>
                <w:lang w:eastAsia="ko-KR"/>
              </w:rPr>
            </w:pPr>
            <w:r w:rsidRPr="001713C3">
              <w:rPr>
                <w:rFonts w:eastAsia="Batang"/>
                <w:sz w:val="20"/>
                <w:lang w:eastAsia="ko-KR"/>
              </w:rPr>
              <w:t>Variation of financial costs and revenues</w:t>
            </w:r>
          </w:p>
        </w:tc>
      </w:tr>
      <w:tr w:rsidR="00BB5825" w:rsidRPr="001713C3"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1713C3" w:rsidRDefault="00E35CDE" w:rsidP="008566D5">
            <w:pPr>
              <w:spacing w:line="240" w:lineRule="auto"/>
              <w:jc w:val="center"/>
              <w:rPr>
                <w:rFonts w:eastAsia="Batang"/>
                <w:sz w:val="20"/>
                <w:lang w:eastAsia="ko-KR"/>
              </w:rPr>
            </w:pPr>
            <w:r w:rsidRPr="001713C3">
              <w:rPr>
                <w:rFonts w:eastAsia="Batang"/>
                <w:sz w:val="20"/>
                <w:lang w:eastAsia="ko-KR"/>
              </w:rPr>
              <w:t>17</w:t>
            </w:r>
          </w:p>
        </w:tc>
        <w:tc>
          <w:tcPr>
            <w:tcW w:w="6992" w:type="dxa"/>
            <w:tcBorders>
              <w:top w:val="nil"/>
              <w:left w:val="nil"/>
              <w:bottom w:val="single" w:sz="4" w:space="0" w:color="auto"/>
              <w:right w:val="single" w:sz="4" w:space="0" w:color="auto"/>
            </w:tcBorders>
            <w:shd w:val="clear" w:color="auto" w:fill="auto"/>
            <w:noWrap/>
            <w:vAlign w:val="center"/>
          </w:tcPr>
          <w:p w:rsidR="00E35CDE" w:rsidRPr="001713C3" w:rsidRDefault="001713C3" w:rsidP="008566D5">
            <w:pPr>
              <w:spacing w:line="240" w:lineRule="auto"/>
              <w:rPr>
                <w:rFonts w:eastAsia="Batang"/>
                <w:sz w:val="20"/>
                <w:lang w:eastAsia="ko-KR"/>
              </w:rPr>
            </w:pPr>
            <w:r w:rsidRPr="001713C3">
              <w:rPr>
                <w:rFonts w:eastAsia="Batang"/>
                <w:sz w:val="20"/>
                <w:lang w:eastAsia="ko-KR"/>
              </w:rPr>
              <w:t>Variation of net profit</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1713C3" w:rsidRDefault="00E35CDE" w:rsidP="008566D5">
            <w:pPr>
              <w:spacing w:line="240" w:lineRule="auto"/>
              <w:jc w:val="center"/>
              <w:rPr>
                <w:rFonts w:eastAsia="Batang"/>
                <w:sz w:val="20"/>
                <w:lang w:eastAsia="ko-KR"/>
              </w:rPr>
            </w:pPr>
            <w:r w:rsidRPr="001713C3">
              <w:rPr>
                <w:rFonts w:eastAsia="Batang"/>
                <w:sz w:val="20"/>
                <w:lang w:eastAsia="ko-KR"/>
              </w:rPr>
              <w:t>18</w:t>
            </w:r>
          </w:p>
        </w:tc>
        <w:tc>
          <w:tcPr>
            <w:tcW w:w="6992" w:type="dxa"/>
            <w:tcBorders>
              <w:top w:val="nil"/>
              <w:left w:val="nil"/>
              <w:bottom w:val="single" w:sz="4" w:space="0" w:color="auto"/>
              <w:right w:val="single" w:sz="4" w:space="0" w:color="auto"/>
            </w:tcBorders>
            <w:shd w:val="clear" w:color="auto" w:fill="auto"/>
            <w:noWrap/>
            <w:vAlign w:val="center"/>
          </w:tcPr>
          <w:p w:rsidR="00E35CDE" w:rsidRPr="001713C3" w:rsidRDefault="001713C3" w:rsidP="008566D5">
            <w:pPr>
              <w:spacing w:line="240" w:lineRule="auto"/>
              <w:rPr>
                <w:rFonts w:eastAsia="Batang"/>
                <w:sz w:val="20"/>
                <w:lang w:eastAsia="ko-KR"/>
              </w:rPr>
            </w:pPr>
            <w:r w:rsidRPr="001713C3">
              <w:rPr>
                <w:rFonts w:eastAsia="Batang"/>
                <w:sz w:val="20"/>
                <w:lang w:eastAsia="ko-KR"/>
              </w:rPr>
              <w:t>Variation of receivables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19</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 xml:space="preserve">Variation </w:t>
            </w:r>
            <w:r w:rsidR="00A7696C" w:rsidRPr="00BB5825">
              <w:rPr>
                <w:rFonts w:eastAsia="Batang"/>
                <w:sz w:val="20"/>
                <w:lang w:eastAsia="ko-KR"/>
              </w:rPr>
              <w:t>of invest</w:t>
            </w:r>
            <w:r w:rsidR="00E35CDE" w:rsidRPr="00BB5825">
              <w:rPr>
                <w:rFonts w:eastAsia="Batang"/>
                <w:sz w:val="20"/>
                <w:lang w:eastAsia="ko-KR"/>
              </w:rPr>
              <w:t>ment</w:t>
            </w:r>
            <w:r w:rsidRPr="00BB5825">
              <w:rPr>
                <w:rFonts w:eastAsia="Batang"/>
                <w:sz w:val="20"/>
                <w:lang w:eastAsia="ko-KR"/>
              </w:rPr>
              <w:t>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20</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Variation of market shares</w:t>
            </w:r>
          </w:p>
        </w:tc>
      </w:tr>
      <w:tr w:rsidR="00BB5825" w:rsidRPr="00BB5825" w:rsidTr="008566D5">
        <w:trPr>
          <w:trHeight w:hRule="exact" w:val="340"/>
        </w:trPr>
        <w:tc>
          <w:tcPr>
            <w:tcW w:w="75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35CDE" w:rsidRPr="00BB5825" w:rsidRDefault="00E84B02" w:rsidP="008566D5">
            <w:pPr>
              <w:spacing w:line="240" w:lineRule="auto"/>
              <w:jc w:val="center"/>
              <w:rPr>
                <w:rFonts w:eastAsia="Batang"/>
                <w:b/>
                <w:bCs/>
                <w:sz w:val="20"/>
                <w:lang w:eastAsia="ko-KR"/>
              </w:rPr>
            </w:pPr>
            <w:r w:rsidRPr="00BB5825">
              <w:rPr>
                <w:rFonts w:eastAsia="Batang"/>
                <w:b/>
                <w:bCs/>
                <w:sz w:val="20"/>
                <w:lang w:eastAsia="ko-KR"/>
              </w:rPr>
              <w:t>3) Forecasting of</w:t>
            </w:r>
            <w:proofErr w:type="gramStart"/>
            <w:r w:rsidRPr="00BB5825">
              <w:rPr>
                <w:rFonts w:eastAsia="Batang"/>
                <w:b/>
                <w:bCs/>
                <w:sz w:val="20"/>
                <w:lang w:eastAsia="ko-KR"/>
              </w:rPr>
              <w:t>..</w:t>
            </w:r>
            <w:proofErr w:type="gramEnd"/>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21</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Future market shares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22</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E84B02">
            <w:pPr>
              <w:spacing w:line="240" w:lineRule="auto"/>
              <w:rPr>
                <w:rFonts w:eastAsia="Batang"/>
                <w:sz w:val="20"/>
                <w:lang w:eastAsia="ko-KR"/>
              </w:rPr>
            </w:pPr>
            <w:r w:rsidRPr="00BB5825">
              <w:rPr>
                <w:rFonts w:eastAsia="Batang"/>
                <w:sz w:val="20"/>
                <w:lang w:eastAsia="ko-KR"/>
              </w:rPr>
              <w:t xml:space="preserve">Future </w:t>
            </w:r>
            <w:r w:rsidR="00E35CDE" w:rsidRPr="00BB5825">
              <w:rPr>
                <w:rFonts w:eastAsia="Batang"/>
                <w:sz w:val="20"/>
                <w:lang w:eastAsia="ko-KR"/>
              </w:rPr>
              <w:t>cash-flow</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23</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E84B02">
            <w:pPr>
              <w:spacing w:line="240" w:lineRule="auto"/>
              <w:rPr>
                <w:rFonts w:eastAsia="Batang"/>
                <w:sz w:val="20"/>
                <w:lang w:eastAsia="ko-KR"/>
              </w:rPr>
            </w:pPr>
            <w:r w:rsidRPr="00BB5825">
              <w:rPr>
                <w:rFonts w:eastAsia="Batang"/>
                <w:sz w:val="20"/>
                <w:lang w:eastAsia="ko-KR"/>
              </w:rPr>
              <w:t>Future</w:t>
            </w:r>
            <w:r w:rsidR="00A7696C" w:rsidRPr="00BB5825">
              <w:rPr>
                <w:rFonts w:eastAsia="Batang"/>
                <w:sz w:val="20"/>
                <w:lang w:eastAsia="ko-KR"/>
              </w:rPr>
              <w:t xml:space="preserve"> invest</w:t>
            </w:r>
            <w:r w:rsidR="00E35CDE" w:rsidRPr="00BB5825">
              <w:rPr>
                <w:rFonts w:eastAsia="Batang"/>
                <w:sz w:val="20"/>
                <w:lang w:eastAsia="ko-KR"/>
              </w:rPr>
              <w:t>ments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24</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E84B02">
            <w:pPr>
              <w:spacing w:line="240" w:lineRule="auto"/>
              <w:rPr>
                <w:rFonts w:eastAsia="Batang"/>
                <w:sz w:val="20"/>
                <w:lang w:eastAsia="ko-KR"/>
              </w:rPr>
            </w:pPr>
            <w:r w:rsidRPr="00BB5825">
              <w:rPr>
                <w:rFonts w:eastAsia="Batang"/>
                <w:sz w:val="20"/>
                <w:lang w:eastAsia="ko-KR"/>
              </w:rPr>
              <w:t>Future sales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25</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E84B02">
            <w:pPr>
              <w:spacing w:line="240" w:lineRule="auto"/>
              <w:rPr>
                <w:rFonts w:eastAsia="Batang"/>
                <w:sz w:val="20"/>
                <w:lang w:eastAsia="ko-KR"/>
              </w:rPr>
            </w:pPr>
            <w:r w:rsidRPr="00BB5825">
              <w:rPr>
                <w:rFonts w:eastAsia="Batang"/>
                <w:sz w:val="20"/>
                <w:lang w:eastAsia="ko-KR"/>
              </w:rPr>
              <w:t>Future earnings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26</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Future risks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27</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Future opportunities</w:t>
            </w:r>
          </w:p>
        </w:tc>
      </w:tr>
      <w:tr w:rsidR="00BB5825" w:rsidRPr="00965657"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28</w:t>
            </w:r>
          </w:p>
        </w:tc>
        <w:tc>
          <w:tcPr>
            <w:tcW w:w="6992" w:type="dxa"/>
            <w:tcBorders>
              <w:top w:val="nil"/>
              <w:left w:val="nil"/>
              <w:bottom w:val="single" w:sz="4" w:space="0" w:color="auto"/>
              <w:right w:val="single" w:sz="4" w:space="0" w:color="auto"/>
            </w:tcBorders>
            <w:shd w:val="clear" w:color="auto" w:fill="auto"/>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R</w:t>
            </w:r>
            <w:r w:rsidR="00E84B02" w:rsidRPr="00BB5825">
              <w:rPr>
                <w:rFonts w:eastAsia="Batang"/>
                <w:sz w:val="20"/>
                <w:lang w:eastAsia="ko-KR"/>
              </w:rPr>
              <w:t>e</w:t>
            </w:r>
            <w:r w:rsidRPr="00BB5825">
              <w:rPr>
                <w:rFonts w:eastAsia="Batang"/>
                <w:sz w:val="20"/>
                <w:lang w:eastAsia="ko-KR"/>
              </w:rPr>
              <w:t xml:space="preserve">asons </w:t>
            </w:r>
            <w:r w:rsidR="00E84B02" w:rsidRPr="00BB5825">
              <w:rPr>
                <w:rFonts w:eastAsia="Batang"/>
                <w:sz w:val="20"/>
                <w:lang w:eastAsia="ko-KR"/>
              </w:rPr>
              <w:t>explaining diffe</w:t>
            </w:r>
            <w:r w:rsidRPr="00BB5825">
              <w:rPr>
                <w:rFonts w:eastAsia="Batang"/>
                <w:sz w:val="20"/>
                <w:lang w:eastAsia="ko-KR"/>
              </w:rPr>
              <w:t xml:space="preserve">rence </w:t>
            </w:r>
            <w:r w:rsidR="00E84B02" w:rsidRPr="00BB5825">
              <w:rPr>
                <w:rFonts w:eastAsia="Batang"/>
                <w:sz w:val="20"/>
                <w:lang w:eastAsia="ko-KR"/>
              </w:rPr>
              <w:t>between actual results and announced</w:t>
            </w:r>
            <w:r w:rsidRPr="00BB5825">
              <w:rPr>
                <w:rFonts w:eastAsia="Batang"/>
                <w:sz w:val="20"/>
                <w:lang w:eastAsia="ko-KR"/>
              </w:rPr>
              <w:t xml:space="preserve"> </w:t>
            </w:r>
          </w:p>
          <w:p w:rsidR="00E35CDE" w:rsidRPr="00BB5825" w:rsidRDefault="00E35CDE" w:rsidP="008566D5">
            <w:pPr>
              <w:spacing w:line="240" w:lineRule="auto"/>
              <w:rPr>
                <w:rFonts w:eastAsia="Batang"/>
                <w:sz w:val="20"/>
                <w:lang w:val="fr-BE" w:eastAsia="ko-KR"/>
              </w:rPr>
            </w:pPr>
            <w:r w:rsidRPr="00BB5825">
              <w:rPr>
                <w:rFonts w:eastAsia="Batang"/>
                <w:sz w:val="20"/>
                <w:lang w:val="fr-BE" w:eastAsia="ko-KR"/>
              </w:rPr>
              <w:t>et les prévisions faites précédemment</w:t>
            </w:r>
          </w:p>
        </w:tc>
      </w:tr>
      <w:tr w:rsidR="00BB5825" w:rsidRPr="00BB5825" w:rsidTr="008566D5">
        <w:trPr>
          <w:trHeight w:hRule="exact" w:val="340"/>
        </w:trPr>
        <w:tc>
          <w:tcPr>
            <w:tcW w:w="75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35CDE" w:rsidRPr="00BB5825" w:rsidRDefault="00A7696C" w:rsidP="00E84B02">
            <w:pPr>
              <w:spacing w:line="240" w:lineRule="auto"/>
              <w:jc w:val="center"/>
              <w:rPr>
                <w:rFonts w:eastAsia="Batang"/>
                <w:b/>
                <w:bCs/>
                <w:sz w:val="20"/>
                <w:lang w:eastAsia="ko-KR"/>
              </w:rPr>
            </w:pPr>
            <w:r w:rsidRPr="00BB5825">
              <w:rPr>
                <w:rFonts w:eastAsia="Batang"/>
                <w:b/>
                <w:bCs/>
                <w:sz w:val="20"/>
                <w:lang w:eastAsia="ko-KR"/>
              </w:rPr>
              <w:t>4) Information</w:t>
            </w:r>
            <w:r w:rsidR="00E35CDE" w:rsidRPr="00BB5825">
              <w:rPr>
                <w:rFonts w:eastAsia="Batang"/>
                <w:b/>
                <w:bCs/>
                <w:sz w:val="20"/>
                <w:lang w:eastAsia="ko-KR"/>
              </w:rPr>
              <w:t xml:space="preserve"> </w:t>
            </w:r>
            <w:r w:rsidR="00E84B02" w:rsidRPr="00BB5825">
              <w:rPr>
                <w:rFonts w:eastAsia="Batang"/>
                <w:b/>
                <w:bCs/>
                <w:sz w:val="20"/>
                <w:lang w:eastAsia="ko-KR"/>
              </w:rPr>
              <w:t>about managers and shareholders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29</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Identi</w:t>
            </w:r>
            <w:r w:rsidR="00E84B02" w:rsidRPr="00BB5825">
              <w:rPr>
                <w:rFonts w:eastAsia="Batang"/>
                <w:sz w:val="20"/>
                <w:lang w:eastAsia="ko-KR"/>
              </w:rPr>
              <w:t xml:space="preserve">ty and description of managers </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30</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E84B02">
            <w:pPr>
              <w:spacing w:line="240" w:lineRule="auto"/>
              <w:rPr>
                <w:rFonts w:eastAsia="Batang"/>
                <w:sz w:val="20"/>
                <w:lang w:eastAsia="ko-KR"/>
              </w:rPr>
            </w:pPr>
            <w:r w:rsidRPr="00BB5825">
              <w:rPr>
                <w:rFonts w:eastAsia="Batang"/>
                <w:sz w:val="20"/>
                <w:lang w:eastAsia="ko-KR"/>
              </w:rPr>
              <w:t>Identity of important shareholders and their number of shares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31</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 xml:space="preserve">Number of </w:t>
            </w:r>
            <w:r w:rsidR="00A7696C" w:rsidRPr="00BB5825">
              <w:rPr>
                <w:rFonts w:eastAsia="Batang"/>
                <w:sz w:val="20"/>
                <w:lang w:eastAsia="ko-KR"/>
              </w:rPr>
              <w:t>managers ‘shares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32</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 xml:space="preserve">Number of </w:t>
            </w:r>
            <w:r w:rsidR="00A7696C" w:rsidRPr="00BB5825">
              <w:rPr>
                <w:rFonts w:eastAsia="Batang"/>
                <w:sz w:val="20"/>
                <w:lang w:eastAsia="ko-KR"/>
              </w:rPr>
              <w:t>workers ‘shares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33</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A7696C" w:rsidP="00E84B02">
            <w:pPr>
              <w:spacing w:line="240" w:lineRule="auto"/>
              <w:rPr>
                <w:rFonts w:eastAsia="Batang"/>
                <w:sz w:val="20"/>
                <w:lang w:eastAsia="ko-KR"/>
              </w:rPr>
            </w:pPr>
            <w:r w:rsidRPr="00BB5825">
              <w:rPr>
                <w:rFonts w:eastAsia="Batang"/>
                <w:sz w:val="20"/>
                <w:lang w:eastAsia="ko-KR"/>
              </w:rPr>
              <w:t>Managers ‘salaries</w:t>
            </w:r>
            <w:r w:rsidR="00E84B02" w:rsidRPr="00BB5825">
              <w:rPr>
                <w:rFonts w:eastAsia="Batang"/>
                <w:sz w:val="20"/>
                <w:lang w:eastAsia="ko-KR"/>
              </w:rPr>
              <w:t xml:space="preserve"> and how it is calculated</w:t>
            </w:r>
          </w:p>
        </w:tc>
      </w:tr>
      <w:tr w:rsidR="00BB5825" w:rsidRPr="00BB5825" w:rsidTr="008566D5">
        <w:trPr>
          <w:trHeight w:hRule="exact" w:val="340"/>
        </w:trPr>
        <w:tc>
          <w:tcPr>
            <w:tcW w:w="75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35CDE" w:rsidRPr="00BB5825" w:rsidRDefault="00E35CDE" w:rsidP="008566D5">
            <w:pPr>
              <w:spacing w:line="240" w:lineRule="auto"/>
              <w:jc w:val="center"/>
              <w:rPr>
                <w:rFonts w:eastAsia="Batang"/>
                <w:b/>
                <w:bCs/>
                <w:sz w:val="20"/>
                <w:lang w:eastAsia="ko-KR"/>
              </w:rPr>
            </w:pPr>
            <w:r w:rsidRPr="00BB5825">
              <w:rPr>
                <w:rFonts w:eastAsia="Batang"/>
                <w:sz w:val="20"/>
                <w:lang w:eastAsia="ko-KR"/>
              </w:rPr>
              <w:t> </w:t>
            </w:r>
            <w:r w:rsidRPr="00BB5825">
              <w:rPr>
                <w:rFonts w:eastAsia="Batang"/>
                <w:b/>
                <w:bCs/>
                <w:sz w:val="20"/>
                <w:lang w:eastAsia="ko-KR"/>
              </w:rPr>
              <w:t xml:space="preserve">5) </w:t>
            </w:r>
            <w:r w:rsidR="00A7696C" w:rsidRPr="00BB5825">
              <w:rPr>
                <w:rFonts w:eastAsia="Batang"/>
                <w:b/>
                <w:bCs/>
                <w:sz w:val="20"/>
                <w:lang w:eastAsia="ko-KR"/>
              </w:rPr>
              <w:t>Information</w:t>
            </w:r>
            <w:r w:rsidR="00E84B02" w:rsidRPr="00BB5825">
              <w:rPr>
                <w:rFonts w:eastAsia="Batang"/>
                <w:b/>
                <w:bCs/>
                <w:sz w:val="20"/>
                <w:lang w:eastAsia="ko-KR"/>
              </w:rPr>
              <w:t xml:space="preserve"> about </w:t>
            </w:r>
            <w:r w:rsidR="00A7696C" w:rsidRPr="00BB5825">
              <w:rPr>
                <w:rFonts w:eastAsia="Batang"/>
                <w:b/>
                <w:bCs/>
                <w:sz w:val="20"/>
                <w:lang w:eastAsia="ko-KR"/>
              </w:rPr>
              <w:t>firms ‘environment</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34</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Description of the firms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35</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84B02" w:rsidP="008566D5">
            <w:pPr>
              <w:spacing w:line="240" w:lineRule="auto"/>
              <w:rPr>
                <w:rFonts w:eastAsia="Batang"/>
                <w:sz w:val="20"/>
                <w:lang w:eastAsia="ko-KR"/>
              </w:rPr>
            </w:pPr>
            <w:r w:rsidRPr="00BB5825">
              <w:rPr>
                <w:rFonts w:eastAsia="Batang"/>
                <w:sz w:val="20"/>
                <w:lang w:eastAsia="ko-KR"/>
              </w:rPr>
              <w:t>Objectives of the firms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36</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A7696C" w:rsidP="008566D5">
            <w:pPr>
              <w:spacing w:line="240" w:lineRule="auto"/>
              <w:rPr>
                <w:rFonts w:eastAsia="Batang"/>
                <w:sz w:val="20"/>
                <w:lang w:eastAsia="ko-KR"/>
              </w:rPr>
            </w:pPr>
            <w:r w:rsidRPr="00BB5825">
              <w:rPr>
                <w:rFonts w:eastAsia="Batang"/>
                <w:sz w:val="20"/>
                <w:lang w:eastAsia="ko-KR"/>
              </w:rPr>
              <w:t>Information</w:t>
            </w:r>
            <w:r w:rsidR="00E84B02" w:rsidRPr="00BB5825">
              <w:rPr>
                <w:rFonts w:eastAsia="Batang"/>
                <w:sz w:val="20"/>
                <w:lang w:eastAsia="ko-KR"/>
              </w:rPr>
              <w:t xml:space="preserve"> about competitors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37</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8566D5">
            <w:pPr>
              <w:spacing w:line="240" w:lineRule="auto"/>
              <w:rPr>
                <w:rFonts w:eastAsia="Batang"/>
                <w:sz w:val="20"/>
                <w:lang w:eastAsia="ko-KR"/>
              </w:rPr>
            </w:pPr>
            <w:r w:rsidRPr="00BB5825">
              <w:rPr>
                <w:rFonts w:eastAsia="Batang"/>
                <w:sz w:val="20"/>
                <w:lang w:eastAsia="ko-KR"/>
              </w:rPr>
              <w:t>I</w:t>
            </w:r>
            <w:r w:rsidR="00A7696C" w:rsidRPr="00BB5825">
              <w:rPr>
                <w:rFonts w:eastAsia="Batang"/>
                <w:sz w:val="20"/>
                <w:lang w:eastAsia="ko-KR"/>
              </w:rPr>
              <w:t>nformation</w:t>
            </w:r>
            <w:r w:rsidR="00E84B02" w:rsidRPr="00BB5825">
              <w:rPr>
                <w:rFonts w:eastAsia="Batang"/>
                <w:sz w:val="20"/>
                <w:lang w:eastAsia="ko-KR"/>
              </w:rPr>
              <w:t xml:space="preserve"> about barrier entry</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38</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A7696C">
            <w:pPr>
              <w:spacing w:line="240" w:lineRule="auto"/>
              <w:rPr>
                <w:rFonts w:eastAsia="Batang"/>
                <w:sz w:val="20"/>
                <w:lang w:eastAsia="ko-KR"/>
              </w:rPr>
            </w:pPr>
            <w:r w:rsidRPr="00BB5825">
              <w:rPr>
                <w:rFonts w:eastAsia="Batang"/>
                <w:sz w:val="20"/>
                <w:lang w:eastAsia="ko-KR"/>
              </w:rPr>
              <w:t xml:space="preserve">Information </w:t>
            </w:r>
            <w:r w:rsidR="00E84B02" w:rsidRPr="00BB5825">
              <w:rPr>
                <w:rFonts w:eastAsia="Batang"/>
                <w:sz w:val="20"/>
                <w:lang w:eastAsia="ko-KR"/>
              </w:rPr>
              <w:t>about principal products</w:t>
            </w:r>
            <w:r w:rsidRPr="00BB5825">
              <w:rPr>
                <w:rFonts w:eastAsia="Batang"/>
                <w:sz w:val="20"/>
                <w:lang w:eastAsia="ko-KR"/>
              </w:rPr>
              <w:t xml:space="preserve"> / services</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39</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A7696C">
            <w:pPr>
              <w:spacing w:line="240" w:lineRule="auto"/>
              <w:rPr>
                <w:rFonts w:eastAsia="Batang"/>
                <w:sz w:val="20"/>
                <w:lang w:eastAsia="ko-KR"/>
              </w:rPr>
            </w:pPr>
            <w:r w:rsidRPr="00BB5825">
              <w:rPr>
                <w:rFonts w:eastAsia="Batang"/>
                <w:sz w:val="20"/>
                <w:lang w:eastAsia="ko-KR"/>
              </w:rPr>
              <w:t xml:space="preserve">Information </w:t>
            </w:r>
            <w:r w:rsidR="00E84B02" w:rsidRPr="00BB5825">
              <w:rPr>
                <w:rFonts w:eastAsia="Batang"/>
                <w:sz w:val="20"/>
                <w:lang w:eastAsia="ko-KR"/>
              </w:rPr>
              <w:t>about the market</w:t>
            </w:r>
          </w:p>
        </w:tc>
      </w:tr>
      <w:tr w:rsidR="00BB5825" w:rsidRPr="00BB5825" w:rsidTr="008566D5">
        <w:trPr>
          <w:trHeight w:hRule="exact" w:val="3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35CDE" w:rsidRPr="00BB5825" w:rsidRDefault="00E35CDE" w:rsidP="008566D5">
            <w:pPr>
              <w:spacing w:line="240" w:lineRule="auto"/>
              <w:jc w:val="center"/>
              <w:rPr>
                <w:rFonts w:eastAsia="Batang"/>
                <w:sz w:val="20"/>
                <w:lang w:eastAsia="ko-KR"/>
              </w:rPr>
            </w:pPr>
            <w:r w:rsidRPr="00BB5825">
              <w:rPr>
                <w:rFonts w:eastAsia="Batang"/>
                <w:sz w:val="20"/>
                <w:lang w:eastAsia="ko-KR"/>
              </w:rPr>
              <w:t>40</w:t>
            </w:r>
          </w:p>
        </w:tc>
        <w:tc>
          <w:tcPr>
            <w:tcW w:w="6992" w:type="dxa"/>
            <w:tcBorders>
              <w:top w:val="nil"/>
              <w:left w:val="nil"/>
              <w:bottom w:val="single" w:sz="4" w:space="0" w:color="auto"/>
              <w:right w:val="single" w:sz="4" w:space="0" w:color="auto"/>
            </w:tcBorders>
            <w:shd w:val="clear" w:color="auto" w:fill="auto"/>
            <w:noWrap/>
            <w:vAlign w:val="center"/>
          </w:tcPr>
          <w:p w:rsidR="00E35CDE" w:rsidRPr="00BB5825" w:rsidRDefault="00E35CDE" w:rsidP="00A7696C">
            <w:pPr>
              <w:spacing w:line="240" w:lineRule="auto"/>
              <w:rPr>
                <w:rFonts w:eastAsia="Batang"/>
                <w:sz w:val="20"/>
                <w:lang w:eastAsia="ko-KR"/>
              </w:rPr>
            </w:pPr>
            <w:r w:rsidRPr="00BB5825">
              <w:rPr>
                <w:rFonts w:eastAsia="Batang"/>
                <w:sz w:val="20"/>
                <w:lang w:eastAsia="ko-KR"/>
              </w:rPr>
              <w:t xml:space="preserve">Information </w:t>
            </w:r>
            <w:r w:rsidR="00E84B02" w:rsidRPr="00BB5825">
              <w:rPr>
                <w:rFonts w:eastAsia="Batang"/>
                <w:sz w:val="20"/>
                <w:lang w:eastAsia="ko-KR"/>
              </w:rPr>
              <w:t>about contract with bigger customers</w:t>
            </w:r>
          </w:p>
        </w:tc>
      </w:tr>
    </w:tbl>
    <w:p w:rsidR="004828B5" w:rsidRPr="00BB5825" w:rsidRDefault="004828B5" w:rsidP="00C83D22">
      <w:pPr>
        <w:spacing w:after="0" w:line="276" w:lineRule="auto"/>
      </w:pPr>
    </w:p>
    <w:p w:rsidR="00C770DE" w:rsidRPr="00BB5825" w:rsidRDefault="00C770DE" w:rsidP="00C83D22">
      <w:pPr>
        <w:spacing w:after="0" w:line="276" w:lineRule="auto"/>
      </w:pPr>
      <w:r w:rsidRPr="00BB5825">
        <w:t>Using the analysis grid to measure the quality of financial communication, we give 0 point when the item is absent, 1 point when available and 2 point when the item is developed in details. There are 40 items in our grid, so the score is minimum 0 and maximum 80.</w:t>
      </w:r>
    </w:p>
    <w:p w:rsidR="00C770DE" w:rsidRPr="00BB5825" w:rsidRDefault="00C770DE" w:rsidP="00C83D22">
      <w:pPr>
        <w:spacing w:after="0" w:line="276" w:lineRule="auto"/>
      </w:pPr>
    </w:p>
    <w:p w:rsidR="00C770DE" w:rsidRPr="00BB5825" w:rsidRDefault="00C770DE" w:rsidP="00C83D22">
      <w:pPr>
        <w:autoSpaceDE w:val="0"/>
        <w:autoSpaceDN w:val="0"/>
        <w:adjustRightInd w:val="0"/>
        <w:snapToGrid w:val="0"/>
        <w:spacing w:after="0" w:line="276" w:lineRule="auto"/>
        <w:rPr>
          <w:rFonts w:ascii="Times" w:hAnsi="Times" w:cs="Times"/>
        </w:rPr>
      </w:pPr>
      <w:r w:rsidRPr="00BB5825">
        <w:rPr>
          <w:rFonts w:ascii="Times" w:hAnsi="Times" w:cs="Times"/>
        </w:rPr>
        <w:t>The financial communication tool analyzed in this study i</w:t>
      </w:r>
      <w:r w:rsidR="00C915A3" w:rsidRPr="00BB5825">
        <w:rPr>
          <w:rFonts w:ascii="Times" w:hAnsi="Times" w:cs="Times"/>
        </w:rPr>
        <w:t>s</w:t>
      </w:r>
      <w:r w:rsidRPr="00BB5825">
        <w:rPr>
          <w:rFonts w:ascii="Times" w:hAnsi="Times" w:cs="Times"/>
        </w:rPr>
        <w:t xml:space="preserve"> the annual report 2011, available on companies’ websites.</w:t>
      </w:r>
    </w:p>
    <w:p w:rsidR="00C770DE" w:rsidRPr="00BB5825" w:rsidRDefault="00C770DE" w:rsidP="00C83D22">
      <w:pPr>
        <w:autoSpaceDE w:val="0"/>
        <w:autoSpaceDN w:val="0"/>
        <w:adjustRightInd w:val="0"/>
        <w:snapToGrid w:val="0"/>
        <w:spacing w:after="0" w:line="276" w:lineRule="auto"/>
        <w:rPr>
          <w:rFonts w:ascii="Times" w:hAnsi="Times" w:cs="Times"/>
        </w:rPr>
      </w:pPr>
      <w:r w:rsidRPr="00BB5825">
        <w:rPr>
          <w:rFonts w:ascii="Times" w:hAnsi="Times" w:cs="Times"/>
        </w:rPr>
        <w:lastRenderedPageBreak/>
        <w:t xml:space="preserve">Bertrand (2000) says that the annual report is a </w:t>
      </w:r>
      <w:proofErr w:type="spellStart"/>
      <w:r w:rsidRPr="00BB5825">
        <w:rPr>
          <w:rFonts w:ascii="Times" w:hAnsi="Times" w:cs="Times"/>
        </w:rPr>
        <w:t>priviledge</w:t>
      </w:r>
      <w:proofErr w:type="spellEnd"/>
      <w:r w:rsidRPr="00BB5825">
        <w:rPr>
          <w:rFonts w:ascii="Times" w:hAnsi="Times" w:cs="Times"/>
        </w:rPr>
        <w:t xml:space="preserve"> channel evaluating financial communication’s quality. </w:t>
      </w:r>
      <w:r w:rsidR="00C83D22" w:rsidRPr="00BB5825">
        <w:rPr>
          <w:rFonts w:ascii="Times" w:hAnsi="Times" w:cs="Times"/>
        </w:rPr>
        <w:t>Indeed</w:t>
      </w:r>
      <w:r w:rsidRPr="00BB5825">
        <w:rPr>
          <w:rFonts w:ascii="Times" w:hAnsi="Times" w:cs="Times"/>
        </w:rPr>
        <w:t>, it’s a privileged source of information for institutional investors and financial analyst, the coherence between the various supports of financial communication and the accessibility of the document.</w:t>
      </w:r>
    </w:p>
    <w:p w:rsidR="00C770DE" w:rsidRPr="00BB5825" w:rsidRDefault="00C770DE" w:rsidP="00C83D22">
      <w:pPr>
        <w:autoSpaceDE w:val="0"/>
        <w:autoSpaceDN w:val="0"/>
        <w:adjustRightInd w:val="0"/>
        <w:snapToGrid w:val="0"/>
        <w:spacing w:after="0" w:line="276" w:lineRule="auto"/>
        <w:rPr>
          <w:rFonts w:ascii="Times" w:hAnsi="Times" w:cs="Times"/>
        </w:rPr>
      </w:pPr>
    </w:p>
    <w:p w:rsidR="00C770DE" w:rsidRPr="00BB5825" w:rsidRDefault="00C770DE" w:rsidP="00C83D22">
      <w:pPr>
        <w:autoSpaceDE w:val="0"/>
        <w:autoSpaceDN w:val="0"/>
        <w:adjustRightInd w:val="0"/>
        <w:snapToGrid w:val="0"/>
        <w:spacing w:after="0" w:line="276" w:lineRule="auto"/>
        <w:rPr>
          <w:rFonts w:ascii="Times" w:hAnsi="Times" w:cs="Times"/>
        </w:rPr>
      </w:pPr>
      <w:r w:rsidRPr="00BB5825">
        <w:rPr>
          <w:rFonts w:ascii="Times" w:hAnsi="Times" w:cs="Times"/>
        </w:rPr>
        <w:t xml:space="preserve">Hail (2002) </w:t>
      </w:r>
      <w:r w:rsidR="00C915A3" w:rsidRPr="00BB5825">
        <w:rPr>
          <w:rFonts w:ascii="Times" w:hAnsi="Times" w:cs="Times"/>
        </w:rPr>
        <w:t xml:space="preserve">underlines the difficulty evaluating financial communication because the researcher’s perceptions could influence the score. To limit this </w:t>
      </w:r>
      <w:r w:rsidR="00A352FE" w:rsidRPr="00BB5825">
        <w:rPr>
          <w:rFonts w:ascii="Times" w:hAnsi="Times" w:cs="Times"/>
        </w:rPr>
        <w:t>bias</w:t>
      </w:r>
      <w:r w:rsidR="00C915A3" w:rsidRPr="00BB5825">
        <w:rPr>
          <w:rFonts w:ascii="Times" w:hAnsi="Times" w:cs="Times"/>
        </w:rPr>
        <w:t xml:space="preserve">, only one researcher of our team analyzed the 68 annual reports. </w:t>
      </w:r>
      <w:r w:rsidR="00A352FE" w:rsidRPr="00BB5825">
        <w:rPr>
          <w:rFonts w:ascii="Times" w:hAnsi="Times" w:cs="Times"/>
        </w:rPr>
        <w:t>Furthermore</w:t>
      </w:r>
      <w:r w:rsidR="00C915A3" w:rsidRPr="00BB5825">
        <w:rPr>
          <w:rFonts w:ascii="Times" w:hAnsi="Times" w:cs="Times"/>
        </w:rPr>
        <w:t xml:space="preserve">, a validity test </w:t>
      </w:r>
      <w:r w:rsidR="00A352FE" w:rsidRPr="00BB5825">
        <w:rPr>
          <w:rFonts w:ascii="Times" w:hAnsi="Times" w:cs="Times"/>
        </w:rPr>
        <w:t xml:space="preserve">(Hassan &amp; Marston, 2010) </w:t>
      </w:r>
      <w:r w:rsidR="00C915A3" w:rsidRPr="00BB5825">
        <w:rPr>
          <w:rFonts w:ascii="Times" w:hAnsi="Times" w:cs="Times"/>
        </w:rPr>
        <w:t xml:space="preserve">is made to </w:t>
      </w:r>
      <w:r w:rsidR="00A352FE" w:rsidRPr="00BB5825">
        <w:rPr>
          <w:rFonts w:ascii="Times" w:hAnsi="Times" w:cs="Times"/>
        </w:rPr>
        <w:t>check the results ‘stability. Actually, 3 rapports chosen randomly were analyzed a second time, some weeks after the start of the study. The scores were the same so it shows the stability in the evaluation</w:t>
      </w:r>
      <w:r w:rsidRPr="00BB5825">
        <w:rPr>
          <w:rFonts w:ascii="Times" w:hAnsi="Times" w:cs="Times"/>
        </w:rPr>
        <w:t>.</w:t>
      </w:r>
    </w:p>
    <w:p w:rsidR="00C770DE" w:rsidRPr="00BB5825" w:rsidRDefault="00C770DE" w:rsidP="00C770DE">
      <w:pPr>
        <w:autoSpaceDE w:val="0"/>
        <w:autoSpaceDN w:val="0"/>
        <w:adjustRightInd w:val="0"/>
        <w:snapToGrid w:val="0"/>
        <w:spacing w:after="0"/>
        <w:rPr>
          <w:rFonts w:ascii="Times" w:hAnsi="Times" w:cs="Times"/>
        </w:rPr>
      </w:pPr>
    </w:p>
    <w:p w:rsidR="00C83D22" w:rsidRPr="00BB5825" w:rsidRDefault="00C83D22" w:rsidP="00C770DE">
      <w:pPr>
        <w:autoSpaceDE w:val="0"/>
        <w:autoSpaceDN w:val="0"/>
        <w:adjustRightInd w:val="0"/>
        <w:snapToGrid w:val="0"/>
        <w:spacing w:after="0"/>
        <w:rPr>
          <w:rFonts w:ascii="Times" w:hAnsi="Times" w:cs="Times"/>
        </w:rPr>
      </w:pPr>
      <w:r w:rsidRPr="00BB5825">
        <w:rPr>
          <w:rFonts w:ascii="Times" w:hAnsi="Times" w:cs="Times"/>
        </w:rPr>
        <w:t>Table 4 – Average scores of financial communication</w:t>
      </w:r>
    </w:p>
    <w:p w:rsidR="00C83D22" w:rsidRPr="00BB5825" w:rsidRDefault="00C83D22" w:rsidP="004828B5">
      <w:pPr>
        <w:spacing w:after="0" w:line="276" w:lineRule="auto"/>
      </w:pPr>
    </w:p>
    <w:tbl>
      <w:tblPr>
        <w:tblStyle w:val="Grillemoyenne3-Accent51"/>
        <w:tblW w:w="5811" w:type="dxa"/>
        <w:jc w:val="center"/>
        <w:tblInd w:w="534" w:type="dxa"/>
        <w:tblLook w:val="04A0" w:firstRow="1" w:lastRow="0" w:firstColumn="1" w:lastColumn="0" w:noHBand="0" w:noVBand="1"/>
      </w:tblPr>
      <w:tblGrid>
        <w:gridCol w:w="1701"/>
        <w:gridCol w:w="1559"/>
        <w:gridCol w:w="1276"/>
        <w:gridCol w:w="1275"/>
      </w:tblGrid>
      <w:tr w:rsidR="00BB5825" w:rsidRPr="00BB5825" w:rsidTr="008566D5">
        <w:trPr>
          <w:jc w:val="center"/>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3D22" w:rsidRPr="00BB5825" w:rsidRDefault="007B384F" w:rsidP="007B384F">
            <w:pPr>
              <w:autoSpaceDE w:val="0"/>
              <w:autoSpaceDN w:val="0"/>
              <w:adjustRightInd w:val="0"/>
              <w:snapToGrid w:val="0"/>
              <w:spacing w:after="0"/>
              <w:ind w:firstLine="0"/>
              <w:jc w:val="center"/>
              <w:rPr>
                <w:rFonts w:ascii="Times" w:hAnsi="Times" w:cs="Times"/>
                <w:sz w:val="20"/>
                <w:lang w:val="fr-BE"/>
              </w:rPr>
            </w:pPr>
            <w:proofErr w:type="spellStart"/>
            <w:r w:rsidRPr="00BB5825">
              <w:rPr>
                <w:rFonts w:ascii="Times" w:hAnsi="Times" w:cs="Times"/>
                <w:sz w:val="20"/>
                <w:lang w:val="fr-BE"/>
              </w:rPr>
              <w:t>Firms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3D22" w:rsidRPr="00BB5825" w:rsidRDefault="00C83D22" w:rsidP="00C83D22">
            <w:pPr>
              <w:autoSpaceDE w:val="0"/>
              <w:autoSpaceDN w:val="0"/>
              <w:adjustRightInd w:val="0"/>
              <w:snapToGrid w:val="0"/>
              <w:spacing w:after="0"/>
              <w:ind w:firstLine="0"/>
              <w:jc w:val="center"/>
              <w:rPr>
                <w:rFonts w:ascii="Times" w:hAnsi="Times" w:cs="Times"/>
                <w:b/>
                <w:sz w:val="20"/>
                <w:lang w:val="fr-BE"/>
              </w:rPr>
            </w:pPr>
            <w:proofErr w:type="spellStart"/>
            <w:r w:rsidRPr="00BB5825">
              <w:rPr>
                <w:rFonts w:ascii="Times" w:hAnsi="Times" w:cs="Times"/>
                <w:b/>
                <w:sz w:val="20"/>
                <w:lang w:val="fr-BE"/>
              </w:rPr>
              <w:t>Average</w:t>
            </w:r>
            <w:proofErr w:type="spellEnd"/>
            <w:r w:rsidRPr="00BB5825">
              <w:rPr>
                <w:rFonts w:ascii="Times" w:hAnsi="Times" w:cs="Times"/>
                <w:b/>
                <w:sz w:val="20"/>
                <w:lang w:val="fr-BE"/>
              </w:rPr>
              <w:t xml:space="preserve"> Score (</w:t>
            </w:r>
            <w:proofErr w:type="spellStart"/>
            <w:r w:rsidRPr="00BB5825">
              <w:rPr>
                <w:rFonts w:ascii="Times" w:hAnsi="Times" w:cs="Times"/>
                <w:b/>
                <w:sz w:val="20"/>
                <w:lang w:val="fr-BE"/>
              </w:rPr>
              <w:t>Std</w:t>
            </w:r>
            <w:proofErr w:type="spellEnd"/>
            <w:r w:rsidRPr="00BB5825">
              <w:rPr>
                <w:rFonts w:ascii="Times" w:hAnsi="Times" w:cs="Times"/>
                <w:b/>
                <w:sz w:val="20"/>
                <w:lang w:val="fr-BE"/>
              </w:rPr>
              <w:t xml:space="preserve">. </w:t>
            </w:r>
            <w:proofErr w:type="spellStart"/>
            <w:r w:rsidRPr="00BB5825">
              <w:rPr>
                <w:rFonts w:ascii="Times" w:hAnsi="Times" w:cs="Times"/>
                <w:b/>
                <w:sz w:val="20"/>
                <w:lang w:val="fr-BE"/>
              </w:rPr>
              <w:t>Dev</w:t>
            </w:r>
            <w:proofErr w:type="spellEnd"/>
            <w:r w:rsidRPr="00BB5825">
              <w:rPr>
                <w:rFonts w:ascii="Times" w:hAnsi="Times" w:cs="Times"/>
                <w:b/>
                <w:sz w:val="20"/>
                <w:lang w:val="fr-BE"/>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3D22" w:rsidRPr="00BB5825" w:rsidRDefault="00C83D22" w:rsidP="008566D5">
            <w:pPr>
              <w:autoSpaceDE w:val="0"/>
              <w:autoSpaceDN w:val="0"/>
              <w:adjustRightInd w:val="0"/>
              <w:snapToGrid w:val="0"/>
              <w:spacing w:after="0"/>
              <w:ind w:firstLine="0"/>
              <w:jc w:val="center"/>
              <w:rPr>
                <w:rFonts w:ascii="Times" w:hAnsi="Times" w:cs="Times"/>
                <w:b/>
                <w:sz w:val="20"/>
                <w:lang w:val="fr-BE"/>
              </w:rPr>
            </w:pPr>
            <w:r w:rsidRPr="00BB5825">
              <w:rPr>
                <w:rFonts w:ascii="Times" w:hAnsi="Times" w:cs="Times"/>
                <w:b/>
                <w:sz w:val="20"/>
                <w:lang w:val="fr-BE"/>
              </w:rPr>
              <w:t>Score max.</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3D22" w:rsidRPr="00BB5825" w:rsidRDefault="00C83D22" w:rsidP="008566D5">
            <w:pPr>
              <w:autoSpaceDE w:val="0"/>
              <w:autoSpaceDN w:val="0"/>
              <w:adjustRightInd w:val="0"/>
              <w:snapToGrid w:val="0"/>
              <w:spacing w:after="0"/>
              <w:ind w:firstLine="0"/>
              <w:jc w:val="center"/>
              <w:rPr>
                <w:rFonts w:ascii="Times" w:hAnsi="Times" w:cs="Times"/>
                <w:b/>
                <w:sz w:val="20"/>
                <w:lang w:val="fr-BE"/>
              </w:rPr>
            </w:pPr>
            <w:r w:rsidRPr="00BB5825">
              <w:rPr>
                <w:rFonts w:ascii="Times" w:hAnsi="Times" w:cs="Times"/>
                <w:b/>
                <w:sz w:val="20"/>
                <w:lang w:val="fr-BE"/>
              </w:rPr>
              <w:t>Score min.</w:t>
            </w:r>
          </w:p>
        </w:tc>
      </w:tr>
      <w:tr w:rsidR="00BB5825" w:rsidRPr="00BB5825" w:rsidTr="008566D5">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rPr>
                <w:rFonts w:ascii="Times" w:hAnsi="Times" w:cs="Times"/>
                <w:sz w:val="20"/>
                <w:lang w:val="fr-BE"/>
              </w:rPr>
            </w:pPr>
            <w:r w:rsidRPr="00BB5825">
              <w:rPr>
                <w:rFonts w:ascii="Times" w:hAnsi="Times" w:cs="Times"/>
                <w:sz w:val="20"/>
                <w:lang w:val="fr-BE"/>
              </w:rPr>
              <w:t>Blue chips</w:t>
            </w:r>
          </w:p>
          <w:p w:rsidR="00C83D22" w:rsidRPr="00BB5825" w:rsidRDefault="00C83D22" w:rsidP="008566D5">
            <w:pPr>
              <w:autoSpaceDE w:val="0"/>
              <w:autoSpaceDN w:val="0"/>
              <w:adjustRightInd w:val="0"/>
              <w:snapToGrid w:val="0"/>
              <w:spacing w:after="0"/>
              <w:ind w:firstLine="0"/>
              <w:rPr>
                <w:rFonts w:ascii="Times" w:hAnsi="Times" w:cs="Times"/>
                <w:sz w:val="20"/>
                <w:lang w:val="fr-BE"/>
              </w:rPr>
            </w:pPr>
            <w:r w:rsidRPr="00BB5825">
              <w:rPr>
                <w:rFonts w:ascii="Times" w:hAnsi="Times" w:cs="Times"/>
                <w:sz w:val="20"/>
                <w:lang w:val="fr-BE"/>
              </w:rPr>
              <w:t xml:space="preserve">21  </w:t>
            </w:r>
            <w:proofErr w:type="spellStart"/>
            <w:r w:rsidRPr="00BB5825">
              <w:rPr>
                <w:rFonts w:ascii="Times" w:hAnsi="Times" w:cs="Times"/>
                <w:sz w:val="20"/>
                <w:lang w:val="fr-BE"/>
              </w:rPr>
              <w:t>firms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39.05</w:t>
            </w:r>
          </w:p>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(13.21)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12</w:t>
            </w:r>
          </w:p>
        </w:tc>
      </w:tr>
      <w:tr w:rsidR="00BB5825" w:rsidRPr="00BB5825" w:rsidTr="008566D5">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rPr>
                <w:rFonts w:ascii="Times" w:hAnsi="Times" w:cs="Times"/>
                <w:sz w:val="20"/>
                <w:lang w:val="fr-BE"/>
              </w:rPr>
            </w:pPr>
            <w:r w:rsidRPr="00BB5825">
              <w:rPr>
                <w:rFonts w:ascii="Times" w:hAnsi="Times" w:cs="Times"/>
                <w:sz w:val="20"/>
                <w:lang w:val="fr-BE"/>
              </w:rPr>
              <w:t>Small caps</w:t>
            </w:r>
          </w:p>
          <w:p w:rsidR="00C83D22" w:rsidRPr="00BB5825" w:rsidRDefault="00C83D22" w:rsidP="008566D5">
            <w:pPr>
              <w:autoSpaceDE w:val="0"/>
              <w:autoSpaceDN w:val="0"/>
              <w:adjustRightInd w:val="0"/>
              <w:snapToGrid w:val="0"/>
              <w:spacing w:after="0"/>
              <w:ind w:firstLine="0"/>
              <w:rPr>
                <w:rFonts w:ascii="Times" w:hAnsi="Times" w:cs="Times"/>
                <w:sz w:val="20"/>
                <w:lang w:val="fr-BE"/>
              </w:rPr>
            </w:pPr>
            <w:r w:rsidRPr="00BB5825">
              <w:rPr>
                <w:rFonts w:ascii="Times" w:hAnsi="Times" w:cs="Times"/>
                <w:sz w:val="20"/>
                <w:lang w:val="fr-BE"/>
              </w:rPr>
              <w:t xml:space="preserve">47 </w:t>
            </w:r>
            <w:proofErr w:type="spellStart"/>
            <w:r w:rsidRPr="00BB5825">
              <w:rPr>
                <w:rFonts w:ascii="Times" w:hAnsi="Times" w:cs="Times"/>
                <w:sz w:val="20"/>
                <w:lang w:val="fr-BE"/>
              </w:rPr>
              <w:t>firms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32.49</w:t>
            </w:r>
          </w:p>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(10.70)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8</w:t>
            </w:r>
          </w:p>
        </w:tc>
      </w:tr>
      <w:tr w:rsidR="00BB5825" w:rsidRPr="00BB5825" w:rsidTr="008566D5">
        <w:trPr>
          <w:trHeight w:val="34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26204" w:rsidP="008566D5">
            <w:pPr>
              <w:autoSpaceDE w:val="0"/>
              <w:autoSpaceDN w:val="0"/>
              <w:adjustRightInd w:val="0"/>
              <w:snapToGrid w:val="0"/>
              <w:spacing w:after="0"/>
              <w:ind w:firstLine="0"/>
              <w:rPr>
                <w:rFonts w:ascii="Times" w:hAnsi="Times" w:cs="Times"/>
                <w:sz w:val="20"/>
                <w:lang w:val="fr-BE"/>
              </w:rPr>
            </w:pPr>
            <w:r w:rsidRPr="00BB5825">
              <w:rPr>
                <w:rFonts w:ascii="Times" w:hAnsi="Times" w:cs="Times"/>
                <w:sz w:val="20"/>
                <w:lang w:val="fr-BE"/>
              </w:rPr>
              <w:t>T</w:t>
            </w:r>
            <w:r w:rsidR="00C83D22" w:rsidRPr="00BB5825">
              <w:rPr>
                <w:rFonts w:ascii="Times" w:hAnsi="Times" w:cs="Times"/>
                <w:sz w:val="20"/>
                <w:lang w:val="fr-BE"/>
              </w:rPr>
              <w:t>otal</w:t>
            </w:r>
            <w:r w:rsidRPr="00BB5825">
              <w:rPr>
                <w:rFonts w:ascii="Times" w:hAnsi="Times" w:cs="Times"/>
                <w:sz w:val="20"/>
                <w:lang w:val="fr-BE"/>
              </w:rPr>
              <w:t xml:space="preserve"> </w:t>
            </w:r>
            <w:proofErr w:type="spellStart"/>
            <w:r w:rsidRPr="00BB5825">
              <w:rPr>
                <w:rFonts w:ascii="Times" w:hAnsi="Times" w:cs="Times"/>
                <w:sz w:val="20"/>
                <w:lang w:val="fr-BE"/>
              </w:rPr>
              <w:t>Sample</w:t>
            </w:r>
            <w:proofErr w:type="spellEnd"/>
          </w:p>
          <w:p w:rsidR="00C83D22" w:rsidRPr="00BB5825" w:rsidRDefault="00C83D22" w:rsidP="00C83D22">
            <w:pPr>
              <w:autoSpaceDE w:val="0"/>
              <w:autoSpaceDN w:val="0"/>
              <w:adjustRightInd w:val="0"/>
              <w:snapToGrid w:val="0"/>
              <w:spacing w:after="0"/>
              <w:ind w:firstLine="0"/>
              <w:rPr>
                <w:rFonts w:ascii="Times" w:hAnsi="Times" w:cs="Times"/>
                <w:sz w:val="20"/>
                <w:lang w:val="fr-BE"/>
              </w:rPr>
            </w:pPr>
            <w:r w:rsidRPr="00BB5825">
              <w:rPr>
                <w:rFonts w:ascii="Times" w:hAnsi="Times" w:cs="Times"/>
                <w:sz w:val="20"/>
                <w:lang w:val="fr-BE"/>
              </w:rPr>
              <w:t xml:space="preserve">68 </w:t>
            </w:r>
            <w:proofErr w:type="spellStart"/>
            <w:r w:rsidRPr="00BB5825">
              <w:rPr>
                <w:rFonts w:ascii="Times" w:hAnsi="Times" w:cs="Times"/>
                <w:sz w:val="20"/>
                <w:lang w:val="fr-BE"/>
              </w:rPr>
              <w:t>firms</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34.51</w:t>
            </w:r>
          </w:p>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(11.83)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54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ind w:firstLine="0"/>
              <w:jc w:val="center"/>
              <w:rPr>
                <w:rFonts w:ascii="Times" w:hAnsi="Times" w:cs="Times"/>
                <w:sz w:val="20"/>
                <w:lang w:val="fr-BE"/>
              </w:rPr>
            </w:pPr>
            <w:r w:rsidRPr="00BB5825">
              <w:rPr>
                <w:rFonts w:ascii="Times" w:hAnsi="Times" w:cs="Times"/>
                <w:sz w:val="20"/>
                <w:lang w:val="fr-BE"/>
              </w:rPr>
              <w:t>8</w:t>
            </w:r>
          </w:p>
        </w:tc>
      </w:tr>
      <w:tr w:rsidR="00BB5825" w:rsidRPr="00BB5825" w:rsidTr="008566D5">
        <w:trPr>
          <w:trHeight w:val="345"/>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jc w:val="center"/>
              <w:rPr>
                <w:rFonts w:ascii="Times" w:hAnsi="Times" w:cs="Times"/>
                <w:sz w:val="20"/>
                <w:lang w:val="fr-BE"/>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jc w:val="center"/>
              <w:rPr>
                <w:rFonts w:ascii="Times" w:hAnsi="Times" w:cs="Times"/>
                <w:sz w:val="20"/>
                <w:lang w:val="fr-BE"/>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jc w:val="center"/>
              <w:rPr>
                <w:rFonts w:ascii="Times" w:hAnsi="Times" w:cs="Times"/>
                <w:sz w:val="20"/>
                <w:lang w:val="fr-BE"/>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3D22" w:rsidRPr="00BB5825" w:rsidRDefault="00C83D22" w:rsidP="008566D5">
            <w:pPr>
              <w:autoSpaceDE w:val="0"/>
              <w:autoSpaceDN w:val="0"/>
              <w:adjustRightInd w:val="0"/>
              <w:snapToGrid w:val="0"/>
              <w:spacing w:after="0"/>
              <w:jc w:val="center"/>
              <w:rPr>
                <w:rFonts w:ascii="Times" w:hAnsi="Times" w:cs="Times"/>
                <w:sz w:val="20"/>
                <w:lang w:val="fr-BE"/>
              </w:rPr>
            </w:pPr>
          </w:p>
        </w:tc>
      </w:tr>
    </w:tbl>
    <w:p w:rsidR="007B384F" w:rsidRPr="00BB5825" w:rsidRDefault="007B384F" w:rsidP="004828B5">
      <w:pPr>
        <w:spacing w:after="0" w:line="276" w:lineRule="auto"/>
      </w:pPr>
    </w:p>
    <w:p w:rsidR="007B384F" w:rsidRPr="00BB5825" w:rsidRDefault="007B384F" w:rsidP="004828B5">
      <w:pPr>
        <w:spacing w:after="0" w:line="276" w:lineRule="auto"/>
        <w:rPr>
          <w:rFonts w:ascii="Times" w:hAnsi="Times" w:cs="Times"/>
        </w:rPr>
      </w:pPr>
      <w:r w:rsidRPr="00BB5825">
        <w:rPr>
          <w:rFonts w:ascii="Times" w:hAnsi="Times" w:cs="Times"/>
        </w:rPr>
        <w:t xml:space="preserve">Looking table 4, we can see a weak average score of financial </w:t>
      </w:r>
      <w:r w:rsidR="00C62870" w:rsidRPr="00BB5825">
        <w:rPr>
          <w:rFonts w:ascii="Times" w:hAnsi="Times" w:cs="Times"/>
        </w:rPr>
        <w:t>communication:</w:t>
      </w:r>
      <w:r w:rsidR="000C6B71" w:rsidRPr="00BB5825">
        <w:rPr>
          <w:rFonts w:ascii="Times" w:hAnsi="Times" w:cs="Times"/>
        </w:rPr>
        <w:t xml:space="preserve"> 34.51 points</w:t>
      </w:r>
      <w:r w:rsidR="00C62870" w:rsidRPr="00BB5825">
        <w:rPr>
          <w:rFonts w:ascii="Times" w:hAnsi="Times" w:cs="Times"/>
        </w:rPr>
        <w:t xml:space="preserve"> up to 80 </w:t>
      </w:r>
      <w:r w:rsidR="000C6B71" w:rsidRPr="00BB5825">
        <w:rPr>
          <w:rFonts w:ascii="Times" w:hAnsi="Times" w:cs="Times"/>
        </w:rPr>
        <w:t xml:space="preserve">points </w:t>
      </w:r>
      <w:r w:rsidR="00C62870" w:rsidRPr="00BB5825">
        <w:rPr>
          <w:rFonts w:ascii="Times" w:hAnsi="Times" w:cs="Times"/>
        </w:rPr>
        <w:t>in the grid</w:t>
      </w:r>
      <w:r w:rsidRPr="00BB5825">
        <w:rPr>
          <w:rFonts w:ascii="Times" w:hAnsi="Times" w:cs="Times"/>
        </w:rPr>
        <w:t xml:space="preserve">. </w:t>
      </w:r>
      <w:r w:rsidR="00C62870" w:rsidRPr="00BB5825">
        <w:rPr>
          <w:rFonts w:ascii="Times" w:hAnsi="Times" w:cs="Times"/>
        </w:rPr>
        <w:t>T</w:t>
      </w:r>
      <w:r w:rsidRPr="00BB5825">
        <w:rPr>
          <w:rFonts w:ascii="Times" w:hAnsi="Times" w:cs="Times"/>
        </w:rPr>
        <w:t>he second remark concerns the a</w:t>
      </w:r>
      <w:r w:rsidR="00C62870" w:rsidRPr="00BB5825">
        <w:rPr>
          <w:rFonts w:ascii="Times" w:hAnsi="Times" w:cs="Times"/>
        </w:rPr>
        <w:t>verage scores slightly higher for c</w:t>
      </w:r>
      <w:r w:rsidRPr="00BB5825">
        <w:rPr>
          <w:rFonts w:ascii="Times" w:hAnsi="Times" w:cs="Times"/>
        </w:rPr>
        <w:t xml:space="preserve">ompanies </w:t>
      </w:r>
      <w:r w:rsidR="00C62870" w:rsidRPr="00BB5825">
        <w:rPr>
          <w:rFonts w:ascii="Times" w:hAnsi="Times" w:cs="Times"/>
        </w:rPr>
        <w:t>in</w:t>
      </w:r>
      <w:r w:rsidRPr="00BB5825">
        <w:rPr>
          <w:rFonts w:ascii="Times" w:hAnsi="Times" w:cs="Times"/>
        </w:rPr>
        <w:t xml:space="preserve"> compartment A of the NYSE Euronext </w:t>
      </w:r>
      <w:proofErr w:type="spellStart"/>
      <w:r w:rsidRPr="00BB5825">
        <w:rPr>
          <w:rFonts w:ascii="Times" w:hAnsi="Times" w:cs="Times"/>
        </w:rPr>
        <w:t>Bruxelles</w:t>
      </w:r>
      <w:proofErr w:type="spellEnd"/>
      <w:r w:rsidRPr="00BB5825">
        <w:rPr>
          <w:rFonts w:ascii="Times" w:hAnsi="Times" w:cs="Times"/>
        </w:rPr>
        <w:t xml:space="preserve">. </w:t>
      </w:r>
      <w:r w:rsidR="00C62870" w:rsidRPr="00BB5825">
        <w:rPr>
          <w:rFonts w:ascii="Times" w:hAnsi="Times" w:cs="Times"/>
        </w:rPr>
        <w:t>T</w:t>
      </w:r>
      <w:r w:rsidRPr="00BB5825">
        <w:rPr>
          <w:rFonts w:ascii="Times" w:hAnsi="Times" w:cs="Times"/>
        </w:rPr>
        <w:t>he highest minimum and maximum scores also find themselves within the companies of big capitalization.</w:t>
      </w:r>
    </w:p>
    <w:p w:rsidR="00C62870" w:rsidRPr="00BB5825" w:rsidRDefault="00C62870" w:rsidP="004828B5">
      <w:pPr>
        <w:spacing w:after="0" w:line="276" w:lineRule="auto"/>
        <w:rPr>
          <w:rStyle w:val="transpan"/>
          <w:shd w:val="clear" w:color="auto" w:fill="EFEFEF"/>
        </w:rPr>
      </w:pPr>
    </w:p>
    <w:p w:rsidR="00C62870" w:rsidRPr="00BB5825" w:rsidRDefault="00C62870" w:rsidP="004828B5">
      <w:pPr>
        <w:spacing w:after="0" w:line="276" w:lineRule="auto"/>
      </w:pPr>
      <w:r w:rsidRPr="00BB5825">
        <w:t>The following table presents a division of the sample according to the average score and size of companies.</w:t>
      </w:r>
    </w:p>
    <w:p w:rsidR="00C62870" w:rsidRPr="00BB5825" w:rsidRDefault="00C62870" w:rsidP="004828B5">
      <w:pPr>
        <w:spacing w:after="0" w:line="276" w:lineRule="auto"/>
      </w:pPr>
    </w:p>
    <w:p w:rsidR="00773BD2" w:rsidRPr="00BB5825" w:rsidRDefault="00773BD2" w:rsidP="004828B5">
      <w:pPr>
        <w:spacing w:after="0" w:line="276" w:lineRule="auto"/>
      </w:pPr>
      <w:r w:rsidRPr="00BB5825">
        <w:t xml:space="preserve">Table 5 – Average scores of financial communication according to </w:t>
      </w:r>
      <w:proofErr w:type="spellStart"/>
      <w:r w:rsidRPr="00BB5825">
        <w:t>companies’size</w:t>
      </w:r>
      <w:proofErr w:type="spellEnd"/>
    </w:p>
    <w:p w:rsidR="00773BD2" w:rsidRPr="00BB5825" w:rsidRDefault="00773BD2" w:rsidP="004828B5">
      <w:pPr>
        <w:spacing w:after="0" w:line="276" w:lineRule="auto"/>
      </w:pPr>
    </w:p>
    <w:tbl>
      <w:tblPr>
        <w:tblStyle w:val="Grilledutableau"/>
        <w:tblW w:w="7917" w:type="dxa"/>
        <w:jc w:val="center"/>
        <w:tblInd w:w="847" w:type="dxa"/>
        <w:tblLook w:val="04A0" w:firstRow="1" w:lastRow="0" w:firstColumn="1" w:lastColumn="0" w:noHBand="0" w:noVBand="1"/>
      </w:tblPr>
      <w:tblGrid>
        <w:gridCol w:w="2295"/>
        <w:gridCol w:w="1788"/>
        <w:gridCol w:w="2416"/>
        <w:gridCol w:w="1418"/>
      </w:tblGrid>
      <w:tr w:rsidR="00BB5825" w:rsidRPr="00AC22C0" w:rsidTr="00773BD2">
        <w:trPr>
          <w:jc w:val="center"/>
        </w:trPr>
        <w:tc>
          <w:tcPr>
            <w:tcW w:w="2295" w:type="dxa"/>
            <w:shd w:val="clear" w:color="auto" w:fill="BFBFBF" w:themeFill="background1" w:themeFillShade="BF"/>
            <w:vAlign w:val="center"/>
          </w:tcPr>
          <w:p w:rsidR="00773BD2" w:rsidRPr="00AC22C0" w:rsidRDefault="00773BD2" w:rsidP="00773BD2">
            <w:pPr>
              <w:autoSpaceDE w:val="0"/>
              <w:autoSpaceDN w:val="0"/>
              <w:adjustRightInd w:val="0"/>
              <w:snapToGrid w:val="0"/>
              <w:spacing w:after="0"/>
              <w:jc w:val="center"/>
              <w:rPr>
                <w:rFonts w:ascii="Times" w:hAnsi="Times" w:cs="Times"/>
                <w:b/>
                <w:sz w:val="20"/>
                <w:szCs w:val="20"/>
                <w:lang w:val="fr-BE"/>
              </w:rPr>
            </w:pPr>
            <w:proofErr w:type="spellStart"/>
            <w:r w:rsidRPr="00AC22C0">
              <w:rPr>
                <w:rFonts w:ascii="Times" w:hAnsi="Times" w:cs="Times"/>
                <w:b/>
                <w:sz w:val="20"/>
                <w:szCs w:val="20"/>
                <w:lang w:val="fr-BE"/>
              </w:rPr>
              <w:t>Repartition</w:t>
            </w:r>
            <w:proofErr w:type="spellEnd"/>
            <w:r w:rsidRPr="00AC22C0">
              <w:rPr>
                <w:rFonts w:ascii="Times" w:hAnsi="Times" w:cs="Times"/>
                <w:b/>
                <w:sz w:val="20"/>
                <w:szCs w:val="20"/>
                <w:lang w:val="fr-BE"/>
              </w:rPr>
              <w:t xml:space="preserve"> </w:t>
            </w:r>
            <w:proofErr w:type="spellStart"/>
            <w:r w:rsidRPr="00AC22C0">
              <w:rPr>
                <w:rFonts w:ascii="Times" w:hAnsi="Times" w:cs="Times"/>
                <w:b/>
                <w:sz w:val="20"/>
                <w:szCs w:val="20"/>
                <w:lang w:val="fr-BE"/>
              </w:rPr>
              <w:t>according</w:t>
            </w:r>
            <w:proofErr w:type="spellEnd"/>
            <w:r w:rsidRPr="00AC22C0">
              <w:rPr>
                <w:rFonts w:ascii="Times" w:hAnsi="Times" w:cs="Times"/>
                <w:b/>
                <w:sz w:val="20"/>
                <w:szCs w:val="20"/>
                <w:lang w:val="fr-BE"/>
              </w:rPr>
              <w:t xml:space="preserve"> </w:t>
            </w:r>
            <w:proofErr w:type="spellStart"/>
            <w:r w:rsidRPr="00AC22C0">
              <w:rPr>
                <w:rFonts w:ascii="Times" w:hAnsi="Times" w:cs="Times"/>
                <w:b/>
                <w:sz w:val="20"/>
                <w:szCs w:val="20"/>
                <w:lang w:val="fr-BE"/>
              </w:rPr>
              <w:t>average</w:t>
            </w:r>
            <w:proofErr w:type="spellEnd"/>
            <w:r w:rsidRPr="00AC22C0">
              <w:rPr>
                <w:rFonts w:ascii="Times" w:hAnsi="Times" w:cs="Times"/>
                <w:b/>
                <w:sz w:val="20"/>
                <w:szCs w:val="20"/>
                <w:lang w:val="fr-BE"/>
              </w:rPr>
              <w:t xml:space="preserve"> score</w:t>
            </w:r>
          </w:p>
        </w:tc>
        <w:tc>
          <w:tcPr>
            <w:tcW w:w="1788" w:type="dxa"/>
            <w:shd w:val="clear" w:color="auto" w:fill="BFBFBF" w:themeFill="background1" w:themeFillShade="BF"/>
            <w:vAlign w:val="center"/>
          </w:tcPr>
          <w:p w:rsidR="00773BD2" w:rsidRPr="00AC22C0" w:rsidRDefault="00773BD2" w:rsidP="00773BD2">
            <w:pPr>
              <w:autoSpaceDE w:val="0"/>
              <w:autoSpaceDN w:val="0"/>
              <w:adjustRightInd w:val="0"/>
              <w:snapToGrid w:val="0"/>
              <w:spacing w:after="0"/>
              <w:jc w:val="center"/>
              <w:rPr>
                <w:rFonts w:ascii="Times" w:hAnsi="Times" w:cs="Times"/>
                <w:b/>
                <w:sz w:val="20"/>
                <w:szCs w:val="20"/>
                <w:lang w:val="fr-BE"/>
              </w:rPr>
            </w:pPr>
            <w:proofErr w:type="spellStart"/>
            <w:r w:rsidRPr="00AC22C0">
              <w:rPr>
                <w:rFonts w:ascii="Times" w:hAnsi="Times" w:cs="Times"/>
                <w:b/>
                <w:sz w:val="20"/>
                <w:szCs w:val="20"/>
                <w:lang w:val="fr-BE"/>
              </w:rPr>
              <w:t>Number</w:t>
            </w:r>
            <w:proofErr w:type="spellEnd"/>
            <w:r w:rsidRPr="00AC22C0">
              <w:rPr>
                <w:rFonts w:ascii="Times" w:hAnsi="Times" w:cs="Times"/>
                <w:b/>
                <w:sz w:val="20"/>
                <w:szCs w:val="20"/>
                <w:lang w:val="fr-BE"/>
              </w:rPr>
              <w:t xml:space="preserve"> of </w:t>
            </w:r>
            <w:proofErr w:type="spellStart"/>
            <w:r w:rsidRPr="00AC22C0">
              <w:rPr>
                <w:rFonts w:ascii="Times" w:hAnsi="Times" w:cs="Times"/>
                <w:b/>
                <w:sz w:val="20"/>
                <w:szCs w:val="20"/>
                <w:lang w:val="fr-BE"/>
              </w:rPr>
              <w:t>firms</w:t>
            </w:r>
            <w:proofErr w:type="spellEnd"/>
          </w:p>
        </w:tc>
        <w:tc>
          <w:tcPr>
            <w:tcW w:w="2416" w:type="dxa"/>
            <w:shd w:val="clear" w:color="auto" w:fill="BFBFBF" w:themeFill="background1" w:themeFillShade="BF"/>
            <w:vAlign w:val="center"/>
          </w:tcPr>
          <w:p w:rsidR="00773BD2" w:rsidRPr="00AC22C0" w:rsidRDefault="00773BD2" w:rsidP="00773BD2">
            <w:pPr>
              <w:autoSpaceDE w:val="0"/>
              <w:autoSpaceDN w:val="0"/>
              <w:adjustRightInd w:val="0"/>
              <w:snapToGrid w:val="0"/>
              <w:spacing w:after="0"/>
              <w:jc w:val="center"/>
              <w:rPr>
                <w:rFonts w:ascii="Times" w:hAnsi="Times" w:cs="Times"/>
                <w:b/>
                <w:sz w:val="20"/>
                <w:szCs w:val="20"/>
              </w:rPr>
            </w:pPr>
            <w:r w:rsidRPr="00AC22C0">
              <w:rPr>
                <w:rFonts w:ascii="Times" w:hAnsi="Times" w:cs="Times"/>
                <w:b/>
                <w:sz w:val="20"/>
                <w:szCs w:val="20"/>
              </w:rPr>
              <w:t>Number of firms according size criteria</w:t>
            </w:r>
          </w:p>
        </w:tc>
        <w:tc>
          <w:tcPr>
            <w:tcW w:w="1418" w:type="dxa"/>
            <w:shd w:val="clear" w:color="auto" w:fill="BFBFBF" w:themeFill="background1" w:themeFillShade="BF"/>
            <w:vAlign w:val="center"/>
          </w:tcPr>
          <w:p w:rsidR="00773BD2" w:rsidRPr="00AC22C0" w:rsidRDefault="00773BD2" w:rsidP="00773BD2">
            <w:pPr>
              <w:autoSpaceDE w:val="0"/>
              <w:autoSpaceDN w:val="0"/>
              <w:adjustRightInd w:val="0"/>
              <w:snapToGrid w:val="0"/>
              <w:spacing w:after="0"/>
              <w:jc w:val="center"/>
              <w:rPr>
                <w:rFonts w:ascii="Times" w:hAnsi="Times" w:cs="Times"/>
                <w:b/>
                <w:sz w:val="20"/>
                <w:szCs w:val="20"/>
                <w:lang w:val="fr-BE"/>
              </w:rPr>
            </w:pPr>
            <w:proofErr w:type="spellStart"/>
            <w:r w:rsidRPr="00AC22C0">
              <w:rPr>
                <w:rFonts w:ascii="Times" w:hAnsi="Times" w:cs="Times"/>
                <w:b/>
                <w:sz w:val="20"/>
                <w:szCs w:val="20"/>
                <w:lang w:val="fr-BE"/>
              </w:rPr>
              <w:t>Percentage</w:t>
            </w:r>
            <w:proofErr w:type="spellEnd"/>
          </w:p>
        </w:tc>
      </w:tr>
      <w:tr w:rsidR="00BB5825" w:rsidRPr="00AC22C0" w:rsidTr="00773BD2">
        <w:trPr>
          <w:jc w:val="center"/>
        </w:trPr>
        <w:tc>
          <w:tcPr>
            <w:tcW w:w="2295" w:type="dxa"/>
            <w:vMerge w:val="restart"/>
            <w:vAlign w:val="center"/>
          </w:tcPr>
          <w:p w:rsidR="00773BD2" w:rsidRPr="00AC22C0" w:rsidRDefault="00773BD2" w:rsidP="00773BD2">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Score &lt; 34.51</w:t>
            </w:r>
          </w:p>
        </w:tc>
        <w:tc>
          <w:tcPr>
            <w:tcW w:w="1788" w:type="dxa"/>
            <w:vMerge w:val="restart"/>
            <w:vAlign w:val="center"/>
          </w:tcPr>
          <w:p w:rsidR="00773BD2" w:rsidRPr="00AC22C0" w:rsidRDefault="00773BD2" w:rsidP="00773BD2">
            <w:pPr>
              <w:autoSpaceDE w:val="0"/>
              <w:autoSpaceDN w:val="0"/>
              <w:adjustRightInd w:val="0"/>
              <w:snapToGrid w:val="0"/>
              <w:spacing w:after="0"/>
              <w:rPr>
                <w:rFonts w:ascii="Times" w:hAnsi="Times" w:cs="Times"/>
                <w:sz w:val="20"/>
                <w:szCs w:val="20"/>
                <w:lang w:val="fr-BE"/>
              </w:rPr>
            </w:pPr>
            <w:r w:rsidRPr="00AC22C0">
              <w:rPr>
                <w:rFonts w:ascii="Times" w:hAnsi="Times" w:cs="Times"/>
                <w:sz w:val="20"/>
                <w:szCs w:val="20"/>
                <w:lang w:val="fr-BE"/>
              </w:rPr>
              <w:t xml:space="preserve">29 </w:t>
            </w:r>
            <w:proofErr w:type="spellStart"/>
            <w:r w:rsidRPr="00AC22C0">
              <w:rPr>
                <w:rFonts w:ascii="Times" w:hAnsi="Times" w:cs="Times"/>
                <w:sz w:val="20"/>
                <w:szCs w:val="20"/>
                <w:lang w:val="fr-BE"/>
              </w:rPr>
              <w:t>firms</w:t>
            </w:r>
            <w:proofErr w:type="spellEnd"/>
            <w:r w:rsidRPr="00AC22C0">
              <w:rPr>
                <w:rFonts w:ascii="Times" w:hAnsi="Times" w:cs="Times"/>
                <w:sz w:val="20"/>
                <w:szCs w:val="20"/>
                <w:lang w:val="fr-BE"/>
              </w:rPr>
              <w:t xml:space="preserve"> (42.65%)</w:t>
            </w:r>
          </w:p>
        </w:tc>
        <w:tc>
          <w:tcPr>
            <w:tcW w:w="2416"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 xml:space="preserve">5 </w:t>
            </w:r>
            <w:proofErr w:type="spellStart"/>
            <w:r w:rsidRPr="00AC22C0">
              <w:rPr>
                <w:rFonts w:ascii="Times" w:hAnsi="Times" w:cs="Times"/>
                <w:sz w:val="20"/>
                <w:szCs w:val="20"/>
                <w:lang w:val="fr-BE"/>
              </w:rPr>
              <w:t>blue</w:t>
            </w:r>
            <w:proofErr w:type="spellEnd"/>
            <w:r w:rsidRPr="00AC22C0">
              <w:rPr>
                <w:rFonts w:ascii="Times" w:hAnsi="Times" w:cs="Times"/>
                <w:sz w:val="20"/>
                <w:szCs w:val="20"/>
                <w:lang w:val="fr-BE"/>
              </w:rPr>
              <w:t xml:space="preserve"> chips</w:t>
            </w:r>
          </w:p>
        </w:tc>
        <w:tc>
          <w:tcPr>
            <w:tcW w:w="1418"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23.81%</w:t>
            </w:r>
          </w:p>
        </w:tc>
      </w:tr>
      <w:tr w:rsidR="00BB5825" w:rsidRPr="00AC22C0" w:rsidTr="00773BD2">
        <w:trPr>
          <w:jc w:val="center"/>
        </w:trPr>
        <w:tc>
          <w:tcPr>
            <w:tcW w:w="2295" w:type="dxa"/>
            <w:vMerge/>
            <w:vAlign w:val="center"/>
          </w:tcPr>
          <w:p w:rsidR="00773BD2" w:rsidRPr="00AC22C0" w:rsidRDefault="00773BD2" w:rsidP="00773BD2">
            <w:pPr>
              <w:autoSpaceDE w:val="0"/>
              <w:autoSpaceDN w:val="0"/>
              <w:adjustRightInd w:val="0"/>
              <w:snapToGrid w:val="0"/>
              <w:spacing w:after="0"/>
              <w:jc w:val="center"/>
              <w:rPr>
                <w:rFonts w:ascii="Times" w:hAnsi="Times" w:cs="Times"/>
                <w:sz w:val="20"/>
                <w:szCs w:val="20"/>
                <w:lang w:val="fr-BE"/>
              </w:rPr>
            </w:pPr>
          </w:p>
        </w:tc>
        <w:tc>
          <w:tcPr>
            <w:tcW w:w="1788" w:type="dxa"/>
            <w:vMerge/>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p>
        </w:tc>
        <w:tc>
          <w:tcPr>
            <w:tcW w:w="2416"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 xml:space="preserve">24 </w:t>
            </w:r>
            <w:proofErr w:type="spellStart"/>
            <w:r w:rsidRPr="00AC22C0">
              <w:rPr>
                <w:rFonts w:ascii="Times" w:hAnsi="Times" w:cs="Times"/>
                <w:sz w:val="20"/>
                <w:szCs w:val="20"/>
                <w:lang w:val="fr-BE"/>
              </w:rPr>
              <w:t>small</w:t>
            </w:r>
            <w:proofErr w:type="spellEnd"/>
            <w:r w:rsidRPr="00AC22C0">
              <w:rPr>
                <w:rFonts w:ascii="Times" w:hAnsi="Times" w:cs="Times"/>
                <w:sz w:val="20"/>
                <w:szCs w:val="20"/>
                <w:lang w:val="fr-BE"/>
              </w:rPr>
              <w:t xml:space="preserve"> caps</w:t>
            </w:r>
          </w:p>
        </w:tc>
        <w:tc>
          <w:tcPr>
            <w:tcW w:w="1418"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51.06%</w:t>
            </w:r>
          </w:p>
        </w:tc>
      </w:tr>
      <w:tr w:rsidR="00BB5825" w:rsidRPr="00AC22C0" w:rsidTr="00773BD2">
        <w:trPr>
          <w:jc w:val="center"/>
        </w:trPr>
        <w:tc>
          <w:tcPr>
            <w:tcW w:w="2295" w:type="dxa"/>
            <w:vMerge w:val="restart"/>
            <w:vAlign w:val="center"/>
          </w:tcPr>
          <w:p w:rsidR="00773BD2" w:rsidRPr="00AC22C0" w:rsidRDefault="00773BD2" w:rsidP="00773BD2">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Score &gt; 34.51</w:t>
            </w:r>
          </w:p>
        </w:tc>
        <w:tc>
          <w:tcPr>
            <w:tcW w:w="1788" w:type="dxa"/>
            <w:vMerge w:val="restart"/>
            <w:vAlign w:val="center"/>
          </w:tcPr>
          <w:p w:rsidR="00773BD2" w:rsidRPr="00AC22C0" w:rsidRDefault="00773BD2" w:rsidP="00773BD2">
            <w:pPr>
              <w:autoSpaceDE w:val="0"/>
              <w:autoSpaceDN w:val="0"/>
              <w:adjustRightInd w:val="0"/>
              <w:snapToGrid w:val="0"/>
              <w:spacing w:after="0"/>
              <w:rPr>
                <w:rFonts w:ascii="Times" w:hAnsi="Times" w:cs="Times"/>
                <w:sz w:val="20"/>
                <w:szCs w:val="20"/>
                <w:lang w:val="fr-BE"/>
              </w:rPr>
            </w:pPr>
            <w:r w:rsidRPr="00AC22C0">
              <w:rPr>
                <w:rFonts w:ascii="Times" w:hAnsi="Times" w:cs="Times"/>
                <w:sz w:val="20"/>
                <w:szCs w:val="20"/>
                <w:lang w:val="fr-BE"/>
              </w:rPr>
              <w:t xml:space="preserve">39 </w:t>
            </w:r>
            <w:proofErr w:type="spellStart"/>
            <w:r w:rsidRPr="00AC22C0">
              <w:rPr>
                <w:rFonts w:ascii="Times" w:hAnsi="Times" w:cs="Times"/>
                <w:sz w:val="20"/>
                <w:szCs w:val="20"/>
                <w:lang w:val="fr-BE"/>
              </w:rPr>
              <w:t>firms</w:t>
            </w:r>
            <w:proofErr w:type="spellEnd"/>
            <w:r w:rsidRPr="00AC22C0">
              <w:rPr>
                <w:rFonts w:ascii="Times" w:hAnsi="Times" w:cs="Times"/>
                <w:sz w:val="20"/>
                <w:szCs w:val="20"/>
                <w:lang w:val="fr-BE"/>
              </w:rPr>
              <w:t xml:space="preserve"> (57,35%)</w:t>
            </w:r>
          </w:p>
        </w:tc>
        <w:tc>
          <w:tcPr>
            <w:tcW w:w="2416"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 xml:space="preserve">16 </w:t>
            </w:r>
            <w:proofErr w:type="spellStart"/>
            <w:r w:rsidRPr="00AC22C0">
              <w:rPr>
                <w:rFonts w:ascii="Times" w:hAnsi="Times" w:cs="Times"/>
                <w:sz w:val="20"/>
                <w:szCs w:val="20"/>
                <w:lang w:val="fr-BE"/>
              </w:rPr>
              <w:t>blue</w:t>
            </w:r>
            <w:proofErr w:type="spellEnd"/>
            <w:r w:rsidRPr="00AC22C0">
              <w:rPr>
                <w:rFonts w:ascii="Times" w:hAnsi="Times" w:cs="Times"/>
                <w:sz w:val="20"/>
                <w:szCs w:val="20"/>
                <w:lang w:val="fr-BE"/>
              </w:rPr>
              <w:t xml:space="preserve"> chips</w:t>
            </w:r>
          </w:p>
        </w:tc>
        <w:tc>
          <w:tcPr>
            <w:tcW w:w="1418"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76.19%</w:t>
            </w:r>
          </w:p>
        </w:tc>
      </w:tr>
      <w:tr w:rsidR="00BB5825" w:rsidRPr="00AC22C0" w:rsidTr="00773BD2">
        <w:trPr>
          <w:jc w:val="center"/>
        </w:trPr>
        <w:tc>
          <w:tcPr>
            <w:tcW w:w="2295" w:type="dxa"/>
            <w:vMerge/>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p>
        </w:tc>
        <w:tc>
          <w:tcPr>
            <w:tcW w:w="1788" w:type="dxa"/>
            <w:vMerge/>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p>
        </w:tc>
        <w:tc>
          <w:tcPr>
            <w:tcW w:w="2416"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 xml:space="preserve">23 </w:t>
            </w:r>
            <w:proofErr w:type="spellStart"/>
            <w:r w:rsidRPr="00AC22C0">
              <w:rPr>
                <w:rFonts w:ascii="Times" w:hAnsi="Times" w:cs="Times"/>
                <w:sz w:val="20"/>
                <w:szCs w:val="20"/>
                <w:lang w:val="fr-BE"/>
              </w:rPr>
              <w:t>small</w:t>
            </w:r>
            <w:proofErr w:type="spellEnd"/>
            <w:r w:rsidRPr="00AC22C0">
              <w:rPr>
                <w:rFonts w:ascii="Times" w:hAnsi="Times" w:cs="Times"/>
                <w:sz w:val="20"/>
                <w:szCs w:val="20"/>
                <w:lang w:val="fr-BE"/>
              </w:rPr>
              <w:t xml:space="preserve"> caps</w:t>
            </w:r>
          </w:p>
        </w:tc>
        <w:tc>
          <w:tcPr>
            <w:tcW w:w="1418" w:type="dxa"/>
            <w:vAlign w:val="center"/>
          </w:tcPr>
          <w:p w:rsidR="00773BD2" w:rsidRPr="00AC22C0" w:rsidRDefault="00773BD2" w:rsidP="008566D5">
            <w:pPr>
              <w:autoSpaceDE w:val="0"/>
              <w:autoSpaceDN w:val="0"/>
              <w:adjustRightInd w:val="0"/>
              <w:snapToGrid w:val="0"/>
              <w:spacing w:after="0"/>
              <w:jc w:val="center"/>
              <w:rPr>
                <w:rFonts w:ascii="Times" w:hAnsi="Times" w:cs="Times"/>
                <w:sz w:val="20"/>
                <w:szCs w:val="20"/>
                <w:lang w:val="fr-BE"/>
              </w:rPr>
            </w:pPr>
            <w:r w:rsidRPr="00AC22C0">
              <w:rPr>
                <w:rFonts w:ascii="Times" w:hAnsi="Times" w:cs="Times"/>
                <w:sz w:val="20"/>
                <w:szCs w:val="20"/>
                <w:lang w:val="fr-BE"/>
              </w:rPr>
              <w:t>48.94%</w:t>
            </w:r>
          </w:p>
        </w:tc>
      </w:tr>
    </w:tbl>
    <w:p w:rsidR="00C62870" w:rsidRPr="00BB5825" w:rsidRDefault="00C62870" w:rsidP="004828B5">
      <w:pPr>
        <w:spacing w:after="0" w:line="276" w:lineRule="auto"/>
      </w:pPr>
    </w:p>
    <w:p w:rsidR="000C6B71" w:rsidRPr="00BB5825" w:rsidRDefault="000C6B71" w:rsidP="004828B5">
      <w:pPr>
        <w:spacing w:after="0" w:line="276" w:lineRule="auto"/>
      </w:pPr>
      <w:r w:rsidRPr="00BB5825">
        <w:t xml:space="preserve">When the sample is cut according to the average score of financial communication, we notice that more than half companies of the sample present an individual score upper to the average </w:t>
      </w:r>
      <w:r w:rsidRPr="00BB5825">
        <w:lastRenderedPageBreak/>
        <w:t xml:space="preserve">score of 34.51 points. Besides, more than 75 % of blue chips of the total sample </w:t>
      </w:r>
      <w:r w:rsidR="003169F9" w:rsidRPr="00BB5825">
        <w:t>belong</w:t>
      </w:r>
      <w:r w:rsidRPr="00BB5825">
        <w:t xml:space="preserve"> to this category of companies presenting a better quality of financial communication. This observation pleads in favor of a size effect on company</w:t>
      </w:r>
      <w:r w:rsidR="003169F9" w:rsidRPr="00BB5825">
        <w:t>’s financial communication</w:t>
      </w:r>
      <w:r w:rsidRPr="00BB5825">
        <w:t xml:space="preserve"> qual</w:t>
      </w:r>
      <w:r w:rsidR="003169F9" w:rsidRPr="00BB5825">
        <w:t xml:space="preserve">ity. </w:t>
      </w:r>
      <w:r w:rsidRPr="00BB5825">
        <w:t>This effect will be tested during this research.</w:t>
      </w:r>
    </w:p>
    <w:p w:rsidR="008566D5" w:rsidRPr="00BB5825" w:rsidRDefault="008566D5" w:rsidP="004828B5">
      <w:pPr>
        <w:spacing w:after="0" w:line="276" w:lineRule="auto"/>
      </w:pPr>
    </w:p>
    <w:p w:rsidR="008566D5" w:rsidRPr="00BB5825" w:rsidRDefault="008566D5" w:rsidP="004A7DF2">
      <w:pPr>
        <w:spacing w:after="0" w:line="276" w:lineRule="auto"/>
      </w:pPr>
      <w:proofErr w:type="spellStart"/>
      <w:r w:rsidRPr="00BB5825">
        <w:t>Logit</w:t>
      </w:r>
      <w:proofErr w:type="spellEnd"/>
      <w:r w:rsidRPr="00BB5825">
        <w:t xml:space="preserve"> Model</w:t>
      </w:r>
    </w:p>
    <w:p w:rsidR="008566D5" w:rsidRPr="00BB5825" w:rsidRDefault="008566D5" w:rsidP="004A7DF2">
      <w:pPr>
        <w:spacing w:after="0" w:line="276" w:lineRule="auto"/>
      </w:pPr>
    </w:p>
    <w:p w:rsidR="008566D5" w:rsidRPr="00BB5825" w:rsidRDefault="008566D5" w:rsidP="004A7DF2">
      <w:pPr>
        <w:pStyle w:val="Titre2"/>
        <w:numPr>
          <w:ilvl w:val="0"/>
          <w:numId w:val="0"/>
        </w:numPr>
        <w:adjustRightInd w:val="0"/>
        <w:snapToGrid w:val="0"/>
        <w:spacing w:before="0" w:after="0" w:line="276" w:lineRule="auto"/>
        <w:rPr>
          <w:b w:val="0"/>
          <w:lang w:val="en-US"/>
        </w:rPr>
      </w:pPr>
      <w:r w:rsidRPr="00BB5825">
        <w:rPr>
          <w:b w:val="0"/>
          <w:lang w:val="en-US"/>
        </w:rPr>
        <w:t xml:space="preserve">To test our hypothesis presented below we use a </w:t>
      </w:r>
      <w:proofErr w:type="spellStart"/>
      <w:r w:rsidRPr="00BB5825">
        <w:rPr>
          <w:b w:val="0"/>
          <w:lang w:val="en-US"/>
        </w:rPr>
        <w:t>Logit</w:t>
      </w:r>
      <w:proofErr w:type="spellEnd"/>
      <w:r w:rsidRPr="00BB5825">
        <w:rPr>
          <w:b w:val="0"/>
          <w:lang w:val="en-US"/>
        </w:rPr>
        <w:t xml:space="preserve"> model which allow regressing the probability for companies to be have a financial communication score higher than the average score of the sample. Contrary to the </w:t>
      </w:r>
      <w:proofErr w:type="spellStart"/>
      <w:proofErr w:type="gramStart"/>
      <w:r w:rsidRPr="00BB5825">
        <w:rPr>
          <w:b w:val="0"/>
          <w:lang w:val="en-US"/>
        </w:rPr>
        <w:t>Probit</w:t>
      </w:r>
      <w:proofErr w:type="spellEnd"/>
      <w:proofErr w:type="gramEnd"/>
      <w:r w:rsidRPr="00BB5825">
        <w:rPr>
          <w:b w:val="0"/>
          <w:lang w:val="en-US"/>
        </w:rPr>
        <w:t xml:space="preserve"> model, the </w:t>
      </w:r>
      <w:proofErr w:type="spellStart"/>
      <w:r w:rsidRPr="00BB5825">
        <w:rPr>
          <w:b w:val="0"/>
          <w:lang w:val="en-US"/>
        </w:rPr>
        <w:t>Logit</w:t>
      </w:r>
      <w:proofErr w:type="spellEnd"/>
      <w:r w:rsidRPr="00BB5825">
        <w:rPr>
          <w:b w:val="0"/>
          <w:lang w:val="en-US"/>
        </w:rPr>
        <w:t xml:space="preserve"> model does not suppose the normal distribution of residues (</w:t>
      </w:r>
      <w:proofErr w:type="spellStart"/>
      <w:r w:rsidRPr="00BB5825">
        <w:rPr>
          <w:b w:val="0"/>
          <w:lang w:val="en-US"/>
        </w:rPr>
        <w:t>Evrard</w:t>
      </w:r>
      <w:proofErr w:type="spellEnd"/>
      <w:r w:rsidRPr="00BB5825">
        <w:rPr>
          <w:b w:val="0"/>
          <w:lang w:val="en-US"/>
        </w:rPr>
        <w:t xml:space="preserve">, </w:t>
      </w:r>
      <w:proofErr w:type="spellStart"/>
      <w:r w:rsidRPr="00BB5825">
        <w:rPr>
          <w:b w:val="0"/>
          <w:lang w:val="en-US"/>
        </w:rPr>
        <w:t>Pras</w:t>
      </w:r>
      <w:proofErr w:type="spellEnd"/>
      <w:r w:rsidRPr="00BB5825">
        <w:rPr>
          <w:b w:val="0"/>
          <w:lang w:val="en-US"/>
        </w:rPr>
        <w:t xml:space="preserve"> &amp; Roux, 2009). </w:t>
      </w:r>
    </w:p>
    <w:p w:rsidR="00F717A5" w:rsidRPr="00BB5825" w:rsidRDefault="008566D5" w:rsidP="004A7DF2">
      <w:pPr>
        <w:pStyle w:val="Titre2"/>
        <w:numPr>
          <w:ilvl w:val="0"/>
          <w:numId w:val="0"/>
        </w:numPr>
        <w:adjustRightInd w:val="0"/>
        <w:snapToGrid w:val="0"/>
        <w:spacing w:before="0" w:after="0" w:line="276" w:lineRule="auto"/>
        <w:rPr>
          <w:b w:val="0"/>
          <w:lang w:val="en-US"/>
        </w:rPr>
      </w:pPr>
      <w:r w:rsidRPr="00BB5825">
        <w:rPr>
          <w:b w:val="0"/>
          <w:lang w:val="en-US"/>
        </w:rPr>
        <w:t xml:space="preserve">The aim of this regression is to predict the </w:t>
      </w:r>
      <w:r w:rsidR="00F717A5" w:rsidRPr="00BB5825">
        <w:rPr>
          <w:b w:val="0"/>
          <w:lang w:val="en-US"/>
        </w:rPr>
        <w:t xml:space="preserve">membership </w:t>
      </w:r>
      <w:r w:rsidRPr="00BB5825">
        <w:rPr>
          <w:b w:val="0"/>
          <w:lang w:val="en-US"/>
        </w:rPr>
        <w:t xml:space="preserve">group according to explanatory variables.  </w:t>
      </w:r>
      <w:r w:rsidR="00F717A5" w:rsidRPr="00BB5825">
        <w:rPr>
          <w:b w:val="0"/>
          <w:lang w:val="en-US"/>
        </w:rPr>
        <w:t xml:space="preserve">Two groups are defined: </w:t>
      </w:r>
    </w:p>
    <w:p w:rsidR="00F717A5" w:rsidRPr="00BB5825" w:rsidRDefault="00F717A5" w:rsidP="004A7DF2">
      <w:pPr>
        <w:pStyle w:val="Titre2"/>
        <w:numPr>
          <w:ilvl w:val="0"/>
          <w:numId w:val="1"/>
        </w:numPr>
        <w:adjustRightInd w:val="0"/>
        <w:snapToGrid w:val="0"/>
        <w:spacing w:before="0" w:after="0" w:line="276" w:lineRule="auto"/>
        <w:ind w:left="284" w:firstLine="0"/>
        <w:rPr>
          <w:b w:val="0"/>
          <w:lang w:val="en-US"/>
        </w:rPr>
      </w:pPr>
      <w:r w:rsidRPr="00BB5825">
        <w:rPr>
          <w:b w:val="0"/>
          <w:lang w:val="en-US"/>
        </w:rPr>
        <w:t>Firms with a communication score higher than the average score of the sample;</w:t>
      </w:r>
    </w:p>
    <w:p w:rsidR="008566D5" w:rsidRPr="00BB5825" w:rsidRDefault="00F717A5" w:rsidP="004A7DF2">
      <w:pPr>
        <w:pStyle w:val="Titre2"/>
        <w:numPr>
          <w:ilvl w:val="0"/>
          <w:numId w:val="1"/>
        </w:numPr>
        <w:adjustRightInd w:val="0"/>
        <w:snapToGrid w:val="0"/>
        <w:spacing w:before="0" w:after="0" w:line="276" w:lineRule="auto"/>
        <w:ind w:left="0" w:firstLine="0"/>
        <w:rPr>
          <w:b w:val="0"/>
          <w:lang w:val="en-US"/>
        </w:rPr>
      </w:pPr>
      <w:r w:rsidRPr="00BB5825">
        <w:rPr>
          <w:b w:val="0"/>
          <w:lang w:val="en-US"/>
        </w:rPr>
        <w:t>Firms with a communication score lower than the average score of the sample.</w:t>
      </w:r>
    </w:p>
    <w:p w:rsidR="000B2240" w:rsidRPr="00BB5825" w:rsidRDefault="000B2240" w:rsidP="004A7DF2">
      <w:pPr>
        <w:spacing w:after="0" w:line="276" w:lineRule="auto"/>
        <w:rPr>
          <w:lang w:eastAsia="ja-JP" w:bidi="ar-SA"/>
        </w:rPr>
      </w:pPr>
    </w:p>
    <w:p w:rsidR="008566D5" w:rsidRPr="00BB5825" w:rsidRDefault="00F717A5" w:rsidP="004A7DF2">
      <w:pPr>
        <w:spacing w:after="0" w:line="276" w:lineRule="auto"/>
        <w:rPr>
          <w:rFonts w:ascii="Times" w:hAnsi="Times" w:cs="Times"/>
          <w:lang w:eastAsia="ja-JP"/>
        </w:rPr>
      </w:pPr>
      <w:r w:rsidRPr="00BB5825">
        <w:rPr>
          <w:lang w:eastAsia="ja-JP" w:bidi="ar-SA"/>
        </w:rPr>
        <w:t xml:space="preserve">The general model takes </w:t>
      </w:r>
      <w:r w:rsidR="000B2240" w:rsidRPr="00BB5825">
        <w:rPr>
          <w:lang w:eastAsia="ja-JP" w:bidi="ar-SA"/>
        </w:rPr>
        <w:t xml:space="preserve">on </w:t>
      </w:r>
      <w:r w:rsidRPr="00BB5825">
        <w:rPr>
          <w:lang w:eastAsia="ja-JP" w:bidi="ar-SA"/>
        </w:rPr>
        <w:t xml:space="preserve">the following shape: </w:t>
      </w:r>
      <w:r w:rsidR="008566D5" w:rsidRPr="00BB5825">
        <w:rPr>
          <w:rFonts w:ascii="Times" w:hAnsi="Times" w:cs="Times"/>
          <w:lang w:eastAsia="ja-JP"/>
        </w:rPr>
        <w:t>P = P(Y=1/X</w:t>
      </w:r>
      <w:r w:rsidR="008566D5" w:rsidRPr="00BB5825">
        <w:rPr>
          <w:rFonts w:ascii="Times" w:hAnsi="Times" w:cs="Times"/>
          <w:vertAlign w:val="subscript"/>
          <w:lang w:eastAsia="ja-JP"/>
        </w:rPr>
        <w:t>1</w:t>
      </w:r>
      <w:r w:rsidR="008566D5" w:rsidRPr="00BB5825">
        <w:rPr>
          <w:rFonts w:ascii="Times" w:hAnsi="Times" w:cs="Times"/>
          <w:lang w:eastAsia="ja-JP"/>
        </w:rPr>
        <w:t>,…</w:t>
      </w:r>
      <w:proofErr w:type="gramStart"/>
      <w:r w:rsidR="008566D5" w:rsidRPr="00BB5825">
        <w:rPr>
          <w:rFonts w:ascii="Times" w:hAnsi="Times" w:cs="Times"/>
          <w:lang w:eastAsia="ja-JP"/>
        </w:rPr>
        <w:t>,</w:t>
      </w:r>
      <w:proofErr w:type="spellStart"/>
      <w:r w:rsidR="008566D5" w:rsidRPr="00BB5825">
        <w:rPr>
          <w:rFonts w:ascii="Times" w:hAnsi="Times" w:cs="Times"/>
          <w:lang w:eastAsia="ja-JP"/>
        </w:rPr>
        <w:t>X</w:t>
      </w:r>
      <w:r w:rsidR="008566D5" w:rsidRPr="00BB5825">
        <w:rPr>
          <w:rFonts w:ascii="Times" w:hAnsi="Times" w:cs="Times"/>
          <w:vertAlign w:val="subscript"/>
          <w:lang w:eastAsia="ja-JP"/>
        </w:rPr>
        <w:t>p</w:t>
      </w:r>
      <w:proofErr w:type="spellEnd"/>
      <w:proofErr w:type="gramEnd"/>
      <w:r w:rsidR="008566D5" w:rsidRPr="00BB5825">
        <w:rPr>
          <w:rFonts w:ascii="Times" w:hAnsi="Times" w:cs="Times"/>
          <w:lang w:eastAsia="ja-JP"/>
        </w:rPr>
        <w:t xml:space="preserve">) </w:t>
      </w:r>
      <w:r w:rsidRPr="00BB5825">
        <w:rPr>
          <w:rFonts w:ascii="Times" w:hAnsi="Times" w:cs="Times"/>
          <w:lang w:eastAsia="ja-JP"/>
        </w:rPr>
        <w:t xml:space="preserve">where </w:t>
      </w:r>
      <w:r w:rsidR="008566D5" w:rsidRPr="00BB5825">
        <w:rPr>
          <w:rFonts w:ascii="Times" w:hAnsi="Times" w:cs="Times"/>
          <w:lang w:eastAsia="ja-JP"/>
        </w:rPr>
        <w:t>:</w:t>
      </w:r>
    </w:p>
    <w:p w:rsidR="008566D5" w:rsidRPr="00BB5825" w:rsidRDefault="008566D5" w:rsidP="004A7DF2">
      <w:pPr>
        <w:pStyle w:val="Titre2"/>
        <w:numPr>
          <w:ilvl w:val="0"/>
          <w:numId w:val="1"/>
        </w:numPr>
        <w:adjustRightInd w:val="0"/>
        <w:snapToGrid w:val="0"/>
        <w:spacing w:before="0" w:after="0" w:line="276" w:lineRule="auto"/>
        <w:ind w:left="0" w:firstLine="0"/>
        <w:rPr>
          <w:b w:val="0"/>
          <w:lang w:val="en-US"/>
        </w:rPr>
      </w:pPr>
      <w:r w:rsidRPr="00BB5825">
        <w:rPr>
          <w:b w:val="0"/>
          <w:lang w:val="en-US"/>
        </w:rPr>
        <w:t xml:space="preserve">Y </w:t>
      </w:r>
      <w:r w:rsidR="00F717A5" w:rsidRPr="00BB5825">
        <w:rPr>
          <w:b w:val="0"/>
          <w:lang w:val="en-US"/>
        </w:rPr>
        <w:t xml:space="preserve">is the dependent </w:t>
      </w:r>
      <w:r w:rsidRPr="00BB5825">
        <w:rPr>
          <w:b w:val="0"/>
          <w:lang w:val="en-US"/>
        </w:rPr>
        <w:t>variable</w:t>
      </w:r>
      <w:r w:rsidR="00F717A5" w:rsidRPr="00BB5825">
        <w:rPr>
          <w:b w:val="0"/>
          <w:lang w:val="en-US"/>
        </w:rPr>
        <w:t>, the probability of financial communication</w:t>
      </w:r>
      <w:r w:rsidRPr="00BB5825">
        <w:rPr>
          <w:b w:val="0"/>
          <w:lang w:val="en-US"/>
        </w:rPr>
        <w:t xml:space="preserve"> </w:t>
      </w:r>
      <w:r w:rsidR="00F717A5" w:rsidRPr="00BB5825">
        <w:rPr>
          <w:b w:val="0"/>
          <w:lang w:val="en-US"/>
        </w:rPr>
        <w:t>quality;</w:t>
      </w:r>
    </w:p>
    <w:p w:rsidR="008566D5" w:rsidRPr="00BB5825" w:rsidRDefault="008566D5" w:rsidP="004A7DF2">
      <w:pPr>
        <w:pStyle w:val="Titre2"/>
        <w:numPr>
          <w:ilvl w:val="0"/>
          <w:numId w:val="1"/>
        </w:numPr>
        <w:adjustRightInd w:val="0"/>
        <w:snapToGrid w:val="0"/>
        <w:spacing w:before="0" w:after="0" w:line="276" w:lineRule="auto"/>
        <w:ind w:left="0" w:firstLine="0"/>
        <w:rPr>
          <w:b w:val="0"/>
          <w:lang w:val="en-US"/>
        </w:rPr>
      </w:pPr>
      <w:r w:rsidRPr="00BB5825">
        <w:rPr>
          <w:b w:val="0"/>
          <w:lang w:val="en-US"/>
        </w:rPr>
        <w:t>X1,…</w:t>
      </w:r>
      <w:proofErr w:type="gramStart"/>
      <w:r w:rsidRPr="00BB5825">
        <w:rPr>
          <w:b w:val="0"/>
          <w:lang w:val="en-US"/>
        </w:rPr>
        <w:t>,</w:t>
      </w:r>
      <w:proofErr w:type="spellStart"/>
      <w:r w:rsidRPr="00BB5825">
        <w:rPr>
          <w:b w:val="0"/>
          <w:lang w:val="en-US"/>
        </w:rPr>
        <w:t>Xp</w:t>
      </w:r>
      <w:proofErr w:type="spellEnd"/>
      <w:proofErr w:type="gramEnd"/>
      <w:r w:rsidRPr="00BB5825">
        <w:rPr>
          <w:b w:val="0"/>
          <w:lang w:val="en-US"/>
        </w:rPr>
        <w:t xml:space="preserve"> </w:t>
      </w:r>
      <w:r w:rsidR="00F717A5" w:rsidRPr="00BB5825">
        <w:rPr>
          <w:b w:val="0"/>
          <w:lang w:val="en-US"/>
        </w:rPr>
        <w:t>are the explanatory</w:t>
      </w:r>
      <w:r w:rsidRPr="00BB5825">
        <w:rPr>
          <w:b w:val="0"/>
          <w:lang w:val="en-US"/>
        </w:rPr>
        <w:t xml:space="preserve"> variables.</w:t>
      </w:r>
    </w:p>
    <w:p w:rsidR="008566D5" w:rsidRPr="00BB5825" w:rsidRDefault="008566D5" w:rsidP="004A7DF2">
      <w:pPr>
        <w:spacing w:after="0" w:line="276" w:lineRule="auto"/>
      </w:pPr>
    </w:p>
    <w:p w:rsidR="00CC6899" w:rsidRPr="00BB5825" w:rsidRDefault="00CC6899" w:rsidP="004A7DF2">
      <w:pPr>
        <w:spacing w:after="0" w:line="276" w:lineRule="auto"/>
      </w:pPr>
      <w:r w:rsidRPr="00BB5825">
        <w:t>Table 6 – Variables definitions and measures</w:t>
      </w:r>
    </w:p>
    <w:p w:rsidR="006936A4" w:rsidRPr="00BB5825" w:rsidRDefault="006936A4" w:rsidP="004828B5">
      <w:pPr>
        <w:spacing w:after="0" w:line="276" w:lineRule="auto"/>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461"/>
        <w:gridCol w:w="5850"/>
      </w:tblGrid>
      <w:tr w:rsidR="00BB5825" w:rsidRPr="00AC22C0" w:rsidTr="008566D5">
        <w:trPr>
          <w:jc w:val="center"/>
        </w:trPr>
        <w:tc>
          <w:tcPr>
            <w:tcW w:w="1343" w:type="dxa"/>
            <w:shd w:val="clear" w:color="auto" w:fill="D9D9D9" w:themeFill="background1" w:themeFillShade="D9"/>
          </w:tcPr>
          <w:p w:rsidR="006936A4" w:rsidRPr="00AC22C0" w:rsidRDefault="006936A4" w:rsidP="008566D5">
            <w:pPr>
              <w:jc w:val="center"/>
              <w:rPr>
                <w:rFonts w:ascii="Times" w:hAnsi="Times" w:cs="Times"/>
                <w:b/>
                <w:bCs/>
                <w:sz w:val="20"/>
                <w:szCs w:val="20"/>
              </w:rPr>
            </w:pPr>
            <w:r w:rsidRPr="00AC22C0">
              <w:rPr>
                <w:rFonts w:ascii="Times" w:hAnsi="Times" w:cs="Times"/>
                <w:b/>
                <w:bCs/>
                <w:sz w:val="20"/>
                <w:szCs w:val="20"/>
              </w:rPr>
              <w:t>Variables</w:t>
            </w:r>
          </w:p>
        </w:tc>
        <w:tc>
          <w:tcPr>
            <w:tcW w:w="1461" w:type="dxa"/>
            <w:shd w:val="clear" w:color="auto" w:fill="D9D9D9" w:themeFill="background1" w:themeFillShade="D9"/>
            <w:vAlign w:val="center"/>
          </w:tcPr>
          <w:p w:rsidR="006936A4" w:rsidRPr="00AC22C0" w:rsidRDefault="006936A4" w:rsidP="008566D5">
            <w:pPr>
              <w:jc w:val="center"/>
              <w:rPr>
                <w:rFonts w:ascii="Times" w:hAnsi="Times" w:cs="Times"/>
                <w:b/>
                <w:bCs/>
                <w:sz w:val="20"/>
                <w:szCs w:val="20"/>
              </w:rPr>
            </w:pPr>
            <w:r w:rsidRPr="00AC22C0">
              <w:rPr>
                <w:rFonts w:ascii="Times" w:hAnsi="Times" w:cs="Times"/>
                <w:b/>
                <w:bCs/>
                <w:sz w:val="20"/>
                <w:szCs w:val="20"/>
              </w:rPr>
              <w:t>Definition</w:t>
            </w:r>
            <w:r w:rsidR="00CC6899" w:rsidRPr="00AC22C0">
              <w:rPr>
                <w:rFonts w:ascii="Times" w:hAnsi="Times" w:cs="Times"/>
                <w:b/>
                <w:bCs/>
                <w:sz w:val="20"/>
                <w:szCs w:val="20"/>
              </w:rPr>
              <w:t>s</w:t>
            </w:r>
          </w:p>
        </w:tc>
        <w:tc>
          <w:tcPr>
            <w:tcW w:w="5857" w:type="dxa"/>
            <w:shd w:val="clear" w:color="auto" w:fill="D9D9D9" w:themeFill="background1" w:themeFillShade="D9"/>
            <w:vAlign w:val="center"/>
          </w:tcPr>
          <w:p w:rsidR="006936A4" w:rsidRPr="00AC22C0" w:rsidRDefault="006936A4" w:rsidP="008566D5">
            <w:pPr>
              <w:jc w:val="center"/>
              <w:rPr>
                <w:rFonts w:ascii="Times" w:hAnsi="Times" w:cs="Times"/>
                <w:b/>
                <w:bCs/>
                <w:sz w:val="20"/>
                <w:szCs w:val="20"/>
              </w:rPr>
            </w:pPr>
            <w:r w:rsidRPr="00AC22C0">
              <w:rPr>
                <w:rFonts w:ascii="Times" w:hAnsi="Times" w:cs="Times"/>
                <w:b/>
                <w:bCs/>
                <w:sz w:val="20"/>
                <w:szCs w:val="20"/>
              </w:rPr>
              <w:t>Measures</w:t>
            </w:r>
          </w:p>
        </w:tc>
      </w:tr>
      <w:tr w:rsidR="00BB5825" w:rsidRPr="00AC22C0" w:rsidTr="006936A4">
        <w:trPr>
          <w:trHeight w:hRule="exact" w:val="906"/>
          <w:jc w:val="center"/>
        </w:trPr>
        <w:tc>
          <w:tcPr>
            <w:tcW w:w="1343"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SCORE</w:t>
            </w:r>
          </w:p>
        </w:tc>
        <w:tc>
          <w:tcPr>
            <w:tcW w:w="1461" w:type="dxa"/>
            <w:shd w:val="clear" w:color="auto" w:fill="auto"/>
            <w:vAlign w:val="center"/>
          </w:tcPr>
          <w:p w:rsidR="006936A4" w:rsidRPr="00AC22C0" w:rsidRDefault="006936A4" w:rsidP="006936A4">
            <w:pPr>
              <w:jc w:val="center"/>
              <w:rPr>
                <w:rFonts w:ascii="Times" w:hAnsi="Times" w:cs="Times"/>
                <w:bCs/>
                <w:sz w:val="20"/>
                <w:szCs w:val="20"/>
              </w:rPr>
            </w:pPr>
            <w:r w:rsidRPr="00AC22C0">
              <w:rPr>
                <w:rFonts w:ascii="Times" w:hAnsi="Times" w:cs="Times"/>
                <w:bCs/>
                <w:sz w:val="20"/>
                <w:szCs w:val="20"/>
              </w:rPr>
              <w:t>Financial communication score</w:t>
            </w:r>
          </w:p>
        </w:tc>
        <w:tc>
          <w:tcPr>
            <w:tcW w:w="5857" w:type="dxa"/>
            <w:shd w:val="clear" w:color="auto" w:fill="auto"/>
            <w:vAlign w:val="center"/>
          </w:tcPr>
          <w:p w:rsidR="006936A4" w:rsidRPr="00AC22C0" w:rsidRDefault="006936A4" w:rsidP="006936A4">
            <w:pPr>
              <w:jc w:val="center"/>
              <w:rPr>
                <w:rFonts w:ascii="Times" w:hAnsi="Times" w:cs="Times"/>
                <w:sz w:val="20"/>
                <w:szCs w:val="20"/>
              </w:rPr>
            </w:pPr>
            <w:r w:rsidRPr="00AC22C0">
              <w:rPr>
                <w:rFonts w:ascii="Times" w:hAnsi="Times" w:cs="Times"/>
                <w:sz w:val="20"/>
                <w:szCs w:val="20"/>
              </w:rPr>
              <w:t>Binary variable taking the value 1 if the score of the company is higher than the average score of the sample (34.5), otherwise 0.</w:t>
            </w:r>
          </w:p>
        </w:tc>
      </w:tr>
      <w:tr w:rsidR="00BB5825" w:rsidRPr="00AC22C0" w:rsidTr="008566D5">
        <w:trPr>
          <w:trHeight w:hRule="exact" w:val="680"/>
          <w:jc w:val="center"/>
        </w:trPr>
        <w:tc>
          <w:tcPr>
            <w:tcW w:w="1343"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FREEFLOAT</w:t>
            </w:r>
          </w:p>
        </w:tc>
        <w:tc>
          <w:tcPr>
            <w:tcW w:w="1461" w:type="dxa"/>
            <w:shd w:val="clear" w:color="auto" w:fill="auto"/>
            <w:vAlign w:val="center"/>
          </w:tcPr>
          <w:p w:rsidR="006936A4" w:rsidRPr="00AC22C0" w:rsidRDefault="006936A4" w:rsidP="008566D5">
            <w:pPr>
              <w:jc w:val="center"/>
              <w:rPr>
                <w:rFonts w:ascii="Times" w:hAnsi="Times" w:cs="Times"/>
                <w:b/>
                <w:bCs/>
                <w:sz w:val="20"/>
                <w:szCs w:val="20"/>
              </w:rPr>
            </w:pPr>
            <w:r w:rsidRPr="00AC22C0">
              <w:rPr>
                <w:rFonts w:ascii="Times" w:hAnsi="Times" w:cs="Times"/>
                <w:bCs/>
                <w:sz w:val="20"/>
                <w:szCs w:val="20"/>
              </w:rPr>
              <w:t>Capital dispersion</w:t>
            </w:r>
          </w:p>
        </w:tc>
        <w:tc>
          <w:tcPr>
            <w:tcW w:w="5857" w:type="dxa"/>
            <w:shd w:val="clear" w:color="auto" w:fill="auto"/>
            <w:vAlign w:val="center"/>
          </w:tcPr>
          <w:p w:rsidR="006936A4" w:rsidRPr="00AC22C0" w:rsidRDefault="006936A4" w:rsidP="006936A4">
            <w:pPr>
              <w:jc w:val="center"/>
              <w:rPr>
                <w:rFonts w:ascii="Times" w:hAnsi="Times" w:cs="Times"/>
                <w:sz w:val="20"/>
                <w:szCs w:val="20"/>
              </w:rPr>
            </w:pPr>
            <w:r w:rsidRPr="00AC22C0">
              <w:rPr>
                <w:rFonts w:ascii="Times" w:hAnsi="Times" w:cs="Times"/>
                <w:sz w:val="20"/>
                <w:szCs w:val="20"/>
              </w:rPr>
              <w:t>Percentage of shares in the public</w:t>
            </w:r>
          </w:p>
        </w:tc>
      </w:tr>
      <w:tr w:rsidR="00BB5825" w:rsidRPr="00AC22C0" w:rsidTr="008566D5">
        <w:trPr>
          <w:trHeight w:hRule="exact" w:val="680"/>
          <w:jc w:val="center"/>
        </w:trPr>
        <w:tc>
          <w:tcPr>
            <w:tcW w:w="1343"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INVINS</w:t>
            </w:r>
          </w:p>
        </w:tc>
        <w:tc>
          <w:tcPr>
            <w:tcW w:w="1461" w:type="dxa"/>
            <w:vMerge w:val="restart"/>
            <w:shd w:val="clear" w:color="auto" w:fill="auto"/>
            <w:vAlign w:val="center"/>
          </w:tcPr>
          <w:p w:rsidR="006936A4" w:rsidRPr="00AC22C0" w:rsidRDefault="006936A4" w:rsidP="006936A4">
            <w:pPr>
              <w:jc w:val="center"/>
              <w:rPr>
                <w:rFonts w:ascii="Times" w:hAnsi="Times" w:cs="Times"/>
                <w:b/>
                <w:bCs/>
                <w:sz w:val="20"/>
                <w:szCs w:val="20"/>
              </w:rPr>
            </w:pPr>
            <w:r w:rsidRPr="00AC22C0">
              <w:rPr>
                <w:rFonts w:ascii="Times" w:hAnsi="Times" w:cs="Times"/>
                <w:bCs/>
                <w:sz w:val="20"/>
                <w:szCs w:val="20"/>
              </w:rPr>
              <w:t>Capital concentration</w:t>
            </w:r>
          </w:p>
        </w:tc>
        <w:tc>
          <w:tcPr>
            <w:tcW w:w="5857" w:type="dxa"/>
            <w:shd w:val="clear" w:color="auto" w:fill="auto"/>
            <w:vAlign w:val="center"/>
          </w:tcPr>
          <w:p w:rsidR="006936A4" w:rsidRPr="00AC22C0" w:rsidRDefault="006936A4" w:rsidP="008566D5">
            <w:pPr>
              <w:ind w:firstLine="360"/>
              <w:jc w:val="center"/>
              <w:rPr>
                <w:rFonts w:ascii="Times" w:hAnsi="Times" w:cs="Times"/>
                <w:sz w:val="20"/>
                <w:szCs w:val="20"/>
              </w:rPr>
            </w:pPr>
            <w:r w:rsidRPr="00AC22C0">
              <w:rPr>
                <w:rFonts w:ascii="Times" w:hAnsi="Times" w:cs="Times"/>
                <w:sz w:val="20"/>
                <w:szCs w:val="20"/>
              </w:rPr>
              <w:t xml:space="preserve">Percentage of shares held by </w:t>
            </w:r>
            <w:r w:rsidR="00E86B07" w:rsidRPr="00AC22C0">
              <w:rPr>
                <w:rFonts w:ascii="Times" w:hAnsi="Times" w:cs="Times"/>
                <w:sz w:val="20"/>
                <w:szCs w:val="20"/>
              </w:rPr>
              <w:t>institutional</w:t>
            </w:r>
            <w:r w:rsidRPr="00AC22C0">
              <w:rPr>
                <w:rFonts w:ascii="Times" w:hAnsi="Times" w:cs="Times"/>
                <w:sz w:val="20"/>
                <w:szCs w:val="20"/>
              </w:rPr>
              <w:t xml:space="preserve"> investors</w:t>
            </w:r>
          </w:p>
          <w:p w:rsidR="006936A4" w:rsidRPr="00AC22C0" w:rsidRDefault="006936A4" w:rsidP="008566D5">
            <w:pPr>
              <w:ind w:firstLine="360"/>
              <w:jc w:val="center"/>
              <w:rPr>
                <w:rFonts w:ascii="Times" w:hAnsi="Times" w:cs="Times"/>
                <w:sz w:val="20"/>
                <w:szCs w:val="20"/>
              </w:rPr>
            </w:pPr>
          </w:p>
        </w:tc>
      </w:tr>
      <w:tr w:rsidR="00BB5825" w:rsidRPr="00AC22C0" w:rsidTr="008566D5">
        <w:trPr>
          <w:trHeight w:hRule="exact" w:val="680"/>
          <w:jc w:val="center"/>
        </w:trPr>
        <w:tc>
          <w:tcPr>
            <w:tcW w:w="1343" w:type="dxa"/>
            <w:shd w:val="clear" w:color="auto" w:fill="auto"/>
            <w:vAlign w:val="center"/>
          </w:tcPr>
          <w:p w:rsidR="006936A4" w:rsidRPr="00AC22C0" w:rsidRDefault="006936A4" w:rsidP="008566D5">
            <w:pPr>
              <w:ind w:firstLine="360"/>
              <w:rPr>
                <w:rFonts w:ascii="Times" w:hAnsi="Times" w:cs="Times"/>
                <w:bCs/>
                <w:sz w:val="20"/>
                <w:szCs w:val="20"/>
              </w:rPr>
            </w:pPr>
            <w:r w:rsidRPr="00AC22C0">
              <w:rPr>
                <w:rFonts w:ascii="Times" w:hAnsi="Times" w:cs="Times"/>
                <w:bCs/>
                <w:sz w:val="20"/>
                <w:szCs w:val="20"/>
              </w:rPr>
              <w:t>FAM</w:t>
            </w:r>
          </w:p>
        </w:tc>
        <w:tc>
          <w:tcPr>
            <w:tcW w:w="1461" w:type="dxa"/>
            <w:vMerge/>
            <w:shd w:val="clear" w:color="auto" w:fill="auto"/>
            <w:vAlign w:val="center"/>
          </w:tcPr>
          <w:p w:rsidR="006936A4" w:rsidRPr="00AC22C0" w:rsidRDefault="006936A4" w:rsidP="008566D5">
            <w:pPr>
              <w:ind w:firstLine="360"/>
              <w:jc w:val="center"/>
              <w:rPr>
                <w:rFonts w:ascii="Times" w:hAnsi="Times" w:cs="Times"/>
                <w:b/>
                <w:bCs/>
                <w:sz w:val="20"/>
                <w:szCs w:val="20"/>
              </w:rPr>
            </w:pPr>
          </w:p>
        </w:tc>
        <w:tc>
          <w:tcPr>
            <w:tcW w:w="5857" w:type="dxa"/>
            <w:shd w:val="clear" w:color="auto" w:fill="auto"/>
            <w:vAlign w:val="center"/>
          </w:tcPr>
          <w:p w:rsidR="006936A4" w:rsidRPr="00AC22C0" w:rsidRDefault="006936A4" w:rsidP="008566D5">
            <w:pPr>
              <w:ind w:firstLine="360"/>
              <w:jc w:val="center"/>
              <w:rPr>
                <w:rFonts w:ascii="Times" w:hAnsi="Times" w:cs="Times"/>
                <w:sz w:val="20"/>
                <w:szCs w:val="20"/>
              </w:rPr>
            </w:pPr>
            <w:r w:rsidRPr="00AC22C0">
              <w:rPr>
                <w:rFonts w:ascii="Times" w:hAnsi="Times" w:cs="Times"/>
                <w:sz w:val="20"/>
                <w:szCs w:val="20"/>
              </w:rPr>
              <w:t>Binary variable taking the value 1 if the percentage of shares held by a family is higher than 25%, otherwise 0.</w:t>
            </w:r>
          </w:p>
          <w:p w:rsidR="006936A4" w:rsidRPr="00AC22C0" w:rsidRDefault="006936A4" w:rsidP="008566D5">
            <w:pPr>
              <w:ind w:firstLine="360"/>
              <w:jc w:val="center"/>
              <w:rPr>
                <w:rFonts w:ascii="Times" w:hAnsi="Times" w:cs="Times"/>
                <w:sz w:val="20"/>
                <w:szCs w:val="20"/>
              </w:rPr>
            </w:pPr>
          </w:p>
        </w:tc>
      </w:tr>
      <w:tr w:rsidR="00BB5825" w:rsidRPr="00AC22C0" w:rsidTr="008566D5">
        <w:trPr>
          <w:trHeight w:hRule="exact" w:val="680"/>
          <w:jc w:val="center"/>
        </w:trPr>
        <w:tc>
          <w:tcPr>
            <w:tcW w:w="1343"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ROE</w:t>
            </w:r>
          </w:p>
        </w:tc>
        <w:tc>
          <w:tcPr>
            <w:tcW w:w="1461" w:type="dxa"/>
            <w:shd w:val="clear" w:color="auto" w:fill="auto"/>
            <w:vAlign w:val="center"/>
          </w:tcPr>
          <w:p w:rsidR="006936A4" w:rsidRPr="00AC22C0" w:rsidRDefault="006936A4" w:rsidP="008566D5">
            <w:pPr>
              <w:jc w:val="center"/>
              <w:rPr>
                <w:rFonts w:ascii="Times" w:hAnsi="Times" w:cs="Times"/>
                <w:b/>
                <w:bCs/>
                <w:sz w:val="20"/>
                <w:szCs w:val="20"/>
              </w:rPr>
            </w:pPr>
            <w:r w:rsidRPr="00AC22C0">
              <w:rPr>
                <w:rFonts w:ascii="Times" w:hAnsi="Times" w:cs="Times"/>
                <w:bCs/>
                <w:sz w:val="20"/>
                <w:szCs w:val="20"/>
              </w:rPr>
              <w:t>Performance of the company</w:t>
            </w:r>
          </w:p>
        </w:tc>
        <w:tc>
          <w:tcPr>
            <w:tcW w:w="5857" w:type="dxa"/>
            <w:shd w:val="clear" w:color="auto" w:fill="auto"/>
            <w:vAlign w:val="center"/>
          </w:tcPr>
          <w:p w:rsidR="006936A4" w:rsidRPr="00AC22C0" w:rsidRDefault="006936A4" w:rsidP="008566D5">
            <w:pPr>
              <w:jc w:val="center"/>
              <w:rPr>
                <w:rFonts w:ascii="Times" w:hAnsi="Times" w:cs="Times"/>
                <w:sz w:val="20"/>
                <w:szCs w:val="20"/>
              </w:rPr>
            </w:pPr>
            <w:r w:rsidRPr="00AC22C0">
              <w:rPr>
                <w:rFonts w:ascii="Times" w:hAnsi="Times" w:cs="Times"/>
                <w:sz w:val="20"/>
                <w:szCs w:val="20"/>
              </w:rPr>
              <w:t xml:space="preserve">ROE = (cash flow) / </w:t>
            </w:r>
            <w:r w:rsidR="001713C3" w:rsidRPr="00AC22C0">
              <w:rPr>
                <w:rFonts w:ascii="Times" w:hAnsi="Times" w:cs="Times"/>
                <w:sz w:val="20"/>
                <w:szCs w:val="20"/>
              </w:rPr>
              <w:t>Equity capital</w:t>
            </w:r>
          </w:p>
        </w:tc>
      </w:tr>
      <w:tr w:rsidR="00BB5825" w:rsidRPr="00AC22C0" w:rsidTr="008566D5">
        <w:trPr>
          <w:trHeight w:hRule="exact" w:val="680"/>
          <w:jc w:val="center"/>
        </w:trPr>
        <w:tc>
          <w:tcPr>
            <w:tcW w:w="1343"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SIZE</w:t>
            </w:r>
          </w:p>
        </w:tc>
        <w:tc>
          <w:tcPr>
            <w:tcW w:w="1461" w:type="dxa"/>
            <w:shd w:val="clear" w:color="auto" w:fill="auto"/>
            <w:vAlign w:val="center"/>
          </w:tcPr>
          <w:p w:rsidR="006936A4" w:rsidRPr="00AC22C0" w:rsidRDefault="006936A4" w:rsidP="008566D5">
            <w:pPr>
              <w:jc w:val="center"/>
              <w:rPr>
                <w:rFonts w:ascii="Times" w:hAnsi="Times" w:cs="Times"/>
                <w:b/>
                <w:bCs/>
                <w:sz w:val="20"/>
                <w:szCs w:val="20"/>
              </w:rPr>
            </w:pPr>
            <w:r w:rsidRPr="00AC22C0">
              <w:rPr>
                <w:rFonts w:ascii="Times" w:hAnsi="Times" w:cs="Times"/>
                <w:bCs/>
                <w:sz w:val="20"/>
                <w:szCs w:val="20"/>
              </w:rPr>
              <w:t>Size of the company</w:t>
            </w:r>
          </w:p>
        </w:tc>
        <w:tc>
          <w:tcPr>
            <w:tcW w:w="5857" w:type="dxa"/>
            <w:shd w:val="clear" w:color="auto" w:fill="auto"/>
            <w:vAlign w:val="center"/>
          </w:tcPr>
          <w:p w:rsidR="006936A4" w:rsidRPr="00AC22C0" w:rsidRDefault="006936A4" w:rsidP="006936A4">
            <w:pPr>
              <w:jc w:val="center"/>
              <w:rPr>
                <w:rFonts w:ascii="Times" w:hAnsi="Times" w:cs="Times"/>
                <w:sz w:val="20"/>
                <w:szCs w:val="20"/>
              </w:rPr>
            </w:pPr>
            <w:r w:rsidRPr="00AC22C0">
              <w:rPr>
                <w:sz w:val="20"/>
                <w:szCs w:val="20"/>
              </w:rPr>
              <w:t xml:space="preserve">Natural logarithm of </w:t>
            </w:r>
            <w:r w:rsidRPr="00AC22C0">
              <w:rPr>
                <w:rFonts w:ascii="Times" w:hAnsi="Times" w:cs="Times"/>
                <w:sz w:val="20"/>
                <w:szCs w:val="20"/>
              </w:rPr>
              <w:t xml:space="preserve"> market capitalization</w:t>
            </w:r>
          </w:p>
        </w:tc>
      </w:tr>
      <w:tr w:rsidR="006936A4" w:rsidRPr="00AC22C0" w:rsidTr="008566D5">
        <w:trPr>
          <w:trHeight w:hRule="exact" w:val="680"/>
          <w:jc w:val="center"/>
        </w:trPr>
        <w:tc>
          <w:tcPr>
            <w:tcW w:w="1343"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DEBT</w:t>
            </w:r>
          </w:p>
        </w:tc>
        <w:tc>
          <w:tcPr>
            <w:tcW w:w="1461" w:type="dxa"/>
            <w:shd w:val="clear" w:color="auto" w:fill="auto"/>
            <w:vAlign w:val="center"/>
          </w:tcPr>
          <w:p w:rsidR="006936A4" w:rsidRPr="00AC22C0" w:rsidRDefault="006936A4" w:rsidP="008566D5">
            <w:pPr>
              <w:jc w:val="center"/>
              <w:rPr>
                <w:rFonts w:ascii="Times" w:hAnsi="Times" w:cs="Times"/>
                <w:bCs/>
                <w:sz w:val="20"/>
                <w:szCs w:val="20"/>
              </w:rPr>
            </w:pPr>
            <w:r w:rsidRPr="00AC22C0">
              <w:rPr>
                <w:rFonts w:ascii="Times" w:hAnsi="Times" w:cs="Times"/>
                <w:bCs/>
                <w:sz w:val="20"/>
                <w:szCs w:val="20"/>
              </w:rPr>
              <w:t>Level of debts</w:t>
            </w:r>
          </w:p>
        </w:tc>
        <w:tc>
          <w:tcPr>
            <w:tcW w:w="5857" w:type="dxa"/>
            <w:shd w:val="clear" w:color="auto" w:fill="auto"/>
            <w:vAlign w:val="center"/>
          </w:tcPr>
          <w:p w:rsidR="006936A4" w:rsidRPr="00AC22C0" w:rsidRDefault="006936A4" w:rsidP="006936A4">
            <w:pPr>
              <w:jc w:val="center"/>
              <w:rPr>
                <w:rFonts w:ascii="Times" w:hAnsi="Times" w:cs="Times"/>
                <w:sz w:val="20"/>
                <w:szCs w:val="20"/>
              </w:rPr>
            </w:pPr>
            <w:r w:rsidRPr="00AC22C0">
              <w:rPr>
                <w:rFonts w:ascii="Times" w:hAnsi="Times" w:cs="Times"/>
                <w:sz w:val="20"/>
                <w:szCs w:val="20"/>
              </w:rPr>
              <w:t>Ratio : Total debt / total assets</w:t>
            </w:r>
          </w:p>
        </w:tc>
      </w:tr>
    </w:tbl>
    <w:p w:rsidR="000B2240" w:rsidRPr="00BB5825" w:rsidRDefault="000B2240" w:rsidP="004828B5">
      <w:pPr>
        <w:spacing w:after="0" w:line="276" w:lineRule="auto"/>
      </w:pPr>
    </w:p>
    <w:p w:rsidR="000B2240" w:rsidRPr="00BB5825" w:rsidRDefault="000B2240" w:rsidP="004828B5">
      <w:pPr>
        <w:spacing w:after="0" w:line="276" w:lineRule="auto"/>
      </w:pPr>
    </w:p>
    <w:p w:rsidR="00CC6899" w:rsidRPr="00BB5825" w:rsidRDefault="00CC6899" w:rsidP="004828B5">
      <w:pPr>
        <w:spacing w:after="0" w:line="276" w:lineRule="auto"/>
      </w:pPr>
      <w:r w:rsidRPr="00BB5825">
        <w:t>Results</w:t>
      </w:r>
    </w:p>
    <w:p w:rsidR="000B2240" w:rsidRPr="00BB5825" w:rsidRDefault="000B2240" w:rsidP="004828B5">
      <w:pPr>
        <w:spacing w:after="0" w:line="276" w:lineRule="auto"/>
      </w:pPr>
    </w:p>
    <w:p w:rsidR="000B2240" w:rsidRPr="00BB5825" w:rsidRDefault="000B2240" w:rsidP="004828B5">
      <w:pPr>
        <w:spacing w:after="0" w:line="276" w:lineRule="auto"/>
      </w:pPr>
      <w:r w:rsidRPr="00BB5825">
        <w:lastRenderedPageBreak/>
        <w:t xml:space="preserve">The </w:t>
      </w:r>
      <w:proofErr w:type="spellStart"/>
      <w:r w:rsidRPr="00BB5825">
        <w:t>Mobel</w:t>
      </w:r>
      <w:proofErr w:type="spellEnd"/>
      <w:r w:rsidRPr="00BB5825">
        <w:t xml:space="preserve"> </w:t>
      </w:r>
      <w:proofErr w:type="spellStart"/>
      <w:r w:rsidRPr="00BB5825">
        <w:t>Logit</w:t>
      </w:r>
      <w:proofErr w:type="spellEnd"/>
      <w:r w:rsidRPr="00BB5825">
        <w:t xml:space="preserve"> 1 </w:t>
      </w:r>
      <w:proofErr w:type="gramStart"/>
      <w:r w:rsidRPr="00BB5825">
        <w:t>study</w:t>
      </w:r>
      <w:proofErr w:type="gramEnd"/>
      <w:r w:rsidRPr="00BB5825">
        <w:t xml:space="preserve"> the link between capital dilution and financial communication’s quality. </w:t>
      </w:r>
    </w:p>
    <w:p w:rsidR="000B2240" w:rsidRPr="00BB5825" w:rsidRDefault="000B2240" w:rsidP="000B2240">
      <w:pPr>
        <w:pStyle w:val="Lgende"/>
        <w:jc w:val="both"/>
        <w:rPr>
          <w:lang w:val="en-US"/>
        </w:rPr>
      </w:pPr>
    </w:p>
    <w:p w:rsidR="00CC6899" w:rsidRPr="00BB5825" w:rsidRDefault="000B2240" w:rsidP="00525451">
      <w:pPr>
        <w:rPr>
          <w:lang w:val="fr-BE" w:bidi="ar-SA"/>
        </w:rPr>
      </w:pPr>
      <w:r w:rsidRPr="00BB5825">
        <w:rPr>
          <w:lang w:val="fr-BE" w:bidi="ar-SA"/>
        </w:rPr>
        <w:t xml:space="preserve">Table 7 – Capital dilution and </w:t>
      </w:r>
      <w:proofErr w:type="spellStart"/>
      <w:r w:rsidRPr="00BB5825">
        <w:rPr>
          <w:lang w:val="fr-BE" w:bidi="ar-SA"/>
        </w:rPr>
        <w:t>financial</w:t>
      </w:r>
      <w:proofErr w:type="spellEnd"/>
      <w:r w:rsidRPr="00BB5825">
        <w:rPr>
          <w:lang w:val="fr-BE" w:bidi="ar-SA"/>
        </w:rPr>
        <w:t xml:space="preserve"> </w:t>
      </w:r>
      <w:proofErr w:type="spellStart"/>
      <w:r w:rsidRPr="00BB5825">
        <w:rPr>
          <w:lang w:val="fr-BE" w:bidi="ar-SA"/>
        </w:rPr>
        <w:t>communication’s</w:t>
      </w:r>
      <w:proofErr w:type="spellEnd"/>
      <w:r w:rsidRPr="00BB5825">
        <w:rPr>
          <w:lang w:val="fr-BE" w:bidi="ar-SA"/>
        </w:rPr>
        <w:t xml:space="preserve"> </w:t>
      </w:r>
      <w:proofErr w:type="spellStart"/>
      <w:r w:rsidRPr="00BB5825">
        <w:rPr>
          <w:lang w:val="fr-BE" w:bidi="ar-SA"/>
        </w:rPr>
        <w:t>quality</w:t>
      </w:r>
      <w:proofErr w:type="spellEnd"/>
    </w:p>
    <w:tbl>
      <w:tblPr>
        <w:tblW w:w="7251" w:type="dxa"/>
        <w:jc w:val="center"/>
        <w:tblInd w:w="55" w:type="dxa"/>
        <w:tblCellMar>
          <w:left w:w="70" w:type="dxa"/>
          <w:right w:w="70" w:type="dxa"/>
        </w:tblCellMar>
        <w:tblLook w:val="04A0" w:firstRow="1" w:lastRow="0" w:firstColumn="1" w:lastColumn="0" w:noHBand="0" w:noVBand="1"/>
      </w:tblPr>
      <w:tblGrid>
        <w:gridCol w:w="836"/>
        <w:gridCol w:w="1119"/>
        <w:gridCol w:w="1602"/>
        <w:gridCol w:w="657"/>
        <w:gridCol w:w="690"/>
        <w:gridCol w:w="1157"/>
        <w:gridCol w:w="1190"/>
      </w:tblGrid>
      <w:tr w:rsidR="00BB5825" w:rsidRPr="00AC22C0" w:rsidTr="00525451">
        <w:trPr>
          <w:trHeight w:val="300"/>
          <w:jc w:val="center"/>
        </w:trPr>
        <w:tc>
          <w:tcPr>
            <w:tcW w:w="3557" w:type="dxa"/>
            <w:gridSpan w:val="3"/>
            <w:tcBorders>
              <w:top w:val="single" w:sz="8" w:space="0" w:color="auto"/>
              <w:left w:val="single" w:sz="8" w:space="0" w:color="auto"/>
              <w:bottom w:val="nil"/>
              <w:right w:val="nil"/>
            </w:tcBorders>
            <w:shd w:val="clear" w:color="000000" w:fill="A6A6A6"/>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logistic</w:t>
            </w:r>
            <w:proofErr w:type="spellEnd"/>
            <w:r w:rsidRPr="00AC22C0">
              <w:rPr>
                <w:b/>
                <w:bCs/>
                <w:sz w:val="20"/>
                <w:szCs w:val="20"/>
                <w:lang w:val="fr-BE" w:eastAsia="fr-BE" w:bidi="ar-SA"/>
              </w:rPr>
              <w:t xml:space="preserve"> </w:t>
            </w:r>
            <w:proofErr w:type="spellStart"/>
            <w:r w:rsidRPr="00AC22C0">
              <w:rPr>
                <w:b/>
                <w:bCs/>
                <w:sz w:val="20"/>
                <w:szCs w:val="20"/>
                <w:lang w:val="fr-BE" w:eastAsia="fr-BE" w:bidi="ar-SA"/>
              </w:rPr>
              <w:t>regression</w:t>
            </w:r>
            <w:proofErr w:type="spellEnd"/>
          </w:p>
        </w:tc>
        <w:tc>
          <w:tcPr>
            <w:tcW w:w="657" w:type="dxa"/>
            <w:tcBorders>
              <w:top w:val="single" w:sz="8" w:space="0" w:color="auto"/>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r w:rsidRPr="00AC22C0">
              <w:rPr>
                <w:rFonts w:ascii="Calibri" w:hAnsi="Calibri"/>
                <w:sz w:val="20"/>
                <w:szCs w:val="20"/>
                <w:lang w:val="fr-BE" w:eastAsia="fr-BE" w:bidi="ar-SA"/>
              </w:rPr>
              <w:t> </w:t>
            </w:r>
          </w:p>
        </w:tc>
        <w:tc>
          <w:tcPr>
            <w:tcW w:w="184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number</w:t>
            </w:r>
            <w:proofErr w:type="spellEnd"/>
            <w:r w:rsidRPr="00AC22C0">
              <w:rPr>
                <w:b/>
                <w:bCs/>
                <w:sz w:val="20"/>
                <w:szCs w:val="20"/>
                <w:lang w:val="fr-BE" w:eastAsia="fr-BE" w:bidi="ar-SA"/>
              </w:rPr>
              <w:t xml:space="preserve"> of </w:t>
            </w:r>
            <w:proofErr w:type="spellStart"/>
            <w:r w:rsidRPr="00AC22C0">
              <w:rPr>
                <w:b/>
                <w:bCs/>
                <w:sz w:val="20"/>
                <w:szCs w:val="20"/>
                <w:lang w:val="fr-BE" w:eastAsia="fr-BE" w:bidi="ar-SA"/>
              </w:rPr>
              <w:t>obs</w:t>
            </w:r>
            <w:proofErr w:type="spellEnd"/>
            <w:r w:rsidRPr="00AC22C0">
              <w:rPr>
                <w:b/>
                <w:bCs/>
                <w:sz w:val="20"/>
                <w:szCs w:val="20"/>
                <w:lang w:val="fr-BE" w:eastAsia="fr-BE" w:bidi="ar-SA"/>
              </w:rPr>
              <w:t xml:space="preserve"> =</w:t>
            </w:r>
          </w:p>
        </w:tc>
        <w:tc>
          <w:tcPr>
            <w:tcW w:w="1190" w:type="dxa"/>
            <w:tcBorders>
              <w:top w:val="single" w:sz="8" w:space="0" w:color="auto"/>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65</w:t>
            </w:r>
          </w:p>
        </w:tc>
      </w:tr>
      <w:tr w:rsidR="00BB5825" w:rsidRPr="00AC22C0" w:rsidTr="00525451">
        <w:trPr>
          <w:trHeight w:val="300"/>
          <w:jc w:val="center"/>
        </w:trPr>
        <w:tc>
          <w:tcPr>
            <w:tcW w:w="35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r w:rsidRPr="00AC22C0">
              <w:rPr>
                <w:sz w:val="20"/>
                <w:szCs w:val="20"/>
                <w:lang w:val="fr-BE" w:eastAsia="fr-BE" w:bidi="ar-SA"/>
              </w:rPr>
              <w:t xml:space="preserve">log </w:t>
            </w:r>
            <w:proofErr w:type="spellStart"/>
            <w:r w:rsidRPr="00AC22C0">
              <w:rPr>
                <w:sz w:val="20"/>
                <w:szCs w:val="20"/>
                <w:lang w:val="fr-BE" w:eastAsia="fr-BE" w:bidi="ar-SA"/>
              </w:rPr>
              <w:t>pseudolikelihood</w:t>
            </w:r>
            <w:proofErr w:type="spellEnd"/>
            <w:r w:rsidRPr="00AC22C0">
              <w:rPr>
                <w:sz w:val="20"/>
                <w:szCs w:val="20"/>
                <w:lang w:val="fr-BE" w:eastAsia="fr-BE" w:bidi="ar-SA"/>
              </w:rPr>
              <w:t xml:space="preserve"> = -37.26176</w:t>
            </w:r>
          </w:p>
        </w:tc>
        <w:tc>
          <w:tcPr>
            <w:tcW w:w="657"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wald</w:t>
            </w:r>
            <w:proofErr w:type="spellEnd"/>
            <w:r w:rsidRPr="00AC22C0">
              <w:rPr>
                <w:b/>
                <w:bCs/>
                <w:sz w:val="20"/>
                <w:szCs w:val="20"/>
                <w:lang w:val="fr-BE" w:eastAsia="fr-BE" w:bidi="ar-SA"/>
              </w:rPr>
              <w:t xml:space="preserve"> chi2 (4) = </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11.83</w:t>
            </w:r>
          </w:p>
        </w:tc>
      </w:tr>
      <w:tr w:rsidR="00BB5825" w:rsidRPr="00AC22C0" w:rsidTr="00525451">
        <w:trPr>
          <w:trHeight w:val="300"/>
          <w:jc w:val="center"/>
        </w:trPr>
        <w:tc>
          <w:tcPr>
            <w:tcW w:w="35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proofErr w:type="spellStart"/>
            <w:r w:rsidRPr="00AC22C0">
              <w:rPr>
                <w:sz w:val="20"/>
                <w:szCs w:val="20"/>
                <w:lang w:val="fr-BE" w:eastAsia="fr-BE" w:bidi="ar-SA"/>
              </w:rPr>
              <w:t>Iteration</w:t>
            </w:r>
            <w:proofErr w:type="spellEnd"/>
            <w:r w:rsidRPr="00AC22C0">
              <w:rPr>
                <w:sz w:val="20"/>
                <w:szCs w:val="20"/>
                <w:lang w:val="fr-BE" w:eastAsia="fr-BE" w:bidi="ar-SA"/>
              </w:rPr>
              <w:t xml:space="preserve"> n°4</w:t>
            </w:r>
          </w:p>
        </w:tc>
        <w:tc>
          <w:tcPr>
            <w:tcW w:w="657"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Prob</w:t>
            </w:r>
            <w:proofErr w:type="spellEnd"/>
            <w:r w:rsidRPr="00AC22C0">
              <w:rPr>
                <w:b/>
                <w:bCs/>
                <w:sz w:val="20"/>
                <w:szCs w:val="20"/>
                <w:lang w:val="fr-BE" w:eastAsia="fr-BE" w:bidi="ar-SA"/>
              </w:rPr>
              <w:t xml:space="preserve"> &gt;chi2 =</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0.0187</w:t>
            </w:r>
          </w:p>
        </w:tc>
      </w:tr>
      <w:tr w:rsidR="00BB5825" w:rsidRPr="00AC22C0" w:rsidTr="00525451">
        <w:trPr>
          <w:trHeight w:val="300"/>
          <w:jc w:val="center"/>
        </w:trPr>
        <w:tc>
          <w:tcPr>
            <w:tcW w:w="836" w:type="dxa"/>
            <w:tcBorders>
              <w:top w:val="nil"/>
              <w:left w:val="single" w:sz="8" w:space="0" w:color="auto"/>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r w:rsidRPr="00AC22C0">
              <w:rPr>
                <w:sz w:val="20"/>
                <w:szCs w:val="20"/>
                <w:lang w:val="fr-BE" w:eastAsia="fr-BE" w:bidi="ar-SA"/>
              </w:rPr>
              <w:t> </w:t>
            </w:r>
          </w:p>
        </w:tc>
        <w:tc>
          <w:tcPr>
            <w:tcW w:w="1119"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602"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657"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Pseudo R2 =</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0.166</w:t>
            </w:r>
          </w:p>
        </w:tc>
      </w:tr>
      <w:tr w:rsidR="00BB5825" w:rsidRPr="00AC22C0" w:rsidTr="00525451">
        <w:trPr>
          <w:trHeight w:val="300"/>
          <w:jc w:val="center"/>
        </w:trPr>
        <w:tc>
          <w:tcPr>
            <w:tcW w:w="836" w:type="dxa"/>
            <w:tcBorders>
              <w:top w:val="nil"/>
              <w:left w:val="single" w:sz="8" w:space="0" w:color="auto"/>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r w:rsidRPr="00AC22C0">
              <w:rPr>
                <w:sz w:val="20"/>
                <w:szCs w:val="20"/>
                <w:lang w:val="fr-BE" w:eastAsia="fr-BE" w:bidi="ar-SA"/>
              </w:rPr>
              <w:t> </w:t>
            </w:r>
          </w:p>
        </w:tc>
        <w:tc>
          <w:tcPr>
            <w:tcW w:w="1119"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602"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657"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690"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157"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190" w:type="dxa"/>
            <w:tcBorders>
              <w:top w:val="nil"/>
              <w:left w:val="nil"/>
              <w:bottom w:val="nil"/>
              <w:right w:val="single" w:sz="8" w:space="0" w:color="auto"/>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r w:rsidRPr="00AC22C0">
              <w:rPr>
                <w:sz w:val="20"/>
                <w:szCs w:val="20"/>
                <w:lang w:val="fr-BE" w:eastAsia="fr-BE" w:bidi="ar-SA"/>
              </w:rPr>
              <w:t> </w:t>
            </w:r>
          </w:p>
        </w:tc>
      </w:tr>
      <w:tr w:rsidR="00BB5825" w:rsidRPr="00AC22C0" w:rsidTr="00525451">
        <w:trPr>
          <w:trHeight w:val="300"/>
          <w:jc w:val="center"/>
        </w:trPr>
        <w:tc>
          <w:tcPr>
            <w:tcW w:w="83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Score</w:t>
            </w:r>
          </w:p>
        </w:tc>
        <w:tc>
          <w:tcPr>
            <w:tcW w:w="1119"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Coef</w:t>
            </w:r>
            <w:proofErr w:type="spellEnd"/>
            <w:r w:rsidRPr="00AC22C0">
              <w:rPr>
                <w:b/>
                <w:bCs/>
                <w:sz w:val="20"/>
                <w:szCs w:val="20"/>
                <w:lang w:val="fr-BE" w:eastAsia="fr-BE" w:bidi="ar-SA"/>
              </w:rPr>
              <w:t>.</w:t>
            </w:r>
          </w:p>
        </w:tc>
        <w:tc>
          <w:tcPr>
            <w:tcW w:w="1602"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Robust</w:t>
            </w:r>
            <w:proofErr w:type="spellEnd"/>
            <w:r w:rsidRPr="00AC22C0">
              <w:rPr>
                <w:b/>
                <w:bCs/>
                <w:sz w:val="20"/>
                <w:szCs w:val="20"/>
                <w:lang w:val="fr-BE" w:eastAsia="fr-BE" w:bidi="ar-SA"/>
              </w:rPr>
              <w:t xml:space="preserve"> </w:t>
            </w:r>
            <w:proofErr w:type="spellStart"/>
            <w:r w:rsidRPr="00AC22C0">
              <w:rPr>
                <w:b/>
                <w:bCs/>
                <w:sz w:val="20"/>
                <w:szCs w:val="20"/>
                <w:lang w:val="fr-BE" w:eastAsia="fr-BE" w:bidi="ar-SA"/>
              </w:rPr>
              <w:t>Std.Err</w:t>
            </w:r>
            <w:proofErr w:type="spellEnd"/>
            <w:r w:rsidRPr="00AC22C0">
              <w:rPr>
                <w:b/>
                <w:bCs/>
                <w:sz w:val="20"/>
                <w:szCs w:val="20"/>
                <w:lang w:val="fr-BE" w:eastAsia="fr-BE" w:bidi="ar-SA"/>
              </w:rPr>
              <w:t>.</w:t>
            </w:r>
          </w:p>
        </w:tc>
        <w:tc>
          <w:tcPr>
            <w:tcW w:w="657"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z</w:t>
            </w:r>
          </w:p>
        </w:tc>
        <w:tc>
          <w:tcPr>
            <w:tcW w:w="690"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P&gt;|z|</w:t>
            </w:r>
          </w:p>
        </w:tc>
        <w:tc>
          <w:tcPr>
            <w:tcW w:w="2347"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 xml:space="preserve">[95% </w:t>
            </w:r>
            <w:proofErr w:type="spellStart"/>
            <w:r w:rsidRPr="00AC22C0">
              <w:rPr>
                <w:b/>
                <w:bCs/>
                <w:sz w:val="20"/>
                <w:szCs w:val="20"/>
                <w:lang w:val="fr-BE" w:eastAsia="fr-BE" w:bidi="ar-SA"/>
              </w:rPr>
              <w:t>Conf.Interval</w:t>
            </w:r>
            <w:proofErr w:type="spellEnd"/>
            <w:r w:rsidRPr="00AC22C0">
              <w:rPr>
                <w:b/>
                <w:bCs/>
                <w:sz w:val="20"/>
                <w:szCs w:val="20"/>
                <w:lang w:val="fr-BE" w:eastAsia="fr-BE" w:bidi="ar-SA"/>
              </w:rPr>
              <w:t>]</w:t>
            </w:r>
          </w:p>
        </w:tc>
      </w:tr>
      <w:tr w:rsidR="00BB5825" w:rsidRPr="00AC22C0" w:rsidTr="00525451">
        <w:trPr>
          <w:trHeight w:val="300"/>
          <w:jc w:val="center"/>
        </w:trPr>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center"/>
              <w:rPr>
                <w:sz w:val="20"/>
                <w:szCs w:val="20"/>
                <w:lang w:val="fr-BE" w:eastAsia="fr-BE" w:bidi="ar-SA"/>
              </w:rPr>
            </w:pPr>
            <w:proofErr w:type="spellStart"/>
            <w:r w:rsidRPr="00AC22C0">
              <w:rPr>
                <w:sz w:val="20"/>
                <w:szCs w:val="20"/>
                <w:lang w:val="fr-BE" w:eastAsia="fr-BE" w:bidi="ar-SA"/>
              </w:rPr>
              <w:t>freefloat</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-0.0077567</w:t>
            </w:r>
          </w:p>
        </w:tc>
        <w:tc>
          <w:tcPr>
            <w:tcW w:w="1602"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0.0106639</w:t>
            </w:r>
          </w:p>
        </w:tc>
        <w:tc>
          <w:tcPr>
            <w:tcW w:w="6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-0.73</w:t>
            </w:r>
          </w:p>
        </w:tc>
        <w:tc>
          <w:tcPr>
            <w:tcW w:w="690"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0.467</w:t>
            </w:r>
          </w:p>
        </w:tc>
        <w:tc>
          <w:tcPr>
            <w:tcW w:w="11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-0.0286577</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0.0131442</w:t>
            </w:r>
          </w:p>
        </w:tc>
      </w:tr>
      <w:tr w:rsidR="00BB5825" w:rsidRPr="00AC22C0" w:rsidTr="00525451">
        <w:trPr>
          <w:trHeight w:val="300"/>
          <w:jc w:val="center"/>
        </w:trPr>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center"/>
              <w:rPr>
                <w:sz w:val="20"/>
                <w:szCs w:val="20"/>
                <w:lang w:val="fr-BE" w:eastAsia="fr-BE" w:bidi="ar-SA"/>
              </w:rPr>
            </w:pPr>
            <w:proofErr w:type="spellStart"/>
            <w:r w:rsidRPr="00AC22C0">
              <w:rPr>
                <w:sz w:val="20"/>
                <w:szCs w:val="20"/>
                <w:lang w:val="fr-BE" w:eastAsia="fr-BE" w:bidi="ar-SA"/>
              </w:rPr>
              <w:t>debt</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0.0275466</w:t>
            </w:r>
          </w:p>
        </w:tc>
        <w:tc>
          <w:tcPr>
            <w:tcW w:w="1602"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0.0114351</w:t>
            </w:r>
          </w:p>
        </w:tc>
        <w:tc>
          <w:tcPr>
            <w:tcW w:w="6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2.41</w:t>
            </w:r>
          </w:p>
        </w:tc>
        <w:tc>
          <w:tcPr>
            <w:tcW w:w="690"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0.016</w:t>
            </w:r>
          </w:p>
        </w:tc>
        <w:tc>
          <w:tcPr>
            <w:tcW w:w="11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0.0051342</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0.049959</w:t>
            </w:r>
          </w:p>
        </w:tc>
      </w:tr>
      <w:tr w:rsidR="00BB5825" w:rsidRPr="00AC22C0" w:rsidTr="00525451">
        <w:trPr>
          <w:trHeight w:val="300"/>
          <w:jc w:val="center"/>
        </w:trPr>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center"/>
              <w:rPr>
                <w:sz w:val="20"/>
                <w:szCs w:val="20"/>
                <w:lang w:val="fr-BE" w:eastAsia="fr-BE" w:bidi="ar-SA"/>
              </w:rPr>
            </w:pPr>
            <w:r w:rsidRPr="00AC22C0">
              <w:rPr>
                <w:sz w:val="20"/>
                <w:szCs w:val="20"/>
                <w:lang w:val="fr-BE" w:eastAsia="fr-BE" w:bidi="ar-SA"/>
              </w:rPr>
              <w:t>profit</w:t>
            </w:r>
          </w:p>
        </w:tc>
        <w:tc>
          <w:tcPr>
            <w:tcW w:w="1119"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-0.0068546</w:t>
            </w:r>
          </w:p>
        </w:tc>
        <w:tc>
          <w:tcPr>
            <w:tcW w:w="1602"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0.0114926</w:t>
            </w:r>
          </w:p>
        </w:tc>
        <w:tc>
          <w:tcPr>
            <w:tcW w:w="6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-6</w:t>
            </w:r>
          </w:p>
        </w:tc>
        <w:tc>
          <w:tcPr>
            <w:tcW w:w="690"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0.551</w:t>
            </w:r>
          </w:p>
        </w:tc>
        <w:tc>
          <w:tcPr>
            <w:tcW w:w="11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-0.0293797</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0.0156704</w:t>
            </w:r>
          </w:p>
        </w:tc>
      </w:tr>
      <w:tr w:rsidR="00BB5825" w:rsidRPr="00AC22C0" w:rsidTr="00525451">
        <w:trPr>
          <w:trHeight w:val="300"/>
          <w:jc w:val="center"/>
        </w:trPr>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center"/>
              <w:rPr>
                <w:sz w:val="20"/>
                <w:szCs w:val="20"/>
                <w:lang w:val="fr-BE" w:eastAsia="fr-BE" w:bidi="ar-SA"/>
              </w:rPr>
            </w:pPr>
            <w:r w:rsidRPr="00AC22C0">
              <w:rPr>
                <w:sz w:val="20"/>
                <w:szCs w:val="20"/>
                <w:lang w:val="fr-BE" w:eastAsia="fr-BE" w:bidi="ar-SA"/>
              </w:rPr>
              <w:t>size</w:t>
            </w:r>
          </w:p>
        </w:tc>
        <w:tc>
          <w:tcPr>
            <w:tcW w:w="1119"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0.3098301</w:t>
            </w:r>
          </w:p>
        </w:tc>
        <w:tc>
          <w:tcPr>
            <w:tcW w:w="1602"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0.1403957</w:t>
            </w:r>
          </w:p>
        </w:tc>
        <w:tc>
          <w:tcPr>
            <w:tcW w:w="6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2.21</w:t>
            </w:r>
          </w:p>
        </w:tc>
        <w:tc>
          <w:tcPr>
            <w:tcW w:w="690"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0.027</w:t>
            </w:r>
          </w:p>
        </w:tc>
        <w:tc>
          <w:tcPr>
            <w:tcW w:w="1157" w:type="dxa"/>
            <w:tcBorders>
              <w:top w:val="nil"/>
              <w:left w:val="nil"/>
              <w:bottom w:val="single" w:sz="4"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0.0346596</w:t>
            </w:r>
          </w:p>
        </w:tc>
        <w:tc>
          <w:tcPr>
            <w:tcW w:w="1190"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0.05850005</w:t>
            </w:r>
          </w:p>
        </w:tc>
      </w:tr>
      <w:tr w:rsidR="00BB5825" w:rsidRPr="00AC22C0" w:rsidTr="00525451">
        <w:trPr>
          <w:trHeight w:val="315"/>
          <w:jc w:val="center"/>
        </w:trPr>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525451" w:rsidRPr="00AC22C0" w:rsidRDefault="00525451" w:rsidP="00450767">
            <w:pPr>
              <w:spacing w:after="0" w:line="240" w:lineRule="auto"/>
              <w:jc w:val="center"/>
              <w:rPr>
                <w:sz w:val="20"/>
                <w:szCs w:val="20"/>
                <w:lang w:val="fr-BE" w:eastAsia="fr-BE" w:bidi="ar-SA"/>
              </w:rPr>
            </w:pPr>
            <w:r w:rsidRPr="00AC22C0">
              <w:rPr>
                <w:sz w:val="20"/>
                <w:szCs w:val="20"/>
                <w:lang w:val="fr-BE" w:eastAsia="fr-BE" w:bidi="ar-SA"/>
              </w:rPr>
              <w:t>_cons</w:t>
            </w:r>
          </w:p>
        </w:tc>
        <w:tc>
          <w:tcPr>
            <w:tcW w:w="1119" w:type="dxa"/>
            <w:tcBorders>
              <w:top w:val="nil"/>
              <w:left w:val="nil"/>
              <w:bottom w:val="single" w:sz="8"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-3.998183</w:t>
            </w:r>
          </w:p>
        </w:tc>
        <w:tc>
          <w:tcPr>
            <w:tcW w:w="1602" w:type="dxa"/>
            <w:tcBorders>
              <w:top w:val="nil"/>
              <w:left w:val="nil"/>
              <w:bottom w:val="single" w:sz="8"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1534474</w:t>
            </w:r>
          </w:p>
        </w:tc>
        <w:tc>
          <w:tcPr>
            <w:tcW w:w="657" w:type="dxa"/>
            <w:tcBorders>
              <w:top w:val="nil"/>
              <w:left w:val="nil"/>
              <w:bottom w:val="single" w:sz="8"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-2.61</w:t>
            </w:r>
          </w:p>
        </w:tc>
        <w:tc>
          <w:tcPr>
            <w:tcW w:w="690" w:type="dxa"/>
            <w:tcBorders>
              <w:top w:val="nil"/>
              <w:left w:val="nil"/>
              <w:bottom w:val="single" w:sz="8"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0.009</w:t>
            </w:r>
          </w:p>
        </w:tc>
        <w:tc>
          <w:tcPr>
            <w:tcW w:w="1157" w:type="dxa"/>
            <w:tcBorders>
              <w:top w:val="nil"/>
              <w:left w:val="nil"/>
              <w:bottom w:val="single" w:sz="8" w:space="0" w:color="auto"/>
              <w:right w:val="single" w:sz="4"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-7.005696</w:t>
            </w:r>
          </w:p>
        </w:tc>
        <w:tc>
          <w:tcPr>
            <w:tcW w:w="1190" w:type="dxa"/>
            <w:tcBorders>
              <w:top w:val="nil"/>
              <w:left w:val="nil"/>
              <w:bottom w:val="single" w:sz="8" w:space="0" w:color="auto"/>
              <w:right w:val="single" w:sz="8" w:space="0" w:color="auto"/>
            </w:tcBorders>
            <w:shd w:val="clear" w:color="auto" w:fill="auto"/>
            <w:noWrap/>
            <w:vAlign w:val="bottom"/>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-0.9906692</w:t>
            </w:r>
          </w:p>
        </w:tc>
      </w:tr>
    </w:tbl>
    <w:p w:rsidR="00CC6899" w:rsidRPr="00BB5825" w:rsidRDefault="00CC6899" w:rsidP="004828B5">
      <w:pPr>
        <w:spacing w:after="0" w:line="276" w:lineRule="auto"/>
      </w:pPr>
    </w:p>
    <w:p w:rsidR="00B35347" w:rsidRPr="00BB5825" w:rsidRDefault="00B35347" w:rsidP="004828B5">
      <w:pPr>
        <w:spacing w:after="0" w:line="276" w:lineRule="auto"/>
        <w:rPr>
          <w:bCs/>
        </w:rPr>
      </w:pPr>
      <w:r w:rsidRPr="00BB5825">
        <w:t xml:space="preserve">Model </w:t>
      </w:r>
      <w:proofErr w:type="spellStart"/>
      <w:r w:rsidRPr="00BB5825">
        <w:t>Logit</w:t>
      </w:r>
      <w:proofErr w:type="spellEnd"/>
      <w:r w:rsidRPr="00BB5825">
        <w:t xml:space="preserve"> 1 is </w:t>
      </w:r>
      <w:r w:rsidRPr="00BB5825">
        <w:rPr>
          <w:bCs/>
        </w:rPr>
        <w:t>statistically significant at 5 percent.</w:t>
      </w:r>
    </w:p>
    <w:p w:rsidR="00B35347" w:rsidRPr="00BB5825" w:rsidRDefault="00B35347" w:rsidP="00B35347">
      <w:pPr>
        <w:spacing w:after="0" w:line="276" w:lineRule="auto"/>
        <w:rPr>
          <w:bCs/>
        </w:rPr>
      </w:pPr>
      <w:r w:rsidRPr="00BB5825">
        <w:rPr>
          <w:bCs/>
        </w:rPr>
        <w:t xml:space="preserve">Coefficient of the “free float” variable, measuring the capital dilution, appears to be un-significant. This variable does not explain the financial communication‘s quality. Our first hypothesis can’t be validated. </w:t>
      </w:r>
    </w:p>
    <w:p w:rsidR="00B35347" w:rsidRPr="00BB5825" w:rsidRDefault="00B35347" w:rsidP="00B35347">
      <w:pPr>
        <w:spacing w:after="0" w:line="276" w:lineRule="auto"/>
        <w:rPr>
          <w:bCs/>
        </w:rPr>
      </w:pPr>
      <w:r w:rsidRPr="00BB5825">
        <w:rPr>
          <w:bCs/>
        </w:rPr>
        <w:t xml:space="preserve">Otherwise variables “debt” and “size” are statistically significant at 5 percent. It means that bigger firms and more indebted firms have a higher probability to show a better financial communication. </w:t>
      </w:r>
    </w:p>
    <w:p w:rsidR="00B35347" w:rsidRPr="00BB5825" w:rsidRDefault="00B35347" w:rsidP="00B35347">
      <w:pPr>
        <w:spacing w:after="0" w:line="276" w:lineRule="auto"/>
        <w:rPr>
          <w:bCs/>
        </w:rPr>
      </w:pPr>
    </w:p>
    <w:p w:rsidR="00B35347" w:rsidRPr="00BB5825" w:rsidRDefault="00B35347" w:rsidP="00B35347">
      <w:pPr>
        <w:spacing w:after="0" w:line="276" w:lineRule="auto"/>
      </w:pPr>
      <w:r w:rsidRPr="00BB5825">
        <w:rPr>
          <w:bCs/>
        </w:rPr>
        <w:t xml:space="preserve">The second model studies the </w:t>
      </w:r>
      <w:r w:rsidRPr="00BB5825">
        <w:t xml:space="preserve">link between capital concentration in the hand of families or institutional investors and financial communication’s quality. </w:t>
      </w:r>
    </w:p>
    <w:p w:rsidR="00B35347" w:rsidRPr="00BB5825" w:rsidRDefault="00B35347" w:rsidP="004828B5">
      <w:pPr>
        <w:spacing w:after="0" w:line="276" w:lineRule="auto"/>
      </w:pPr>
    </w:p>
    <w:p w:rsidR="00B35347" w:rsidRPr="00BB5825" w:rsidRDefault="00B35347" w:rsidP="00B35347">
      <w:pPr>
        <w:rPr>
          <w:lang w:val="fr-BE" w:bidi="ar-SA"/>
        </w:rPr>
      </w:pPr>
      <w:r w:rsidRPr="00BB5825">
        <w:rPr>
          <w:lang w:val="fr-BE" w:bidi="ar-SA"/>
        </w:rPr>
        <w:t xml:space="preserve">Table 8 – Capital concentration and </w:t>
      </w:r>
      <w:proofErr w:type="spellStart"/>
      <w:r w:rsidRPr="00BB5825">
        <w:rPr>
          <w:lang w:val="fr-BE" w:bidi="ar-SA"/>
        </w:rPr>
        <w:t>financial</w:t>
      </w:r>
      <w:proofErr w:type="spellEnd"/>
      <w:r w:rsidRPr="00BB5825">
        <w:rPr>
          <w:lang w:val="fr-BE" w:bidi="ar-SA"/>
        </w:rPr>
        <w:t xml:space="preserve"> </w:t>
      </w:r>
      <w:proofErr w:type="spellStart"/>
      <w:r w:rsidRPr="00BB5825">
        <w:rPr>
          <w:lang w:val="fr-BE" w:bidi="ar-SA"/>
        </w:rPr>
        <w:t>communication’s</w:t>
      </w:r>
      <w:proofErr w:type="spellEnd"/>
      <w:r w:rsidRPr="00BB5825">
        <w:rPr>
          <w:lang w:val="fr-BE" w:bidi="ar-SA"/>
        </w:rPr>
        <w:t xml:space="preserve"> </w:t>
      </w:r>
      <w:proofErr w:type="spellStart"/>
      <w:r w:rsidRPr="00BB5825">
        <w:rPr>
          <w:lang w:val="fr-BE" w:bidi="ar-SA"/>
        </w:rPr>
        <w:t>quality</w:t>
      </w:r>
      <w:proofErr w:type="spellEnd"/>
    </w:p>
    <w:tbl>
      <w:tblPr>
        <w:tblW w:w="7409" w:type="dxa"/>
        <w:jc w:val="center"/>
        <w:tblInd w:w="437" w:type="dxa"/>
        <w:tblCellMar>
          <w:left w:w="70" w:type="dxa"/>
          <w:right w:w="70" w:type="dxa"/>
        </w:tblCellMar>
        <w:tblLook w:val="04A0" w:firstRow="1" w:lastRow="0" w:firstColumn="1" w:lastColumn="0" w:noHBand="0" w:noVBand="1"/>
      </w:tblPr>
      <w:tblGrid>
        <w:gridCol w:w="1074"/>
        <w:gridCol w:w="1072"/>
        <w:gridCol w:w="1605"/>
        <w:gridCol w:w="626"/>
        <w:gridCol w:w="650"/>
        <w:gridCol w:w="1246"/>
        <w:gridCol w:w="1136"/>
      </w:tblGrid>
      <w:tr w:rsidR="00BB5825" w:rsidRPr="00AC22C0" w:rsidTr="00B35347">
        <w:trPr>
          <w:trHeight w:val="300"/>
          <w:jc w:val="center"/>
        </w:trPr>
        <w:tc>
          <w:tcPr>
            <w:tcW w:w="3751" w:type="dxa"/>
            <w:gridSpan w:val="3"/>
            <w:tcBorders>
              <w:top w:val="single" w:sz="8" w:space="0" w:color="auto"/>
              <w:left w:val="single" w:sz="8" w:space="0" w:color="auto"/>
              <w:bottom w:val="nil"/>
              <w:right w:val="nil"/>
            </w:tcBorders>
            <w:shd w:val="clear" w:color="000000" w:fill="A6A6A6"/>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logistic</w:t>
            </w:r>
            <w:proofErr w:type="spellEnd"/>
            <w:r w:rsidRPr="00AC22C0">
              <w:rPr>
                <w:b/>
                <w:bCs/>
                <w:sz w:val="20"/>
                <w:szCs w:val="20"/>
                <w:lang w:val="fr-BE" w:eastAsia="fr-BE" w:bidi="ar-SA"/>
              </w:rPr>
              <w:t xml:space="preserve"> </w:t>
            </w:r>
            <w:proofErr w:type="spellStart"/>
            <w:r w:rsidRPr="00AC22C0">
              <w:rPr>
                <w:b/>
                <w:bCs/>
                <w:sz w:val="20"/>
                <w:szCs w:val="20"/>
                <w:lang w:val="fr-BE" w:eastAsia="fr-BE" w:bidi="ar-SA"/>
              </w:rPr>
              <w:t>regression</w:t>
            </w:r>
            <w:proofErr w:type="spellEnd"/>
          </w:p>
        </w:tc>
        <w:tc>
          <w:tcPr>
            <w:tcW w:w="626" w:type="dxa"/>
            <w:tcBorders>
              <w:top w:val="single" w:sz="8" w:space="0" w:color="auto"/>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r w:rsidRPr="00AC22C0">
              <w:rPr>
                <w:rFonts w:ascii="Calibri" w:hAnsi="Calibri"/>
                <w:sz w:val="20"/>
                <w:szCs w:val="20"/>
                <w:lang w:val="fr-BE" w:eastAsia="fr-BE" w:bidi="ar-SA"/>
              </w:rPr>
              <w:t> </w:t>
            </w:r>
          </w:p>
        </w:tc>
        <w:tc>
          <w:tcPr>
            <w:tcW w:w="1896"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number</w:t>
            </w:r>
            <w:proofErr w:type="spellEnd"/>
            <w:r w:rsidRPr="00AC22C0">
              <w:rPr>
                <w:b/>
                <w:bCs/>
                <w:sz w:val="20"/>
                <w:szCs w:val="20"/>
                <w:lang w:val="fr-BE" w:eastAsia="fr-BE" w:bidi="ar-SA"/>
              </w:rPr>
              <w:t xml:space="preserve"> of </w:t>
            </w:r>
            <w:proofErr w:type="spellStart"/>
            <w:r w:rsidRPr="00AC22C0">
              <w:rPr>
                <w:b/>
                <w:bCs/>
                <w:sz w:val="20"/>
                <w:szCs w:val="20"/>
                <w:lang w:val="fr-BE" w:eastAsia="fr-BE" w:bidi="ar-SA"/>
              </w:rPr>
              <w:t>obs</w:t>
            </w:r>
            <w:proofErr w:type="spellEnd"/>
            <w:r w:rsidRPr="00AC22C0">
              <w:rPr>
                <w:b/>
                <w:bCs/>
                <w:sz w:val="20"/>
                <w:szCs w:val="20"/>
                <w:lang w:val="fr-BE" w:eastAsia="fr-BE" w:bidi="ar-SA"/>
              </w:rPr>
              <w:t xml:space="preserve"> =</w:t>
            </w:r>
          </w:p>
        </w:tc>
        <w:tc>
          <w:tcPr>
            <w:tcW w:w="1136" w:type="dxa"/>
            <w:tcBorders>
              <w:top w:val="single" w:sz="8" w:space="0" w:color="auto"/>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65</w:t>
            </w:r>
          </w:p>
        </w:tc>
      </w:tr>
      <w:tr w:rsidR="00BB5825" w:rsidRPr="00AC22C0" w:rsidTr="00B35347">
        <w:trPr>
          <w:trHeight w:val="300"/>
          <w:jc w:val="center"/>
        </w:trPr>
        <w:tc>
          <w:tcPr>
            <w:tcW w:w="375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r w:rsidRPr="00AC22C0">
              <w:rPr>
                <w:sz w:val="20"/>
                <w:szCs w:val="20"/>
                <w:lang w:val="fr-BE" w:eastAsia="fr-BE" w:bidi="ar-SA"/>
              </w:rPr>
              <w:t xml:space="preserve">log </w:t>
            </w:r>
            <w:proofErr w:type="spellStart"/>
            <w:r w:rsidRPr="00AC22C0">
              <w:rPr>
                <w:sz w:val="20"/>
                <w:szCs w:val="20"/>
                <w:lang w:val="fr-BE" w:eastAsia="fr-BE" w:bidi="ar-SA"/>
              </w:rPr>
              <w:t>pseudolikelihood</w:t>
            </w:r>
            <w:proofErr w:type="spellEnd"/>
            <w:r w:rsidRPr="00AC22C0">
              <w:rPr>
                <w:sz w:val="20"/>
                <w:szCs w:val="20"/>
                <w:lang w:val="fr-BE" w:eastAsia="fr-BE" w:bidi="ar-SA"/>
              </w:rPr>
              <w:t xml:space="preserve"> = -30.961915</w:t>
            </w:r>
          </w:p>
        </w:tc>
        <w:tc>
          <w:tcPr>
            <w:tcW w:w="626"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wald</w:t>
            </w:r>
            <w:proofErr w:type="spellEnd"/>
            <w:r w:rsidRPr="00AC22C0">
              <w:rPr>
                <w:b/>
                <w:bCs/>
                <w:sz w:val="20"/>
                <w:szCs w:val="20"/>
                <w:lang w:val="fr-BE" w:eastAsia="fr-BE" w:bidi="ar-SA"/>
              </w:rPr>
              <w:t xml:space="preserve"> chi2 (4) = </w:t>
            </w:r>
          </w:p>
        </w:tc>
        <w:tc>
          <w:tcPr>
            <w:tcW w:w="1136"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16.84</w:t>
            </w:r>
          </w:p>
        </w:tc>
      </w:tr>
      <w:tr w:rsidR="00BB5825" w:rsidRPr="00AC22C0" w:rsidTr="00B35347">
        <w:trPr>
          <w:trHeight w:val="300"/>
          <w:jc w:val="center"/>
        </w:trPr>
        <w:tc>
          <w:tcPr>
            <w:tcW w:w="375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proofErr w:type="spellStart"/>
            <w:r w:rsidRPr="00AC22C0">
              <w:rPr>
                <w:sz w:val="20"/>
                <w:szCs w:val="20"/>
                <w:lang w:val="fr-BE" w:eastAsia="fr-BE" w:bidi="ar-SA"/>
              </w:rPr>
              <w:t>Iteration</w:t>
            </w:r>
            <w:proofErr w:type="spellEnd"/>
            <w:r w:rsidRPr="00AC22C0">
              <w:rPr>
                <w:sz w:val="20"/>
                <w:szCs w:val="20"/>
                <w:lang w:val="fr-BE" w:eastAsia="fr-BE" w:bidi="ar-SA"/>
              </w:rPr>
              <w:t xml:space="preserve"> N°4</w:t>
            </w:r>
          </w:p>
        </w:tc>
        <w:tc>
          <w:tcPr>
            <w:tcW w:w="626"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Prob</w:t>
            </w:r>
            <w:proofErr w:type="spellEnd"/>
            <w:r w:rsidRPr="00AC22C0">
              <w:rPr>
                <w:b/>
                <w:bCs/>
                <w:sz w:val="20"/>
                <w:szCs w:val="20"/>
                <w:lang w:val="fr-BE" w:eastAsia="fr-BE" w:bidi="ar-SA"/>
              </w:rPr>
              <w:t xml:space="preserve"> &gt;chi2 =</w:t>
            </w:r>
          </w:p>
        </w:tc>
        <w:tc>
          <w:tcPr>
            <w:tcW w:w="1136"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0.0048</w:t>
            </w:r>
          </w:p>
        </w:tc>
      </w:tr>
      <w:tr w:rsidR="00BB5825" w:rsidRPr="00AC22C0" w:rsidTr="00B35347">
        <w:trPr>
          <w:trHeight w:val="300"/>
          <w:jc w:val="center"/>
        </w:trPr>
        <w:tc>
          <w:tcPr>
            <w:tcW w:w="1074" w:type="dxa"/>
            <w:tcBorders>
              <w:top w:val="nil"/>
              <w:left w:val="single" w:sz="8" w:space="0" w:color="auto"/>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r w:rsidRPr="00AC22C0">
              <w:rPr>
                <w:sz w:val="20"/>
                <w:szCs w:val="20"/>
                <w:lang w:val="fr-BE" w:eastAsia="fr-BE" w:bidi="ar-SA"/>
              </w:rPr>
              <w:t> </w:t>
            </w:r>
          </w:p>
        </w:tc>
        <w:tc>
          <w:tcPr>
            <w:tcW w:w="1072"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605"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626"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rFonts w:ascii="Calibri" w:hAnsi="Calibri"/>
                <w:sz w:val="20"/>
                <w:szCs w:val="20"/>
                <w:lang w:val="fr-BE" w:eastAsia="fr-BE" w:bidi="ar-SA"/>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Pseudo R2 =</w:t>
            </w:r>
          </w:p>
        </w:tc>
        <w:tc>
          <w:tcPr>
            <w:tcW w:w="1136" w:type="dxa"/>
            <w:tcBorders>
              <w:top w:val="nil"/>
              <w:left w:val="nil"/>
              <w:bottom w:val="single" w:sz="4" w:space="0" w:color="auto"/>
              <w:right w:val="single" w:sz="8" w:space="0" w:color="auto"/>
            </w:tcBorders>
            <w:shd w:val="clear" w:color="auto" w:fill="auto"/>
            <w:noWrap/>
            <w:vAlign w:val="bottom"/>
            <w:hideMark/>
          </w:tcPr>
          <w:p w:rsidR="00525451" w:rsidRPr="00AC22C0" w:rsidRDefault="00525451" w:rsidP="00525451">
            <w:pPr>
              <w:spacing w:after="0" w:line="240" w:lineRule="auto"/>
              <w:jc w:val="right"/>
              <w:rPr>
                <w:sz w:val="20"/>
                <w:szCs w:val="20"/>
                <w:lang w:val="fr-BE" w:eastAsia="fr-BE" w:bidi="ar-SA"/>
              </w:rPr>
            </w:pPr>
            <w:r w:rsidRPr="00AC22C0">
              <w:rPr>
                <w:sz w:val="20"/>
                <w:szCs w:val="20"/>
                <w:lang w:val="fr-BE" w:eastAsia="fr-BE" w:bidi="ar-SA"/>
              </w:rPr>
              <w:t>0.307</w:t>
            </w:r>
          </w:p>
        </w:tc>
      </w:tr>
      <w:tr w:rsidR="00BB5825" w:rsidRPr="00AC22C0" w:rsidTr="00B35347">
        <w:trPr>
          <w:trHeight w:val="300"/>
          <w:jc w:val="center"/>
        </w:trPr>
        <w:tc>
          <w:tcPr>
            <w:tcW w:w="1074" w:type="dxa"/>
            <w:tcBorders>
              <w:top w:val="nil"/>
              <w:left w:val="single" w:sz="8" w:space="0" w:color="auto"/>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r w:rsidRPr="00AC22C0">
              <w:rPr>
                <w:sz w:val="20"/>
                <w:szCs w:val="20"/>
                <w:lang w:val="fr-BE" w:eastAsia="fr-BE" w:bidi="ar-SA"/>
              </w:rPr>
              <w:t> </w:t>
            </w:r>
          </w:p>
        </w:tc>
        <w:tc>
          <w:tcPr>
            <w:tcW w:w="1072"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605"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626"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650"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246" w:type="dxa"/>
            <w:tcBorders>
              <w:top w:val="nil"/>
              <w:left w:val="nil"/>
              <w:bottom w:val="nil"/>
              <w:right w:val="nil"/>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p>
        </w:tc>
        <w:tc>
          <w:tcPr>
            <w:tcW w:w="1136" w:type="dxa"/>
            <w:tcBorders>
              <w:top w:val="nil"/>
              <w:left w:val="nil"/>
              <w:bottom w:val="nil"/>
              <w:right w:val="single" w:sz="8" w:space="0" w:color="auto"/>
            </w:tcBorders>
            <w:shd w:val="clear" w:color="auto" w:fill="auto"/>
            <w:noWrap/>
            <w:vAlign w:val="bottom"/>
            <w:hideMark/>
          </w:tcPr>
          <w:p w:rsidR="00525451" w:rsidRPr="00AC22C0" w:rsidRDefault="00525451" w:rsidP="00525451">
            <w:pPr>
              <w:spacing w:after="0" w:line="240" w:lineRule="auto"/>
              <w:jc w:val="left"/>
              <w:rPr>
                <w:sz w:val="20"/>
                <w:szCs w:val="20"/>
                <w:lang w:val="fr-BE" w:eastAsia="fr-BE" w:bidi="ar-SA"/>
              </w:rPr>
            </w:pPr>
            <w:r w:rsidRPr="00AC22C0">
              <w:rPr>
                <w:sz w:val="20"/>
                <w:szCs w:val="20"/>
                <w:lang w:val="fr-BE" w:eastAsia="fr-BE" w:bidi="ar-SA"/>
              </w:rPr>
              <w:t> </w:t>
            </w:r>
          </w:p>
        </w:tc>
      </w:tr>
      <w:tr w:rsidR="00BB5825" w:rsidRPr="00AC22C0" w:rsidTr="00B35347">
        <w:trPr>
          <w:trHeight w:val="300"/>
          <w:jc w:val="center"/>
        </w:trPr>
        <w:tc>
          <w:tcPr>
            <w:tcW w:w="1074"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Score</w:t>
            </w:r>
          </w:p>
        </w:tc>
        <w:tc>
          <w:tcPr>
            <w:tcW w:w="1072"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Coef</w:t>
            </w:r>
            <w:proofErr w:type="spellEnd"/>
            <w:r w:rsidRPr="00AC22C0">
              <w:rPr>
                <w:b/>
                <w:bCs/>
                <w:sz w:val="20"/>
                <w:szCs w:val="20"/>
                <w:lang w:val="fr-BE" w:eastAsia="fr-BE" w:bidi="ar-SA"/>
              </w:rPr>
              <w:t>.</w:t>
            </w:r>
          </w:p>
        </w:tc>
        <w:tc>
          <w:tcPr>
            <w:tcW w:w="1605"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proofErr w:type="spellStart"/>
            <w:r w:rsidRPr="00AC22C0">
              <w:rPr>
                <w:b/>
                <w:bCs/>
                <w:sz w:val="20"/>
                <w:szCs w:val="20"/>
                <w:lang w:val="fr-BE" w:eastAsia="fr-BE" w:bidi="ar-SA"/>
              </w:rPr>
              <w:t>Robust</w:t>
            </w:r>
            <w:proofErr w:type="spellEnd"/>
            <w:r w:rsidRPr="00AC22C0">
              <w:rPr>
                <w:b/>
                <w:bCs/>
                <w:sz w:val="20"/>
                <w:szCs w:val="20"/>
                <w:lang w:val="fr-BE" w:eastAsia="fr-BE" w:bidi="ar-SA"/>
              </w:rPr>
              <w:t xml:space="preserve"> </w:t>
            </w:r>
            <w:proofErr w:type="spellStart"/>
            <w:r w:rsidRPr="00AC22C0">
              <w:rPr>
                <w:b/>
                <w:bCs/>
                <w:sz w:val="20"/>
                <w:szCs w:val="20"/>
                <w:lang w:val="fr-BE" w:eastAsia="fr-BE" w:bidi="ar-SA"/>
              </w:rPr>
              <w:t>Std.Err</w:t>
            </w:r>
            <w:proofErr w:type="spellEnd"/>
            <w:r w:rsidRPr="00AC22C0">
              <w:rPr>
                <w:b/>
                <w:bCs/>
                <w:sz w:val="20"/>
                <w:szCs w:val="20"/>
                <w:lang w:val="fr-BE" w:eastAsia="fr-BE" w:bidi="ar-SA"/>
              </w:rPr>
              <w:t>.</w:t>
            </w:r>
          </w:p>
        </w:tc>
        <w:tc>
          <w:tcPr>
            <w:tcW w:w="626"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z</w:t>
            </w:r>
          </w:p>
        </w:tc>
        <w:tc>
          <w:tcPr>
            <w:tcW w:w="650" w:type="dxa"/>
            <w:tcBorders>
              <w:top w:val="single" w:sz="4" w:space="0" w:color="auto"/>
              <w:left w:val="nil"/>
              <w:bottom w:val="single" w:sz="4" w:space="0" w:color="auto"/>
              <w:right w:val="single" w:sz="4" w:space="0" w:color="auto"/>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P&gt;|z|</w:t>
            </w:r>
          </w:p>
        </w:tc>
        <w:tc>
          <w:tcPr>
            <w:tcW w:w="238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525451" w:rsidRPr="00AC22C0" w:rsidRDefault="00525451" w:rsidP="00525451">
            <w:pPr>
              <w:spacing w:after="0" w:line="240" w:lineRule="auto"/>
              <w:jc w:val="center"/>
              <w:rPr>
                <w:b/>
                <w:bCs/>
                <w:sz w:val="20"/>
                <w:szCs w:val="20"/>
                <w:lang w:val="fr-BE" w:eastAsia="fr-BE" w:bidi="ar-SA"/>
              </w:rPr>
            </w:pPr>
            <w:r w:rsidRPr="00AC22C0">
              <w:rPr>
                <w:b/>
                <w:bCs/>
                <w:sz w:val="20"/>
                <w:szCs w:val="20"/>
                <w:lang w:val="fr-BE" w:eastAsia="fr-BE" w:bidi="ar-SA"/>
              </w:rPr>
              <w:t xml:space="preserve">[95% </w:t>
            </w:r>
            <w:proofErr w:type="spellStart"/>
            <w:r w:rsidRPr="00AC22C0">
              <w:rPr>
                <w:b/>
                <w:bCs/>
                <w:sz w:val="20"/>
                <w:szCs w:val="20"/>
                <w:lang w:val="fr-BE" w:eastAsia="fr-BE" w:bidi="ar-SA"/>
              </w:rPr>
              <w:t>Conf.Interval</w:t>
            </w:r>
            <w:proofErr w:type="spellEnd"/>
            <w:r w:rsidRPr="00AC22C0">
              <w:rPr>
                <w:b/>
                <w:bCs/>
                <w:sz w:val="20"/>
                <w:szCs w:val="20"/>
                <w:lang w:val="fr-BE" w:eastAsia="fr-BE" w:bidi="ar-SA"/>
              </w:rPr>
              <w:t>]</w:t>
            </w:r>
          </w:p>
        </w:tc>
      </w:tr>
      <w:tr w:rsidR="00BB5825" w:rsidRPr="00AC22C0" w:rsidTr="00B35347">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proofErr w:type="spellStart"/>
            <w:r w:rsidRPr="00AC22C0">
              <w:rPr>
                <w:sz w:val="20"/>
                <w:szCs w:val="20"/>
                <w:lang w:val="fr-BE" w:eastAsia="fr-BE" w:bidi="ar-SA"/>
              </w:rPr>
              <w:t>instinvestor</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0.039338</w:t>
            </w:r>
          </w:p>
        </w:tc>
        <w:tc>
          <w:tcPr>
            <w:tcW w:w="1605"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0.0191559</w:t>
            </w:r>
          </w:p>
        </w:tc>
        <w:tc>
          <w:tcPr>
            <w:tcW w:w="62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2.05</w:t>
            </w:r>
          </w:p>
        </w:tc>
        <w:tc>
          <w:tcPr>
            <w:tcW w:w="650"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0.04</w:t>
            </w:r>
          </w:p>
        </w:tc>
        <w:tc>
          <w:tcPr>
            <w:tcW w:w="124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0.001793</w:t>
            </w:r>
          </w:p>
        </w:tc>
        <w:tc>
          <w:tcPr>
            <w:tcW w:w="1136" w:type="dxa"/>
            <w:tcBorders>
              <w:top w:val="nil"/>
              <w:left w:val="nil"/>
              <w:bottom w:val="single" w:sz="4" w:space="0" w:color="auto"/>
              <w:right w:val="single" w:sz="8"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0.0768829</w:t>
            </w:r>
          </w:p>
        </w:tc>
      </w:tr>
      <w:tr w:rsidR="00BB5825" w:rsidRPr="00AC22C0" w:rsidTr="00B35347">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proofErr w:type="spellStart"/>
            <w:r w:rsidRPr="00AC22C0">
              <w:rPr>
                <w:sz w:val="20"/>
                <w:szCs w:val="20"/>
                <w:lang w:val="fr-BE" w:eastAsia="fr-BE" w:bidi="ar-SA"/>
              </w:rPr>
              <w:t>family</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2.456513</w:t>
            </w:r>
          </w:p>
        </w:tc>
        <w:tc>
          <w:tcPr>
            <w:tcW w:w="1605"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0.7546758</w:t>
            </w:r>
          </w:p>
        </w:tc>
        <w:tc>
          <w:tcPr>
            <w:tcW w:w="62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3.26</w:t>
            </w:r>
          </w:p>
        </w:tc>
        <w:tc>
          <w:tcPr>
            <w:tcW w:w="650"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0.001</w:t>
            </w:r>
          </w:p>
        </w:tc>
        <w:tc>
          <w:tcPr>
            <w:tcW w:w="124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0.9773759</w:t>
            </w:r>
          </w:p>
        </w:tc>
        <w:tc>
          <w:tcPr>
            <w:tcW w:w="1136" w:type="dxa"/>
            <w:tcBorders>
              <w:top w:val="nil"/>
              <w:left w:val="nil"/>
              <w:bottom w:val="single" w:sz="4" w:space="0" w:color="auto"/>
              <w:right w:val="single" w:sz="8"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3.935651</w:t>
            </w:r>
          </w:p>
        </w:tc>
      </w:tr>
      <w:tr w:rsidR="00BB5825" w:rsidRPr="00AC22C0" w:rsidTr="00B35347">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proofErr w:type="spellStart"/>
            <w:r w:rsidRPr="00AC22C0">
              <w:rPr>
                <w:sz w:val="20"/>
                <w:szCs w:val="20"/>
                <w:lang w:val="fr-BE" w:eastAsia="fr-BE" w:bidi="ar-SA"/>
              </w:rPr>
              <w:t>debt</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0.036792</w:t>
            </w:r>
          </w:p>
        </w:tc>
        <w:tc>
          <w:tcPr>
            <w:tcW w:w="1605"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0.0136347</w:t>
            </w:r>
          </w:p>
        </w:tc>
        <w:tc>
          <w:tcPr>
            <w:tcW w:w="62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2.7</w:t>
            </w:r>
          </w:p>
        </w:tc>
        <w:tc>
          <w:tcPr>
            <w:tcW w:w="650"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0.007</w:t>
            </w:r>
          </w:p>
        </w:tc>
        <w:tc>
          <w:tcPr>
            <w:tcW w:w="124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0.0100685</w:t>
            </w:r>
          </w:p>
        </w:tc>
        <w:tc>
          <w:tcPr>
            <w:tcW w:w="1136" w:type="dxa"/>
            <w:tcBorders>
              <w:top w:val="nil"/>
              <w:left w:val="nil"/>
              <w:bottom w:val="single" w:sz="4" w:space="0" w:color="auto"/>
              <w:right w:val="single" w:sz="8"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0.0635155</w:t>
            </w:r>
          </w:p>
        </w:tc>
      </w:tr>
      <w:tr w:rsidR="00BB5825" w:rsidRPr="00AC22C0" w:rsidTr="00B35347">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r w:rsidRPr="00AC22C0">
              <w:rPr>
                <w:sz w:val="20"/>
                <w:szCs w:val="20"/>
                <w:lang w:val="fr-BE" w:eastAsia="fr-BE" w:bidi="ar-SA"/>
              </w:rPr>
              <w:t>profit</w:t>
            </w:r>
          </w:p>
        </w:tc>
        <w:tc>
          <w:tcPr>
            <w:tcW w:w="1072"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-0.0040015</w:t>
            </w:r>
          </w:p>
        </w:tc>
        <w:tc>
          <w:tcPr>
            <w:tcW w:w="1605"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0.0093423</w:t>
            </w:r>
          </w:p>
        </w:tc>
        <w:tc>
          <w:tcPr>
            <w:tcW w:w="62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-0.43</w:t>
            </w:r>
          </w:p>
        </w:tc>
        <w:tc>
          <w:tcPr>
            <w:tcW w:w="650"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0.668</w:t>
            </w:r>
          </w:p>
        </w:tc>
        <w:tc>
          <w:tcPr>
            <w:tcW w:w="124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-0.022312</w:t>
            </w:r>
          </w:p>
        </w:tc>
        <w:tc>
          <w:tcPr>
            <w:tcW w:w="1136" w:type="dxa"/>
            <w:tcBorders>
              <w:top w:val="nil"/>
              <w:left w:val="nil"/>
              <w:bottom w:val="single" w:sz="4" w:space="0" w:color="auto"/>
              <w:right w:val="single" w:sz="8"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0.014309</w:t>
            </w:r>
          </w:p>
        </w:tc>
      </w:tr>
      <w:tr w:rsidR="00BB5825" w:rsidRPr="00AC22C0" w:rsidTr="00B35347">
        <w:trPr>
          <w:trHeight w:val="300"/>
          <w:jc w:val="center"/>
        </w:trPr>
        <w:tc>
          <w:tcPr>
            <w:tcW w:w="1074" w:type="dxa"/>
            <w:tcBorders>
              <w:top w:val="nil"/>
              <w:left w:val="single" w:sz="8" w:space="0" w:color="auto"/>
              <w:bottom w:val="single" w:sz="4"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r w:rsidRPr="00AC22C0">
              <w:rPr>
                <w:sz w:val="20"/>
                <w:szCs w:val="20"/>
                <w:lang w:val="fr-BE" w:eastAsia="fr-BE" w:bidi="ar-SA"/>
              </w:rPr>
              <w:t>size</w:t>
            </w:r>
          </w:p>
        </w:tc>
        <w:tc>
          <w:tcPr>
            <w:tcW w:w="1072"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0.2507048</w:t>
            </w:r>
          </w:p>
        </w:tc>
        <w:tc>
          <w:tcPr>
            <w:tcW w:w="1605"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0.1345616</w:t>
            </w:r>
          </w:p>
        </w:tc>
        <w:tc>
          <w:tcPr>
            <w:tcW w:w="62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1.86</w:t>
            </w:r>
          </w:p>
        </w:tc>
        <w:tc>
          <w:tcPr>
            <w:tcW w:w="650"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0.062</w:t>
            </w:r>
          </w:p>
        </w:tc>
        <w:tc>
          <w:tcPr>
            <w:tcW w:w="1246" w:type="dxa"/>
            <w:tcBorders>
              <w:top w:val="nil"/>
              <w:left w:val="nil"/>
              <w:bottom w:val="single" w:sz="4"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-0.013031</w:t>
            </w:r>
          </w:p>
        </w:tc>
        <w:tc>
          <w:tcPr>
            <w:tcW w:w="1136" w:type="dxa"/>
            <w:tcBorders>
              <w:top w:val="nil"/>
              <w:left w:val="nil"/>
              <w:bottom w:val="single" w:sz="4" w:space="0" w:color="auto"/>
              <w:right w:val="single" w:sz="8"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0.5144406</w:t>
            </w:r>
          </w:p>
        </w:tc>
      </w:tr>
      <w:tr w:rsidR="00BB5825" w:rsidRPr="00AC22C0" w:rsidTr="00B35347">
        <w:trPr>
          <w:trHeight w:val="315"/>
          <w:jc w:val="center"/>
        </w:trPr>
        <w:tc>
          <w:tcPr>
            <w:tcW w:w="1074" w:type="dxa"/>
            <w:tcBorders>
              <w:top w:val="nil"/>
              <w:left w:val="single" w:sz="8" w:space="0" w:color="auto"/>
              <w:bottom w:val="single" w:sz="8" w:space="0" w:color="auto"/>
              <w:right w:val="single" w:sz="4" w:space="0" w:color="auto"/>
            </w:tcBorders>
            <w:shd w:val="clear" w:color="auto" w:fill="auto"/>
            <w:noWrap/>
            <w:vAlign w:val="bottom"/>
            <w:hideMark/>
          </w:tcPr>
          <w:p w:rsidR="00525451" w:rsidRPr="00AC22C0" w:rsidRDefault="00525451" w:rsidP="00525451">
            <w:pPr>
              <w:spacing w:after="0" w:line="240" w:lineRule="auto"/>
              <w:jc w:val="center"/>
              <w:rPr>
                <w:sz w:val="20"/>
                <w:szCs w:val="20"/>
                <w:lang w:val="fr-BE" w:eastAsia="fr-BE" w:bidi="ar-SA"/>
              </w:rPr>
            </w:pPr>
            <w:r w:rsidRPr="00AC22C0">
              <w:rPr>
                <w:sz w:val="20"/>
                <w:szCs w:val="20"/>
                <w:lang w:val="fr-BE" w:eastAsia="fr-BE" w:bidi="ar-SA"/>
              </w:rPr>
              <w:t>_cons</w:t>
            </w:r>
          </w:p>
        </w:tc>
        <w:tc>
          <w:tcPr>
            <w:tcW w:w="1072" w:type="dxa"/>
            <w:tcBorders>
              <w:top w:val="nil"/>
              <w:left w:val="nil"/>
              <w:bottom w:val="single" w:sz="8"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-5.274659</w:t>
            </w:r>
          </w:p>
        </w:tc>
        <w:tc>
          <w:tcPr>
            <w:tcW w:w="1605" w:type="dxa"/>
            <w:tcBorders>
              <w:top w:val="nil"/>
              <w:left w:val="nil"/>
              <w:bottom w:val="single" w:sz="8"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1.957313</w:t>
            </w:r>
          </w:p>
        </w:tc>
        <w:tc>
          <w:tcPr>
            <w:tcW w:w="626" w:type="dxa"/>
            <w:tcBorders>
              <w:top w:val="nil"/>
              <w:left w:val="nil"/>
              <w:bottom w:val="single" w:sz="8"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-2.69</w:t>
            </w:r>
          </w:p>
        </w:tc>
        <w:tc>
          <w:tcPr>
            <w:tcW w:w="650" w:type="dxa"/>
            <w:tcBorders>
              <w:top w:val="nil"/>
              <w:left w:val="nil"/>
              <w:bottom w:val="single" w:sz="8"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0.007</w:t>
            </w:r>
          </w:p>
        </w:tc>
        <w:tc>
          <w:tcPr>
            <w:tcW w:w="1246" w:type="dxa"/>
            <w:tcBorders>
              <w:top w:val="nil"/>
              <w:left w:val="nil"/>
              <w:bottom w:val="single" w:sz="8" w:space="0" w:color="auto"/>
              <w:right w:val="single" w:sz="4"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-9.110923</w:t>
            </w:r>
          </w:p>
        </w:tc>
        <w:tc>
          <w:tcPr>
            <w:tcW w:w="1136" w:type="dxa"/>
            <w:tcBorders>
              <w:top w:val="nil"/>
              <w:left w:val="nil"/>
              <w:bottom w:val="single" w:sz="8" w:space="0" w:color="auto"/>
              <w:right w:val="single" w:sz="8" w:space="0" w:color="auto"/>
            </w:tcBorders>
            <w:shd w:val="clear" w:color="auto" w:fill="auto"/>
            <w:noWrap/>
            <w:vAlign w:val="center"/>
            <w:hideMark/>
          </w:tcPr>
          <w:p w:rsidR="00525451" w:rsidRPr="00AC22C0" w:rsidRDefault="00525451" w:rsidP="00450767">
            <w:pPr>
              <w:spacing w:after="0" w:line="240" w:lineRule="auto"/>
              <w:jc w:val="right"/>
              <w:rPr>
                <w:sz w:val="20"/>
                <w:szCs w:val="20"/>
                <w:lang w:val="fr-BE" w:eastAsia="fr-BE" w:bidi="ar-SA"/>
              </w:rPr>
            </w:pPr>
            <w:r w:rsidRPr="00AC22C0">
              <w:rPr>
                <w:sz w:val="20"/>
                <w:szCs w:val="20"/>
                <w:lang w:val="fr-BE" w:eastAsia="fr-BE" w:bidi="ar-SA"/>
              </w:rPr>
              <w:t>-1.438395</w:t>
            </w:r>
          </w:p>
        </w:tc>
      </w:tr>
    </w:tbl>
    <w:p w:rsidR="00525451" w:rsidRPr="00BB5825" w:rsidRDefault="00525451" w:rsidP="004828B5">
      <w:pPr>
        <w:spacing w:after="0" w:line="276" w:lineRule="auto"/>
      </w:pPr>
    </w:p>
    <w:p w:rsidR="002F6338" w:rsidRPr="00BB5825" w:rsidRDefault="002F6338" w:rsidP="002F6338">
      <w:pPr>
        <w:spacing w:after="0" w:line="276" w:lineRule="auto"/>
        <w:rPr>
          <w:bCs/>
        </w:rPr>
      </w:pPr>
      <w:r w:rsidRPr="00BB5825">
        <w:t xml:space="preserve">Model </w:t>
      </w:r>
      <w:proofErr w:type="spellStart"/>
      <w:r w:rsidRPr="00BB5825">
        <w:t>Log</w:t>
      </w:r>
      <w:r w:rsidR="00F81833" w:rsidRPr="00BB5825">
        <w:t>it</w:t>
      </w:r>
      <w:proofErr w:type="spellEnd"/>
      <w:r w:rsidR="00F81833" w:rsidRPr="00BB5825">
        <w:t xml:space="preserve"> 2</w:t>
      </w:r>
      <w:r w:rsidRPr="00BB5825">
        <w:t xml:space="preserve"> is </w:t>
      </w:r>
      <w:r w:rsidRPr="00BB5825">
        <w:rPr>
          <w:bCs/>
        </w:rPr>
        <w:t>statistically significant at 1 percent.</w:t>
      </w:r>
    </w:p>
    <w:p w:rsidR="002F6338" w:rsidRPr="00BB5825" w:rsidRDefault="002F6338" w:rsidP="002F6338">
      <w:pPr>
        <w:spacing w:after="0" w:line="276" w:lineRule="auto"/>
        <w:rPr>
          <w:bCs/>
        </w:rPr>
      </w:pPr>
      <w:r w:rsidRPr="00BB5825">
        <w:rPr>
          <w:bCs/>
        </w:rPr>
        <w:lastRenderedPageBreak/>
        <w:t>Variables “family” and “</w:t>
      </w:r>
      <w:proofErr w:type="spellStart"/>
      <w:r w:rsidRPr="00BB5825">
        <w:rPr>
          <w:bCs/>
        </w:rPr>
        <w:t>instinvestor</w:t>
      </w:r>
      <w:proofErr w:type="spellEnd"/>
      <w:r w:rsidRPr="00BB5825">
        <w:rPr>
          <w:bCs/>
        </w:rPr>
        <w:t>”, measuring the capital concentration, are also statistically significant at 1 percent. It means that the probability of having a better financial communication is higher for firms held by families or institutional investors.</w:t>
      </w:r>
    </w:p>
    <w:p w:rsidR="002F6338" w:rsidRPr="00BB5825" w:rsidRDefault="002F6338" w:rsidP="002F6338">
      <w:pPr>
        <w:spacing w:after="0" w:line="276" w:lineRule="auto"/>
        <w:rPr>
          <w:bCs/>
        </w:rPr>
      </w:pPr>
      <w:r w:rsidRPr="00BB5825">
        <w:rPr>
          <w:bCs/>
        </w:rPr>
        <w:t>This result allows us to validate our hypothesis 2.</w:t>
      </w:r>
    </w:p>
    <w:p w:rsidR="002F6338" w:rsidRPr="00BB5825" w:rsidRDefault="002F6338" w:rsidP="002F6338">
      <w:pPr>
        <w:spacing w:after="0" w:line="276" w:lineRule="auto"/>
        <w:rPr>
          <w:bCs/>
        </w:rPr>
      </w:pPr>
      <w:r w:rsidRPr="00BB5825">
        <w:rPr>
          <w:bCs/>
        </w:rPr>
        <w:t>However the positive impact of “family” variables goes against our hypothesis 3 and the results of previous researches (</w:t>
      </w:r>
      <w:r w:rsidRPr="00BB5825">
        <w:rPr>
          <w:rFonts w:ascii="Times" w:hAnsi="Times" w:cs="Times"/>
        </w:rPr>
        <w:t xml:space="preserve">Ben </w:t>
      </w:r>
      <w:proofErr w:type="spellStart"/>
      <w:proofErr w:type="gramStart"/>
      <w:r w:rsidRPr="00BB5825">
        <w:rPr>
          <w:rFonts w:ascii="Times" w:hAnsi="Times" w:cs="Times"/>
        </w:rPr>
        <w:t>ali</w:t>
      </w:r>
      <w:proofErr w:type="spellEnd"/>
      <w:proofErr w:type="gramEnd"/>
      <w:r w:rsidRPr="00BB5825">
        <w:rPr>
          <w:rFonts w:ascii="Times" w:hAnsi="Times" w:cs="Times"/>
        </w:rPr>
        <w:t xml:space="preserve"> &amp; </w:t>
      </w:r>
      <w:proofErr w:type="spellStart"/>
      <w:r w:rsidRPr="00BB5825">
        <w:rPr>
          <w:rFonts w:ascii="Times" w:hAnsi="Times" w:cs="Times"/>
        </w:rPr>
        <w:t>Gettler</w:t>
      </w:r>
      <w:proofErr w:type="spellEnd"/>
      <w:r w:rsidRPr="00BB5825">
        <w:rPr>
          <w:rFonts w:ascii="Times" w:hAnsi="Times" w:cs="Times"/>
        </w:rPr>
        <w:t xml:space="preserve">-Summa, 2006; </w:t>
      </w:r>
      <w:proofErr w:type="spellStart"/>
      <w:r w:rsidRPr="00BB5825">
        <w:rPr>
          <w:rFonts w:ascii="Times" w:hAnsi="Times" w:cs="Times"/>
        </w:rPr>
        <w:t>Barredy</w:t>
      </w:r>
      <w:proofErr w:type="spellEnd"/>
      <w:r w:rsidRPr="00BB5825">
        <w:rPr>
          <w:rFonts w:ascii="Times" w:hAnsi="Times" w:cs="Times"/>
        </w:rPr>
        <w:t xml:space="preserve"> &amp; </w:t>
      </w:r>
      <w:proofErr w:type="spellStart"/>
      <w:r w:rsidRPr="00BB5825">
        <w:rPr>
          <w:rFonts w:ascii="Times" w:hAnsi="Times" w:cs="Times"/>
        </w:rPr>
        <w:t>Darras</w:t>
      </w:r>
      <w:proofErr w:type="spellEnd"/>
      <w:r w:rsidRPr="00BB5825">
        <w:rPr>
          <w:rFonts w:ascii="Times" w:hAnsi="Times" w:cs="Times"/>
        </w:rPr>
        <w:t xml:space="preserve">, 2008; </w:t>
      </w:r>
      <w:proofErr w:type="spellStart"/>
      <w:r w:rsidRPr="00BB5825">
        <w:rPr>
          <w:rFonts w:ascii="Times" w:hAnsi="Times" w:cs="Times"/>
        </w:rPr>
        <w:t>Amal</w:t>
      </w:r>
      <w:proofErr w:type="spellEnd"/>
      <w:r w:rsidRPr="00BB5825">
        <w:rPr>
          <w:rFonts w:ascii="Times" w:hAnsi="Times" w:cs="Times"/>
        </w:rPr>
        <w:t xml:space="preserve"> &amp; </w:t>
      </w:r>
      <w:proofErr w:type="spellStart"/>
      <w:r w:rsidRPr="00BB5825">
        <w:rPr>
          <w:rFonts w:ascii="Times" w:hAnsi="Times" w:cs="Times"/>
        </w:rPr>
        <w:t>Faten</w:t>
      </w:r>
      <w:proofErr w:type="spellEnd"/>
      <w:r w:rsidRPr="00BB5825">
        <w:rPr>
          <w:rFonts w:ascii="Times" w:hAnsi="Times" w:cs="Times"/>
        </w:rPr>
        <w:t>, 2010)</w:t>
      </w:r>
      <w:r w:rsidRPr="00BB5825">
        <w:rPr>
          <w:rFonts w:ascii="Times" w:hAnsi="Times" w:cs="Times"/>
          <w:lang w:eastAsia="ja-JP"/>
        </w:rPr>
        <w:t xml:space="preserve">. This result can be explained by less items of the analysis grid available in the annual report but more developed. Those detailed information can bring more points in the total scoring. So family firms would communicate fewer items but they would more detail them. </w:t>
      </w:r>
    </w:p>
    <w:p w:rsidR="002F6338" w:rsidRPr="00BB5825" w:rsidRDefault="002F6338" w:rsidP="002F6338">
      <w:pPr>
        <w:spacing w:after="0" w:line="276" w:lineRule="auto"/>
        <w:rPr>
          <w:bCs/>
        </w:rPr>
      </w:pPr>
    </w:p>
    <w:p w:rsidR="00C26204" w:rsidRPr="00BB5825" w:rsidRDefault="00C26204" w:rsidP="002F6338">
      <w:pPr>
        <w:spacing w:after="0" w:line="276" w:lineRule="auto"/>
        <w:rPr>
          <w:bCs/>
        </w:rPr>
      </w:pPr>
      <w:r w:rsidRPr="00BB5825">
        <w:rPr>
          <w:bCs/>
        </w:rPr>
        <w:t xml:space="preserve">To complete the previous results, the matrix of confusion was elaborated from the explanatory variables of the second tested model. The results of this matrix allow to validate the discrimination of the financial communication‘s quality </w:t>
      </w:r>
    </w:p>
    <w:p w:rsidR="00C26204" w:rsidRPr="00BB5825" w:rsidRDefault="00C26204" w:rsidP="002F6338">
      <w:pPr>
        <w:spacing w:after="0" w:line="276" w:lineRule="auto"/>
        <w:rPr>
          <w:bCs/>
        </w:rPr>
      </w:pPr>
    </w:p>
    <w:p w:rsidR="00C26204" w:rsidRPr="00BB5825" w:rsidRDefault="00C26204" w:rsidP="002F6338">
      <w:pPr>
        <w:spacing w:after="0" w:line="276" w:lineRule="auto"/>
        <w:rPr>
          <w:bCs/>
        </w:rPr>
      </w:pPr>
      <w:r w:rsidRPr="00BB5825">
        <w:rPr>
          <w:bCs/>
        </w:rPr>
        <w:t>Table 9 - Matrix of confusion.</w:t>
      </w:r>
    </w:p>
    <w:p w:rsidR="00C26204" w:rsidRPr="00BB5825" w:rsidRDefault="00C26204" w:rsidP="002F6338">
      <w:pPr>
        <w:spacing w:after="0" w:line="276" w:lineRule="auto"/>
        <w:rPr>
          <w:bCs/>
        </w:rPr>
      </w:pPr>
    </w:p>
    <w:tbl>
      <w:tblPr>
        <w:tblStyle w:val="Grilledutableau"/>
        <w:tblW w:w="0" w:type="auto"/>
        <w:jc w:val="center"/>
        <w:tblLook w:val="04A0" w:firstRow="1" w:lastRow="0" w:firstColumn="1" w:lastColumn="0" w:noHBand="0" w:noVBand="1"/>
      </w:tblPr>
      <w:tblGrid>
        <w:gridCol w:w="1396"/>
        <w:gridCol w:w="843"/>
        <w:gridCol w:w="876"/>
        <w:gridCol w:w="876"/>
        <w:gridCol w:w="876"/>
      </w:tblGrid>
      <w:tr w:rsidR="00BB5825" w:rsidRPr="00AC22C0" w:rsidTr="00C26204">
        <w:trPr>
          <w:jc w:val="center"/>
        </w:trPr>
        <w:tc>
          <w:tcPr>
            <w:tcW w:w="2239" w:type="dxa"/>
            <w:gridSpan w:val="2"/>
            <w:vMerge w:val="restart"/>
          </w:tcPr>
          <w:p w:rsidR="00C26204" w:rsidRPr="00AC22C0" w:rsidRDefault="00C26204" w:rsidP="00C26204">
            <w:pPr>
              <w:spacing w:after="0" w:line="276" w:lineRule="auto"/>
              <w:jc w:val="center"/>
              <w:rPr>
                <w:bCs/>
                <w:sz w:val="20"/>
              </w:rPr>
            </w:pPr>
          </w:p>
        </w:tc>
        <w:tc>
          <w:tcPr>
            <w:tcW w:w="2628" w:type="dxa"/>
            <w:gridSpan w:val="3"/>
            <w:shd w:val="clear" w:color="auto" w:fill="D9D9D9" w:themeFill="background1" w:themeFillShade="D9"/>
            <w:vAlign w:val="center"/>
          </w:tcPr>
          <w:p w:rsidR="00C26204" w:rsidRPr="00AC22C0" w:rsidRDefault="00C26204" w:rsidP="00C26204">
            <w:pPr>
              <w:spacing w:after="0" w:line="276" w:lineRule="auto"/>
              <w:jc w:val="center"/>
              <w:rPr>
                <w:bCs/>
                <w:sz w:val="20"/>
              </w:rPr>
            </w:pPr>
            <w:r w:rsidRPr="00AC22C0">
              <w:rPr>
                <w:bCs/>
                <w:sz w:val="20"/>
              </w:rPr>
              <w:t>Classified</w:t>
            </w:r>
          </w:p>
        </w:tc>
      </w:tr>
      <w:tr w:rsidR="00BB5825" w:rsidRPr="00AC22C0" w:rsidTr="00C26204">
        <w:trPr>
          <w:jc w:val="center"/>
        </w:trPr>
        <w:tc>
          <w:tcPr>
            <w:tcW w:w="2239" w:type="dxa"/>
            <w:gridSpan w:val="2"/>
            <w:vMerge/>
          </w:tcPr>
          <w:p w:rsidR="00C26204" w:rsidRPr="00AC22C0" w:rsidRDefault="00C26204" w:rsidP="00C26204">
            <w:pPr>
              <w:spacing w:after="0" w:line="276" w:lineRule="auto"/>
              <w:jc w:val="center"/>
              <w:rPr>
                <w:bCs/>
                <w:sz w:val="20"/>
              </w:rPr>
            </w:pPr>
          </w:p>
        </w:tc>
        <w:tc>
          <w:tcPr>
            <w:tcW w:w="876" w:type="dxa"/>
          </w:tcPr>
          <w:p w:rsidR="00C26204" w:rsidRPr="00AC22C0" w:rsidRDefault="00C26204" w:rsidP="00C26204">
            <w:pPr>
              <w:spacing w:after="0" w:line="276" w:lineRule="auto"/>
              <w:jc w:val="center"/>
              <w:rPr>
                <w:bCs/>
                <w:sz w:val="20"/>
              </w:rPr>
            </w:pPr>
            <w:r w:rsidRPr="00AC22C0">
              <w:rPr>
                <w:bCs/>
                <w:sz w:val="20"/>
              </w:rPr>
              <w:t>0</w:t>
            </w:r>
          </w:p>
        </w:tc>
        <w:tc>
          <w:tcPr>
            <w:tcW w:w="876" w:type="dxa"/>
          </w:tcPr>
          <w:p w:rsidR="00C26204" w:rsidRPr="00AC22C0" w:rsidRDefault="00C26204" w:rsidP="00C26204">
            <w:pPr>
              <w:spacing w:after="0" w:line="276" w:lineRule="auto"/>
              <w:jc w:val="center"/>
              <w:rPr>
                <w:bCs/>
                <w:sz w:val="20"/>
              </w:rPr>
            </w:pPr>
            <w:r w:rsidRPr="00AC22C0">
              <w:rPr>
                <w:bCs/>
                <w:sz w:val="20"/>
              </w:rPr>
              <w:t>1</w:t>
            </w:r>
          </w:p>
        </w:tc>
        <w:tc>
          <w:tcPr>
            <w:tcW w:w="876" w:type="dxa"/>
          </w:tcPr>
          <w:p w:rsidR="00C26204" w:rsidRPr="00AC22C0" w:rsidRDefault="00C26204" w:rsidP="00C26204">
            <w:pPr>
              <w:spacing w:after="0" w:line="276" w:lineRule="auto"/>
              <w:jc w:val="center"/>
              <w:rPr>
                <w:bCs/>
                <w:sz w:val="20"/>
              </w:rPr>
            </w:pPr>
            <w:r w:rsidRPr="00AC22C0">
              <w:rPr>
                <w:bCs/>
                <w:sz w:val="20"/>
              </w:rPr>
              <w:t>Total</w:t>
            </w:r>
          </w:p>
        </w:tc>
      </w:tr>
      <w:tr w:rsidR="00BB5825" w:rsidRPr="00AC22C0" w:rsidTr="00C26204">
        <w:trPr>
          <w:jc w:val="center"/>
        </w:trPr>
        <w:tc>
          <w:tcPr>
            <w:tcW w:w="1396" w:type="dxa"/>
            <w:vMerge w:val="restart"/>
            <w:shd w:val="clear" w:color="auto" w:fill="D9D9D9" w:themeFill="background1" w:themeFillShade="D9"/>
            <w:vAlign w:val="center"/>
          </w:tcPr>
          <w:p w:rsidR="00C26204" w:rsidRPr="00AC22C0" w:rsidRDefault="00C26204" w:rsidP="00C26204">
            <w:pPr>
              <w:spacing w:after="0" w:line="276" w:lineRule="auto"/>
              <w:jc w:val="center"/>
              <w:rPr>
                <w:bCs/>
                <w:sz w:val="20"/>
              </w:rPr>
            </w:pPr>
            <w:r w:rsidRPr="00AC22C0">
              <w:rPr>
                <w:bCs/>
                <w:sz w:val="20"/>
              </w:rPr>
              <w:t>True Score</w:t>
            </w:r>
          </w:p>
        </w:tc>
        <w:tc>
          <w:tcPr>
            <w:tcW w:w="843" w:type="dxa"/>
          </w:tcPr>
          <w:p w:rsidR="00C26204" w:rsidRPr="00AC22C0" w:rsidRDefault="00C26204" w:rsidP="00C26204">
            <w:pPr>
              <w:spacing w:after="0" w:line="276" w:lineRule="auto"/>
              <w:jc w:val="center"/>
              <w:rPr>
                <w:bCs/>
                <w:sz w:val="20"/>
              </w:rPr>
            </w:pPr>
            <w:r w:rsidRPr="00AC22C0">
              <w:rPr>
                <w:bCs/>
                <w:sz w:val="20"/>
              </w:rPr>
              <w:t>O</w:t>
            </w:r>
          </w:p>
        </w:tc>
        <w:tc>
          <w:tcPr>
            <w:tcW w:w="876" w:type="dxa"/>
          </w:tcPr>
          <w:p w:rsidR="00C26204" w:rsidRPr="00AC22C0" w:rsidRDefault="00C26204" w:rsidP="00C26204">
            <w:pPr>
              <w:spacing w:after="0" w:line="276" w:lineRule="auto"/>
              <w:jc w:val="center"/>
              <w:rPr>
                <w:bCs/>
                <w:sz w:val="20"/>
              </w:rPr>
            </w:pPr>
            <w:r w:rsidRPr="00AC22C0">
              <w:rPr>
                <w:bCs/>
                <w:sz w:val="20"/>
              </w:rPr>
              <w:t>23</w:t>
            </w:r>
          </w:p>
          <w:p w:rsidR="00C26204" w:rsidRPr="00AC22C0" w:rsidRDefault="00C26204" w:rsidP="00C26204">
            <w:pPr>
              <w:spacing w:after="0" w:line="276" w:lineRule="auto"/>
              <w:jc w:val="center"/>
              <w:rPr>
                <w:bCs/>
                <w:sz w:val="20"/>
              </w:rPr>
            </w:pPr>
            <w:r w:rsidRPr="00AC22C0">
              <w:rPr>
                <w:bCs/>
                <w:sz w:val="20"/>
              </w:rPr>
              <w:t>79.31</w:t>
            </w:r>
          </w:p>
        </w:tc>
        <w:tc>
          <w:tcPr>
            <w:tcW w:w="876" w:type="dxa"/>
          </w:tcPr>
          <w:p w:rsidR="00C26204" w:rsidRPr="00AC22C0" w:rsidRDefault="00C26204" w:rsidP="00C26204">
            <w:pPr>
              <w:spacing w:after="0" w:line="276" w:lineRule="auto"/>
              <w:jc w:val="center"/>
              <w:rPr>
                <w:bCs/>
                <w:sz w:val="20"/>
              </w:rPr>
            </w:pPr>
            <w:r w:rsidRPr="00AC22C0">
              <w:rPr>
                <w:bCs/>
                <w:sz w:val="20"/>
              </w:rPr>
              <w:t>6</w:t>
            </w:r>
          </w:p>
          <w:p w:rsidR="00C26204" w:rsidRPr="00AC22C0" w:rsidRDefault="00C26204" w:rsidP="00C26204">
            <w:pPr>
              <w:spacing w:after="0" w:line="276" w:lineRule="auto"/>
              <w:jc w:val="center"/>
              <w:rPr>
                <w:bCs/>
                <w:sz w:val="20"/>
              </w:rPr>
            </w:pPr>
            <w:r w:rsidRPr="00AC22C0">
              <w:rPr>
                <w:bCs/>
                <w:sz w:val="20"/>
              </w:rPr>
              <w:t>20.69</w:t>
            </w:r>
          </w:p>
        </w:tc>
        <w:tc>
          <w:tcPr>
            <w:tcW w:w="876" w:type="dxa"/>
          </w:tcPr>
          <w:p w:rsidR="00C26204" w:rsidRPr="00AC22C0" w:rsidRDefault="00C26204" w:rsidP="00C26204">
            <w:pPr>
              <w:spacing w:after="0" w:line="276" w:lineRule="auto"/>
              <w:jc w:val="center"/>
              <w:rPr>
                <w:bCs/>
                <w:sz w:val="20"/>
              </w:rPr>
            </w:pPr>
            <w:r w:rsidRPr="00AC22C0">
              <w:rPr>
                <w:bCs/>
                <w:sz w:val="20"/>
              </w:rPr>
              <w:t>29</w:t>
            </w:r>
            <w:r w:rsidRPr="00AC22C0">
              <w:rPr>
                <w:bCs/>
                <w:sz w:val="20"/>
              </w:rPr>
              <w:br/>
              <w:t>100.00</w:t>
            </w:r>
          </w:p>
        </w:tc>
      </w:tr>
      <w:tr w:rsidR="00BB5825" w:rsidRPr="00AC22C0" w:rsidTr="00C26204">
        <w:trPr>
          <w:jc w:val="center"/>
        </w:trPr>
        <w:tc>
          <w:tcPr>
            <w:tcW w:w="1396" w:type="dxa"/>
            <w:vMerge/>
            <w:shd w:val="clear" w:color="auto" w:fill="D9D9D9" w:themeFill="background1" w:themeFillShade="D9"/>
          </w:tcPr>
          <w:p w:rsidR="00C26204" w:rsidRPr="00AC22C0" w:rsidRDefault="00C26204" w:rsidP="002F6338">
            <w:pPr>
              <w:spacing w:after="0" w:line="276" w:lineRule="auto"/>
              <w:rPr>
                <w:bCs/>
                <w:sz w:val="20"/>
              </w:rPr>
            </w:pPr>
          </w:p>
        </w:tc>
        <w:tc>
          <w:tcPr>
            <w:tcW w:w="843" w:type="dxa"/>
          </w:tcPr>
          <w:p w:rsidR="00C26204" w:rsidRPr="00AC22C0" w:rsidRDefault="00C26204" w:rsidP="00C26204">
            <w:pPr>
              <w:spacing w:after="0" w:line="276" w:lineRule="auto"/>
              <w:jc w:val="center"/>
              <w:rPr>
                <w:bCs/>
                <w:sz w:val="20"/>
              </w:rPr>
            </w:pPr>
            <w:r w:rsidRPr="00AC22C0">
              <w:rPr>
                <w:bCs/>
                <w:sz w:val="20"/>
              </w:rPr>
              <w:t>1</w:t>
            </w:r>
          </w:p>
        </w:tc>
        <w:tc>
          <w:tcPr>
            <w:tcW w:w="876" w:type="dxa"/>
          </w:tcPr>
          <w:p w:rsidR="00C26204" w:rsidRPr="00AC22C0" w:rsidRDefault="00C26204" w:rsidP="00C26204">
            <w:pPr>
              <w:spacing w:after="0" w:line="276" w:lineRule="auto"/>
              <w:jc w:val="center"/>
              <w:rPr>
                <w:bCs/>
                <w:sz w:val="20"/>
              </w:rPr>
            </w:pPr>
            <w:r w:rsidRPr="00AC22C0">
              <w:rPr>
                <w:bCs/>
                <w:sz w:val="20"/>
              </w:rPr>
              <w:t>9</w:t>
            </w:r>
            <w:r w:rsidRPr="00AC22C0">
              <w:rPr>
                <w:bCs/>
                <w:sz w:val="20"/>
              </w:rPr>
              <w:br/>
              <w:t>25.00</w:t>
            </w:r>
          </w:p>
        </w:tc>
        <w:tc>
          <w:tcPr>
            <w:tcW w:w="876" w:type="dxa"/>
          </w:tcPr>
          <w:p w:rsidR="00C26204" w:rsidRPr="00AC22C0" w:rsidRDefault="00C26204" w:rsidP="00C26204">
            <w:pPr>
              <w:spacing w:after="0" w:line="276" w:lineRule="auto"/>
              <w:jc w:val="center"/>
              <w:rPr>
                <w:bCs/>
                <w:sz w:val="20"/>
              </w:rPr>
            </w:pPr>
            <w:r w:rsidRPr="00AC22C0">
              <w:rPr>
                <w:bCs/>
                <w:sz w:val="20"/>
              </w:rPr>
              <w:t>27</w:t>
            </w:r>
            <w:r w:rsidRPr="00AC22C0">
              <w:rPr>
                <w:bCs/>
                <w:sz w:val="20"/>
              </w:rPr>
              <w:br/>
              <w:t>75.00</w:t>
            </w:r>
          </w:p>
        </w:tc>
        <w:tc>
          <w:tcPr>
            <w:tcW w:w="876" w:type="dxa"/>
          </w:tcPr>
          <w:p w:rsidR="00C26204" w:rsidRPr="00AC22C0" w:rsidRDefault="00C26204" w:rsidP="00C26204">
            <w:pPr>
              <w:spacing w:after="0" w:line="276" w:lineRule="auto"/>
              <w:jc w:val="center"/>
              <w:rPr>
                <w:bCs/>
                <w:sz w:val="20"/>
              </w:rPr>
            </w:pPr>
            <w:r w:rsidRPr="00AC22C0">
              <w:rPr>
                <w:bCs/>
                <w:sz w:val="20"/>
              </w:rPr>
              <w:t>36</w:t>
            </w:r>
            <w:r w:rsidRPr="00AC22C0">
              <w:rPr>
                <w:bCs/>
                <w:sz w:val="20"/>
              </w:rPr>
              <w:br/>
              <w:t>100.00</w:t>
            </w:r>
          </w:p>
        </w:tc>
      </w:tr>
      <w:tr w:rsidR="00BB5825" w:rsidRPr="00AC22C0" w:rsidTr="00C26204">
        <w:trPr>
          <w:jc w:val="center"/>
        </w:trPr>
        <w:tc>
          <w:tcPr>
            <w:tcW w:w="1396" w:type="dxa"/>
            <w:vMerge/>
            <w:shd w:val="clear" w:color="auto" w:fill="D9D9D9" w:themeFill="background1" w:themeFillShade="D9"/>
          </w:tcPr>
          <w:p w:rsidR="00C26204" w:rsidRPr="00AC22C0" w:rsidRDefault="00C26204" w:rsidP="002F6338">
            <w:pPr>
              <w:spacing w:after="0" w:line="276" w:lineRule="auto"/>
              <w:rPr>
                <w:bCs/>
                <w:sz w:val="20"/>
              </w:rPr>
            </w:pPr>
          </w:p>
        </w:tc>
        <w:tc>
          <w:tcPr>
            <w:tcW w:w="843" w:type="dxa"/>
          </w:tcPr>
          <w:p w:rsidR="00C26204" w:rsidRPr="00AC22C0" w:rsidRDefault="00C26204" w:rsidP="00C26204">
            <w:pPr>
              <w:spacing w:after="0" w:line="276" w:lineRule="auto"/>
              <w:jc w:val="center"/>
              <w:rPr>
                <w:bCs/>
                <w:sz w:val="20"/>
              </w:rPr>
            </w:pPr>
            <w:r w:rsidRPr="00AC22C0">
              <w:rPr>
                <w:bCs/>
                <w:sz w:val="20"/>
              </w:rPr>
              <w:t>Total</w:t>
            </w:r>
          </w:p>
        </w:tc>
        <w:tc>
          <w:tcPr>
            <w:tcW w:w="876" w:type="dxa"/>
          </w:tcPr>
          <w:p w:rsidR="00C26204" w:rsidRPr="00AC22C0" w:rsidRDefault="00C26204" w:rsidP="00C26204">
            <w:pPr>
              <w:spacing w:after="0" w:line="276" w:lineRule="auto"/>
              <w:jc w:val="center"/>
              <w:rPr>
                <w:bCs/>
                <w:sz w:val="20"/>
              </w:rPr>
            </w:pPr>
            <w:r w:rsidRPr="00AC22C0">
              <w:rPr>
                <w:bCs/>
                <w:sz w:val="20"/>
              </w:rPr>
              <w:t>32</w:t>
            </w:r>
            <w:r w:rsidRPr="00AC22C0">
              <w:rPr>
                <w:bCs/>
                <w:sz w:val="20"/>
              </w:rPr>
              <w:br/>
              <w:t>49.23</w:t>
            </w:r>
          </w:p>
        </w:tc>
        <w:tc>
          <w:tcPr>
            <w:tcW w:w="876" w:type="dxa"/>
          </w:tcPr>
          <w:p w:rsidR="00C26204" w:rsidRPr="00AC22C0" w:rsidRDefault="00C26204" w:rsidP="00C26204">
            <w:pPr>
              <w:spacing w:after="0" w:line="276" w:lineRule="auto"/>
              <w:jc w:val="center"/>
              <w:rPr>
                <w:bCs/>
                <w:sz w:val="20"/>
              </w:rPr>
            </w:pPr>
            <w:r w:rsidRPr="00AC22C0">
              <w:rPr>
                <w:bCs/>
                <w:sz w:val="20"/>
              </w:rPr>
              <w:t>33</w:t>
            </w:r>
            <w:r w:rsidRPr="00AC22C0">
              <w:rPr>
                <w:bCs/>
                <w:sz w:val="20"/>
              </w:rPr>
              <w:br/>
              <w:t>50.77</w:t>
            </w:r>
          </w:p>
        </w:tc>
        <w:tc>
          <w:tcPr>
            <w:tcW w:w="876" w:type="dxa"/>
          </w:tcPr>
          <w:p w:rsidR="00C26204" w:rsidRPr="00AC22C0" w:rsidRDefault="00C26204" w:rsidP="00C26204">
            <w:pPr>
              <w:spacing w:after="0" w:line="276" w:lineRule="auto"/>
              <w:jc w:val="center"/>
              <w:rPr>
                <w:bCs/>
                <w:sz w:val="20"/>
              </w:rPr>
            </w:pPr>
            <w:r w:rsidRPr="00AC22C0">
              <w:rPr>
                <w:bCs/>
                <w:sz w:val="20"/>
              </w:rPr>
              <w:t>65</w:t>
            </w:r>
            <w:r w:rsidRPr="00AC22C0">
              <w:rPr>
                <w:bCs/>
                <w:sz w:val="20"/>
              </w:rPr>
              <w:br/>
              <w:t>100.00</w:t>
            </w:r>
          </w:p>
        </w:tc>
      </w:tr>
    </w:tbl>
    <w:p w:rsidR="00C26204" w:rsidRPr="00BB5825" w:rsidRDefault="00C26204" w:rsidP="002F6338">
      <w:pPr>
        <w:spacing w:after="0" w:line="276" w:lineRule="auto"/>
        <w:rPr>
          <w:bCs/>
        </w:rPr>
      </w:pPr>
    </w:p>
    <w:p w:rsidR="00C26204" w:rsidRPr="00BB5825" w:rsidRDefault="00716408" w:rsidP="004828B5">
      <w:pPr>
        <w:spacing w:after="0" w:line="276" w:lineRule="auto"/>
        <w:rPr>
          <w:rFonts w:ascii="Times" w:hAnsi="Times" w:cs="Times"/>
        </w:rPr>
      </w:pPr>
      <w:r w:rsidRPr="00BB5825">
        <w:rPr>
          <w:rFonts w:ascii="Times" w:hAnsi="Times" w:cs="Times"/>
        </w:rPr>
        <w:t xml:space="preserve">Thanks to this matrix, we can find that only 15 companies appear as badly classified on the basis of the discriminating variables inserted into the </w:t>
      </w:r>
      <w:proofErr w:type="spellStart"/>
      <w:r w:rsidRPr="00BB5825">
        <w:rPr>
          <w:rFonts w:ascii="Times" w:hAnsi="Times" w:cs="Times"/>
        </w:rPr>
        <w:t>logit</w:t>
      </w:r>
      <w:proofErr w:type="spellEnd"/>
      <w:r w:rsidRPr="00BB5825">
        <w:rPr>
          <w:rFonts w:ascii="Times" w:hAnsi="Times" w:cs="Times"/>
        </w:rPr>
        <w:t xml:space="preserve"> model. It means that for 77 % of the companies of the sample, there is a match between the theoretical classification based on the </w:t>
      </w:r>
      <w:proofErr w:type="spellStart"/>
      <w:r w:rsidRPr="00BB5825">
        <w:rPr>
          <w:rFonts w:ascii="Times" w:hAnsi="Times" w:cs="Times"/>
        </w:rPr>
        <w:t>logit</w:t>
      </w:r>
      <w:proofErr w:type="spellEnd"/>
      <w:r w:rsidRPr="00BB5825">
        <w:rPr>
          <w:rFonts w:ascii="Times" w:hAnsi="Times" w:cs="Times"/>
        </w:rPr>
        <w:t xml:space="preserve"> model and the classification observed during the analysis of annual reports. This percentage of well classified companies is completely acceptable and valid the discriminating capacity of the explanatory variables.</w:t>
      </w:r>
    </w:p>
    <w:p w:rsidR="00716408" w:rsidRPr="00BB5825" w:rsidRDefault="00716408" w:rsidP="004828B5">
      <w:pPr>
        <w:spacing w:after="0" w:line="276" w:lineRule="auto"/>
        <w:rPr>
          <w:rStyle w:val="transpan"/>
          <w:shd w:val="clear" w:color="auto" w:fill="EFEFEF"/>
        </w:rPr>
      </w:pPr>
    </w:p>
    <w:p w:rsidR="00A8121B" w:rsidRPr="00F228A3" w:rsidRDefault="00A8121B" w:rsidP="004828B5">
      <w:pPr>
        <w:spacing w:after="0" w:line="276" w:lineRule="auto"/>
        <w:rPr>
          <w:bCs/>
        </w:rPr>
      </w:pPr>
      <w:r w:rsidRPr="00F228A3">
        <w:rPr>
          <w:bCs/>
        </w:rPr>
        <w:t>Conclusion</w:t>
      </w:r>
    </w:p>
    <w:p w:rsidR="00A8121B" w:rsidRPr="00F228A3" w:rsidRDefault="00A8121B" w:rsidP="004828B5">
      <w:pPr>
        <w:spacing w:after="0" w:line="276" w:lineRule="auto"/>
        <w:rPr>
          <w:bCs/>
        </w:rPr>
      </w:pPr>
    </w:p>
    <w:p w:rsidR="005A2350" w:rsidRPr="00F228A3" w:rsidRDefault="005A2350" w:rsidP="00F228A3">
      <w:pPr>
        <w:spacing w:after="0" w:line="276" w:lineRule="auto"/>
        <w:rPr>
          <w:bCs/>
        </w:rPr>
      </w:pPr>
      <w:r w:rsidRPr="00F228A3">
        <w:rPr>
          <w:bCs/>
        </w:rPr>
        <w:t>Th</w:t>
      </w:r>
      <w:r w:rsidR="00CE383F" w:rsidRPr="00F228A3">
        <w:rPr>
          <w:bCs/>
        </w:rPr>
        <w:t xml:space="preserve">e aim of this paper was double. First, we wanted to </w:t>
      </w:r>
      <w:r w:rsidRPr="00F228A3">
        <w:rPr>
          <w:bCs/>
        </w:rPr>
        <w:t xml:space="preserve">study financial communication’s quality in the annual report of blue chips and small caps quoted on Euronext Brussels. </w:t>
      </w:r>
      <w:r w:rsidR="00CE383F" w:rsidRPr="00F228A3">
        <w:rPr>
          <w:bCs/>
        </w:rPr>
        <w:t xml:space="preserve">Then, we wanted to </w:t>
      </w:r>
      <w:r w:rsidRPr="00F228A3">
        <w:rPr>
          <w:bCs/>
        </w:rPr>
        <w:t>identify ownership structure variables which influence this quality.</w:t>
      </w:r>
    </w:p>
    <w:p w:rsidR="005A2350" w:rsidRPr="00F228A3" w:rsidRDefault="005A2350" w:rsidP="00F228A3">
      <w:pPr>
        <w:spacing w:after="0" w:line="276" w:lineRule="auto"/>
        <w:rPr>
          <w:bCs/>
        </w:rPr>
      </w:pPr>
      <w:r w:rsidRPr="00F228A3">
        <w:rPr>
          <w:bCs/>
        </w:rPr>
        <w:t xml:space="preserve">The ownership structure was measured by the way of capital dilution and concentration, and also controls variables such as size, performance and level of debts. </w:t>
      </w:r>
    </w:p>
    <w:p w:rsidR="005A2350" w:rsidRPr="00F228A3" w:rsidRDefault="005A2350" w:rsidP="00F228A3">
      <w:pPr>
        <w:spacing w:after="0" w:line="276" w:lineRule="auto"/>
        <w:rPr>
          <w:bCs/>
        </w:rPr>
      </w:pPr>
      <w:r w:rsidRPr="00F228A3">
        <w:rPr>
          <w:bCs/>
        </w:rPr>
        <w:t xml:space="preserve">The results of our </w:t>
      </w:r>
      <w:proofErr w:type="spellStart"/>
      <w:r w:rsidRPr="00F228A3">
        <w:rPr>
          <w:bCs/>
        </w:rPr>
        <w:t>Logit</w:t>
      </w:r>
      <w:proofErr w:type="spellEnd"/>
      <w:r w:rsidRPr="00F228A3">
        <w:rPr>
          <w:bCs/>
        </w:rPr>
        <w:t xml:space="preserve"> model show that a firm has more chance of having a high quality communication in its annual report if:</w:t>
      </w:r>
    </w:p>
    <w:p w:rsidR="005A2350" w:rsidRPr="00F228A3" w:rsidRDefault="005A2350" w:rsidP="00F228A3">
      <w:pPr>
        <w:spacing w:after="0" w:line="276" w:lineRule="auto"/>
        <w:rPr>
          <w:bCs/>
        </w:rPr>
      </w:pPr>
      <w:proofErr w:type="gramStart"/>
      <w:r w:rsidRPr="00F228A3">
        <w:rPr>
          <w:bCs/>
        </w:rPr>
        <w:t>the</w:t>
      </w:r>
      <w:proofErr w:type="gramEnd"/>
      <w:r w:rsidRPr="00F228A3">
        <w:rPr>
          <w:bCs/>
        </w:rPr>
        <w:t xml:space="preserve"> market capitalization is high</w:t>
      </w:r>
    </w:p>
    <w:p w:rsidR="005A2350" w:rsidRPr="00F228A3" w:rsidRDefault="005A2350" w:rsidP="00F228A3">
      <w:pPr>
        <w:spacing w:after="0" w:line="276" w:lineRule="auto"/>
        <w:rPr>
          <w:bCs/>
        </w:rPr>
      </w:pPr>
      <w:proofErr w:type="gramStart"/>
      <w:r w:rsidRPr="00F228A3">
        <w:rPr>
          <w:bCs/>
        </w:rPr>
        <w:t>the</w:t>
      </w:r>
      <w:proofErr w:type="gramEnd"/>
      <w:r w:rsidRPr="00F228A3">
        <w:rPr>
          <w:bCs/>
        </w:rPr>
        <w:t xml:space="preserve"> level of debt is high</w:t>
      </w:r>
    </w:p>
    <w:p w:rsidR="005A2350" w:rsidRPr="00F228A3" w:rsidRDefault="005A2350" w:rsidP="00F228A3">
      <w:pPr>
        <w:spacing w:after="0" w:line="276" w:lineRule="auto"/>
        <w:rPr>
          <w:bCs/>
        </w:rPr>
      </w:pPr>
      <w:proofErr w:type="gramStart"/>
      <w:r w:rsidRPr="00F228A3">
        <w:rPr>
          <w:bCs/>
        </w:rPr>
        <w:t>institutional</w:t>
      </w:r>
      <w:proofErr w:type="gramEnd"/>
      <w:r w:rsidRPr="00F228A3">
        <w:rPr>
          <w:bCs/>
        </w:rPr>
        <w:t xml:space="preserve"> investors have a high part of the capital</w:t>
      </w:r>
    </w:p>
    <w:p w:rsidR="005A2350" w:rsidRPr="00F228A3" w:rsidRDefault="005A2350" w:rsidP="00F228A3">
      <w:pPr>
        <w:spacing w:after="0" w:line="276" w:lineRule="auto"/>
        <w:rPr>
          <w:bCs/>
        </w:rPr>
      </w:pPr>
      <w:proofErr w:type="gramStart"/>
      <w:r w:rsidRPr="00F228A3">
        <w:rPr>
          <w:bCs/>
        </w:rPr>
        <w:lastRenderedPageBreak/>
        <w:t>families</w:t>
      </w:r>
      <w:proofErr w:type="gramEnd"/>
      <w:r w:rsidRPr="00F228A3">
        <w:rPr>
          <w:bCs/>
        </w:rPr>
        <w:t xml:space="preserve"> have a high part of the capital</w:t>
      </w:r>
    </w:p>
    <w:p w:rsidR="00CE383F" w:rsidRPr="00F228A3" w:rsidRDefault="00CE383F" w:rsidP="00F228A3">
      <w:pPr>
        <w:spacing w:after="0" w:line="276" w:lineRule="auto"/>
        <w:rPr>
          <w:bCs/>
        </w:rPr>
      </w:pPr>
    </w:p>
    <w:p w:rsidR="0041384A" w:rsidRPr="00F228A3" w:rsidRDefault="0041384A" w:rsidP="00F228A3">
      <w:pPr>
        <w:spacing w:after="0" w:line="276" w:lineRule="auto"/>
        <w:rPr>
          <w:bCs/>
        </w:rPr>
      </w:pPr>
      <w:r w:rsidRPr="00F228A3">
        <w:rPr>
          <w:bCs/>
        </w:rPr>
        <w:t>The originality of this paper was to study firms quoted on the regulated markets of Brussels despite other Belgian studies focused on unregulated markets.</w:t>
      </w:r>
    </w:p>
    <w:p w:rsidR="0041384A" w:rsidRPr="00F228A3" w:rsidRDefault="0041384A" w:rsidP="00F228A3">
      <w:pPr>
        <w:spacing w:after="0" w:line="276" w:lineRule="auto"/>
        <w:rPr>
          <w:bCs/>
        </w:rPr>
      </w:pPr>
      <w:r w:rsidRPr="00F228A3">
        <w:rPr>
          <w:bCs/>
        </w:rPr>
        <w:t>Then, the way of evaluating the quality of financial communication</w:t>
      </w:r>
      <w:r w:rsidR="00254645" w:rsidRPr="00F228A3">
        <w:rPr>
          <w:bCs/>
        </w:rPr>
        <w:t xml:space="preserve"> is also original because items of the analysis grid are weighted. </w:t>
      </w:r>
    </w:p>
    <w:p w:rsidR="00CE383F" w:rsidRPr="00F228A3" w:rsidRDefault="00CE383F" w:rsidP="00F228A3">
      <w:pPr>
        <w:spacing w:after="0" w:line="276" w:lineRule="auto"/>
        <w:rPr>
          <w:bCs/>
        </w:rPr>
      </w:pPr>
    </w:p>
    <w:p w:rsidR="00254645" w:rsidRPr="00F228A3" w:rsidRDefault="00254645" w:rsidP="00F228A3">
      <w:pPr>
        <w:spacing w:after="0" w:line="276" w:lineRule="auto"/>
        <w:rPr>
          <w:bCs/>
        </w:rPr>
      </w:pPr>
      <w:r w:rsidRPr="00F228A3">
        <w:rPr>
          <w:bCs/>
        </w:rPr>
        <w:t>All studies suffer from limits. In this paper, we can point out the scoring technique and the subjectivity in giving 1 or 2 point for an item.</w:t>
      </w:r>
    </w:p>
    <w:p w:rsidR="00CE383F" w:rsidRPr="00F228A3" w:rsidRDefault="00CE383F" w:rsidP="00F228A3">
      <w:pPr>
        <w:spacing w:after="0" w:line="276" w:lineRule="auto"/>
        <w:rPr>
          <w:bCs/>
        </w:rPr>
      </w:pPr>
    </w:p>
    <w:p w:rsidR="00254645" w:rsidRPr="00F228A3" w:rsidRDefault="00254645" w:rsidP="00F228A3">
      <w:pPr>
        <w:spacing w:after="0" w:line="276" w:lineRule="auto"/>
        <w:rPr>
          <w:bCs/>
        </w:rPr>
      </w:pPr>
      <w:r w:rsidRPr="00F228A3">
        <w:rPr>
          <w:bCs/>
        </w:rPr>
        <w:t>In future researches we could study more in depth the positive impact of family ownership highlighted in this paper and we could enlarge the sample to midcaps.</w:t>
      </w:r>
    </w:p>
    <w:p w:rsidR="00254645" w:rsidRPr="00F228A3" w:rsidRDefault="00254645" w:rsidP="00F228A3">
      <w:pPr>
        <w:spacing w:after="0" w:line="276" w:lineRule="auto"/>
        <w:rPr>
          <w:bCs/>
        </w:rPr>
      </w:pPr>
    </w:p>
    <w:p w:rsidR="0041384A" w:rsidRDefault="00CE383F" w:rsidP="00F228A3">
      <w:pPr>
        <w:spacing w:after="0" w:line="276" w:lineRule="auto"/>
        <w:rPr>
          <w:bCs/>
        </w:rPr>
      </w:pPr>
      <w:r w:rsidRPr="00F228A3">
        <w:rPr>
          <w:bCs/>
        </w:rPr>
        <w:t>References</w:t>
      </w:r>
    </w:p>
    <w:p w:rsidR="0029246A" w:rsidRPr="001B41B5" w:rsidRDefault="0029246A" w:rsidP="00F228A3">
      <w:pPr>
        <w:autoSpaceDE w:val="0"/>
        <w:autoSpaceDN w:val="0"/>
        <w:adjustRightInd w:val="0"/>
        <w:spacing w:after="0" w:line="240" w:lineRule="auto"/>
        <w:rPr>
          <w:rFonts w:ascii="Times" w:hAnsi="Times" w:cs="Times"/>
        </w:rPr>
      </w:pP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Abdelsalam</w:t>
      </w:r>
      <w:proofErr w:type="spellEnd"/>
      <w:r w:rsidRPr="001B41B5">
        <w:rPr>
          <w:rFonts w:ascii="Times" w:hAnsi="Times" w:cs="Times"/>
        </w:rPr>
        <w:t xml:space="preserve">, O. H., Bryant, S. M. &amp; Street, D. L. (2007), “An examination of the comprehensiveness of corporate internet reporting provided by London-listed companies”, </w:t>
      </w:r>
      <w:r w:rsidRPr="001B41B5">
        <w:rPr>
          <w:rFonts w:ascii="Times" w:hAnsi="Times" w:cs="Times"/>
          <w:i/>
          <w:iCs/>
        </w:rPr>
        <w:t>Journal of International Accounting Research</w:t>
      </w:r>
      <w:r w:rsidRPr="001B41B5">
        <w:rPr>
          <w:rFonts w:ascii="Times" w:hAnsi="Times" w:cs="Times"/>
        </w:rPr>
        <w:t>, vol. 6, n° 2, 33 p.</w:t>
      </w:r>
    </w:p>
    <w:p w:rsidR="0029246A" w:rsidRPr="00A57AAB" w:rsidRDefault="0029246A" w:rsidP="00A57AAB">
      <w:pPr>
        <w:autoSpaceDE w:val="0"/>
        <w:autoSpaceDN w:val="0"/>
        <w:spacing w:before="100" w:beforeAutospacing="1" w:after="100" w:afterAutospacing="1" w:line="240" w:lineRule="auto"/>
        <w:rPr>
          <w:rFonts w:ascii="Times" w:hAnsi="Times" w:cs="Times"/>
        </w:rPr>
      </w:pPr>
      <w:r w:rsidRPr="00A57AAB">
        <w:rPr>
          <w:rFonts w:ascii="Times" w:hAnsi="Times" w:cs="Times"/>
        </w:rPr>
        <w:t>Agrawal, A.</w:t>
      </w:r>
      <w:proofErr w:type="gramStart"/>
      <w:r w:rsidRPr="00A57AAB">
        <w:rPr>
          <w:rFonts w:ascii="Times" w:hAnsi="Times" w:cs="Times"/>
        </w:rPr>
        <w:t>,&amp;</w:t>
      </w:r>
      <w:proofErr w:type="gramEnd"/>
      <w:r w:rsidRPr="00A57AAB">
        <w:rPr>
          <w:rFonts w:ascii="Times" w:hAnsi="Times" w:cs="Times"/>
        </w:rPr>
        <w:t xml:space="preserve"> </w:t>
      </w:r>
      <w:proofErr w:type="spellStart"/>
      <w:r w:rsidRPr="00A57AAB">
        <w:rPr>
          <w:rFonts w:ascii="Times" w:hAnsi="Times" w:cs="Times"/>
        </w:rPr>
        <w:t>Mandelker</w:t>
      </w:r>
      <w:proofErr w:type="spellEnd"/>
      <w:r w:rsidRPr="00A57AAB">
        <w:rPr>
          <w:rFonts w:ascii="Times" w:hAnsi="Times" w:cs="Times"/>
        </w:rPr>
        <w:t xml:space="preserve">,. G., (1990), « Large Shareholders and the </w:t>
      </w:r>
      <w:proofErr w:type="spellStart"/>
      <w:r w:rsidRPr="00A57AAB">
        <w:rPr>
          <w:rFonts w:ascii="Times" w:hAnsi="Times" w:cs="Times"/>
        </w:rPr>
        <w:t>Monotoring</w:t>
      </w:r>
      <w:proofErr w:type="spellEnd"/>
      <w:r w:rsidRPr="00A57AAB">
        <w:rPr>
          <w:rFonts w:ascii="Times" w:hAnsi="Times" w:cs="Times"/>
        </w:rPr>
        <w:t xml:space="preserve"> of Managers, the Case of Antitakeover Charter Amendments. », </w:t>
      </w:r>
      <w:r w:rsidRPr="00A57AAB">
        <w:rPr>
          <w:rFonts w:ascii="Times" w:hAnsi="Times" w:cs="Times"/>
          <w:i/>
          <w:iCs/>
        </w:rPr>
        <w:t xml:space="preserve">Journal of Financial and </w:t>
      </w:r>
      <w:proofErr w:type="spellStart"/>
      <w:r w:rsidRPr="00A57AAB">
        <w:rPr>
          <w:rFonts w:ascii="Times" w:hAnsi="Times" w:cs="Times"/>
          <w:i/>
          <w:iCs/>
        </w:rPr>
        <w:t>Quantative</w:t>
      </w:r>
      <w:proofErr w:type="spellEnd"/>
      <w:r w:rsidRPr="00A57AAB">
        <w:rPr>
          <w:rFonts w:ascii="Times" w:hAnsi="Times" w:cs="Times"/>
          <w:i/>
          <w:iCs/>
        </w:rPr>
        <w:t xml:space="preserve"> Analysis</w:t>
      </w:r>
      <w:r w:rsidRPr="00A57AAB">
        <w:rPr>
          <w:rFonts w:ascii="Times" w:hAnsi="Times" w:cs="Times"/>
        </w:rPr>
        <w:t xml:space="preserve">, </w:t>
      </w:r>
      <w:proofErr w:type="spellStart"/>
      <w:r w:rsidRPr="00A57AAB">
        <w:rPr>
          <w:rFonts w:ascii="Times" w:hAnsi="Times" w:cs="Times"/>
        </w:rPr>
        <w:t>Vol</w:t>
      </w:r>
      <w:proofErr w:type="spellEnd"/>
      <w:r w:rsidRPr="00A57AAB">
        <w:rPr>
          <w:rFonts w:ascii="Times" w:hAnsi="Times" w:cs="Times"/>
        </w:rPr>
        <w:t xml:space="preserve"> 25, n°2, pp. 143-167</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proofErr w:type="gramStart"/>
      <w:r w:rsidRPr="001B41B5">
        <w:rPr>
          <w:rFonts w:ascii="Times" w:hAnsi="Times" w:cs="Times"/>
        </w:rPr>
        <w:t>Akhtaruddin</w:t>
      </w:r>
      <w:proofErr w:type="spellEnd"/>
      <w:r w:rsidRPr="001B41B5">
        <w:rPr>
          <w:rFonts w:ascii="Times" w:hAnsi="Times" w:cs="Times"/>
        </w:rPr>
        <w:t xml:space="preserve">, M., Hossain, M.A., Hossain, M., &amp; Yao, L. (2009), « Corporate governance and voluntary disclosure in corporate annual reports of Malaysian listed firms », </w:t>
      </w:r>
      <w:r w:rsidRPr="001B41B5">
        <w:rPr>
          <w:rFonts w:ascii="Times" w:hAnsi="Times" w:cs="Times"/>
          <w:i/>
        </w:rPr>
        <w:t>Jamar</w:t>
      </w:r>
      <w:r w:rsidRPr="001B41B5">
        <w:rPr>
          <w:rFonts w:ascii="Times" w:hAnsi="Times" w:cs="Times"/>
        </w:rPr>
        <w:t>, 7 (1), pp.1-19.</w:t>
      </w:r>
      <w:proofErr w:type="gramEnd"/>
      <w:r w:rsidRPr="001B41B5">
        <w:rPr>
          <w:rFonts w:ascii="Times" w:hAnsi="Times" w:cs="Times"/>
        </w:rPr>
        <w:t xml:space="preserve"> </w:t>
      </w:r>
    </w:p>
    <w:p w:rsidR="0029246A" w:rsidRPr="00A57AAB" w:rsidRDefault="0029246A" w:rsidP="00A57AAB">
      <w:pPr>
        <w:autoSpaceDE w:val="0"/>
        <w:autoSpaceDN w:val="0"/>
        <w:spacing w:before="100" w:beforeAutospacing="1" w:after="100" w:afterAutospacing="1" w:line="240" w:lineRule="auto"/>
        <w:rPr>
          <w:rFonts w:ascii="Times" w:hAnsi="Times" w:cs="Times"/>
        </w:rPr>
      </w:pPr>
      <w:r w:rsidRPr="00A57AAB">
        <w:rPr>
          <w:rFonts w:ascii="Times" w:hAnsi="Times" w:cs="Times"/>
        </w:rPr>
        <w:t>Ali, A., Chen, T.Y.</w:t>
      </w:r>
      <w:proofErr w:type="gramStart"/>
      <w:r w:rsidRPr="00A57AAB">
        <w:rPr>
          <w:rFonts w:ascii="Times" w:hAnsi="Times" w:cs="Times"/>
        </w:rPr>
        <w:t>,&amp;</w:t>
      </w:r>
      <w:proofErr w:type="spellStart"/>
      <w:proofErr w:type="gramEnd"/>
      <w:r w:rsidRPr="00A57AAB">
        <w:rPr>
          <w:rFonts w:ascii="Times" w:hAnsi="Times" w:cs="Times"/>
        </w:rPr>
        <w:t>Radhakrishnan</w:t>
      </w:r>
      <w:proofErr w:type="spellEnd"/>
      <w:r w:rsidRPr="00A57AAB">
        <w:rPr>
          <w:rFonts w:ascii="Times" w:hAnsi="Times" w:cs="Times"/>
        </w:rPr>
        <w:t>, S., (2007), « Corporate disclosures by family firms », Journal of Accounting &amp; Economics, vol. 44 (1/2), pp. 238-286.</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Almilia</w:t>
      </w:r>
      <w:proofErr w:type="spellEnd"/>
      <w:r w:rsidRPr="001B41B5">
        <w:rPr>
          <w:rFonts w:ascii="Times" w:hAnsi="Times" w:cs="Times"/>
        </w:rPr>
        <w:t xml:space="preserve">, L. (2009a), “An Empirical Study of Factors Influencing internet Financial and Sustainability Reporting in Indonesia Stock Exchange”, </w:t>
      </w:r>
      <w:r w:rsidRPr="001B41B5">
        <w:rPr>
          <w:rFonts w:ascii="Times" w:hAnsi="Times" w:cs="Times"/>
          <w:i/>
          <w:iCs/>
        </w:rPr>
        <w:t>Working paper</w:t>
      </w:r>
      <w:r w:rsidRPr="001B41B5">
        <w:rPr>
          <w:rFonts w:ascii="Times" w:hAnsi="Times" w:cs="Times"/>
        </w:rPr>
        <w:t xml:space="preserve">, 21 p. Available at </w:t>
      </w:r>
      <w:hyperlink r:id="rId10" w:history="1">
        <w:r w:rsidRPr="00451DC0">
          <w:rPr>
            <w:rFonts w:ascii="Times" w:hAnsi="Times" w:cs="Times"/>
            <w:u w:val="single"/>
          </w:rPr>
          <w:t>http://www.afaanz.org/openconf/2009/modules/request.php?module=oc_program&amp;acti</w:t>
        </w:r>
      </w:hyperlink>
      <w:r w:rsidRPr="001B41B5">
        <w:rPr>
          <w:rFonts w:ascii="Times" w:hAnsi="Times" w:cs="Times"/>
        </w:rPr>
        <w:t>on=view.php&amp;id=158</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proofErr w:type="gramStart"/>
      <w:r w:rsidRPr="001B41B5">
        <w:rPr>
          <w:rFonts w:ascii="Times" w:hAnsi="Times" w:cs="Times"/>
        </w:rPr>
        <w:t>Almilia</w:t>
      </w:r>
      <w:proofErr w:type="spellEnd"/>
      <w:r w:rsidRPr="001B41B5">
        <w:rPr>
          <w:rFonts w:ascii="Times" w:hAnsi="Times" w:cs="Times"/>
        </w:rPr>
        <w:t xml:space="preserve">, L. (2009b), “Determining Factors of internet Financial Reporting in Indonesia”, </w:t>
      </w:r>
      <w:r w:rsidRPr="001B41B5">
        <w:rPr>
          <w:rFonts w:ascii="Times" w:hAnsi="Times" w:cs="Times"/>
          <w:i/>
          <w:iCs/>
        </w:rPr>
        <w:t>Accounting &amp; Taxation</w:t>
      </w:r>
      <w:r w:rsidRPr="001B41B5">
        <w:rPr>
          <w:rFonts w:ascii="Times" w:hAnsi="Times" w:cs="Times"/>
        </w:rPr>
        <w:t>, vol. 1, n° 1, pp. 87-99.</w:t>
      </w:r>
      <w:proofErr w:type="gramEnd"/>
    </w:p>
    <w:p w:rsidR="0029246A" w:rsidRPr="00A57AAB" w:rsidRDefault="0029246A" w:rsidP="00A57AAB">
      <w:pPr>
        <w:autoSpaceDE w:val="0"/>
        <w:autoSpaceDN w:val="0"/>
        <w:spacing w:before="100" w:beforeAutospacing="1" w:after="100" w:afterAutospacing="1" w:line="240" w:lineRule="auto"/>
        <w:rPr>
          <w:rFonts w:ascii="Times" w:hAnsi="Times" w:cs="Times"/>
          <w:lang w:val="fr-BE"/>
        </w:rPr>
      </w:pPr>
      <w:r w:rsidRPr="00A57AAB">
        <w:rPr>
          <w:rFonts w:ascii="Times" w:hAnsi="Times" w:cs="Times"/>
          <w:lang w:val="fr-BE"/>
        </w:rPr>
        <w:t xml:space="preserve">Amal, H., &amp; </w:t>
      </w:r>
      <w:proofErr w:type="spellStart"/>
      <w:r w:rsidRPr="00A57AAB">
        <w:rPr>
          <w:rFonts w:ascii="Times" w:hAnsi="Times" w:cs="Times"/>
          <w:lang w:val="fr-BE"/>
        </w:rPr>
        <w:t>Faten</w:t>
      </w:r>
      <w:proofErr w:type="spellEnd"/>
      <w:r w:rsidRPr="00A57AAB">
        <w:rPr>
          <w:rFonts w:ascii="Times" w:hAnsi="Times" w:cs="Times"/>
          <w:lang w:val="fr-BE"/>
        </w:rPr>
        <w:t>, L., (2010), « La transparence de l’entreprise et la structure de propriété : cas des entreprises françaises », Actes du 31ème Congrès de l’Association Francophone de Comptabilité, p. 1-29.</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Andrikopoulos</w:t>
      </w:r>
      <w:proofErr w:type="spellEnd"/>
      <w:r w:rsidRPr="001B41B5">
        <w:rPr>
          <w:rFonts w:ascii="Times" w:hAnsi="Times" w:cs="Times"/>
        </w:rPr>
        <w:t xml:space="preserve">, A. &amp; </w:t>
      </w:r>
      <w:proofErr w:type="spellStart"/>
      <w:r w:rsidRPr="001B41B5">
        <w:rPr>
          <w:rFonts w:ascii="Times" w:hAnsi="Times" w:cs="Times"/>
        </w:rPr>
        <w:t>Diakidis</w:t>
      </w:r>
      <w:proofErr w:type="spellEnd"/>
      <w:r w:rsidRPr="001B41B5">
        <w:rPr>
          <w:rFonts w:ascii="Times" w:hAnsi="Times" w:cs="Times"/>
        </w:rPr>
        <w:t xml:space="preserve">, N. (2007), “Financial reporting practices on the </w:t>
      </w:r>
      <w:proofErr w:type="spellStart"/>
      <w:r w:rsidRPr="001B41B5">
        <w:rPr>
          <w:rFonts w:ascii="Times" w:hAnsi="Times" w:cs="Times"/>
        </w:rPr>
        <w:t>internet</w:t>
      </w:r>
      <w:proofErr w:type="gramStart"/>
      <w:r w:rsidRPr="001B41B5">
        <w:rPr>
          <w:rFonts w:ascii="Times" w:hAnsi="Times" w:cs="Times"/>
        </w:rPr>
        <w:t>:the</w:t>
      </w:r>
      <w:proofErr w:type="spellEnd"/>
      <w:proofErr w:type="gramEnd"/>
      <w:r w:rsidRPr="001B41B5">
        <w:rPr>
          <w:rFonts w:ascii="Times" w:hAnsi="Times" w:cs="Times"/>
        </w:rPr>
        <w:t xml:space="preserve"> case of companies listed in the Cyprus stock exchange”, </w:t>
      </w:r>
      <w:r w:rsidRPr="001B41B5">
        <w:rPr>
          <w:rFonts w:ascii="Times" w:hAnsi="Times" w:cs="Times"/>
          <w:i/>
          <w:iCs/>
        </w:rPr>
        <w:t>Working paper</w:t>
      </w:r>
      <w:r w:rsidRPr="001B41B5">
        <w:rPr>
          <w:rFonts w:ascii="Times" w:hAnsi="Times" w:cs="Times"/>
        </w:rPr>
        <w:t>, 22p</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Ashbaugh</w:t>
      </w:r>
      <w:proofErr w:type="spellEnd"/>
      <w:r w:rsidRPr="001B41B5">
        <w:rPr>
          <w:rFonts w:ascii="Times" w:hAnsi="Times" w:cs="Times"/>
        </w:rPr>
        <w:t xml:space="preserve">, H., </w:t>
      </w:r>
      <w:proofErr w:type="spellStart"/>
      <w:r w:rsidRPr="001B41B5">
        <w:rPr>
          <w:rFonts w:ascii="Times" w:hAnsi="Times" w:cs="Times"/>
        </w:rPr>
        <w:t>Johnstone</w:t>
      </w:r>
      <w:proofErr w:type="spellEnd"/>
      <w:r w:rsidRPr="001B41B5">
        <w:rPr>
          <w:rFonts w:ascii="Times" w:hAnsi="Times" w:cs="Times"/>
        </w:rPr>
        <w:t xml:space="preserve">, K. &amp; Warfield, T. (1999), “Corporate reporting on the internet”, </w:t>
      </w:r>
      <w:r w:rsidRPr="001B41B5">
        <w:rPr>
          <w:rFonts w:ascii="Times" w:hAnsi="Times" w:cs="Times"/>
          <w:i/>
          <w:iCs/>
        </w:rPr>
        <w:t>Accounting horizons</w:t>
      </w:r>
      <w:r w:rsidRPr="001B41B5">
        <w:rPr>
          <w:rFonts w:ascii="Times" w:hAnsi="Times" w:cs="Times"/>
        </w:rPr>
        <w:t>, vol.13, n° 3, September, pp. 241-257.</w:t>
      </w:r>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proofErr w:type="spellStart"/>
      <w:r w:rsidRPr="001B41B5">
        <w:rPr>
          <w:rFonts w:ascii="Times" w:hAnsi="Times" w:cs="Times"/>
          <w:lang w:val="fr-BE"/>
        </w:rPr>
        <w:lastRenderedPageBreak/>
        <w:t>Barredy</w:t>
      </w:r>
      <w:proofErr w:type="spellEnd"/>
      <w:r w:rsidRPr="001B41B5">
        <w:rPr>
          <w:rFonts w:ascii="Times" w:hAnsi="Times" w:cs="Times"/>
          <w:lang w:val="fr-BE"/>
        </w:rPr>
        <w:t xml:space="preserve">, C. &amp; </w:t>
      </w:r>
      <w:proofErr w:type="spellStart"/>
      <w:r w:rsidRPr="001B41B5">
        <w:rPr>
          <w:rFonts w:ascii="Times" w:hAnsi="Times" w:cs="Times"/>
          <w:lang w:val="fr-BE"/>
        </w:rPr>
        <w:t>Darras</w:t>
      </w:r>
      <w:proofErr w:type="spellEnd"/>
      <w:r w:rsidRPr="001B41B5">
        <w:rPr>
          <w:rFonts w:ascii="Times" w:hAnsi="Times" w:cs="Times"/>
          <w:lang w:val="fr-BE"/>
        </w:rPr>
        <w:t xml:space="preserve">, N. (2008), « L’utilisation d’internet dans la communication auprès des actionnaires minoritaires dans les entreprises familiales cotées », </w:t>
      </w:r>
      <w:r w:rsidRPr="001B41B5">
        <w:rPr>
          <w:rFonts w:ascii="Times" w:hAnsi="Times" w:cs="Times"/>
          <w:i/>
          <w:iCs/>
          <w:lang w:val="fr-BE"/>
        </w:rPr>
        <w:t>Journal des entreprises familiales</w:t>
      </w:r>
      <w:r w:rsidRPr="001B41B5">
        <w:rPr>
          <w:rFonts w:ascii="Times" w:hAnsi="Times" w:cs="Times"/>
          <w:lang w:val="fr-BE"/>
        </w:rPr>
        <w:t>, vol.1, no.1, Hiver, pp. 41-68.</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lang w:val="en-GB"/>
        </w:rPr>
        <w:t>Bauweraerts</w:t>
      </w:r>
      <w:proofErr w:type="spellEnd"/>
      <w:r w:rsidRPr="001B41B5">
        <w:rPr>
          <w:rFonts w:ascii="Times" w:hAnsi="Times" w:cs="Times"/>
          <w:lang w:val="en-GB"/>
        </w:rPr>
        <w:t xml:space="preserve">, J. &amp; </w:t>
      </w:r>
      <w:proofErr w:type="spellStart"/>
      <w:r w:rsidRPr="001B41B5">
        <w:rPr>
          <w:rFonts w:ascii="Times" w:hAnsi="Times" w:cs="Times"/>
          <w:lang w:val="en-GB"/>
        </w:rPr>
        <w:t>Colot</w:t>
      </w:r>
      <w:proofErr w:type="spellEnd"/>
      <w:r w:rsidRPr="001B41B5">
        <w:rPr>
          <w:rFonts w:ascii="Times" w:hAnsi="Times" w:cs="Times"/>
          <w:lang w:val="en-GB"/>
        </w:rPr>
        <w:t xml:space="preserve">, O. (2013), « Second </w:t>
      </w:r>
      <w:proofErr w:type="spellStart"/>
      <w:r w:rsidRPr="001B41B5">
        <w:rPr>
          <w:rFonts w:ascii="Times" w:hAnsi="Times" w:cs="Times"/>
          <w:lang w:val="en-GB"/>
        </w:rPr>
        <w:t>blockholder</w:t>
      </w:r>
      <w:proofErr w:type="spellEnd"/>
      <w:r w:rsidRPr="001B41B5">
        <w:rPr>
          <w:rFonts w:ascii="Times" w:hAnsi="Times" w:cs="Times"/>
          <w:lang w:val="en-GB"/>
        </w:rPr>
        <w:t>, institutional investors, family ownership and performance: An analysis on the French stock market</w:t>
      </w:r>
      <w:r w:rsidRPr="001B41B5">
        <w:rPr>
          <w:rFonts w:ascii="Times" w:hAnsi="Times" w:cs="Times"/>
        </w:rPr>
        <w:t xml:space="preserve"> », IFERA Annual Conference, 02-05 </w:t>
      </w:r>
      <w:proofErr w:type="spellStart"/>
      <w:r w:rsidRPr="001B41B5">
        <w:rPr>
          <w:rFonts w:ascii="Times" w:hAnsi="Times" w:cs="Times"/>
        </w:rPr>
        <w:t>juillet</w:t>
      </w:r>
      <w:proofErr w:type="spellEnd"/>
      <w:r w:rsidRPr="001B41B5">
        <w:rPr>
          <w:rFonts w:ascii="Times" w:hAnsi="Times" w:cs="Times"/>
        </w:rPr>
        <w:t xml:space="preserve"> 2013, St. </w:t>
      </w:r>
      <w:proofErr w:type="spellStart"/>
      <w:r w:rsidRPr="001B41B5">
        <w:rPr>
          <w:rFonts w:ascii="Times" w:hAnsi="Times" w:cs="Times"/>
        </w:rPr>
        <w:t>Gallen</w:t>
      </w:r>
      <w:proofErr w:type="spellEnd"/>
      <w:r w:rsidRPr="001B41B5">
        <w:rPr>
          <w:rFonts w:ascii="Times" w:hAnsi="Times" w:cs="Times"/>
        </w:rPr>
        <w:t>, Suisse, 21 pages.</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Beattie, V., &amp; Pratt, K. (2002), « Voluntary Annual Report Disclosures: What Users Want », Research Report, Edinburgh: Institute of Chartered Accountants of Scotland </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Beattie, V., </w:t>
      </w:r>
      <w:proofErr w:type="spellStart"/>
      <w:r w:rsidRPr="001B41B5">
        <w:rPr>
          <w:rFonts w:ascii="Times" w:hAnsi="Times" w:cs="Times"/>
        </w:rPr>
        <w:t>McInnes</w:t>
      </w:r>
      <w:proofErr w:type="spellEnd"/>
      <w:r w:rsidRPr="001B41B5">
        <w:rPr>
          <w:rFonts w:ascii="Times" w:hAnsi="Times" w:cs="Times"/>
        </w:rPr>
        <w:t xml:space="preserve">, W., &amp; </w:t>
      </w:r>
      <w:proofErr w:type="spellStart"/>
      <w:r w:rsidRPr="001B41B5">
        <w:rPr>
          <w:rFonts w:ascii="Times" w:hAnsi="Times" w:cs="Times"/>
        </w:rPr>
        <w:t>Fearnley</w:t>
      </w:r>
      <w:proofErr w:type="spellEnd"/>
      <w:r w:rsidRPr="001B41B5">
        <w:rPr>
          <w:rFonts w:ascii="Times" w:hAnsi="Times" w:cs="Times"/>
        </w:rPr>
        <w:t xml:space="preserve">, S. (2004), « A methodology for </w:t>
      </w:r>
      <w:proofErr w:type="spellStart"/>
      <w:r w:rsidRPr="001B41B5">
        <w:rPr>
          <w:rFonts w:ascii="Times" w:hAnsi="Times" w:cs="Times"/>
        </w:rPr>
        <w:t>analysing</w:t>
      </w:r>
      <w:proofErr w:type="spellEnd"/>
      <w:r w:rsidRPr="001B41B5">
        <w:rPr>
          <w:rFonts w:ascii="Times" w:hAnsi="Times" w:cs="Times"/>
        </w:rPr>
        <w:t xml:space="preserve"> and evaluating narratives in annual reports: a comprehensive descriptive profile and metrics for disclosure quality attributes », Accounting Forum, 28 (3), p205–236</w:t>
      </w:r>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t xml:space="preserve">Ben Ali, C. &amp; </w:t>
      </w:r>
      <w:proofErr w:type="spellStart"/>
      <w:r w:rsidRPr="001B41B5">
        <w:rPr>
          <w:rFonts w:ascii="Times" w:hAnsi="Times" w:cs="Times"/>
          <w:lang w:val="fr-BE"/>
        </w:rPr>
        <w:t>Gettler-Summa</w:t>
      </w:r>
      <w:proofErr w:type="spellEnd"/>
      <w:r w:rsidRPr="001B41B5">
        <w:rPr>
          <w:rFonts w:ascii="Times" w:hAnsi="Times" w:cs="Times"/>
          <w:lang w:val="fr-BE"/>
        </w:rPr>
        <w:t xml:space="preserve">, M. (2006), “La communication financière et la structure de propriété: le cas français”, </w:t>
      </w:r>
      <w:r w:rsidRPr="001B41B5">
        <w:rPr>
          <w:rFonts w:ascii="Times" w:hAnsi="Times" w:cs="Times"/>
          <w:i/>
          <w:iCs/>
          <w:lang w:val="fr-BE"/>
        </w:rPr>
        <w:t xml:space="preserve">Comptabilité, Contrôle, Audit et Institutions, </w:t>
      </w:r>
      <w:r w:rsidRPr="001B41B5">
        <w:rPr>
          <w:rFonts w:ascii="Times" w:hAnsi="Times" w:cs="Times"/>
          <w:lang w:val="fr-BE"/>
        </w:rPr>
        <w:t>Association Francophone de Comptabilité, Conférence, halshs-00558437, version 1, Hammamet, Tunisie, 30 p.</w:t>
      </w:r>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t xml:space="preserve">Ben </w:t>
      </w:r>
      <w:proofErr w:type="spellStart"/>
      <w:r w:rsidRPr="001B41B5">
        <w:rPr>
          <w:rFonts w:ascii="Times" w:hAnsi="Times" w:cs="Times"/>
          <w:lang w:val="fr-BE"/>
        </w:rPr>
        <w:t>Ayed-Koubaa</w:t>
      </w:r>
      <w:proofErr w:type="spellEnd"/>
      <w:r w:rsidRPr="001B41B5">
        <w:rPr>
          <w:rFonts w:ascii="Times" w:hAnsi="Times" w:cs="Times"/>
          <w:lang w:val="fr-BE"/>
        </w:rPr>
        <w:t xml:space="preserve">, H. (2011), « Qualité de la communication financière au sujet des pratiques de gouvernance d’entreprise : cas du SBF 120 », </w:t>
      </w:r>
      <w:r w:rsidRPr="001B41B5">
        <w:rPr>
          <w:rFonts w:ascii="Times" w:hAnsi="Times" w:cs="Times"/>
          <w:i/>
          <w:lang w:val="fr-BE"/>
        </w:rPr>
        <w:t>Actes du 32ème Congrès de l’AFC, Comptabilités, économie et société</w:t>
      </w:r>
      <w:r w:rsidRPr="001B41B5">
        <w:rPr>
          <w:rFonts w:ascii="Times" w:hAnsi="Times" w:cs="Times"/>
          <w:lang w:val="fr-BE"/>
        </w:rPr>
        <w:t>, Montpellier, pp. 1-47.</w:t>
      </w:r>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t xml:space="preserve">Bertrand F., (2000), « Les stratégies de communication financière des grandes des grandes sociétés françaises cotées : une étude empirique », </w:t>
      </w:r>
      <w:proofErr w:type="spellStart"/>
      <w:r w:rsidRPr="001B41B5">
        <w:rPr>
          <w:rFonts w:ascii="Times" w:hAnsi="Times" w:cs="Times"/>
          <w:lang w:val="fr-BE"/>
        </w:rPr>
        <w:t>Working</w:t>
      </w:r>
      <w:proofErr w:type="spellEnd"/>
      <w:r w:rsidRPr="001B41B5">
        <w:rPr>
          <w:rFonts w:ascii="Times" w:hAnsi="Times" w:cs="Times"/>
          <w:lang w:val="fr-BE"/>
        </w:rPr>
        <w:t xml:space="preserve"> </w:t>
      </w:r>
      <w:proofErr w:type="spellStart"/>
      <w:r w:rsidRPr="001B41B5">
        <w:rPr>
          <w:rFonts w:ascii="Times" w:hAnsi="Times" w:cs="Times"/>
          <w:lang w:val="fr-BE"/>
        </w:rPr>
        <w:t>paper</w:t>
      </w:r>
      <w:proofErr w:type="spellEnd"/>
      <w:r w:rsidRPr="001B41B5">
        <w:rPr>
          <w:rFonts w:ascii="Times" w:hAnsi="Times" w:cs="Times"/>
          <w:lang w:val="fr-BE"/>
        </w:rPr>
        <w:t>, n°569, IAE, Aix en Provence, Centre d’Etudes et de Recherche sur les Organisations et la Gestion, pp. 1-28</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Bollen</w:t>
      </w:r>
      <w:proofErr w:type="spellEnd"/>
      <w:r w:rsidRPr="001B41B5">
        <w:rPr>
          <w:rFonts w:ascii="Times" w:hAnsi="Times" w:cs="Times"/>
        </w:rPr>
        <w:t xml:space="preserve">, L., </w:t>
      </w:r>
      <w:proofErr w:type="spellStart"/>
      <w:r w:rsidRPr="001B41B5">
        <w:rPr>
          <w:rFonts w:ascii="Times" w:hAnsi="Times" w:cs="Times"/>
        </w:rPr>
        <w:t>Hassink</w:t>
      </w:r>
      <w:proofErr w:type="spellEnd"/>
      <w:r w:rsidRPr="001B41B5">
        <w:rPr>
          <w:rFonts w:ascii="Times" w:hAnsi="Times" w:cs="Times"/>
        </w:rPr>
        <w:t xml:space="preserve">, H. &amp; </w:t>
      </w:r>
      <w:proofErr w:type="spellStart"/>
      <w:r w:rsidRPr="001B41B5">
        <w:rPr>
          <w:rFonts w:ascii="Times" w:hAnsi="Times" w:cs="Times"/>
        </w:rPr>
        <w:t>Bozic</w:t>
      </w:r>
      <w:proofErr w:type="spellEnd"/>
      <w:r w:rsidRPr="001B41B5">
        <w:rPr>
          <w:rFonts w:ascii="Times" w:hAnsi="Times" w:cs="Times"/>
        </w:rPr>
        <w:t xml:space="preserve">, G. (2006), “Measuring and explaining the quality of internet investor relations activities: a multinational empirical analysis”, </w:t>
      </w:r>
      <w:proofErr w:type="spellStart"/>
      <w:r w:rsidRPr="001B41B5">
        <w:rPr>
          <w:rFonts w:ascii="Times" w:hAnsi="Times" w:cs="Times"/>
          <w:i/>
          <w:iCs/>
        </w:rPr>
        <w:t>InternationalJournal</w:t>
      </w:r>
      <w:proofErr w:type="spellEnd"/>
      <w:r w:rsidRPr="001B41B5">
        <w:rPr>
          <w:rFonts w:ascii="Times" w:hAnsi="Times" w:cs="Times"/>
          <w:i/>
          <w:iCs/>
        </w:rPr>
        <w:t xml:space="preserve"> of Accounting Information Systems</w:t>
      </w:r>
      <w:r w:rsidRPr="001B41B5">
        <w:rPr>
          <w:rFonts w:ascii="Times" w:hAnsi="Times" w:cs="Times"/>
        </w:rPr>
        <w:t>, vol. 7, pp. 273-298.</w:t>
      </w:r>
    </w:p>
    <w:p w:rsidR="0029246A" w:rsidRPr="001B41B5" w:rsidRDefault="0029246A" w:rsidP="00F228A3">
      <w:pPr>
        <w:tabs>
          <w:tab w:val="left" w:pos="7260"/>
        </w:tabs>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Bonson</w:t>
      </w:r>
      <w:proofErr w:type="spellEnd"/>
      <w:r w:rsidRPr="001B41B5">
        <w:rPr>
          <w:rFonts w:ascii="Times" w:hAnsi="Times" w:cs="Times"/>
        </w:rPr>
        <w:t xml:space="preserve">, E. &amp; Escobar, T. (2002), “A survey on voluntary disclosure on the </w:t>
      </w:r>
      <w:proofErr w:type="spellStart"/>
      <w:r w:rsidRPr="001B41B5">
        <w:rPr>
          <w:rFonts w:ascii="Times" w:hAnsi="Times" w:cs="Times"/>
        </w:rPr>
        <w:t>internet</w:t>
      </w:r>
      <w:proofErr w:type="gramStart"/>
      <w:r w:rsidRPr="001B41B5">
        <w:rPr>
          <w:rFonts w:ascii="Times" w:hAnsi="Times" w:cs="Times"/>
        </w:rPr>
        <w:t>:Empirical</w:t>
      </w:r>
      <w:proofErr w:type="spellEnd"/>
      <w:proofErr w:type="gramEnd"/>
      <w:r w:rsidRPr="001B41B5">
        <w:rPr>
          <w:rFonts w:ascii="Times" w:hAnsi="Times" w:cs="Times"/>
        </w:rPr>
        <w:t xml:space="preserve"> evidence from 300 European Union companies”, </w:t>
      </w:r>
      <w:r w:rsidRPr="001B41B5">
        <w:rPr>
          <w:rFonts w:ascii="Times" w:hAnsi="Times" w:cs="Times"/>
          <w:i/>
          <w:iCs/>
        </w:rPr>
        <w:t>The International Journal of Digital Accounting Research</w:t>
      </w:r>
      <w:r w:rsidRPr="001B41B5">
        <w:rPr>
          <w:rFonts w:ascii="Times" w:hAnsi="Times" w:cs="Times"/>
        </w:rPr>
        <w:t>, vol. 2, n° 1, pp. 27-51.</w:t>
      </w:r>
    </w:p>
    <w:p w:rsidR="0029246A" w:rsidRPr="00845560" w:rsidRDefault="0029246A" w:rsidP="00845560">
      <w:pPr>
        <w:autoSpaceDE w:val="0"/>
        <w:autoSpaceDN w:val="0"/>
        <w:spacing w:before="100" w:beforeAutospacing="1" w:after="100" w:afterAutospacing="1" w:line="240" w:lineRule="auto"/>
        <w:rPr>
          <w:rFonts w:ascii="Times" w:hAnsi="Times" w:cs="Times"/>
        </w:rPr>
      </w:pPr>
      <w:proofErr w:type="spellStart"/>
      <w:proofErr w:type="gramStart"/>
      <w:r w:rsidRPr="00845560">
        <w:rPr>
          <w:rFonts w:ascii="Times" w:hAnsi="Times" w:cs="Times"/>
        </w:rPr>
        <w:t>Botosan</w:t>
      </w:r>
      <w:proofErr w:type="spellEnd"/>
      <w:r w:rsidRPr="00845560">
        <w:rPr>
          <w:rFonts w:ascii="Times" w:hAnsi="Times" w:cs="Times"/>
        </w:rPr>
        <w:t xml:space="preserve">, C. A. (1997), « Disclosure level and the cost of equity capital », </w:t>
      </w:r>
      <w:r w:rsidRPr="00845560">
        <w:rPr>
          <w:rFonts w:ascii="Times" w:hAnsi="Times" w:cs="Times"/>
          <w:i/>
        </w:rPr>
        <w:t xml:space="preserve">The </w:t>
      </w:r>
      <w:proofErr w:type="spellStart"/>
      <w:r w:rsidRPr="00845560">
        <w:rPr>
          <w:rFonts w:ascii="Times" w:hAnsi="Times" w:cs="Times"/>
          <w:i/>
        </w:rPr>
        <w:t>Accoutning</w:t>
      </w:r>
      <w:proofErr w:type="spellEnd"/>
      <w:r w:rsidRPr="00845560">
        <w:rPr>
          <w:rFonts w:ascii="Times" w:hAnsi="Times" w:cs="Times"/>
          <w:i/>
        </w:rPr>
        <w:t xml:space="preserve"> Review</w:t>
      </w:r>
      <w:r w:rsidRPr="00845560">
        <w:rPr>
          <w:rFonts w:ascii="Times" w:hAnsi="Times" w:cs="Times"/>
        </w:rPr>
        <w:t>, vol. 72, n° 3, pp. 323-349.</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Botosan</w:t>
      </w:r>
      <w:proofErr w:type="spellEnd"/>
      <w:r w:rsidRPr="001B41B5">
        <w:rPr>
          <w:rFonts w:ascii="Times" w:hAnsi="Times" w:cs="Times"/>
        </w:rPr>
        <w:t xml:space="preserve">, C.A., &amp; </w:t>
      </w:r>
      <w:proofErr w:type="spellStart"/>
      <w:r w:rsidRPr="001B41B5">
        <w:rPr>
          <w:rFonts w:ascii="Times" w:hAnsi="Times" w:cs="Times"/>
        </w:rPr>
        <w:t>Plumlee</w:t>
      </w:r>
      <w:proofErr w:type="spellEnd"/>
      <w:r w:rsidRPr="001B41B5">
        <w:rPr>
          <w:rFonts w:ascii="Times" w:hAnsi="Times" w:cs="Times"/>
        </w:rPr>
        <w:t>, M.A</w:t>
      </w:r>
      <w:proofErr w:type="gramStart"/>
      <w:r w:rsidRPr="001B41B5">
        <w:rPr>
          <w:rFonts w:ascii="Times" w:hAnsi="Times" w:cs="Times"/>
        </w:rPr>
        <w:t>.(</w:t>
      </w:r>
      <w:proofErr w:type="gramEnd"/>
      <w:r w:rsidRPr="001B41B5">
        <w:rPr>
          <w:rFonts w:ascii="Times" w:hAnsi="Times" w:cs="Times"/>
        </w:rPr>
        <w:t xml:space="preserve">2002), « A Re-examination of disclosure quality and the expected cost of capital », </w:t>
      </w:r>
      <w:r w:rsidRPr="001B41B5">
        <w:rPr>
          <w:rFonts w:ascii="Times" w:hAnsi="Times" w:cs="Times"/>
          <w:i/>
        </w:rPr>
        <w:t>Journal of Accounting Research</w:t>
      </w:r>
      <w:r w:rsidRPr="001B41B5">
        <w:rPr>
          <w:rFonts w:ascii="Times" w:hAnsi="Times" w:cs="Times"/>
        </w:rPr>
        <w:t>, 40, pp ; 21-40.</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Bradbury, M.E. (1992), « Voluntary disclosure of financial segment </w:t>
      </w:r>
      <w:proofErr w:type="gramStart"/>
      <w:r w:rsidRPr="001B41B5">
        <w:rPr>
          <w:rFonts w:ascii="Times" w:hAnsi="Times" w:cs="Times"/>
        </w:rPr>
        <w:t>data :</w:t>
      </w:r>
      <w:proofErr w:type="gramEnd"/>
      <w:r w:rsidRPr="001B41B5">
        <w:rPr>
          <w:rFonts w:ascii="Times" w:hAnsi="Times" w:cs="Times"/>
        </w:rPr>
        <w:t xml:space="preserve"> New Zeeland evidence », </w:t>
      </w:r>
      <w:r w:rsidRPr="001B41B5">
        <w:rPr>
          <w:rFonts w:ascii="Times" w:hAnsi="Times" w:cs="Times"/>
          <w:i/>
        </w:rPr>
        <w:t>Accounting and Finance</w:t>
      </w:r>
      <w:r w:rsidRPr="001B41B5">
        <w:rPr>
          <w:rFonts w:ascii="Times" w:hAnsi="Times" w:cs="Times"/>
        </w:rPr>
        <w:t>, 32,  pp. 15-26.</w:t>
      </w:r>
    </w:p>
    <w:p w:rsidR="0029246A" w:rsidRPr="001B41B5" w:rsidRDefault="0029246A" w:rsidP="00F228A3">
      <w:pPr>
        <w:autoSpaceDE w:val="0"/>
        <w:autoSpaceDN w:val="0"/>
        <w:spacing w:before="100" w:beforeAutospacing="1" w:after="100" w:afterAutospacing="1" w:line="240" w:lineRule="auto"/>
        <w:rPr>
          <w:rFonts w:ascii="Times" w:hAnsi="Times" w:cs="Times"/>
          <w:b/>
        </w:rPr>
      </w:pPr>
      <w:proofErr w:type="spellStart"/>
      <w:r w:rsidRPr="001B41B5">
        <w:rPr>
          <w:rFonts w:ascii="Times" w:hAnsi="Times" w:cs="Times"/>
        </w:rPr>
        <w:t>Bushee</w:t>
      </w:r>
      <w:proofErr w:type="spellEnd"/>
      <w:r w:rsidRPr="001B41B5">
        <w:rPr>
          <w:rFonts w:ascii="Times" w:hAnsi="Times" w:cs="Times"/>
        </w:rPr>
        <w:t xml:space="preserve">, B. &amp; </w:t>
      </w:r>
      <w:proofErr w:type="spellStart"/>
      <w:r w:rsidRPr="001B41B5">
        <w:rPr>
          <w:rFonts w:ascii="Times" w:hAnsi="Times" w:cs="Times"/>
        </w:rPr>
        <w:t>Noe</w:t>
      </w:r>
      <w:proofErr w:type="spellEnd"/>
      <w:r w:rsidRPr="001B41B5">
        <w:rPr>
          <w:rFonts w:ascii="Times" w:hAnsi="Times" w:cs="Times"/>
        </w:rPr>
        <w:t xml:space="preserve">, C. (2000), «Corporate Disclosure Practices, Institutional Investors, and Stock Return Volatility», </w:t>
      </w:r>
      <w:r w:rsidRPr="001B41B5">
        <w:rPr>
          <w:rFonts w:ascii="Times" w:hAnsi="Times" w:cs="Times"/>
          <w:i/>
          <w:iCs/>
        </w:rPr>
        <w:t xml:space="preserve">Journal of Accounting Research, </w:t>
      </w:r>
      <w:r w:rsidRPr="001B41B5">
        <w:rPr>
          <w:rFonts w:ascii="Times" w:hAnsi="Times" w:cs="Times"/>
        </w:rPr>
        <w:t>38, pp. 171-202.</w:t>
      </w:r>
    </w:p>
    <w:p w:rsidR="0029246A" w:rsidRPr="00451DC0" w:rsidRDefault="0029246A" w:rsidP="0029246A">
      <w:pPr>
        <w:autoSpaceDE w:val="0"/>
        <w:autoSpaceDN w:val="0"/>
        <w:spacing w:before="100" w:beforeAutospacing="1" w:after="100" w:afterAutospacing="1" w:line="240" w:lineRule="auto"/>
      </w:pPr>
      <w:r w:rsidRPr="00A57AAB">
        <w:rPr>
          <w:rFonts w:ascii="Times" w:hAnsi="Times" w:cs="Times"/>
        </w:rPr>
        <w:lastRenderedPageBreak/>
        <w:t xml:space="preserve">Cerf, A.R. (1961), </w:t>
      </w:r>
      <w:r w:rsidRPr="00A57AAB">
        <w:rPr>
          <w:rFonts w:ascii="Times" w:hAnsi="Times" w:cs="Times"/>
          <w:i/>
          <w:iCs/>
        </w:rPr>
        <w:t>« Corporate Reporting and Investment Decision »,</w:t>
      </w:r>
      <w:r w:rsidRPr="00A57AAB">
        <w:rPr>
          <w:rFonts w:ascii="Times" w:hAnsi="Times" w:cs="Times"/>
        </w:rPr>
        <w:t xml:space="preserve"> Berkeley, Public Accounting Research Program, Institute of Business and Economic Research, University of California, 177 pages</w:t>
      </w:r>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t>Charlier P. &amp; Lambert G. (2013), “Modes de gouvernance et performances des entreprises familiales françaises en fonction des conflits d’agence », Finance, Contrôle et Stratégie, 16(2)</w:t>
      </w:r>
      <w:proofErr w:type="gramStart"/>
      <w:r w:rsidRPr="001B41B5">
        <w:rPr>
          <w:rFonts w:ascii="Times" w:hAnsi="Times" w:cs="Times"/>
          <w:lang w:val="fr-BE"/>
        </w:rPr>
        <w:t>,.</w:t>
      </w:r>
      <w:proofErr w:type="gramEnd"/>
      <w:r w:rsidRPr="001B41B5">
        <w:rPr>
          <w:rFonts w:ascii="Times" w:hAnsi="Times" w:cs="Times"/>
          <w:lang w:val="fr-BE"/>
        </w:rPr>
        <w:t xml:space="preserve">pp. </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Chau, G.K, &amp; Gray, S.J. (2002), « Ownership structure and corporate voluntary disclosure in Hong Kong and Singapore », </w:t>
      </w:r>
      <w:r w:rsidRPr="001B41B5">
        <w:rPr>
          <w:rFonts w:ascii="Times" w:hAnsi="Times" w:cs="Times"/>
          <w:i/>
        </w:rPr>
        <w:t>The International Journal of Accounting</w:t>
      </w:r>
      <w:r w:rsidRPr="001B41B5">
        <w:rPr>
          <w:rFonts w:ascii="Times" w:hAnsi="Times" w:cs="Times"/>
        </w:rPr>
        <w:t xml:space="preserve">, 37(2), </w:t>
      </w:r>
      <w:proofErr w:type="gramStart"/>
      <w:r w:rsidRPr="001B41B5">
        <w:rPr>
          <w:rFonts w:ascii="Times" w:hAnsi="Times" w:cs="Times"/>
        </w:rPr>
        <w:t>pp ;</w:t>
      </w:r>
      <w:proofErr w:type="gramEnd"/>
      <w:r w:rsidRPr="001B41B5">
        <w:rPr>
          <w:rFonts w:ascii="Times" w:hAnsi="Times" w:cs="Times"/>
        </w:rPr>
        <w:t xml:space="preserve"> 247-265.</w:t>
      </w:r>
    </w:p>
    <w:p w:rsidR="0029246A" w:rsidRPr="00A57AAB" w:rsidRDefault="0029246A" w:rsidP="00A57AAB">
      <w:pPr>
        <w:autoSpaceDE w:val="0"/>
        <w:autoSpaceDN w:val="0"/>
        <w:spacing w:before="100" w:beforeAutospacing="1" w:after="100" w:afterAutospacing="1" w:line="240" w:lineRule="auto"/>
        <w:rPr>
          <w:rFonts w:ascii="Times" w:hAnsi="Times" w:cs="Times"/>
        </w:rPr>
      </w:pPr>
      <w:r w:rsidRPr="00A57AAB">
        <w:rPr>
          <w:rFonts w:ascii="Times" w:hAnsi="Times" w:cs="Times"/>
        </w:rPr>
        <w:t xml:space="preserve">Chen, J., (2001), « Ownership Structure as Corporate Governance Mechanism: Evidence from Chinese Listed Companies», </w:t>
      </w:r>
      <w:r w:rsidRPr="00A57AAB">
        <w:rPr>
          <w:rFonts w:ascii="Times" w:hAnsi="Times" w:cs="Times"/>
          <w:i/>
          <w:iCs/>
        </w:rPr>
        <w:t>Economics of Planning</w:t>
      </w:r>
      <w:r w:rsidRPr="00A57AAB">
        <w:rPr>
          <w:rFonts w:ascii="Times" w:hAnsi="Times" w:cs="Times"/>
        </w:rPr>
        <w:t>, 34, pp. 53-72.</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gramStart"/>
      <w:r w:rsidRPr="001B41B5">
        <w:rPr>
          <w:rFonts w:ascii="Times" w:hAnsi="Times" w:cs="Times"/>
        </w:rPr>
        <w:t xml:space="preserve">Chow, C.W., &amp; Wong-Boren, A. (1987), « Voluntary financial disclosure by </w:t>
      </w:r>
      <w:proofErr w:type="spellStart"/>
      <w:r w:rsidRPr="001B41B5">
        <w:rPr>
          <w:rFonts w:ascii="Times" w:hAnsi="Times" w:cs="Times"/>
        </w:rPr>
        <w:t>mexican</w:t>
      </w:r>
      <w:proofErr w:type="spellEnd"/>
      <w:r w:rsidRPr="001B41B5">
        <w:rPr>
          <w:rFonts w:ascii="Times" w:hAnsi="Times" w:cs="Times"/>
        </w:rPr>
        <w:t xml:space="preserve"> corporations », </w:t>
      </w:r>
      <w:r w:rsidRPr="001B41B5">
        <w:rPr>
          <w:rFonts w:ascii="Times" w:hAnsi="Times" w:cs="Times"/>
          <w:i/>
        </w:rPr>
        <w:t>The Accounting Review</w:t>
      </w:r>
      <w:r w:rsidRPr="001B41B5">
        <w:rPr>
          <w:rFonts w:ascii="Times" w:hAnsi="Times" w:cs="Times"/>
        </w:rPr>
        <w:t>, 62(3), pp. 533-541.</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Cooke, T.E. (1989), « Disclosure in the corporate annual reports of Swedish companies », </w:t>
      </w:r>
      <w:r w:rsidRPr="001B41B5">
        <w:rPr>
          <w:rFonts w:ascii="Times" w:hAnsi="Times" w:cs="Times"/>
          <w:i/>
        </w:rPr>
        <w:t>Accounting and Business Research</w:t>
      </w:r>
      <w:r w:rsidRPr="001B41B5">
        <w:rPr>
          <w:rFonts w:ascii="Times" w:hAnsi="Times" w:cs="Times"/>
        </w:rPr>
        <w:t>, 74</w:t>
      </w:r>
      <w:proofErr w:type="gramStart"/>
      <w:r w:rsidRPr="001B41B5">
        <w:rPr>
          <w:rFonts w:ascii="Times" w:hAnsi="Times" w:cs="Times"/>
        </w:rPr>
        <w:t>,  pp</w:t>
      </w:r>
      <w:proofErr w:type="gramEnd"/>
      <w:r w:rsidRPr="001B41B5">
        <w:rPr>
          <w:rFonts w:ascii="Times" w:hAnsi="Times" w:cs="Times"/>
        </w:rPr>
        <w:t>. 113-124.</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Cooke, T.E. (1991), « An assessment of voluntary disclosure </w:t>
      </w:r>
      <w:proofErr w:type="gramStart"/>
      <w:r w:rsidRPr="001B41B5">
        <w:rPr>
          <w:rFonts w:ascii="Times" w:hAnsi="Times" w:cs="Times"/>
        </w:rPr>
        <w:t>un</w:t>
      </w:r>
      <w:proofErr w:type="gramEnd"/>
      <w:r w:rsidRPr="001B41B5">
        <w:rPr>
          <w:rFonts w:ascii="Times" w:hAnsi="Times" w:cs="Times"/>
        </w:rPr>
        <w:t xml:space="preserve"> the annual report of </w:t>
      </w:r>
      <w:proofErr w:type="spellStart"/>
      <w:r w:rsidRPr="001B41B5">
        <w:rPr>
          <w:rFonts w:ascii="Times" w:hAnsi="Times" w:cs="Times"/>
        </w:rPr>
        <w:t>japanese</w:t>
      </w:r>
      <w:proofErr w:type="spellEnd"/>
      <w:r w:rsidRPr="001B41B5">
        <w:rPr>
          <w:rFonts w:ascii="Times" w:hAnsi="Times" w:cs="Times"/>
        </w:rPr>
        <w:t xml:space="preserve"> corporations », </w:t>
      </w:r>
      <w:r w:rsidRPr="001B41B5">
        <w:rPr>
          <w:rFonts w:ascii="Times" w:hAnsi="Times" w:cs="Times"/>
          <w:i/>
        </w:rPr>
        <w:t>International Journal of Accounting</w:t>
      </w:r>
      <w:r w:rsidRPr="001B41B5">
        <w:rPr>
          <w:rFonts w:ascii="Times" w:hAnsi="Times" w:cs="Times"/>
        </w:rPr>
        <w:t>, 26, pp. 295-308.</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gramStart"/>
      <w:r w:rsidRPr="001B41B5">
        <w:rPr>
          <w:rFonts w:ascii="Times" w:hAnsi="Times" w:cs="Times"/>
        </w:rPr>
        <w:t xml:space="preserve">Craven, B.M. &amp; Marston C.L. (1999), “Financial reporting on the internet by leading UK companies”, </w:t>
      </w:r>
      <w:r w:rsidRPr="001B41B5">
        <w:rPr>
          <w:rFonts w:ascii="Times" w:hAnsi="Times" w:cs="Times"/>
          <w:i/>
          <w:iCs/>
        </w:rPr>
        <w:t>The European Accounting Review</w:t>
      </w:r>
      <w:r w:rsidRPr="001B41B5">
        <w:rPr>
          <w:rFonts w:ascii="Times" w:hAnsi="Times" w:cs="Times"/>
        </w:rPr>
        <w:t xml:space="preserve">, </w:t>
      </w:r>
      <w:proofErr w:type="spellStart"/>
      <w:r w:rsidRPr="001B41B5">
        <w:rPr>
          <w:rFonts w:ascii="Times" w:hAnsi="Times" w:cs="Times"/>
        </w:rPr>
        <w:t>vol</w:t>
      </w:r>
      <w:proofErr w:type="spellEnd"/>
      <w:r w:rsidRPr="001B41B5">
        <w:rPr>
          <w:rFonts w:ascii="Times" w:hAnsi="Times" w:cs="Times"/>
        </w:rPr>
        <w:t xml:space="preserve"> 8, n° 2, pp. 321-333.</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Debreceny</w:t>
      </w:r>
      <w:proofErr w:type="spellEnd"/>
      <w:r w:rsidRPr="001B41B5">
        <w:rPr>
          <w:rFonts w:ascii="Times" w:hAnsi="Times" w:cs="Times"/>
        </w:rPr>
        <w:t xml:space="preserve"> , R., Gray, G. &amp; Rahman, A. (2002), “The determinants of internet financial reporting”, </w:t>
      </w:r>
      <w:r w:rsidRPr="001B41B5">
        <w:rPr>
          <w:rFonts w:ascii="Times" w:hAnsi="Times" w:cs="Times"/>
          <w:i/>
          <w:iCs/>
        </w:rPr>
        <w:t>Journal of Accounting and Public Policy</w:t>
      </w:r>
      <w:r w:rsidRPr="001B41B5">
        <w:rPr>
          <w:rFonts w:ascii="Times" w:hAnsi="Times" w:cs="Times"/>
        </w:rPr>
        <w:t>, vol. 21, Issues 4-5, Winter, p. 371-394.</w:t>
      </w:r>
    </w:p>
    <w:p w:rsidR="0029246A" w:rsidRPr="00A57AAB" w:rsidRDefault="0029246A" w:rsidP="00A57AAB">
      <w:pPr>
        <w:autoSpaceDE w:val="0"/>
        <w:autoSpaceDN w:val="0"/>
        <w:spacing w:before="100" w:beforeAutospacing="1" w:after="100" w:afterAutospacing="1" w:line="240" w:lineRule="auto"/>
        <w:rPr>
          <w:rFonts w:ascii="Times" w:hAnsi="Times" w:cs="Times"/>
        </w:rPr>
      </w:pPr>
      <w:proofErr w:type="spellStart"/>
      <w:r w:rsidRPr="00A57AAB">
        <w:rPr>
          <w:rFonts w:ascii="Times" w:hAnsi="Times" w:cs="Times"/>
        </w:rPr>
        <w:t>Demsetz</w:t>
      </w:r>
      <w:proofErr w:type="spellEnd"/>
      <w:r w:rsidRPr="00A57AAB">
        <w:rPr>
          <w:rFonts w:ascii="Times" w:hAnsi="Times" w:cs="Times"/>
        </w:rPr>
        <w:t xml:space="preserve">, H., &amp; Lehn, K., (1985), «The structure of corporate </w:t>
      </w:r>
      <w:proofErr w:type="gramStart"/>
      <w:r w:rsidRPr="00A57AAB">
        <w:rPr>
          <w:rFonts w:ascii="Times" w:hAnsi="Times" w:cs="Times"/>
        </w:rPr>
        <w:t>ownership :</w:t>
      </w:r>
      <w:proofErr w:type="gramEnd"/>
      <w:r w:rsidRPr="00A57AAB">
        <w:rPr>
          <w:rFonts w:ascii="Times" w:hAnsi="Times" w:cs="Times"/>
        </w:rPr>
        <w:t xml:space="preserve"> causes and consequences», </w:t>
      </w:r>
      <w:r w:rsidRPr="00A57AAB">
        <w:rPr>
          <w:rFonts w:ascii="Times" w:hAnsi="Times" w:cs="Times"/>
          <w:i/>
          <w:iCs/>
        </w:rPr>
        <w:t>Journal of Political Economy</w:t>
      </w:r>
      <w:r w:rsidRPr="00A57AAB">
        <w:rPr>
          <w:rFonts w:ascii="Times" w:hAnsi="Times" w:cs="Times"/>
        </w:rPr>
        <w:t>, vol.93 (6), pp.1155-1177.</w:t>
      </w:r>
    </w:p>
    <w:p w:rsidR="0029246A" w:rsidRPr="00A57AAB" w:rsidRDefault="0029246A" w:rsidP="00A57AAB">
      <w:pPr>
        <w:autoSpaceDE w:val="0"/>
        <w:autoSpaceDN w:val="0"/>
        <w:spacing w:before="100" w:beforeAutospacing="1" w:after="100" w:afterAutospacing="1" w:line="240" w:lineRule="auto"/>
        <w:rPr>
          <w:rFonts w:ascii="Times" w:hAnsi="Times" w:cs="Times"/>
        </w:rPr>
      </w:pPr>
      <w:proofErr w:type="gramStart"/>
      <w:r w:rsidRPr="00A57AAB">
        <w:rPr>
          <w:rFonts w:ascii="Times" w:hAnsi="Times" w:cs="Times"/>
        </w:rPr>
        <w:t xml:space="preserve">Denis, D.J., &amp; </w:t>
      </w:r>
      <w:proofErr w:type="spellStart"/>
      <w:r w:rsidRPr="00A57AAB">
        <w:rPr>
          <w:rFonts w:ascii="Times" w:hAnsi="Times" w:cs="Times"/>
        </w:rPr>
        <w:t>McConnel</w:t>
      </w:r>
      <w:proofErr w:type="spellEnd"/>
      <w:r w:rsidRPr="00A57AAB">
        <w:rPr>
          <w:rFonts w:ascii="Times" w:hAnsi="Times" w:cs="Times"/>
        </w:rPr>
        <w:t xml:space="preserve"> J., (2003), « International Corporate Governance », Finance Working Paper, 05/2003, European Corporate Governance Institute, pp.1-62.</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proofErr w:type="spellStart"/>
      <w:r w:rsidRPr="001B41B5">
        <w:rPr>
          <w:rFonts w:ascii="Times" w:hAnsi="Times" w:cs="Times"/>
          <w:lang w:val="fr-BE"/>
        </w:rPr>
        <w:t>Depoers</w:t>
      </w:r>
      <w:proofErr w:type="spellEnd"/>
      <w:r w:rsidRPr="001B41B5">
        <w:rPr>
          <w:rFonts w:ascii="Times" w:hAnsi="Times" w:cs="Times"/>
          <w:lang w:val="fr-BE"/>
        </w:rPr>
        <w:t xml:space="preserve">, F. (1999), « Contribution à l'analyse des déterminants de l'offre volontaire d'information des sociétés cotées », </w:t>
      </w:r>
      <w:r w:rsidRPr="001B41B5">
        <w:rPr>
          <w:rFonts w:ascii="Times" w:hAnsi="Times" w:cs="Times"/>
          <w:i/>
          <w:lang w:val="fr-BE"/>
        </w:rPr>
        <w:t>Thèse de doctorat en sciences de gestion</w:t>
      </w:r>
      <w:r w:rsidRPr="001B41B5">
        <w:rPr>
          <w:rFonts w:ascii="Times" w:hAnsi="Times" w:cs="Times"/>
          <w:lang w:val="fr-BE"/>
        </w:rPr>
        <w:t>, Paris Dauphine</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Entwistle</w:t>
      </w:r>
      <w:proofErr w:type="spellEnd"/>
      <w:r w:rsidRPr="001B41B5">
        <w:rPr>
          <w:rFonts w:ascii="Times" w:hAnsi="Times" w:cs="Times"/>
        </w:rPr>
        <w:t xml:space="preserve">, G.M. (1999), « Exploring the R&amp;D disclosure environment », </w:t>
      </w:r>
      <w:r w:rsidRPr="001B41B5">
        <w:rPr>
          <w:rFonts w:ascii="Times" w:hAnsi="Times" w:cs="Times"/>
          <w:i/>
        </w:rPr>
        <w:t>Accounting Horizons</w:t>
      </w:r>
      <w:r w:rsidRPr="001B41B5">
        <w:rPr>
          <w:rFonts w:ascii="Times" w:hAnsi="Times" w:cs="Times"/>
        </w:rPr>
        <w:t>, 13 (4), pp. 353-385.</w:t>
      </w:r>
    </w:p>
    <w:p w:rsidR="0029246A" w:rsidRPr="001B41B5" w:rsidRDefault="0029246A" w:rsidP="00F228A3">
      <w:pPr>
        <w:autoSpaceDE w:val="0"/>
        <w:autoSpaceDN w:val="0"/>
        <w:adjustRightInd w:val="0"/>
        <w:spacing w:after="0" w:line="240" w:lineRule="auto"/>
        <w:rPr>
          <w:rFonts w:ascii="Times" w:hAnsi="Times" w:cs="Times"/>
        </w:rPr>
      </w:pPr>
      <w:proofErr w:type="spellStart"/>
      <w:proofErr w:type="gramStart"/>
      <w:r w:rsidRPr="001B41B5">
        <w:rPr>
          <w:rFonts w:ascii="Times" w:hAnsi="Times" w:cs="Times"/>
        </w:rPr>
        <w:t>Ettredge</w:t>
      </w:r>
      <w:proofErr w:type="spellEnd"/>
      <w:r w:rsidRPr="001B41B5">
        <w:rPr>
          <w:rFonts w:ascii="Times" w:hAnsi="Times" w:cs="Times"/>
        </w:rPr>
        <w:t xml:space="preserve">, M., Richardson, V. &amp; </w:t>
      </w:r>
      <w:proofErr w:type="spellStart"/>
      <w:r w:rsidRPr="001B41B5">
        <w:rPr>
          <w:rFonts w:ascii="Times" w:hAnsi="Times" w:cs="Times"/>
        </w:rPr>
        <w:t>Scholz</w:t>
      </w:r>
      <w:proofErr w:type="spellEnd"/>
      <w:r w:rsidRPr="001B41B5">
        <w:rPr>
          <w:rFonts w:ascii="Times" w:hAnsi="Times" w:cs="Times"/>
        </w:rPr>
        <w:t xml:space="preserve">, S. (2002), “Dissemination of information for investors at corporate web sites”, </w:t>
      </w:r>
      <w:r w:rsidRPr="001B41B5">
        <w:rPr>
          <w:rFonts w:ascii="Times" w:hAnsi="Times" w:cs="Times"/>
          <w:i/>
        </w:rPr>
        <w:t>Journal of Accounting and Public Policy</w:t>
      </w:r>
      <w:r w:rsidRPr="001B41B5">
        <w:rPr>
          <w:rFonts w:ascii="Times" w:hAnsi="Times" w:cs="Times"/>
        </w:rPr>
        <w:t>, no. 21, October, pp. 357-369.</w:t>
      </w:r>
      <w:proofErr w:type="gramEnd"/>
    </w:p>
    <w:p w:rsidR="0029246A" w:rsidRPr="001B41B5" w:rsidRDefault="0029246A" w:rsidP="00F228A3">
      <w:pPr>
        <w:autoSpaceDE w:val="0"/>
        <w:autoSpaceDN w:val="0"/>
        <w:adjustRightInd w:val="0"/>
        <w:spacing w:after="0" w:line="240" w:lineRule="auto"/>
        <w:rPr>
          <w:rFonts w:ascii="Times" w:hAnsi="Times" w:cs="Times"/>
          <w:lang w:val="fr-FR"/>
        </w:rPr>
      </w:pPr>
      <w:r w:rsidRPr="001B41B5">
        <w:rPr>
          <w:rFonts w:ascii="Times" w:hAnsi="Times" w:cs="Times"/>
          <w:lang w:val="fr-FR"/>
        </w:rPr>
        <w:t xml:space="preserve">Evrard, Y., </w:t>
      </w:r>
      <w:proofErr w:type="spellStart"/>
      <w:r w:rsidRPr="001B41B5">
        <w:rPr>
          <w:rFonts w:ascii="Times" w:hAnsi="Times" w:cs="Times"/>
          <w:lang w:val="fr-FR"/>
        </w:rPr>
        <w:t>Pras</w:t>
      </w:r>
      <w:proofErr w:type="spellEnd"/>
      <w:r w:rsidRPr="001B41B5">
        <w:rPr>
          <w:rFonts w:ascii="Times" w:hAnsi="Times" w:cs="Times"/>
          <w:lang w:val="fr-FR"/>
        </w:rPr>
        <w:t xml:space="preserve">, B. &amp; Roux, E. (2009), </w:t>
      </w:r>
      <w:proofErr w:type="spellStart"/>
      <w:r w:rsidRPr="001B41B5">
        <w:rPr>
          <w:rFonts w:ascii="Times" w:hAnsi="Times" w:cs="Times"/>
          <w:i/>
          <w:lang w:val="fr-FR"/>
        </w:rPr>
        <w:t>Market</w:t>
      </w:r>
      <w:proofErr w:type="spellEnd"/>
      <w:r w:rsidRPr="001B41B5">
        <w:rPr>
          <w:rFonts w:ascii="Times" w:hAnsi="Times" w:cs="Times"/>
          <w:i/>
          <w:lang w:val="fr-FR"/>
        </w:rPr>
        <w:t>. Fondements et méthodes des recherches en marketing</w:t>
      </w:r>
      <w:r w:rsidRPr="001B41B5">
        <w:rPr>
          <w:rFonts w:ascii="Times" w:hAnsi="Times" w:cs="Times"/>
          <w:lang w:val="fr-FR"/>
        </w:rPr>
        <w:t>, Paris, DUNOD, 4</w:t>
      </w:r>
      <w:r w:rsidRPr="001B41B5">
        <w:rPr>
          <w:rFonts w:ascii="Times" w:hAnsi="Times" w:cs="Times"/>
          <w:vertAlign w:val="superscript"/>
          <w:lang w:val="fr-FR"/>
        </w:rPr>
        <w:t>ème</w:t>
      </w:r>
      <w:r w:rsidRPr="001B41B5">
        <w:rPr>
          <w:rFonts w:ascii="Times" w:hAnsi="Times" w:cs="Times"/>
          <w:lang w:val="fr-FR"/>
        </w:rPr>
        <w:t xml:space="preserve"> édition, p. 703.</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Ferguson, M.J., Lam, K.C., &amp; Lee, </w:t>
      </w:r>
      <w:proofErr w:type="gramStart"/>
      <w:r w:rsidRPr="001B41B5">
        <w:rPr>
          <w:rFonts w:ascii="Times" w:hAnsi="Times" w:cs="Times"/>
        </w:rPr>
        <w:t>G ;M</w:t>
      </w:r>
      <w:proofErr w:type="gramEnd"/>
      <w:r w:rsidRPr="001B41B5">
        <w:rPr>
          <w:rFonts w:ascii="Times" w:hAnsi="Times" w:cs="Times"/>
        </w:rPr>
        <w:t xml:space="preserve">. (2002), « Voluntary disclosure by state-owned enterprises listed on the stock exchange of Hong Kong », </w:t>
      </w:r>
      <w:r w:rsidRPr="001B41B5">
        <w:rPr>
          <w:rFonts w:ascii="Times" w:hAnsi="Times" w:cs="Times"/>
          <w:i/>
        </w:rPr>
        <w:t>Journal of International Financial Management and Accounting</w:t>
      </w:r>
      <w:r w:rsidRPr="001B41B5">
        <w:rPr>
          <w:rFonts w:ascii="Times" w:hAnsi="Times" w:cs="Times"/>
        </w:rPr>
        <w:t>, 13(2), pp. 124-152.</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gramStart"/>
      <w:r w:rsidRPr="001B41B5">
        <w:rPr>
          <w:rFonts w:ascii="Times" w:hAnsi="Times" w:cs="Times"/>
        </w:rPr>
        <w:lastRenderedPageBreak/>
        <w:t xml:space="preserve">Firth, M., (1979), « The impact of size, stock market listing, and auditors on voluntary disclosure in corporate annual reports », </w:t>
      </w:r>
      <w:r w:rsidRPr="001B41B5">
        <w:rPr>
          <w:rFonts w:ascii="Times" w:hAnsi="Times" w:cs="Times"/>
          <w:i/>
        </w:rPr>
        <w:t>Accounting and Business Research</w:t>
      </w:r>
      <w:r w:rsidRPr="001B41B5">
        <w:rPr>
          <w:rFonts w:ascii="Times" w:hAnsi="Times" w:cs="Times"/>
        </w:rPr>
        <w:t>, 9 (36), pp. 273-280.</w:t>
      </w:r>
      <w:proofErr w:type="gramEnd"/>
    </w:p>
    <w:p w:rsidR="0029246A" w:rsidRPr="00A57AAB" w:rsidRDefault="0029246A" w:rsidP="00A57AAB">
      <w:pPr>
        <w:autoSpaceDE w:val="0"/>
        <w:autoSpaceDN w:val="0"/>
        <w:spacing w:before="100" w:beforeAutospacing="1" w:after="100" w:afterAutospacing="1" w:line="240" w:lineRule="auto"/>
        <w:rPr>
          <w:rFonts w:ascii="Times" w:hAnsi="Times" w:cs="Times"/>
        </w:rPr>
      </w:pPr>
      <w:r w:rsidRPr="00A57AAB">
        <w:rPr>
          <w:rFonts w:ascii="Times" w:hAnsi="Times" w:cs="Times"/>
        </w:rPr>
        <w:t xml:space="preserve">Gelb, D., (2000), « Managerial Ownership and Accounting Disclosures: an Empirical Study», </w:t>
      </w:r>
      <w:r w:rsidRPr="00A57AAB">
        <w:rPr>
          <w:rFonts w:ascii="Times" w:hAnsi="Times" w:cs="Times"/>
          <w:i/>
          <w:iCs/>
        </w:rPr>
        <w:t>Review of Quantitative Finance and Accounting</w:t>
      </w:r>
      <w:r w:rsidRPr="00A57AAB">
        <w:rPr>
          <w:rFonts w:ascii="Times" w:hAnsi="Times" w:cs="Times"/>
        </w:rPr>
        <w:t>, vol. 15, n° 2, p. 169-185.</w:t>
      </w:r>
    </w:p>
    <w:p w:rsidR="0029246A" w:rsidRPr="00A57AAB" w:rsidRDefault="0029246A" w:rsidP="00A57AAB">
      <w:pPr>
        <w:autoSpaceDE w:val="0"/>
        <w:autoSpaceDN w:val="0"/>
        <w:spacing w:before="100" w:beforeAutospacing="1" w:after="100" w:afterAutospacing="1" w:line="240" w:lineRule="auto"/>
        <w:rPr>
          <w:rFonts w:ascii="Times" w:hAnsi="Times" w:cs="Times"/>
        </w:rPr>
      </w:pPr>
      <w:r w:rsidRPr="00A57AAB">
        <w:rPr>
          <w:rFonts w:ascii="Times" w:hAnsi="Times" w:cs="Times"/>
        </w:rPr>
        <w:t xml:space="preserve">Gorton, G. &amp; </w:t>
      </w:r>
      <w:proofErr w:type="spellStart"/>
      <w:r w:rsidRPr="00A57AAB">
        <w:rPr>
          <w:rFonts w:ascii="Times" w:hAnsi="Times" w:cs="Times"/>
        </w:rPr>
        <w:t>Schmid</w:t>
      </w:r>
      <w:proofErr w:type="spellEnd"/>
      <w:r w:rsidRPr="00A57AAB">
        <w:rPr>
          <w:rFonts w:ascii="Times" w:hAnsi="Times" w:cs="Times"/>
        </w:rPr>
        <w:t xml:space="preserve">, F, (2000), «Universal Banking and the Performance of German Firms», </w:t>
      </w:r>
      <w:r w:rsidRPr="00A57AAB">
        <w:rPr>
          <w:rFonts w:ascii="Times" w:hAnsi="Times" w:cs="Times"/>
          <w:i/>
          <w:iCs/>
        </w:rPr>
        <w:t>Journal of Financial Economics</w:t>
      </w:r>
      <w:r w:rsidRPr="00A57AAB">
        <w:rPr>
          <w:rFonts w:ascii="Times" w:hAnsi="Times" w:cs="Times"/>
        </w:rPr>
        <w:t>, 58 (2000), 28-80.</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Hail, L. (2002), « The impact of voluntary corporate disclosures on the ex-ante cost of capital for Swiss firms », European Accounting Review, 11 (4), </w:t>
      </w:r>
      <w:proofErr w:type="spellStart"/>
      <w:r w:rsidRPr="001B41B5">
        <w:rPr>
          <w:rFonts w:ascii="Times" w:hAnsi="Times" w:cs="Times"/>
        </w:rPr>
        <w:t>Décembre</w:t>
      </w:r>
      <w:proofErr w:type="spellEnd"/>
      <w:r w:rsidRPr="001B41B5">
        <w:rPr>
          <w:rFonts w:ascii="Times" w:hAnsi="Times" w:cs="Times"/>
        </w:rPr>
        <w:t xml:space="preserve">, p741- 773 </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Hassan, O., &amp; Marston, C. (2010), « Disclosure measurement in the empirical accounting literature: a review article », Economics and Finance Working Paper Series, September, Working Paper N° 10-18, p1-58 </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Healy, P., Hutton, A. &amp; </w:t>
      </w:r>
      <w:proofErr w:type="spellStart"/>
      <w:r w:rsidRPr="001B41B5">
        <w:rPr>
          <w:rFonts w:ascii="Times" w:hAnsi="Times" w:cs="Times"/>
        </w:rPr>
        <w:t>Palepu</w:t>
      </w:r>
      <w:proofErr w:type="spellEnd"/>
      <w:r w:rsidRPr="001B41B5">
        <w:rPr>
          <w:rFonts w:ascii="Times" w:hAnsi="Times" w:cs="Times"/>
        </w:rPr>
        <w:t>, K. (1999), « Stock performance and intermediation changes surrounding sustained increases in disclosure », Contemporary Accounting Research, 16 (3), p485-520</w:t>
      </w:r>
    </w:p>
    <w:p w:rsidR="0029246A" w:rsidRPr="001B41B5" w:rsidRDefault="0029246A" w:rsidP="00F228A3">
      <w:pPr>
        <w:autoSpaceDE w:val="0"/>
        <w:autoSpaceDN w:val="0"/>
        <w:adjustRightInd w:val="0"/>
        <w:spacing w:after="0" w:line="240" w:lineRule="auto"/>
        <w:rPr>
          <w:rFonts w:ascii="Times" w:hAnsi="Times" w:cs="Times"/>
        </w:rPr>
      </w:pPr>
      <w:r w:rsidRPr="001B41B5">
        <w:rPr>
          <w:rFonts w:ascii="Times" w:hAnsi="Times" w:cs="Times"/>
        </w:rPr>
        <w:t xml:space="preserve">Ho, S. &amp; Wong, K. (2001),”A study of the relationship between corporate governance structures and the extent of voluntary disclosure”, </w:t>
      </w:r>
      <w:r w:rsidRPr="001B41B5">
        <w:rPr>
          <w:rFonts w:ascii="Times" w:hAnsi="Times" w:cs="Times"/>
          <w:i/>
        </w:rPr>
        <w:t>Journal of International Accounting, Auditing and Taxation</w:t>
      </w:r>
      <w:r w:rsidRPr="001B41B5">
        <w:rPr>
          <w:rFonts w:ascii="Times" w:hAnsi="Times" w:cs="Times"/>
        </w:rPr>
        <w:t>, vol. 10, n° 2, pp. 139-156.</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Hope, O. (2003), « Firm-level Disclosures and the Relative Roles of Culture and Legal Origin», </w:t>
      </w:r>
      <w:r w:rsidRPr="001B41B5">
        <w:rPr>
          <w:rFonts w:ascii="Times" w:hAnsi="Times" w:cs="Times"/>
          <w:i/>
        </w:rPr>
        <w:t>Journal of International Financial Management and Accounting,</w:t>
      </w:r>
      <w:r w:rsidRPr="001B41B5">
        <w:rPr>
          <w:rFonts w:ascii="Times" w:hAnsi="Times" w:cs="Times"/>
        </w:rPr>
        <w:t xml:space="preserve"> 14 (3), pp218-248.</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Jensen, M.C. &amp; </w:t>
      </w:r>
      <w:proofErr w:type="spellStart"/>
      <w:r w:rsidRPr="001B41B5">
        <w:rPr>
          <w:rFonts w:ascii="Times" w:hAnsi="Times" w:cs="Times"/>
        </w:rPr>
        <w:t>Meckling</w:t>
      </w:r>
      <w:proofErr w:type="spellEnd"/>
      <w:r w:rsidRPr="001B41B5">
        <w:rPr>
          <w:rFonts w:ascii="Times" w:hAnsi="Times" w:cs="Times"/>
        </w:rPr>
        <w:t xml:space="preserve">, W. H. (1976), “Theory of the Firm: Managerial </w:t>
      </w:r>
      <w:proofErr w:type="spellStart"/>
      <w:r w:rsidRPr="001B41B5">
        <w:rPr>
          <w:rFonts w:ascii="Times" w:hAnsi="Times" w:cs="Times"/>
        </w:rPr>
        <w:t>Behavior</w:t>
      </w:r>
      <w:proofErr w:type="gramStart"/>
      <w:r w:rsidRPr="001B41B5">
        <w:rPr>
          <w:rFonts w:ascii="Times" w:hAnsi="Times" w:cs="Times"/>
        </w:rPr>
        <w:t>,Agency</w:t>
      </w:r>
      <w:proofErr w:type="spellEnd"/>
      <w:proofErr w:type="gramEnd"/>
      <w:r w:rsidRPr="001B41B5">
        <w:rPr>
          <w:rFonts w:ascii="Times" w:hAnsi="Times" w:cs="Times"/>
        </w:rPr>
        <w:t xml:space="preserve"> Cost and Ownership Structure”, </w:t>
      </w:r>
      <w:r w:rsidRPr="001B41B5">
        <w:rPr>
          <w:rFonts w:ascii="Times" w:hAnsi="Times" w:cs="Times"/>
          <w:i/>
          <w:iCs/>
        </w:rPr>
        <w:t xml:space="preserve">Journal of Financial Economics, </w:t>
      </w:r>
      <w:r w:rsidRPr="001B41B5">
        <w:rPr>
          <w:rFonts w:ascii="Times" w:hAnsi="Times" w:cs="Times"/>
        </w:rPr>
        <w:t>vol. 3, pp.305-360.</w:t>
      </w:r>
    </w:p>
    <w:p w:rsidR="0029246A" w:rsidRPr="00A57AAB" w:rsidRDefault="0029246A" w:rsidP="00A57AAB">
      <w:pPr>
        <w:autoSpaceDE w:val="0"/>
        <w:autoSpaceDN w:val="0"/>
        <w:spacing w:before="100" w:beforeAutospacing="1" w:after="100" w:afterAutospacing="1" w:line="240" w:lineRule="auto"/>
        <w:rPr>
          <w:rFonts w:ascii="Times" w:hAnsi="Times" w:cs="Times"/>
        </w:rPr>
      </w:pPr>
      <w:proofErr w:type="gramStart"/>
      <w:r w:rsidRPr="00A57AAB">
        <w:rPr>
          <w:rFonts w:ascii="Times" w:hAnsi="Times" w:cs="Times"/>
        </w:rPr>
        <w:t xml:space="preserve">Jiang, H., &amp; Habib, A., (2009), «The impact of different type of ownership concentration on annual report voluntary disclosures in New Zealand», </w:t>
      </w:r>
      <w:r w:rsidRPr="00A57AAB">
        <w:rPr>
          <w:rFonts w:ascii="Times" w:hAnsi="Times" w:cs="Times"/>
          <w:i/>
          <w:iCs/>
        </w:rPr>
        <w:t>Accounting Research Journal</w:t>
      </w:r>
      <w:r w:rsidRPr="00A57AAB">
        <w:rPr>
          <w:rFonts w:ascii="Times" w:hAnsi="Times" w:cs="Times"/>
        </w:rPr>
        <w:t>, vol.22 (3), pp. 275-304.</w:t>
      </w:r>
      <w:proofErr w:type="gramEnd"/>
    </w:p>
    <w:p w:rsidR="0029246A" w:rsidRPr="00A57AAB" w:rsidRDefault="0029246A" w:rsidP="00A57AAB">
      <w:pPr>
        <w:autoSpaceDE w:val="0"/>
        <w:autoSpaceDN w:val="0"/>
        <w:spacing w:before="100" w:beforeAutospacing="1" w:after="100" w:afterAutospacing="1" w:line="240" w:lineRule="auto"/>
        <w:rPr>
          <w:rFonts w:ascii="Times" w:hAnsi="Times" w:cs="Times"/>
        </w:rPr>
      </w:pPr>
      <w:r w:rsidRPr="00A57AAB">
        <w:rPr>
          <w:rFonts w:ascii="Times" w:hAnsi="Times" w:cs="Times"/>
        </w:rPr>
        <w:t xml:space="preserve">Kaplan, S. &amp; Minton, B. (1994), « Appointments of Outsiders to Japanese Boards: Determinants and Implications for Managers.” </w:t>
      </w:r>
      <w:r w:rsidRPr="00A57AAB">
        <w:rPr>
          <w:rFonts w:ascii="Times" w:hAnsi="Times" w:cs="Times"/>
          <w:i/>
          <w:iCs/>
        </w:rPr>
        <w:t>Journal of Financial Economics</w:t>
      </w:r>
      <w:r w:rsidRPr="00A57AAB">
        <w:rPr>
          <w:rFonts w:ascii="Times" w:hAnsi="Times" w:cs="Times"/>
        </w:rPr>
        <w:t>, 36 (1994), 225-257.</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proofErr w:type="gramStart"/>
      <w:r w:rsidRPr="001B41B5">
        <w:rPr>
          <w:rFonts w:ascii="Times" w:hAnsi="Times" w:cs="Times"/>
        </w:rPr>
        <w:t>Khodadadi</w:t>
      </w:r>
      <w:proofErr w:type="spellEnd"/>
      <w:r w:rsidRPr="001B41B5">
        <w:rPr>
          <w:rFonts w:ascii="Times" w:hAnsi="Times" w:cs="Times"/>
        </w:rPr>
        <w:t xml:space="preserve">, V., </w:t>
      </w:r>
      <w:proofErr w:type="spellStart"/>
      <w:r w:rsidRPr="001B41B5">
        <w:rPr>
          <w:rFonts w:ascii="Times" w:hAnsi="Times" w:cs="Times"/>
        </w:rPr>
        <w:t>Khazami</w:t>
      </w:r>
      <w:proofErr w:type="spellEnd"/>
      <w:r w:rsidRPr="001B41B5">
        <w:rPr>
          <w:rFonts w:ascii="Times" w:hAnsi="Times" w:cs="Times"/>
        </w:rPr>
        <w:t xml:space="preserve">, S. &amp; </w:t>
      </w:r>
      <w:proofErr w:type="spellStart"/>
      <w:r w:rsidRPr="001B41B5">
        <w:rPr>
          <w:rFonts w:ascii="Times" w:hAnsi="Times" w:cs="Times"/>
        </w:rPr>
        <w:t>Aflatooni</w:t>
      </w:r>
      <w:proofErr w:type="spellEnd"/>
      <w:r w:rsidRPr="001B41B5">
        <w:rPr>
          <w:rFonts w:ascii="Times" w:hAnsi="Times" w:cs="Times"/>
        </w:rPr>
        <w:t xml:space="preserve">, A. (2010), «The effect of corporate governance structure on the extent of voluntary disclosure in Iran», </w:t>
      </w:r>
      <w:r w:rsidRPr="001B41B5">
        <w:rPr>
          <w:rFonts w:ascii="Times" w:hAnsi="Times" w:cs="Times"/>
          <w:i/>
        </w:rPr>
        <w:t>Business Intelligence Journal</w:t>
      </w:r>
      <w:r w:rsidRPr="001B41B5">
        <w:rPr>
          <w:rFonts w:ascii="Times" w:hAnsi="Times" w:cs="Times"/>
        </w:rPr>
        <w:t>, 3(2), pp. 151-164.</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t xml:space="preserve">Labelle, R., &amp; </w:t>
      </w:r>
      <w:proofErr w:type="spellStart"/>
      <w:r w:rsidRPr="001B41B5">
        <w:rPr>
          <w:rFonts w:ascii="Times" w:hAnsi="Times" w:cs="Times"/>
          <w:lang w:val="fr-BE"/>
        </w:rPr>
        <w:t>Schatt</w:t>
      </w:r>
      <w:proofErr w:type="spellEnd"/>
      <w:r w:rsidRPr="001B41B5">
        <w:rPr>
          <w:rFonts w:ascii="Times" w:hAnsi="Times" w:cs="Times"/>
          <w:lang w:val="fr-BE"/>
        </w:rPr>
        <w:t xml:space="preserve">, A. (2005), “Structure de propriété et communication financière des entreprises françaises”, </w:t>
      </w:r>
      <w:r w:rsidRPr="001B41B5">
        <w:rPr>
          <w:rFonts w:ascii="Times" w:hAnsi="Times" w:cs="Times"/>
          <w:i/>
          <w:iCs/>
          <w:lang w:val="fr-BE"/>
        </w:rPr>
        <w:t xml:space="preserve">Finance Contrôle Stratégie, </w:t>
      </w:r>
      <w:r w:rsidRPr="001B41B5">
        <w:rPr>
          <w:rFonts w:ascii="Times" w:hAnsi="Times" w:cs="Times"/>
          <w:lang w:val="fr-BE"/>
        </w:rPr>
        <w:t>vol. 8, n°3, septembre, p. 77-104.</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gramStart"/>
      <w:r w:rsidRPr="001B41B5">
        <w:rPr>
          <w:rFonts w:ascii="Times" w:hAnsi="Times" w:cs="Times"/>
        </w:rPr>
        <w:t xml:space="preserve">Lang, M., &amp; </w:t>
      </w:r>
      <w:proofErr w:type="spellStart"/>
      <w:r w:rsidRPr="001B41B5">
        <w:rPr>
          <w:rFonts w:ascii="Times" w:hAnsi="Times" w:cs="Times"/>
        </w:rPr>
        <w:t>Lundholm</w:t>
      </w:r>
      <w:proofErr w:type="spellEnd"/>
      <w:r w:rsidRPr="001B41B5">
        <w:rPr>
          <w:rFonts w:ascii="Times" w:hAnsi="Times" w:cs="Times"/>
        </w:rPr>
        <w:t xml:space="preserve">, R. (1996), « Corporate disclosure policy and analysts », </w:t>
      </w:r>
      <w:r w:rsidRPr="001B41B5">
        <w:rPr>
          <w:rFonts w:ascii="Times" w:hAnsi="Times" w:cs="Times"/>
          <w:i/>
        </w:rPr>
        <w:t>The Accounting Review</w:t>
      </w:r>
      <w:r w:rsidRPr="001B41B5">
        <w:rPr>
          <w:rFonts w:ascii="Times" w:hAnsi="Times" w:cs="Times"/>
        </w:rPr>
        <w:t>, 71, pp. 467-492.</w:t>
      </w:r>
      <w:proofErr w:type="gramEnd"/>
    </w:p>
    <w:p w:rsidR="0029246A" w:rsidRPr="00A57AAB" w:rsidRDefault="0029246A" w:rsidP="0029246A">
      <w:pPr>
        <w:autoSpaceDE w:val="0"/>
        <w:autoSpaceDN w:val="0"/>
        <w:spacing w:before="100" w:beforeAutospacing="1" w:after="100" w:afterAutospacing="1" w:line="240" w:lineRule="auto"/>
        <w:rPr>
          <w:rFonts w:ascii="Times" w:hAnsi="Times" w:cs="Times"/>
        </w:rPr>
      </w:pPr>
      <w:proofErr w:type="spellStart"/>
      <w:proofErr w:type="gramStart"/>
      <w:r w:rsidRPr="00A57AAB">
        <w:rPr>
          <w:rFonts w:ascii="Times" w:hAnsi="Times" w:cs="Times"/>
        </w:rPr>
        <w:lastRenderedPageBreak/>
        <w:t>LaPorta</w:t>
      </w:r>
      <w:proofErr w:type="spellEnd"/>
      <w:r w:rsidRPr="00A57AAB">
        <w:rPr>
          <w:rFonts w:ascii="Times" w:hAnsi="Times" w:cs="Times"/>
        </w:rPr>
        <w:t>, R., Lopez-de-</w:t>
      </w:r>
      <w:proofErr w:type="spellStart"/>
      <w:r w:rsidRPr="00A57AAB">
        <w:rPr>
          <w:rFonts w:ascii="Times" w:hAnsi="Times" w:cs="Times"/>
        </w:rPr>
        <w:t>Silanes</w:t>
      </w:r>
      <w:proofErr w:type="spellEnd"/>
      <w:r w:rsidRPr="00A57AAB">
        <w:rPr>
          <w:rFonts w:ascii="Times" w:hAnsi="Times" w:cs="Times"/>
        </w:rPr>
        <w:t xml:space="preserve"> F., </w:t>
      </w:r>
      <w:proofErr w:type="spellStart"/>
      <w:r w:rsidRPr="00A57AAB">
        <w:rPr>
          <w:rFonts w:ascii="Times" w:hAnsi="Times" w:cs="Times"/>
        </w:rPr>
        <w:t>Shleifer</w:t>
      </w:r>
      <w:proofErr w:type="spellEnd"/>
      <w:r w:rsidRPr="00A57AAB">
        <w:rPr>
          <w:rFonts w:ascii="Times" w:hAnsi="Times" w:cs="Times"/>
        </w:rPr>
        <w:t xml:space="preserve"> A., &amp; </w:t>
      </w:r>
      <w:proofErr w:type="spellStart"/>
      <w:r w:rsidRPr="00A57AAB">
        <w:rPr>
          <w:rFonts w:ascii="Times" w:hAnsi="Times" w:cs="Times"/>
        </w:rPr>
        <w:t>Vishny</w:t>
      </w:r>
      <w:proofErr w:type="spellEnd"/>
      <w:r w:rsidRPr="00A57AAB">
        <w:rPr>
          <w:rFonts w:ascii="Times" w:hAnsi="Times" w:cs="Times"/>
        </w:rPr>
        <w:t>, R.W., (1998), « Law and Finance»,</w:t>
      </w:r>
      <w:r w:rsidRPr="0029246A">
        <w:rPr>
          <w:rFonts w:ascii="Times" w:hAnsi="Times" w:cs="Times"/>
          <w:i/>
          <w:iCs/>
        </w:rPr>
        <w:t xml:space="preserve"> </w:t>
      </w:r>
      <w:r w:rsidRPr="00A57AAB">
        <w:rPr>
          <w:rFonts w:ascii="Times" w:hAnsi="Times" w:cs="Times"/>
          <w:i/>
          <w:iCs/>
        </w:rPr>
        <w:t>Journal of Political Economy</w:t>
      </w:r>
      <w:r w:rsidRPr="00A57AAB">
        <w:rPr>
          <w:rFonts w:ascii="Times" w:hAnsi="Times" w:cs="Times"/>
        </w:rPr>
        <w:t>, 106 (1998), 1113-1155.</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Larran</w:t>
      </w:r>
      <w:proofErr w:type="spellEnd"/>
      <w:r w:rsidRPr="001B41B5">
        <w:rPr>
          <w:rFonts w:ascii="Times" w:hAnsi="Times" w:cs="Times"/>
        </w:rPr>
        <w:t xml:space="preserve">, M., &amp; </w:t>
      </w:r>
      <w:proofErr w:type="spellStart"/>
      <w:r w:rsidRPr="001B41B5">
        <w:rPr>
          <w:rFonts w:ascii="Times" w:hAnsi="Times" w:cs="Times"/>
        </w:rPr>
        <w:t>Giner</w:t>
      </w:r>
      <w:proofErr w:type="spellEnd"/>
      <w:r w:rsidRPr="001B41B5">
        <w:rPr>
          <w:rFonts w:ascii="Times" w:hAnsi="Times" w:cs="Times"/>
        </w:rPr>
        <w:t xml:space="preserve">, B. (2002), « The Use of the internet for Corporate Reporting by Spanish Companies”, </w:t>
      </w:r>
      <w:r w:rsidRPr="001B41B5">
        <w:rPr>
          <w:rFonts w:ascii="Times" w:hAnsi="Times" w:cs="Times"/>
          <w:i/>
          <w:iCs/>
        </w:rPr>
        <w:t>The International Journal of Digital Accounting Research</w:t>
      </w:r>
      <w:r w:rsidRPr="001B41B5">
        <w:rPr>
          <w:rFonts w:ascii="Times" w:hAnsi="Times" w:cs="Times"/>
        </w:rPr>
        <w:t>, ISSN</w:t>
      </w:r>
      <w:proofErr w:type="gramStart"/>
      <w:r w:rsidRPr="001B41B5">
        <w:rPr>
          <w:rFonts w:ascii="Times" w:hAnsi="Times" w:cs="Times"/>
        </w:rPr>
        <w:t>:1577</w:t>
      </w:r>
      <w:proofErr w:type="gramEnd"/>
      <w:r w:rsidRPr="001B41B5">
        <w:rPr>
          <w:rFonts w:ascii="Times" w:hAnsi="Times" w:cs="Times"/>
        </w:rPr>
        <w:t>-8517, vol. 2, n° 1, pp. 53-82</w:t>
      </w:r>
      <w:r>
        <w:rPr>
          <w:rFonts w:ascii="Times" w:hAnsi="Times" w:cs="Times"/>
        </w:rPr>
        <w:t>.</w:t>
      </w:r>
    </w:p>
    <w:p w:rsidR="0029246A" w:rsidRPr="00845560" w:rsidRDefault="0029246A" w:rsidP="00845560">
      <w:pPr>
        <w:autoSpaceDE w:val="0"/>
        <w:autoSpaceDN w:val="0"/>
        <w:spacing w:before="100" w:beforeAutospacing="1" w:after="100" w:afterAutospacing="1" w:line="240" w:lineRule="auto"/>
        <w:rPr>
          <w:rFonts w:ascii="Times" w:hAnsi="Times" w:cs="Times"/>
          <w:lang w:val="fr-BE"/>
        </w:rPr>
      </w:pPr>
      <w:proofErr w:type="spellStart"/>
      <w:proofErr w:type="gramStart"/>
      <w:r w:rsidRPr="00845560">
        <w:rPr>
          <w:rFonts w:ascii="Times" w:hAnsi="Times" w:cs="Times"/>
        </w:rPr>
        <w:t>Laswad</w:t>
      </w:r>
      <w:proofErr w:type="spellEnd"/>
      <w:r w:rsidRPr="00845560">
        <w:rPr>
          <w:rFonts w:ascii="Times" w:hAnsi="Times" w:cs="Times"/>
        </w:rPr>
        <w:t xml:space="preserve">, F., Fisher, R. &amp; </w:t>
      </w:r>
      <w:proofErr w:type="spellStart"/>
      <w:r w:rsidRPr="00845560">
        <w:rPr>
          <w:rFonts w:ascii="Times" w:hAnsi="Times" w:cs="Times"/>
        </w:rPr>
        <w:t>Oyelerec</w:t>
      </w:r>
      <w:proofErr w:type="spellEnd"/>
      <w:r w:rsidRPr="00845560">
        <w:rPr>
          <w:rFonts w:ascii="Times" w:hAnsi="Times" w:cs="Times"/>
        </w:rPr>
        <w:t>, P. (2005), "Determinants of Voluntary internet Financial Reporting by Local Government Authorities."</w:t>
      </w:r>
      <w:proofErr w:type="gramEnd"/>
      <w:r w:rsidRPr="00845560">
        <w:rPr>
          <w:rFonts w:ascii="Times" w:hAnsi="Times" w:cs="Times"/>
        </w:rPr>
        <w:t xml:space="preserve"> </w:t>
      </w:r>
      <w:r w:rsidRPr="00845560">
        <w:rPr>
          <w:rFonts w:ascii="Times" w:hAnsi="Times" w:cs="Times"/>
          <w:i/>
          <w:iCs/>
          <w:lang w:val="fr-BE"/>
        </w:rPr>
        <w:t xml:space="preserve">Journal of </w:t>
      </w:r>
      <w:proofErr w:type="spellStart"/>
      <w:r w:rsidRPr="00845560">
        <w:rPr>
          <w:rFonts w:ascii="Times" w:hAnsi="Times" w:cs="Times"/>
          <w:i/>
          <w:iCs/>
          <w:lang w:val="fr-BE"/>
        </w:rPr>
        <w:t>Accounting</w:t>
      </w:r>
      <w:proofErr w:type="spellEnd"/>
      <w:r w:rsidRPr="00845560">
        <w:rPr>
          <w:rFonts w:ascii="Times" w:hAnsi="Times" w:cs="Times"/>
          <w:i/>
          <w:iCs/>
          <w:lang w:val="fr-BE"/>
        </w:rPr>
        <w:t xml:space="preserve"> and Public Policy, </w:t>
      </w:r>
      <w:r w:rsidRPr="00845560">
        <w:rPr>
          <w:rFonts w:ascii="Times" w:hAnsi="Times" w:cs="Times"/>
          <w:iCs/>
          <w:lang w:val="fr-BE"/>
        </w:rPr>
        <w:t xml:space="preserve">vol. </w:t>
      </w:r>
      <w:r w:rsidRPr="00845560">
        <w:rPr>
          <w:rFonts w:ascii="Times" w:hAnsi="Times" w:cs="Times"/>
          <w:lang w:val="fr-BE"/>
        </w:rPr>
        <w:t>24, n°2, pp. 101-121.</w:t>
      </w:r>
    </w:p>
    <w:p w:rsidR="0029246A" w:rsidRDefault="0029246A" w:rsidP="00F228A3">
      <w:pPr>
        <w:autoSpaceDE w:val="0"/>
        <w:autoSpaceDN w:val="0"/>
        <w:spacing w:before="100" w:beforeAutospacing="1" w:after="100" w:afterAutospacing="1" w:line="240" w:lineRule="auto"/>
        <w:rPr>
          <w:rFonts w:ascii="Times" w:hAnsi="Times" w:cs="Times"/>
          <w:lang w:val="fr-BE"/>
        </w:rPr>
      </w:pPr>
      <w:proofErr w:type="spellStart"/>
      <w:r w:rsidRPr="001B41B5">
        <w:rPr>
          <w:rFonts w:ascii="Times" w:hAnsi="Times" w:cs="Times"/>
          <w:lang w:val="fr-BE"/>
        </w:rPr>
        <w:t>Ledentu</w:t>
      </w:r>
      <w:proofErr w:type="spellEnd"/>
      <w:r w:rsidRPr="001B41B5">
        <w:rPr>
          <w:rFonts w:ascii="Times" w:hAnsi="Times" w:cs="Times"/>
          <w:lang w:val="fr-BE"/>
        </w:rPr>
        <w:t>, F. (2008), « Système de gouvernance d’entreprise et présence d’actionnaires de contrôle. Le cas suisse », Thèse de doctorat,  Faculté des Sciences économiques et sociales de l’Université de Fribourg, 199 pages.</w:t>
      </w:r>
    </w:p>
    <w:p w:rsidR="0029246A" w:rsidRPr="00BB44B1" w:rsidRDefault="0029246A" w:rsidP="00431BD7">
      <w:pPr>
        <w:autoSpaceDE w:val="0"/>
        <w:autoSpaceDN w:val="0"/>
        <w:spacing w:before="100" w:beforeAutospacing="1" w:after="100" w:afterAutospacing="1" w:line="240" w:lineRule="auto"/>
        <w:rPr>
          <w:rFonts w:ascii="Times" w:hAnsi="Times" w:cs="Times"/>
          <w:lang w:val="fr-BE"/>
        </w:rPr>
      </w:pPr>
      <w:r w:rsidRPr="00BB44B1">
        <w:rPr>
          <w:rFonts w:ascii="Times" w:hAnsi="Times" w:cs="Times"/>
          <w:lang w:val="fr-BE"/>
        </w:rPr>
        <w:t xml:space="preserve">Levant, Y. (2000), « Typologie des systèmes de contrôle organisationnel et performance des opérations d’acquisition », </w:t>
      </w:r>
      <w:r w:rsidRPr="00BB44B1">
        <w:rPr>
          <w:rFonts w:ascii="Times" w:hAnsi="Times" w:cs="Times"/>
          <w:i/>
          <w:lang w:val="fr-BE"/>
        </w:rPr>
        <w:t>Revue Comptabilité-Contrôle-Audit</w:t>
      </w:r>
      <w:r w:rsidRPr="00BB44B1">
        <w:rPr>
          <w:rFonts w:ascii="Times" w:hAnsi="Times" w:cs="Times"/>
          <w:lang w:val="fr-BE"/>
        </w:rPr>
        <w:t>, tome 6, pp. 77 à 96.</w:t>
      </w:r>
    </w:p>
    <w:p w:rsidR="0029246A" w:rsidRPr="001B41B5" w:rsidRDefault="0029246A" w:rsidP="00F228A3">
      <w:pPr>
        <w:autoSpaceDE w:val="0"/>
        <w:autoSpaceDN w:val="0"/>
        <w:adjustRightInd w:val="0"/>
        <w:spacing w:after="0" w:line="240" w:lineRule="auto"/>
        <w:rPr>
          <w:rFonts w:ascii="Times" w:hAnsi="Times" w:cs="Times"/>
        </w:rPr>
      </w:pPr>
      <w:r w:rsidRPr="001B41B5">
        <w:rPr>
          <w:rFonts w:ascii="Times" w:hAnsi="Times" w:cs="Times"/>
        </w:rPr>
        <w:t xml:space="preserve">Martin, K. </w:t>
      </w:r>
      <w:proofErr w:type="gramStart"/>
      <w:r w:rsidRPr="001B41B5">
        <w:rPr>
          <w:rFonts w:ascii="Times" w:hAnsi="Times" w:cs="Times"/>
        </w:rPr>
        <w:t>et</w:t>
      </w:r>
      <w:proofErr w:type="gramEnd"/>
      <w:r w:rsidRPr="001B41B5">
        <w:rPr>
          <w:rFonts w:ascii="Times" w:hAnsi="Times" w:cs="Times"/>
        </w:rPr>
        <w:t xml:space="preserve"> McConnell, J. (1991), « Corporate Performance, Corporate Takeovers, and Management Turnover », </w:t>
      </w:r>
      <w:r w:rsidRPr="001B41B5">
        <w:rPr>
          <w:rFonts w:ascii="Times" w:hAnsi="Times" w:cs="Times"/>
          <w:i/>
        </w:rPr>
        <w:t>Journal of Finance</w:t>
      </w:r>
      <w:r w:rsidRPr="001B41B5">
        <w:rPr>
          <w:rFonts w:ascii="Times" w:hAnsi="Times" w:cs="Times"/>
        </w:rPr>
        <w:t>, vol. 46,</w:t>
      </w:r>
      <w:r>
        <w:rPr>
          <w:rFonts w:ascii="Times" w:hAnsi="Times" w:cs="Times"/>
        </w:rPr>
        <w:t xml:space="preserve"> </w:t>
      </w:r>
      <w:r w:rsidRPr="001B41B5">
        <w:rPr>
          <w:rFonts w:ascii="Times" w:hAnsi="Times" w:cs="Times"/>
        </w:rPr>
        <w:t>n° 2, p. 671-687.</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gramStart"/>
      <w:r w:rsidRPr="001B41B5">
        <w:rPr>
          <w:rFonts w:ascii="Times" w:hAnsi="Times" w:cs="Times"/>
        </w:rPr>
        <w:t xml:space="preserve">Mc </w:t>
      </w:r>
      <w:proofErr w:type="spellStart"/>
      <w:r w:rsidRPr="001B41B5">
        <w:rPr>
          <w:rFonts w:ascii="Times" w:hAnsi="Times" w:cs="Times"/>
        </w:rPr>
        <w:t>Kinnon</w:t>
      </w:r>
      <w:proofErr w:type="spellEnd"/>
      <w:r w:rsidRPr="001B41B5">
        <w:rPr>
          <w:rFonts w:ascii="Times" w:hAnsi="Times" w:cs="Times"/>
        </w:rPr>
        <w:t xml:space="preserve">, J.L. &amp; </w:t>
      </w:r>
      <w:proofErr w:type="spellStart"/>
      <w:r w:rsidRPr="001B41B5">
        <w:rPr>
          <w:rFonts w:ascii="Times" w:hAnsi="Times" w:cs="Times"/>
        </w:rPr>
        <w:t>Dalimunthe</w:t>
      </w:r>
      <w:proofErr w:type="spellEnd"/>
      <w:r w:rsidRPr="001B41B5">
        <w:rPr>
          <w:rFonts w:ascii="Times" w:hAnsi="Times" w:cs="Times"/>
        </w:rPr>
        <w:t xml:space="preserve">, L. (1993), « Voluntary disclosure of segment information by </w:t>
      </w:r>
      <w:proofErr w:type="spellStart"/>
      <w:r w:rsidRPr="001B41B5">
        <w:rPr>
          <w:rFonts w:ascii="Times" w:hAnsi="Times" w:cs="Times"/>
        </w:rPr>
        <w:t>australian</w:t>
      </w:r>
      <w:proofErr w:type="spellEnd"/>
      <w:r w:rsidRPr="001B41B5">
        <w:rPr>
          <w:rFonts w:ascii="Times" w:hAnsi="Times" w:cs="Times"/>
        </w:rPr>
        <w:t xml:space="preserve"> diversified companies », </w:t>
      </w:r>
      <w:r w:rsidRPr="001B41B5">
        <w:rPr>
          <w:rFonts w:ascii="Times" w:hAnsi="Times" w:cs="Times"/>
          <w:i/>
        </w:rPr>
        <w:t>Accounting and Finance</w:t>
      </w:r>
      <w:r w:rsidRPr="001B41B5">
        <w:rPr>
          <w:rFonts w:ascii="Times" w:hAnsi="Times" w:cs="Times"/>
        </w:rPr>
        <w:t>, 33, pp. 33-50.</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Mc </w:t>
      </w:r>
      <w:proofErr w:type="spellStart"/>
      <w:r w:rsidRPr="001B41B5">
        <w:rPr>
          <w:rFonts w:ascii="Times" w:hAnsi="Times" w:cs="Times"/>
        </w:rPr>
        <w:t>Nally</w:t>
      </w:r>
      <w:proofErr w:type="spellEnd"/>
      <w:r w:rsidRPr="001B41B5">
        <w:rPr>
          <w:rFonts w:ascii="Times" w:hAnsi="Times" w:cs="Times"/>
        </w:rPr>
        <w:t xml:space="preserve"> G.M., </w:t>
      </w:r>
      <w:proofErr w:type="spellStart"/>
      <w:r w:rsidRPr="001B41B5">
        <w:rPr>
          <w:rFonts w:ascii="Times" w:hAnsi="Times" w:cs="Times"/>
        </w:rPr>
        <w:t>Eng</w:t>
      </w:r>
      <w:proofErr w:type="spellEnd"/>
      <w:r w:rsidRPr="001B41B5">
        <w:rPr>
          <w:rFonts w:ascii="Times" w:hAnsi="Times" w:cs="Times"/>
        </w:rPr>
        <w:t xml:space="preserve">, L. &amp; </w:t>
      </w:r>
      <w:proofErr w:type="spellStart"/>
      <w:r w:rsidRPr="001B41B5">
        <w:rPr>
          <w:rFonts w:ascii="Times" w:hAnsi="Times" w:cs="Times"/>
        </w:rPr>
        <w:t>Hasseldine</w:t>
      </w:r>
      <w:proofErr w:type="spellEnd"/>
      <w:r w:rsidRPr="001B41B5">
        <w:rPr>
          <w:rFonts w:ascii="Times" w:hAnsi="Times" w:cs="Times"/>
        </w:rPr>
        <w:t xml:space="preserve">, C. (1982), « Corporate Financial Reporting in New </w:t>
      </w:r>
      <w:proofErr w:type="gramStart"/>
      <w:r w:rsidRPr="001B41B5">
        <w:rPr>
          <w:rFonts w:ascii="Times" w:hAnsi="Times" w:cs="Times"/>
        </w:rPr>
        <w:t>Zeeland :</w:t>
      </w:r>
      <w:proofErr w:type="gramEnd"/>
      <w:r w:rsidRPr="001B41B5">
        <w:rPr>
          <w:rFonts w:ascii="Times" w:hAnsi="Times" w:cs="Times"/>
        </w:rPr>
        <w:t xml:space="preserve"> An analysis of user preferences, corporate characteristics listed on the London Stock Exchange », </w:t>
      </w:r>
      <w:r w:rsidRPr="001B41B5">
        <w:rPr>
          <w:rFonts w:ascii="Times" w:hAnsi="Times" w:cs="Times"/>
          <w:i/>
        </w:rPr>
        <w:t>Journal of International Business Studies</w:t>
      </w:r>
      <w:r w:rsidRPr="001B41B5">
        <w:rPr>
          <w:rFonts w:ascii="Times" w:hAnsi="Times" w:cs="Times"/>
        </w:rPr>
        <w:t>, 20 (2), pp. 315-336.</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Meek, G.K., Roberts, C.B. &amp; Gray, S.J. (1995), « Factors influencing voluntary annual report disclosures by US, UK and </w:t>
      </w:r>
      <w:proofErr w:type="gramStart"/>
      <w:r w:rsidRPr="001B41B5">
        <w:rPr>
          <w:rFonts w:ascii="Times" w:hAnsi="Times" w:cs="Times"/>
        </w:rPr>
        <w:t>Continental  European</w:t>
      </w:r>
      <w:proofErr w:type="gramEnd"/>
      <w:r w:rsidRPr="001B41B5">
        <w:rPr>
          <w:rFonts w:ascii="Times" w:hAnsi="Times" w:cs="Times"/>
        </w:rPr>
        <w:t xml:space="preserve"> Multinational Corporations », Journal </w:t>
      </w:r>
      <w:r w:rsidRPr="001B41B5">
        <w:rPr>
          <w:rFonts w:ascii="Times" w:hAnsi="Times" w:cs="Times"/>
          <w:i/>
        </w:rPr>
        <w:t>of International Business Studies</w:t>
      </w:r>
      <w:r w:rsidRPr="001B41B5">
        <w:rPr>
          <w:rFonts w:ascii="Times" w:hAnsi="Times" w:cs="Times"/>
        </w:rPr>
        <w:t>, 26 (3), pp. 555-572.</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gramStart"/>
      <w:r w:rsidRPr="001B41B5">
        <w:rPr>
          <w:rFonts w:ascii="Times" w:hAnsi="Times" w:cs="Times"/>
        </w:rPr>
        <w:t>Mendes-da-Silva, W., and T. Christensen.</w:t>
      </w:r>
      <w:proofErr w:type="gramEnd"/>
      <w:r w:rsidRPr="001B41B5">
        <w:rPr>
          <w:rFonts w:ascii="Times" w:hAnsi="Times" w:cs="Times"/>
        </w:rPr>
        <w:t xml:space="preserve"> (2004), “Determinants of voluntary disclosure of financial information on the internet by Brazilian firms" Available from World Wide Web: </w:t>
      </w:r>
      <w:hyperlink r:id="rId11" w:history="1">
        <w:r w:rsidRPr="00451DC0">
          <w:rPr>
            <w:rFonts w:ascii="Times" w:hAnsi="Times" w:cs="Times"/>
            <w:u w:val="single"/>
          </w:rPr>
          <w:t>http://ssm.com/abstract=638082</w:t>
        </w:r>
      </w:hyperlink>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proofErr w:type="spellStart"/>
      <w:r w:rsidRPr="001B41B5">
        <w:rPr>
          <w:rFonts w:ascii="Times" w:hAnsi="Times" w:cs="Times"/>
          <w:lang w:val="fr-BE"/>
        </w:rPr>
        <w:t>Michaïlesco</w:t>
      </w:r>
      <w:proofErr w:type="spellEnd"/>
      <w:r w:rsidRPr="001B41B5">
        <w:rPr>
          <w:rFonts w:ascii="Times" w:hAnsi="Times" w:cs="Times"/>
          <w:lang w:val="fr-BE"/>
        </w:rPr>
        <w:t xml:space="preserve">, C. (1999), « Une étude empirique des déterminants de la qualité de l’information diffusée par les entreprises françaises au cours de la période 1991-1995 », </w:t>
      </w:r>
      <w:r w:rsidRPr="001B41B5">
        <w:rPr>
          <w:rFonts w:ascii="Times" w:hAnsi="Times" w:cs="Times"/>
          <w:i/>
          <w:lang w:val="fr-BE"/>
        </w:rPr>
        <w:t>Comptabilité-Contrôle-Audit</w:t>
      </w:r>
      <w:r w:rsidRPr="001B41B5">
        <w:rPr>
          <w:rFonts w:ascii="Times" w:hAnsi="Times" w:cs="Times"/>
          <w:lang w:val="fr-BE"/>
        </w:rPr>
        <w:t>, 5(1), pp. 83-108.</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Mitchell, J.D., Chia, C., &amp; </w:t>
      </w:r>
      <w:proofErr w:type="spellStart"/>
      <w:r w:rsidRPr="001B41B5">
        <w:rPr>
          <w:rFonts w:ascii="Times" w:hAnsi="Times" w:cs="Times"/>
        </w:rPr>
        <w:t>Loh</w:t>
      </w:r>
      <w:proofErr w:type="spellEnd"/>
      <w:r w:rsidRPr="001B41B5">
        <w:rPr>
          <w:rFonts w:ascii="Times" w:hAnsi="Times" w:cs="Times"/>
        </w:rPr>
        <w:t xml:space="preserve">, A. (1995), « Voluntary disclosure of segment </w:t>
      </w:r>
      <w:proofErr w:type="gramStart"/>
      <w:r w:rsidRPr="001B41B5">
        <w:rPr>
          <w:rFonts w:ascii="Times" w:hAnsi="Times" w:cs="Times"/>
        </w:rPr>
        <w:t>information :</w:t>
      </w:r>
      <w:proofErr w:type="gramEnd"/>
      <w:r w:rsidRPr="001B41B5">
        <w:rPr>
          <w:rFonts w:ascii="Times" w:hAnsi="Times" w:cs="Times"/>
        </w:rPr>
        <w:t xml:space="preserve"> further </w:t>
      </w:r>
      <w:proofErr w:type="spellStart"/>
      <w:r w:rsidRPr="001B41B5">
        <w:rPr>
          <w:rFonts w:ascii="Times" w:hAnsi="Times" w:cs="Times"/>
        </w:rPr>
        <w:t>australian</w:t>
      </w:r>
      <w:proofErr w:type="spellEnd"/>
      <w:r w:rsidRPr="001B41B5">
        <w:rPr>
          <w:rFonts w:ascii="Times" w:hAnsi="Times" w:cs="Times"/>
        </w:rPr>
        <w:t xml:space="preserve"> evidence », </w:t>
      </w:r>
      <w:r w:rsidRPr="001B41B5">
        <w:rPr>
          <w:rFonts w:ascii="Times" w:hAnsi="Times" w:cs="Times"/>
          <w:i/>
        </w:rPr>
        <w:t>Accounting and Finance</w:t>
      </w:r>
      <w:r w:rsidRPr="001B41B5">
        <w:rPr>
          <w:rFonts w:ascii="Times" w:hAnsi="Times" w:cs="Times"/>
        </w:rPr>
        <w:t>, 35, pp. 1-15.</w:t>
      </w:r>
    </w:p>
    <w:p w:rsidR="0029246A" w:rsidRPr="00A57AAB" w:rsidRDefault="0029246A" w:rsidP="00A57AAB">
      <w:pPr>
        <w:autoSpaceDE w:val="0"/>
        <w:autoSpaceDN w:val="0"/>
        <w:spacing w:before="100" w:beforeAutospacing="1" w:after="100" w:afterAutospacing="1" w:line="240" w:lineRule="auto"/>
        <w:rPr>
          <w:rFonts w:ascii="Times" w:hAnsi="Times" w:cs="Times"/>
        </w:rPr>
      </w:pPr>
      <w:proofErr w:type="spellStart"/>
      <w:r w:rsidRPr="00A57AAB">
        <w:rPr>
          <w:rFonts w:ascii="Times" w:hAnsi="Times" w:cs="Times"/>
        </w:rPr>
        <w:t>Morck</w:t>
      </w:r>
      <w:proofErr w:type="spellEnd"/>
      <w:r w:rsidRPr="00A57AAB">
        <w:rPr>
          <w:rFonts w:ascii="Times" w:hAnsi="Times" w:cs="Times"/>
        </w:rPr>
        <w:t xml:space="preserve">, R., M. Nakamura &amp; </w:t>
      </w:r>
      <w:proofErr w:type="spellStart"/>
      <w:r w:rsidRPr="00A57AAB">
        <w:rPr>
          <w:rFonts w:ascii="Times" w:hAnsi="Times" w:cs="Times"/>
        </w:rPr>
        <w:t>Shivdasani</w:t>
      </w:r>
      <w:proofErr w:type="spellEnd"/>
      <w:r w:rsidRPr="00A57AAB">
        <w:rPr>
          <w:rFonts w:ascii="Times" w:hAnsi="Times" w:cs="Times"/>
        </w:rPr>
        <w:t>, A, (2000), « Banks, Ownership Structure, and Firm Value in Japan », Journal of Business, 73, 539-567.</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proofErr w:type="gramStart"/>
      <w:r w:rsidRPr="001B41B5">
        <w:rPr>
          <w:rFonts w:ascii="Times" w:hAnsi="Times" w:cs="Times"/>
        </w:rPr>
        <w:t>Oyelere</w:t>
      </w:r>
      <w:proofErr w:type="spellEnd"/>
      <w:r w:rsidRPr="001B41B5">
        <w:rPr>
          <w:rFonts w:ascii="Times" w:hAnsi="Times" w:cs="Times"/>
        </w:rPr>
        <w:t xml:space="preserve">, P., </w:t>
      </w:r>
      <w:proofErr w:type="spellStart"/>
      <w:r w:rsidRPr="001B41B5">
        <w:rPr>
          <w:rFonts w:ascii="Times" w:hAnsi="Times" w:cs="Times"/>
        </w:rPr>
        <w:t>Laswad</w:t>
      </w:r>
      <w:proofErr w:type="spellEnd"/>
      <w:r w:rsidRPr="001B41B5">
        <w:rPr>
          <w:rFonts w:ascii="Times" w:hAnsi="Times" w:cs="Times"/>
        </w:rPr>
        <w:t xml:space="preserve">, F. &amp; Fisher, R. (2003), “Determinants of internet Financial Reporting by New Zealand Companies”, </w:t>
      </w:r>
      <w:r w:rsidRPr="001B41B5">
        <w:rPr>
          <w:rFonts w:ascii="Times" w:hAnsi="Times" w:cs="Times"/>
          <w:i/>
          <w:iCs/>
        </w:rPr>
        <w:t>Journal of International Financial Management and Accounting</w:t>
      </w:r>
      <w:r w:rsidRPr="001B41B5">
        <w:rPr>
          <w:rFonts w:ascii="Times" w:hAnsi="Times" w:cs="Times"/>
        </w:rPr>
        <w:t>, vol. 14, n° 1, pp. 26-63.</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lastRenderedPageBreak/>
        <w:t xml:space="preserve">Paturel, R., </w:t>
      </w:r>
      <w:proofErr w:type="spellStart"/>
      <w:r w:rsidRPr="001B41B5">
        <w:rPr>
          <w:rFonts w:ascii="Times" w:hAnsi="Times" w:cs="Times"/>
          <w:lang w:val="fr-BE"/>
        </w:rPr>
        <w:t>Matoussi</w:t>
      </w:r>
      <w:proofErr w:type="spellEnd"/>
      <w:r w:rsidRPr="001B41B5">
        <w:rPr>
          <w:rFonts w:ascii="Times" w:hAnsi="Times" w:cs="Times"/>
          <w:lang w:val="fr-BE"/>
        </w:rPr>
        <w:t xml:space="preserve">, H. &amp; </w:t>
      </w:r>
      <w:proofErr w:type="spellStart"/>
      <w:r w:rsidRPr="001B41B5">
        <w:rPr>
          <w:rFonts w:ascii="Times" w:hAnsi="Times" w:cs="Times"/>
          <w:lang w:val="fr-BE"/>
        </w:rPr>
        <w:t>Jouini</w:t>
      </w:r>
      <w:proofErr w:type="spellEnd"/>
      <w:r w:rsidRPr="001B41B5">
        <w:rPr>
          <w:rFonts w:ascii="Times" w:hAnsi="Times" w:cs="Times"/>
          <w:lang w:val="fr-BE"/>
        </w:rPr>
        <w:t xml:space="preserve">, S (2006) « Les motivations de la communication financière des entreprises françaises et britanniques à travers le web », </w:t>
      </w:r>
      <w:r w:rsidRPr="001B41B5">
        <w:rPr>
          <w:rFonts w:ascii="Times" w:hAnsi="Times" w:cs="Times"/>
          <w:i/>
          <w:iCs/>
          <w:lang w:val="fr-BE"/>
        </w:rPr>
        <w:t>5ème Colloque International de la recherche en sciences de gestion</w:t>
      </w:r>
      <w:r w:rsidRPr="001B41B5">
        <w:rPr>
          <w:rFonts w:ascii="Times" w:hAnsi="Times" w:cs="Times"/>
          <w:lang w:val="fr-BE"/>
        </w:rPr>
        <w:t>, Hammamet, Tunisie, Mars.</w:t>
      </w:r>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r w:rsidRPr="001B41B5">
        <w:rPr>
          <w:rFonts w:ascii="Times" w:hAnsi="Times" w:cs="Times"/>
          <w:lang w:val="fr-BE"/>
        </w:rPr>
        <w:t xml:space="preserve">Pozniak, L. &amp; Croquet, M. (2011), « Analyse des déterminants de la communication financière sur l’Internet. Le cas des Marchés non réglementés de la Bourse de Bruxelles », </w:t>
      </w:r>
      <w:r w:rsidRPr="001B41B5">
        <w:rPr>
          <w:rFonts w:ascii="Times" w:hAnsi="Times" w:cs="Times"/>
          <w:i/>
          <w:lang w:val="fr-BE"/>
        </w:rPr>
        <w:t xml:space="preserve">Journal of Small Business and </w:t>
      </w:r>
      <w:proofErr w:type="spellStart"/>
      <w:r w:rsidRPr="001B41B5">
        <w:rPr>
          <w:rFonts w:ascii="Times" w:hAnsi="Times" w:cs="Times"/>
          <w:i/>
          <w:lang w:val="fr-BE"/>
        </w:rPr>
        <w:t>Entrepreneurship</w:t>
      </w:r>
      <w:proofErr w:type="spellEnd"/>
      <w:r w:rsidRPr="001B41B5">
        <w:rPr>
          <w:rFonts w:ascii="Times" w:hAnsi="Times" w:cs="Times"/>
          <w:lang w:val="fr-BE"/>
        </w:rPr>
        <w:t>, vol. 24, n° 3, pp. 329-344.</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lang w:val="en-GB"/>
        </w:rPr>
        <w:t xml:space="preserve">Pozniak, L. (2010), “Financial Communication on the Web - Evidence from Belgium”, </w:t>
      </w:r>
      <w:r w:rsidRPr="001B41B5">
        <w:rPr>
          <w:rFonts w:ascii="Times" w:hAnsi="Times" w:cs="Times"/>
          <w:i/>
        </w:rPr>
        <w:t>Accounting &amp; Taxation</w:t>
      </w:r>
      <w:r w:rsidRPr="001B41B5">
        <w:rPr>
          <w:rFonts w:ascii="Times" w:hAnsi="Times" w:cs="Times"/>
        </w:rPr>
        <w:t>, vol. 1, n° 2, pp. 47-58.</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lang w:val="fr-BE"/>
        </w:rPr>
        <w:t xml:space="preserve">Pozniak, L. (2013), « Internet Financial Communication. </w:t>
      </w:r>
      <w:proofErr w:type="gramStart"/>
      <w:r w:rsidRPr="001B41B5">
        <w:rPr>
          <w:rFonts w:ascii="Times" w:hAnsi="Times" w:cs="Times"/>
        </w:rPr>
        <w:t xml:space="preserve">Evidence from unregulated markets in Brussels and Paris », </w:t>
      </w:r>
      <w:r w:rsidRPr="001B41B5">
        <w:rPr>
          <w:rFonts w:ascii="Times" w:hAnsi="Times" w:cs="Times"/>
          <w:i/>
        </w:rPr>
        <w:t>International Journal of Business and Finance Research</w:t>
      </w:r>
      <w:r w:rsidRPr="001B41B5">
        <w:rPr>
          <w:rFonts w:ascii="Times" w:hAnsi="Times" w:cs="Times"/>
        </w:rPr>
        <w:t>, vol.7, n° 5, pp. 107-122.</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proofErr w:type="gramStart"/>
      <w:r w:rsidRPr="001B41B5">
        <w:rPr>
          <w:rFonts w:ascii="Times" w:hAnsi="Times" w:cs="Times"/>
        </w:rPr>
        <w:t>Raffournier</w:t>
      </w:r>
      <w:proofErr w:type="spellEnd"/>
      <w:r w:rsidRPr="001B41B5">
        <w:rPr>
          <w:rFonts w:ascii="Times" w:hAnsi="Times" w:cs="Times"/>
        </w:rPr>
        <w:t xml:space="preserve">, B., (1995), « The determinants of voluntary disclosure by </w:t>
      </w:r>
      <w:proofErr w:type="spellStart"/>
      <w:r w:rsidRPr="001B41B5">
        <w:rPr>
          <w:rFonts w:ascii="Times" w:hAnsi="Times" w:cs="Times"/>
        </w:rPr>
        <w:t>swiss</w:t>
      </w:r>
      <w:proofErr w:type="spellEnd"/>
      <w:r w:rsidRPr="001B41B5">
        <w:rPr>
          <w:rFonts w:ascii="Times" w:hAnsi="Times" w:cs="Times"/>
        </w:rPr>
        <w:t xml:space="preserve"> listed companies », </w:t>
      </w:r>
      <w:r w:rsidRPr="001B41B5">
        <w:rPr>
          <w:rFonts w:ascii="Times" w:hAnsi="Times" w:cs="Times"/>
          <w:i/>
        </w:rPr>
        <w:t>The European Accounting Review</w:t>
      </w:r>
      <w:r w:rsidRPr="001B41B5">
        <w:rPr>
          <w:rFonts w:ascii="Times" w:hAnsi="Times" w:cs="Times"/>
        </w:rPr>
        <w:t>, 4(2), pp. 261-280.</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Robb, S., Single, L., &amp; </w:t>
      </w:r>
      <w:proofErr w:type="spellStart"/>
      <w:r w:rsidRPr="001B41B5">
        <w:rPr>
          <w:rFonts w:ascii="Times" w:hAnsi="Times" w:cs="Times"/>
        </w:rPr>
        <w:t>Zarzeski</w:t>
      </w:r>
      <w:proofErr w:type="spellEnd"/>
      <w:r w:rsidRPr="001B41B5">
        <w:rPr>
          <w:rFonts w:ascii="Times" w:hAnsi="Times" w:cs="Times"/>
        </w:rPr>
        <w:t xml:space="preserve">, M. (2001), « Non-financial Disclosures across Anglo- American Countries </w:t>
      </w:r>
      <w:r w:rsidRPr="001B41B5">
        <w:rPr>
          <w:rFonts w:ascii="Times" w:hAnsi="Times" w:cs="Times"/>
          <w:i/>
        </w:rPr>
        <w:t>», Journal of International Accounting</w:t>
      </w:r>
      <w:r w:rsidRPr="001B41B5">
        <w:rPr>
          <w:rFonts w:ascii="Times" w:hAnsi="Times" w:cs="Times"/>
        </w:rPr>
        <w:t>, 10 (1), p71–83</w:t>
      </w:r>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Rodriguez, L. &amp; </w:t>
      </w:r>
      <w:proofErr w:type="spellStart"/>
      <w:r w:rsidRPr="001B41B5">
        <w:rPr>
          <w:rFonts w:ascii="Times" w:hAnsi="Times" w:cs="Times"/>
        </w:rPr>
        <w:t>Menezes</w:t>
      </w:r>
      <w:proofErr w:type="spellEnd"/>
      <w:r w:rsidRPr="001B41B5">
        <w:rPr>
          <w:rFonts w:ascii="Times" w:hAnsi="Times" w:cs="Times"/>
        </w:rPr>
        <w:t xml:space="preserve">, C. (2003), “Financial reporting on the internet. </w:t>
      </w:r>
      <w:proofErr w:type="gramStart"/>
      <w:r w:rsidRPr="001B41B5">
        <w:rPr>
          <w:rFonts w:ascii="Times" w:hAnsi="Times" w:cs="Times"/>
        </w:rPr>
        <w:t xml:space="preserve">The Portuguese case”, </w:t>
      </w:r>
      <w:r w:rsidRPr="001B41B5">
        <w:rPr>
          <w:rFonts w:ascii="Times" w:hAnsi="Times" w:cs="Times"/>
          <w:i/>
          <w:iCs/>
        </w:rPr>
        <w:t>RAE Electronica</w:t>
      </w:r>
      <w:r w:rsidRPr="001B41B5">
        <w:rPr>
          <w:rFonts w:ascii="Times" w:hAnsi="Times" w:cs="Times"/>
        </w:rPr>
        <w:t>, vol. 2, n° 2, 22p.</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rPr>
      </w:pPr>
      <w:r w:rsidRPr="001B41B5">
        <w:rPr>
          <w:rFonts w:ascii="Times" w:hAnsi="Times" w:cs="Times"/>
        </w:rPr>
        <w:t xml:space="preserve">Scott, T.W. (1994), « Incentives and disincentives for financial </w:t>
      </w:r>
      <w:proofErr w:type="gramStart"/>
      <w:r w:rsidRPr="001B41B5">
        <w:rPr>
          <w:rFonts w:ascii="Times" w:hAnsi="Times" w:cs="Times"/>
        </w:rPr>
        <w:t>disclosure :</w:t>
      </w:r>
      <w:proofErr w:type="gramEnd"/>
      <w:r w:rsidRPr="001B41B5">
        <w:rPr>
          <w:rFonts w:ascii="Times" w:hAnsi="Times" w:cs="Times"/>
        </w:rPr>
        <w:t xml:space="preserve"> voluntary disclosure of defined benefit pension plan information by </w:t>
      </w:r>
      <w:proofErr w:type="spellStart"/>
      <w:r w:rsidRPr="001B41B5">
        <w:rPr>
          <w:rFonts w:ascii="Times" w:hAnsi="Times" w:cs="Times"/>
        </w:rPr>
        <w:t>canadian</w:t>
      </w:r>
      <w:proofErr w:type="spellEnd"/>
      <w:r w:rsidRPr="001B41B5">
        <w:rPr>
          <w:rFonts w:ascii="Times" w:hAnsi="Times" w:cs="Times"/>
        </w:rPr>
        <w:t xml:space="preserve"> firms », </w:t>
      </w:r>
      <w:r w:rsidRPr="001B41B5">
        <w:rPr>
          <w:rFonts w:ascii="Times" w:hAnsi="Times" w:cs="Times"/>
          <w:i/>
        </w:rPr>
        <w:t>The Accounting Review</w:t>
      </w:r>
      <w:r w:rsidRPr="001B41B5">
        <w:rPr>
          <w:rFonts w:ascii="Times" w:hAnsi="Times" w:cs="Times"/>
        </w:rPr>
        <w:t>, 69(1), pp. 26-43.</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proofErr w:type="gramStart"/>
      <w:r w:rsidRPr="001B41B5">
        <w:rPr>
          <w:rFonts w:ascii="Times" w:hAnsi="Times" w:cs="Times"/>
        </w:rPr>
        <w:t>Sengupta</w:t>
      </w:r>
      <w:proofErr w:type="spellEnd"/>
      <w:r w:rsidRPr="001B41B5">
        <w:rPr>
          <w:rFonts w:ascii="Times" w:hAnsi="Times" w:cs="Times"/>
        </w:rPr>
        <w:t xml:space="preserve">, P. (1998), « Corporate disclosure quality and the cost of debt », </w:t>
      </w:r>
      <w:r w:rsidRPr="001B41B5">
        <w:rPr>
          <w:rFonts w:ascii="Times" w:hAnsi="Times" w:cs="Times"/>
          <w:i/>
        </w:rPr>
        <w:t>The Accounting</w:t>
      </w:r>
      <w:r w:rsidRPr="001B41B5">
        <w:rPr>
          <w:rFonts w:ascii="Times" w:hAnsi="Times" w:cs="Times"/>
        </w:rPr>
        <w:t xml:space="preserve"> </w:t>
      </w:r>
      <w:r w:rsidRPr="001B41B5">
        <w:rPr>
          <w:rFonts w:ascii="Times" w:hAnsi="Times" w:cs="Times"/>
          <w:i/>
        </w:rPr>
        <w:t>Review</w:t>
      </w:r>
      <w:r w:rsidRPr="001B41B5">
        <w:rPr>
          <w:rFonts w:ascii="Times" w:hAnsi="Times" w:cs="Times"/>
        </w:rPr>
        <w:t>, 73, pp. 459-474.</w:t>
      </w:r>
      <w:proofErr w:type="gramEnd"/>
    </w:p>
    <w:p w:rsidR="0029246A" w:rsidRPr="001B41B5" w:rsidRDefault="0029246A" w:rsidP="00F228A3">
      <w:pPr>
        <w:autoSpaceDE w:val="0"/>
        <w:autoSpaceDN w:val="0"/>
        <w:spacing w:before="100" w:beforeAutospacing="1" w:after="100" w:afterAutospacing="1" w:line="240" w:lineRule="auto"/>
        <w:rPr>
          <w:rFonts w:ascii="Times" w:hAnsi="Times" w:cs="Times"/>
          <w:lang w:val="fr-BE"/>
        </w:rPr>
      </w:pPr>
      <w:proofErr w:type="spellStart"/>
      <w:r w:rsidRPr="001B41B5">
        <w:rPr>
          <w:rFonts w:ascii="Times" w:hAnsi="Times" w:cs="Times"/>
          <w:lang w:val="fr-BE"/>
        </w:rPr>
        <w:t>Stolowy</w:t>
      </w:r>
      <w:proofErr w:type="spellEnd"/>
      <w:r w:rsidRPr="001B41B5">
        <w:rPr>
          <w:rFonts w:ascii="Times" w:hAnsi="Times" w:cs="Times"/>
          <w:lang w:val="fr-BE"/>
        </w:rPr>
        <w:t xml:space="preserve">, H., &amp; Ding, Y. (2003), « Les facteurs déterminants de la stratégie des groupes français en matière de communication sur leurs activités de recherche et développement », </w:t>
      </w:r>
      <w:r w:rsidRPr="001B41B5">
        <w:rPr>
          <w:rFonts w:ascii="Times" w:hAnsi="Times" w:cs="Times"/>
          <w:i/>
          <w:lang w:val="fr-BE"/>
        </w:rPr>
        <w:t>Finance Contrôle Stratégie</w:t>
      </w:r>
      <w:r w:rsidRPr="001B41B5">
        <w:rPr>
          <w:rFonts w:ascii="Times" w:hAnsi="Times" w:cs="Times"/>
          <w:lang w:val="fr-BE"/>
        </w:rPr>
        <w:t>, Mars, pp. 39-62.</w:t>
      </w:r>
    </w:p>
    <w:p w:rsidR="0029246A" w:rsidRPr="001B41B5" w:rsidRDefault="0029246A" w:rsidP="00F228A3">
      <w:pPr>
        <w:autoSpaceDE w:val="0"/>
        <w:autoSpaceDN w:val="0"/>
        <w:spacing w:before="100" w:beforeAutospacing="1" w:after="100" w:afterAutospacing="1" w:line="240" w:lineRule="auto"/>
        <w:rPr>
          <w:rFonts w:ascii="Times" w:hAnsi="Times" w:cs="Times"/>
        </w:rPr>
      </w:pPr>
      <w:proofErr w:type="spellStart"/>
      <w:r w:rsidRPr="001B41B5">
        <w:rPr>
          <w:rFonts w:ascii="Times" w:hAnsi="Times" w:cs="Times"/>
        </w:rPr>
        <w:t>Vanstraelen</w:t>
      </w:r>
      <w:proofErr w:type="spellEnd"/>
      <w:r w:rsidRPr="001B41B5">
        <w:rPr>
          <w:rFonts w:ascii="Times" w:hAnsi="Times" w:cs="Times"/>
        </w:rPr>
        <w:t xml:space="preserve">, A., </w:t>
      </w:r>
      <w:proofErr w:type="spellStart"/>
      <w:r w:rsidRPr="001B41B5">
        <w:rPr>
          <w:rFonts w:ascii="Times" w:hAnsi="Times" w:cs="Times"/>
        </w:rPr>
        <w:t>Zarzeski</w:t>
      </w:r>
      <w:proofErr w:type="spellEnd"/>
      <w:r w:rsidRPr="001B41B5">
        <w:rPr>
          <w:rFonts w:ascii="Times" w:hAnsi="Times" w:cs="Times"/>
        </w:rPr>
        <w:t xml:space="preserve">, M., &amp; Robb, S. (2003), « Corporate Nonfinancial Disclosure Practices and Financial Analyst Forecast Ability </w:t>
      </w:r>
      <w:proofErr w:type="gramStart"/>
      <w:r w:rsidRPr="001B41B5">
        <w:rPr>
          <w:rFonts w:ascii="Times" w:hAnsi="Times" w:cs="Times"/>
        </w:rPr>
        <w:t>Across</w:t>
      </w:r>
      <w:proofErr w:type="gramEnd"/>
      <w:r w:rsidRPr="001B41B5">
        <w:rPr>
          <w:rFonts w:ascii="Times" w:hAnsi="Times" w:cs="Times"/>
        </w:rPr>
        <w:t xml:space="preserve"> Three European Countries », </w:t>
      </w:r>
      <w:r w:rsidRPr="001B41B5">
        <w:rPr>
          <w:rFonts w:ascii="Times" w:hAnsi="Times" w:cs="Times"/>
          <w:i/>
        </w:rPr>
        <w:t>Journal of International Financial Management and Accounti</w:t>
      </w:r>
      <w:r w:rsidRPr="001B41B5">
        <w:rPr>
          <w:rFonts w:ascii="Times" w:hAnsi="Times" w:cs="Times"/>
        </w:rPr>
        <w:t>ng, 14 (3), p249-278</w:t>
      </w:r>
    </w:p>
    <w:p w:rsidR="0029246A" w:rsidRPr="00A57AAB" w:rsidRDefault="0029246A" w:rsidP="00A57AAB">
      <w:pPr>
        <w:autoSpaceDE w:val="0"/>
        <w:autoSpaceDN w:val="0"/>
        <w:spacing w:before="100" w:beforeAutospacing="1" w:after="100" w:afterAutospacing="1" w:line="240" w:lineRule="auto"/>
        <w:rPr>
          <w:rFonts w:ascii="Times" w:hAnsi="Times" w:cs="Times"/>
        </w:rPr>
      </w:pPr>
      <w:proofErr w:type="spellStart"/>
      <w:r w:rsidRPr="00A57AAB">
        <w:rPr>
          <w:rFonts w:ascii="Times" w:hAnsi="Times" w:cs="Times"/>
        </w:rPr>
        <w:t>Wiwattanakantang</w:t>
      </w:r>
      <w:proofErr w:type="spellEnd"/>
      <w:r w:rsidRPr="00A57AAB">
        <w:rPr>
          <w:rFonts w:ascii="Times" w:hAnsi="Times" w:cs="Times"/>
        </w:rPr>
        <w:t xml:space="preserve"> Y. (2001), "The Equity Ownership Structure of Thai Firms." </w:t>
      </w:r>
      <w:proofErr w:type="gramStart"/>
      <w:r w:rsidRPr="00A57AAB">
        <w:rPr>
          <w:rFonts w:ascii="Times" w:hAnsi="Times" w:cs="Times"/>
        </w:rPr>
        <w:t xml:space="preserve">Working Paper Series, No 8, Institute of Economic Research, </w:t>
      </w:r>
      <w:proofErr w:type="spellStart"/>
      <w:r w:rsidRPr="00A57AAB">
        <w:rPr>
          <w:rFonts w:ascii="Times" w:hAnsi="Times" w:cs="Times"/>
        </w:rPr>
        <w:t>Hitotsubashi</w:t>
      </w:r>
      <w:proofErr w:type="spellEnd"/>
      <w:r w:rsidRPr="00A57AAB">
        <w:rPr>
          <w:rFonts w:ascii="Times" w:hAnsi="Times" w:cs="Times"/>
        </w:rPr>
        <w:t xml:space="preserve"> University.</w:t>
      </w:r>
      <w:proofErr w:type="gramEnd"/>
    </w:p>
    <w:p w:rsidR="00F228A3" w:rsidRPr="00F228A3" w:rsidRDefault="00F228A3" w:rsidP="00F228A3">
      <w:pPr>
        <w:spacing w:after="0" w:line="276" w:lineRule="auto"/>
        <w:rPr>
          <w:bCs/>
        </w:rPr>
      </w:pPr>
    </w:p>
    <w:sectPr w:rsidR="00F228A3" w:rsidRPr="00F228A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48" w:rsidRDefault="000E2648" w:rsidP="00655501">
      <w:pPr>
        <w:spacing w:after="0" w:line="240" w:lineRule="auto"/>
      </w:pPr>
      <w:r>
        <w:separator/>
      </w:r>
    </w:p>
  </w:endnote>
  <w:endnote w:type="continuationSeparator" w:id="0">
    <w:p w:rsidR="000E2648" w:rsidRDefault="000E2648" w:rsidP="0065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97501"/>
      <w:docPartObj>
        <w:docPartGallery w:val="Page Numbers (Bottom of Page)"/>
        <w:docPartUnique/>
      </w:docPartObj>
    </w:sdtPr>
    <w:sdtEndPr/>
    <w:sdtContent>
      <w:p w:rsidR="0061243B" w:rsidRDefault="0061243B">
        <w:pPr>
          <w:pStyle w:val="Pieddepage"/>
          <w:jc w:val="right"/>
        </w:pPr>
        <w:r>
          <w:fldChar w:fldCharType="begin"/>
        </w:r>
        <w:r>
          <w:instrText>PAGE   \* MERGEFORMAT</w:instrText>
        </w:r>
        <w:r>
          <w:fldChar w:fldCharType="separate"/>
        </w:r>
        <w:r w:rsidR="00965657" w:rsidRPr="00965657">
          <w:rPr>
            <w:noProof/>
            <w:lang w:val="fr-FR"/>
          </w:rPr>
          <w:t>1</w:t>
        </w:r>
        <w:r>
          <w:fldChar w:fldCharType="end"/>
        </w:r>
      </w:p>
    </w:sdtContent>
  </w:sdt>
  <w:p w:rsidR="0061243B" w:rsidRDefault="00612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48" w:rsidRDefault="000E2648" w:rsidP="00655501">
      <w:pPr>
        <w:spacing w:after="0" w:line="240" w:lineRule="auto"/>
      </w:pPr>
      <w:r>
        <w:separator/>
      </w:r>
    </w:p>
  </w:footnote>
  <w:footnote w:type="continuationSeparator" w:id="0">
    <w:p w:rsidR="000E2648" w:rsidRDefault="000E2648" w:rsidP="0065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45B"/>
    <w:multiLevelType w:val="hybridMultilevel"/>
    <w:tmpl w:val="EB023CA2"/>
    <w:lvl w:ilvl="0" w:tplc="93CA38F4">
      <w:numFmt w:val="bullet"/>
      <w:lvlText w:val="-"/>
      <w:lvlJc w:val="left"/>
      <w:pPr>
        <w:ind w:left="720" w:hanging="360"/>
      </w:pPr>
      <w:rPr>
        <w:rFonts w:ascii="Tahoma" w:eastAsia="Times New Roman" w:hAnsi="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6CE6C33"/>
    <w:multiLevelType w:val="hybridMultilevel"/>
    <w:tmpl w:val="389C2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8E5911"/>
    <w:multiLevelType w:val="hybridMultilevel"/>
    <w:tmpl w:val="598CED6E"/>
    <w:lvl w:ilvl="0" w:tplc="93CA38F4">
      <w:numFmt w:val="bullet"/>
      <w:lvlText w:val="-"/>
      <w:lvlJc w:val="left"/>
      <w:pPr>
        <w:ind w:left="720" w:hanging="360"/>
      </w:pPr>
      <w:rPr>
        <w:rFonts w:ascii="Tahoma" w:eastAsia="Times New Roman" w:hAnsi="Tahom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648AE"/>
    <w:multiLevelType w:val="hybridMultilevel"/>
    <w:tmpl w:val="DD5A61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33726D"/>
    <w:multiLevelType w:val="hybridMultilevel"/>
    <w:tmpl w:val="1C624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6F77DE6"/>
    <w:multiLevelType w:val="multilevel"/>
    <w:tmpl w:val="41B2DBDE"/>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ABD4D87"/>
    <w:multiLevelType w:val="hybridMultilevel"/>
    <w:tmpl w:val="88F0D554"/>
    <w:lvl w:ilvl="0" w:tplc="F8987E60">
      <w:start w:val="9"/>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820AC6"/>
    <w:multiLevelType w:val="hybridMultilevel"/>
    <w:tmpl w:val="2056097C"/>
    <w:lvl w:ilvl="0" w:tplc="F8987E60">
      <w:start w:val="9"/>
      <w:numFmt w:val="bullet"/>
      <w:lvlText w:val="-"/>
      <w:lvlJc w:val="left"/>
      <w:pPr>
        <w:ind w:left="720" w:hanging="360"/>
      </w:pPr>
      <w:rPr>
        <w:rFonts w:ascii="Times" w:eastAsia="Times New Roman" w:hAnsi="Times" w:cs="Time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5"/>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EE"/>
    <w:rsid w:val="0000422E"/>
    <w:rsid w:val="00012742"/>
    <w:rsid w:val="000213D7"/>
    <w:rsid w:val="000312E7"/>
    <w:rsid w:val="00035290"/>
    <w:rsid w:val="000371F6"/>
    <w:rsid w:val="000442FA"/>
    <w:rsid w:val="0004784B"/>
    <w:rsid w:val="00055050"/>
    <w:rsid w:val="00060F23"/>
    <w:rsid w:val="00063EBB"/>
    <w:rsid w:val="000703A5"/>
    <w:rsid w:val="00073925"/>
    <w:rsid w:val="000755CB"/>
    <w:rsid w:val="000827A1"/>
    <w:rsid w:val="00094BD9"/>
    <w:rsid w:val="00095782"/>
    <w:rsid w:val="00096475"/>
    <w:rsid w:val="000A7198"/>
    <w:rsid w:val="000B2240"/>
    <w:rsid w:val="000B498A"/>
    <w:rsid w:val="000C5147"/>
    <w:rsid w:val="000C6B71"/>
    <w:rsid w:val="000D30B7"/>
    <w:rsid w:val="000E2648"/>
    <w:rsid w:val="000E2A07"/>
    <w:rsid w:val="0010419A"/>
    <w:rsid w:val="00111726"/>
    <w:rsid w:val="00111A80"/>
    <w:rsid w:val="00115C91"/>
    <w:rsid w:val="001270FF"/>
    <w:rsid w:val="001307B6"/>
    <w:rsid w:val="00130C19"/>
    <w:rsid w:val="00141572"/>
    <w:rsid w:val="001515E6"/>
    <w:rsid w:val="001521BB"/>
    <w:rsid w:val="00157CA5"/>
    <w:rsid w:val="00163953"/>
    <w:rsid w:val="00163D53"/>
    <w:rsid w:val="001713C3"/>
    <w:rsid w:val="00174021"/>
    <w:rsid w:val="00185636"/>
    <w:rsid w:val="0019203F"/>
    <w:rsid w:val="001A1DAE"/>
    <w:rsid w:val="001C2940"/>
    <w:rsid w:val="001D2A43"/>
    <w:rsid w:val="001D57E5"/>
    <w:rsid w:val="001F064B"/>
    <w:rsid w:val="001F3243"/>
    <w:rsid w:val="001F36D9"/>
    <w:rsid w:val="0021471B"/>
    <w:rsid w:val="002173D7"/>
    <w:rsid w:val="0022006B"/>
    <w:rsid w:val="00224637"/>
    <w:rsid w:val="00231682"/>
    <w:rsid w:val="002376F2"/>
    <w:rsid w:val="00240F0D"/>
    <w:rsid w:val="00242AF1"/>
    <w:rsid w:val="00246BF8"/>
    <w:rsid w:val="002508D3"/>
    <w:rsid w:val="00253090"/>
    <w:rsid w:val="00254645"/>
    <w:rsid w:val="002666D8"/>
    <w:rsid w:val="00280B57"/>
    <w:rsid w:val="002822B9"/>
    <w:rsid w:val="00282413"/>
    <w:rsid w:val="00290427"/>
    <w:rsid w:val="0029246A"/>
    <w:rsid w:val="002A2C27"/>
    <w:rsid w:val="002B083E"/>
    <w:rsid w:val="002B0FE0"/>
    <w:rsid w:val="002B1B8D"/>
    <w:rsid w:val="002C3D0C"/>
    <w:rsid w:val="002C58B0"/>
    <w:rsid w:val="002C65FA"/>
    <w:rsid w:val="002D3468"/>
    <w:rsid w:val="002D393A"/>
    <w:rsid w:val="002F6338"/>
    <w:rsid w:val="003008D3"/>
    <w:rsid w:val="003040C2"/>
    <w:rsid w:val="00307C4E"/>
    <w:rsid w:val="00310D07"/>
    <w:rsid w:val="003145E9"/>
    <w:rsid w:val="003169F9"/>
    <w:rsid w:val="00317DA4"/>
    <w:rsid w:val="00322634"/>
    <w:rsid w:val="0034541E"/>
    <w:rsid w:val="003521F1"/>
    <w:rsid w:val="00352B4A"/>
    <w:rsid w:val="00365327"/>
    <w:rsid w:val="00386265"/>
    <w:rsid w:val="00387233"/>
    <w:rsid w:val="00387DC7"/>
    <w:rsid w:val="003A2BA6"/>
    <w:rsid w:val="003A3C1E"/>
    <w:rsid w:val="003B0124"/>
    <w:rsid w:val="003B0320"/>
    <w:rsid w:val="003B36C8"/>
    <w:rsid w:val="003C084B"/>
    <w:rsid w:val="003D591D"/>
    <w:rsid w:val="003E55B2"/>
    <w:rsid w:val="003F0B58"/>
    <w:rsid w:val="00401FB2"/>
    <w:rsid w:val="004053A9"/>
    <w:rsid w:val="00406C2C"/>
    <w:rsid w:val="004113CA"/>
    <w:rsid w:val="00411440"/>
    <w:rsid w:val="0041384A"/>
    <w:rsid w:val="00417586"/>
    <w:rsid w:val="00417B22"/>
    <w:rsid w:val="00422A6E"/>
    <w:rsid w:val="004236F2"/>
    <w:rsid w:val="00427A63"/>
    <w:rsid w:val="00430E28"/>
    <w:rsid w:val="00431BD7"/>
    <w:rsid w:val="004413B1"/>
    <w:rsid w:val="00441D12"/>
    <w:rsid w:val="00450767"/>
    <w:rsid w:val="00465B15"/>
    <w:rsid w:val="00477C4E"/>
    <w:rsid w:val="00481EDB"/>
    <w:rsid w:val="004828B5"/>
    <w:rsid w:val="00485AF7"/>
    <w:rsid w:val="00492A88"/>
    <w:rsid w:val="00494584"/>
    <w:rsid w:val="004A1DDC"/>
    <w:rsid w:val="004A7DF2"/>
    <w:rsid w:val="004B3183"/>
    <w:rsid w:val="004B69DC"/>
    <w:rsid w:val="004B7156"/>
    <w:rsid w:val="004D1F80"/>
    <w:rsid w:val="004D61E4"/>
    <w:rsid w:val="004D62DC"/>
    <w:rsid w:val="004E2F41"/>
    <w:rsid w:val="004E35EA"/>
    <w:rsid w:val="004F0B80"/>
    <w:rsid w:val="004F2970"/>
    <w:rsid w:val="004F3755"/>
    <w:rsid w:val="004F3A89"/>
    <w:rsid w:val="004F6B9A"/>
    <w:rsid w:val="00501877"/>
    <w:rsid w:val="00502C51"/>
    <w:rsid w:val="00502C71"/>
    <w:rsid w:val="0050654A"/>
    <w:rsid w:val="00524373"/>
    <w:rsid w:val="00525451"/>
    <w:rsid w:val="00530A1A"/>
    <w:rsid w:val="00534400"/>
    <w:rsid w:val="005354BF"/>
    <w:rsid w:val="00540808"/>
    <w:rsid w:val="00546892"/>
    <w:rsid w:val="00557915"/>
    <w:rsid w:val="00562465"/>
    <w:rsid w:val="0057394F"/>
    <w:rsid w:val="0057704F"/>
    <w:rsid w:val="00585F51"/>
    <w:rsid w:val="00587A9D"/>
    <w:rsid w:val="005A2350"/>
    <w:rsid w:val="005B1D76"/>
    <w:rsid w:val="005B3518"/>
    <w:rsid w:val="005C6B93"/>
    <w:rsid w:val="005D0B8B"/>
    <w:rsid w:val="005D2E27"/>
    <w:rsid w:val="005D56CE"/>
    <w:rsid w:val="005D7D54"/>
    <w:rsid w:val="005F0410"/>
    <w:rsid w:val="005F7832"/>
    <w:rsid w:val="006068F5"/>
    <w:rsid w:val="00606F58"/>
    <w:rsid w:val="00610CCB"/>
    <w:rsid w:val="0061243B"/>
    <w:rsid w:val="006139C6"/>
    <w:rsid w:val="00616C47"/>
    <w:rsid w:val="00625C07"/>
    <w:rsid w:val="0062741D"/>
    <w:rsid w:val="006327CD"/>
    <w:rsid w:val="00632BA6"/>
    <w:rsid w:val="0063456D"/>
    <w:rsid w:val="00635645"/>
    <w:rsid w:val="00655501"/>
    <w:rsid w:val="00662BE1"/>
    <w:rsid w:val="0068624B"/>
    <w:rsid w:val="00691415"/>
    <w:rsid w:val="006936A4"/>
    <w:rsid w:val="006A7875"/>
    <w:rsid w:val="006A7A67"/>
    <w:rsid w:val="006A7F75"/>
    <w:rsid w:val="006B0579"/>
    <w:rsid w:val="006B2450"/>
    <w:rsid w:val="006B40F1"/>
    <w:rsid w:val="006B4554"/>
    <w:rsid w:val="006C220D"/>
    <w:rsid w:val="006C2D38"/>
    <w:rsid w:val="006D2D2A"/>
    <w:rsid w:val="006E4133"/>
    <w:rsid w:val="006F55FB"/>
    <w:rsid w:val="007067C7"/>
    <w:rsid w:val="00707F44"/>
    <w:rsid w:val="0071137F"/>
    <w:rsid w:val="0071309C"/>
    <w:rsid w:val="00713DD3"/>
    <w:rsid w:val="00716408"/>
    <w:rsid w:val="00723139"/>
    <w:rsid w:val="00727FD0"/>
    <w:rsid w:val="00731D7B"/>
    <w:rsid w:val="007353DB"/>
    <w:rsid w:val="007430FB"/>
    <w:rsid w:val="0075207A"/>
    <w:rsid w:val="00761A0E"/>
    <w:rsid w:val="00761E71"/>
    <w:rsid w:val="00763C54"/>
    <w:rsid w:val="00763D7F"/>
    <w:rsid w:val="00766292"/>
    <w:rsid w:val="00766C64"/>
    <w:rsid w:val="00773BD2"/>
    <w:rsid w:val="00784A39"/>
    <w:rsid w:val="0079012E"/>
    <w:rsid w:val="00790B32"/>
    <w:rsid w:val="00791A30"/>
    <w:rsid w:val="007A1010"/>
    <w:rsid w:val="007A74CE"/>
    <w:rsid w:val="007B384F"/>
    <w:rsid w:val="007B6A8E"/>
    <w:rsid w:val="007C1AC8"/>
    <w:rsid w:val="007C24B8"/>
    <w:rsid w:val="007C4F97"/>
    <w:rsid w:val="007E4316"/>
    <w:rsid w:val="0080008F"/>
    <w:rsid w:val="00804D9B"/>
    <w:rsid w:val="00813D98"/>
    <w:rsid w:val="00824A86"/>
    <w:rsid w:val="008253A3"/>
    <w:rsid w:val="0082576A"/>
    <w:rsid w:val="008264AE"/>
    <w:rsid w:val="00827AE2"/>
    <w:rsid w:val="00834A6C"/>
    <w:rsid w:val="00837630"/>
    <w:rsid w:val="00842F80"/>
    <w:rsid w:val="00845560"/>
    <w:rsid w:val="00853BDE"/>
    <w:rsid w:val="0085451E"/>
    <w:rsid w:val="00855DEE"/>
    <w:rsid w:val="008566D5"/>
    <w:rsid w:val="0086012B"/>
    <w:rsid w:val="0086405E"/>
    <w:rsid w:val="00884C9C"/>
    <w:rsid w:val="00886B9C"/>
    <w:rsid w:val="008914D9"/>
    <w:rsid w:val="008A63BA"/>
    <w:rsid w:val="008B1A32"/>
    <w:rsid w:val="008C167F"/>
    <w:rsid w:val="008C451E"/>
    <w:rsid w:val="008E0C5D"/>
    <w:rsid w:val="008E2566"/>
    <w:rsid w:val="008E4AE6"/>
    <w:rsid w:val="008F19B9"/>
    <w:rsid w:val="00905494"/>
    <w:rsid w:val="009219F0"/>
    <w:rsid w:val="00925DAC"/>
    <w:rsid w:val="00930FAB"/>
    <w:rsid w:val="00936657"/>
    <w:rsid w:val="009421A9"/>
    <w:rsid w:val="00950B9D"/>
    <w:rsid w:val="00965657"/>
    <w:rsid w:val="00970C9A"/>
    <w:rsid w:val="00972372"/>
    <w:rsid w:val="00973959"/>
    <w:rsid w:val="0098182C"/>
    <w:rsid w:val="00990275"/>
    <w:rsid w:val="009908CD"/>
    <w:rsid w:val="009A27ED"/>
    <w:rsid w:val="009A328B"/>
    <w:rsid w:val="009A7A5A"/>
    <w:rsid w:val="009B6F4E"/>
    <w:rsid w:val="009C24C6"/>
    <w:rsid w:val="009C6539"/>
    <w:rsid w:val="009C67E7"/>
    <w:rsid w:val="009D202F"/>
    <w:rsid w:val="009D5D2E"/>
    <w:rsid w:val="009D7618"/>
    <w:rsid w:val="00A049AB"/>
    <w:rsid w:val="00A102DA"/>
    <w:rsid w:val="00A113D2"/>
    <w:rsid w:val="00A1404A"/>
    <w:rsid w:val="00A21D9D"/>
    <w:rsid w:val="00A25C8A"/>
    <w:rsid w:val="00A352FE"/>
    <w:rsid w:val="00A417DF"/>
    <w:rsid w:val="00A44A86"/>
    <w:rsid w:val="00A54D7D"/>
    <w:rsid w:val="00A5752B"/>
    <w:rsid w:val="00A57AAB"/>
    <w:rsid w:val="00A71724"/>
    <w:rsid w:val="00A7696C"/>
    <w:rsid w:val="00A8121B"/>
    <w:rsid w:val="00A830E6"/>
    <w:rsid w:val="00A949A1"/>
    <w:rsid w:val="00A9504D"/>
    <w:rsid w:val="00AA3562"/>
    <w:rsid w:val="00AA3590"/>
    <w:rsid w:val="00AA68B6"/>
    <w:rsid w:val="00AA7781"/>
    <w:rsid w:val="00AB04E7"/>
    <w:rsid w:val="00AC1540"/>
    <w:rsid w:val="00AC22C0"/>
    <w:rsid w:val="00AC71F2"/>
    <w:rsid w:val="00AD305E"/>
    <w:rsid w:val="00AD7406"/>
    <w:rsid w:val="00AE0511"/>
    <w:rsid w:val="00AE2567"/>
    <w:rsid w:val="00AE6388"/>
    <w:rsid w:val="00AF24E7"/>
    <w:rsid w:val="00B00391"/>
    <w:rsid w:val="00B07253"/>
    <w:rsid w:val="00B07468"/>
    <w:rsid w:val="00B11C1C"/>
    <w:rsid w:val="00B17B75"/>
    <w:rsid w:val="00B27408"/>
    <w:rsid w:val="00B35347"/>
    <w:rsid w:val="00B35A18"/>
    <w:rsid w:val="00B42DC0"/>
    <w:rsid w:val="00B43007"/>
    <w:rsid w:val="00B542C2"/>
    <w:rsid w:val="00B5598A"/>
    <w:rsid w:val="00B60E9B"/>
    <w:rsid w:val="00B61810"/>
    <w:rsid w:val="00B73DCB"/>
    <w:rsid w:val="00B7570B"/>
    <w:rsid w:val="00B75BF3"/>
    <w:rsid w:val="00B76B83"/>
    <w:rsid w:val="00B76EC2"/>
    <w:rsid w:val="00B82EA9"/>
    <w:rsid w:val="00B850C0"/>
    <w:rsid w:val="00B91129"/>
    <w:rsid w:val="00B94C6C"/>
    <w:rsid w:val="00BA2A1F"/>
    <w:rsid w:val="00BB153D"/>
    <w:rsid w:val="00BB1877"/>
    <w:rsid w:val="00BB5825"/>
    <w:rsid w:val="00BC0911"/>
    <w:rsid w:val="00BC707E"/>
    <w:rsid w:val="00BD5FEC"/>
    <w:rsid w:val="00BF413C"/>
    <w:rsid w:val="00BF4FCA"/>
    <w:rsid w:val="00C17A5F"/>
    <w:rsid w:val="00C239EE"/>
    <w:rsid w:val="00C2518B"/>
    <w:rsid w:val="00C26204"/>
    <w:rsid w:val="00C26C7E"/>
    <w:rsid w:val="00C3546F"/>
    <w:rsid w:val="00C40BF3"/>
    <w:rsid w:val="00C57FA3"/>
    <w:rsid w:val="00C62870"/>
    <w:rsid w:val="00C62BB7"/>
    <w:rsid w:val="00C65CC6"/>
    <w:rsid w:val="00C6629A"/>
    <w:rsid w:val="00C70945"/>
    <w:rsid w:val="00C73D98"/>
    <w:rsid w:val="00C770DE"/>
    <w:rsid w:val="00C825CC"/>
    <w:rsid w:val="00C83D22"/>
    <w:rsid w:val="00C86E99"/>
    <w:rsid w:val="00C915A3"/>
    <w:rsid w:val="00CB4BAF"/>
    <w:rsid w:val="00CB5D8A"/>
    <w:rsid w:val="00CC0139"/>
    <w:rsid w:val="00CC6899"/>
    <w:rsid w:val="00CD37F3"/>
    <w:rsid w:val="00CD6BF8"/>
    <w:rsid w:val="00CE1F43"/>
    <w:rsid w:val="00CE383F"/>
    <w:rsid w:val="00CF440B"/>
    <w:rsid w:val="00CF67C1"/>
    <w:rsid w:val="00CF6C32"/>
    <w:rsid w:val="00D05BC0"/>
    <w:rsid w:val="00D1287A"/>
    <w:rsid w:val="00D13B43"/>
    <w:rsid w:val="00D1634D"/>
    <w:rsid w:val="00D21073"/>
    <w:rsid w:val="00D22311"/>
    <w:rsid w:val="00D26249"/>
    <w:rsid w:val="00D268D1"/>
    <w:rsid w:val="00D2726F"/>
    <w:rsid w:val="00D357D7"/>
    <w:rsid w:val="00D411DC"/>
    <w:rsid w:val="00D464C7"/>
    <w:rsid w:val="00D55107"/>
    <w:rsid w:val="00D55138"/>
    <w:rsid w:val="00D627EF"/>
    <w:rsid w:val="00D70B95"/>
    <w:rsid w:val="00D82139"/>
    <w:rsid w:val="00D82DAA"/>
    <w:rsid w:val="00DB123F"/>
    <w:rsid w:val="00DB599C"/>
    <w:rsid w:val="00DD24AC"/>
    <w:rsid w:val="00DE2F97"/>
    <w:rsid w:val="00DF5CEC"/>
    <w:rsid w:val="00E11B10"/>
    <w:rsid w:val="00E272F2"/>
    <w:rsid w:val="00E3126B"/>
    <w:rsid w:val="00E33451"/>
    <w:rsid w:val="00E34FE1"/>
    <w:rsid w:val="00E35CDE"/>
    <w:rsid w:val="00E35EE1"/>
    <w:rsid w:val="00E35F4C"/>
    <w:rsid w:val="00E3626D"/>
    <w:rsid w:val="00E471FE"/>
    <w:rsid w:val="00E50309"/>
    <w:rsid w:val="00E5390A"/>
    <w:rsid w:val="00E60C15"/>
    <w:rsid w:val="00E67BF9"/>
    <w:rsid w:val="00E7124E"/>
    <w:rsid w:val="00E72CF9"/>
    <w:rsid w:val="00E84945"/>
    <w:rsid w:val="00E84B02"/>
    <w:rsid w:val="00E86B07"/>
    <w:rsid w:val="00E872BD"/>
    <w:rsid w:val="00E948AE"/>
    <w:rsid w:val="00EA08B1"/>
    <w:rsid w:val="00EA26D7"/>
    <w:rsid w:val="00EA7959"/>
    <w:rsid w:val="00EB1573"/>
    <w:rsid w:val="00EB31D6"/>
    <w:rsid w:val="00EB36F9"/>
    <w:rsid w:val="00EB708C"/>
    <w:rsid w:val="00ED390D"/>
    <w:rsid w:val="00EE2136"/>
    <w:rsid w:val="00EF2D33"/>
    <w:rsid w:val="00EF3D34"/>
    <w:rsid w:val="00EF515B"/>
    <w:rsid w:val="00EF51CC"/>
    <w:rsid w:val="00F03410"/>
    <w:rsid w:val="00F04AAD"/>
    <w:rsid w:val="00F156DC"/>
    <w:rsid w:val="00F1662A"/>
    <w:rsid w:val="00F21948"/>
    <w:rsid w:val="00F228A3"/>
    <w:rsid w:val="00F256D5"/>
    <w:rsid w:val="00F312A3"/>
    <w:rsid w:val="00F50575"/>
    <w:rsid w:val="00F52B7B"/>
    <w:rsid w:val="00F6745D"/>
    <w:rsid w:val="00F717A5"/>
    <w:rsid w:val="00F746D6"/>
    <w:rsid w:val="00F7500B"/>
    <w:rsid w:val="00F77E1D"/>
    <w:rsid w:val="00F81833"/>
    <w:rsid w:val="00F818D1"/>
    <w:rsid w:val="00F87C46"/>
    <w:rsid w:val="00F95474"/>
    <w:rsid w:val="00FA7EE0"/>
    <w:rsid w:val="00FB4D13"/>
    <w:rsid w:val="00FB5875"/>
    <w:rsid w:val="00FC7052"/>
    <w:rsid w:val="00FC710F"/>
    <w:rsid w:val="00FD1C2A"/>
    <w:rsid w:val="00FD7134"/>
    <w:rsid w:val="00FE052C"/>
    <w:rsid w:val="00FE25E5"/>
    <w:rsid w:val="00FE516B"/>
    <w:rsid w:val="00FE603D"/>
    <w:rsid w:val="00FF07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EE"/>
    <w:pPr>
      <w:spacing w:after="160" w:line="360" w:lineRule="auto"/>
      <w:jc w:val="both"/>
    </w:pPr>
    <w:rPr>
      <w:rFonts w:ascii="Times New Roman" w:eastAsia="Times New Roman" w:hAnsi="Times New Roman" w:cs="Times New Roman"/>
      <w:sz w:val="24"/>
      <w:szCs w:val="24"/>
      <w:lang w:val="en-US" w:bidi="en-US"/>
    </w:rPr>
  </w:style>
  <w:style w:type="paragraph" w:styleId="Titre1">
    <w:name w:val="heading 1"/>
    <w:aliases w:val="FIRST LEVEL"/>
    <w:basedOn w:val="Normal"/>
    <w:next w:val="Normal"/>
    <w:link w:val="Titre1Car"/>
    <w:uiPriority w:val="99"/>
    <w:qFormat/>
    <w:rsid w:val="008566D5"/>
    <w:pPr>
      <w:numPr>
        <w:numId w:val="2"/>
      </w:numPr>
      <w:spacing w:line="240" w:lineRule="auto"/>
      <w:outlineLvl w:val="0"/>
    </w:pPr>
    <w:rPr>
      <w:rFonts w:ascii="Times" w:hAnsi="Times" w:cs="Times"/>
      <w:b/>
      <w:smallCaps/>
      <w:lang w:val="fr-BE" w:eastAsia="ja-JP" w:bidi="ar-SA"/>
    </w:rPr>
  </w:style>
  <w:style w:type="paragraph" w:styleId="Titre2">
    <w:name w:val="heading 2"/>
    <w:basedOn w:val="Normal"/>
    <w:next w:val="Normal"/>
    <w:link w:val="Titre2Car"/>
    <w:uiPriority w:val="99"/>
    <w:qFormat/>
    <w:rsid w:val="008566D5"/>
    <w:pPr>
      <w:numPr>
        <w:ilvl w:val="1"/>
        <w:numId w:val="2"/>
      </w:numPr>
      <w:spacing w:before="120" w:after="60" w:line="240" w:lineRule="auto"/>
      <w:contextualSpacing/>
      <w:outlineLvl w:val="1"/>
    </w:pPr>
    <w:rPr>
      <w:rFonts w:ascii="Times" w:hAnsi="Times" w:cs="Times"/>
      <w:b/>
      <w:lang w:val="fr-BE" w:eastAsia="ja-JP"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5DEE"/>
    <w:rPr>
      <w:color w:val="0000FF"/>
      <w:u w:val="single"/>
    </w:rPr>
  </w:style>
  <w:style w:type="paragraph" w:styleId="Lgende">
    <w:name w:val="caption"/>
    <w:aliases w:val="Second Level"/>
    <w:basedOn w:val="Normal"/>
    <w:next w:val="Normal"/>
    <w:uiPriority w:val="99"/>
    <w:qFormat/>
    <w:rsid w:val="00855DEE"/>
    <w:pPr>
      <w:jc w:val="center"/>
    </w:pPr>
    <w:rPr>
      <w:b/>
      <w:bCs/>
      <w:smallCaps/>
      <w:spacing w:val="10"/>
      <w:sz w:val="18"/>
      <w:szCs w:val="18"/>
      <w:lang w:val="fr-BE" w:bidi="ar-SA"/>
    </w:rPr>
  </w:style>
  <w:style w:type="character" w:customStyle="1" w:styleId="transpan">
    <w:name w:val="transpan"/>
    <w:basedOn w:val="Policepardfaut"/>
    <w:rsid w:val="00111A80"/>
  </w:style>
  <w:style w:type="character" w:styleId="Appelnotedebasdep">
    <w:name w:val="footnote reference"/>
    <w:basedOn w:val="Policepardfaut"/>
    <w:uiPriority w:val="99"/>
    <w:semiHidden/>
    <w:rsid w:val="00655501"/>
    <w:rPr>
      <w:rFonts w:cs="Times New Roman"/>
      <w:vertAlign w:val="superscript"/>
    </w:rPr>
  </w:style>
  <w:style w:type="paragraph" w:styleId="Paragraphedeliste">
    <w:name w:val="List Paragraph"/>
    <w:basedOn w:val="Normal"/>
    <w:uiPriority w:val="99"/>
    <w:qFormat/>
    <w:rsid w:val="003008D3"/>
    <w:pPr>
      <w:ind w:left="720"/>
      <w:contextualSpacing/>
    </w:pPr>
    <w:rPr>
      <w:rFonts w:ascii="Tahoma" w:hAnsi="Tahoma"/>
      <w:color w:val="5A5A5A"/>
      <w:sz w:val="22"/>
      <w:szCs w:val="20"/>
      <w:lang w:bidi="ar-SA"/>
    </w:rPr>
  </w:style>
  <w:style w:type="paragraph" w:styleId="En-tte">
    <w:name w:val="header"/>
    <w:basedOn w:val="Normal"/>
    <w:link w:val="En-tteCar"/>
    <w:uiPriority w:val="99"/>
    <w:unhideWhenUsed/>
    <w:rsid w:val="00494584"/>
    <w:pPr>
      <w:tabs>
        <w:tab w:val="center" w:pos="4536"/>
        <w:tab w:val="right" w:pos="9072"/>
      </w:tabs>
      <w:spacing w:after="0" w:line="240" w:lineRule="auto"/>
    </w:pPr>
  </w:style>
  <w:style w:type="character" w:customStyle="1" w:styleId="En-tteCar">
    <w:name w:val="En-tête Car"/>
    <w:basedOn w:val="Policepardfaut"/>
    <w:link w:val="En-tte"/>
    <w:uiPriority w:val="99"/>
    <w:rsid w:val="00494584"/>
    <w:rPr>
      <w:rFonts w:ascii="Times New Roman" w:eastAsia="Times New Roman" w:hAnsi="Times New Roman" w:cs="Times New Roman"/>
      <w:sz w:val="24"/>
      <w:szCs w:val="24"/>
      <w:lang w:val="en-US" w:bidi="en-US"/>
    </w:rPr>
  </w:style>
  <w:style w:type="paragraph" w:styleId="Pieddepage">
    <w:name w:val="footer"/>
    <w:basedOn w:val="Normal"/>
    <w:link w:val="PieddepageCar"/>
    <w:uiPriority w:val="99"/>
    <w:unhideWhenUsed/>
    <w:rsid w:val="00494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584"/>
    <w:rPr>
      <w:rFonts w:ascii="Times New Roman" w:eastAsia="Times New Roman" w:hAnsi="Times New Roman" w:cs="Times New Roman"/>
      <w:sz w:val="24"/>
      <w:szCs w:val="24"/>
      <w:lang w:val="en-US" w:bidi="en-US"/>
    </w:rPr>
  </w:style>
  <w:style w:type="table" w:customStyle="1" w:styleId="Grillemoyenne3-Accent51">
    <w:name w:val="Grille moyenne 3 - Accent 51"/>
    <w:uiPriority w:val="99"/>
    <w:rsid w:val="00C83D22"/>
    <w:pPr>
      <w:spacing w:after="0" w:line="240" w:lineRule="auto"/>
      <w:ind w:firstLine="360"/>
    </w:pPr>
    <w:rPr>
      <w:rFonts w:ascii="Calibri" w:eastAsia="Times New Roman" w:hAnsi="Calibri" w:cs="Times New Roman"/>
      <w:sz w:val="20"/>
      <w:szCs w:val="20"/>
      <w:lang w:val="en-US" w:eastAsia="fr-B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styleId="Grilledutableau">
    <w:name w:val="Table Grid"/>
    <w:basedOn w:val="TableauNormal"/>
    <w:uiPriority w:val="99"/>
    <w:rsid w:val="00773BD2"/>
    <w:pPr>
      <w:spacing w:after="0" w:line="240" w:lineRule="auto"/>
    </w:pPr>
    <w:rPr>
      <w:rFonts w:ascii="Calibri" w:eastAsia="Times New Roman" w:hAnsi="Calibri"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FIRST LEVEL Car"/>
    <w:basedOn w:val="Policepardfaut"/>
    <w:link w:val="Titre1"/>
    <w:uiPriority w:val="99"/>
    <w:rsid w:val="008566D5"/>
    <w:rPr>
      <w:rFonts w:ascii="Times" w:eastAsia="Times New Roman" w:hAnsi="Times" w:cs="Times"/>
      <w:b/>
      <w:smallCaps/>
      <w:sz w:val="24"/>
      <w:szCs w:val="24"/>
      <w:lang w:eastAsia="ja-JP"/>
    </w:rPr>
  </w:style>
  <w:style w:type="character" w:customStyle="1" w:styleId="Titre2Car">
    <w:name w:val="Titre 2 Car"/>
    <w:basedOn w:val="Policepardfaut"/>
    <w:link w:val="Titre2"/>
    <w:uiPriority w:val="99"/>
    <w:rsid w:val="008566D5"/>
    <w:rPr>
      <w:rFonts w:ascii="Times" w:eastAsia="Times New Roman" w:hAnsi="Times" w:cs="Times"/>
      <w:b/>
      <w:sz w:val="24"/>
      <w:szCs w:val="24"/>
      <w:lang w:eastAsia="ja-JP"/>
    </w:rPr>
  </w:style>
  <w:style w:type="table" w:styleId="Ombrageclair">
    <w:name w:val="Light Shading"/>
    <w:basedOn w:val="TableauNormal"/>
    <w:uiPriority w:val="60"/>
    <w:rsid w:val="000B22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26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204"/>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EE"/>
    <w:pPr>
      <w:spacing w:after="160" w:line="360" w:lineRule="auto"/>
      <w:jc w:val="both"/>
    </w:pPr>
    <w:rPr>
      <w:rFonts w:ascii="Times New Roman" w:eastAsia="Times New Roman" w:hAnsi="Times New Roman" w:cs="Times New Roman"/>
      <w:sz w:val="24"/>
      <w:szCs w:val="24"/>
      <w:lang w:val="en-US" w:bidi="en-US"/>
    </w:rPr>
  </w:style>
  <w:style w:type="paragraph" w:styleId="Titre1">
    <w:name w:val="heading 1"/>
    <w:aliases w:val="FIRST LEVEL"/>
    <w:basedOn w:val="Normal"/>
    <w:next w:val="Normal"/>
    <w:link w:val="Titre1Car"/>
    <w:uiPriority w:val="99"/>
    <w:qFormat/>
    <w:rsid w:val="008566D5"/>
    <w:pPr>
      <w:numPr>
        <w:numId w:val="2"/>
      </w:numPr>
      <w:spacing w:line="240" w:lineRule="auto"/>
      <w:outlineLvl w:val="0"/>
    </w:pPr>
    <w:rPr>
      <w:rFonts w:ascii="Times" w:hAnsi="Times" w:cs="Times"/>
      <w:b/>
      <w:smallCaps/>
      <w:lang w:val="fr-BE" w:eastAsia="ja-JP" w:bidi="ar-SA"/>
    </w:rPr>
  </w:style>
  <w:style w:type="paragraph" w:styleId="Titre2">
    <w:name w:val="heading 2"/>
    <w:basedOn w:val="Normal"/>
    <w:next w:val="Normal"/>
    <w:link w:val="Titre2Car"/>
    <w:uiPriority w:val="99"/>
    <w:qFormat/>
    <w:rsid w:val="008566D5"/>
    <w:pPr>
      <w:numPr>
        <w:ilvl w:val="1"/>
        <w:numId w:val="2"/>
      </w:numPr>
      <w:spacing w:before="120" w:after="60" w:line="240" w:lineRule="auto"/>
      <w:contextualSpacing/>
      <w:outlineLvl w:val="1"/>
    </w:pPr>
    <w:rPr>
      <w:rFonts w:ascii="Times" w:hAnsi="Times" w:cs="Times"/>
      <w:b/>
      <w:lang w:val="fr-BE" w:eastAsia="ja-JP"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5DEE"/>
    <w:rPr>
      <w:color w:val="0000FF"/>
      <w:u w:val="single"/>
    </w:rPr>
  </w:style>
  <w:style w:type="paragraph" w:styleId="Lgende">
    <w:name w:val="caption"/>
    <w:aliases w:val="Second Level"/>
    <w:basedOn w:val="Normal"/>
    <w:next w:val="Normal"/>
    <w:uiPriority w:val="99"/>
    <w:qFormat/>
    <w:rsid w:val="00855DEE"/>
    <w:pPr>
      <w:jc w:val="center"/>
    </w:pPr>
    <w:rPr>
      <w:b/>
      <w:bCs/>
      <w:smallCaps/>
      <w:spacing w:val="10"/>
      <w:sz w:val="18"/>
      <w:szCs w:val="18"/>
      <w:lang w:val="fr-BE" w:bidi="ar-SA"/>
    </w:rPr>
  </w:style>
  <w:style w:type="character" w:customStyle="1" w:styleId="transpan">
    <w:name w:val="transpan"/>
    <w:basedOn w:val="Policepardfaut"/>
    <w:rsid w:val="00111A80"/>
  </w:style>
  <w:style w:type="character" w:styleId="Appelnotedebasdep">
    <w:name w:val="footnote reference"/>
    <w:basedOn w:val="Policepardfaut"/>
    <w:uiPriority w:val="99"/>
    <w:semiHidden/>
    <w:rsid w:val="00655501"/>
    <w:rPr>
      <w:rFonts w:cs="Times New Roman"/>
      <w:vertAlign w:val="superscript"/>
    </w:rPr>
  </w:style>
  <w:style w:type="paragraph" w:styleId="Paragraphedeliste">
    <w:name w:val="List Paragraph"/>
    <w:basedOn w:val="Normal"/>
    <w:uiPriority w:val="99"/>
    <w:qFormat/>
    <w:rsid w:val="003008D3"/>
    <w:pPr>
      <w:ind w:left="720"/>
      <w:contextualSpacing/>
    </w:pPr>
    <w:rPr>
      <w:rFonts w:ascii="Tahoma" w:hAnsi="Tahoma"/>
      <w:color w:val="5A5A5A"/>
      <w:sz w:val="22"/>
      <w:szCs w:val="20"/>
      <w:lang w:bidi="ar-SA"/>
    </w:rPr>
  </w:style>
  <w:style w:type="paragraph" w:styleId="En-tte">
    <w:name w:val="header"/>
    <w:basedOn w:val="Normal"/>
    <w:link w:val="En-tteCar"/>
    <w:uiPriority w:val="99"/>
    <w:unhideWhenUsed/>
    <w:rsid w:val="00494584"/>
    <w:pPr>
      <w:tabs>
        <w:tab w:val="center" w:pos="4536"/>
        <w:tab w:val="right" w:pos="9072"/>
      </w:tabs>
      <w:spacing w:after="0" w:line="240" w:lineRule="auto"/>
    </w:pPr>
  </w:style>
  <w:style w:type="character" w:customStyle="1" w:styleId="En-tteCar">
    <w:name w:val="En-tête Car"/>
    <w:basedOn w:val="Policepardfaut"/>
    <w:link w:val="En-tte"/>
    <w:uiPriority w:val="99"/>
    <w:rsid w:val="00494584"/>
    <w:rPr>
      <w:rFonts w:ascii="Times New Roman" w:eastAsia="Times New Roman" w:hAnsi="Times New Roman" w:cs="Times New Roman"/>
      <w:sz w:val="24"/>
      <w:szCs w:val="24"/>
      <w:lang w:val="en-US" w:bidi="en-US"/>
    </w:rPr>
  </w:style>
  <w:style w:type="paragraph" w:styleId="Pieddepage">
    <w:name w:val="footer"/>
    <w:basedOn w:val="Normal"/>
    <w:link w:val="PieddepageCar"/>
    <w:uiPriority w:val="99"/>
    <w:unhideWhenUsed/>
    <w:rsid w:val="00494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584"/>
    <w:rPr>
      <w:rFonts w:ascii="Times New Roman" w:eastAsia="Times New Roman" w:hAnsi="Times New Roman" w:cs="Times New Roman"/>
      <w:sz w:val="24"/>
      <w:szCs w:val="24"/>
      <w:lang w:val="en-US" w:bidi="en-US"/>
    </w:rPr>
  </w:style>
  <w:style w:type="table" w:customStyle="1" w:styleId="Grillemoyenne3-Accent51">
    <w:name w:val="Grille moyenne 3 - Accent 51"/>
    <w:uiPriority w:val="99"/>
    <w:rsid w:val="00C83D22"/>
    <w:pPr>
      <w:spacing w:after="0" w:line="240" w:lineRule="auto"/>
      <w:ind w:firstLine="360"/>
    </w:pPr>
    <w:rPr>
      <w:rFonts w:ascii="Calibri" w:eastAsia="Times New Roman" w:hAnsi="Calibri" w:cs="Times New Roman"/>
      <w:sz w:val="20"/>
      <w:szCs w:val="20"/>
      <w:lang w:val="en-US" w:eastAsia="fr-B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styleId="Grilledutableau">
    <w:name w:val="Table Grid"/>
    <w:basedOn w:val="TableauNormal"/>
    <w:uiPriority w:val="99"/>
    <w:rsid w:val="00773BD2"/>
    <w:pPr>
      <w:spacing w:after="0" w:line="240" w:lineRule="auto"/>
    </w:pPr>
    <w:rPr>
      <w:rFonts w:ascii="Calibri" w:eastAsia="Times New Roman" w:hAnsi="Calibri"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FIRST LEVEL Car"/>
    <w:basedOn w:val="Policepardfaut"/>
    <w:link w:val="Titre1"/>
    <w:uiPriority w:val="99"/>
    <w:rsid w:val="008566D5"/>
    <w:rPr>
      <w:rFonts w:ascii="Times" w:eastAsia="Times New Roman" w:hAnsi="Times" w:cs="Times"/>
      <w:b/>
      <w:smallCaps/>
      <w:sz w:val="24"/>
      <w:szCs w:val="24"/>
      <w:lang w:eastAsia="ja-JP"/>
    </w:rPr>
  </w:style>
  <w:style w:type="character" w:customStyle="1" w:styleId="Titre2Car">
    <w:name w:val="Titre 2 Car"/>
    <w:basedOn w:val="Policepardfaut"/>
    <w:link w:val="Titre2"/>
    <w:uiPriority w:val="99"/>
    <w:rsid w:val="008566D5"/>
    <w:rPr>
      <w:rFonts w:ascii="Times" w:eastAsia="Times New Roman" w:hAnsi="Times" w:cs="Times"/>
      <w:b/>
      <w:sz w:val="24"/>
      <w:szCs w:val="24"/>
      <w:lang w:eastAsia="ja-JP"/>
    </w:rPr>
  </w:style>
  <w:style w:type="table" w:styleId="Ombrageclair">
    <w:name w:val="Light Shading"/>
    <w:basedOn w:val="TableauNormal"/>
    <w:uiPriority w:val="60"/>
    <w:rsid w:val="000B22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26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20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3298">
      <w:bodyDiv w:val="1"/>
      <w:marLeft w:val="0"/>
      <w:marRight w:val="0"/>
      <w:marTop w:val="0"/>
      <w:marBottom w:val="0"/>
      <w:divBdr>
        <w:top w:val="none" w:sz="0" w:space="0" w:color="auto"/>
        <w:left w:val="none" w:sz="0" w:space="0" w:color="auto"/>
        <w:bottom w:val="none" w:sz="0" w:space="0" w:color="auto"/>
        <w:right w:val="none" w:sz="0" w:space="0" w:color="auto"/>
      </w:divBdr>
    </w:div>
    <w:div w:id="344946609">
      <w:bodyDiv w:val="1"/>
      <w:marLeft w:val="0"/>
      <w:marRight w:val="0"/>
      <w:marTop w:val="0"/>
      <w:marBottom w:val="0"/>
      <w:divBdr>
        <w:top w:val="none" w:sz="0" w:space="0" w:color="auto"/>
        <w:left w:val="none" w:sz="0" w:space="0" w:color="auto"/>
        <w:bottom w:val="none" w:sz="0" w:space="0" w:color="auto"/>
        <w:right w:val="none" w:sz="0" w:space="0" w:color="auto"/>
      </w:divBdr>
    </w:div>
    <w:div w:id="497767948">
      <w:bodyDiv w:val="1"/>
      <w:marLeft w:val="0"/>
      <w:marRight w:val="0"/>
      <w:marTop w:val="0"/>
      <w:marBottom w:val="0"/>
      <w:divBdr>
        <w:top w:val="none" w:sz="0" w:space="0" w:color="auto"/>
        <w:left w:val="none" w:sz="0" w:space="0" w:color="auto"/>
        <w:bottom w:val="none" w:sz="0" w:space="0" w:color="auto"/>
        <w:right w:val="none" w:sz="0" w:space="0" w:color="auto"/>
      </w:divBdr>
    </w:div>
    <w:div w:id="557319876">
      <w:bodyDiv w:val="1"/>
      <w:marLeft w:val="0"/>
      <w:marRight w:val="0"/>
      <w:marTop w:val="0"/>
      <w:marBottom w:val="0"/>
      <w:divBdr>
        <w:top w:val="none" w:sz="0" w:space="0" w:color="auto"/>
        <w:left w:val="none" w:sz="0" w:space="0" w:color="auto"/>
        <w:bottom w:val="none" w:sz="0" w:space="0" w:color="auto"/>
        <w:right w:val="none" w:sz="0" w:space="0" w:color="auto"/>
      </w:divBdr>
    </w:div>
    <w:div w:id="782042612">
      <w:bodyDiv w:val="1"/>
      <w:marLeft w:val="0"/>
      <w:marRight w:val="0"/>
      <w:marTop w:val="0"/>
      <w:marBottom w:val="0"/>
      <w:divBdr>
        <w:top w:val="none" w:sz="0" w:space="0" w:color="auto"/>
        <w:left w:val="none" w:sz="0" w:space="0" w:color="auto"/>
        <w:bottom w:val="none" w:sz="0" w:space="0" w:color="auto"/>
        <w:right w:val="none" w:sz="0" w:space="0" w:color="auto"/>
      </w:divBdr>
    </w:div>
    <w:div w:id="821656869">
      <w:bodyDiv w:val="1"/>
      <w:marLeft w:val="0"/>
      <w:marRight w:val="0"/>
      <w:marTop w:val="0"/>
      <w:marBottom w:val="0"/>
      <w:divBdr>
        <w:top w:val="none" w:sz="0" w:space="0" w:color="auto"/>
        <w:left w:val="none" w:sz="0" w:space="0" w:color="auto"/>
        <w:bottom w:val="none" w:sz="0" w:space="0" w:color="auto"/>
        <w:right w:val="none" w:sz="0" w:space="0" w:color="auto"/>
      </w:divBdr>
    </w:div>
    <w:div w:id="1200777516">
      <w:bodyDiv w:val="1"/>
      <w:marLeft w:val="0"/>
      <w:marRight w:val="0"/>
      <w:marTop w:val="0"/>
      <w:marBottom w:val="0"/>
      <w:divBdr>
        <w:top w:val="none" w:sz="0" w:space="0" w:color="auto"/>
        <w:left w:val="none" w:sz="0" w:space="0" w:color="auto"/>
        <w:bottom w:val="none" w:sz="0" w:space="0" w:color="auto"/>
        <w:right w:val="none" w:sz="0" w:space="0" w:color="auto"/>
      </w:divBdr>
    </w:div>
    <w:div w:id="1349260637">
      <w:bodyDiv w:val="1"/>
      <w:marLeft w:val="0"/>
      <w:marRight w:val="0"/>
      <w:marTop w:val="0"/>
      <w:marBottom w:val="0"/>
      <w:divBdr>
        <w:top w:val="none" w:sz="0" w:space="0" w:color="auto"/>
        <w:left w:val="none" w:sz="0" w:space="0" w:color="auto"/>
        <w:bottom w:val="none" w:sz="0" w:space="0" w:color="auto"/>
        <w:right w:val="none" w:sz="0" w:space="0" w:color="auto"/>
      </w:divBdr>
    </w:div>
    <w:div w:id="1526403261">
      <w:bodyDiv w:val="1"/>
      <w:marLeft w:val="0"/>
      <w:marRight w:val="0"/>
      <w:marTop w:val="0"/>
      <w:marBottom w:val="0"/>
      <w:divBdr>
        <w:top w:val="none" w:sz="0" w:space="0" w:color="auto"/>
        <w:left w:val="none" w:sz="0" w:space="0" w:color="auto"/>
        <w:bottom w:val="none" w:sz="0" w:space="0" w:color="auto"/>
        <w:right w:val="none" w:sz="0" w:space="0" w:color="auto"/>
      </w:divBdr>
    </w:div>
    <w:div w:id="1567302106">
      <w:bodyDiv w:val="1"/>
      <w:marLeft w:val="0"/>
      <w:marRight w:val="0"/>
      <w:marTop w:val="0"/>
      <w:marBottom w:val="0"/>
      <w:divBdr>
        <w:top w:val="none" w:sz="0" w:space="0" w:color="auto"/>
        <w:left w:val="none" w:sz="0" w:space="0" w:color="auto"/>
        <w:bottom w:val="none" w:sz="0" w:space="0" w:color="auto"/>
        <w:right w:val="none" w:sz="0" w:space="0" w:color="auto"/>
      </w:divBdr>
    </w:div>
    <w:div w:id="1962372581">
      <w:bodyDiv w:val="1"/>
      <w:marLeft w:val="0"/>
      <w:marRight w:val="0"/>
      <w:marTop w:val="0"/>
      <w:marBottom w:val="0"/>
      <w:divBdr>
        <w:top w:val="none" w:sz="0" w:space="0" w:color="auto"/>
        <w:left w:val="none" w:sz="0" w:space="0" w:color="auto"/>
        <w:bottom w:val="none" w:sz="0" w:space="0" w:color="auto"/>
        <w:right w:val="none" w:sz="0" w:space="0" w:color="auto"/>
      </w:divBdr>
    </w:div>
    <w:div w:id="20980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com/abstract=638082" TargetMode="External"/><Relationship Id="rId5" Type="http://schemas.openxmlformats.org/officeDocument/2006/relationships/settings" Target="settings.xml"/><Relationship Id="rId10" Type="http://schemas.openxmlformats.org/officeDocument/2006/relationships/hyperlink" Target="http://www.afaanz.org/openconf/2009/modules/request.php?module=oc_program&amp;acti" TargetMode="External"/><Relationship Id="rId4" Type="http://schemas.microsoft.com/office/2007/relationships/stylesWithEffects" Target="stylesWithEffects.xml"/><Relationship Id="rId9" Type="http://schemas.openxmlformats.org/officeDocument/2006/relationships/hyperlink" Target="mailto:Laetitia.pozniak@umons.ac.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5501-77F9-4E2D-8848-991CDBB3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6701</Words>
  <Characters>36857</Characters>
  <Application>Microsoft Office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14</cp:revision>
  <cp:lastPrinted>2014-02-18T13:00:00Z</cp:lastPrinted>
  <dcterms:created xsi:type="dcterms:W3CDTF">2014-02-18T09:11:00Z</dcterms:created>
  <dcterms:modified xsi:type="dcterms:W3CDTF">2014-02-21T10:09:00Z</dcterms:modified>
</cp:coreProperties>
</file>