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CBD4" w14:textId="123B5E5E" w:rsidR="00003402" w:rsidRPr="00644FC9" w:rsidRDefault="0078165E" w:rsidP="00471C34">
      <w:pPr>
        <w:spacing w:line="480" w:lineRule="auto"/>
        <w:jc w:val="center"/>
        <w:rPr>
          <w:rFonts w:ascii="Times New Roman" w:hAnsi="Times New Roman" w:cs="Times New Roman"/>
          <w:b/>
          <w:color w:val="000000" w:themeColor="text1"/>
        </w:rPr>
      </w:pPr>
      <w:r w:rsidRPr="00644FC9">
        <w:rPr>
          <w:rFonts w:ascii="Times New Roman" w:hAnsi="Times New Roman" w:cs="Times New Roman"/>
          <w:b/>
          <w:color w:val="000000" w:themeColor="text1"/>
        </w:rPr>
        <w:t>Post-earnings-announcement drift</w:t>
      </w:r>
      <w:r w:rsidR="001079A4" w:rsidRPr="00644FC9">
        <w:rPr>
          <w:rFonts w:ascii="Times New Roman" w:hAnsi="Times New Roman" w:cs="Times New Roman"/>
          <w:b/>
          <w:color w:val="000000" w:themeColor="text1"/>
        </w:rPr>
        <w:t xml:space="preserve"> anomaly</w:t>
      </w:r>
      <w:r w:rsidR="00390B8A" w:rsidRPr="00644FC9">
        <w:rPr>
          <w:rFonts w:ascii="Times New Roman" w:hAnsi="Times New Roman" w:cs="Times New Roman"/>
          <w:b/>
          <w:color w:val="000000" w:themeColor="text1"/>
        </w:rPr>
        <w:t>:</w:t>
      </w:r>
      <w:r w:rsidRPr="00644FC9">
        <w:rPr>
          <w:rFonts w:ascii="Times New Roman" w:hAnsi="Times New Roman" w:cs="Times New Roman"/>
          <w:b/>
          <w:color w:val="000000" w:themeColor="text1"/>
        </w:rPr>
        <w:t xml:space="preserve"> </w:t>
      </w:r>
      <w:r w:rsidR="00967230" w:rsidRPr="00644FC9">
        <w:rPr>
          <w:rFonts w:ascii="Times New Roman" w:hAnsi="Times New Roman" w:cs="Times New Roman"/>
          <w:b/>
          <w:color w:val="000000" w:themeColor="text1"/>
        </w:rPr>
        <w:t>The role</w:t>
      </w:r>
      <w:r w:rsidR="00C97696" w:rsidRPr="00644FC9">
        <w:rPr>
          <w:rFonts w:ascii="Times New Roman" w:hAnsi="Times New Roman" w:cs="Times New Roman"/>
          <w:b/>
          <w:color w:val="000000" w:themeColor="text1"/>
        </w:rPr>
        <w:t xml:space="preserve"> of</w:t>
      </w:r>
      <w:r w:rsidR="00DE5030" w:rsidRPr="00644FC9">
        <w:rPr>
          <w:rFonts w:ascii="Times New Roman" w:hAnsi="Times New Roman" w:cs="Times New Roman"/>
          <w:b/>
          <w:color w:val="000000" w:themeColor="text1"/>
        </w:rPr>
        <w:t xml:space="preserve"> </w:t>
      </w:r>
      <w:r w:rsidR="00390B8A" w:rsidRPr="00644FC9">
        <w:rPr>
          <w:rFonts w:ascii="Times New Roman" w:hAnsi="Times New Roman" w:cs="Times New Roman"/>
          <w:b/>
          <w:color w:val="000000" w:themeColor="text1"/>
        </w:rPr>
        <w:t>operating and</w:t>
      </w:r>
      <w:r w:rsidRPr="00644FC9">
        <w:rPr>
          <w:rFonts w:ascii="Times New Roman" w:hAnsi="Times New Roman" w:cs="Times New Roman"/>
          <w:b/>
          <w:color w:val="000000" w:themeColor="text1"/>
        </w:rPr>
        <w:t xml:space="preserve"> </w:t>
      </w:r>
      <w:r w:rsidR="00390B8A" w:rsidRPr="00644FC9">
        <w:rPr>
          <w:rFonts w:ascii="Times New Roman" w:hAnsi="Times New Roman" w:cs="Times New Roman"/>
          <w:b/>
          <w:color w:val="000000" w:themeColor="text1"/>
        </w:rPr>
        <w:t>non</w:t>
      </w:r>
      <w:r w:rsidR="00313173" w:rsidRPr="00644FC9">
        <w:rPr>
          <w:rFonts w:ascii="Times New Roman" w:hAnsi="Times New Roman" w:cs="Times New Roman"/>
          <w:b/>
          <w:color w:val="000000" w:themeColor="text1"/>
        </w:rPr>
        <w:t>-</w:t>
      </w:r>
      <w:r w:rsidR="00390B8A" w:rsidRPr="00644FC9">
        <w:rPr>
          <w:rFonts w:ascii="Times New Roman" w:hAnsi="Times New Roman" w:cs="Times New Roman"/>
          <w:b/>
          <w:color w:val="000000" w:themeColor="text1"/>
        </w:rPr>
        <w:t>operating income</w:t>
      </w:r>
      <w:r w:rsidR="00B466D7" w:rsidRPr="00644FC9">
        <w:rPr>
          <w:rFonts w:ascii="Times New Roman" w:hAnsi="Times New Roman" w:cs="Times New Roman"/>
          <w:b/>
          <w:color w:val="000000" w:themeColor="text1"/>
        </w:rPr>
        <w:t xml:space="preserve"> in</w:t>
      </w:r>
      <w:r w:rsidR="0065717A">
        <w:rPr>
          <w:rFonts w:ascii="Times New Roman" w:hAnsi="Times New Roman" w:cs="Times New Roman"/>
          <w:b/>
          <w:color w:val="000000" w:themeColor="text1"/>
        </w:rPr>
        <w:t xml:space="preserve"> the</w:t>
      </w:r>
      <w:r w:rsidR="00B466D7" w:rsidRPr="00644FC9">
        <w:rPr>
          <w:rFonts w:ascii="Times New Roman" w:hAnsi="Times New Roman" w:cs="Times New Roman"/>
          <w:b/>
          <w:color w:val="000000" w:themeColor="text1"/>
        </w:rPr>
        <w:t xml:space="preserve"> Taiwanese stock market</w:t>
      </w:r>
    </w:p>
    <w:p w14:paraId="20565D8F" w14:textId="77777777" w:rsidR="00D37C5A" w:rsidRPr="00644FC9" w:rsidRDefault="00D37C5A" w:rsidP="00471C34">
      <w:pPr>
        <w:spacing w:line="480" w:lineRule="auto"/>
        <w:jc w:val="center"/>
        <w:rPr>
          <w:rFonts w:ascii="Times New Roman" w:hAnsi="Times New Roman" w:cs="Times New Roman"/>
          <w:color w:val="000000" w:themeColor="text1"/>
        </w:rPr>
      </w:pPr>
    </w:p>
    <w:p w14:paraId="2C4FECC0" w14:textId="77777777" w:rsidR="001E3F04" w:rsidRPr="00644FC9" w:rsidRDefault="001E3F04" w:rsidP="00471C34">
      <w:pPr>
        <w:spacing w:line="480" w:lineRule="auto"/>
        <w:jc w:val="center"/>
        <w:rPr>
          <w:rFonts w:ascii="Times New Roman" w:hAnsi="Times New Roman" w:cs="Times New Roman"/>
          <w:b/>
          <w:color w:val="000000" w:themeColor="text1"/>
        </w:rPr>
      </w:pPr>
      <w:r w:rsidRPr="00644FC9">
        <w:rPr>
          <w:rFonts w:ascii="Times New Roman" w:hAnsi="Times New Roman" w:cs="Times New Roman"/>
          <w:b/>
          <w:color w:val="000000" w:themeColor="text1"/>
        </w:rPr>
        <w:t>Abstract</w:t>
      </w:r>
    </w:p>
    <w:p w14:paraId="113A4543" w14:textId="0BE1562C" w:rsidR="00C266C3" w:rsidRPr="00644FC9" w:rsidRDefault="00577F98" w:rsidP="001921D5">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This paper examine</w:t>
      </w:r>
      <w:r w:rsidRPr="00644FC9">
        <w:rPr>
          <w:rFonts w:ascii="Times New Roman" w:hAnsi="Times New Roman" w:cs="Times New Roman" w:hint="eastAsia"/>
          <w:color w:val="000000" w:themeColor="text1"/>
        </w:rPr>
        <w:t>s</w:t>
      </w:r>
      <w:r w:rsidR="00C266C3" w:rsidRPr="00644FC9">
        <w:rPr>
          <w:rFonts w:ascii="Times New Roman" w:hAnsi="Times New Roman" w:cs="Times New Roman"/>
          <w:color w:val="000000" w:themeColor="text1"/>
        </w:rPr>
        <w:t xml:space="preserve"> the relation</w:t>
      </w:r>
      <w:r w:rsidR="00313173" w:rsidRPr="00644FC9">
        <w:rPr>
          <w:rFonts w:ascii="Times New Roman" w:hAnsi="Times New Roman" w:cs="Times New Roman"/>
          <w:color w:val="000000" w:themeColor="text1"/>
        </w:rPr>
        <w:t>ship</w:t>
      </w:r>
      <w:r w:rsidR="00C266C3" w:rsidRPr="00644FC9">
        <w:rPr>
          <w:rFonts w:ascii="Times New Roman" w:hAnsi="Times New Roman" w:cs="Times New Roman"/>
          <w:color w:val="000000" w:themeColor="text1"/>
        </w:rPr>
        <w:t xml:space="preserve"> between unexpected earnings components</w:t>
      </w:r>
      <w:r w:rsidR="00313173" w:rsidRPr="00644FC9">
        <w:rPr>
          <w:rFonts w:ascii="Times New Roman" w:hAnsi="Times New Roman" w:cs="Times New Roman"/>
          <w:color w:val="000000" w:themeColor="text1"/>
        </w:rPr>
        <w:t xml:space="preserve"> (</w:t>
      </w:r>
      <w:r w:rsidR="00C266C3" w:rsidRPr="00644FC9">
        <w:rPr>
          <w:rFonts w:ascii="Times New Roman" w:hAnsi="Times New Roman" w:cs="Times New Roman"/>
          <w:color w:val="000000" w:themeColor="text1"/>
        </w:rPr>
        <w:t>i.e.</w:t>
      </w:r>
      <w:r w:rsidR="00313173" w:rsidRPr="00644FC9">
        <w:rPr>
          <w:rFonts w:ascii="Times New Roman" w:hAnsi="Times New Roman" w:cs="Times New Roman"/>
          <w:color w:val="000000" w:themeColor="text1"/>
        </w:rPr>
        <w:t>,</w:t>
      </w:r>
      <w:r w:rsidR="00C266C3" w:rsidRPr="00644FC9">
        <w:rPr>
          <w:rFonts w:ascii="Times New Roman" w:hAnsi="Times New Roman" w:cs="Times New Roman"/>
          <w:color w:val="000000" w:themeColor="text1"/>
        </w:rPr>
        <w:t xml:space="preserve"> unexpected operating and</w:t>
      </w:r>
      <w:r w:rsidR="00313173" w:rsidRPr="00644FC9">
        <w:rPr>
          <w:rFonts w:ascii="Times New Roman" w:hAnsi="Times New Roman" w:cs="Times New Roman"/>
          <w:color w:val="000000" w:themeColor="text1"/>
        </w:rPr>
        <w:t xml:space="preserve"> non-operating </w:t>
      </w:r>
      <w:r w:rsidR="00C266C3" w:rsidRPr="00644FC9">
        <w:rPr>
          <w:rFonts w:ascii="Times New Roman" w:hAnsi="Times New Roman" w:cs="Times New Roman"/>
          <w:color w:val="000000" w:themeColor="text1"/>
        </w:rPr>
        <w:t>income</w:t>
      </w:r>
      <w:r w:rsidR="00313173" w:rsidRPr="00644FC9">
        <w:rPr>
          <w:rFonts w:ascii="Times New Roman" w:hAnsi="Times New Roman" w:cs="Times New Roman"/>
          <w:color w:val="000000" w:themeColor="text1"/>
        </w:rPr>
        <w:t>)</w:t>
      </w:r>
      <w:r w:rsidR="00C266C3" w:rsidRPr="00644FC9">
        <w:rPr>
          <w:rFonts w:ascii="Times New Roman" w:hAnsi="Times New Roman" w:cs="Times New Roman"/>
          <w:color w:val="000000" w:themeColor="text1"/>
        </w:rPr>
        <w:t xml:space="preserve"> and post-</w:t>
      </w:r>
      <w:r w:rsidR="0065717A">
        <w:rPr>
          <w:rFonts w:ascii="Times New Roman" w:hAnsi="Times New Roman" w:cs="Times New Roman"/>
          <w:color w:val="000000" w:themeColor="text1"/>
        </w:rPr>
        <w:t>earnings-announcement</w:t>
      </w:r>
      <w:r w:rsidR="00C266C3" w:rsidRPr="00644FC9">
        <w:rPr>
          <w:rFonts w:ascii="Times New Roman" w:hAnsi="Times New Roman" w:cs="Times New Roman"/>
          <w:color w:val="000000" w:themeColor="text1"/>
        </w:rPr>
        <w:t xml:space="preserve"> drift to </w:t>
      </w:r>
      <w:r w:rsidR="0065717A">
        <w:rPr>
          <w:rFonts w:ascii="Times New Roman" w:hAnsi="Times New Roman" w:cs="Times New Roman"/>
          <w:color w:val="000000" w:themeColor="text1"/>
        </w:rPr>
        <w:t>determine whether</w:t>
      </w:r>
      <w:r w:rsidR="00C266C3" w:rsidRPr="00644FC9">
        <w:rPr>
          <w:rFonts w:ascii="Times New Roman" w:hAnsi="Times New Roman" w:cs="Times New Roman"/>
          <w:color w:val="000000" w:themeColor="text1"/>
        </w:rPr>
        <w:t xml:space="preserve"> both components contribute to the mispricing phenomenon. I find that both operating and</w:t>
      </w:r>
      <w:r w:rsidR="00313173" w:rsidRPr="00644FC9">
        <w:rPr>
          <w:rFonts w:ascii="Times New Roman" w:hAnsi="Times New Roman" w:cs="Times New Roman"/>
          <w:color w:val="000000" w:themeColor="text1"/>
        </w:rPr>
        <w:t xml:space="preserve"> non-operating </w:t>
      </w:r>
      <w:r w:rsidR="00C266C3" w:rsidRPr="00644FC9">
        <w:rPr>
          <w:rFonts w:ascii="Times New Roman" w:hAnsi="Times New Roman" w:cs="Times New Roman"/>
          <w:color w:val="000000" w:themeColor="text1"/>
        </w:rPr>
        <w:t>inco</w:t>
      </w:r>
      <w:r w:rsidR="003222B7" w:rsidRPr="00644FC9">
        <w:rPr>
          <w:rFonts w:ascii="Times New Roman" w:hAnsi="Times New Roman" w:cs="Times New Roman"/>
          <w:color w:val="000000" w:themeColor="text1"/>
        </w:rPr>
        <w:t>me surprises explain the market’</w:t>
      </w:r>
      <w:r w:rsidR="00C266C3" w:rsidRPr="00644FC9">
        <w:rPr>
          <w:rFonts w:ascii="Times New Roman" w:hAnsi="Times New Roman" w:cs="Times New Roman"/>
          <w:color w:val="000000" w:themeColor="text1"/>
        </w:rPr>
        <w:t>s underweighting of earnings surprises</w:t>
      </w:r>
      <w:r w:rsidR="00313173" w:rsidRPr="00644FC9">
        <w:rPr>
          <w:rFonts w:ascii="Times New Roman" w:hAnsi="Times New Roman" w:cs="Times New Roman"/>
          <w:color w:val="000000" w:themeColor="text1"/>
        </w:rPr>
        <w:t>.</w:t>
      </w:r>
      <w:r w:rsidR="00C266C3" w:rsidRPr="00644FC9">
        <w:rPr>
          <w:rFonts w:ascii="Times New Roman" w:hAnsi="Times New Roman" w:cs="Times New Roman"/>
          <w:color w:val="000000" w:themeColor="text1"/>
        </w:rPr>
        <w:t xml:space="preserve"> </w:t>
      </w:r>
      <w:r w:rsidR="00313173" w:rsidRPr="00644FC9">
        <w:rPr>
          <w:rFonts w:ascii="Times New Roman" w:hAnsi="Times New Roman" w:cs="Times New Roman"/>
          <w:color w:val="000000" w:themeColor="text1"/>
        </w:rPr>
        <w:t>H</w:t>
      </w:r>
      <w:r w:rsidR="00C266C3" w:rsidRPr="00644FC9">
        <w:rPr>
          <w:rFonts w:ascii="Times New Roman" w:hAnsi="Times New Roman" w:cs="Times New Roman"/>
          <w:color w:val="000000" w:themeColor="text1"/>
        </w:rPr>
        <w:t>owever, the contribution of operating income surprises is significant</w:t>
      </w:r>
      <w:r w:rsidR="00313173" w:rsidRPr="00644FC9">
        <w:rPr>
          <w:rFonts w:ascii="Times New Roman" w:hAnsi="Times New Roman" w:cs="Times New Roman"/>
          <w:color w:val="000000" w:themeColor="text1"/>
        </w:rPr>
        <w:t>ly</w:t>
      </w:r>
      <w:r w:rsidR="00C266C3" w:rsidRPr="00644FC9">
        <w:rPr>
          <w:rFonts w:ascii="Times New Roman" w:hAnsi="Times New Roman" w:cs="Times New Roman"/>
          <w:color w:val="000000" w:themeColor="text1"/>
        </w:rPr>
        <w:t xml:space="preserve"> higher than</w:t>
      </w:r>
      <w:r w:rsidR="00313173" w:rsidRPr="00644FC9">
        <w:rPr>
          <w:rFonts w:ascii="Times New Roman" w:hAnsi="Times New Roman" w:cs="Times New Roman"/>
          <w:color w:val="000000" w:themeColor="text1"/>
        </w:rPr>
        <w:t xml:space="preserve"> non-operating </w:t>
      </w:r>
      <w:r w:rsidR="00C266C3" w:rsidRPr="00644FC9">
        <w:rPr>
          <w:rFonts w:ascii="Times New Roman" w:hAnsi="Times New Roman" w:cs="Times New Roman"/>
          <w:color w:val="000000" w:themeColor="text1"/>
        </w:rPr>
        <w:t>income surprises.</w:t>
      </w:r>
      <w:r w:rsidR="0064704B" w:rsidRPr="00644FC9">
        <w:rPr>
          <w:rFonts w:ascii="Times New Roman" w:hAnsi="Times New Roman" w:cs="Times New Roman"/>
          <w:color w:val="000000" w:themeColor="text1"/>
        </w:rPr>
        <w:t xml:space="preserve"> While the </w:t>
      </w:r>
      <w:r w:rsidR="00A91F73" w:rsidRPr="00644FC9">
        <w:rPr>
          <w:rFonts w:ascii="Times New Roman" w:hAnsi="Times New Roman" w:cs="Times New Roman"/>
          <w:color w:val="000000" w:themeColor="text1"/>
        </w:rPr>
        <w:t xml:space="preserve">mispricing </w:t>
      </w:r>
      <w:r w:rsidR="00313173" w:rsidRPr="00644FC9">
        <w:rPr>
          <w:rFonts w:ascii="Times New Roman" w:hAnsi="Times New Roman" w:cs="Times New Roman"/>
          <w:color w:val="000000" w:themeColor="text1"/>
        </w:rPr>
        <w:t xml:space="preserve">of components </w:t>
      </w:r>
      <w:r w:rsidR="00A91F73" w:rsidRPr="00644FC9">
        <w:rPr>
          <w:rFonts w:ascii="Times New Roman" w:hAnsi="Times New Roman" w:cs="Times New Roman"/>
          <w:color w:val="000000" w:themeColor="text1"/>
        </w:rPr>
        <w:t>appear</w:t>
      </w:r>
      <w:r w:rsidR="00C3488B" w:rsidRPr="00644FC9">
        <w:rPr>
          <w:rFonts w:ascii="Times New Roman" w:hAnsi="Times New Roman" w:cs="Times New Roman" w:hint="eastAsia"/>
          <w:color w:val="000000" w:themeColor="text1"/>
        </w:rPr>
        <w:t>s</w:t>
      </w:r>
      <w:r w:rsidR="0064704B" w:rsidRPr="00644FC9">
        <w:rPr>
          <w:rFonts w:ascii="Times New Roman" w:hAnsi="Times New Roman" w:cs="Times New Roman"/>
          <w:color w:val="000000" w:themeColor="text1"/>
        </w:rPr>
        <w:t xml:space="preserve"> to be captured by post-</w:t>
      </w:r>
      <w:r w:rsidR="0065717A">
        <w:rPr>
          <w:rFonts w:ascii="Times New Roman" w:hAnsi="Times New Roman" w:cs="Times New Roman"/>
          <w:color w:val="000000" w:themeColor="text1"/>
        </w:rPr>
        <w:t>earnings-announcement</w:t>
      </w:r>
      <w:r w:rsidR="0064704B" w:rsidRPr="00644FC9">
        <w:rPr>
          <w:rFonts w:ascii="Times New Roman" w:hAnsi="Times New Roman" w:cs="Times New Roman"/>
          <w:color w:val="000000" w:themeColor="text1"/>
        </w:rPr>
        <w:t xml:space="preserve"> drift,</w:t>
      </w:r>
      <w:r w:rsidR="00C266C3" w:rsidRPr="00644FC9">
        <w:rPr>
          <w:rFonts w:ascii="Times New Roman" w:hAnsi="Times New Roman" w:cs="Times New Roman"/>
          <w:color w:val="000000" w:themeColor="text1"/>
        </w:rPr>
        <w:t xml:space="preserve"> </w:t>
      </w:r>
      <w:r w:rsidR="0064704B" w:rsidRPr="00644FC9">
        <w:rPr>
          <w:rFonts w:ascii="Times New Roman" w:hAnsi="Times New Roman" w:cs="Times New Roman"/>
          <w:color w:val="000000" w:themeColor="text1"/>
        </w:rPr>
        <w:t>the speed of price response</w:t>
      </w:r>
      <w:r w:rsidR="00313173" w:rsidRPr="00644FC9">
        <w:rPr>
          <w:rFonts w:ascii="Times New Roman" w:hAnsi="Times New Roman" w:cs="Times New Roman"/>
          <w:color w:val="000000" w:themeColor="text1"/>
        </w:rPr>
        <w:t>s</w:t>
      </w:r>
      <w:r w:rsidR="0064704B" w:rsidRPr="00644FC9">
        <w:rPr>
          <w:rFonts w:ascii="Times New Roman" w:hAnsi="Times New Roman" w:cs="Times New Roman"/>
          <w:color w:val="000000" w:themeColor="text1"/>
        </w:rPr>
        <w:t xml:space="preserve"> to unexpected</w:t>
      </w:r>
      <w:r w:rsidR="00313173" w:rsidRPr="00644FC9">
        <w:rPr>
          <w:rFonts w:ascii="Times New Roman" w:hAnsi="Times New Roman" w:cs="Times New Roman"/>
          <w:color w:val="000000" w:themeColor="text1"/>
        </w:rPr>
        <w:t xml:space="preserve"> non-operating </w:t>
      </w:r>
      <w:r w:rsidR="0064704B" w:rsidRPr="00644FC9">
        <w:rPr>
          <w:rFonts w:ascii="Times New Roman" w:hAnsi="Times New Roman" w:cs="Times New Roman"/>
          <w:color w:val="000000" w:themeColor="text1"/>
        </w:rPr>
        <w:t xml:space="preserve">income is faster than </w:t>
      </w:r>
      <w:r w:rsidR="00313173" w:rsidRPr="00644FC9">
        <w:rPr>
          <w:rFonts w:ascii="Times New Roman" w:hAnsi="Times New Roman" w:cs="Times New Roman"/>
          <w:color w:val="000000" w:themeColor="text1"/>
        </w:rPr>
        <w:t xml:space="preserve">for </w:t>
      </w:r>
      <w:r w:rsidR="0064704B" w:rsidRPr="00644FC9">
        <w:rPr>
          <w:rFonts w:ascii="Times New Roman" w:hAnsi="Times New Roman" w:cs="Times New Roman"/>
          <w:color w:val="000000" w:themeColor="text1"/>
        </w:rPr>
        <w:t>unexpected operating income. Moreover, unexpected operating and</w:t>
      </w:r>
      <w:r w:rsidR="00313173" w:rsidRPr="00644FC9">
        <w:rPr>
          <w:rFonts w:ascii="Times New Roman" w:hAnsi="Times New Roman" w:cs="Times New Roman"/>
          <w:color w:val="000000" w:themeColor="text1"/>
        </w:rPr>
        <w:t xml:space="preserve"> non-operating </w:t>
      </w:r>
      <w:r w:rsidR="0064704B" w:rsidRPr="00644FC9">
        <w:rPr>
          <w:rFonts w:ascii="Times New Roman" w:hAnsi="Times New Roman" w:cs="Times New Roman"/>
          <w:color w:val="000000" w:themeColor="text1"/>
        </w:rPr>
        <w:t>income mispricing are distinct mispricing phenomena,</w:t>
      </w:r>
      <w:r w:rsidR="00EE4007" w:rsidRPr="00644FC9">
        <w:rPr>
          <w:rFonts w:ascii="Times New Roman" w:hAnsi="Times New Roman" w:cs="Times New Roman"/>
          <w:color w:val="000000" w:themeColor="text1"/>
        </w:rPr>
        <w:t xml:space="preserve"> </w:t>
      </w:r>
      <w:r w:rsidR="00313173" w:rsidRPr="00644FC9">
        <w:rPr>
          <w:rFonts w:ascii="Times New Roman" w:hAnsi="Times New Roman" w:cs="Times New Roman"/>
          <w:color w:val="000000" w:themeColor="text1"/>
        </w:rPr>
        <w:t xml:space="preserve">and </w:t>
      </w:r>
      <w:r w:rsidR="00EE4007" w:rsidRPr="00644FC9">
        <w:rPr>
          <w:rFonts w:ascii="Times New Roman" w:hAnsi="Times New Roman" w:cs="Times New Roman"/>
          <w:color w:val="000000" w:themeColor="text1"/>
        </w:rPr>
        <w:t>a</w:t>
      </w:r>
      <w:r w:rsidR="0064704B" w:rsidRPr="00644FC9">
        <w:rPr>
          <w:rFonts w:ascii="Times New Roman" w:hAnsi="Times New Roman" w:cs="Times New Roman"/>
          <w:color w:val="000000" w:themeColor="text1"/>
        </w:rPr>
        <w:t xml:space="preserve"> </w:t>
      </w:r>
      <w:r w:rsidR="00EE4007" w:rsidRPr="00644FC9">
        <w:rPr>
          <w:rFonts w:ascii="Times New Roman" w:hAnsi="Times New Roman" w:cs="Times New Roman"/>
          <w:color w:val="000000" w:themeColor="text1"/>
        </w:rPr>
        <w:t xml:space="preserve">joint </w:t>
      </w:r>
      <w:r w:rsidR="0064704B" w:rsidRPr="00644FC9">
        <w:rPr>
          <w:rFonts w:ascii="Times New Roman" w:hAnsi="Times New Roman" w:cs="Times New Roman"/>
          <w:color w:val="000000" w:themeColor="text1"/>
        </w:rPr>
        <w:t xml:space="preserve">hedge portfolio trading strategy generates </w:t>
      </w:r>
      <w:r w:rsidR="00EE4007" w:rsidRPr="00644FC9">
        <w:rPr>
          <w:rFonts w:ascii="Times New Roman" w:hAnsi="Times New Roman" w:cs="Times New Roman"/>
          <w:color w:val="000000" w:themeColor="text1"/>
        </w:rPr>
        <w:t xml:space="preserve">excess </w:t>
      </w:r>
      <w:r w:rsidR="0064704B" w:rsidRPr="00644FC9">
        <w:rPr>
          <w:rFonts w:ascii="Times New Roman" w:hAnsi="Times New Roman" w:cs="Times New Roman"/>
          <w:color w:val="000000" w:themeColor="text1"/>
        </w:rPr>
        <w:t xml:space="preserve">abnormal returns </w:t>
      </w:r>
      <w:r w:rsidR="00313173" w:rsidRPr="00644FC9">
        <w:rPr>
          <w:rFonts w:ascii="Times New Roman" w:hAnsi="Times New Roman" w:cs="Times New Roman"/>
          <w:color w:val="000000" w:themeColor="text1"/>
        </w:rPr>
        <w:t xml:space="preserve">when </w:t>
      </w:r>
      <w:r w:rsidR="0064704B" w:rsidRPr="00644FC9">
        <w:rPr>
          <w:rFonts w:ascii="Times New Roman" w:hAnsi="Times New Roman" w:cs="Times New Roman"/>
          <w:color w:val="000000" w:themeColor="text1"/>
        </w:rPr>
        <w:t xml:space="preserve">based </w:t>
      </w:r>
      <w:r w:rsidR="00313173" w:rsidRPr="00644FC9">
        <w:rPr>
          <w:rFonts w:ascii="Times New Roman" w:hAnsi="Times New Roman" w:cs="Times New Roman"/>
          <w:color w:val="000000" w:themeColor="text1"/>
        </w:rPr>
        <w:t xml:space="preserve">only </w:t>
      </w:r>
      <w:r w:rsidR="0064704B" w:rsidRPr="00644FC9">
        <w:rPr>
          <w:rFonts w:ascii="Times New Roman" w:hAnsi="Times New Roman" w:cs="Times New Roman"/>
          <w:color w:val="000000" w:themeColor="text1"/>
        </w:rPr>
        <w:t xml:space="preserve">on </w:t>
      </w:r>
      <w:r w:rsidR="00313173" w:rsidRPr="00644FC9">
        <w:rPr>
          <w:rFonts w:ascii="Times New Roman" w:hAnsi="Times New Roman" w:cs="Times New Roman"/>
          <w:color w:val="000000" w:themeColor="text1"/>
        </w:rPr>
        <w:t xml:space="preserve">an </w:t>
      </w:r>
      <w:r w:rsidR="00EE4007" w:rsidRPr="00644FC9">
        <w:rPr>
          <w:rFonts w:ascii="Times New Roman" w:hAnsi="Times New Roman" w:cs="Times New Roman"/>
          <w:color w:val="000000" w:themeColor="text1"/>
        </w:rPr>
        <w:t xml:space="preserve">unexpected operating </w:t>
      </w:r>
      <w:r w:rsidR="00313173" w:rsidRPr="00644FC9">
        <w:rPr>
          <w:rFonts w:ascii="Times New Roman" w:hAnsi="Times New Roman" w:cs="Times New Roman"/>
          <w:color w:val="000000" w:themeColor="text1"/>
        </w:rPr>
        <w:t xml:space="preserve">or </w:t>
      </w:r>
      <w:r w:rsidR="008B1418">
        <w:rPr>
          <w:rFonts w:ascii="Times New Roman" w:hAnsi="Times New Roman" w:cs="Times New Roman"/>
          <w:color w:val="000000" w:themeColor="text1"/>
        </w:rPr>
        <w:t>non-operating</w:t>
      </w:r>
      <w:r w:rsidR="00313173" w:rsidRPr="00644FC9">
        <w:rPr>
          <w:rFonts w:ascii="Times New Roman" w:hAnsi="Times New Roman" w:cs="Times New Roman"/>
          <w:color w:val="000000" w:themeColor="text1"/>
        </w:rPr>
        <w:t xml:space="preserve"> </w:t>
      </w:r>
      <w:r w:rsidR="00EE4007" w:rsidRPr="00644FC9">
        <w:rPr>
          <w:rFonts w:ascii="Times New Roman" w:hAnsi="Times New Roman" w:cs="Times New Roman"/>
          <w:color w:val="000000" w:themeColor="text1"/>
        </w:rPr>
        <w:t>strategy</w:t>
      </w:r>
      <w:r w:rsidR="00313173" w:rsidRPr="00644FC9">
        <w:rPr>
          <w:rFonts w:ascii="Times New Roman" w:hAnsi="Times New Roman" w:cs="Times New Roman"/>
          <w:color w:val="000000" w:themeColor="text1"/>
        </w:rPr>
        <w:t>.</w:t>
      </w:r>
      <w:r w:rsidR="0064704B" w:rsidRPr="00644FC9">
        <w:rPr>
          <w:rFonts w:ascii="Times New Roman" w:hAnsi="Times New Roman" w:cs="Times New Roman"/>
          <w:color w:val="000000" w:themeColor="text1"/>
        </w:rPr>
        <w:t xml:space="preserve"> </w:t>
      </w:r>
    </w:p>
    <w:p w14:paraId="037FE812" w14:textId="77777777" w:rsidR="00C266C3" w:rsidRPr="00644FC9" w:rsidRDefault="00C266C3" w:rsidP="00F614EF">
      <w:pPr>
        <w:spacing w:line="480" w:lineRule="auto"/>
        <w:rPr>
          <w:rFonts w:ascii="Times New Roman" w:hAnsi="Times New Roman" w:cs="Times New Roman"/>
          <w:color w:val="000000" w:themeColor="text1"/>
        </w:rPr>
      </w:pPr>
    </w:p>
    <w:p w14:paraId="5CF6AE03" w14:textId="5EB3888F" w:rsidR="001E3F04" w:rsidRPr="00644FC9" w:rsidRDefault="001E3F04" w:rsidP="00F614EF">
      <w:pPr>
        <w:spacing w:line="480" w:lineRule="auto"/>
        <w:rPr>
          <w:rFonts w:ascii="Times New Roman" w:hAnsi="Times New Roman" w:cs="Times New Roman"/>
          <w:color w:val="000000" w:themeColor="text1"/>
        </w:rPr>
      </w:pPr>
      <w:r w:rsidRPr="00644FC9">
        <w:rPr>
          <w:rFonts w:ascii="Times New Roman" w:hAnsi="Times New Roman" w:cs="Times New Roman"/>
          <w:color w:val="000000" w:themeColor="text1"/>
        </w:rPr>
        <w:t>Keywords:</w:t>
      </w:r>
      <w:r w:rsidR="00EE4007" w:rsidRPr="00644FC9">
        <w:rPr>
          <w:rFonts w:ascii="Times New Roman" w:hAnsi="Times New Roman" w:cs="Times New Roman"/>
          <w:color w:val="000000" w:themeColor="text1"/>
        </w:rPr>
        <w:t xml:space="preserve"> Operatin</w:t>
      </w:r>
      <w:r w:rsidR="00AB3E07" w:rsidRPr="00644FC9">
        <w:rPr>
          <w:rFonts w:ascii="Times New Roman" w:hAnsi="Times New Roman" w:cs="Times New Roman"/>
          <w:color w:val="000000" w:themeColor="text1"/>
        </w:rPr>
        <w:t>g in</w:t>
      </w:r>
      <w:r w:rsidR="00EE4007" w:rsidRPr="00644FC9">
        <w:rPr>
          <w:rFonts w:ascii="Times New Roman" w:hAnsi="Times New Roman" w:cs="Times New Roman"/>
          <w:color w:val="000000" w:themeColor="text1"/>
        </w:rPr>
        <w:t>come;</w:t>
      </w:r>
      <w:r w:rsidR="00313173" w:rsidRPr="00644FC9">
        <w:rPr>
          <w:rFonts w:ascii="Times New Roman" w:hAnsi="Times New Roman" w:cs="Times New Roman"/>
          <w:color w:val="000000" w:themeColor="text1"/>
        </w:rPr>
        <w:t xml:space="preserve"> </w:t>
      </w:r>
      <w:r w:rsidR="00E53BFA" w:rsidRPr="00644FC9">
        <w:rPr>
          <w:rFonts w:ascii="Times New Roman" w:hAnsi="Times New Roman" w:cs="Times New Roman"/>
          <w:color w:val="000000" w:themeColor="text1"/>
        </w:rPr>
        <w:t>N</w:t>
      </w:r>
      <w:r w:rsidR="00313173" w:rsidRPr="00644FC9">
        <w:rPr>
          <w:rFonts w:ascii="Times New Roman" w:hAnsi="Times New Roman" w:cs="Times New Roman"/>
          <w:color w:val="000000" w:themeColor="text1"/>
        </w:rPr>
        <w:t xml:space="preserve">on-operating </w:t>
      </w:r>
      <w:r w:rsidR="00EE4007" w:rsidRPr="00644FC9">
        <w:rPr>
          <w:rFonts w:ascii="Times New Roman" w:hAnsi="Times New Roman" w:cs="Times New Roman"/>
          <w:color w:val="000000" w:themeColor="text1"/>
        </w:rPr>
        <w:t>income; Post-</w:t>
      </w:r>
      <w:r w:rsidR="0065717A">
        <w:rPr>
          <w:rFonts w:ascii="Times New Roman" w:hAnsi="Times New Roman" w:cs="Times New Roman"/>
          <w:color w:val="000000" w:themeColor="text1"/>
        </w:rPr>
        <w:t>earnings-announcement</w:t>
      </w:r>
      <w:r w:rsidR="00EE4007" w:rsidRPr="00644FC9">
        <w:rPr>
          <w:rFonts w:ascii="Times New Roman" w:hAnsi="Times New Roman" w:cs="Times New Roman"/>
          <w:color w:val="000000" w:themeColor="text1"/>
        </w:rPr>
        <w:t xml:space="preserve"> drift</w:t>
      </w:r>
    </w:p>
    <w:p w14:paraId="7E7EA11F" w14:textId="77777777" w:rsidR="001E3F04" w:rsidRPr="00644FC9" w:rsidRDefault="001E3F04" w:rsidP="00F614EF">
      <w:pPr>
        <w:spacing w:line="480" w:lineRule="auto"/>
        <w:rPr>
          <w:rFonts w:ascii="Times New Roman" w:hAnsi="Times New Roman" w:cs="Times New Roman"/>
          <w:color w:val="000000" w:themeColor="text1"/>
        </w:rPr>
      </w:pPr>
      <w:r w:rsidRPr="00644FC9">
        <w:rPr>
          <w:rFonts w:ascii="Times New Roman" w:hAnsi="Times New Roman" w:cs="Times New Roman"/>
          <w:color w:val="000000" w:themeColor="text1"/>
        </w:rPr>
        <w:t>JEL Classification:</w:t>
      </w:r>
      <w:r w:rsidR="00EE4007" w:rsidRPr="00644FC9">
        <w:rPr>
          <w:rFonts w:ascii="Times New Roman" w:hAnsi="Times New Roman" w:cs="Times New Roman"/>
          <w:color w:val="000000" w:themeColor="text1"/>
        </w:rPr>
        <w:t xml:space="preserve"> G14; M41</w:t>
      </w:r>
    </w:p>
    <w:p w14:paraId="5AF82203" w14:textId="77777777" w:rsidR="001E3F04" w:rsidRPr="00644FC9" w:rsidRDefault="001E3F04">
      <w:pPr>
        <w:widowControl/>
        <w:rPr>
          <w:rFonts w:ascii="Times New Roman" w:hAnsi="Times New Roman" w:cs="Times New Roman"/>
          <w:b/>
          <w:color w:val="000000" w:themeColor="text1"/>
        </w:rPr>
      </w:pPr>
      <w:r w:rsidRPr="00644FC9">
        <w:rPr>
          <w:rFonts w:ascii="Times New Roman" w:hAnsi="Times New Roman" w:cs="Times New Roman"/>
          <w:b/>
          <w:color w:val="000000" w:themeColor="text1"/>
        </w:rPr>
        <w:br w:type="page"/>
      </w:r>
    </w:p>
    <w:p w14:paraId="7C3DC1C0" w14:textId="0E3CB3AD" w:rsidR="00B466D7" w:rsidRPr="00644FC9" w:rsidRDefault="00F97A91" w:rsidP="00B466D7">
      <w:pPr>
        <w:spacing w:line="480" w:lineRule="auto"/>
        <w:rPr>
          <w:rFonts w:ascii="Times New Roman" w:hAnsi="Times New Roman" w:cs="Times New Roman"/>
          <w:b/>
          <w:color w:val="000000" w:themeColor="text1"/>
        </w:rPr>
      </w:pPr>
      <w:r w:rsidRPr="00644FC9">
        <w:rPr>
          <w:rFonts w:ascii="Times New Roman" w:hAnsi="Times New Roman" w:cs="Times New Roman"/>
          <w:b/>
          <w:color w:val="000000" w:themeColor="text1"/>
        </w:rPr>
        <w:lastRenderedPageBreak/>
        <w:t>1</w:t>
      </w:r>
      <w:r w:rsidR="00B466D7" w:rsidRPr="00644FC9">
        <w:rPr>
          <w:rFonts w:ascii="Times New Roman" w:hAnsi="Times New Roman" w:cs="Times New Roman"/>
          <w:b/>
          <w:color w:val="000000" w:themeColor="text1"/>
        </w:rPr>
        <w:t xml:space="preserve"> Introduction</w:t>
      </w:r>
    </w:p>
    <w:p w14:paraId="683EDBD5" w14:textId="3D7CDCE9" w:rsidR="0055006A" w:rsidRPr="00644FC9" w:rsidRDefault="000D27B5" w:rsidP="0055006A">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Accounting principles indicate how to measure and when to report the effect of economic events on the income statement.</w:t>
      </w:r>
      <w:r w:rsidRPr="00644FC9">
        <w:rPr>
          <w:rFonts w:ascii="Times New Roman" w:hAnsi="Times New Roman" w:cs="Times New Roman" w:hint="eastAsia"/>
          <w:color w:val="000000" w:themeColor="text1"/>
        </w:rPr>
        <w:t xml:space="preserve"> </w:t>
      </w:r>
      <w:r w:rsidR="00C546AD" w:rsidRPr="00644FC9">
        <w:rPr>
          <w:rFonts w:ascii="Times New Roman" w:hAnsi="Times New Roman" w:cs="Times New Roman"/>
          <w:color w:val="000000" w:themeColor="text1"/>
        </w:rPr>
        <w:t>Reporting a firm’</w:t>
      </w:r>
      <w:r w:rsidR="00FB691D" w:rsidRPr="00644FC9">
        <w:rPr>
          <w:rFonts w:ascii="Times New Roman" w:hAnsi="Times New Roman" w:cs="Times New Roman"/>
          <w:color w:val="000000" w:themeColor="text1"/>
        </w:rPr>
        <w:t xml:space="preserve">s profitability to stakeholders at periodic intervals is central to financial accounting. </w:t>
      </w:r>
      <w:r w:rsidR="0004059A" w:rsidRPr="00644FC9">
        <w:rPr>
          <w:rFonts w:ascii="Times New Roman" w:hAnsi="Times New Roman" w:cs="Times New Roman"/>
          <w:color w:val="000000" w:themeColor="text1"/>
        </w:rPr>
        <w:t xml:space="preserve">Reported earnings alone may not communicate all the information in accounting data </w:t>
      </w:r>
      <w:r w:rsidR="006E3CE6" w:rsidRPr="00644FC9">
        <w:rPr>
          <w:rFonts w:ascii="Times New Roman" w:hAnsi="Times New Roman" w:cs="Times New Roman"/>
          <w:color w:val="000000" w:themeColor="text1"/>
        </w:rPr>
        <w:t xml:space="preserve">needed to </w:t>
      </w:r>
      <w:r w:rsidR="0004059A" w:rsidRPr="00644FC9">
        <w:rPr>
          <w:rFonts w:ascii="Times New Roman" w:hAnsi="Times New Roman" w:cs="Times New Roman"/>
          <w:color w:val="000000" w:themeColor="text1"/>
        </w:rPr>
        <w:t>evaluat</w:t>
      </w:r>
      <w:r w:rsidR="006E3CE6" w:rsidRPr="00644FC9">
        <w:rPr>
          <w:rFonts w:ascii="Times New Roman" w:hAnsi="Times New Roman" w:cs="Times New Roman"/>
          <w:color w:val="000000" w:themeColor="text1"/>
        </w:rPr>
        <w:t>e</w:t>
      </w:r>
      <w:r w:rsidR="0004059A" w:rsidRPr="00644FC9">
        <w:rPr>
          <w:rFonts w:ascii="Times New Roman" w:hAnsi="Times New Roman" w:cs="Times New Roman"/>
          <w:color w:val="000000" w:themeColor="text1"/>
        </w:rPr>
        <w:t xml:space="preserve"> </w:t>
      </w:r>
      <w:r w:rsidR="006E3CE6" w:rsidRPr="00644FC9">
        <w:rPr>
          <w:rFonts w:ascii="Times New Roman" w:hAnsi="Times New Roman" w:cs="Times New Roman"/>
          <w:color w:val="000000" w:themeColor="text1"/>
        </w:rPr>
        <w:t xml:space="preserve">a </w:t>
      </w:r>
      <w:r w:rsidR="0004059A" w:rsidRPr="00644FC9">
        <w:rPr>
          <w:rFonts w:ascii="Times New Roman" w:hAnsi="Times New Roman" w:cs="Times New Roman"/>
          <w:color w:val="000000" w:themeColor="text1"/>
        </w:rPr>
        <w:t>firm</w:t>
      </w:r>
      <w:r w:rsidR="006E3CE6" w:rsidRPr="00644FC9">
        <w:rPr>
          <w:rFonts w:ascii="Times New Roman" w:hAnsi="Times New Roman" w:cs="Times New Roman"/>
          <w:color w:val="000000" w:themeColor="text1"/>
        </w:rPr>
        <w:t>’s</w:t>
      </w:r>
      <w:r w:rsidR="0004059A" w:rsidRPr="00644FC9">
        <w:rPr>
          <w:rFonts w:ascii="Times New Roman" w:hAnsi="Times New Roman" w:cs="Times New Roman"/>
          <w:color w:val="000000" w:themeColor="text1"/>
        </w:rPr>
        <w:t xml:space="preserve"> profitability.</w:t>
      </w:r>
      <w:r w:rsidR="0004059A" w:rsidRPr="00644FC9">
        <w:rPr>
          <w:rFonts w:ascii="Times New Roman" w:hAnsi="Times New Roman" w:cs="Times New Roman" w:hint="eastAsia"/>
          <w:color w:val="000000" w:themeColor="text1"/>
        </w:rPr>
        <w:t xml:space="preserve"> </w:t>
      </w:r>
      <w:r w:rsidRPr="00644FC9">
        <w:rPr>
          <w:rFonts w:ascii="Times New Roman" w:hAnsi="Times New Roman" w:cs="Times New Roman"/>
          <w:color w:val="000000" w:themeColor="text1"/>
        </w:rPr>
        <w:t>The</w:t>
      </w:r>
      <w:r w:rsidR="00894C71" w:rsidRPr="00644FC9">
        <w:rPr>
          <w:rFonts w:ascii="Times New Roman" w:hAnsi="Times New Roman" w:cs="Times New Roman"/>
          <w:color w:val="000000" w:themeColor="text1"/>
        </w:rPr>
        <w:t xml:space="preserve"> principles presume that the classification scheme is informative </w:t>
      </w:r>
      <w:r w:rsidR="006E3CE6" w:rsidRPr="00644FC9">
        <w:rPr>
          <w:rFonts w:ascii="Times New Roman" w:hAnsi="Times New Roman" w:cs="Times New Roman"/>
          <w:color w:val="000000" w:themeColor="text1"/>
        </w:rPr>
        <w:t xml:space="preserve">enough </w:t>
      </w:r>
      <w:r w:rsidR="00894C71" w:rsidRPr="00644FC9">
        <w:rPr>
          <w:rFonts w:ascii="Times New Roman" w:hAnsi="Times New Roman" w:cs="Times New Roman"/>
          <w:color w:val="000000" w:themeColor="text1"/>
        </w:rPr>
        <w:t xml:space="preserve">about differences in the underlying economic </w:t>
      </w:r>
      <w:r w:rsidR="003F7E1E" w:rsidRPr="00644FC9">
        <w:rPr>
          <w:rFonts w:ascii="Times New Roman" w:hAnsi="Times New Roman" w:cs="Times New Roman"/>
          <w:color w:val="000000" w:themeColor="text1"/>
        </w:rPr>
        <w:t>events and</w:t>
      </w:r>
      <w:r w:rsidR="006E3CE6" w:rsidRPr="00644FC9">
        <w:rPr>
          <w:rFonts w:ascii="Times New Roman" w:hAnsi="Times New Roman" w:cs="Times New Roman"/>
          <w:color w:val="000000" w:themeColor="text1"/>
        </w:rPr>
        <w:t xml:space="preserve"> can represent </w:t>
      </w:r>
      <w:r w:rsidR="00283297" w:rsidRPr="00644FC9">
        <w:rPr>
          <w:rFonts w:ascii="Times New Roman" w:hAnsi="Times New Roman" w:cs="Times New Roman"/>
          <w:color w:val="000000" w:themeColor="text1"/>
        </w:rPr>
        <w:t xml:space="preserve">a wide variety of economic events </w:t>
      </w:r>
      <w:r w:rsidR="006E3CE6" w:rsidRPr="00644FC9">
        <w:rPr>
          <w:rFonts w:ascii="Times New Roman" w:hAnsi="Times New Roman" w:cs="Times New Roman"/>
          <w:color w:val="000000" w:themeColor="text1"/>
        </w:rPr>
        <w:t xml:space="preserve">in order </w:t>
      </w:r>
      <w:r w:rsidR="00882536" w:rsidRPr="00644FC9">
        <w:rPr>
          <w:rFonts w:ascii="Times New Roman" w:hAnsi="Times New Roman" w:cs="Times New Roman"/>
          <w:color w:val="000000" w:themeColor="text1"/>
        </w:rPr>
        <w:t>to enhance</w:t>
      </w:r>
      <w:r w:rsidR="00283297" w:rsidRPr="00644FC9">
        <w:rPr>
          <w:rFonts w:ascii="Times New Roman" w:hAnsi="Times New Roman" w:cs="Times New Roman"/>
          <w:color w:val="000000" w:themeColor="text1"/>
        </w:rPr>
        <w:t xml:space="preserve"> the usefulness of</w:t>
      </w:r>
      <w:r w:rsidR="00195BCA" w:rsidRPr="00644FC9">
        <w:rPr>
          <w:rFonts w:ascii="Times New Roman" w:hAnsi="Times New Roman" w:cs="Times New Roman"/>
          <w:color w:val="000000" w:themeColor="text1"/>
        </w:rPr>
        <w:t xml:space="preserve"> </w:t>
      </w:r>
      <w:r w:rsidR="006E3CE6" w:rsidRPr="00644FC9">
        <w:rPr>
          <w:rFonts w:ascii="Times New Roman" w:hAnsi="Times New Roman" w:cs="Times New Roman"/>
          <w:color w:val="000000" w:themeColor="text1"/>
        </w:rPr>
        <w:t xml:space="preserve">an </w:t>
      </w:r>
      <w:r w:rsidR="00195BCA" w:rsidRPr="00644FC9">
        <w:rPr>
          <w:rFonts w:ascii="Times New Roman" w:hAnsi="Times New Roman" w:cs="Times New Roman"/>
          <w:color w:val="000000" w:themeColor="text1"/>
        </w:rPr>
        <w:t>income statement</w:t>
      </w:r>
      <w:r w:rsidR="00283297" w:rsidRPr="00644FC9">
        <w:rPr>
          <w:rFonts w:ascii="Times New Roman" w:hAnsi="Times New Roman" w:cs="Times New Roman"/>
          <w:color w:val="000000" w:themeColor="text1"/>
        </w:rPr>
        <w:t>.</w:t>
      </w:r>
      <w:r w:rsidR="00882536" w:rsidRPr="00644FC9">
        <w:rPr>
          <w:rFonts w:ascii="Times New Roman" w:hAnsi="Times New Roman" w:cs="Times New Roman"/>
          <w:color w:val="000000" w:themeColor="text1"/>
        </w:rPr>
        <w:t xml:space="preserve"> </w:t>
      </w:r>
      <w:r w:rsidR="00283297" w:rsidRPr="00644FC9">
        <w:rPr>
          <w:rFonts w:ascii="Times New Roman" w:hAnsi="Times New Roman" w:cs="Times New Roman"/>
          <w:color w:val="000000" w:themeColor="text1"/>
        </w:rPr>
        <w:t xml:space="preserve">The accounting profession requires that firms disaggregate </w:t>
      </w:r>
      <w:r w:rsidR="00195BCA" w:rsidRPr="00644FC9">
        <w:rPr>
          <w:rFonts w:ascii="Times New Roman" w:hAnsi="Times New Roman" w:cs="Times New Roman"/>
          <w:color w:val="000000" w:themeColor="text1"/>
        </w:rPr>
        <w:t>reported earnings</w:t>
      </w:r>
      <w:r w:rsidR="00283297" w:rsidRPr="00644FC9">
        <w:rPr>
          <w:rFonts w:ascii="Times New Roman" w:hAnsi="Times New Roman" w:cs="Times New Roman"/>
          <w:color w:val="000000" w:themeColor="text1"/>
        </w:rPr>
        <w:t xml:space="preserve"> into operating income</w:t>
      </w:r>
      <w:r w:rsidR="006E3CE6" w:rsidRPr="00644FC9">
        <w:rPr>
          <w:rFonts w:ascii="Times New Roman" w:hAnsi="Times New Roman" w:cs="Times New Roman"/>
          <w:color w:val="000000" w:themeColor="text1"/>
        </w:rPr>
        <w:t xml:space="preserve"> (</w:t>
      </w:r>
      <w:r w:rsidR="00283297" w:rsidRPr="00644FC9">
        <w:rPr>
          <w:rFonts w:ascii="Times New Roman" w:hAnsi="Times New Roman" w:cs="Times New Roman"/>
          <w:color w:val="000000" w:themeColor="text1"/>
        </w:rPr>
        <w:t>captures the results of the firm’s ongoing operations that will likely recur in the future</w:t>
      </w:r>
      <w:r w:rsidR="006E3CE6" w:rsidRPr="00644FC9">
        <w:rPr>
          <w:rFonts w:ascii="Times New Roman" w:hAnsi="Times New Roman" w:cs="Times New Roman"/>
          <w:color w:val="000000" w:themeColor="text1"/>
        </w:rPr>
        <w:t>)</w:t>
      </w:r>
      <w:r w:rsidR="00283297" w:rsidRPr="00644FC9">
        <w:rPr>
          <w:rFonts w:ascii="Times New Roman" w:hAnsi="Times New Roman" w:cs="Times New Roman"/>
          <w:color w:val="000000" w:themeColor="text1"/>
        </w:rPr>
        <w:t xml:space="preserve"> and</w:t>
      </w:r>
      <w:r w:rsidR="00313173" w:rsidRPr="00644FC9">
        <w:rPr>
          <w:rFonts w:ascii="Times New Roman" w:hAnsi="Times New Roman" w:cs="Times New Roman"/>
          <w:color w:val="000000" w:themeColor="text1"/>
        </w:rPr>
        <w:t xml:space="preserve"> non-operating </w:t>
      </w:r>
      <w:r w:rsidR="00283297" w:rsidRPr="00644FC9">
        <w:rPr>
          <w:rFonts w:ascii="Times New Roman" w:hAnsi="Times New Roman" w:cs="Times New Roman"/>
          <w:color w:val="000000" w:themeColor="text1"/>
        </w:rPr>
        <w:t>income</w:t>
      </w:r>
      <w:r w:rsidR="006E3CE6" w:rsidRPr="00644FC9">
        <w:rPr>
          <w:rFonts w:ascii="Times New Roman" w:hAnsi="Times New Roman" w:cs="Times New Roman"/>
          <w:color w:val="000000" w:themeColor="text1"/>
        </w:rPr>
        <w:t xml:space="preserve"> (</w:t>
      </w:r>
      <w:r w:rsidR="00283297" w:rsidRPr="00644FC9">
        <w:rPr>
          <w:rFonts w:ascii="Times New Roman" w:hAnsi="Times New Roman" w:cs="Times New Roman"/>
          <w:color w:val="000000" w:themeColor="text1"/>
        </w:rPr>
        <w:t>not part of ongoing operations and therefore less likely to affect the firm’s performance in future periods</w:t>
      </w:r>
      <w:r w:rsidR="006E3CE6" w:rsidRPr="00644FC9">
        <w:rPr>
          <w:rFonts w:ascii="Times New Roman" w:hAnsi="Times New Roman" w:cs="Times New Roman"/>
          <w:color w:val="000000" w:themeColor="text1"/>
        </w:rPr>
        <w:t>)</w:t>
      </w:r>
      <w:r w:rsidR="00283297" w:rsidRPr="00644FC9">
        <w:rPr>
          <w:rFonts w:ascii="Times New Roman" w:hAnsi="Times New Roman" w:cs="Times New Roman"/>
          <w:color w:val="000000" w:themeColor="text1"/>
        </w:rPr>
        <w:t>.</w:t>
      </w:r>
      <w:r w:rsidR="007E7FAB" w:rsidRPr="00644FC9">
        <w:rPr>
          <w:rStyle w:val="aa"/>
          <w:rFonts w:ascii="Times New Roman" w:hAnsi="Times New Roman" w:cs="Times New Roman"/>
          <w:color w:val="000000" w:themeColor="text1"/>
        </w:rPr>
        <w:footnoteReference w:id="1"/>
      </w:r>
      <w:r w:rsidR="00283297" w:rsidRPr="00644FC9">
        <w:rPr>
          <w:rFonts w:ascii="Times New Roman" w:hAnsi="Times New Roman" w:cs="Times New Roman"/>
          <w:color w:val="000000" w:themeColor="text1"/>
        </w:rPr>
        <w:t xml:space="preserve"> </w:t>
      </w:r>
      <w:r w:rsidR="0055006A" w:rsidRPr="00644FC9">
        <w:rPr>
          <w:rFonts w:ascii="Times New Roman" w:hAnsi="Times New Roman" w:cs="Times New Roman"/>
          <w:color w:val="000000" w:themeColor="text1"/>
        </w:rPr>
        <w:t xml:space="preserve">However, </w:t>
      </w:r>
      <w:r w:rsidR="006E3CE6" w:rsidRPr="00644FC9">
        <w:rPr>
          <w:rFonts w:ascii="Times New Roman" w:hAnsi="Times New Roman" w:cs="Times New Roman"/>
          <w:color w:val="000000" w:themeColor="text1"/>
        </w:rPr>
        <w:t xml:space="preserve">despite </w:t>
      </w:r>
      <w:r w:rsidR="0055006A" w:rsidRPr="00644FC9">
        <w:rPr>
          <w:rFonts w:ascii="Times New Roman" w:hAnsi="Times New Roman" w:cs="Times New Roman"/>
          <w:color w:val="000000" w:themeColor="text1"/>
        </w:rPr>
        <w:t>the significant attention investors pay to firms’ income statement</w:t>
      </w:r>
      <w:r w:rsidR="006E3CE6" w:rsidRPr="00644FC9">
        <w:rPr>
          <w:rFonts w:ascii="Times New Roman" w:hAnsi="Times New Roman" w:cs="Times New Roman"/>
          <w:color w:val="000000" w:themeColor="text1"/>
        </w:rPr>
        <w:t>s</w:t>
      </w:r>
      <w:r w:rsidR="0055006A" w:rsidRPr="00644FC9">
        <w:rPr>
          <w:rFonts w:ascii="Times New Roman" w:hAnsi="Times New Roman" w:cs="Times New Roman"/>
          <w:color w:val="000000" w:themeColor="text1"/>
        </w:rPr>
        <w:t xml:space="preserve">, </w:t>
      </w:r>
      <w:r w:rsidR="008F2170" w:rsidRPr="00644FC9">
        <w:rPr>
          <w:rFonts w:ascii="Times New Roman" w:hAnsi="Times New Roman" w:cs="Times New Roman"/>
          <w:color w:val="000000" w:themeColor="text1"/>
        </w:rPr>
        <w:t xml:space="preserve">most </w:t>
      </w:r>
      <w:r w:rsidR="0055006A" w:rsidRPr="00644FC9">
        <w:rPr>
          <w:rFonts w:ascii="Times New Roman" w:hAnsi="Times New Roman" w:cs="Times New Roman"/>
          <w:color w:val="000000" w:themeColor="text1"/>
        </w:rPr>
        <w:t xml:space="preserve">academic studies </w:t>
      </w:r>
      <w:r w:rsidR="006E3CE6" w:rsidRPr="00644FC9">
        <w:rPr>
          <w:rFonts w:ascii="Times New Roman" w:hAnsi="Times New Roman" w:cs="Times New Roman"/>
          <w:color w:val="000000" w:themeColor="text1"/>
        </w:rPr>
        <w:t xml:space="preserve">contend </w:t>
      </w:r>
      <w:r w:rsidR="0055006A" w:rsidRPr="00644FC9">
        <w:rPr>
          <w:rFonts w:ascii="Times New Roman" w:hAnsi="Times New Roman" w:cs="Times New Roman"/>
          <w:color w:val="000000" w:themeColor="text1"/>
        </w:rPr>
        <w:t xml:space="preserve">that investors fail to fully incorporate the implications of earnings </w:t>
      </w:r>
      <w:r w:rsidR="008F2170" w:rsidRPr="00644FC9">
        <w:rPr>
          <w:rFonts w:ascii="Times New Roman" w:hAnsi="Times New Roman" w:cs="Times New Roman"/>
          <w:color w:val="000000" w:themeColor="text1"/>
        </w:rPr>
        <w:t xml:space="preserve">and its components </w:t>
      </w:r>
      <w:r w:rsidR="0055006A" w:rsidRPr="00644FC9">
        <w:rPr>
          <w:rFonts w:ascii="Times New Roman" w:hAnsi="Times New Roman" w:cs="Times New Roman"/>
          <w:color w:val="000000" w:themeColor="text1"/>
        </w:rPr>
        <w:t>into stock prices in a timely fashion.</w:t>
      </w:r>
    </w:p>
    <w:p w14:paraId="4E846899" w14:textId="2B7D20DB" w:rsidR="00BB6B6D" w:rsidRPr="00644FC9" w:rsidRDefault="00995B53" w:rsidP="000F43A3">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 xml:space="preserve">Post-earnings-announcement drift, </w:t>
      </w:r>
      <w:r w:rsidR="00C4299A" w:rsidRPr="00644FC9">
        <w:rPr>
          <w:rFonts w:ascii="Times New Roman" w:hAnsi="Times New Roman" w:cs="Times New Roman"/>
          <w:color w:val="000000" w:themeColor="text1"/>
        </w:rPr>
        <w:t xml:space="preserve">first </w:t>
      </w:r>
      <w:r w:rsidR="00260647" w:rsidRPr="00644FC9">
        <w:rPr>
          <w:rFonts w:ascii="Times New Roman" w:hAnsi="Times New Roman" w:cs="Times New Roman"/>
          <w:color w:val="000000" w:themeColor="text1"/>
        </w:rPr>
        <w:t>observed</w:t>
      </w:r>
      <w:r w:rsidRPr="00644FC9">
        <w:rPr>
          <w:rFonts w:ascii="Times New Roman" w:hAnsi="Times New Roman" w:cs="Times New Roman"/>
          <w:color w:val="000000" w:themeColor="text1"/>
        </w:rPr>
        <w:t xml:space="preserve"> by Ball and Brown (1968)</w:t>
      </w:r>
      <w:r w:rsidR="00170B94" w:rsidRPr="00644FC9">
        <w:rPr>
          <w:rFonts w:ascii="Times New Roman" w:hAnsi="Times New Roman" w:cs="Times New Roman"/>
          <w:color w:val="000000" w:themeColor="text1"/>
        </w:rPr>
        <w:t xml:space="preserve"> in the United States</w:t>
      </w:r>
      <w:r w:rsidRPr="00644FC9">
        <w:rPr>
          <w:rFonts w:ascii="Times New Roman" w:hAnsi="Times New Roman" w:cs="Times New Roman"/>
          <w:color w:val="000000" w:themeColor="text1"/>
        </w:rPr>
        <w:t xml:space="preserve">, </w:t>
      </w:r>
      <w:r w:rsidR="007C72BA" w:rsidRPr="00644FC9">
        <w:rPr>
          <w:rFonts w:ascii="Times New Roman" w:hAnsi="Times New Roman" w:cs="Times New Roman"/>
          <w:color w:val="000000" w:themeColor="text1"/>
        </w:rPr>
        <w:t xml:space="preserve">is the tendency for </w:t>
      </w:r>
      <w:r w:rsidR="006627D1" w:rsidRPr="00644FC9">
        <w:rPr>
          <w:rFonts w:ascii="Times New Roman" w:hAnsi="Times New Roman" w:cs="Times New Roman"/>
          <w:color w:val="000000" w:themeColor="text1"/>
        </w:rPr>
        <w:t>subsequent abnormal returns</w:t>
      </w:r>
      <w:r w:rsidR="007C72BA" w:rsidRPr="00644FC9">
        <w:rPr>
          <w:rFonts w:ascii="Times New Roman" w:hAnsi="Times New Roman" w:cs="Times New Roman"/>
          <w:color w:val="000000" w:themeColor="text1"/>
        </w:rPr>
        <w:t xml:space="preserve"> </w:t>
      </w:r>
      <w:r w:rsidR="006E3CE6" w:rsidRPr="00644FC9">
        <w:rPr>
          <w:rFonts w:ascii="Times New Roman" w:hAnsi="Times New Roman" w:cs="Times New Roman"/>
          <w:color w:val="000000" w:themeColor="text1"/>
        </w:rPr>
        <w:t xml:space="preserve">to move </w:t>
      </w:r>
      <w:r w:rsidR="007C72BA" w:rsidRPr="00644FC9">
        <w:rPr>
          <w:rFonts w:ascii="Times New Roman" w:hAnsi="Times New Roman" w:cs="Times New Roman"/>
          <w:color w:val="000000" w:themeColor="text1"/>
        </w:rPr>
        <w:t xml:space="preserve">in the direction of </w:t>
      </w:r>
      <w:r w:rsidR="006E3CE6" w:rsidRPr="00644FC9">
        <w:rPr>
          <w:rFonts w:ascii="Times New Roman" w:hAnsi="Times New Roman" w:cs="Times New Roman"/>
          <w:color w:val="000000" w:themeColor="text1"/>
        </w:rPr>
        <w:t xml:space="preserve">an </w:t>
      </w:r>
      <w:r w:rsidR="007C72BA" w:rsidRPr="00644FC9">
        <w:rPr>
          <w:rFonts w:ascii="Times New Roman" w:hAnsi="Times New Roman" w:cs="Times New Roman"/>
          <w:color w:val="000000" w:themeColor="text1"/>
        </w:rPr>
        <w:t xml:space="preserve">earnings surprise </w:t>
      </w:r>
      <w:r w:rsidR="006627D1" w:rsidRPr="00644FC9">
        <w:rPr>
          <w:rFonts w:ascii="Times New Roman" w:hAnsi="Times New Roman" w:cs="Times New Roman"/>
          <w:color w:val="000000" w:themeColor="text1"/>
        </w:rPr>
        <w:t>for months</w:t>
      </w:r>
      <w:r w:rsidR="007C72BA" w:rsidRPr="00644FC9">
        <w:rPr>
          <w:rFonts w:ascii="Times New Roman" w:hAnsi="Times New Roman" w:cs="Times New Roman"/>
          <w:color w:val="000000" w:themeColor="text1"/>
        </w:rPr>
        <w:t xml:space="preserve"> after earnings are announced</w:t>
      </w:r>
      <w:r w:rsidR="00711375" w:rsidRPr="00644FC9">
        <w:rPr>
          <w:rFonts w:ascii="Times New Roman" w:hAnsi="Times New Roman" w:cs="Times New Roman"/>
          <w:color w:val="000000" w:themeColor="text1"/>
        </w:rPr>
        <w:t>.</w:t>
      </w:r>
      <w:r w:rsidRPr="00644FC9">
        <w:rPr>
          <w:rFonts w:ascii="Times New Roman" w:hAnsi="Times New Roman" w:cs="Times New Roman"/>
          <w:color w:val="000000" w:themeColor="text1"/>
        </w:rPr>
        <w:t xml:space="preserve"> </w:t>
      </w:r>
      <w:r w:rsidR="000173B7" w:rsidRPr="00644FC9">
        <w:rPr>
          <w:rFonts w:ascii="Times New Roman" w:hAnsi="Times New Roman" w:cs="Times New Roman"/>
          <w:color w:val="000000" w:themeColor="text1"/>
        </w:rPr>
        <w:t xml:space="preserve">This predictability of abnormal stock returns after </w:t>
      </w:r>
      <w:r w:rsidR="0065717A">
        <w:rPr>
          <w:rFonts w:ascii="Times New Roman" w:hAnsi="Times New Roman" w:cs="Times New Roman"/>
          <w:color w:val="000000" w:themeColor="text1"/>
        </w:rPr>
        <w:t>earnings-announcement</w:t>
      </w:r>
      <w:r w:rsidR="006E3CE6" w:rsidRPr="00644FC9">
        <w:rPr>
          <w:rFonts w:ascii="Times New Roman" w:hAnsi="Times New Roman" w:cs="Times New Roman"/>
          <w:color w:val="000000" w:themeColor="text1"/>
        </w:rPr>
        <w:t>s</w:t>
      </w:r>
      <w:r w:rsidR="000173B7" w:rsidRPr="00644FC9">
        <w:rPr>
          <w:rFonts w:ascii="Times New Roman" w:hAnsi="Times New Roman" w:cs="Times New Roman"/>
          <w:color w:val="000000" w:themeColor="text1"/>
        </w:rPr>
        <w:t xml:space="preserve"> ha</w:t>
      </w:r>
      <w:r w:rsidR="006E3CE6" w:rsidRPr="00644FC9">
        <w:rPr>
          <w:rFonts w:ascii="Times New Roman" w:hAnsi="Times New Roman" w:cs="Times New Roman"/>
          <w:color w:val="000000" w:themeColor="text1"/>
        </w:rPr>
        <w:t>s</w:t>
      </w:r>
      <w:r w:rsidR="000173B7" w:rsidRPr="00644FC9">
        <w:rPr>
          <w:rFonts w:ascii="Times New Roman" w:hAnsi="Times New Roman" w:cs="Times New Roman"/>
          <w:color w:val="000000" w:themeColor="text1"/>
        </w:rPr>
        <w:t xml:space="preserve"> attracted numerous</w:t>
      </w:r>
      <w:r w:rsidR="006E3CE6" w:rsidRPr="00644FC9">
        <w:rPr>
          <w:rFonts w:ascii="Times New Roman" w:hAnsi="Times New Roman" w:cs="Times New Roman"/>
          <w:color w:val="000000" w:themeColor="text1"/>
        </w:rPr>
        <w:t xml:space="preserve"> and</w:t>
      </w:r>
      <w:r w:rsidR="000173B7" w:rsidRPr="00644FC9">
        <w:rPr>
          <w:rFonts w:ascii="Times New Roman" w:hAnsi="Times New Roman" w:cs="Times New Roman"/>
          <w:color w:val="000000" w:themeColor="text1"/>
        </w:rPr>
        <w:t xml:space="preserve"> substantial research </w:t>
      </w:r>
      <w:r w:rsidR="006E3CE6" w:rsidRPr="00644FC9">
        <w:rPr>
          <w:rFonts w:ascii="Times New Roman" w:hAnsi="Times New Roman" w:cs="Times New Roman"/>
          <w:color w:val="000000" w:themeColor="text1"/>
        </w:rPr>
        <w:t xml:space="preserve">studies that </w:t>
      </w:r>
      <w:r w:rsidR="000173B7" w:rsidRPr="00644FC9">
        <w:rPr>
          <w:rFonts w:ascii="Times New Roman" w:hAnsi="Times New Roman" w:cs="Times New Roman"/>
          <w:color w:val="000000" w:themeColor="text1"/>
        </w:rPr>
        <w:lastRenderedPageBreak/>
        <w:t xml:space="preserve">found that </w:t>
      </w:r>
      <w:r w:rsidR="000A7715" w:rsidRPr="00644FC9">
        <w:rPr>
          <w:rFonts w:ascii="Times New Roman" w:hAnsi="Times New Roman" w:cs="Times New Roman"/>
          <w:color w:val="000000" w:themeColor="text1"/>
        </w:rPr>
        <w:t>post-earnings-announcement drift</w:t>
      </w:r>
      <w:r w:rsidR="000173B7" w:rsidRPr="00644FC9">
        <w:rPr>
          <w:rFonts w:ascii="Times New Roman" w:hAnsi="Times New Roman" w:cs="Times New Roman"/>
          <w:color w:val="000000" w:themeColor="text1"/>
        </w:rPr>
        <w:t xml:space="preserve"> is a robust phenomenon </w:t>
      </w:r>
      <w:r w:rsidR="00530123" w:rsidRPr="00644FC9">
        <w:rPr>
          <w:rFonts w:ascii="Times New Roman" w:hAnsi="Times New Roman" w:cs="Times New Roman"/>
          <w:color w:val="000000" w:themeColor="text1"/>
        </w:rPr>
        <w:t>in</w:t>
      </w:r>
      <w:r w:rsidR="000173B7" w:rsidRPr="00644FC9">
        <w:rPr>
          <w:rFonts w:ascii="Times New Roman" w:hAnsi="Times New Roman" w:cs="Times New Roman"/>
          <w:color w:val="000000" w:themeColor="text1"/>
        </w:rPr>
        <w:t xml:space="preserve"> </w:t>
      </w:r>
      <w:r w:rsidR="006E3CE6" w:rsidRPr="00644FC9">
        <w:rPr>
          <w:rFonts w:ascii="Times New Roman" w:hAnsi="Times New Roman" w:cs="Times New Roman"/>
          <w:color w:val="000000" w:themeColor="text1"/>
        </w:rPr>
        <w:t xml:space="preserve">the </w:t>
      </w:r>
      <w:r w:rsidR="00FF71F1" w:rsidRPr="00644FC9">
        <w:rPr>
          <w:rFonts w:ascii="Times New Roman" w:hAnsi="Times New Roman" w:cs="Times New Roman"/>
          <w:color w:val="000000" w:themeColor="text1"/>
        </w:rPr>
        <w:t xml:space="preserve">United States and </w:t>
      </w:r>
      <w:r w:rsidR="000173B7" w:rsidRPr="00644FC9">
        <w:rPr>
          <w:rFonts w:ascii="Times New Roman" w:hAnsi="Times New Roman" w:cs="Times New Roman"/>
          <w:color w:val="000000" w:themeColor="text1"/>
        </w:rPr>
        <w:t>many other countries.</w:t>
      </w:r>
      <w:r w:rsidR="00530123" w:rsidRPr="00644FC9">
        <w:rPr>
          <w:rFonts w:ascii="Times New Roman" w:hAnsi="Times New Roman" w:cs="Times New Roman"/>
          <w:color w:val="000000" w:themeColor="text1"/>
        </w:rPr>
        <w:t xml:space="preserve"> </w:t>
      </w:r>
      <w:r w:rsidR="00987CC3" w:rsidRPr="00644FC9">
        <w:rPr>
          <w:rFonts w:ascii="Times New Roman" w:hAnsi="Times New Roman" w:cs="Times New Roman"/>
          <w:color w:val="000000" w:themeColor="text1"/>
        </w:rPr>
        <w:t xml:space="preserve">Why the </w:t>
      </w:r>
      <w:r w:rsidR="000A7715" w:rsidRPr="00644FC9">
        <w:rPr>
          <w:rFonts w:ascii="Times New Roman" w:hAnsi="Times New Roman" w:cs="Times New Roman"/>
          <w:color w:val="000000" w:themeColor="text1"/>
        </w:rPr>
        <w:t>post-earnings-announcement drift</w:t>
      </w:r>
      <w:r w:rsidR="00987CC3" w:rsidRPr="00644FC9">
        <w:rPr>
          <w:rFonts w:ascii="Times New Roman" w:hAnsi="Times New Roman" w:cs="Times New Roman"/>
          <w:color w:val="000000" w:themeColor="text1"/>
        </w:rPr>
        <w:t xml:space="preserve"> anomaly has been documented consistently </w:t>
      </w:r>
      <w:r w:rsidR="002F73DD" w:rsidRPr="00644FC9">
        <w:rPr>
          <w:rFonts w:ascii="Times New Roman" w:hAnsi="Times New Roman" w:cs="Times New Roman"/>
          <w:color w:val="000000" w:themeColor="text1"/>
        </w:rPr>
        <w:t xml:space="preserve">and globally </w:t>
      </w:r>
      <w:r w:rsidR="00987CC3" w:rsidRPr="00644FC9">
        <w:rPr>
          <w:rFonts w:ascii="Times New Roman" w:hAnsi="Times New Roman" w:cs="Times New Roman"/>
          <w:color w:val="000000" w:themeColor="text1"/>
        </w:rPr>
        <w:t>until now remains a puzzle for researchers. One of the main</w:t>
      </w:r>
      <w:r w:rsidR="00C653A8" w:rsidRPr="00644FC9">
        <w:rPr>
          <w:rFonts w:ascii="Times New Roman" w:hAnsi="Times New Roman" w:cs="Times New Roman"/>
          <w:color w:val="000000" w:themeColor="text1"/>
        </w:rPr>
        <w:t xml:space="preserve"> explanations </w:t>
      </w:r>
      <w:r w:rsidR="00987CC3" w:rsidRPr="00644FC9">
        <w:rPr>
          <w:rFonts w:ascii="Times New Roman" w:hAnsi="Times New Roman" w:cs="Times New Roman"/>
          <w:color w:val="000000" w:themeColor="text1"/>
        </w:rPr>
        <w:t>is</w:t>
      </w:r>
      <w:r w:rsidR="00C653A8" w:rsidRPr="00644FC9">
        <w:rPr>
          <w:rFonts w:ascii="Times New Roman" w:hAnsi="Times New Roman" w:cs="Times New Roman"/>
          <w:color w:val="000000" w:themeColor="text1"/>
        </w:rPr>
        <w:t xml:space="preserve"> </w:t>
      </w:r>
      <w:r w:rsidR="00987CC3" w:rsidRPr="00644FC9">
        <w:rPr>
          <w:rFonts w:ascii="Times New Roman" w:hAnsi="Times New Roman" w:cs="Times New Roman"/>
          <w:color w:val="000000" w:themeColor="text1"/>
        </w:rPr>
        <w:t>that</w:t>
      </w:r>
      <w:r w:rsidR="00C653A8" w:rsidRPr="00644FC9">
        <w:rPr>
          <w:rFonts w:ascii="Times New Roman" w:hAnsi="Times New Roman" w:cs="Times New Roman"/>
          <w:color w:val="000000" w:themeColor="text1"/>
        </w:rPr>
        <w:t xml:space="preserve"> information processing biases </w:t>
      </w:r>
      <w:r w:rsidR="007E450C" w:rsidRPr="00644FC9">
        <w:rPr>
          <w:rFonts w:ascii="Times New Roman" w:hAnsi="Times New Roman" w:cs="Times New Roman"/>
          <w:color w:val="000000" w:themeColor="text1"/>
        </w:rPr>
        <w:t xml:space="preserve">exist </w:t>
      </w:r>
      <w:r w:rsidR="007A0241" w:rsidRPr="00644FC9">
        <w:rPr>
          <w:rFonts w:ascii="Times New Roman" w:hAnsi="Times New Roman" w:cs="Times New Roman"/>
          <w:color w:val="000000" w:themeColor="text1"/>
        </w:rPr>
        <w:t xml:space="preserve">as </w:t>
      </w:r>
      <w:r w:rsidR="00CD0D6B" w:rsidRPr="00644FC9">
        <w:rPr>
          <w:rFonts w:ascii="Times New Roman" w:hAnsi="Times New Roman" w:cs="Times New Roman"/>
          <w:color w:val="000000" w:themeColor="text1"/>
        </w:rPr>
        <w:t>a result of a delayed price response.</w:t>
      </w:r>
      <w:r w:rsidR="00B5165B" w:rsidRPr="00644FC9">
        <w:rPr>
          <w:rStyle w:val="aa"/>
          <w:rFonts w:ascii="Times New Roman" w:hAnsi="Times New Roman" w:cs="Times New Roman"/>
          <w:color w:val="000000" w:themeColor="text1"/>
        </w:rPr>
        <w:footnoteReference w:id="2"/>
      </w:r>
      <w:r w:rsidR="00CD0D6B" w:rsidRPr="00644FC9">
        <w:rPr>
          <w:rFonts w:ascii="Times New Roman" w:hAnsi="Times New Roman" w:cs="Times New Roman"/>
          <w:color w:val="000000" w:themeColor="text1"/>
        </w:rPr>
        <w:t xml:space="preserve"> </w:t>
      </w:r>
      <w:r w:rsidR="00185748" w:rsidRPr="00644FC9">
        <w:rPr>
          <w:rFonts w:ascii="Times New Roman" w:hAnsi="Times New Roman" w:cs="Times New Roman"/>
          <w:color w:val="000000" w:themeColor="text1"/>
        </w:rPr>
        <w:t xml:space="preserve">Bernard and Thomas (1989, 1990) </w:t>
      </w:r>
      <w:r w:rsidR="00325F82" w:rsidRPr="00644FC9">
        <w:rPr>
          <w:rFonts w:ascii="Times New Roman" w:hAnsi="Times New Roman" w:cs="Times New Roman"/>
          <w:color w:val="000000" w:themeColor="text1"/>
        </w:rPr>
        <w:t>indicate</w:t>
      </w:r>
      <w:r w:rsidR="00185748" w:rsidRPr="00644FC9">
        <w:rPr>
          <w:rFonts w:ascii="Times New Roman" w:hAnsi="Times New Roman" w:cs="Times New Roman"/>
          <w:color w:val="000000" w:themeColor="text1"/>
        </w:rPr>
        <w:t>s</w:t>
      </w:r>
      <w:r w:rsidR="00055CBB" w:rsidRPr="00644FC9">
        <w:rPr>
          <w:rFonts w:ascii="Times New Roman" w:hAnsi="Times New Roman" w:cs="Times New Roman"/>
          <w:color w:val="000000" w:themeColor="text1"/>
        </w:rPr>
        <w:t xml:space="preserve"> that immediate responses to </w:t>
      </w:r>
      <w:r w:rsidR="0065717A">
        <w:rPr>
          <w:rFonts w:ascii="Times New Roman" w:hAnsi="Times New Roman" w:cs="Times New Roman"/>
          <w:color w:val="000000" w:themeColor="text1"/>
        </w:rPr>
        <w:t>earnings-announcement</w:t>
      </w:r>
      <w:r w:rsidR="00055CBB" w:rsidRPr="00644FC9">
        <w:rPr>
          <w:rFonts w:ascii="Times New Roman" w:hAnsi="Times New Roman" w:cs="Times New Roman"/>
          <w:color w:val="000000" w:themeColor="text1"/>
        </w:rPr>
        <w:t xml:space="preserve">s are not complete </w:t>
      </w:r>
      <w:r w:rsidR="00185748" w:rsidRPr="00644FC9">
        <w:rPr>
          <w:rFonts w:ascii="Times New Roman" w:hAnsi="Times New Roman" w:cs="Times New Roman"/>
          <w:color w:val="000000" w:themeColor="text1"/>
        </w:rPr>
        <w:t xml:space="preserve">and </w:t>
      </w:r>
      <w:r w:rsidR="000A7715" w:rsidRPr="00644FC9">
        <w:rPr>
          <w:rFonts w:ascii="Times New Roman" w:hAnsi="Times New Roman" w:cs="Times New Roman"/>
          <w:color w:val="000000" w:themeColor="text1"/>
        </w:rPr>
        <w:t>post-earnings-announcement drift</w:t>
      </w:r>
      <w:r w:rsidR="00055CBB" w:rsidRPr="00644FC9">
        <w:rPr>
          <w:rFonts w:ascii="Times New Roman" w:hAnsi="Times New Roman" w:cs="Times New Roman"/>
          <w:color w:val="000000" w:themeColor="text1"/>
        </w:rPr>
        <w:t xml:space="preserve"> is </w:t>
      </w:r>
      <w:r w:rsidR="00CD0D6B" w:rsidRPr="00644FC9">
        <w:rPr>
          <w:rFonts w:ascii="Times New Roman" w:hAnsi="Times New Roman" w:cs="Times New Roman"/>
          <w:color w:val="000000" w:themeColor="text1"/>
        </w:rPr>
        <w:t>due to</w:t>
      </w:r>
      <w:r w:rsidR="003C33AB" w:rsidRPr="00644FC9">
        <w:rPr>
          <w:rFonts w:ascii="Times New Roman" w:hAnsi="Times New Roman" w:cs="Times New Roman"/>
          <w:color w:val="000000" w:themeColor="text1"/>
        </w:rPr>
        <w:t xml:space="preserve"> delayed reaction to the information </w:t>
      </w:r>
      <w:r w:rsidR="00CD0D6B" w:rsidRPr="00644FC9">
        <w:rPr>
          <w:rFonts w:ascii="Times New Roman" w:hAnsi="Times New Roman" w:cs="Times New Roman"/>
          <w:color w:val="000000" w:themeColor="text1"/>
        </w:rPr>
        <w:t xml:space="preserve">in </w:t>
      </w:r>
      <w:r w:rsidR="0065717A">
        <w:rPr>
          <w:rFonts w:ascii="Times New Roman" w:hAnsi="Times New Roman" w:cs="Times New Roman"/>
          <w:color w:val="000000" w:themeColor="text1"/>
        </w:rPr>
        <w:t>earnings-announcement</w:t>
      </w:r>
      <w:r w:rsidR="00CD0D6B" w:rsidRPr="00644FC9">
        <w:rPr>
          <w:rFonts w:ascii="Times New Roman" w:hAnsi="Times New Roman" w:cs="Times New Roman"/>
          <w:color w:val="000000" w:themeColor="text1"/>
        </w:rPr>
        <w:t xml:space="preserve">s. </w:t>
      </w:r>
      <w:r w:rsidR="00BB6B6D" w:rsidRPr="00644FC9">
        <w:rPr>
          <w:rFonts w:ascii="Times New Roman" w:hAnsi="Times New Roman" w:cs="Times New Roman"/>
          <w:color w:val="000000" w:themeColor="text1"/>
        </w:rPr>
        <w:t xml:space="preserve">Ball and </w:t>
      </w:r>
      <w:proofErr w:type="spellStart"/>
      <w:r w:rsidR="00BB6B6D" w:rsidRPr="00644FC9">
        <w:rPr>
          <w:rFonts w:ascii="Times New Roman" w:hAnsi="Times New Roman" w:cs="Times New Roman"/>
          <w:color w:val="000000" w:themeColor="text1"/>
        </w:rPr>
        <w:t>Bartov</w:t>
      </w:r>
      <w:proofErr w:type="spellEnd"/>
      <w:r w:rsidR="00BB6B6D" w:rsidRPr="00644FC9">
        <w:rPr>
          <w:rFonts w:ascii="Times New Roman" w:hAnsi="Times New Roman" w:cs="Times New Roman"/>
          <w:color w:val="000000" w:themeColor="text1"/>
        </w:rPr>
        <w:t xml:space="preserve"> (1</w:t>
      </w:r>
      <w:r w:rsidR="00140CD0" w:rsidRPr="00644FC9">
        <w:rPr>
          <w:rFonts w:ascii="Times New Roman" w:hAnsi="Times New Roman" w:cs="Times New Roman"/>
          <w:color w:val="000000" w:themeColor="text1"/>
        </w:rPr>
        <w:t>996) show that investors</w:t>
      </w:r>
      <w:r w:rsidR="00BB6B6D" w:rsidRPr="00644FC9">
        <w:rPr>
          <w:rFonts w:ascii="Times New Roman" w:hAnsi="Times New Roman" w:cs="Times New Roman"/>
          <w:color w:val="000000" w:themeColor="text1"/>
        </w:rPr>
        <w:t xml:space="preserve"> </w:t>
      </w:r>
      <w:r w:rsidR="00644FC9">
        <w:rPr>
          <w:rFonts w:ascii="Times New Roman" w:hAnsi="Times New Roman" w:cs="Times New Roman"/>
          <w:color w:val="000000" w:themeColor="text1"/>
        </w:rPr>
        <w:t>underr</w:t>
      </w:r>
      <w:r w:rsidR="00140CD0" w:rsidRPr="00644FC9">
        <w:rPr>
          <w:rFonts w:ascii="Times New Roman" w:hAnsi="Times New Roman" w:cs="Times New Roman"/>
          <w:color w:val="000000" w:themeColor="text1"/>
        </w:rPr>
        <w:t>eact</w:t>
      </w:r>
      <w:r w:rsidR="00BB6B6D" w:rsidRPr="00644FC9">
        <w:rPr>
          <w:rFonts w:ascii="Times New Roman" w:hAnsi="Times New Roman" w:cs="Times New Roman"/>
          <w:color w:val="000000" w:themeColor="text1"/>
        </w:rPr>
        <w:t xml:space="preserve"> to </w:t>
      </w:r>
      <w:r w:rsidR="00140CD0" w:rsidRPr="00644FC9">
        <w:rPr>
          <w:rFonts w:ascii="Times New Roman" w:hAnsi="Times New Roman" w:cs="Times New Roman"/>
          <w:color w:val="000000" w:themeColor="text1"/>
        </w:rPr>
        <w:t>the</w:t>
      </w:r>
      <w:r w:rsidR="00BB6B6D" w:rsidRPr="00644FC9">
        <w:rPr>
          <w:rFonts w:ascii="Times New Roman" w:hAnsi="Times New Roman" w:cs="Times New Roman"/>
          <w:color w:val="000000" w:themeColor="text1"/>
        </w:rPr>
        <w:t xml:space="preserve"> magnitude</w:t>
      </w:r>
      <w:r w:rsidR="00416BA3" w:rsidRPr="00644FC9">
        <w:rPr>
          <w:rFonts w:ascii="Times New Roman" w:hAnsi="Times New Roman" w:cs="Times New Roman"/>
          <w:color w:val="000000" w:themeColor="text1"/>
        </w:rPr>
        <w:t xml:space="preserve"> </w:t>
      </w:r>
      <w:r w:rsidR="00140CD0" w:rsidRPr="00644FC9">
        <w:rPr>
          <w:rFonts w:ascii="Times New Roman" w:hAnsi="Times New Roman" w:cs="Times New Roman"/>
          <w:color w:val="000000" w:themeColor="text1"/>
        </w:rPr>
        <w:t xml:space="preserve">of </w:t>
      </w:r>
      <w:r w:rsidR="00416BA3" w:rsidRPr="00644FC9">
        <w:rPr>
          <w:rFonts w:ascii="Times New Roman" w:hAnsi="Times New Roman" w:cs="Times New Roman"/>
          <w:color w:val="000000" w:themeColor="text1"/>
        </w:rPr>
        <w:t>earnings surprise</w:t>
      </w:r>
      <w:r w:rsidR="00BB6B6D" w:rsidRPr="00644FC9">
        <w:rPr>
          <w:rFonts w:ascii="Times New Roman" w:hAnsi="Times New Roman" w:cs="Times New Roman"/>
          <w:color w:val="000000" w:themeColor="text1"/>
        </w:rPr>
        <w:t xml:space="preserve">s, </w:t>
      </w:r>
      <w:r w:rsidR="00140CD0" w:rsidRPr="00644FC9">
        <w:rPr>
          <w:rFonts w:ascii="Times New Roman" w:hAnsi="Times New Roman" w:cs="Times New Roman"/>
          <w:color w:val="000000" w:themeColor="text1"/>
        </w:rPr>
        <w:t xml:space="preserve">and their </w:t>
      </w:r>
      <w:proofErr w:type="spellStart"/>
      <w:r w:rsidR="00644FC9">
        <w:rPr>
          <w:rFonts w:ascii="Times New Roman" w:hAnsi="Times New Roman" w:cs="Times New Roman"/>
          <w:color w:val="000000" w:themeColor="text1"/>
        </w:rPr>
        <w:t>underr</w:t>
      </w:r>
      <w:r w:rsidR="00140CD0" w:rsidRPr="00644FC9">
        <w:rPr>
          <w:rFonts w:ascii="Times New Roman" w:hAnsi="Times New Roman" w:cs="Times New Roman"/>
          <w:color w:val="000000" w:themeColor="text1"/>
        </w:rPr>
        <w:t>eaction</w:t>
      </w:r>
      <w:proofErr w:type="spellEnd"/>
      <w:r w:rsidR="00140CD0" w:rsidRPr="00644FC9">
        <w:rPr>
          <w:rFonts w:ascii="Times New Roman" w:hAnsi="Times New Roman" w:cs="Times New Roman"/>
          <w:color w:val="000000" w:themeColor="text1"/>
        </w:rPr>
        <w:t xml:space="preserve"> is corrected at future </w:t>
      </w:r>
      <w:r w:rsidR="0065717A">
        <w:rPr>
          <w:rFonts w:ascii="Times New Roman" w:hAnsi="Times New Roman" w:cs="Times New Roman"/>
          <w:color w:val="000000" w:themeColor="text1"/>
        </w:rPr>
        <w:t>earnings-announcement</w:t>
      </w:r>
      <w:r w:rsidR="007E450C" w:rsidRPr="00644FC9">
        <w:rPr>
          <w:rFonts w:ascii="Times New Roman" w:hAnsi="Times New Roman" w:cs="Times New Roman"/>
          <w:color w:val="000000" w:themeColor="text1"/>
        </w:rPr>
        <w:t>s</w:t>
      </w:r>
      <w:r w:rsidR="00140CD0" w:rsidRPr="00644FC9">
        <w:rPr>
          <w:rFonts w:ascii="Times New Roman" w:hAnsi="Times New Roman" w:cs="Times New Roman"/>
          <w:color w:val="000000" w:themeColor="text1"/>
        </w:rPr>
        <w:t>.</w:t>
      </w:r>
      <w:r w:rsidR="00416BA3" w:rsidRPr="00644FC9">
        <w:rPr>
          <w:rFonts w:ascii="Times New Roman" w:hAnsi="Times New Roman" w:cs="Times New Roman"/>
          <w:color w:val="000000" w:themeColor="text1"/>
        </w:rPr>
        <w:t xml:space="preserve"> </w:t>
      </w:r>
    </w:p>
    <w:p w14:paraId="48AD96D7" w14:textId="0D6E19BF" w:rsidR="00673843" w:rsidRPr="00644FC9" w:rsidRDefault="00AF286A" w:rsidP="006F77C6">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 xml:space="preserve">The purpose of this </w:t>
      </w:r>
      <w:r w:rsidR="0049766F" w:rsidRPr="00644FC9">
        <w:rPr>
          <w:rFonts w:ascii="Times New Roman" w:hAnsi="Times New Roman" w:cs="Times New Roman"/>
          <w:color w:val="000000" w:themeColor="text1"/>
        </w:rPr>
        <w:t xml:space="preserve">paper </w:t>
      </w:r>
      <w:r w:rsidRPr="00644FC9">
        <w:rPr>
          <w:rFonts w:ascii="Times New Roman" w:hAnsi="Times New Roman" w:cs="Times New Roman"/>
          <w:color w:val="000000" w:themeColor="text1"/>
        </w:rPr>
        <w:t xml:space="preserve">is to </w:t>
      </w:r>
      <w:r w:rsidR="0049766F" w:rsidRPr="00644FC9">
        <w:rPr>
          <w:rFonts w:ascii="Times New Roman" w:hAnsi="Times New Roman" w:cs="Times New Roman"/>
          <w:color w:val="000000" w:themeColor="text1"/>
        </w:rPr>
        <w:t>investigate</w:t>
      </w:r>
      <w:r w:rsidRPr="00644FC9">
        <w:rPr>
          <w:rFonts w:ascii="Times New Roman" w:hAnsi="Times New Roman" w:cs="Times New Roman"/>
          <w:color w:val="000000" w:themeColor="text1"/>
        </w:rPr>
        <w:t xml:space="preserve"> whether </w:t>
      </w:r>
      <w:r w:rsidR="003655A7" w:rsidRPr="00644FC9">
        <w:rPr>
          <w:rFonts w:ascii="Times New Roman" w:hAnsi="Times New Roman" w:cs="Times New Roman"/>
          <w:color w:val="000000" w:themeColor="text1"/>
        </w:rPr>
        <w:t xml:space="preserve">the patterns of investors </w:t>
      </w:r>
      <w:r w:rsidR="00644FC9">
        <w:rPr>
          <w:rFonts w:ascii="Times New Roman" w:hAnsi="Times New Roman" w:cs="Times New Roman"/>
          <w:color w:val="000000" w:themeColor="text1"/>
        </w:rPr>
        <w:t>underr</w:t>
      </w:r>
      <w:r w:rsidR="003655A7" w:rsidRPr="00644FC9">
        <w:rPr>
          <w:rFonts w:ascii="Times New Roman" w:hAnsi="Times New Roman" w:cs="Times New Roman"/>
          <w:color w:val="000000" w:themeColor="text1"/>
        </w:rPr>
        <w:t>eacti</w:t>
      </w:r>
      <w:r w:rsidR="007E450C" w:rsidRPr="00644FC9">
        <w:rPr>
          <w:rFonts w:ascii="Times New Roman" w:hAnsi="Times New Roman" w:cs="Times New Roman"/>
          <w:color w:val="000000" w:themeColor="text1"/>
        </w:rPr>
        <w:t>ng</w:t>
      </w:r>
      <w:r w:rsidR="003655A7" w:rsidRPr="00644FC9">
        <w:rPr>
          <w:rFonts w:ascii="Times New Roman" w:hAnsi="Times New Roman" w:cs="Times New Roman"/>
          <w:color w:val="000000" w:themeColor="text1"/>
        </w:rPr>
        <w:t xml:space="preserve"> to the surprises are different across earnings, operating </w:t>
      </w:r>
      <w:r w:rsidR="007E450C" w:rsidRPr="00644FC9">
        <w:rPr>
          <w:rFonts w:ascii="Times New Roman" w:hAnsi="Times New Roman" w:cs="Times New Roman"/>
          <w:color w:val="000000" w:themeColor="text1"/>
        </w:rPr>
        <w:t>income,</w:t>
      </w:r>
      <w:r w:rsidR="003655A7" w:rsidRPr="00644FC9">
        <w:rPr>
          <w:rFonts w:ascii="Times New Roman" w:hAnsi="Times New Roman" w:cs="Times New Roman"/>
          <w:color w:val="000000" w:themeColor="text1"/>
        </w:rPr>
        <w:t xml:space="preserve"> and</w:t>
      </w:r>
      <w:r w:rsidR="00313173" w:rsidRPr="00644FC9">
        <w:rPr>
          <w:rFonts w:ascii="Times New Roman" w:hAnsi="Times New Roman" w:cs="Times New Roman"/>
          <w:color w:val="000000" w:themeColor="text1"/>
        </w:rPr>
        <w:t xml:space="preserve"> non-operating </w:t>
      </w:r>
      <w:r w:rsidR="003655A7" w:rsidRPr="00644FC9">
        <w:rPr>
          <w:rFonts w:ascii="Times New Roman" w:hAnsi="Times New Roman" w:cs="Times New Roman"/>
          <w:color w:val="000000" w:themeColor="text1"/>
        </w:rPr>
        <w:t xml:space="preserve">income. </w:t>
      </w:r>
      <w:r w:rsidR="000E0E01" w:rsidRPr="00644FC9">
        <w:rPr>
          <w:rFonts w:ascii="Times New Roman" w:hAnsi="Times New Roman" w:cs="Times New Roman"/>
          <w:color w:val="000000" w:themeColor="text1"/>
        </w:rPr>
        <w:t xml:space="preserve">To </w:t>
      </w:r>
      <w:r w:rsidR="007E450C" w:rsidRPr="00644FC9">
        <w:rPr>
          <w:rFonts w:ascii="Times New Roman" w:hAnsi="Times New Roman" w:cs="Times New Roman"/>
          <w:color w:val="000000" w:themeColor="text1"/>
        </w:rPr>
        <w:t>some</w:t>
      </w:r>
      <w:r w:rsidR="000E0E01" w:rsidRPr="00644FC9">
        <w:rPr>
          <w:rFonts w:ascii="Times New Roman" w:hAnsi="Times New Roman" w:cs="Times New Roman"/>
          <w:color w:val="000000" w:themeColor="text1"/>
        </w:rPr>
        <w:t xml:space="preserve"> extent, the aggregated </w:t>
      </w:r>
      <w:r w:rsidR="003308F4" w:rsidRPr="00644FC9">
        <w:rPr>
          <w:rFonts w:ascii="Times New Roman" w:hAnsi="Times New Roman" w:cs="Times New Roman"/>
          <w:color w:val="000000" w:themeColor="text1"/>
        </w:rPr>
        <w:t xml:space="preserve">mispricing </w:t>
      </w:r>
      <w:r w:rsidR="007E450C" w:rsidRPr="00644FC9">
        <w:rPr>
          <w:rFonts w:ascii="Times New Roman" w:hAnsi="Times New Roman" w:cs="Times New Roman"/>
          <w:color w:val="000000" w:themeColor="text1"/>
        </w:rPr>
        <w:t xml:space="preserve">in response </w:t>
      </w:r>
      <w:r w:rsidR="003308F4" w:rsidRPr="00644FC9">
        <w:rPr>
          <w:rFonts w:ascii="Times New Roman" w:hAnsi="Times New Roman" w:cs="Times New Roman"/>
          <w:color w:val="000000" w:themeColor="text1"/>
        </w:rPr>
        <w:t xml:space="preserve">to unexpected operating and </w:t>
      </w:r>
      <w:r w:rsidR="008B1418">
        <w:rPr>
          <w:rFonts w:ascii="Times New Roman" w:hAnsi="Times New Roman" w:cs="Times New Roman"/>
          <w:color w:val="000000" w:themeColor="text1"/>
        </w:rPr>
        <w:t>non-operating</w:t>
      </w:r>
      <w:r w:rsidR="00313173" w:rsidRPr="00644FC9">
        <w:rPr>
          <w:rFonts w:ascii="Times New Roman" w:hAnsi="Times New Roman" w:cs="Times New Roman"/>
          <w:color w:val="000000" w:themeColor="text1"/>
        </w:rPr>
        <w:t xml:space="preserve"> </w:t>
      </w:r>
      <w:r w:rsidR="003308F4" w:rsidRPr="00644FC9">
        <w:rPr>
          <w:rFonts w:ascii="Times New Roman" w:hAnsi="Times New Roman" w:cs="Times New Roman"/>
          <w:color w:val="000000" w:themeColor="text1"/>
        </w:rPr>
        <w:t>income appear</w:t>
      </w:r>
      <w:r w:rsidR="007E450C" w:rsidRPr="00644FC9">
        <w:rPr>
          <w:rFonts w:ascii="Times New Roman" w:hAnsi="Times New Roman" w:cs="Times New Roman"/>
          <w:color w:val="000000" w:themeColor="text1"/>
        </w:rPr>
        <w:t>s</w:t>
      </w:r>
      <w:r w:rsidR="003308F4" w:rsidRPr="00644FC9">
        <w:rPr>
          <w:rFonts w:ascii="Times New Roman" w:hAnsi="Times New Roman" w:cs="Times New Roman"/>
          <w:color w:val="000000" w:themeColor="text1"/>
        </w:rPr>
        <w:t xml:space="preserve"> to be closely linked to mispricing </w:t>
      </w:r>
      <w:r w:rsidR="007E450C" w:rsidRPr="00644FC9">
        <w:rPr>
          <w:rFonts w:ascii="Times New Roman" w:hAnsi="Times New Roman" w:cs="Times New Roman"/>
          <w:color w:val="000000" w:themeColor="text1"/>
        </w:rPr>
        <w:t xml:space="preserve">due </w:t>
      </w:r>
      <w:r w:rsidR="003308F4" w:rsidRPr="00644FC9">
        <w:rPr>
          <w:rFonts w:ascii="Times New Roman" w:hAnsi="Times New Roman" w:cs="Times New Roman"/>
          <w:color w:val="000000" w:themeColor="text1"/>
        </w:rPr>
        <w:t>to unexpected earnings. Since managers can use operating</w:t>
      </w:r>
      <w:r w:rsidR="007E450C" w:rsidRPr="00644FC9">
        <w:rPr>
          <w:rFonts w:ascii="Times New Roman" w:hAnsi="Times New Roman" w:cs="Times New Roman"/>
          <w:color w:val="000000" w:themeColor="text1"/>
        </w:rPr>
        <w:t>,</w:t>
      </w:r>
      <w:r w:rsidR="003308F4" w:rsidRPr="00644FC9">
        <w:rPr>
          <w:rFonts w:ascii="Times New Roman" w:hAnsi="Times New Roman" w:cs="Times New Roman"/>
          <w:color w:val="000000" w:themeColor="text1"/>
        </w:rPr>
        <w:t xml:space="preserve"> </w:t>
      </w:r>
      <w:r w:rsidR="008B1418">
        <w:rPr>
          <w:rFonts w:ascii="Times New Roman" w:hAnsi="Times New Roman" w:cs="Times New Roman"/>
          <w:color w:val="000000" w:themeColor="text1"/>
        </w:rPr>
        <w:t>non-operating</w:t>
      </w:r>
      <w:r w:rsidR="00313173" w:rsidRPr="00644FC9">
        <w:rPr>
          <w:rFonts w:ascii="Times New Roman" w:hAnsi="Times New Roman" w:cs="Times New Roman"/>
          <w:color w:val="000000" w:themeColor="text1"/>
        </w:rPr>
        <w:t xml:space="preserve"> </w:t>
      </w:r>
      <w:r w:rsidR="003308F4" w:rsidRPr="00644FC9">
        <w:rPr>
          <w:rFonts w:ascii="Times New Roman" w:hAnsi="Times New Roman" w:cs="Times New Roman"/>
          <w:color w:val="000000" w:themeColor="text1"/>
        </w:rPr>
        <w:t xml:space="preserve">income </w:t>
      </w:r>
      <w:r w:rsidR="00197A6B" w:rsidRPr="00644FC9">
        <w:rPr>
          <w:rFonts w:ascii="Times New Roman" w:hAnsi="Times New Roman" w:cs="Times New Roman"/>
          <w:color w:val="000000" w:themeColor="text1"/>
        </w:rPr>
        <w:t xml:space="preserve">or both </w:t>
      </w:r>
      <w:r w:rsidR="003308F4" w:rsidRPr="00644FC9">
        <w:rPr>
          <w:rFonts w:ascii="Times New Roman" w:hAnsi="Times New Roman" w:cs="Times New Roman"/>
          <w:color w:val="000000" w:themeColor="text1"/>
        </w:rPr>
        <w:t>to affect the sign</w:t>
      </w:r>
      <w:r w:rsidR="002921E4" w:rsidRPr="00644FC9">
        <w:rPr>
          <w:rFonts w:ascii="Times New Roman" w:hAnsi="Times New Roman" w:cs="Times New Roman"/>
          <w:color w:val="000000" w:themeColor="text1"/>
        </w:rPr>
        <w:t xml:space="preserve"> (positive or negative)</w:t>
      </w:r>
      <w:r w:rsidR="003308F4" w:rsidRPr="00644FC9">
        <w:rPr>
          <w:rFonts w:ascii="Times New Roman" w:hAnsi="Times New Roman" w:cs="Times New Roman"/>
          <w:color w:val="000000" w:themeColor="text1"/>
        </w:rPr>
        <w:t xml:space="preserve"> and magnitude of an earnings surprise</w:t>
      </w:r>
      <w:r w:rsidR="00980FBC" w:rsidRPr="00644FC9">
        <w:rPr>
          <w:rFonts w:ascii="Times New Roman" w:hAnsi="Times New Roman" w:cs="Times New Roman"/>
          <w:color w:val="000000" w:themeColor="text1"/>
        </w:rPr>
        <w:t xml:space="preserve">, </w:t>
      </w:r>
      <w:r w:rsidR="009A5A55" w:rsidRPr="00644FC9">
        <w:rPr>
          <w:rFonts w:ascii="Times New Roman" w:hAnsi="Times New Roman" w:cs="Times New Roman"/>
          <w:color w:val="000000" w:themeColor="text1"/>
        </w:rPr>
        <w:t xml:space="preserve">the </w:t>
      </w:r>
      <w:r w:rsidR="00AF1F64" w:rsidRPr="00644FC9">
        <w:rPr>
          <w:rFonts w:ascii="Times New Roman" w:hAnsi="Times New Roman" w:cs="Times New Roman"/>
          <w:color w:val="000000" w:themeColor="text1"/>
        </w:rPr>
        <w:t xml:space="preserve">market </w:t>
      </w:r>
      <w:r w:rsidR="00980FBC" w:rsidRPr="00644FC9">
        <w:rPr>
          <w:rFonts w:ascii="Times New Roman" w:hAnsi="Times New Roman" w:cs="Times New Roman"/>
          <w:color w:val="000000" w:themeColor="text1"/>
        </w:rPr>
        <w:t xml:space="preserve">may </w:t>
      </w:r>
      <w:r w:rsidR="00644FC9">
        <w:rPr>
          <w:rFonts w:ascii="Times New Roman" w:hAnsi="Times New Roman" w:cs="Times New Roman"/>
          <w:color w:val="000000" w:themeColor="text1"/>
        </w:rPr>
        <w:t>underr</w:t>
      </w:r>
      <w:r w:rsidR="00AF1F64" w:rsidRPr="00644FC9">
        <w:rPr>
          <w:rFonts w:ascii="Times New Roman" w:hAnsi="Times New Roman" w:cs="Times New Roman"/>
          <w:color w:val="000000" w:themeColor="text1"/>
        </w:rPr>
        <w:t>eact</w:t>
      </w:r>
      <w:r w:rsidR="009A5A55" w:rsidRPr="00644FC9">
        <w:rPr>
          <w:rFonts w:ascii="Times New Roman" w:hAnsi="Times New Roman" w:cs="Times New Roman"/>
          <w:color w:val="000000" w:themeColor="text1"/>
        </w:rPr>
        <w:t xml:space="preserve"> </w:t>
      </w:r>
      <w:r w:rsidR="000E697F" w:rsidRPr="00644FC9">
        <w:rPr>
          <w:rFonts w:ascii="Times New Roman" w:hAnsi="Times New Roman" w:cs="Times New Roman"/>
          <w:color w:val="000000" w:themeColor="text1"/>
        </w:rPr>
        <w:t xml:space="preserve">to </w:t>
      </w:r>
      <w:r w:rsidR="00AF1F64" w:rsidRPr="00644FC9">
        <w:rPr>
          <w:rFonts w:ascii="Times New Roman" w:hAnsi="Times New Roman" w:cs="Times New Roman"/>
          <w:color w:val="000000" w:themeColor="text1"/>
        </w:rPr>
        <w:t>unexpected operating and</w:t>
      </w:r>
      <w:r w:rsidR="00313173" w:rsidRPr="00644FC9">
        <w:rPr>
          <w:rFonts w:ascii="Times New Roman" w:hAnsi="Times New Roman" w:cs="Times New Roman"/>
          <w:color w:val="000000" w:themeColor="text1"/>
        </w:rPr>
        <w:t xml:space="preserve"> non-operating </w:t>
      </w:r>
      <w:r w:rsidR="000E697F" w:rsidRPr="00644FC9">
        <w:rPr>
          <w:rFonts w:ascii="Times New Roman" w:hAnsi="Times New Roman" w:cs="Times New Roman"/>
          <w:color w:val="000000" w:themeColor="text1"/>
        </w:rPr>
        <w:t>income</w:t>
      </w:r>
      <w:r w:rsidR="00AF1F64" w:rsidRPr="00644FC9">
        <w:rPr>
          <w:rFonts w:ascii="Times New Roman" w:hAnsi="Times New Roman" w:cs="Times New Roman"/>
          <w:color w:val="000000" w:themeColor="text1"/>
        </w:rPr>
        <w:t xml:space="preserve"> </w:t>
      </w:r>
      <w:r w:rsidR="00980FBC" w:rsidRPr="00644FC9">
        <w:rPr>
          <w:rFonts w:ascii="Times New Roman" w:hAnsi="Times New Roman" w:cs="Times New Roman"/>
          <w:color w:val="000000" w:themeColor="text1"/>
        </w:rPr>
        <w:t xml:space="preserve">occurring </w:t>
      </w:r>
      <w:r w:rsidR="00AF1F64" w:rsidRPr="00644FC9">
        <w:rPr>
          <w:rFonts w:ascii="Times New Roman" w:hAnsi="Times New Roman" w:cs="Times New Roman"/>
          <w:color w:val="000000" w:themeColor="text1"/>
        </w:rPr>
        <w:t>on the same time horizon</w:t>
      </w:r>
      <w:r w:rsidR="00980FBC" w:rsidRPr="00644FC9">
        <w:rPr>
          <w:rFonts w:ascii="Times New Roman" w:hAnsi="Times New Roman" w:cs="Times New Roman"/>
          <w:color w:val="000000" w:themeColor="text1"/>
        </w:rPr>
        <w:t>,</w:t>
      </w:r>
      <w:r w:rsidR="00AF1F64" w:rsidRPr="00644FC9">
        <w:rPr>
          <w:rFonts w:ascii="Times New Roman" w:hAnsi="Times New Roman" w:cs="Times New Roman"/>
          <w:color w:val="000000" w:themeColor="text1"/>
        </w:rPr>
        <w:t xml:space="preserve"> as well as </w:t>
      </w:r>
      <w:r w:rsidR="00980FBC" w:rsidRPr="00644FC9">
        <w:rPr>
          <w:rFonts w:ascii="Times New Roman" w:hAnsi="Times New Roman" w:cs="Times New Roman"/>
          <w:color w:val="000000" w:themeColor="text1"/>
        </w:rPr>
        <w:t xml:space="preserve">to </w:t>
      </w:r>
      <w:r w:rsidR="00AF1F64" w:rsidRPr="00644FC9">
        <w:rPr>
          <w:rFonts w:ascii="Times New Roman" w:hAnsi="Times New Roman" w:cs="Times New Roman"/>
          <w:color w:val="000000" w:themeColor="text1"/>
        </w:rPr>
        <w:t>unexpected earnings</w:t>
      </w:r>
      <w:r w:rsidR="009A5A55" w:rsidRPr="00644FC9">
        <w:rPr>
          <w:rFonts w:ascii="Times New Roman" w:hAnsi="Times New Roman" w:cs="Times New Roman"/>
          <w:color w:val="000000" w:themeColor="text1"/>
        </w:rPr>
        <w:t xml:space="preserve">. </w:t>
      </w:r>
      <w:r w:rsidR="003308F4" w:rsidRPr="00644FC9">
        <w:rPr>
          <w:rFonts w:ascii="Times New Roman" w:hAnsi="Times New Roman" w:cs="Times New Roman"/>
          <w:color w:val="000000" w:themeColor="text1"/>
        </w:rPr>
        <w:t xml:space="preserve">A key question is </w:t>
      </w:r>
      <w:r w:rsidR="005D01D1" w:rsidRPr="00644FC9">
        <w:rPr>
          <w:rFonts w:ascii="Times New Roman" w:hAnsi="Times New Roman" w:cs="Times New Roman"/>
          <w:color w:val="000000" w:themeColor="text1"/>
        </w:rPr>
        <w:t xml:space="preserve">whether </w:t>
      </w:r>
      <w:r w:rsidR="00673843" w:rsidRPr="00644FC9">
        <w:rPr>
          <w:rFonts w:ascii="Times New Roman" w:hAnsi="Times New Roman" w:cs="Times New Roman"/>
          <w:color w:val="000000" w:themeColor="text1"/>
        </w:rPr>
        <w:t xml:space="preserve">the two components represent a form of mispricing distinct from </w:t>
      </w:r>
      <w:r w:rsidR="00673843" w:rsidRPr="00644FC9">
        <w:rPr>
          <w:rFonts w:ascii="Times New Roman" w:hAnsi="Times New Roman" w:cs="Times New Roman"/>
          <w:color w:val="000000" w:themeColor="text1"/>
        </w:rPr>
        <w:lastRenderedPageBreak/>
        <w:t>post-</w:t>
      </w:r>
      <w:r w:rsidR="0065717A">
        <w:rPr>
          <w:rFonts w:ascii="Times New Roman" w:hAnsi="Times New Roman" w:cs="Times New Roman"/>
          <w:color w:val="000000" w:themeColor="text1"/>
        </w:rPr>
        <w:t>earnings-announcement</w:t>
      </w:r>
      <w:r w:rsidR="00673843" w:rsidRPr="00644FC9">
        <w:rPr>
          <w:rFonts w:ascii="Times New Roman" w:hAnsi="Times New Roman" w:cs="Times New Roman"/>
          <w:color w:val="000000" w:themeColor="text1"/>
        </w:rPr>
        <w:t xml:space="preserve"> drift</w:t>
      </w:r>
      <w:r w:rsidR="009A5A55" w:rsidRPr="00644FC9">
        <w:rPr>
          <w:rFonts w:ascii="Times New Roman" w:hAnsi="Times New Roman" w:cs="Times New Roman"/>
          <w:color w:val="000000" w:themeColor="text1"/>
        </w:rPr>
        <w:t>.</w:t>
      </w:r>
    </w:p>
    <w:p w14:paraId="4680871A" w14:textId="19B2A658" w:rsidR="00B13AE4" w:rsidRPr="00644FC9" w:rsidRDefault="004F6BA0" w:rsidP="001F5ED9">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 xml:space="preserve">Using </w:t>
      </w:r>
      <w:r w:rsidR="00D92C93" w:rsidRPr="00644FC9">
        <w:rPr>
          <w:rFonts w:ascii="Times New Roman" w:hAnsi="Times New Roman" w:cs="Times New Roman"/>
          <w:color w:val="000000" w:themeColor="text1"/>
        </w:rPr>
        <w:t xml:space="preserve">a sample of </w:t>
      </w:r>
      <w:r w:rsidR="007E7BF9" w:rsidRPr="00644FC9">
        <w:rPr>
          <w:rFonts w:ascii="Times New Roman" w:hAnsi="Times New Roman" w:cs="Times New Roman"/>
          <w:color w:val="000000" w:themeColor="text1"/>
        </w:rPr>
        <w:t>1,271</w:t>
      </w:r>
      <w:r w:rsidR="009919EC" w:rsidRPr="00644FC9">
        <w:rPr>
          <w:rFonts w:ascii="Times New Roman" w:hAnsi="Times New Roman" w:cs="Times New Roman"/>
          <w:color w:val="000000" w:themeColor="text1"/>
        </w:rPr>
        <w:t xml:space="preserve"> </w:t>
      </w:r>
      <w:r w:rsidR="007E7BF9" w:rsidRPr="00644FC9">
        <w:rPr>
          <w:rFonts w:ascii="Times New Roman" w:hAnsi="Times New Roman" w:cs="Times New Roman"/>
          <w:color w:val="000000" w:themeColor="text1"/>
        </w:rPr>
        <w:t xml:space="preserve">Taiwanese </w:t>
      </w:r>
      <w:r w:rsidR="009919EC" w:rsidRPr="00644FC9">
        <w:rPr>
          <w:rFonts w:ascii="Times New Roman" w:hAnsi="Times New Roman" w:cs="Times New Roman"/>
          <w:color w:val="000000" w:themeColor="text1"/>
        </w:rPr>
        <w:t>listed firms (</w:t>
      </w:r>
      <w:r w:rsidR="007E7BF9" w:rsidRPr="00644FC9">
        <w:rPr>
          <w:rFonts w:ascii="Times New Roman" w:hAnsi="Times New Roman" w:cs="Times New Roman"/>
          <w:color w:val="000000" w:themeColor="text1"/>
        </w:rPr>
        <w:t>21</w:t>
      </w:r>
      <w:r w:rsidR="009919EC" w:rsidRPr="00644FC9">
        <w:rPr>
          <w:rFonts w:ascii="Times New Roman" w:hAnsi="Times New Roman" w:cs="Times New Roman"/>
          <w:color w:val="000000" w:themeColor="text1"/>
        </w:rPr>
        <w:t>,</w:t>
      </w:r>
      <w:r w:rsidR="007E7BF9" w:rsidRPr="00644FC9">
        <w:rPr>
          <w:rFonts w:ascii="Times New Roman" w:hAnsi="Times New Roman" w:cs="Times New Roman"/>
          <w:color w:val="000000" w:themeColor="text1"/>
        </w:rPr>
        <w:t>787</w:t>
      </w:r>
      <w:r w:rsidR="009919EC" w:rsidRPr="00644FC9">
        <w:rPr>
          <w:rFonts w:ascii="Times New Roman" w:hAnsi="Times New Roman" w:cs="Times New Roman"/>
          <w:color w:val="000000" w:themeColor="text1"/>
        </w:rPr>
        <w:t xml:space="preserve"> firm-quarters</w:t>
      </w:r>
      <w:r w:rsidRPr="00644FC9">
        <w:rPr>
          <w:rFonts w:ascii="Times New Roman" w:hAnsi="Times New Roman" w:cs="Times New Roman"/>
          <w:color w:val="000000" w:themeColor="text1"/>
        </w:rPr>
        <w:t xml:space="preserve"> from</w:t>
      </w:r>
      <w:r w:rsidR="009919EC" w:rsidRPr="00644FC9">
        <w:rPr>
          <w:rFonts w:ascii="Times New Roman" w:hAnsi="Times New Roman" w:cs="Times New Roman"/>
          <w:color w:val="000000" w:themeColor="text1"/>
        </w:rPr>
        <w:t xml:space="preserve"> 201</w:t>
      </w:r>
      <w:r w:rsidR="00D92C93" w:rsidRPr="00644FC9">
        <w:rPr>
          <w:rFonts w:ascii="Times New Roman" w:hAnsi="Times New Roman" w:cs="Times New Roman"/>
          <w:color w:val="000000" w:themeColor="text1"/>
        </w:rPr>
        <w:t>2 to 2016</w:t>
      </w:r>
      <w:r w:rsidRPr="00644FC9">
        <w:rPr>
          <w:rFonts w:ascii="Times New Roman" w:hAnsi="Times New Roman" w:cs="Times New Roman"/>
          <w:color w:val="000000" w:themeColor="text1"/>
        </w:rPr>
        <w:t>)</w:t>
      </w:r>
      <w:r w:rsidR="00D92C93" w:rsidRPr="00644FC9">
        <w:rPr>
          <w:rFonts w:ascii="Times New Roman" w:hAnsi="Times New Roman" w:cs="Times New Roman"/>
          <w:color w:val="000000" w:themeColor="text1"/>
        </w:rPr>
        <w:t>,</w:t>
      </w:r>
      <w:r w:rsidR="00720288" w:rsidRPr="00644FC9">
        <w:rPr>
          <w:rFonts w:ascii="Times New Roman" w:hAnsi="Times New Roman" w:cs="Times New Roman"/>
          <w:color w:val="000000" w:themeColor="text1"/>
        </w:rPr>
        <w:t xml:space="preserve"> my results provide evidence of significant</w:t>
      </w:r>
      <w:r w:rsidRPr="00644FC9">
        <w:rPr>
          <w:rFonts w:ascii="Times New Roman" w:hAnsi="Times New Roman" w:cs="Times New Roman"/>
          <w:color w:val="000000" w:themeColor="text1"/>
        </w:rPr>
        <w:t>,</w:t>
      </w:r>
      <w:r w:rsidR="00720288" w:rsidRPr="00644FC9">
        <w:rPr>
          <w:rFonts w:ascii="Times New Roman" w:hAnsi="Times New Roman" w:cs="Times New Roman"/>
          <w:color w:val="000000" w:themeColor="text1"/>
        </w:rPr>
        <w:t xml:space="preserve"> </w:t>
      </w:r>
      <w:r w:rsidR="003F1FF4" w:rsidRPr="00644FC9">
        <w:rPr>
          <w:rFonts w:ascii="Times New Roman" w:hAnsi="Times New Roman" w:cs="Times New Roman"/>
          <w:color w:val="000000" w:themeColor="text1"/>
        </w:rPr>
        <w:t xml:space="preserve">subsequent </w:t>
      </w:r>
      <w:r w:rsidR="00720288" w:rsidRPr="00644FC9">
        <w:rPr>
          <w:rFonts w:ascii="Times New Roman" w:hAnsi="Times New Roman" w:cs="Times New Roman"/>
          <w:color w:val="000000" w:themeColor="text1"/>
        </w:rPr>
        <w:t xml:space="preserve">abnormal returns associated with all of </w:t>
      </w:r>
      <w:r w:rsidRPr="00644FC9">
        <w:rPr>
          <w:rFonts w:ascii="Times New Roman" w:hAnsi="Times New Roman" w:cs="Times New Roman"/>
          <w:color w:val="000000" w:themeColor="text1"/>
        </w:rPr>
        <w:t xml:space="preserve">the </w:t>
      </w:r>
      <w:r w:rsidR="00720288" w:rsidRPr="00644FC9">
        <w:rPr>
          <w:rFonts w:ascii="Times New Roman" w:hAnsi="Times New Roman" w:cs="Times New Roman"/>
          <w:color w:val="000000" w:themeColor="text1"/>
        </w:rPr>
        <w:t>quarterly unexpected earnings, operating and</w:t>
      </w:r>
      <w:r w:rsidR="00313173" w:rsidRPr="00644FC9">
        <w:rPr>
          <w:rFonts w:ascii="Times New Roman" w:hAnsi="Times New Roman" w:cs="Times New Roman"/>
          <w:color w:val="000000" w:themeColor="text1"/>
        </w:rPr>
        <w:t xml:space="preserve"> non-operating </w:t>
      </w:r>
      <w:r w:rsidR="00720288" w:rsidRPr="00644FC9">
        <w:rPr>
          <w:rFonts w:ascii="Times New Roman" w:hAnsi="Times New Roman" w:cs="Times New Roman"/>
          <w:color w:val="000000" w:themeColor="text1"/>
        </w:rPr>
        <w:t>income.</w:t>
      </w:r>
      <w:r w:rsidR="00170C8A" w:rsidRPr="00644FC9">
        <w:rPr>
          <w:rFonts w:ascii="Times New Roman" w:hAnsi="Times New Roman" w:cs="Times New Roman"/>
          <w:color w:val="000000" w:themeColor="text1"/>
        </w:rPr>
        <w:t xml:space="preserve"> </w:t>
      </w:r>
      <w:r w:rsidR="00F25873" w:rsidRPr="00644FC9">
        <w:rPr>
          <w:rFonts w:ascii="Times New Roman" w:hAnsi="Times New Roman" w:cs="Times New Roman"/>
          <w:color w:val="000000" w:themeColor="text1"/>
        </w:rPr>
        <w:t xml:space="preserve">More importantly, combining the unexpected earnings strategy with unexpected operating </w:t>
      </w:r>
      <w:r w:rsidR="008A5F34">
        <w:rPr>
          <w:rFonts w:ascii="Times New Roman" w:hAnsi="Times New Roman" w:cs="Times New Roman"/>
          <w:color w:val="000000" w:themeColor="text1"/>
        </w:rPr>
        <w:t>or</w:t>
      </w:r>
      <w:r w:rsidR="008A5F34" w:rsidRPr="00644FC9">
        <w:rPr>
          <w:rFonts w:ascii="Times New Roman" w:hAnsi="Times New Roman" w:cs="Times New Roman"/>
          <w:color w:val="000000" w:themeColor="text1"/>
        </w:rPr>
        <w:t xml:space="preserve"> </w:t>
      </w:r>
      <w:r w:rsidR="00313173" w:rsidRPr="00644FC9">
        <w:rPr>
          <w:rFonts w:ascii="Times New Roman" w:hAnsi="Times New Roman" w:cs="Times New Roman"/>
          <w:color w:val="000000" w:themeColor="text1"/>
        </w:rPr>
        <w:t xml:space="preserve">non-operating </w:t>
      </w:r>
      <w:r w:rsidR="00F25873" w:rsidRPr="00644FC9">
        <w:rPr>
          <w:rFonts w:ascii="Times New Roman" w:hAnsi="Times New Roman" w:cs="Times New Roman"/>
          <w:color w:val="000000" w:themeColor="text1"/>
        </w:rPr>
        <w:t>income strategies decrease</w:t>
      </w:r>
      <w:r w:rsidRPr="00644FC9">
        <w:rPr>
          <w:rFonts w:ascii="Times New Roman" w:hAnsi="Times New Roman" w:cs="Times New Roman"/>
          <w:color w:val="000000" w:themeColor="text1"/>
        </w:rPr>
        <w:t>s</w:t>
      </w:r>
      <w:r w:rsidR="00F25873" w:rsidRPr="00644FC9">
        <w:rPr>
          <w:rFonts w:ascii="Times New Roman" w:hAnsi="Times New Roman" w:cs="Times New Roman"/>
          <w:color w:val="000000" w:themeColor="text1"/>
        </w:rPr>
        <w:t xml:space="preserve"> the magnitude of abnormal returns that can be earned, indicating that both the mispricing of operating and</w:t>
      </w:r>
      <w:r w:rsidR="00313173" w:rsidRPr="00644FC9">
        <w:rPr>
          <w:rFonts w:ascii="Times New Roman" w:hAnsi="Times New Roman" w:cs="Times New Roman"/>
          <w:color w:val="000000" w:themeColor="text1"/>
        </w:rPr>
        <w:t xml:space="preserve"> non-operating </w:t>
      </w:r>
      <w:r w:rsidR="00F25873" w:rsidRPr="00644FC9">
        <w:rPr>
          <w:rFonts w:ascii="Times New Roman" w:hAnsi="Times New Roman" w:cs="Times New Roman"/>
          <w:color w:val="000000" w:themeColor="text1"/>
        </w:rPr>
        <w:t xml:space="preserve">income are part of </w:t>
      </w:r>
      <w:r w:rsidR="002C01E3" w:rsidRPr="00644FC9">
        <w:rPr>
          <w:rFonts w:ascii="Times New Roman" w:hAnsi="Times New Roman" w:cs="Times New Roman"/>
          <w:color w:val="000000" w:themeColor="text1"/>
        </w:rPr>
        <w:t>the post-earnings-announcement drift</w:t>
      </w:r>
      <w:r w:rsidR="00F25873" w:rsidRPr="00644FC9">
        <w:rPr>
          <w:rFonts w:ascii="Times New Roman" w:hAnsi="Times New Roman" w:cs="Times New Roman"/>
          <w:color w:val="000000" w:themeColor="text1"/>
        </w:rPr>
        <w:t>. Further</w:t>
      </w:r>
      <w:r w:rsidRPr="00644FC9">
        <w:rPr>
          <w:rFonts w:ascii="Times New Roman" w:hAnsi="Times New Roman" w:cs="Times New Roman"/>
          <w:color w:val="000000" w:themeColor="text1"/>
        </w:rPr>
        <w:t>more</w:t>
      </w:r>
      <w:r w:rsidR="00F25873" w:rsidRPr="00644FC9">
        <w:rPr>
          <w:rFonts w:ascii="Times New Roman" w:hAnsi="Times New Roman" w:cs="Times New Roman"/>
          <w:color w:val="000000" w:themeColor="text1"/>
        </w:rPr>
        <w:t xml:space="preserve">, </w:t>
      </w:r>
      <w:r w:rsidR="00220043" w:rsidRPr="00644FC9">
        <w:rPr>
          <w:rFonts w:ascii="Times New Roman" w:hAnsi="Times New Roman" w:cs="Times New Roman"/>
          <w:color w:val="000000" w:themeColor="text1"/>
        </w:rPr>
        <w:t xml:space="preserve">my results show that the contribution of operating income surprises to the </w:t>
      </w:r>
      <w:r w:rsidR="002C01E3" w:rsidRPr="00644FC9">
        <w:rPr>
          <w:rFonts w:ascii="Times New Roman" w:hAnsi="Times New Roman" w:cs="Times New Roman"/>
          <w:color w:val="000000" w:themeColor="text1"/>
        </w:rPr>
        <w:t>earnings-based anomaly</w:t>
      </w:r>
      <w:r w:rsidR="007307BB" w:rsidRPr="00644FC9">
        <w:rPr>
          <w:rFonts w:ascii="Times New Roman" w:hAnsi="Times New Roman" w:cs="Times New Roman"/>
          <w:color w:val="000000" w:themeColor="text1"/>
        </w:rPr>
        <w:t xml:space="preserve"> </w:t>
      </w:r>
      <w:r w:rsidR="00220043" w:rsidRPr="00644FC9">
        <w:rPr>
          <w:rFonts w:ascii="Times New Roman" w:hAnsi="Times New Roman" w:cs="Times New Roman"/>
          <w:color w:val="000000" w:themeColor="text1"/>
        </w:rPr>
        <w:t>is significant</w:t>
      </w:r>
      <w:r w:rsidRPr="00644FC9">
        <w:rPr>
          <w:rFonts w:ascii="Times New Roman" w:hAnsi="Times New Roman" w:cs="Times New Roman"/>
          <w:color w:val="000000" w:themeColor="text1"/>
        </w:rPr>
        <w:t>ly</w:t>
      </w:r>
      <w:r w:rsidR="00220043" w:rsidRPr="00644FC9">
        <w:rPr>
          <w:rFonts w:ascii="Times New Roman" w:hAnsi="Times New Roman" w:cs="Times New Roman"/>
          <w:color w:val="000000" w:themeColor="text1"/>
        </w:rPr>
        <w:t xml:space="preserve"> higher than of</w:t>
      </w:r>
      <w:r w:rsidR="00313173" w:rsidRPr="00644FC9">
        <w:rPr>
          <w:rFonts w:ascii="Times New Roman" w:hAnsi="Times New Roman" w:cs="Times New Roman"/>
          <w:color w:val="000000" w:themeColor="text1"/>
        </w:rPr>
        <w:t xml:space="preserve"> non-operating </w:t>
      </w:r>
      <w:r w:rsidR="00220043" w:rsidRPr="00644FC9">
        <w:rPr>
          <w:rFonts w:ascii="Times New Roman" w:hAnsi="Times New Roman" w:cs="Times New Roman"/>
          <w:color w:val="000000" w:themeColor="text1"/>
        </w:rPr>
        <w:t xml:space="preserve">income surprises. </w:t>
      </w:r>
      <w:r w:rsidR="009357C9" w:rsidRPr="00644FC9">
        <w:rPr>
          <w:rFonts w:ascii="Times New Roman" w:hAnsi="Times New Roman" w:cs="Times New Roman"/>
          <w:color w:val="000000" w:themeColor="text1"/>
        </w:rPr>
        <w:t xml:space="preserve">However, </w:t>
      </w:r>
      <w:r w:rsidR="00134F7F" w:rsidRPr="00644FC9">
        <w:rPr>
          <w:rFonts w:ascii="Times New Roman" w:hAnsi="Times New Roman" w:cs="Times New Roman"/>
          <w:color w:val="000000" w:themeColor="text1"/>
        </w:rPr>
        <w:t>a joint strategy of surpris</w:t>
      </w:r>
      <w:r w:rsidRPr="00644FC9">
        <w:rPr>
          <w:rFonts w:ascii="Times New Roman" w:hAnsi="Times New Roman" w:cs="Times New Roman"/>
          <w:color w:val="000000" w:themeColor="text1"/>
        </w:rPr>
        <w:t>ing</w:t>
      </w:r>
      <w:r w:rsidR="00134F7F" w:rsidRPr="00644FC9">
        <w:rPr>
          <w:rFonts w:ascii="Times New Roman" w:hAnsi="Times New Roman" w:cs="Times New Roman"/>
          <w:color w:val="000000" w:themeColor="text1"/>
        </w:rPr>
        <w:t xml:space="preserve"> operating and</w:t>
      </w:r>
      <w:r w:rsidR="00313173" w:rsidRPr="00644FC9">
        <w:rPr>
          <w:rFonts w:ascii="Times New Roman" w:hAnsi="Times New Roman" w:cs="Times New Roman"/>
          <w:color w:val="000000" w:themeColor="text1"/>
        </w:rPr>
        <w:t xml:space="preserve"> non-operating </w:t>
      </w:r>
      <w:r w:rsidR="00134F7F" w:rsidRPr="00644FC9">
        <w:rPr>
          <w:rFonts w:ascii="Times New Roman" w:hAnsi="Times New Roman" w:cs="Times New Roman"/>
          <w:color w:val="000000" w:themeColor="text1"/>
        </w:rPr>
        <w:t xml:space="preserve">income </w:t>
      </w:r>
      <w:r w:rsidR="00F8273D" w:rsidRPr="00644FC9">
        <w:rPr>
          <w:rFonts w:ascii="Times New Roman" w:hAnsi="Times New Roman" w:cs="Times New Roman"/>
          <w:color w:val="000000" w:themeColor="text1"/>
        </w:rPr>
        <w:t xml:space="preserve">increases </w:t>
      </w:r>
      <w:r w:rsidR="00134F7F" w:rsidRPr="00644FC9">
        <w:rPr>
          <w:rFonts w:ascii="Times New Roman" w:hAnsi="Times New Roman" w:cs="Times New Roman"/>
          <w:color w:val="000000" w:themeColor="text1"/>
        </w:rPr>
        <w:t xml:space="preserve">the magnitude of excess returns that can be earned. This result </w:t>
      </w:r>
      <w:r w:rsidR="006669F1" w:rsidRPr="00644FC9">
        <w:rPr>
          <w:rFonts w:ascii="Times New Roman" w:hAnsi="Times New Roman" w:cs="Times New Roman"/>
          <w:color w:val="000000" w:themeColor="text1"/>
        </w:rPr>
        <w:t>impl</w:t>
      </w:r>
      <w:r w:rsidRPr="00644FC9">
        <w:rPr>
          <w:rFonts w:ascii="Times New Roman" w:hAnsi="Times New Roman" w:cs="Times New Roman"/>
          <w:color w:val="000000" w:themeColor="text1"/>
        </w:rPr>
        <w:t>ies</w:t>
      </w:r>
      <w:r w:rsidR="006669F1" w:rsidRPr="00644FC9">
        <w:rPr>
          <w:rFonts w:ascii="Times New Roman" w:hAnsi="Times New Roman" w:cs="Times New Roman"/>
          <w:color w:val="000000" w:themeColor="text1"/>
        </w:rPr>
        <w:t xml:space="preserve"> that investor misperception</w:t>
      </w:r>
      <w:r w:rsidR="00EA6C62" w:rsidRPr="00644FC9">
        <w:rPr>
          <w:rFonts w:ascii="Times New Roman" w:hAnsi="Times New Roman" w:cs="Times New Roman"/>
          <w:color w:val="000000" w:themeColor="text1"/>
        </w:rPr>
        <w:t xml:space="preserve"> </w:t>
      </w:r>
      <w:r w:rsidR="000C439F" w:rsidRPr="00644FC9">
        <w:rPr>
          <w:rFonts w:ascii="Times New Roman" w:hAnsi="Times New Roman" w:cs="Times New Roman"/>
          <w:color w:val="000000" w:themeColor="text1"/>
        </w:rPr>
        <w:t xml:space="preserve">of reported earnings </w:t>
      </w:r>
      <w:r w:rsidRPr="00644FC9">
        <w:rPr>
          <w:rFonts w:ascii="Times New Roman" w:hAnsi="Times New Roman" w:cs="Times New Roman"/>
          <w:color w:val="000000" w:themeColor="text1"/>
        </w:rPr>
        <w:t xml:space="preserve">disaggregated </w:t>
      </w:r>
      <w:r w:rsidR="000C439F" w:rsidRPr="00644FC9">
        <w:rPr>
          <w:rFonts w:ascii="Times New Roman" w:hAnsi="Times New Roman" w:cs="Times New Roman"/>
          <w:color w:val="000000" w:themeColor="text1"/>
        </w:rPr>
        <w:t>into operating and</w:t>
      </w:r>
      <w:r w:rsidR="00313173" w:rsidRPr="00644FC9">
        <w:rPr>
          <w:rFonts w:ascii="Times New Roman" w:hAnsi="Times New Roman" w:cs="Times New Roman"/>
          <w:color w:val="000000" w:themeColor="text1"/>
        </w:rPr>
        <w:t xml:space="preserve"> non-operating </w:t>
      </w:r>
      <w:r w:rsidR="000C439F" w:rsidRPr="00644FC9">
        <w:rPr>
          <w:rFonts w:ascii="Times New Roman" w:hAnsi="Times New Roman" w:cs="Times New Roman"/>
          <w:color w:val="000000" w:themeColor="text1"/>
        </w:rPr>
        <w:t xml:space="preserve">income is </w:t>
      </w:r>
      <w:r w:rsidR="006A1150" w:rsidRPr="00644FC9">
        <w:rPr>
          <w:rFonts w:ascii="Times New Roman" w:hAnsi="Times New Roman" w:cs="Times New Roman"/>
          <w:color w:val="000000" w:themeColor="text1"/>
        </w:rPr>
        <w:t>more pronounced</w:t>
      </w:r>
      <w:r w:rsidR="00EA6C62" w:rsidRPr="00644FC9">
        <w:rPr>
          <w:rFonts w:ascii="Times New Roman" w:hAnsi="Times New Roman" w:cs="Times New Roman"/>
          <w:color w:val="000000" w:themeColor="text1"/>
        </w:rPr>
        <w:t xml:space="preserve"> than</w:t>
      </w:r>
      <w:r w:rsidR="000C439F" w:rsidRPr="00644FC9">
        <w:rPr>
          <w:rFonts w:ascii="Times New Roman" w:hAnsi="Times New Roman" w:cs="Times New Roman"/>
          <w:color w:val="000000" w:themeColor="text1"/>
        </w:rPr>
        <w:t xml:space="preserve"> </w:t>
      </w:r>
      <w:r w:rsidRPr="00644FC9">
        <w:rPr>
          <w:rFonts w:ascii="Times New Roman" w:hAnsi="Times New Roman" w:cs="Times New Roman"/>
          <w:color w:val="000000" w:themeColor="text1"/>
        </w:rPr>
        <w:t xml:space="preserve">of </w:t>
      </w:r>
      <w:r w:rsidR="000C439F" w:rsidRPr="00644FC9">
        <w:rPr>
          <w:rFonts w:ascii="Times New Roman" w:hAnsi="Times New Roman" w:cs="Times New Roman"/>
          <w:color w:val="000000" w:themeColor="text1"/>
        </w:rPr>
        <w:t>aggregat</w:t>
      </w:r>
      <w:r w:rsidRPr="00644FC9">
        <w:rPr>
          <w:rFonts w:ascii="Times New Roman" w:hAnsi="Times New Roman" w:cs="Times New Roman"/>
          <w:color w:val="000000" w:themeColor="text1"/>
        </w:rPr>
        <w:t>ed</w:t>
      </w:r>
      <w:r w:rsidR="000C439F" w:rsidRPr="00644FC9">
        <w:rPr>
          <w:rFonts w:ascii="Times New Roman" w:hAnsi="Times New Roman" w:cs="Times New Roman"/>
          <w:color w:val="000000" w:themeColor="text1"/>
        </w:rPr>
        <w:t xml:space="preserve"> earnings.</w:t>
      </w:r>
      <w:r w:rsidR="00874E2C" w:rsidRPr="00644FC9">
        <w:rPr>
          <w:rFonts w:ascii="Times New Roman" w:hAnsi="Times New Roman" w:cs="Times New Roman"/>
          <w:color w:val="000000" w:themeColor="text1"/>
        </w:rPr>
        <w:t xml:space="preserve"> In addition, </w:t>
      </w:r>
      <w:r w:rsidR="00B13AE4" w:rsidRPr="00644FC9">
        <w:rPr>
          <w:rFonts w:ascii="Times New Roman" w:hAnsi="Times New Roman" w:cs="Times New Roman"/>
          <w:color w:val="000000" w:themeColor="text1"/>
        </w:rPr>
        <w:t>this paper provide</w:t>
      </w:r>
      <w:r w:rsidRPr="00644FC9">
        <w:rPr>
          <w:rFonts w:ascii="Times New Roman" w:hAnsi="Times New Roman" w:cs="Times New Roman"/>
          <w:color w:val="000000" w:themeColor="text1"/>
        </w:rPr>
        <w:t>s</w:t>
      </w:r>
      <w:r w:rsidR="00B13AE4" w:rsidRPr="00644FC9">
        <w:rPr>
          <w:rFonts w:ascii="Times New Roman" w:hAnsi="Times New Roman" w:cs="Times New Roman"/>
          <w:color w:val="000000" w:themeColor="text1"/>
        </w:rPr>
        <w:t xml:space="preserve"> results </w:t>
      </w:r>
      <w:r w:rsidRPr="00644FC9">
        <w:rPr>
          <w:rFonts w:ascii="Times New Roman" w:hAnsi="Times New Roman" w:cs="Times New Roman"/>
          <w:color w:val="000000" w:themeColor="text1"/>
        </w:rPr>
        <w:t xml:space="preserve">that </w:t>
      </w:r>
      <w:r w:rsidR="00B13AE4" w:rsidRPr="00644FC9">
        <w:rPr>
          <w:rFonts w:ascii="Times New Roman" w:hAnsi="Times New Roman" w:cs="Times New Roman"/>
          <w:color w:val="000000" w:themeColor="text1"/>
        </w:rPr>
        <w:t xml:space="preserve">demonstrate </w:t>
      </w:r>
      <w:r w:rsidR="006E2DA3" w:rsidRPr="00644FC9">
        <w:rPr>
          <w:rFonts w:ascii="Times New Roman" w:hAnsi="Times New Roman" w:cs="Times New Roman"/>
          <w:color w:val="000000" w:themeColor="text1"/>
        </w:rPr>
        <w:t>larger price response delay</w:t>
      </w:r>
      <w:r w:rsidRPr="00644FC9">
        <w:rPr>
          <w:rFonts w:ascii="Times New Roman" w:hAnsi="Times New Roman" w:cs="Times New Roman"/>
          <w:color w:val="000000" w:themeColor="text1"/>
        </w:rPr>
        <w:t>s</w:t>
      </w:r>
      <w:r w:rsidR="006E2DA3" w:rsidRPr="00644FC9">
        <w:rPr>
          <w:rFonts w:ascii="Times New Roman" w:hAnsi="Times New Roman" w:cs="Times New Roman"/>
          <w:color w:val="000000" w:themeColor="text1"/>
        </w:rPr>
        <w:t xml:space="preserve"> for operating income than for</w:t>
      </w:r>
      <w:r w:rsidR="00313173" w:rsidRPr="00644FC9">
        <w:rPr>
          <w:rFonts w:ascii="Times New Roman" w:hAnsi="Times New Roman" w:cs="Times New Roman"/>
          <w:color w:val="000000" w:themeColor="text1"/>
        </w:rPr>
        <w:t xml:space="preserve"> non-operating </w:t>
      </w:r>
      <w:r w:rsidR="006E2DA3" w:rsidRPr="00644FC9">
        <w:rPr>
          <w:rFonts w:ascii="Times New Roman" w:hAnsi="Times New Roman" w:cs="Times New Roman"/>
          <w:color w:val="000000" w:themeColor="text1"/>
        </w:rPr>
        <w:t xml:space="preserve">income. Nevertheless, </w:t>
      </w:r>
      <w:r w:rsidR="00B13AE4" w:rsidRPr="00644FC9">
        <w:rPr>
          <w:rFonts w:ascii="Times New Roman" w:hAnsi="Times New Roman" w:cs="Times New Roman"/>
          <w:color w:val="000000" w:themeColor="text1"/>
        </w:rPr>
        <w:t xml:space="preserve">price response </w:t>
      </w:r>
      <w:r w:rsidRPr="00644FC9">
        <w:rPr>
          <w:rFonts w:ascii="Times New Roman" w:hAnsi="Times New Roman" w:cs="Times New Roman"/>
          <w:color w:val="000000" w:themeColor="text1"/>
        </w:rPr>
        <w:t xml:space="preserve">speed </w:t>
      </w:r>
      <w:r w:rsidR="00B13AE4" w:rsidRPr="00644FC9">
        <w:rPr>
          <w:rFonts w:ascii="Times New Roman" w:hAnsi="Times New Roman" w:cs="Times New Roman"/>
          <w:color w:val="000000" w:themeColor="text1"/>
        </w:rPr>
        <w:t xml:space="preserve">is similar </w:t>
      </w:r>
      <w:r w:rsidRPr="00644FC9">
        <w:rPr>
          <w:rFonts w:ascii="Times New Roman" w:hAnsi="Times New Roman" w:cs="Times New Roman"/>
          <w:color w:val="000000" w:themeColor="text1"/>
        </w:rPr>
        <w:t xml:space="preserve">for </w:t>
      </w:r>
      <w:r w:rsidR="00B13AE4" w:rsidRPr="00644FC9">
        <w:rPr>
          <w:rFonts w:ascii="Times New Roman" w:hAnsi="Times New Roman" w:cs="Times New Roman"/>
          <w:color w:val="000000" w:themeColor="text1"/>
        </w:rPr>
        <w:t>earnings and operating income</w:t>
      </w:r>
      <w:r w:rsidRPr="00644FC9">
        <w:rPr>
          <w:rFonts w:ascii="Times New Roman" w:hAnsi="Times New Roman" w:cs="Times New Roman"/>
          <w:color w:val="000000" w:themeColor="text1"/>
        </w:rPr>
        <w:t>,</w:t>
      </w:r>
      <w:r w:rsidR="00B13AE4" w:rsidRPr="00644FC9">
        <w:rPr>
          <w:rFonts w:ascii="Times New Roman" w:hAnsi="Times New Roman" w:cs="Times New Roman"/>
          <w:color w:val="000000" w:themeColor="text1"/>
        </w:rPr>
        <w:t xml:space="preserve"> </w:t>
      </w:r>
      <w:r w:rsidR="006E2DA3" w:rsidRPr="00644FC9">
        <w:rPr>
          <w:rFonts w:ascii="Times New Roman" w:hAnsi="Times New Roman" w:cs="Times New Roman"/>
          <w:color w:val="000000" w:themeColor="text1"/>
        </w:rPr>
        <w:t xml:space="preserve">but faster </w:t>
      </w:r>
      <w:r w:rsidR="00B13AE4" w:rsidRPr="00644FC9">
        <w:rPr>
          <w:rFonts w:ascii="Times New Roman" w:hAnsi="Times New Roman" w:cs="Times New Roman"/>
          <w:color w:val="000000" w:themeColor="text1"/>
        </w:rPr>
        <w:t xml:space="preserve">price </w:t>
      </w:r>
      <w:r w:rsidR="00073F4B" w:rsidRPr="00073F4B">
        <w:rPr>
          <w:rFonts w:ascii="Times New Roman" w:hAnsi="Times New Roman" w:cs="Times New Roman"/>
          <w:color w:val="000000" w:themeColor="text1"/>
        </w:rPr>
        <w:t>response</w:t>
      </w:r>
      <w:r w:rsidR="00073F4B" w:rsidRPr="00073F4B" w:rsidDel="004F6BA0">
        <w:rPr>
          <w:rFonts w:ascii="Times New Roman" w:hAnsi="Times New Roman" w:cs="Times New Roman"/>
          <w:color w:val="000000" w:themeColor="text1"/>
        </w:rPr>
        <w:t xml:space="preserve"> </w:t>
      </w:r>
      <w:r w:rsidR="00B13AE4" w:rsidRPr="00644FC9">
        <w:rPr>
          <w:rFonts w:ascii="Times New Roman" w:hAnsi="Times New Roman" w:cs="Times New Roman"/>
          <w:color w:val="000000" w:themeColor="text1"/>
        </w:rPr>
        <w:t>for</w:t>
      </w:r>
      <w:r w:rsidR="00313173" w:rsidRPr="00644FC9">
        <w:rPr>
          <w:rFonts w:ascii="Times New Roman" w:hAnsi="Times New Roman" w:cs="Times New Roman"/>
          <w:color w:val="000000" w:themeColor="text1"/>
        </w:rPr>
        <w:t xml:space="preserve"> non-operating </w:t>
      </w:r>
      <w:r w:rsidR="00B13AE4" w:rsidRPr="00644FC9">
        <w:rPr>
          <w:rFonts w:ascii="Times New Roman" w:hAnsi="Times New Roman" w:cs="Times New Roman"/>
          <w:color w:val="000000" w:themeColor="text1"/>
        </w:rPr>
        <w:t>income.</w:t>
      </w:r>
      <w:r w:rsidR="001F5ED9" w:rsidRPr="00644FC9">
        <w:rPr>
          <w:rFonts w:ascii="Times New Roman" w:hAnsi="Times New Roman" w:cs="Times New Roman"/>
          <w:color w:val="000000" w:themeColor="text1"/>
        </w:rPr>
        <w:t xml:space="preserve"> Therefore, the results imply that stock prices do not reflect</w:t>
      </w:r>
      <w:r w:rsidR="00E845BA" w:rsidRPr="00644FC9">
        <w:rPr>
          <w:rFonts w:ascii="Times New Roman" w:hAnsi="Times New Roman" w:cs="Times New Roman"/>
          <w:color w:val="000000" w:themeColor="text1"/>
        </w:rPr>
        <w:t xml:space="preserve"> </w:t>
      </w:r>
      <w:r w:rsidR="001F5ED9" w:rsidRPr="00644FC9">
        <w:rPr>
          <w:rFonts w:ascii="Times New Roman" w:hAnsi="Times New Roman" w:cs="Times New Roman"/>
          <w:color w:val="000000" w:themeColor="text1"/>
        </w:rPr>
        <w:t>operating and</w:t>
      </w:r>
      <w:r w:rsidR="00313173" w:rsidRPr="00644FC9">
        <w:rPr>
          <w:rFonts w:ascii="Times New Roman" w:hAnsi="Times New Roman" w:cs="Times New Roman"/>
          <w:color w:val="000000" w:themeColor="text1"/>
        </w:rPr>
        <w:t xml:space="preserve"> non-operating </w:t>
      </w:r>
      <w:r w:rsidR="001F5ED9" w:rsidRPr="00644FC9">
        <w:rPr>
          <w:rFonts w:ascii="Times New Roman" w:hAnsi="Times New Roman" w:cs="Times New Roman"/>
          <w:color w:val="000000" w:themeColor="text1"/>
        </w:rPr>
        <w:t>income in the same</w:t>
      </w:r>
      <w:r w:rsidRPr="00644FC9">
        <w:rPr>
          <w:rFonts w:ascii="Times New Roman" w:hAnsi="Times New Roman" w:cs="Times New Roman"/>
          <w:color w:val="000000" w:themeColor="text1"/>
        </w:rPr>
        <w:t>,</w:t>
      </w:r>
      <w:r w:rsidR="001F5ED9" w:rsidRPr="00644FC9">
        <w:rPr>
          <w:rFonts w:ascii="Times New Roman" w:hAnsi="Times New Roman" w:cs="Times New Roman"/>
          <w:color w:val="000000" w:themeColor="text1"/>
        </w:rPr>
        <w:t xml:space="preserve"> timely fashion.</w:t>
      </w:r>
    </w:p>
    <w:p w14:paraId="4BCBD7D9" w14:textId="5A680D0C" w:rsidR="00856A76" w:rsidRPr="00644FC9" w:rsidRDefault="005D23B8" w:rsidP="003C2506">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My</w:t>
      </w:r>
      <w:r w:rsidR="00921AFD" w:rsidRPr="00644FC9">
        <w:rPr>
          <w:rFonts w:ascii="Times New Roman" w:hAnsi="Times New Roman" w:cs="Times New Roman"/>
          <w:color w:val="000000" w:themeColor="text1"/>
        </w:rPr>
        <w:t xml:space="preserve"> findings contribute to </w:t>
      </w:r>
      <w:r w:rsidR="00856A76" w:rsidRPr="00644FC9">
        <w:rPr>
          <w:rFonts w:ascii="Times New Roman" w:hAnsi="Times New Roman" w:cs="Times New Roman"/>
          <w:color w:val="000000" w:themeColor="text1"/>
        </w:rPr>
        <w:t>the literature</w:t>
      </w:r>
      <w:r w:rsidRPr="00644FC9">
        <w:rPr>
          <w:rFonts w:ascii="Times New Roman" w:hAnsi="Times New Roman" w:cs="Times New Roman"/>
          <w:color w:val="000000" w:themeColor="text1"/>
        </w:rPr>
        <w:t xml:space="preserve"> in two ways. </w:t>
      </w:r>
      <w:r w:rsidR="00856A76" w:rsidRPr="00644FC9">
        <w:rPr>
          <w:rFonts w:ascii="Times New Roman" w:hAnsi="Times New Roman" w:cs="Times New Roman"/>
          <w:color w:val="000000" w:themeColor="text1"/>
        </w:rPr>
        <w:t xml:space="preserve">First, </w:t>
      </w:r>
      <w:r w:rsidR="00CE4353" w:rsidRPr="00644FC9">
        <w:rPr>
          <w:rFonts w:ascii="Times New Roman" w:hAnsi="Times New Roman" w:cs="Times New Roman"/>
          <w:color w:val="000000" w:themeColor="text1"/>
        </w:rPr>
        <w:t xml:space="preserve">this paper shows that investors </w:t>
      </w:r>
      <w:r w:rsidR="00644FC9">
        <w:rPr>
          <w:rFonts w:ascii="Times New Roman" w:hAnsi="Times New Roman" w:cs="Times New Roman"/>
          <w:color w:val="000000" w:themeColor="text1"/>
        </w:rPr>
        <w:t>underr</w:t>
      </w:r>
      <w:r w:rsidR="000C3BB6" w:rsidRPr="00644FC9">
        <w:rPr>
          <w:rFonts w:ascii="Times New Roman" w:hAnsi="Times New Roman" w:cs="Times New Roman"/>
          <w:color w:val="000000" w:themeColor="text1"/>
        </w:rPr>
        <w:t>eact to the</w:t>
      </w:r>
      <w:r w:rsidR="003C2506" w:rsidRPr="00644FC9">
        <w:rPr>
          <w:rFonts w:ascii="Times New Roman" w:hAnsi="Times New Roman" w:cs="Times New Roman"/>
          <w:color w:val="000000" w:themeColor="text1"/>
        </w:rPr>
        <w:t xml:space="preserve"> information in operating</w:t>
      </w:r>
      <w:r w:rsidR="000C3BB6" w:rsidRPr="00644FC9">
        <w:rPr>
          <w:rFonts w:ascii="Times New Roman" w:hAnsi="Times New Roman" w:cs="Times New Roman"/>
          <w:color w:val="000000" w:themeColor="text1"/>
        </w:rPr>
        <w:t xml:space="preserve"> and</w:t>
      </w:r>
      <w:r w:rsidR="00313173" w:rsidRPr="00644FC9">
        <w:rPr>
          <w:rFonts w:ascii="Times New Roman" w:hAnsi="Times New Roman" w:cs="Times New Roman"/>
          <w:color w:val="000000" w:themeColor="text1"/>
        </w:rPr>
        <w:t xml:space="preserve"> non-operating </w:t>
      </w:r>
      <w:r w:rsidR="000C3BB6" w:rsidRPr="00644FC9">
        <w:rPr>
          <w:rFonts w:ascii="Times New Roman" w:hAnsi="Times New Roman" w:cs="Times New Roman"/>
          <w:color w:val="000000" w:themeColor="text1"/>
        </w:rPr>
        <w:t xml:space="preserve">income </w:t>
      </w:r>
      <w:r w:rsidR="003F7E1E" w:rsidRPr="00644FC9">
        <w:rPr>
          <w:rFonts w:ascii="Times New Roman" w:hAnsi="Times New Roman" w:cs="Times New Roman"/>
          <w:color w:val="000000" w:themeColor="text1"/>
        </w:rPr>
        <w:t>surprises and</w:t>
      </w:r>
      <w:r w:rsidR="000C3BB6" w:rsidRPr="00644FC9">
        <w:rPr>
          <w:rFonts w:ascii="Times New Roman" w:hAnsi="Times New Roman" w:cs="Times New Roman"/>
          <w:color w:val="000000" w:themeColor="text1"/>
        </w:rPr>
        <w:t xml:space="preserve"> correct</w:t>
      </w:r>
      <w:r w:rsidR="00CE4353" w:rsidRPr="00644FC9">
        <w:rPr>
          <w:rFonts w:ascii="Times New Roman" w:hAnsi="Times New Roman" w:cs="Times New Roman"/>
          <w:color w:val="000000" w:themeColor="text1"/>
        </w:rPr>
        <w:t xml:space="preserve"> </w:t>
      </w:r>
      <w:r w:rsidR="000C3BB6" w:rsidRPr="00644FC9">
        <w:rPr>
          <w:rFonts w:ascii="Times New Roman" w:hAnsi="Times New Roman" w:cs="Times New Roman"/>
          <w:color w:val="000000" w:themeColor="text1"/>
        </w:rPr>
        <w:t xml:space="preserve">them </w:t>
      </w:r>
      <w:r w:rsidR="000C3BB6" w:rsidRPr="00644FC9">
        <w:rPr>
          <w:rFonts w:ascii="Times New Roman" w:hAnsi="Times New Roman" w:cs="Times New Roman"/>
          <w:color w:val="000000" w:themeColor="text1"/>
        </w:rPr>
        <w:lastRenderedPageBreak/>
        <w:t>at different speeds.</w:t>
      </w:r>
      <w:r w:rsidR="00921AFD" w:rsidRPr="00644FC9">
        <w:rPr>
          <w:rFonts w:ascii="Times New Roman" w:hAnsi="Times New Roman" w:cs="Times New Roman"/>
          <w:color w:val="000000" w:themeColor="text1"/>
        </w:rPr>
        <w:t xml:space="preserve"> </w:t>
      </w:r>
      <w:r w:rsidR="000C3BB6" w:rsidRPr="00644FC9">
        <w:rPr>
          <w:rFonts w:ascii="Times New Roman" w:hAnsi="Times New Roman" w:cs="Times New Roman"/>
          <w:color w:val="000000" w:themeColor="text1"/>
        </w:rPr>
        <w:t xml:space="preserve">This evidence complements </w:t>
      </w:r>
      <w:r w:rsidR="003C2506" w:rsidRPr="00644FC9">
        <w:rPr>
          <w:rFonts w:ascii="Times New Roman" w:hAnsi="Times New Roman" w:cs="Times New Roman"/>
          <w:color w:val="000000" w:themeColor="text1"/>
        </w:rPr>
        <w:t>the delayed price response</w:t>
      </w:r>
      <w:r w:rsidR="00545155" w:rsidRPr="00644FC9">
        <w:rPr>
          <w:rFonts w:ascii="Times New Roman" w:hAnsi="Times New Roman" w:cs="Times New Roman"/>
          <w:color w:val="000000" w:themeColor="text1"/>
        </w:rPr>
        <w:t xml:space="preserve"> literature</w:t>
      </w:r>
      <w:r w:rsidR="00C65992" w:rsidRPr="00644FC9">
        <w:rPr>
          <w:rFonts w:ascii="Times New Roman" w:hAnsi="Times New Roman" w:cs="Times New Roman"/>
          <w:color w:val="000000" w:themeColor="text1"/>
        </w:rPr>
        <w:t xml:space="preserve"> </w:t>
      </w:r>
      <w:r w:rsidR="000C3BB6" w:rsidRPr="00644FC9">
        <w:rPr>
          <w:rFonts w:ascii="Times New Roman" w:hAnsi="Times New Roman" w:cs="Times New Roman"/>
          <w:color w:val="000000" w:themeColor="text1"/>
        </w:rPr>
        <w:t xml:space="preserve">that </w:t>
      </w:r>
      <w:r w:rsidR="00BC776E" w:rsidRPr="00644FC9">
        <w:rPr>
          <w:rFonts w:ascii="Times New Roman" w:hAnsi="Times New Roman" w:cs="Times New Roman"/>
          <w:color w:val="000000" w:themeColor="text1"/>
        </w:rPr>
        <w:t xml:space="preserve">reports different </w:t>
      </w:r>
      <w:r w:rsidR="003C2506" w:rsidRPr="00644FC9">
        <w:rPr>
          <w:rFonts w:ascii="Times New Roman" w:hAnsi="Times New Roman" w:cs="Times New Roman"/>
          <w:color w:val="000000" w:themeColor="text1"/>
        </w:rPr>
        <w:t xml:space="preserve">price response </w:t>
      </w:r>
      <w:r w:rsidR="00BC776E" w:rsidRPr="00644FC9">
        <w:rPr>
          <w:rFonts w:ascii="Times New Roman" w:hAnsi="Times New Roman" w:cs="Times New Roman"/>
          <w:color w:val="000000" w:themeColor="text1"/>
        </w:rPr>
        <w:t xml:space="preserve">patterns </w:t>
      </w:r>
      <w:r w:rsidR="003C2506" w:rsidRPr="00644FC9">
        <w:rPr>
          <w:rFonts w:ascii="Times New Roman" w:hAnsi="Times New Roman" w:cs="Times New Roman"/>
          <w:color w:val="000000" w:themeColor="text1"/>
        </w:rPr>
        <w:t>across operating and</w:t>
      </w:r>
      <w:r w:rsidR="00313173" w:rsidRPr="00644FC9">
        <w:rPr>
          <w:rFonts w:ascii="Times New Roman" w:hAnsi="Times New Roman" w:cs="Times New Roman"/>
          <w:color w:val="000000" w:themeColor="text1"/>
        </w:rPr>
        <w:t xml:space="preserve"> non-operating </w:t>
      </w:r>
      <w:r w:rsidR="003C2506" w:rsidRPr="00644FC9">
        <w:rPr>
          <w:rFonts w:ascii="Times New Roman" w:hAnsi="Times New Roman" w:cs="Times New Roman"/>
          <w:color w:val="000000" w:themeColor="text1"/>
        </w:rPr>
        <w:t>income.</w:t>
      </w:r>
      <w:r w:rsidR="00EB52AA" w:rsidRPr="00644FC9">
        <w:rPr>
          <w:rFonts w:ascii="Times New Roman" w:hAnsi="Times New Roman" w:cs="Times New Roman"/>
          <w:color w:val="000000" w:themeColor="text1"/>
        </w:rPr>
        <w:t xml:space="preserve"> Second, </w:t>
      </w:r>
      <w:r w:rsidR="00FC605E" w:rsidRPr="00644FC9">
        <w:rPr>
          <w:rFonts w:ascii="Times New Roman" w:hAnsi="Times New Roman" w:cs="Times New Roman"/>
          <w:color w:val="000000" w:themeColor="text1"/>
        </w:rPr>
        <w:t xml:space="preserve">my results support the notion that subtotals on the income statement provide </w:t>
      </w:r>
      <w:r w:rsidR="00BC776E" w:rsidRPr="00644FC9">
        <w:rPr>
          <w:rFonts w:ascii="Times New Roman" w:hAnsi="Times New Roman" w:cs="Times New Roman"/>
          <w:color w:val="000000" w:themeColor="text1"/>
        </w:rPr>
        <w:t xml:space="preserve">more </w:t>
      </w:r>
      <w:r w:rsidR="00FC605E" w:rsidRPr="00644FC9">
        <w:rPr>
          <w:rFonts w:ascii="Times New Roman" w:hAnsi="Times New Roman" w:cs="Times New Roman"/>
          <w:color w:val="000000" w:themeColor="text1"/>
        </w:rPr>
        <w:t xml:space="preserve">incremental information than earnings per share. </w:t>
      </w:r>
      <w:r w:rsidR="00702650" w:rsidRPr="00644FC9">
        <w:rPr>
          <w:rFonts w:ascii="Times New Roman" w:hAnsi="Times New Roman" w:cs="Times New Roman"/>
          <w:color w:val="000000" w:themeColor="text1"/>
        </w:rPr>
        <w:t>Prior studies focus on the market reaction to different components of earnings (</w:t>
      </w:r>
      <w:r w:rsidR="00644FC9">
        <w:rPr>
          <w:rFonts w:ascii="Times New Roman" w:hAnsi="Times New Roman" w:cs="Times New Roman"/>
          <w:color w:val="000000" w:themeColor="text1"/>
        </w:rPr>
        <w:t xml:space="preserve">e.g., </w:t>
      </w:r>
      <w:proofErr w:type="spellStart"/>
      <w:r w:rsidR="00702650" w:rsidRPr="00644FC9">
        <w:rPr>
          <w:rFonts w:ascii="Times New Roman" w:hAnsi="Times New Roman" w:cs="Times New Roman"/>
          <w:color w:val="000000" w:themeColor="text1"/>
        </w:rPr>
        <w:t>Ohlson</w:t>
      </w:r>
      <w:proofErr w:type="spellEnd"/>
      <w:r w:rsidR="00702650" w:rsidRPr="00644FC9">
        <w:rPr>
          <w:rFonts w:ascii="Times New Roman" w:hAnsi="Times New Roman" w:cs="Times New Roman"/>
          <w:color w:val="000000" w:themeColor="text1"/>
        </w:rPr>
        <w:t xml:space="preserve"> and Penman, 1992)</w:t>
      </w:r>
      <w:r w:rsidR="00BC776E" w:rsidRPr="00644FC9">
        <w:rPr>
          <w:rFonts w:ascii="Times New Roman" w:hAnsi="Times New Roman" w:cs="Times New Roman"/>
          <w:color w:val="000000" w:themeColor="text1"/>
        </w:rPr>
        <w:t>,</w:t>
      </w:r>
      <w:r w:rsidR="00702650" w:rsidRPr="00644FC9">
        <w:rPr>
          <w:rFonts w:ascii="Times New Roman" w:hAnsi="Times New Roman" w:cs="Times New Roman"/>
          <w:color w:val="000000" w:themeColor="text1"/>
        </w:rPr>
        <w:t xml:space="preserve"> and on the useful</w:t>
      </w:r>
      <w:r w:rsidR="00BC776E" w:rsidRPr="00644FC9">
        <w:rPr>
          <w:rFonts w:ascii="Times New Roman" w:hAnsi="Times New Roman" w:cs="Times New Roman"/>
          <w:color w:val="000000" w:themeColor="text1"/>
        </w:rPr>
        <w:t>ness</w:t>
      </w:r>
      <w:r w:rsidR="00702650" w:rsidRPr="00644FC9">
        <w:rPr>
          <w:rFonts w:ascii="Times New Roman" w:hAnsi="Times New Roman" w:cs="Times New Roman"/>
          <w:color w:val="000000" w:themeColor="text1"/>
        </w:rPr>
        <w:t xml:space="preserve"> of current financial reporting numbers </w:t>
      </w:r>
      <w:r w:rsidR="00BC776E" w:rsidRPr="00644FC9">
        <w:rPr>
          <w:rFonts w:ascii="Times New Roman" w:hAnsi="Times New Roman" w:cs="Times New Roman"/>
          <w:color w:val="000000" w:themeColor="text1"/>
        </w:rPr>
        <w:t xml:space="preserve">for </w:t>
      </w:r>
      <w:r w:rsidR="00702650" w:rsidRPr="00644FC9">
        <w:rPr>
          <w:rFonts w:ascii="Times New Roman" w:hAnsi="Times New Roman" w:cs="Times New Roman"/>
          <w:color w:val="000000" w:themeColor="text1"/>
        </w:rPr>
        <w:t>future earnings predictions (</w:t>
      </w:r>
      <w:r w:rsidR="00644FC9">
        <w:rPr>
          <w:rFonts w:ascii="Times New Roman" w:hAnsi="Times New Roman" w:cs="Times New Roman"/>
          <w:color w:val="000000" w:themeColor="text1"/>
        </w:rPr>
        <w:t xml:space="preserve">e.g., </w:t>
      </w:r>
      <w:r w:rsidR="00702650" w:rsidRPr="00644FC9">
        <w:rPr>
          <w:rFonts w:ascii="Times New Roman" w:hAnsi="Times New Roman" w:cs="Times New Roman"/>
          <w:color w:val="000000" w:themeColor="text1"/>
        </w:rPr>
        <w:t xml:space="preserve">Finger, 1994). </w:t>
      </w:r>
      <w:r w:rsidR="00BC2B05" w:rsidRPr="00644FC9">
        <w:rPr>
          <w:rFonts w:ascii="Times New Roman" w:hAnsi="Times New Roman" w:cs="Times New Roman"/>
          <w:color w:val="000000" w:themeColor="text1"/>
        </w:rPr>
        <w:t xml:space="preserve">I add to these </w:t>
      </w:r>
      <w:r w:rsidR="00BC776E" w:rsidRPr="00644FC9">
        <w:rPr>
          <w:rFonts w:ascii="Times New Roman" w:hAnsi="Times New Roman" w:cs="Times New Roman"/>
          <w:color w:val="000000" w:themeColor="text1"/>
        </w:rPr>
        <w:t xml:space="preserve">lines of research </w:t>
      </w:r>
      <w:r w:rsidR="0088070C" w:rsidRPr="00644FC9">
        <w:rPr>
          <w:rFonts w:ascii="Times New Roman" w:hAnsi="Times New Roman" w:cs="Times New Roman"/>
          <w:color w:val="000000" w:themeColor="text1"/>
        </w:rPr>
        <w:t xml:space="preserve">by </w:t>
      </w:r>
      <w:r w:rsidR="00FD3656" w:rsidRPr="00644FC9">
        <w:rPr>
          <w:rFonts w:ascii="Times New Roman" w:hAnsi="Times New Roman" w:cs="Times New Roman"/>
          <w:color w:val="000000" w:themeColor="text1"/>
        </w:rPr>
        <w:t xml:space="preserve">suggesting that </w:t>
      </w:r>
      <w:r w:rsidR="00CB7243" w:rsidRPr="00644FC9">
        <w:rPr>
          <w:rFonts w:ascii="Times New Roman" w:hAnsi="Times New Roman" w:cs="Times New Roman" w:hint="eastAsia"/>
          <w:color w:val="000000" w:themeColor="text1"/>
        </w:rPr>
        <w:t xml:space="preserve">both </w:t>
      </w:r>
      <w:r w:rsidR="00FD3656" w:rsidRPr="00644FC9">
        <w:rPr>
          <w:rFonts w:ascii="Times New Roman" w:hAnsi="Times New Roman" w:cs="Times New Roman"/>
          <w:color w:val="000000" w:themeColor="text1"/>
        </w:rPr>
        <w:t>operating and</w:t>
      </w:r>
      <w:r w:rsidR="00313173" w:rsidRPr="00644FC9">
        <w:rPr>
          <w:rFonts w:ascii="Times New Roman" w:hAnsi="Times New Roman" w:cs="Times New Roman"/>
          <w:color w:val="000000" w:themeColor="text1"/>
        </w:rPr>
        <w:t xml:space="preserve"> non-operating </w:t>
      </w:r>
      <w:r w:rsidR="00FD3656" w:rsidRPr="00644FC9">
        <w:rPr>
          <w:rFonts w:ascii="Times New Roman" w:hAnsi="Times New Roman" w:cs="Times New Roman"/>
          <w:color w:val="000000" w:themeColor="text1"/>
        </w:rPr>
        <w:t xml:space="preserve">income surprises </w:t>
      </w:r>
      <w:r w:rsidR="00A24ACD" w:rsidRPr="00644FC9">
        <w:rPr>
          <w:rFonts w:ascii="Times New Roman" w:hAnsi="Times New Roman" w:cs="Times New Roman" w:hint="eastAsia"/>
          <w:color w:val="000000" w:themeColor="text1"/>
        </w:rPr>
        <w:t>a</w:t>
      </w:r>
      <w:r w:rsidR="00A24ACD" w:rsidRPr="00644FC9">
        <w:rPr>
          <w:rFonts w:ascii="Times New Roman" w:hAnsi="Times New Roman" w:cs="Times New Roman"/>
          <w:color w:val="000000" w:themeColor="text1"/>
        </w:rPr>
        <w:t>re associated with</w:t>
      </w:r>
      <w:r w:rsidR="00FD3656" w:rsidRPr="00644FC9">
        <w:rPr>
          <w:rFonts w:ascii="Times New Roman" w:hAnsi="Times New Roman" w:cs="Times New Roman"/>
          <w:color w:val="000000" w:themeColor="text1"/>
        </w:rPr>
        <w:t xml:space="preserve"> p</w:t>
      </w:r>
      <w:r w:rsidR="00D737FD" w:rsidRPr="00644FC9">
        <w:rPr>
          <w:rFonts w:ascii="Times New Roman" w:hAnsi="Times New Roman" w:cs="Times New Roman"/>
          <w:color w:val="000000" w:themeColor="text1"/>
        </w:rPr>
        <w:t>ost-earnings-announcement drift.</w:t>
      </w:r>
    </w:p>
    <w:p w14:paraId="66246CC8" w14:textId="64C9797F" w:rsidR="008E307F" w:rsidRPr="00644FC9" w:rsidRDefault="008E307F" w:rsidP="008E307F">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 xml:space="preserve">The next section of this study is a brief review of </w:t>
      </w:r>
      <w:r w:rsidR="00BC776E" w:rsidRPr="00644FC9">
        <w:rPr>
          <w:rFonts w:ascii="Times New Roman" w:hAnsi="Times New Roman" w:cs="Times New Roman"/>
          <w:color w:val="000000" w:themeColor="text1"/>
        </w:rPr>
        <w:t xml:space="preserve">previous </w:t>
      </w:r>
      <w:r w:rsidRPr="00644FC9">
        <w:rPr>
          <w:rFonts w:ascii="Times New Roman" w:hAnsi="Times New Roman" w:cs="Times New Roman"/>
          <w:color w:val="000000" w:themeColor="text1"/>
        </w:rPr>
        <w:t>research on pricing earnings components. Section 3 describes the data and methodology</w:t>
      </w:r>
      <w:r w:rsidR="00A80B87" w:rsidRPr="00644FC9">
        <w:rPr>
          <w:rFonts w:ascii="Times New Roman" w:hAnsi="Times New Roman" w:cs="Times New Roman"/>
          <w:color w:val="000000" w:themeColor="text1"/>
        </w:rPr>
        <w:t>. Section 4</w:t>
      </w:r>
      <w:r w:rsidRPr="00644FC9">
        <w:rPr>
          <w:rFonts w:ascii="Times New Roman" w:hAnsi="Times New Roman" w:cs="Times New Roman"/>
          <w:color w:val="000000" w:themeColor="text1"/>
        </w:rPr>
        <w:t xml:space="preserve"> outlines the tests and the results of </w:t>
      </w:r>
      <w:r w:rsidR="00A80B87" w:rsidRPr="00644FC9">
        <w:rPr>
          <w:rFonts w:ascii="Times New Roman" w:hAnsi="Times New Roman" w:cs="Times New Roman"/>
          <w:color w:val="000000" w:themeColor="text1"/>
        </w:rPr>
        <w:t>my</w:t>
      </w:r>
      <w:r w:rsidRPr="00644FC9">
        <w:rPr>
          <w:rFonts w:ascii="Times New Roman" w:hAnsi="Times New Roman" w:cs="Times New Roman"/>
          <w:color w:val="000000" w:themeColor="text1"/>
        </w:rPr>
        <w:t xml:space="preserve"> empirical findings.</w:t>
      </w:r>
      <w:r w:rsidR="00A80B87" w:rsidRPr="00644FC9">
        <w:rPr>
          <w:rFonts w:ascii="Times New Roman" w:hAnsi="Times New Roman" w:cs="Times New Roman"/>
          <w:color w:val="000000" w:themeColor="text1"/>
        </w:rPr>
        <w:t xml:space="preserve"> Section 5 provides a conclusion.</w:t>
      </w:r>
    </w:p>
    <w:p w14:paraId="1E6E2367" w14:textId="77777777" w:rsidR="008E307F" w:rsidRPr="00644FC9" w:rsidRDefault="008E307F" w:rsidP="008E307F">
      <w:pPr>
        <w:spacing w:line="480" w:lineRule="auto"/>
        <w:ind w:firstLineChars="200" w:firstLine="480"/>
        <w:jc w:val="both"/>
        <w:rPr>
          <w:rFonts w:ascii="Times New Roman" w:hAnsi="Times New Roman" w:cs="Times New Roman"/>
          <w:color w:val="000000" w:themeColor="text1"/>
        </w:rPr>
      </w:pPr>
    </w:p>
    <w:p w14:paraId="0250EBBB" w14:textId="3F38ADEE" w:rsidR="00EB52AA" w:rsidRPr="00F267BD" w:rsidRDefault="007A5D8B" w:rsidP="00631AF1">
      <w:pPr>
        <w:spacing w:line="480" w:lineRule="auto"/>
        <w:jc w:val="both"/>
        <w:rPr>
          <w:rFonts w:ascii="Times New Roman" w:hAnsi="Times New Roman" w:cs="Times New Roman"/>
          <w:b/>
          <w:bCs/>
          <w:color w:val="000000" w:themeColor="text1"/>
          <w:szCs w:val="24"/>
        </w:rPr>
      </w:pPr>
      <w:r w:rsidRPr="00F267BD">
        <w:rPr>
          <w:rFonts w:ascii="Times New Roman" w:hAnsi="Times New Roman" w:cs="Times New Roman"/>
          <w:b/>
          <w:bCs/>
          <w:color w:val="000000" w:themeColor="text1"/>
          <w:szCs w:val="24"/>
        </w:rPr>
        <w:t>2</w:t>
      </w:r>
      <w:r w:rsidR="00EB52AA" w:rsidRPr="00F267BD">
        <w:rPr>
          <w:rFonts w:ascii="Times New Roman" w:hAnsi="Times New Roman" w:cs="Times New Roman"/>
          <w:b/>
          <w:bCs/>
          <w:color w:val="000000" w:themeColor="text1"/>
          <w:szCs w:val="24"/>
        </w:rPr>
        <w:t xml:space="preserve"> </w:t>
      </w:r>
      <w:r w:rsidR="00631AF1" w:rsidRPr="00F267BD">
        <w:rPr>
          <w:rFonts w:ascii="Times New Roman" w:hAnsi="Times New Roman" w:cs="Times New Roman"/>
          <w:b/>
          <w:bCs/>
          <w:color w:val="000000" w:themeColor="text1"/>
          <w:szCs w:val="24"/>
        </w:rPr>
        <w:t>Literature Review</w:t>
      </w:r>
      <w:r w:rsidR="00EB52AA" w:rsidRPr="00F267BD">
        <w:rPr>
          <w:rFonts w:ascii="Times New Roman" w:hAnsi="Times New Roman" w:cs="Times New Roman"/>
          <w:b/>
          <w:bCs/>
          <w:color w:val="000000" w:themeColor="text1"/>
          <w:szCs w:val="24"/>
        </w:rPr>
        <w:t xml:space="preserve"> </w:t>
      </w:r>
    </w:p>
    <w:p w14:paraId="75701915" w14:textId="407A8DF4" w:rsidR="00E10A53" w:rsidRPr="00644FC9" w:rsidRDefault="004E0C58" w:rsidP="00E10A53">
      <w:pPr>
        <w:spacing w:line="480" w:lineRule="auto"/>
        <w:ind w:firstLineChars="200" w:firstLine="480"/>
        <w:jc w:val="both"/>
        <w:rPr>
          <w:rFonts w:ascii="Times New Roman" w:hAnsi="Times New Roman" w:cs="Times New Roman"/>
          <w:bCs/>
          <w:color w:val="000000" w:themeColor="text1"/>
          <w:szCs w:val="24"/>
        </w:rPr>
      </w:pPr>
      <w:r w:rsidRPr="00644FC9">
        <w:rPr>
          <w:rFonts w:ascii="Times New Roman" w:hAnsi="Times New Roman" w:cs="Times New Roman"/>
          <w:bCs/>
          <w:color w:val="000000" w:themeColor="text1"/>
          <w:szCs w:val="24"/>
        </w:rPr>
        <w:t>Many studies</w:t>
      </w:r>
      <w:r w:rsidR="00EB52AA" w:rsidRPr="00644FC9">
        <w:rPr>
          <w:rFonts w:ascii="Times New Roman" w:hAnsi="Times New Roman" w:cs="Times New Roman"/>
          <w:bCs/>
          <w:color w:val="000000" w:themeColor="text1"/>
          <w:szCs w:val="24"/>
        </w:rPr>
        <w:t xml:space="preserve"> </w:t>
      </w:r>
      <w:r w:rsidR="009753E9" w:rsidRPr="00644FC9">
        <w:rPr>
          <w:rFonts w:ascii="Times New Roman" w:hAnsi="Times New Roman" w:cs="Times New Roman"/>
          <w:bCs/>
          <w:color w:val="000000" w:themeColor="text1"/>
          <w:szCs w:val="24"/>
        </w:rPr>
        <w:t>focus on</w:t>
      </w:r>
      <w:r w:rsidR="00EB52AA" w:rsidRPr="00644FC9">
        <w:rPr>
          <w:rFonts w:ascii="Times New Roman" w:hAnsi="Times New Roman" w:cs="Times New Roman"/>
          <w:bCs/>
          <w:color w:val="000000" w:themeColor="text1"/>
          <w:szCs w:val="24"/>
        </w:rPr>
        <w:t xml:space="preserve"> the information content of earnings components </w:t>
      </w:r>
      <w:r w:rsidR="009753E9" w:rsidRPr="00644FC9">
        <w:rPr>
          <w:rFonts w:ascii="Times New Roman" w:hAnsi="Times New Roman" w:cs="Times New Roman"/>
          <w:bCs/>
          <w:color w:val="000000" w:themeColor="text1"/>
          <w:szCs w:val="24"/>
        </w:rPr>
        <w:t xml:space="preserve">to examine </w:t>
      </w:r>
      <w:r w:rsidR="00EB52AA" w:rsidRPr="00644FC9">
        <w:rPr>
          <w:rFonts w:ascii="Times New Roman" w:hAnsi="Times New Roman" w:cs="Times New Roman"/>
          <w:bCs/>
          <w:color w:val="000000" w:themeColor="text1"/>
          <w:szCs w:val="24"/>
        </w:rPr>
        <w:t>the market reaction to di</w:t>
      </w:r>
      <w:r w:rsidR="00631AF1" w:rsidRPr="00644FC9">
        <w:rPr>
          <w:rFonts w:ascii="Times New Roman" w:hAnsi="Times New Roman" w:cs="Times New Roman"/>
          <w:bCs/>
          <w:color w:val="000000" w:themeColor="text1"/>
          <w:szCs w:val="24"/>
        </w:rPr>
        <w:t>fferent components of earnings.</w:t>
      </w:r>
      <w:r w:rsidR="00EB52AA" w:rsidRPr="00644FC9">
        <w:rPr>
          <w:rFonts w:ascii="Times New Roman" w:hAnsi="Times New Roman" w:cs="Times New Roman"/>
          <w:bCs/>
          <w:color w:val="000000" w:themeColor="text1"/>
          <w:szCs w:val="24"/>
        </w:rPr>
        <w:t xml:space="preserve"> </w:t>
      </w:r>
      <w:proofErr w:type="spellStart"/>
      <w:r w:rsidR="00EB52AA" w:rsidRPr="00644FC9">
        <w:rPr>
          <w:rFonts w:ascii="Times New Roman" w:hAnsi="Times New Roman" w:cs="Times New Roman"/>
          <w:bCs/>
          <w:color w:val="000000" w:themeColor="text1"/>
          <w:szCs w:val="24"/>
        </w:rPr>
        <w:t>Gonedes</w:t>
      </w:r>
      <w:proofErr w:type="spellEnd"/>
      <w:r w:rsidR="00EB52AA" w:rsidRPr="00644FC9">
        <w:rPr>
          <w:rFonts w:ascii="Times New Roman" w:hAnsi="Times New Roman" w:cs="Times New Roman"/>
          <w:bCs/>
          <w:color w:val="000000" w:themeColor="text1"/>
          <w:szCs w:val="24"/>
        </w:rPr>
        <w:t xml:space="preserve"> (1975) </w:t>
      </w:r>
      <w:r w:rsidR="005E5F68" w:rsidRPr="00644FC9">
        <w:rPr>
          <w:rFonts w:ascii="Times New Roman" w:hAnsi="Times New Roman" w:cs="Times New Roman"/>
          <w:bCs/>
          <w:color w:val="000000" w:themeColor="text1"/>
          <w:szCs w:val="24"/>
        </w:rPr>
        <w:t>indicate</w:t>
      </w:r>
      <w:r w:rsidR="00EB52AA" w:rsidRPr="00644FC9">
        <w:rPr>
          <w:rFonts w:ascii="Times New Roman" w:hAnsi="Times New Roman" w:cs="Times New Roman"/>
          <w:bCs/>
          <w:color w:val="000000" w:themeColor="text1"/>
          <w:szCs w:val="24"/>
        </w:rPr>
        <w:t xml:space="preserve">s that </w:t>
      </w:r>
      <w:r w:rsidR="005E5F68" w:rsidRPr="00644FC9">
        <w:rPr>
          <w:rFonts w:ascii="Times New Roman" w:hAnsi="Times New Roman" w:cs="Times New Roman"/>
          <w:bCs/>
          <w:color w:val="000000" w:themeColor="text1"/>
          <w:szCs w:val="24"/>
        </w:rPr>
        <w:t xml:space="preserve">the </w:t>
      </w:r>
      <w:r w:rsidR="00EB52AA" w:rsidRPr="00644FC9">
        <w:rPr>
          <w:rFonts w:ascii="Times New Roman" w:hAnsi="Times New Roman" w:cs="Times New Roman"/>
          <w:bCs/>
          <w:color w:val="000000" w:themeColor="text1"/>
          <w:szCs w:val="24"/>
        </w:rPr>
        <w:t xml:space="preserve">market </w:t>
      </w:r>
      <w:r w:rsidR="005E5F68" w:rsidRPr="00644FC9">
        <w:rPr>
          <w:rFonts w:ascii="Times New Roman" w:hAnsi="Times New Roman" w:cs="Times New Roman"/>
          <w:bCs/>
          <w:color w:val="000000" w:themeColor="text1"/>
          <w:szCs w:val="24"/>
        </w:rPr>
        <w:t>pricing</w:t>
      </w:r>
      <w:r w:rsidR="00EB52AA" w:rsidRPr="00644FC9">
        <w:rPr>
          <w:rFonts w:ascii="Times New Roman" w:hAnsi="Times New Roman" w:cs="Times New Roman"/>
          <w:bCs/>
          <w:color w:val="000000" w:themeColor="text1"/>
          <w:szCs w:val="24"/>
        </w:rPr>
        <w:t xml:space="preserve"> </w:t>
      </w:r>
      <w:r w:rsidR="005E5F68" w:rsidRPr="00644FC9">
        <w:rPr>
          <w:rFonts w:ascii="Times New Roman" w:hAnsi="Times New Roman" w:cs="Times New Roman"/>
          <w:bCs/>
          <w:color w:val="000000" w:themeColor="text1"/>
          <w:szCs w:val="24"/>
        </w:rPr>
        <w:t>o</w:t>
      </w:r>
      <w:r w:rsidR="002921E4" w:rsidRPr="00644FC9">
        <w:rPr>
          <w:rFonts w:ascii="Times New Roman" w:hAnsi="Times New Roman" w:cs="Times New Roman"/>
          <w:bCs/>
          <w:color w:val="000000" w:themeColor="text1"/>
          <w:szCs w:val="24"/>
        </w:rPr>
        <w:t>f</w:t>
      </w:r>
      <w:r w:rsidR="005E5F68" w:rsidRPr="00644FC9">
        <w:rPr>
          <w:rFonts w:ascii="Times New Roman" w:hAnsi="Times New Roman" w:cs="Times New Roman"/>
          <w:bCs/>
          <w:color w:val="000000" w:themeColor="text1"/>
          <w:szCs w:val="24"/>
        </w:rPr>
        <w:t xml:space="preserve"> unusual earnings components is </w:t>
      </w:r>
      <w:r w:rsidR="002921E4" w:rsidRPr="00644FC9">
        <w:rPr>
          <w:rFonts w:ascii="Times New Roman" w:hAnsi="Times New Roman" w:cs="Times New Roman"/>
          <w:bCs/>
          <w:color w:val="000000" w:themeColor="text1"/>
          <w:szCs w:val="24"/>
        </w:rPr>
        <w:t xml:space="preserve">more influenced </w:t>
      </w:r>
      <w:r w:rsidR="005E5F68" w:rsidRPr="00644FC9">
        <w:rPr>
          <w:rFonts w:ascii="Times New Roman" w:hAnsi="Times New Roman" w:cs="Times New Roman"/>
          <w:bCs/>
          <w:color w:val="000000" w:themeColor="text1"/>
          <w:szCs w:val="24"/>
        </w:rPr>
        <w:t>by the sign</w:t>
      </w:r>
      <w:r w:rsidR="00EB52AA" w:rsidRPr="00644FC9">
        <w:rPr>
          <w:rFonts w:ascii="Times New Roman" w:hAnsi="Times New Roman" w:cs="Times New Roman"/>
          <w:bCs/>
          <w:color w:val="000000" w:themeColor="text1"/>
          <w:szCs w:val="24"/>
        </w:rPr>
        <w:t xml:space="preserve"> </w:t>
      </w:r>
      <w:r w:rsidR="002921E4" w:rsidRPr="00644FC9">
        <w:rPr>
          <w:rFonts w:ascii="Times New Roman" w:hAnsi="Times New Roman" w:cs="Times New Roman"/>
          <w:bCs/>
          <w:color w:val="000000" w:themeColor="text1"/>
          <w:szCs w:val="24"/>
        </w:rPr>
        <w:t xml:space="preserve">(positive or negative) </w:t>
      </w:r>
      <w:r w:rsidR="005E5F68" w:rsidRPr="00644FC9">
        <w:rPr>
          <w:rFonts w:ascii="Times New Roman" w:hAnsi="Times New Roman" w:cs="Times New Roman"/>
          <w:bCs/>
          <w:color w:val="000000" w:themeColor="text1"/>
          <w:szCs w:val="24"/>
        </w:rPr>
        <w:t>rather than the classification</w:t>
      </w:r>
      <w:r w:rsidR="00EB52AA" w:rsidRPr="00644FC9">
        <w:rPr>
          <w:rFonts w:ascii="Times New Roman" w:hAnsi="Times New Roman" w:cs="Times New Roman"/>
          <w:bCs/>
          <w:color w:val="000000" w:themeColor="text1"/>
          <w:szCs w:val="24"/>
        </w:rPr>
        <w:t xml:space="preserve">. Bowen (1981) </w:t>
      </w:r>
      <w:r w:rsidR="00961DF8" w:rsidRPr="00644FC9">
        <w:rPr>
          <w:rFonts w:ascii="Times New Roman" w:hAnsi="Times New Roman" w:cs="Times New Roman"/>
          <w:bCs/>
          <w:color w:val="000000" w:themeColor="text1"/>
          <w:szCs w:val="24"/>
        </w:rPr>
        <w:t>show</w:t>
      </w:r>
      <w:r w:rsidR="002921E4" w:rsidRPr="00644FC9">
        <w:rPr>
          <w:rFonts w:ascii="Times New Roman" w:hAnsi="Times New Roman" w:cs="Times New Roman"/>
          <w:bCs/>
          <w:color w:val="000000" w:themeColor="text1"/>
          <w:szCs w:val="24"/>
        </w:rPr>
        <w:t>s</w:t>
      </w:r>
      <w:r w:rsidR="00EB52AA" w:rsidRPr="00644FC9">
        <w:rPr>
          <w:rFonts w:ascii="Times New Roman" w:hAnsi="Times New Roman" w:cs="Times New Roman"/>
          <w:bCs/>
          <w:color w:val="000000" w:themeColor="text1"/>
          <w:szCs w:val="24"/>
        </w:rPr>
        <w:t xml:space="preserve"> that investors put </w:t>
      </w:r>
      <w:r w:rsidR="00D87B38" w:rsidRPr="00644FC9">
        <w:rPr>
          <w:rFonts w:ascii="Times New Roman" w:hAnsi="Times New Roman" w:cs="Times New Roman"/>
          <w:bCs/>
          <w:color w:val="000000" w:themeColor="text1"/>
          <w:szCs w:val="24"/>
        </w:rPr>
        <w:t>more valu</w:t>
      </w:r>
      <w:r w:rsidR="002921E4" w:rsidRPr="00644FC9">
        <w:rPr>
          <w:rFonts w:ascii="Times New Roman" w:hAnsi="Times New Roman" w:cs="Times New Roman"/>
          <w:bCs/>
          <w:color w:val="000000" w:themeColor="text1"/>
          <w:szCs w:val="24"/>
        </w:rPr>
        <w:t>e</w:t>
      </w:r>
      <w:r w:rsidR="00D87B38" w:rsidRPr="00644FC9">
        <w:rPr>
          <w:rFonts w:ascii="Times New Roman" w:hAnsi="Times New Roman" w:cs="Times New Roman"/>
          <w:bCs/>
          <w:color w:val="000000" w:themeColor="text1"/>
          <w:szCs w:val="24"/>
        </w:rPr>
        <w:t xml:space="preserve"> per dollar</w:t>
      </w:r>
      <w:r w:rsidR="00EB52AA" w:rsidRPr="00644FC9">
        <w:rPr>
          <w:rFonts w:ascii="Times New Roman" w:hAnsi="Times New Roman" w:cs="Times New Roman"/>
          <w:bCs/>
          <w:color w:val="000000" w:themeColor="text1"/>
          <w:szCs w:val="24"/>
        </w:rPr>
        <w:t xml:space="preserve"> on operating </w:t>
      </w:r>
      <w:r w:rsidR="002921E4" w:rsidRPr="00644FC9">
        <w:rPr>
          <w:rFonts w:ascii="Times New Roman" w:hAnsi="Times New Roman" w:cs="Times New Roman"/>
          <w:bCs/>
          <w:color w:val="000000" w:themeColor="text1"/>
          <w:szCs w:val="24"/>
        </w:rPr>
        <w:t xml:space="preserve">components rather </w:t>
      </w:r>
      <w:r w:rsidR="00D87B38" w:rsidRPr="00644FC9">
        <w:rPr>
          <w:rFonts w:ascii="Times New Roman" w:hAnsi="Times New Roman" w:cs="Times New Roman"/>
          <w:bCs/>
          <w:color w:val="000000" w:themeColor="text1"/>
          <w:szCs w:val="24"/>
        </w:rPr>
        <w:t>than</w:t>
      </w:r>
      <w:r w:rsidR="00313173" w:rsidRPr="00644FC9">
        <w:rPr>
          <w:rFonts w:ascii="Times New Roman" w:hAnsi="Times New Roman" w:cs="Times New Roman"/>
          <w:bCs/>
          <w:color w:val="000000" w:themeColor="text1"/>
          <w:szCs w:val="24"/>
        </w:rPr>
        <w:t xml:space="preserve"> </w:t>
      </w:r>
      <w:r w:rsidR="002921E4" w:rsidRPr="00644FC9">
        <w:rPr>
          <w:rFonts w:ascii="Times New Roman" w:hAnsi="Times New Roman" w:cs="Times New Roman"/>
          <w:bCs/>
          <w:color w:val="000000" w:themeColor="text1"/>
          <w:szCs w:val="24"/>
        </w:rPr>
        <w:t xml:space="preserve">on </w:t>
      </w:r>
      <w:r w:rsidR="00313173" w:rsidRPr="00644FC9">
        <w:rPr>
          <w:rFonts w:ascii="Times New Roman" w:hAnsi="Times New Roman" w:cs="Times New Roman"/>
          <w:bCs/>
          <w:color w:val="000000" w:themeColor="text1"/>
          <w:szCs w:val="24"/>
        </w:rPr>
        <w:t xml:space="preserve">non-operating </w:t>
      </w:r>
      <w:r w:rsidR="002921E4" w:rsidRPr="00644FC9">
        <w:rPr>
          <w:rFonts w:ascii="Times New Roman" w:hAnsi="Times New Roman" w:cs="Times New Roman"/>
          <w:bCs/>
          <w:color w:val="000000" w:themeColor="text1"/>
          <w:szCs w:val="24"/>
        </w:rPr>
        <w:t>ones</w:t>
      </w:r>
      <w:r w:rsidR="00EB52AA" w:rsidRPr="00644FC9">
        <w:rPr>
          <w:rFonts w:ascii="Times New Roman" w:hAnsi="Times New Roman" w:cs="Times New Roman"/>
          <w:bCs/>
          <w:color w:val="000000" w:themeColor="text1"/>
          <w:szCs w:val="24"/>
        </w:rPr>
        <w:t xml:space="preserve">. </w:t>
      </w:r>
      <w:r w:rsidR="00D87B38" w:rsidRPr="00644FC9">
        <w:rPr>
          <w:rFonts w:ascii="Times New Roman" w:hAnsi="Times New Roman" w:cs="Times New Roman"/>
          <w:bCs/>
          <w:color w:val="000000" w:themeColor="text1"/>
          <w:szCs w:val="24"/>
        </w:rPr>
        <w:t xml:space="preserve">However, </w:t>
      </w:r>
      <w:proofErr w:type="spellStart"/>
      <w:r w:rsidR="00D87B38" w:rsidRPr="00644FC9">
        <w:rPr>
          <w:rFonts w:ascii="Times New Roman" w:hAnsi="Times New Roman" w:cs="Times New Roman"/>
          <w:bCs/>
          <w:color w:val="000000" w:themeColor="text1"/>
          <w:szCs w:val="24"/>
        </w:rPr>
        <w:t>Bao</w:t>
      </w:r>
      <w:proofErr w:type="spellEnd"/>
      <w:r w:rsidR="00D87B38" w:rsidRPr="00644FC9">
        <w:rPr>
          <w:rFonts w:ascii="Times New Roman" w:hAnsi="Times New Roman" w:cs="Times New Roman"/>
          <w:bCs/>
          <w:color w:val="000000" w:themeColor="text1"/>
          <w:szCs w:val="24"/>
        </w:rPr>
        <w:t xml:space="preserve"> and </w:t>
      </w:r>
      <w:proofErr w:type="spellStart"/>
      <w:r w:rsidR="00D87B38" w:rsidRPr="00644FC9">
        <w:rPr>
          <w:rFonts w:ascii="Times New Roman" w:hAnsi="Times New Roman" w:cs="Times New Roman"/>
          <w:bCs/>
          <w:color w:val="000000" w:themeColor="text1"/>
          <w:szCs w:val="24"/>
        </w:rPr>
        <w:t>Bao</w:t>
      </w:r>
      <w:proofErr w:type="spellEnd"/>
      <w:r w:rsidR="00D87B38" w:rsidRPr="00644FC9">
        <w:rPr>
          <w:rFonts w:ascii="Times New Roman" w:hAnsi="Times New Roman" w:cs="Times New Roman"/>
          <w:bCs/>
          <w:color w:val="000000" w:themeColor="text1"/>
          <w:szCs w:val="24"/>
        </w:rPr>
        <w:t xml:space="preserve"> (2004) show</w:t>
      </w:r>
      <w:r w:rsidR="002921E4" w:rsidRPr="00644FC9">
        <w:rPr>
          <w:rFonts w:ascii="Times New Roman" w:hAnsi="Times New Roman" w:cs="Times New Roman"/>
          <w:bCs/>
          <w:color w:val="000000" w:themeColor="text1"/>
          <w:szCs w:val="24"/>
        </w:rPr>
        <w:t xml:space="preserve"> that the</w:t>
      </w:r>
      <w:r w:rsidR="00D87B38" w:rsidRPr="00644FC9">
        <w:rPr>
          <w:rFonts w:ascii="Times New Roman" w:hAnsi="Times New Roman" w:cs="Times New Roman"/>
          <w:bCs/>
          <w:color w:val="000000" w:themeColor="text1"/>
          <w:szCs w:val="24"/>
        </w:rPr>
        <w:t xml:space="preserve"> </w:t>
      </w:r>
      <w:r w:rsidR="008B1418">
        <w:rPr>
          <w:rFonts w:ascii="Times New Roman" w:hAnsi="Times New Roman" w:cs="Times New Roman"/>
          <w:bCs/>
          <w:color w:val="000000" w:themeColor="text1"/>
          <w:szCs w:val="24"/>
        </w:rPr>
        <w:t>non-operating</w:t>
      </w:r>
      <w:r w:rsidR="00313173" w:rsidRPr="00644FC9">
        <w:rPr>
          <w:rFonts w:ascii="Times New Roman" w:hAnsi="Times New Roman" w:cs="Times New Roman"/>
          <w:bCs/>
          <w:color w:val="000000" w:themeColor="text1"/>
          <w:szCs w:val="24"/>
        </w:rPr>
        <w:t xml:space="preserve"> </w:t>
      </w:r>
      <w:r w:rsidR="00D87B38" w:rsidRPr="00644FC9">
        <w:rPr>
          <w:rFonts w:ascii="Times New Roman" w:hAnsi="Times New Roman" w:cs="Times New Roman"/>
          <w:bCs/>
          <w:color w:val="000000" w:themeColor="text1"/>
          <w:szCs w:val="24"/>
        </w:rPr>
        <w:t xml:space="preserve">income </w:t>
      </w:r>
      <w:r w:rsidR="002921E4" w:rsidRPr="00644FC9">
        <w:rPr>
          <w:rFonts w:ascii="Times New Roman" w:hAnsi="Times New Roman" w:cs="Times New Roman"/>
          <w:bCs/>
          <w:color w:val="000000" w:themeColor="text1"/>
          <w:szCs w:val="24"/>
        </w:rPr>
        <w:t xml:space="preserve">of Taiwanese firms </w:t>
      </w:r>
      <w:r w:rsidR="00D87B38" w:rsidRPr="00644FC9">
        <w:rPr>
          <w:rFonts w:ascii="Times New Roman" w:hAnsi="Times New Roman" w:cs="Times New Roman"/>
          <w:bCs/>
          <w:color w:val="000000" w:themeColor="text1"/>
          <w:szCs w:val="24"/>
        </w:rPr>
        <w:t xml:space="preserve">has almost the same relevant value as their </w:t>
      </w:r>
      <w:r w:rsidR="00D87B38" w:rsidRPr="00644FC9">
        <w:rPr>
          <w:rFonts w:ascii="Times New Roman" w:hAnsi="Times New Roman" w:cs="Times New Roman"/>
          <w:bCs/>
          <w:color w:val="000000" w:themeColor="text1"/>
          <w:szCs w:val="24"/>
        </w:rPr>
        <w:lastRenderedPageBreak/>
        <w:t xml:space="preserve">operating income, suggesting that </w:t>
      </w:r>
      <w:r w:rsidR="001E2F31" w:rsidRPr="00644FC9">
        <w:rPr>
          <w:rFonts w:ascii="Times New Roman" w:hAnsi="Times New Roman" w:cs="Times New Roman"/>
          <w:bCs/>
          <w:color w:val="000000" w:themeColor="text1"/>
          <w:szCs w:val="24"/>
        </w:rPr>
        <w:t>country-level institutional</w:t>
      </w:r>
      <w:r w:rsidR="00D87B38" w:rsidRPr="00644FC9">
        <w:rPr>
          <w:rFonts w:ascii="Times New Roman" w:hAnsi="Times New Roman" w:cs="Times New Roman"/>
          <w:bCs/>
          <w:color w:val="000000" w:themeColor="text1"/>
          <w:szCs w:val="24"/>
        </w:rPr>
        <w:t xml:space="preserve"> </w:t>
      </w:r>
      <w:r w:rsidR="000C6FAE" w:rsidRPr="00644FC9">
        <w:rPr>
          <w:rFonts w:ascii="Times New Roman" w:hAnsi="Times New Roman" w:cs="Times New Roman"/>
          <w:bCs/>
          <w:color w:val="000000" w:themeColor="text1"/>
          <w:szCs w:val="24"/>
        </w:rPr>
        <w:t xml:space="preserve">factors may affect the </w:t>
      </w:r>
      <w:r w:rsidR="001E2F31" w:rsidRPr="00644FC9">
        <w:rPr>
          <w:rFonts w:ascii="Times New Roman" w:hAnsi="Times New Roman" w:cs="Times New Roman"/>
          <w:bCs/>
          <w:color w:val="000000" w:themeColor="text1"/>
          <w:szCs w:val="24"/>
        </w:rPr>
        <w:t xml:space="preserve">weight </w:t>
      </w:r>
      <w:r w:rsidR="002921E4" w:rsidRPr="00644FC9">
        <w:rPr>
          <w:rFonts w:ascii="Times New Roman" w:hAnsi="Times New Roman" w:cs="Times New Roman"/>
          <w:bCs/>
          <w:color w:val="000000" w:themeColor="text1"/>
          <w:szCs w:val="24"/>
        </w:rPr>
        <w:t>placed by investors on</w:t>
      </w:r>
      <w:r w:rsidR="001E2F31" w:rsidRPr="00644FC9">
        <w:rPr>
          <w:rFonts w:ascii="Times New Roman" w:hAnsi="Times New Roman" w:cs="Times New Roman"/>
          <w:bCs/>
          <w:color w:val="000000" w:themeColor="text1"/>
          <w:szCs w:val="24"/>
        </w:rPr>
        <w:t xml:space="preserve"> earnings components</w:t>
      </w:r>
      <w:r w:rsidR="00D87B38" w:rsidRPr="00644FC9">
        <w:rPr>
          <w:rFonts w:ascii="Times New Roman" w:hAnsi="Times New Roman" w:cs="Times New Roman"/>
          <w:bCs/>
          <w:color w:val="000000" w:themeColor="text1"/>
          <w:szCs w:val="24"/>
        </w:rPr>
        <w:t xml:space="preserve">. </w:t>
      </w:r>
      <w:r w:rsidR="00EB52AA" w:rsidRPr="00644FC9">
        <w:rPr>
          <w:rFonts w:ascii="Times New Roman" w:hAnsi="Times New Roman" w:cs="Times New Roman"/>
          <w:bCs/>
          <w:color w:val="000000" w:themeColor="text1"/>
          <w:szCs w:val="24"/>
        </w:rPr>
        <w:t xml:space="preserve">Strong and Walker (1993) show that partitioning earnings into </w:t>
      </w:r>
      <w:r w:rsidR="00212453" w:rsidRPr="00644FC9">
        <w:rPr>
          <w:rFonts w:ascii="Times New Roman" w:hAnsi="Times New Roman" w:cs="Times New Roman"/>
          <w:bCs/>
          <w:color w:val="000000" w:themeColor="text1"/>
          <w:szCs w:val="24"/>
        </w:rPr>
        <w:t xml:space="preserve">ordinary </w:t>
      </w:r>
      <w:r w:rsidR="001E2F31" w:rsidRPr="00644FC9">
        <w:rPr>
          <w:rFonts w:ascii="Times New Roman" w:hAnsi="Times New Roman" w:cs="Times New Roman"/>
          <w:bCs/>
          <w:color w:val="000000" w:themeColor="text1"/>
          <w:szCs w:val="24"/>
        </w:rPr>
        <w:t>earnings, exceptional ea</w:t>
      </w:r>
      <w:r w:rsidR="00212453" w:rsidRPr="00644FC9">
        <w:rPr>
          <w:rFonts w:ascii="Times New Roman" w:hAnsi="Times New Roman" w:cs="Times New Roman"/>
          <w:bCs/>
          <w:color w:val="000000" w:themeColor="text1"/>
          <w:szCs w:val="24"/>
        </w:rPr>
        <w:t>rnings, and extraordinary items</w:t>
      </w:r>
      <w:r w:rsidR="00EB52AA" w:rsidRPr="00644FC9">
        <w:rPr>
          <w:rFonts w:ascii="Times New Roman" w:hAnsi="Times New Roman" w:cs="Times New Roman"/>
          <w:bCs/>
          <w:color w:val="000000" w:themeColor="text1"/>
          <w:szCs w:val="24"/>
        </w:rPr>
        <w:t xml:space="preserve"> increases the </w:t>
      </w:r>
      <w:r w:rsidR="00212453" w:rsidRPr="00644FC9">
        <w:rPr>
          <w:rFonts w:ascii="Times New Roman" w:hAnsi="Times New Roman" w:cs="Times New Roman"/>
          <w:bCs/>
          <w:color w:val="000000" w:themeColor="text1"/>
          <w:szCs w:val="24"/>
        </w:rPr>
        <w:t xml:space="preserve">association between abnormal returns and </w:t>
      </w:r>
      <w:r w:rsidR="00EB52AA" w:rsidRPr="00644FC9">
        <w:rPr>
          <w:rFonts w:ascii="Times New Roman" w:hAnsi="Times New Roman" w:cs="Times New Roman"/>
          <w:bCs/>
          <w:color w:val="000000" w:themeColor="text1"/>
          <w:szCs w:val="24"/>
        </w:rPr>
        <w:t xml:space="preserve">earnings. </w:t>
      </w:r>
      <w:proofErr w:type="spellStart"/>
      <w:r w:rsidR="00EB52AA" w:rsidRPr="00644FC9">
        <w:rPr>
          <w:rFonts w:ascii="Times New Roman" w:hAnsi="Times New Roman" w:cs="Times New Roman"/>
          <w:bCs/>
          <w:color w:val="000000" w:themeColor="text1"/>
          <w:szCs w:val="24"/>
        </w:rPr>
        <w:t>Ohlson</w:t>
      </w:r>
      <w:proofErr w:type="spellEnd"/>
      <w:r w:rsidR="00EB52AA" w:rsidRPr="00644FC9">
        <w:rPr>
          <w:rFonts w:ascii="Times New Roman" w:hAnsi="Times New Roman" w:cs="Times New Roman"/>
          <w:bCs/>
          <w:color w:val="000000" w:themeColor="text1"/>
          <w:szCs w:val="24"/>
        </w:rPr>
        <w:t xml:space="preserve"> and Penman (1992) show that </w:t>
      </w:r>
      <w:r w:rsidR="00212453" w:rsidRPr="00644FC9">
        <w:rPr>
          <w:rFonts w:ascii="Times New Roman" w:hAnsi="Times New Roman" w:cs="Times New Roman"/>
          <w:bCs/>
          <w:color w:val="000000" w:themeColor="text1"/>
          <w:szCs w:val="24"/>
        </w:rPr>
        <w:t>market</w:t>
      </w:r>
      <w:r w:rsidR="00EB52AA" w:rsidRPr="00644FC9">
        <w:rPr>
          <w:rFonts w:ascii="Times New Roman" w:hAnsi="Times New Roman" w:cs="Times New Roman"/>
          <w:bCs/>
          <w:color w:val="000000" w:themeColor="text1"/>
          <w:szCs w:val="24"/>
        </w:rPr>
        <w:t xml:space="preserve"> reaction</w:t>
      </w:r>
      <w:r w:rsidR="00132B0A" w:rsidRPr="00644FC9">
        <w:rPr>
          <w:rFonts w:ascii="Times New Roman" w:hAnsi="Times New Roman" w:cs="Times New Roman"/>
          <w:bCs/>
          <w:color w:val="000000" w:themeColor="text1"/>
          <w:szCs w:val="24"/>
        </w:rPr>
        <w:t>s</w:t>
      </w:r>
      <w:r w:rsidR="00EB52AA" w:rsidRPr="00644FC9">
        <w:rPr>
          <w:rFonts w:ascii="Times New Roman" w:hAnsi="Times New Roman" w:cs="Times New Roman"/>
          <w:bCs/>
          <w:color w:val="000000" w:themeColor="text1"/>
          <w:szCs w:val="24"/>
        </w:rPr>
        <w:t xml:space="preserve"> to earnings components </w:t>
      </w:r>
      <w:r w:rsidR="00132B0A" w:rsidRPr="00644FC9">
        <w:rPr>
          <w:rFonts w:ascii="Times New Roman" w:hAnsi="Times New Roman" w:cs="Times New Roman"/>
          <w:bCs/>
          <w:color w:val="000000" w:themeColor="text1"/>
          <w:szCs w:val="24"/>
        </w:rPr>
        <w:t>are</w:t>
      </w:r>
      <w:r w:rsidR="00212453" w:rsidRPr="00644FC9">
        <w:rPr>
          <w:rFonts w:ascii="Times New Roman" w:hAnsi="Times New Roman" w:cs="Times New Roman"/>
          <w:bCs/>
          <w:color w:val="000000" w:themeColor="text1"/>
          <w:szCs w:val="24"/>
        </w:rPr>
        <w:t xml:space="preserve"> divergent </w:t>
      </w:r>
      <w:r w:rsidR="00EB52AA" w:rsidRPr="00644FC9">
        <w:rPr>
          <w:rFonts w:ascii="Times New Roman" w:hAnsi="Times New Roman" w:cs="Times New Roman"/>
          <w:bCs/>
          <w:color w:val="000000" w:themeColor="text1"/>
          <w:szCs w:val="24"/>
        </w:rPr>
        <w:t>over short time horizons</w:t>
      </w:r>
      <w:r w:rsidR="00644FC9">
        <w:rPr>
          <w:rFonts w:ascii="Times New Roman" w:hAnsi="Times New Roman" w:cs="Times New Roman"/>
          <w:bCs/>
          <w:color w:val="000000" w:themeColor="text1"/>
          <w:szCs w:val="24"/>
        </w:rPr>
        <w:t xml:space="preserve"> but are </w:t>
      </w:r>
      <w:r w:rsidR="00EB52AA" w:rsidRPr="00644FC9">
        <w:rPr>
          <w:rFonts w:ascii="Times New Roman" w:hAnsi="Times New Roman" w:cs="Times New Roman"/>
          <w:bCs/>
          <w:color w:val="000000" w:themeColor="text1"/>
          <w:szCs w:val="24"/>
        </w:rPr>
        <w:t xml:space="preserve">similar over longer horizons. </w:t>
      </w:r>
      <w:r w:rsidR="00B653B0" w:rsidRPr="00644FC9">
        <w:rPr>
          <w:rFonts w:ascii="Times New Roman" w:hAnsi="Times New Roman" w:cs="Times New Roman"/>
          <w:bCs/>
          <w:color w:val="000000" w:themeColor="text1"/>
          <w:szCs w:val="24"/>
        </w:rPr>
        <w:t xml:space="preserve">In sum, these studies suggest that the components provide different information </w:t>
      </w:r>
      <w:r w:rsidR="002921E4" w:rsidRPr="00644FC9">
        <w:rPr>
          <w:rFonts w:ascii="Times New Roman" w:hAnsi="Times New Roman" w:cs="Times New Roman"/>
          <w:bCs/>
          <w:color w:val="000000" w:themeColor="text1"/>
          <w:szCs w:val="24"/>
        </w:rPr>
        <w:t xml:space="preserve">for </w:t>
      </w:r>
      <w:r w:rsidR="00B653B0" w:rsidRPr="00644FC9">
        <w:rPr>
          <w:rFonts w:ascii="Times New Roman" w:hAnsi="Times New Roman" w:cs="Times New Roman"/>
          <w:bCs/>
          <w:color w:val="000000" w:themeColor="text1"/>
          <w:szCs w:val="24"/>
        </w:rPr>
        <w:t xml:space="preserve">market pricing. </w:t>
      </w:r>
      <w:r w:rsidR="002921E4" w:rsidRPr="00644FC9">
        <w:rPr>
          <w:rFonts w:ascii="Times New Roman" w:hAnsi="Times New Roman" w:cs="Times New Roman"/>
          <w:bCs/>
          <w:color w:val="000000" w:themeColor="text1"/>
          <w:szCs w:val="24"/>
        </w:rPr>
        <w:t xml:space="preserve">In this study, </w:t>
      </w:r>
      <w:r w:rsidR="00B653B0" w:rsidRPr="00644FC9">
        <w:rPr>
          <w:rFonts w:ascii="Times New Roman" w:hAnsi="Times New Roman" w:cs="Times New Roman"/>
          <w:bCs/>
          <w:color w:val="000000" w:themeColor="text1"/>
          <w:szCs w:val="24"/>
        </w:rPr>
        <w:t>I</w:t>
      </w:r>
      <w:r w:rsidR="00EB52AA" w:rsidRPr="00644FC9">
        <w:rPr>
          <w:rFonts w:ascii="Times New Roman" w:hAnsi="Times New Roman" w:cs="Times New Roman"/>
          <w:bCs/>
          <w:color w:val="000000" w:themeColor="text1"/>
          <w:szCs w:val="24"/>
        </w:rPr>
        <w:t xml:space="preserve"> test </w:t>
      </w:r>
      <w:r w:rsidR="00B653B0" w:rsidRPr="00644FC9">
        <w:rPr>
          <w:rFonts w:ascii="Times New Roman" w:hAnsi="Times New Roman" w:cs="Times New Roman"/>
          <w:bCs/>
          <w:color w:val="000000" w:themeColor="text1"/>
          <w:szCs w:val="24"/>
        </w:rPr>
        <w:t>whether the</w:t>
      </w:r>
      <w:r w:rsidR="00EB52AA" w:rsidRPr="00644FC9">
        <w:rPr>
          <w:rFonts w:ascii="Times New Roman" w:hAnsi="Times New Roman" w:cs="Times New Roman"/>
          <w:bCs/>
          <w:color w:val="000000" w:themeColor="text1"/>
          <w:szCs w:val="24"/>
        </w:rPr>
        <w:t xml:space="preserve"> </w:t>
      </w:r>
      <w:r w:rsidR="00B558C1" w:rsidRPr="00644FC9">
        <w:rPr>
          <w:rFonts w:ascii="Times New Roman" w:hAnsi="Times New Roman" w:cs="Times New Roman"/>
          <w:bCs/>
          <w:color w:val="000000" w:themeColor="text1"/>
          <w:szCs w:val="24"/>
        </w:rPr>
        <w:t xml:space="preserve">surprised </w:t>
      </w:r>
      <w:r w:rsidR="00B653B0" w:rsidRPr="00644FC9">
        <w:rPr>
          <w:rFonts w:ascii="Times New Roman" w:hAnsi="Times New Roman" w:cs="Times New Roman"/>
          <w:bCs/>
          <w:color w:val="000000" w:themeColor="text1"/>
          <w:szCs w:val="24"/>
        </w:rPr>
        <w:t xml:space="preserve">earnings </w:t>
      </w:r>
      <w:r w:rsidR="00EB52AA" w:rsidRPr="00644FC9">
        <w:rPr>
          <w:rFonts w:ascii="Times New Roman" w:hAnsi="Times New Roman" w:cs="Times New Roman"/>
          <w:bCs/>
          <w:color w:val="000000" w:themeColor="text1"/>
          <w:szCs w:val="24"/>
        </w:rPr>
        <w:t xml:space="preserve">components </w:t>
      </w:r>
      <w:r w:rsidR="00B558C1" w:rsidRPr="00644FC9">
        <w:rPr>
          <w:rFonts w:ascii="Times New Roman" w:hAnsi="Times New Roman" w:cs="Times New Roman"/>
          <w:bCs/>
          <w:color w:val="000000" w:themeColor="text1"/>
          <w:szCs w:val="24"/>
        </w:rPr>
        <w:t xml:space="preserve">contribute </w:t>
      </w:r>
      <w:r w:rsidR="00B653B0" w:rsidRPr="00644FC9">
        <w:rPr>
          <w:rFonts w:ascii="Times New Roman" w:hAnsi="Times New Roman" w:cs="Times New Roman"/>
          <w:bCs/>
          <w:color w:val="000000" w:themeColor="text1"/>
          <w:szCs w:val="24"/>
        </w:rPr>
        <w:t xml:space="preserve">differently to </w:t>
      </w:r>
      <w:r w:rsidR="002921E4" w:rsidRPr="00644FC9">
        <w:rPr>
          <w:rFonts w:ascii="Times New Roman" w:hAnsi="Times New Roman" w:cs="Times New Roman"/>
          <w:bCs/>
          <w:color w:val="000000" w:themeColor="text1"/>
          <w:szCs w:val="24"/>
        </w:rPr>
        <w:t xml:space="preserve">the </w:t>
      </w:r>
      <w:r w:rsidR="00B558C1" w:rsidRPr="00644FC9">
        <w:rPr>
          <w:rFonts w:ascii="Times New Roman" w:hAnsi="Times New Roman" w:cs="Times New Roman"/>
          <w:bCs/>
          <w:color w:val="000000" w:themeColor="text1"/>
          <w:szCs w:val="24"/>
        </w:rPr>
        <w:t>post-earnings-announcement drift anomaly.</w:t>
      </w:r>
    </w:p>
    <w:p w14:paraId="687F24A7" w14:textId="1A7C253E" w:rsidR="00323406" w:rsidRPr="00644FC9" w:rsidRDefault="008B228B" w:rsidP="00C148B8">
      <w:pPr>
        <w:spacing w:line="480" w:lineRule="auto"/>
        <w:ind w:firstLineChars="200" w:firstLine="480"/>
        <w:jc w:val="both"/>
        <w:rPr>
          <w:rFonts w:ascii="Times New Roman" w:hAnsi="Times New Roman" w:cs="Times New Roman"/>
          <w:bCs/>
          <w:color w:val="000000" w:themeColor="text1"/>
          <w:szCs w:val="24"/>
        </w:rPr>
      </w:pPr>
      <w:r w:rsidRPr="00644FC9">
        <w:rPr>
          <w:rFonts w:ascii="Times New Roman" w:hAnsi="Times New Roman" w:cs="Times New Roman"/>
          <w:bCs/>
          <w:color w:val="000000" w:themeColor="text1"/>
          <w:szCs w:val="24"/>
        </w:rPr>
        <w:t>In addition, a large body of research focuses on</w:t>
      </w:r>
      <w:r w:rsidRPr="00644FC9">
        <w:rPr>
          <w:rFonts w:ascii="Times New Roman" w:hAnsi="Times New Roman" w:cs="Times New Roman"/>
          <w:color w:val="000000" w:themeColor="text1"/>
        </w:rPr>
        <w:t xml:space="preserve"> examining market pricing </w:t>
      </w:r>
      <w:r w:rsidR="00211B3F" w:rsidRPr="00644FC9">
        <w:rPr>
          <w:rFonts w:ascii="Times New Roman" w:hAnsi="Times New Roman" w:cs="Times New Roman"/>
          <w:color w:val="000000" w:themeColor="text1"/>
        </w:rPr>
        <w:t xml:space="preserve">based on the </w:t>
      </w:r>
      <w:r w:rsidRPr="00644FC9">
        <w:rPr>
          <w:rFonts w:ascii="Times New Roman" w:hAnsi="Times New Roman" w:cs="Times New Roman"/>
          <w:bCs/>
          <w:color w:val="000000" w:themeColor="text1"/>
          <w:szCs w:val="24"/>
        </w:rPr>
        <w:t>different persistence properties of earnings components (e.g., Sloan, 1996</w:t>
      </w:r>
      <w:r w:rsidR="00C25C86" w:rsidRPr="00644FC9">
        <w:rPr>
          <w:rFonts w:ascii="Times New Roman" w:hAnsi="Times New Roman" w:cs="Times New Roman"/>
          <w:bCs/>
          <w:color w:val="000000" w:themeColor="text1"/>
          <w:szCs w:val="24"/>
        </w:rPr>
        <w:t>; Hui et al., 2016</w:t>
      </w:r>
      <w:r w:rsidRPr="00644FC9">
        <w:rPr>
          <w:rFonts w:ascii="Times New Roman" w:hAnsi="Times New Roman" w:cs="Times New Roman"/>
          <w:bCs/>
          <w:color w:val="000000" w:themeColor="text1"/>
          <w:szCs w:val="24"/>
        </w:rPr>
        <w:t>).</w:t>
      </w:r>
      <w:r w:rsidR="006D56E6" w:rsidRPr="00644FC9">
        <w:rPr>
          <w:rStyle w:val="aa"/>
          <w:rFonts w:ascii="Times New Roman" w:hAnsi="Times New Roman" w:cs="Times New Roman"/>
          <w:bCs/>
          <w:color w:val="000000" w:themeColor="text1"/>
          <w:szCs w:val="24"/>
        </w:rPr>
        <w:footnoteReference w:id="3"/>
      </w:r>
      <w:r w:rsidR="00597504" w:rsidRPr="00644FC9">
        <w:rPr>
          <w:rFonts w:ascii="Times New Roman" w:hAnsi="Times New Roman" w:cs="Times New Roman"/>
          <w:bCs/>
          <w:color w:val="000000" w:themeColor="text1"/>
          <w:szCs w:val="24"/>
        </w:rPr>
        <w:t xml:space="preserve"> </w:t>
      </w:r>
      <w:r w:rsidR="00C25C86" w:rsidRPr="00644FC9">
        <w:rPr>
          <w:rFonts w:ascii="Times New Roman" w:hAnsi="Times New Roman" w:cs="Times New Roman"/>
          <w:bCs/>
          <w:color w:val="000000" w:themeColor="text1"/>
          <w:szCs w:val="24"/>
        </w:rPr>
        <w:t xml:space="preserve">These studies document that investors fail to distinguish the different levels of persistence between </w:t>
      </w:r>
      <w:r w:rsidR="006D56E6" w:rsidRPr="00644FC9">
        <w:rPr>
          <w:rFonts w:ascii="Times New Roman" w:hAnsi="Times New Roman" w:cs="Times New Roman"/>
          <w:bCs/>
          <w:color w:val="000000" w:themeColor="text1"/>
          <w:szCs w:val="24"/>
        </w:rPr>
        <w:t>earnings components</w:t>
      </w:r>
      <w:r w:rsidR="00C25C86" w:rsidRPr="00644FC9">
        <w:rPr>
          <w:rFonts w:ascii="Times New Roman" w:hAnsi="Times New Roman" w:cs="Times New Roman"/>
          <w:bCs/>
          <w:color w:val="000000" w:themeColor="text1"/>
          <w:szCs w:val="24"/>
        </w:rPr>
        <w:t xml:space="preserve"> leading to the </w:t>
      </w:r>
      <w:r w:rsidR="006D56E6" w:rsidRPr="00644FC9">
        <w:rPr>
          <w:rFonts w:ascii="Times New Roman" w:hAnsi="Times New Roman" w:cs="Times New Roman"/>
          <w:bCs/>
          <w:color w:val="000000" w:themeColor="text1"/>
          <w:szCs w:val="24"/>
        </w:rPr>
        <w:t>subsequent abnormal return due to market mispricing</w:t>
      </w:r>
      <w:r w:rsidR="00C25C86" w:rsidRPr="00644FC9">
        <w:rPr>
          <w:rFonts w:ascii="Times New Roman" w:hAnsi="Times New Roman" w:cs="Times New Roman"/>
          <w:bCs/>
          <w:color w:val="000000" w:themeColor="text1"/>
          <w:szCs w:val="24"/>
        </w:rPr>
        <w:t>.</w:t>
      </w:r>
      <w:r w:rsidR="006D56E6" w:rsidRPr="00644FC9">
        <w:rPr>
          <w:rFonts w:ascii="Times New Roman" w:hAnsi="Times New Roman" w:cs="Times New Roman"/>
          <w:bCs/>
          <w:color w:val="000000" w:themeColor="text1"/>
          <w:szCs w:val="24"/>
        </w:rPr>
        <w:t xml:space="preserve"> </w:t>
      </w:r>
      <w:r w:rsidR="00211B3F" w:rsidRPr="00644FC9">
        <w:rPr>
          <w:rFonts w:ascii="Times New Roman" w:hAnsi="Times New Roman" w:cs="Times New Roman"/>
          <w:bCs/>
          <w:color w:val="000000" w:themeColor="text1"/>
          <w:szCs w:val="24"/>
        </w:rPr>
        <w:t>The p</w:t>
      </w:r>
      <w:r w:rsidR="00D6627F" w:rsidRPr="00644FC9">
        <w:rPr>
          <w:rFonts w:ascii="Times New Roman" w:hAnsi="Times New Roman" w:cs="Times New Roman"/>
          <w:bCs/>
          <w:color w:val="000000" w:themeColor="text1"/>
          <w:szCs w:val="24"/>
        </w:rPr>
        <w:t>revious</w:t>
      </w:r>
      <w:r w:rsidR="006D56E6" w:rsidRPr="00644FC9">
        <w:rPr>
          <w:rFonts w:ascii="Times New Roman" w:hAnsi="Times New Roman" w:cs="Times New Roman"/>
          <w:bCs/>
          <w:color w:val="000000" w:themeColor="text1"/>
          <w:szCs w:val="24"/>
        </w:rPr>
        <w:t xml:space="preserve"> literature proposes </w:t>
      </w:r>
      <w:r w:rsidR="00211B3F" w:rsidRPr="00644FC9">
        <w:rPr>
          <w:rFonts w:ascii="Times New Roman" w:hAnsi="Times New Roman" w:cs="Times New Roman"/>
          <w:bCs/>
          <w:color w:val="000000" w:themeColor="text1"/>
          <w:szCs w:val="24"/>
        </w:rPr>
        <w:t xml:space="preserve">an explanation of </w:t>
      </w:r>
      <w:r w:rsidR="006D56E6" w:rsidRPr="00644FC9">
        <w:rPr>
          <w:rFonts w:ascii="Times New Roman" w:hAnsi="Times New Roman" w:cs="Times New Roman"/>
          <w:bCs/>
          <w:color w:val="000000" w:themeColor="text1"/>
          <w:szCs w:val="24"/>
        </w:rPr>
        <w:t xml:space="preserve">investor fixation </w:t>
      </w:r>
      <w:r w:rsidR="00D6627F" w:rsidRPr="00644FC9">
        <w:rPr>
          <w:rFonts w:ascii="Times New Roman" w:hAnsi="Times New Roman" w:cs="Times New Roman"/>
          <w:bCs/>
          <w:color w:val="000000" w:themeColor="text1"/>
          <w:szCs w:val="24"/>
        </w:rPr>
        <w:t xml:space="preserve">for </w:t>
      </w:r>
      <w:r w:rsidR="00C148B8" w:rsidRPr="00644FC9">
        <w:rPr>
          <w:rFonts w:ascii="Times New Roman" w:hAnsi="Times New Roman" w:cs="Times New Roman"/>
          <w:bCs/>
          <w:color w:val="000000" w:themeColor="text1"/>
          <w:szCs w:val="24"/>
        </w:rPr>
        <w:t xml:space="preserve">the market mispricing of earnings components </w:t>
      </w:r>
      <w:r w:rsidR="00D6627F" w:rsidRPr="00644FC9">
        <w:rPr>
          <w:rFonts w:ascii="Times New Roman" w:hAnsi="Times New Roman" w:cs="Times New Roman"/>
          <w:bCs/>
          <w:color w:val="000000" w:themeColor="text1"/>
          <w:szCs w:val="24"/>
        </w:rPr>
        <w:t xml:space="preserve">(e.g., </w:t>
      </w:r>
      <w:proofErr w:type="spellStart"/>
      <w:r w:rsidR="00D6627F" w:rsidRPr="00644FC9">
        <w:rPr>
          <w:rFonts w:ascii="Times New Roman" w:hAnsi="Times New Roman" w:cs="Times New Roman"/>
          <w:bCs/>
          <w:color w:val="000000" w:themeColor="text1"/>
          <w:szCs w:val="24"/>
        </w:rPr>
        <w:t>Xie</w:t>
      </w:r>
      <w:proofErr w:type="spellEnd"/>
      <w:r w:rsidR="00D6627F" w:rsidRPr="00644FC9">
        <w:rPr>
          <w:rFonts w:ascii="Times New Roman" w:hAnsi="Times New Roman" w:cs="Times New Roman"/>
          <w:bCs/>
          <w:color w:val="000000" w:themeColor="text1"/>
          <w:szCs w:val="24"/>
        </w:rPr>
        <w:t>, 2001;</w:t>
      </w:r>
      <w:r w:rsidR="001A1CD9" w:rsidRPr="00644FC9">
        <w:rPr>
          <w:rFonts w:ascii="Times New Roman" w:hAnsi="Times New Roman" w:cs="Times New Roman" w:hint="eastAsia"/>
          <w:bCs/>
          <w:color w:val="000000" w:themeColor="text1"/>
          <w:szCs w:val="24"/>
        </w:rPr>
        <w:t xml:space="preserve"> </w:t>
      </w:r>
      <w:r w:rsidR="00D6627F" w:rsidRPr="00644FC9">
        <w:rPr>
          <w:rFonts w:ascii="Times New Roman" w:hAnsi="Times New Roman" w:cs="Times New Roman"/>
          <w:bCs/>
          <w:color w:val="000000" w:themeColor="text1"/>
          <w:szCs w:val="24"/>
        </w:rPr>
        <w:t>Harris et al., 2016).</w:t>
      </w:r>
      <w:r w:rsidR="006D56E6" w:rsidRPr="00644FC9">
        <w:rPr>
          <w:rFonts w:ascii="Times New Roman" w:hAnsi="Times New Roman" w:cs="Times New Roman"/>
          <w:bCs/>
          <w:color w:val="000000" w:themeColor="text1"/>
          <w:szCs w:val="24"/>
        </w:rPr>
        <w:t xml:space="preserve"> </w:t>
      </w:r>
      <w:r w:rsidR="00C148B8" w:rsidRPr="00644FC9">
        <w:rPr>
          <w:rFonts w:ascii="Times New Roman" w:hAnsi="Times New Roman" w:cs="Times New Roman"/>
          <w:bCs/>
          <w:color w:val="000000" w:themeColor="text1"/>
          <w:szCs w:val="24"/>
        </w:rPr>
        <w:t>That is,</w:t>
      </w:r>
      <w:r w:rsidR="006D56E6" w:rsidRPr="00644FC9">
        <w:rPr>
          <w:rFonts w:ascii="Times New Roman" w:hAnsi="Times New Roman" w:cs="Times New Roman"/>
          <w:bCs/>
          <w:color w:val="000000" w:themeColor="text1"/>
          <w:szCs w:val="24"/>
        </w:rPr>
        <w:t xml:space="preserve"> </w:t>
      </w:r>
      <w:r w:rsidR="00C148B8" w:rsidRPr="00644FC9">
        <w:rPr>
          <w:rFonts w:ascii="Times New Roman" w:hAnsi="Times New Roman" w:cs="Times New Roman"/>
          <w:bCs/>
          <w:color w:val="000000" w:themeColor="text1"/>
          <w:szCs w:val="24"/>
        </w:rPr>
        <w:t xml:space="preserve">investors fixate on reported earnings and thus fail to incorporate information </w:t>
      </w:r>
      <w:r w:rsidR="00211B3F" w:rsidRPr="00644FC9">
        <w:rPr>
          <w:rFonts w:ascii="Times New Roman" w:hAnsi="Times New Roman" w:cs="Times New Roman"/>
          <w:bCs/>
          <w:color w:val="000000" w:themeColor="text1"/>
          <w:szCs w:val="24"/>
        </w:rPr>
        <w:t xml:space="preserve">from the </w:t>
      </w:r>
      <w:r w:rsidR="00C148B8" w:rsidRPr="00644FC9">
        <w:rPr>
          <w:rFonts w:ascii="Times New Roman" w:hAnsi="Times New Roman" w:cs="Times New Roman"/>
          <w:bCs/>
          <w:color w:val="000000" w:themeColor="text1"/>
          <w:szCs w:val="24"/>
        </w:rPr>
        <w:t xml:space="preserve">components of current earnings. </w:t>
      </w:r>
      <w:r w:rsidR="00E10A53" w:rsidRPr="00644FC9">
        <w:rPr>
          <w:rFonts w:ascii="Times New Roman" w:hAnsi="Times New Roman" w:cs="Times New Roman"/>
          <w:bCs/>
          <w:color w:val="000000" w:themeColor="text1"/>
          <w:szCs w:val="24"/>
        </w:rPr>
        <w:t xml:space="preserve">However, </w:t>
      </w:r>
      <w:r w:rsidR="00211B3F" w:rsidRPr="00644FC9">
        <w:rPr>
          <w:rFonts w:ascii="Times New Roman" w:hAnsi="Times New Roman" w:cs="Times New Roman"/>
          <w:bCs/>
          <w:color w:val="000000" w:themeColor="text1"/>
          <w:szCs w:val="24"/>
        </w:rPr>
        <w:t xml:space="preserve">it is still unclear </w:t>
      </w:r>
      <w:r w:rsidR="003A707F" w:rsidRPr="00644FC9">
        <w:rPr>
          <w:rFonts w:ascii="Times New Roman" w:hAnsi="Times New Roman" w:cs="Times New Roman"/>
          <w:bCs/>
          <w:color w:val="000000" w:themeColor="text1"/>
          <w:szCs w:val="24"/>
        </w:rPr>
        <w:t>whether investor</w:t>
      </w:r>
      <w:r w:rsidR="00323406" w:rsidRPr="00644FC9">
        <w:rPr>
          <w:rFonts w:ascii="Times New Roman" w:hAnsi="Times New Roman" w:cs="Times New Roman"/>
          <w:bCs/>
          <w:color w:val="000000" w:themeColor="text1"/>
          <w:szCs w:val="24"/>
        </w:rPr>
        <w:t xml:space="preserve"> fixation on earnings can fully explain the mispricing anomalies of earnings components (e.g., </w:t>
      </w:r>
      <w:proofErr w:type="spellStart"/>
      <w:r w:rsidR="00323406" w:rsidRPr="00644FC9">
        <w:rPr>
          <w:rFonts w:ascii="Times New Roman" w:hAnsi="Times New Roman" w:cs="Times New Roman"/>
          <w:bCs/>
          <w:color w:val="000000" w:themeColor="text1"/>
          <w:szCs w:val="24"/>
        </w:rPr>
        <w:t>Dechow</w:t>
      </w:r>
      <w:proofErr w:type="spellEnd"/>
      <w:r w:rsidR="00323406" w:rsidRPr="00644FC9">
        <w:rPr>
          <w:rFonts w:ascii="Times New Roman" w:hAnsi="Times New Roman" w:cs="Times New Roman"/>
          <w:bCs/>
          <w:color w:val="000000" w:themeColor="text1"/>
          <w:szCs w:val="24"/>
        </w:rPr>
        <w:t xml:space="preserve"> et al., 2008; 2011).</w:t>
      </w:r>
      <w:r w:rsidR="00323406" w:rsidRPr="00644FC9">
        <w:rPr>
          <w:rFonts w:ascii="Times New Roman" w:hAnsi="Times New Roman" w:cs="Times New Roman"/>
          <w:color w:val="000000" w:themeColor="text1"/>
        </w:rPr>
        <w:t xml:space="preserve"> </w:t>
      </w:r>
      <w:r w:rsidR="00B11E54" w:rsidRPr="00644FC9">
        <w:rPr>
          <w:rFonts w:ascii="Times New Roman" w:hAnsi="Times New Roman" w:cs="Times New Roman"/>
          <w:bCs/>
          <w:color w:val="000000" w:themeColor="text1"/>
          <w:szCs w:val="24"/>
        </w:rPr>
        <w:t xml:space="preserve">This paper </w:t>
      </w:r>
      <w:r w:rsidR="00B11E54" w:rsidRPr="00644FC9">
        <w:rPr>
          <w:rFonts w:ascii="Times New Roman" w:hAnsi="Times New Roman" w:cs="Times New Roman"/>
          <w:bCs/>
          <w:color w:val="000000" w:themeColor="text1"/>
          <w:szCs w:val="24"/>
        </w:rPr>
        <w:lastRenderedPageBreak/>
        <w:t>adds</w:t>
      </w:r>
      <w:r w:rsidR="00323406" w:rsidRPr="00644FC9">
        <w:rPr>
          <w:rFonts w:ascii="Times New Roman" w:hAnsi="Times New Roman" w:cs="Times New Roman"/>
          <w:bCs/>
          <w:color w:val="000000" w:themeColor="text1"/>
          <w:szCs w:val="24"/>
        </w:rPr>
        <w:t xml:space="preserve"> </w:t>
      </w:r>
      <w:r w:rsidR="00211B3F" w:rsidRPr="00644FC9">
        <w:rPr>
          <w:rFonts w:ascii="Times New Roman" w:hAnsi="Times New Roman" w:cs="Times New Roman"/>
          <w:bCs/>
          <w:color w:val="000000" w:themeColor="text1"/>
          <w:szCs w:val="24"/>
        </w:rPr>
        <w:t xml:space="preserve">to the </w:t>
      </w:r>
      <w:r w:rsidR="00323406" w:rsidRPr="00644FC9">
        <w:rPr>
          <w:rFonts w:ascii="Times New Roman" w:hAnsi="Times New Roman" w:cs="Times New Roman"/>
          <w:bCs/>
          <w:color w:val="000000" w:themeColor="text1"/>
          <w:szCs w:val="24"/>
        </w:rPr>
        <w:t>literature</w:t>
      </w:r>
      <w:r w:rsidR="00B11E54" w:rsidRPr="00644FC9">
        <w:rPr>
          <w:rFonts w:ascii="Times New Roman" w:hAnsi="Times New Roman" w:cs="Times New Roman"/>
          <w:bCs/>
          <w:color w:val="000000" w:themeColor="text1"/>
          <w:szCs w:val="24"/>
        </w:rPr>
        <w:t xml:space="preserve"> by examin</w:t>
      </w:r>
      <w:r w:rsidR="00211B3F" w:rsidRPr="00644FC9">
        <w:rPr>
          <w:rFonts w:ascii="Times New Roman" w:hAnsi="Times New Roman" w:cs="Times New Roman"/>
          <w:bCs/>
          <w:color w:val="000000" w:themeColor="text1"/>
          <w:szCs w:val="24"/>
        </w:rPr>
        <w:t>ing</w:t>
      </w:r>
      <w:r w:rsidR="00B11E54" w:rsidRPr="00644FC9">
        <w:rPr>
          <w:rFonts w:ascii="Times New Roman" w:hAnsi="Times New Roman" w:cs="Times New Roman"/>
          <w:bCs/>
          <w:color w:val="000000" w:themeColor="text1"/>
          <w:szCs w:val="24"/>
        </w:rPr>
        <w:t xml:space="preserve"> </w:t>
      </w:r>
      <w:r w:rsidR="00323406" w:rsidRPr="00644FC9">
        <w:rPr>
          <w:rFonts w:ascii="Times New Roman" w:hAnsi="Times New Roman" w:cs="Times New Roman"/>
          <w:bCs/>
          <w:color w:val="000000" w:themeColor="text1"/>
          <w:szCs w:val="24"/>
        </w:rPr>
        <w:t xml:space="preserve">the </w:t>
      </w:r>
      <w:r w:rsidR="00B11E54" w:rsidRPr="00644FC9">
        <w:rPr>
          <w:rFonts w:ascii="Times New Roman" w:hAnsi="Times New Roman" w:cs="Times New Roman"/>
          <w:bCs/>
          <w:color w:val="000000" w:themeColor="text1"/>
          <w:szCs w:val="24"/>
        </w:rPr>
        <w:t>contribution</w:t>
      </w:r>
      <w:r w:rsidR="00323406" w:rsidRPr="00644FC9">
        <w:rPr>
          <w:rFonts w:ascii="Times New Roman" w:hAnsi="Times New Roman" w:cs="Times New Roman"/>
          <w:bCs/>
          <w:color w:val="000000" w:themeColor="text1"/>
          <w:szCs w:val="24"/>
        </w:rPr>
        <w:t xml:space="preserve"> of </w:t>
      </w:r>
      <w:r w:rsidR="00B11E54" w:rsidRPr="00644FC9">
        <w:rPr>
          <w:rFonts w:ascii="Times New Roman" w:hAnsi="Times New Roman" w:cs="Times New Roman"/>
          <w:bCs/>
          <w:color w:val="000000" w:themeColor="text1"/>
          <w:szCs w:val="24"/>
        </w:rPr>
        <w:t>operating and</w:t>
      </w:r>
      <w:r w:rsidR="00313173" w:rsidRPr="00644FC9">
        <w:rPr>
          <w:rFonts w:ascii="Times New Roman" w:hAnsi="Times New Roman" w:cs="Times New Roman"/>
          <w:bCs/>
          <w:color w:val="000000" w:themeColor="text1"/>
          <w:szCs w:val="24"/>
        </w:rPr>
        <w:t xml:space="preserve"> non-operating </w:t>
      </w:r>
      <w:r w:rsidR="00B11E54" w:rsidRPr="00644FC9">
        <w:rPr>
          <w:rFonts w:ascii="Times New Roman" w:hAnsi="Times New Roman" w:cs="Times New Roman"/>
          <w:bCs/>
          <w:color w:val="000000" w:themeColor="text1"/>
          <w:szCs w:val="24"/>
        </w:rPr>
        <w:t>income surprises</w:t>
      </w:r>
      <w:r w:rsidR="00323406" w:rsidRPr="00644FC9">
        <w:rPr>
          <w:rFonts w:ascii="Times New Roman" w:hAnsi="Times New Roman" w:cs="Times New Roman"/>
          <w:bCs/>
          <w:color w:val="000000" w:themeColor="text1"/>
          <w:szCs w:val="24"/>
        </w:rPr>
        <w:t xml:space="preserve"> on the mispricing of earnings</w:t>
      </w:r>
      <w:r w:rsidR="00B11E54" w:rsidRPr="00644FC9">
        <w:rPr>
          <w:rFonts w:ascii="Times New Roman" w:hAnsi="Times New Roman" w:cs="Times New Roman"/>
          <w:color w:val="000000" w:themeColor="text1"/>
        </w:rPr>
        <w:t xml:space="preserve"> </w:t>
      </w:r>
      <w:r w:rsidR="00B11E54" w:rsidRPr="00644FC9">
        <w:rPr>
          <w:rFonts w:ascii="Times New Roman" w:hAnsi="Times New Roman" w:cs="Times New Roman"/>
          <w:bCs/>
          <w:color w:val="000000" w:themeColor="text1"/>
          <w:szCs w:val="24"/>
        </w:rPr>
        <w:t>surprises</w:t>
      </w:r>
      <w:r w:rsidR="00323406" w:rsidRPr="00644FC9">
        <w:rPr>
          <w:rFonts w:ascii="Times New Roman" w:hAnsi="Times New Roman" w:cs="Times New Roman"/>
          <w:bCs/>
          <w:color w:val="000000" w:themeColor="text1"/>
          <w:szCs w:val="24"/>
        </w:rPr>
        <w:t>.</w:t>
      </w:r>
    </w:p>
    <w:p w14:paraId="70AE0C55" w14:textId="77777777" w:rsidR="00B11E54" w:rsidRPr="00644FC9" w:rsidRDefault="00B11E54" w:rsidP="00C148B8">
      <w:pPr>
        <w:spacing w:line="480" w:lineRule="auto"/>
        <w:ind w:firstLineChars="200" w:firstLine="480"/>
        <w:jc w:val="both"/>
        <w:rPr>
          <w:rFonts w:ascii="Times New Roman" w:hAnsi="Times New Roman" w:cs="Times New Roman"/>
          <w:bCs/>
          <w:color w:val="000000" w:themeColor="text1"/>
          <w:szCs w:val="24"/>
        </w:rPr>
      </w:pPr>
    </w:p>
    <w:p w14:paraId="601C07C5" w14:textId="3651C2C3" w:rsidR="00DD6256" w:rsidRPr="00F267BD" w:rsidRDefault="00DD6256" w:rsidP="00DD6256">
      <w:pPr>
        <w:spacing w:line="480" w:lineRule="auto"/>
        <w:jc w:val="both"/>
        <w:rPr>
          <w:rFonts w:ascii="Times New Roman" w:hAnsi="Times New Roman" w:cs="Times New Roman"/>
          <w:b/>
          <w:bCs/>
          <w:color w:val="000000" w:themeColor="text1"/>
          <w:szCs w:val="24"/>
        </w:rPr>
      </w:pPr>
      <w:r w:rsidRPr="00F267BD">
        <w:rPr>
          <w:rFonts w:ascii="Times New Roman" w:hAnsi="Times New Roman" w:cs="Times New Roman"/>
          <w:b/>
          <w:bCs/>
          <w:color w:val="000000" w:themeColor="text1"/>
          <w:szCs w:val="24"/>
        </w:rPr>
        <w:t>3 Sample selection and methodology</w:t>
      </w:r>
    </w:p>
    <w:p w14:paraId="2E630A2D" w14:textId="04713A57" w:rsidR="000E5543" w:rsidRPr="00F267BD" w:rsidRDefault="000E5543" w:rsidP="00DD6256">
      <w:pPr>
        <w:spacing w:line="480" w:lineRule="auto"/>
        <w:jc w:val="both"/>
        <w:rPr>
          <w:rFonts w:ascii="Times New Roman" w:hAnsi="Times New Roman" w:cs="Times New Roman"/>
          <w:b/>
          <w:bCs/>
          <w:color w:val="000000" w:themeColor="text1"/>
          <w:szCs w:val="24"/>
        </w:rPr>
      </w:pPr>
      <w:r w:rsidRPr="00F267BD">
        <w:rPr>
          <w:rFonts w:ascii="Times New Roman" w:hAnsi="Times New Roman" w:cs="Times New Roman"/>
          <w:b/>
          <w:bCs/>
          <w:color w:val="000000" w:themeColor="text1"/>
          <w:szCs w:val="24"/>
        </w:rPr>
        <w:t>3.1 Sample selection</w:t>
      </w:r>
    </w:p>
    <w:p w14:paraId="288A329F" w14:textId="3D9A81CA" w:rsidR="000D2868" w:rsidRPr="00644FC9" w:rsidRDefault="000D2868" w:rsidP="000E5543">
      <w:pPr>
        <w:spacing w:line="480" w:lineRule="auto"/>
        <w:ind w:firstLineChars="200" w:firstLine="480"/>
        <w:jc w:val="both"/>
        <w:rPr>
          <w:rFonts w:ascii="Times New Roman" w:hAnsi="Times New Roman" w:cs="Times New Roman"/>
          <w:bCs/>
          <w:color w:val="000000" w:themeColor="text1"/>
          <w:szCs w:val="24"/>
        </w:rPr>
      </w:pPr>
      <w:r w:rsidRPr="00644FC9">
        <w:rPr>
          <w:rFonts w:ascii="Times New Roman" w:hAnsi="Times New Roman" w:cs="Times New Roman"/>
          <w:bCs/>
          <w:color w:val="000000" w:themeColor="text1"/>
          <w:szCs w:val="24"/>
        </w:rPr>
        <w:t xml:space="preserve">I </w:t>
      </w:r>
      <w:r w:rsidR="00E24C53" w:rsidRPr="00644FC9">
        <w:rPr>
          <w:rFonts w:ascii="Times New Roman" w:hAnsi="Times New Roman" w:cs="Times New Roman"/>
          <w:bCs/>
          <w:color w:val="000000" w:themeColor="text1"/>
          <w:szCs w:val="24"/>
        </w:rPr>
        <w:t>retrieve</w:t>
      </w:r>
      <w:r w:rsidR="00FC52FD" w:rsidRPr="00644FC9">
        <w:rPr>
          <w:rFonts w:ascii="Times New Roman" w:hAnsi="Times New Roman" w:cs="Times New Roman"/>
          <w:bCs/>
          <w:color w:val="000000" w:themeColor="text1"/>
          <w:szCs w:val="24"/>
        </w:rPr>
        <w:t>d</w:t>
      </w:r>
      <w:r w:rsidR="00E24C53" w:rsidRPr="00644FC9">
        <w:rPr>
          <w:rFonts w:ascii="Times New Roman" w:hAnsi="Times New Roman" w:cs="Times New Roman"/>
          <w:bCs/>
          <w:color w:val="000000" w:themeColor="text1"/>
          <w:szCs w:val="24"/>
        </w:rPr>
        <w:t xml:space="preserve"> my sample data from </w:t>
      </w:r>
      <w:r w:rsidR="00FC52FD" w:rsidRPr="00644FC9">
        <w:rPr>
          <w:rFonts w:ascii="Times New Roman" w:hAnsi="Times New Roman" w:cs="Times New Roman"/>
          <w:bCs/>
          <w:color w:val="000000" w:themeColor="text1"/>
          <w:szCs w:val="24"/>
        </w:rPr>
        <w:t xml:space="preserve">the </w:t>
      </w:r>
      <w:r w:rsidR="00E24C53" w:rsidRPr="004A5DD0">
        <w:rPr>
          <w:rFonts w:ascii="Times New Roman" w:hAnsi="Times New Roman" w:cs="Times New Roman"/>
          <w:bCs/>
          <w:i/>
          <w:color w:val="000000" w:themeColor="text1"/>
          <w:szCs w:val="24"/>
        </w:rPr>
        <w:t>Taiwan Economic Journal</w:t>
      </w:r>
      <w:r w:rsidR="00E24C53" w:rsidRPr="00644FC9">
        <w:rPr>
          <w:rFonts w:ascii="Times New Roman" w:hAnsi="Times New Roman" w:cs="Times New Roman"/>
          <w:bCs/>
          <w:color w:val="000000" w:themeColor="text1"/>
          <w:szCs w:val="24"/>
        </w:rPr>
        <w:t xml:space="preserve"> (TEJ)</w:t>
      </w:r>
      <w:r w:rsidR="00E24C53" w:rsidRPr="00644FC9">
        <w:rPr>
          <w:rFonts w:ascii="Times New Roman" w:hAnsi="Times New Roman" w:cs="Times New Roman" w:hint="eastAsia"/>
          <w:bCs/>
          <w:color w:val="000000" w:themeColor="text1"/>
          <w:szCs w:val="24"/>
        </w:rPr>
        <w:t xml:space="preserve"> and </w:t>
      </w:r>
      <w:r w:rsidRPr="00644FC9">
        <w:rPr>
          <w:rFonts w:ascii="Times New Roman" w:hAnsi="Times New Roman" w:cs="Times New Roman"/>
          <w:bCs/>
          <w:color w:val="000000" w:themeColor="text1"/>
          <w:szCs w:val="24"/>
        </w:rPr>
        <w:t>include</w:t>
      </w:r>
      <w:r w:rsidR="00FC52FD" w:rsidRPr="00644FC9">
        <w:rPr>
          <w:rFonts w:ascii="Times New Roman" w:hAnsi="Times New Roman" w:cs="Times New Roman"/>
          <w:bCs/>
          <w:color w:val="000000" w:themeColor="text1"/>
          <w:szCs w:val="24"/>
        </w:rPr>
        <w:t>d</w:t>
      </w:r>
      <w:r w:rsidRPr="00644FC9">
        <w:rPr>
          <w:rFonts w:ascii="Times New Roman" w:hAnsi="Times New Roman" w:cs="Times New Roman"/>
          <w:color w:val="000000" w:themeColor="text1"/>
        </w:rPr>
        <w:t xml:space="preserve"> </w:t>
      </w:r>
      <w:r w:rsidR="00E24C53" w:rsidRPr="00644FC9">
        <w:rPr>
          <w:rFonts w:ascii="Times New Roman" w:hAnsi="Times New Roman" w:cs="Times New Roman"/>
          <w:color w:val="000000" w:themeColor="text1"/>
        </w:rPr>
        <w:t xml:space="preserve">all </w:t>
      </w:r>
      <w:r w:rsidR="00FC52FD" w:rsidRPr="00644FC9">
        <w:rPr>
          <w:rFonts w:ascii="Times New Roman" w:hAnsi="Times New Roman" w:cs="Times New Roman"/>
          <w:color w:val="000000" w:themeColor="text1"/>
        </w:rPr>
        <w:t xml:space="preserve">firms </w:t>
      </w:r>
      <w:r w:rsidRPr="00644FC9">
        <w:rPr>
          <w:rFonts w:ascii="Times New Roman" w:hAnsi="Times New Roman" w:cs="Times New Roman"/>
          <w:bCs/>
          <w:color w:val="000000" w:themeColor="text1"/>
          <w:szCs w:val="24"/>
        </w:rPr>
        <w:t xml:space="preserve">publicly listed on the Taiwan Stock </w:t>
      </w:r>
      <w:r w:rsidR="00E24C53" w:rsidRPr="00644FC9">
        <w:rPr>
          <w:rFonts w:ascii="Times New Roman" w:hAnsi="Times New Roman" w:cs="Times New Roman"/>
          <w:bCs/>
          <w:color w:val="000000" w:themeColor="text1"/>
          <w:szCs w:val="24"/>
        </w:rPr>
        <w:t>Exchange and Taipei Exchange</w:t>
      </w:r>
      <w:r w:rsidRPr="00644FC9">
        <w:rPr>
          <w:rFonts w:ascii="Times New Roman" w:hAnsi="Times New Roman" w:cs="Times New Roman"/>
          <w:bCs/>
          <w:color w:val="000000" w:themeColor="text1"/>
          <w:szCs w:val="24"/>
        </w:rPr>
        <w:t xml:space="preserve">. My sample spans </w:t>
      </w:r>
      <w:r w:rsidR="00FC52FD" w:rsidRPr="00644FC9">
        <w:rPr>
          <w:rFonts w:ascii="Times New Roman" w:hAnsi="Times New Roman" w:cs="Times New Roman"/>
          <w:bCs/>
          <w:color w:val="000000" w:themeColor="text1"/>
          <w:szCs w:val="24"/>
        </w:rPr>
        <w:t xml:space="preserve">the period </w:t>
      </w:r>
      <w:r w:rsidRPr="00644FC9">
        <w:rPr>
          <w:rFonts w:ascii="Times New Roman" w:hAnsi="Times New Roman" w:cs="Times New Roman"/>
          <w:bCs/>
          <w:color w:val="000000" w:themeColor="text1"/>
          <w:szCs w:val="24"/>
        </w:rPr>
        <w:t>from 2012 to 2016</w:t>
      </w:r>
      <w:r w:rsidR="00FC52FD" w:rsidRPr="00644FC9">
        <w:rPr>
          <w:rFonts w:ascii="Times New Roman" w:hAnsi="Times New Roman" w:cs="Times New Roman"/>
          <w:bCs/>
          <w:color w:val="000000" w:themeColor="text1"/>
          <w:szCs w:val="24"/>
        </w:rPr>
        <w:t>,</w:t>
      </w:r>
      <w:r w:rsidRPr="00644FC9">
        <w:rPr>
          <w:rFonts w:ascii="Times New Roman" w:hAnsi="Times New Roman" w:cs="Times New Roman"/>
          <w:bCs/>
          <w:color w:val="000000" w:themeColor="text1"/>
          <w:szCs w:val="24"/>
        </w:rPr>
        <w:t xml:space="preserve"> since annual financial reports </w:t>
      </w:r>
      <w:r w:rsidR="00FC52FD" w:rsidRPr="00644FC9">
        <w:rPr>
          <w:rFonts w:ascii="Times New Roman" w:hAnsi="Times New Roman" w:cs="Times New Roman"/>
          <w:bCs/>
          <w:color w:val="000000" w:themeColor="text1"/>
          <w:szCs w:val="24"/>
        </w:rPr>
        <w:t xml:space="preserve">must </w:t>
      </w:r>
      <w:r w:rsidRPr="00644FC9">
        <w:rPr>
          <w:rFonts w:ascii="Times New Roman" w:hAnsi="Times New Roman" w:cs="Times New Roman"/>
          <w:bCs/>
          <w:color w:val="000000" w:themeColor="text1"/>
          <w:szCs w:val="24"/>
        </w:rPr>
        <w:t xml:space="preserve">be published after the end of each fiscal </w:t>
      </w:r>
      <w:r w:rsidR="003F7E1E" w:rsidRPr="00644FC9">
        <w:rPr>
          <w:rFonts w:ascii="Times New Roman" w:hAnsi="Times New Roman" w:cs="Times New Roman"/>
          <w:bCs/>
          <w:color w:val="000000" w:themeColor="text1"/>
          <w:szCs w:val="24"/>
        </w:rPr>
        <w:t>year and</w:t>
      </w:r>
      <w:r w:rsidR="00FC52FD" w:rsidRPr="00644FC9">
        <w:rPr>
          <w:rFonts w:ascii="Times New Roman" w:hAnsi="Times New Roman" w:cs="Times New Roman"/>
          <w:bCs/>
          <w:color w:val="000000" w:themeColor="text1"/>
          <w:szCs w:val="24"/>
        </w:rPr>
        <w:t xml:space="preserve"> includes the </w:t>
      </w:r>
      <w:r w:rsidRPr="00644FC9">
        <w:rPr>
          <w:rFonts w:ascii="Times New Roman" w:hAnsi="Times New Roman" w:cs="Times New Roman"/>
          <w:bCs/>
          <w:color w:val="000000" w:themeColor="text1"/>
          <w:szCs w:val="24"/>
        </w:rPr>
        <w:t xml:space="preserve">four months before 2012 and </w:t>
      </w:r>
      <w:r w:rsidR="00FC52FD" w:rsidRPr="00644FC9">
        <w:rPr>
          <w:rFonts w:ascii="Times New Roman" w:hAnsi="Times New Roman" w:cs="Times New Roman"/>
          <w:bCs/>
          <w:color w:val="000000" w:themeColor="text1"/>
          <w:szCs w:val="24"/>
        </w:rPr>
        <w:t xml:space="preserve">the </w:t>
      </w:r>
      <w:r w:rsidRPr="00644FC9">
        <w:rPr>
          <w:rFonts w:ascii="Times New Roman" w:hAnsi="Times New Roman" w:cs="Times New Roman"/>
          <w:bCs/>
          <w:color w:val="000000" w:themeColor="text1"/>
          <w:szCs w:val="24"/>
        </w:rPr>
        <w:t xml:space="preserve">three months </w:t>
      </w:r>
      <w:r w:rsidR="00FC52FD" w:rsidRPr="00644FC9">
        <w:rPr>
          <w:rFonts w:ascii="Times New Roman" w:hAnsi="Times New Roman" w:cs="Times New Roman"/>
          <w:bCs/>
          <w:color w:val="000000" w:themeColor="text1"/>
          <w:szCs w:val="24"/>
        </w:rPr>
        <w:t xml:space="preserve">after the start of </w:t>
      </w:r>
      <w:r w:rsidRPr="00644FC9">
        <w:rPr>
          <w:rFonts w:ascii="Times New Roman" w:hAnsi="Times New Roman" w:cs="Times New Roman"/>
          <w:bCs/>
          <w:color w:val="000000" w:themeColor="text1"/>
          <w:szCs w:val="24"/>
        </w:rPr>
        <w:t>2012.</w:t>
      </w:r>
    </w:p>
    <w:p w14:paraId="58C4C22C" w14:textId="0EFA077A" w:rsidR="000E5543" w:rsidRPr="00644FC9" w:rsidRDefault="000E5543" w:rsidP="000E5543">
      <w:pPr>
        <w:spacing w:line="480" w:lineRule="auto"/>
        <w:ind w:firstLineChars="200" w:firstLine="480"/>
        <w:jc w:val="both"/>
        <w:rPr>
          <w:rFonts w:ascii="Times New Roman" w:hAnsi="Times New Roman" w:cs="Times New Roman"/>
          <w:bCs/>
          <w:color w:val="000000" w:themeColor="text1"/>
          <w:szCs w:val="24"/>
        </w:rPr>
      </w:pPr>
      <w:r w:rsidRPr="00644FC9">
        <w:rPr>
          <w:rFonts w:ascii="Times New Roman" w:hAnsi="Times New Roman" w:cs="Times New Roman"/>
          <w:bCs/>
          <w:color w:val="000000" w:themeColor="text1"/>
          <w:szCs w:val="24"/>
        </w:rPr>
        <w:t xml:space="preserve">The initial sample consists of all firm-quarters over the sample period. </w:t>
      </w:r>
      <w:r w:rsidR="00C65612" w:rsidRPr="00644FC9">
        <w:rPr>
          <w:rFonts w:ascii="Times New Roman" w:hAnsi="Times New Roman" w:cs="Times New Roman"/>
          <w:bCs/>
          <w:color w:val="000000" w:themeColor="text1"/>
          <w:szCs w:val="24"/>
        </w:rPr>
        <w:t xml:space="preserve">I exclude </w:t>
      </w:r>
      <w:r w:rsidR="009B28B4" w:rsidRPr="00644FC9">
        <w:rPr>
          <w:rFonts w:ascii="Times New Roman" w:hAnsi="Times New Roman" w:cs="Times New Roman"/>
          <w:bCs/>
          <w:color w:val="000000" w:themeColor="text1"/>
          <w:szCs w:val="24"/>
        </w:rPr>
        <w:t>the financial industry and</w:t>
      </w:r>
      <w:r w:rsidRPr="00644FC9">
        <w:rPr>
          <w:rFonts w:ascii="Times New Roman" w:hAnsi="Times New Roman" w:cs="Times New Roman"/>
          <w:bCs/>
          <w:color w:val="000000" w:themeColor="text1"/>
          <w:szCs w:val="24"/>
        </w:rPr>
        <w:t xml:space="preserve"> firm</w:t>
      </w:r>
      <w:r w:rsidR="009B28B4" w:rsidRPr="00644FC9">
        <w:rPr>
          <w:rFonts w:ascii="Times New Roman" w:hAnsi="Times New Roman" w:cs="Times New Roman"/>
          <w:bCs/>
          <w:color w:val="000000" w:themeColor="text1"/>
          <w:szCs w:val="24"/>
        </w:rPr>
        <w:t>s</w:t>
      </w:r>
      <w:r w:rsidRPr="00644FC9">
        <w:rPr>
          <w:rFonts w:ascii="Times New Roman" w:hAnsi="Times New Roman" w:cs="Times New Roman"/>
          <w:bCs/>
          <w:color w:val="000000" w:themeColor="text1"/>
          <w:szCs w:val="24"/>
        </w:rPr>
        <w:t xml:space="preserve"> with insufficient data to compute financial and return variables. </w:t>
      </w:r>
      <w:r w:rsidR="009B28B4" w:rsidRPr="00644FC9">
        <w:rPr>
          <w:rFonts w:ascii="Times New Roman" w:hAnsi="Times New Roman" w:cs="Times New Roman"/>
          <w:bCs/>
          <w:color w:val="000000" w:themeColor="text1"/>
          <w:szCs w:val="24"/>
        </w:rPr>
        <w:t xml:space="preserve">The final sample contains 21,787 firm-quarters </w:t>
      </w:r>
      <w:r w:rsidR="005C193D" w:rsidRPr="00644FC9">
        <w:rPr>
          <w:rFonts w:ascii="Times New Roman" w:hAnsi="Times New Roman" w:cs="Times New Roman"/>
          <w:bCs/>
          <w:color w:val="000000" w:themeColor="text1"/>
          <w:szCs w:val="24"/>
        </w:rPr>
        <w:t>for 1,271 Taiwanese listed firms.</w:t>
      </w:r>
    </w:p>
    <w:p w14:paraId="0F59E59C" w14:textId="77777777" w:rsidR="00B14F1C" w:rsidRPr="00644FC9" w:rsidRDefault="00B14F1C" w:rsidP="009C61B8">
      <w:pPr>
        <w:spacing w:line="480" w:lineRule="auto"/>
        <w:ind w:firstLineChars="200" w:firstLine="480"/>
        <w:jc w:val="both"/>
        <w:rPr>
          <w:rFonts w:ascii="Times New Roman" w:hAnsi="Times New Roman" w:cs="Times New Roman"/>
          <w:bCs/>
          <w:color w:val="000000" w:themeColor="text1"/>
          <w:szCs w:val="24"/>
        </w:rPr>
      </w:pPr>
    </w:p>
    <w:p w14:paraId="06CA3A10" w14:textId="68413FB4" w:rsidR="00B14F1C" w:rsidRPr="00F267BD" w:rsidRDefault="00B14F1C" w:rsidP="00B14F1C">
      <w:pPr>
        <w:spacing w:line="480" w:lineRule="auto"/>
        <w:jc w:val="both"/>
        <w:rPr>
          <w:rFonts w:ascii="Times New Roman" w:hAnsi="Times New Roman" w:cs="Times New Roman"/>
          <w:b/>
          <w:bCs/>
          <w:color w:val="000000" w:themeColor="text1"/>
          <w:szCs w:val="24"/>
        </w:rPr>
      </w:pPr>
      <w:r w:rsidRPr="00F267BD">
        <w:rPr>
          <w:rFonts w:ascii="Times New Roman" w:hAnsi="Times New Roman" w:cs="Times New Roman"/>
          <w:b/>
          <w:bCs/>
          <w:color w:val="000000" w:themeColor="text1"/>
          <w:szCs w:val="24"/>
        </w:rPr>
        <w:t xml:space="preserve">3.2 </w:t>
      </w:r>
      <w:r w:rsidR="00A016F6" w:rsidRPr="00F267BD">
        <w:rPr>
          <w:rFonts w:ascii="Times New Roman" w:hAnsi="Times New Roman" w:cs="Times New Roman"/>
          <w:b/>
          <w:bCs/>
          <w:color w:val="000000" w:themeColor="text1"/>
          <w:szCs w:val="24"/>
        </w:rPr>
        <w:t>H</w:t>
      </w:r>
      <w:r w:rsidRPr="00F267BD">
        <w:rPr>
          <w:rFonts w:ascii="Times New Roman" w:hAnsi="Times New Roman" w:cs="Times New Roman"/>
          <w:b/>
          <w:bCs/>
          <w:color w:val="000000" w:themeColor="text1"/>
          <w:szCs w:val="24"/>
        </w:rPr>
        <w:t xml:space="preserve">edge portfolio approach </w:t>
      </w:r>
    </w:p>
    <w:p w14:paraId="1722279F" w14:textId="69FD64E1" w:rsidR="00B14F1C" w:rsidRPr="00644FC9" w:rsidRDefault="0069489D" w:rsidP="00B14F1C">
      <w:pPr>
        <w:spacing w:line="480" w:lineRule="auto"/>
        <w:ind w:firstLineChars="200" w:firstLine="480"/>
        <w:jc w:val="both"/>
        <w:rPr>
          <w:rFonts w:ascii="Times New Roman" w:hAnsi="Times New Roman" w:cs="Times New Roman"/>
          <w:bCs/>
          <w:color w:val="000000" w:themeColor="text1"/>
          <w:szCs w:val="24"/>
        </w:rPr>
      </w:pPr>
      <w:r w:rsidRPr="00644FC9">
        <w:rPr>
          <w:rFonts w:ascii="Times New Roman" w:eastAsia="標楷體" w:hAnsi="Times New Roman" w:cs="Times New Roman"/>
          <w:color w:val="000000" w:themeColor="text1"/>
          <w:szCs w:val="24"/>
        </w:rPr>
        <w:t>I first use</w:t>
      </w:r>
      <w:r w:rsidR="008410A1" w:rsidRPr="00644FC9">
        <w:rPr>
          <w:rFonts w:ascii="Times New Roman" w:eastAsia="標楷體" w:hAnsi="Times New Roman" w:cs="Times New Roman"/>
          <w:color w:val="000000" w:themeColor="text1"/>
          <w:szCs w:val="24"/>
        </w:rPr>
        <w:t>d</w:t>
      </w:r>
      <w:r w:rsidRPr="00644FC9">
        <w:rPr>
          <w:rFonts w:ascii="Times New Roman" w:hAnsi="Times New Roman" w:cs="Times New Roman"/>
          <w:color w:val="000000" w:themeColor="text1"/>
          <w:szCs w:val="24"/>
        </w:rPr>
        <w:t xml:space="preserve"> a hedge</w:t>
      </w:r>
      <w:r w:rsidR="008410A1" w:rsidRPr="00644FC9">
        <w:rPr>
          <w:rFonts w:ascii="Times New Roman" w:hAnsi="Times New Roman" w:cs="Times New Roman"/>
          <w:color w:val="000000" w:themeColor="text1"/>
          <w:szCs w:val="24"/>
        </w:rPr>
        <w:t>d</w:t>
      </w:r>
      <w:r w:rsidRPr="00644FC9">
        <w:rPr>
          <w:rFonts w:ascii="Times New Roman" w:hAnsi="Times New Roman" w:cs="Times New Roman"/>
          <w:color w:val="000000" w:themeColor="text1"/>
          <w:szCs w:val="24"/>
        </w:rPr>
        <w:t xml:space="preserve"> portfolio approach</w:t>
      </w:r>
      <w:r w:rsidR="00B14F1C" w:rsidRPr="00644FC9">
        <w:rPr>
          <w:rFonts w:ascii="Times New Roman" w:eastAsia="標楷體" w:hAnsi="Times New Roman" w:cs="Times New Roman"/>
          <w:color w:val="000000" w:themeColor="text1"/>
          <w:szCs w:val="24"/>
        </w:rPr>
        <w:t xml:space="preserve"> to </w:t>
      </w:r>
      <w:r w:rsidR="00B14F1C" w:rsidRPr="00644FC9">
        <w:rPr>
          <w:rFonts w:ascii="Times New Roman" w:hAnsi="Times New Roman" w:cs="Times New Roman"/>
          <w:color w:val="000000" w:themeColor="text1"/>
          <w:szCs w:val="24"/>
        </w:rPr>
        <w:t xml:space="preserve">document that there is market mispricing on </w:t>
      </w:r>
      <w:r w:rsidR="003513E5" w:rsidRPr="00644FC9">
        <w:rPr>
          <w:rFonts w:ascii="Times New Roman" w:hAnsi="Times New Roman" w:cs="Times New Roman"/>
          <w:color w:val="000000" w:themeColor="text1"/>
          <w:szCs w:val="24"/>
        </w:rPr>
        <w:t>unexpected earnings and its components</w:t>
      </w:r>
      <w:r w:rsidR="008410A1" w:rsidRPr="00644FC9">
        <w:rPr>
          <w:rFonts w:ascii="Times New Roman" w:hAnsi="Times New Roman" w:cs="Times New Roman"/>
          <w:color w:val="000000" w:themeColor="text1"/>
          <w:szCs w:val="24"/>
        </w:rPr>
        <w:t xml:space="preserve"> (</w:t>
      </w:r>
      <w:r w:rsidR="00644FC9">
        <w:rPr>
          <w:rFonts w:ascii="Times New Roman" w:hAnsi="Times New Roman" w:cs="Times New Roman"/>
          <w:color w:val="000000" w:themeColor="text1"/>
          <w:szCs w:val="24"/>
        </w:rPr>
        <w:t xml:space="preserve">i.e., </w:t>
      </w:r>
      <w:r w:rsidRPr="00644FC9">
        <w:rPr>
          <w:rFonts w:ascii="Times New Roman" w:hAnsi="Times New Roman" w:cs="Times New Roman"/>
          <w:color w:val="000000" w:themeColor="text1"/>
          <w:szCs w:val="24"/>
        </w:rPr>
        <w:t xml:space="preserve">unexpected </w:t>
      </w:r>
      <w:r w:rsidR="00B14F1C" w:rsidRPr="00644FC9">
        <w:rPr>
          <w:rFonts w:ascii="Times New Roman" w:eastAsia="標楷體" w:hAnsi="Times New Roman" w:cs="Times New Roman"/>
          <w:color w:val="000000" w:themeColor="text1"/>
          <w:szCs w:val="24"/>
        </w:rPr>
        <w:t xml:space="preserve">operating </w:t>
      </w:r>
      <w:r w:rsidRPr="00644FC9">
        <w:rPr>
          <w:rFonts w:ascii="Times New Roman" w:eastAsia="標楷體" w:hAnsi="Times New Roman" w:cs="Times New Roman"/>
          <w:color w:val="000000" w:themeColor="text1"/>
          <w:szCs w:val="24"/>
        </w:rPr>
        <w:t>and</w:t>
      </w:r>
      <w:r w:rsidR="00313173" w:rsidRPr="00644FC9">
        <w:rPr>
          <w:rFonts w:ascii="Times New Roman" w:eastAsia="標楷體" w:hAnsi="Times New Roman" w:cs="Times New Roman"/>
          <w:color w:val="000000" w:themeColor="text1"/>
          <w:szCs w:val="24"/>
        </w:rPr>
        <w:t xml:space="preserve"> non-operating </w:t>
      </w:r>
      <w:r w:rsidR="00CA2D16" w:rsidRPr="00644FC9">
        <w:rPr>
          <w:rFonts w:ascii="Times New Roman" w:eastAsia="標楷體" w:hAnsi="Times New Roman" w:cs="Times New Roman"/>
          <w:color w:val="000000" w:themeColor="text1"/>
          <w:szCs w:val="24"/>
        </w:rPr>
        <w:t>income</w:t>
      </w:r>
      <w:r w:rsidR="003513E5" w:rsidRPr="00644FC9">
        <w:rPr>
          <w:rFonts w:ascii="Times New Roman" w:eastAsia="標楷體" w:hAnsi="Times New Roman" w:cs="Times New Roman"/>
          <w:color w:val="000000" w:themeColor="text1"/>
          <w:szCs w:val="24"/>
        </w:rPr>
        <w:t>,</w:t>
      </w:r>
      <w:r w:rsidR="00B14F1C" w:rsidRPr="00644FC9">
        <w:rPr>
          <w:rFonts w:ascii="Times New Roman" w:hAnsi="Times New Roman" w:cs="Times New Roman"/>
          <w:color w:val="000000" w:themeColor="text1"/>
          <w:szCs w:val="24"/>
        </w:rPr>
        <w:t xml:space="preserve"> in the corresponding period </w:t>
      </w:r>
      <w:r w:rsidR="008410A1" w:rsidRPr="00644FC9">
        <w:rPr>
          <w:rFonts w:ascii="Times New Roman" w:hAnsi="Times New Roman" w:cs="Times New Roman"/>
          <w:color w:val="000000" w:themeColor="text1"/>
          <w:szCs w:val="24"/>
        </w:rPr>
        <w:t xml:space="preserve">of </w:t>
      </w:r>
      <w:r w:rsidR="00B14F1C" w:rsidRPr="00644FC9">
        <w:rPr>
          <w:rFonts w:ascii="Times New Roman" w:hAnsi="Times New Roman" w:cs="Times New Roman"/>
          <w:color w:val="000000" w:themeColor="text1"/>
          <w:szCs w:val="24"/>
        </w:rPr>
        <w:t xml:space="preserve">the following </w:t>
      </w:r>
      <w:r w:rsidR="00B74499" w:rsidRPr="00644FC9">
        <w:rPr>
          <w:rFonts w:ascii="Times New Roman" w:hAnsi="Times New Roman" w:cs="Times New Roman" w:hint="eastAsia"/>
          <w:color w:val="000000" w:themeColor="text1"/>
          <w:szCs w:val="24"/>
        </w:rPr>
        <w:t>q</w:t>
      </w:r>
      <w:r w:rsidR="00B74499" w:rsidRPr="00644FC9">
        <w:rPr>
          <w:rFonts w:ascii="Times New Roman" w:hAnsi="Times New Roman" w:cs="Times New Roman"/>
          <w:color w:val="000000" w:themeColor="text1"/>
          <w:szCs w:val="24"/>
        </w:rPr>
        <w:t>uarter</w:t>
      </w:r>
      <w:r w:rsidR="008410A1" w:rsidRPr="00644FC9">
        <w:rPr>
          <w:rFonts w:ascii="Times New Roman" w:hAnsi="Times New Roman" w:cs="Times New Roman"/>
          <w:color w:val="000000" w:themeColor="text1"/>
          <w:szCs w:val="24"/>
        </w:rPr>
        <w:t>)</w:t>
      </w:r>
      <w:r w:rsidR="00B14F1C" w:rsidRPr="00644FC9">
        <w:rPr>
          <w:rFonts w:ascii="Times New Roman" w:eastAsia="標楷體" w:hAnsi="Times New Roman" w:cs="Times New Roman"/>
          <w:color w:val="000000" w:themeColor="text1"/>
          <w:szCs w:val="24"/>
        </w:rPr>
        <w:t>. The portfolio approach has the advantage that it addresses a potential</w:t>
      </w:r>
      <w:r w:rsidR="008410A1" w:rsidRPr="00644FC9">
        <w:rPr>
          <w:rFonts w:ascii="Times New Roman" w:eastAsia="標楷體" w:hAnsi="Times New Roman" w:cs="Times New Roman"/>
          <w:color w:val="000000" w:themeColor="text1"/>
          <w:szCs w:val="24"/>
        </w:rPr>
        <w:t>,</w:t>
      </w:r>
      <w:r w:rsidR="00B14F1C" w:rsidRPr="00644FC9">
        <w:rPr>
          <w:rFonts w:ascii="Times New Roman" w:eastAsia="標楷體" w:hAnsi="Times New Roman" w:cs="Times New Roman"/>
          <w:color w:val="000000" w:themeColor="text1"/>
          <w:szCs w:val="24"/>
        </w:rPr>
        <w:t xml:space="preserve"> </w:t>
      </w:r>
      <w:r w:rsidR="00644FC9">
        <w:rPr>
          <w:rFonts w:ascii="Times New Roman" w:eastAsia="標楷體" w:hAnsi="Times New Roman" w:cs="Times New Roman"/>
          <w:color w:val="000000" w:themeColor="text1"/>
          <w:szCs w:val="24"/>
        </w:rPr>
        <w:t>nonl</w:t>
      </w:r>
      <w:r w:rsidR="00B14F1C" w:rsidRPr="00644FC9">
        <w:rPr>
          <w:rFonts w:ascii="Times New Roman" w:eastAsia="標楷體" w:hAnsi="Times New Roman" w:cs="Times New Roman"/>
          <w:color w:val="000000" w:themeColor="text1"/>
          <w:szCs w:val="24"/>
        </w:rPr>
        <w:t xml:space="preserve">inear relationship between </w:t>
      </w:r>
      <w:r w:rsidR="00173F56" w:rsidRPr="00644FC9">
        <w:rPr>
          <w:rFonts w:ascii="Times New Roman" w:eastAsia="標楷體" w:hAnsi="Times New Roman" w:cs="Times New Roman"/>
          <w:color w:val="000000" w:themeColor="text1"/>
          <w:szCs w:val="24"/>
        </w:rPr>
        <w:t>financial performance</w:t>
      </w:r>
      <w:r w:rsidR="00B14F1C" w:rsidRPr="00644FC9">
        <w:rPr>
          <w:rFonts w:ascii="Times New Roman" w:eastAsia="標楷體" w:hAnsi="Times New Roman" w:cs="Times New Roman"/>
          <w:color w:val="000000" w:themeColor="text1"/>
          <w:szCs w:val="24"/>
        </w:rPr>
        <w:t xml:space="preserve"> and stock </w:t>
      </w:r>
      <w:r w:rsidR="00B14F1C" w:rsidRPr="00644FC9">
        <w:rPr>
          <w:rFonts w:ascii="Times New Roman" w:eastAsia="標楷體" w:hAnsi="Times New Roman" w:cs="Times New Roman"/>
          <w:color w:val="000000" w:themeColor="text1"/>
          <w:szCs w:val="24"/>
        </w:rPr>
        <w:lastRenderedPageBreak/>
        <w:t>returns (</w:t>
      </w:r>
      <w:proofErr w:type="spellStart"/>
      <w:r w:rsidR="00B14F1C" w:rsidRPr="00644FC9">
        <w:rPr>
          <w:rFonts w:ascii="Times New Roman" w:eastAsia="標楷體" w:hAnsi="Times New Roman" w:cs="Times New Roman"/>
          <w:color w:val="000000" w:themeColor="text1"/>
          <w:kern w:val="0"/>
          <w:szCs w:val="24"/>
        </w:rPr>
        <w:t>Fama</w:t>
      </w:r>
      <w:proofErr w:type="spellEnd"/>
      <w:r w:rsidR="00B14F1C" w:rsidRPr="00644FC9">
        <w:rPr>
          <w:rFonts w:ascii="Times New Roman" w:eastAsia="標楷體" w:hAnsi="Times New Roman" w:cs="Times New Roman"/>
          <w:color w:val="000000" w:themeColor="text1"/>
          <w:kern w:val="0"/>
          <w:szCs w:val="24"/>
        </w:rPr>
        <w:t>, 1998; Mitchell and Stafford, 2000</w:t>
      </w:r>
      <w:r w:rsidR="00DF4A3D" w:rsidRPr="00644FC9">
        <w:rPr>
          <w:rFonts w:ascii="Times New Roman" w:eastAsia="標楷體" w:hAnsi="Times New Roman" w:cs="Times New Roman"/>
          <w:color w:val="000000" w:themeColor="text1"/>
          <w:kern w:val="0"/>
          <w:szCs w:val="24"/>
        </w:rPr>
        <w:t>; Levi, 2008</w:t>
      </w:r>
      <w:r w:rsidR="00B14F1C" w:rsidRPr="00644FC9">
        <w:rPr>
          <w:rFonts w:ascii="Times New Roman" w:eastAsia="標楷體" w:hAnsi="Times New Roman" w:cs="Times New Roman"/>
          <w:color w:val="000000" w:themeColor="text1"/>
          <w:szCs w:val="24"/>
        </w:rPr>
        <w:t>).</w:t>
      </w:r>
      <w:r w:rsidR="00B14F1C" w:rsidRPr="00644FC9">
        <w:rPr>
          <w:rFonts w:ascii="Times New Roman" w:eastAsia="標楷體" w:hAnsi="Times New Roman" w:cs="Times New Roman"/>
          <w:b/>
          <w:color w:val="000000" w:themeColor="text1"/>
          <w:szCs w:val="24"/>
        </w:rPr>
        <w:t xml:space="preserve"> </w:t>
      </w:r>
    </w:p>
    <w:p w14:paraId="1456ADE5" w14:textId="2791E62A" w:rsidR="00B14F1C" w:rsidRPr="00644FC9" w:rsidRDefault="00B14F1C" w:rsidP="009C61B8">
      <w:pPr>
        <w:spacing w:line="480" w:lineRule="auto"/>
        <w:ind w:firstLineChars="200" w:firstLine="480"/>
        <w:jc w:val="both"/>
        <w:rPr>
          <w:rFonts w:ascii="Times New Roman" w:hAnsi="Times New Roman" w:cs="Times New Roman"/>
          <w:bCs/>
          <w:color w:val="000000" w:themeColor="text1"/>
          <w:szCs w:val="24"/>
        </w:rPr>
      </w:pPr>
      <w:r w:rsidRPr="00644FC9">
        <w:rPr>
          <w:rFonts w:ascii="Times New Roman" w:hAnsi="Times New Roman" w:cs="Times New Roman"/>
          <w:bCs/>
          <w:color w:val="000000" w:themeColor="text1"/>
          <w:szCs w:val="24"/>
        </w:rPr>
        <w:t>When constructing a portfolio based on the magnitude of</w:t>
      </w:r>
      <w:r w:rsidR="0069489D" w:rsidRPr="00644FC9">
        <w:rPr>
          <w:rFonts w:ascii="Times New Roman" w:hAnsi="Times New Roman" w:cs="Times New Roman"/>
          <w:bCs/>
          <w:color w:val="000000" w:themeColor="text1"/>
          <w:szCs w:val="24"/>
        </w:rPr>
        <w:t xml:space="preserve"> unexpected earnings, operating income</w:t>
      </w:r>
      <w:r w:rsidR="00E0787D" w:rsidRPr="00644FC9">
        <w:rPr>
          <w:rFonts w:ascii="Times New Roman" w:hAnsi="Times New Roman" w:cs="Times New Roman"/>
          <w:bCs/>
          <w:color w:val="000000" w:themeColor="text1"/>
          <w:szCs w:val="24"/>
        </w:rPr>
        <w:t>,</w:t>
      </w:r>
      <w:r w:rsidR="0069489D" w:rsidRPr="00644FC9">
        <w:rPr>
          <w:rFonts w:ascii="Times New Roman" w:hAnsi="Times New Roman" w:cs="Times New Roman"/>
          <w:bCs/>
          <w:color w:val="000000" w:themeColor="text1"/>
          <w:szCs w:val="24"/>
        </w:rPr>
        <w:t xml:space="preserve"> or</w:t>
      </w:r>
      <w:r w:rsidR="00313173" w:rsidRPr="00644FC9">
        <w:rPr>
          <w:rFonts w:ascii="Times New Roman" w:hAnsi="Times New Roman" w:cs="Times New Roman"/>
          <w:bCs/>
          <w:color w:val="000000" w:themeColor="text1"/>
          <w:szCs w:val="24"/>
        </w:rPr>
        <w:t xml:space="preserve"> non-operating </w:t>
      </w:r>
      <w:r w:rsidR="0069489D" w:rsidRPr="00644FC9">
        <w:rPr>
          <w:rFonts w:ascii="Times New Roman" w:hAnsi="Times New Roman" w:cs="Times New Roman"/>
          <w:bCs/>
          <w:color w:val="000000" w:themeColor="text1"/>
          <w:szCs w:val="24"/>
        </w:rPr>
        <w:t>incomes</w:t>
      </w:r>
      <w:r w:rsidRPr="00644FC9">
        <w:rPr>
          <w:rFonts w:ascii="Times New Roman" w:hAnsi="Times New Roman" w:cs="Times New Roman"/>
          <w:bCs/>
          <w:color w:val="000000" w:themeColor="text1"/>
          <w:szCs w:val="24"/>
        </w:rPr>
        <w:t>, the hedge</w:t>
      </w:r>
      <w:r w:rsidR="00E0787D" w:rsidRPr="00644FC9">
        <w:rPr>
          <w:rFonts w:ascii="Times New Roman" w:hAnsi="Times New Roman" w:cs="Times New Roman"/>
          <w:bCs/>
          <w:color w:val="000000" w:themeColor="text1"/>
          <w:szCs w:val="24"/>
        </w:rPr>
        <w:t>d</w:t>
      </w:r>
      <w:r w:rsidRPr="00644FC9">
        <w:rPr>
          <w:rFonts w:ascii="Times New Roman" w:hAnsi="Times New Roman" w:cs="Times New Roman"/>
          <w:bCs/>
          <w:color w:val="000000" w:themeColor="text1"/>
          <w:szCs w:val="24"/>
        </w:rPr>
        <w:t xml:space="preserve"> portfolio tak</w:t>
      </w:r>
      <w:r w:rsidR="00E0787D" w:rsidRPr="00644FC9">
        <w:rPr>
          <w:rFonts w:ascii="Times New Roman" w:hAnsi="Times New Roman" w:cs="Times New Roman"/>
          <w:bCs/>
          <w:color w:val="000000" w:themeColor="text1"/>
          <w:szCs w:val="24"/>
        </w:rPr>
        <w:t>es</w:t>
      </w:r>
      <w:r w:rsidRPr="00644FC9">
        <w:rPr>
          <w:rFonts w:ascii="Times New Roman" w:hAnsi="Times New Roman" w:cs="Times New Roman"/>
          <w:bCs/>
          <w:color w:val="000000" w:themeColor="text1"/>
          <w:szCs w:val="24"/>
        </w:rPr>
        <w:t xml:space="preserve"> a long position in the highest unexpected </w:t>
      </w:r>
      <w:r w:rsidR="005F6A2E" w:rsidRPr="00644FC9">
        <w:rPr>
          <w:rFonts w:ascii="Times New Roman" w:hAnsi="Times New Roman" w:cs="Times New Roman"/>
          <w:bCs/>
          <w:color w:val="000000" w:themeColor="text1"/>
          <w:szCs w:val="24"/>
        </w:rPr>
        <w:t>earnings component decile</w:t>
      </w:r>
      <w:r w:rsidR="00E0787D" w:rsidRPr="00644FC9">
        <w:rPr>
          <w:rFonts w:ascii="Times New Roman" w:hAnsi="Times New Roman" w:cs="Times New Roman"/>
          <w:bCs/>
          <w:color w:val="000000" w:themeColor="text1"/>
          <w:szCs w:val="24"/>
        </w:rPr>
        <w:t>,</w:t>
      </w:r>
      <w:r w:rsidRPr="00644FC9">
        <w:rPr>
          <w:rFonts w:ascii="Times New Roman" w:hAnsi="Times New Roman" w:cs="Times New Roman"/>
          <w:bCs/>
          <w:color w:val="000000" w:themeColor="text1"/>
          <w:szCs w:val="24"/>
        </w:rPr>
        <w:t xml:space="preserve"> and a short position in the lowest unexpected </w:t>
      </w:r>
      <w:r w:rsidR="005F6A2E" w:rsidRPr="00644FC9">
        <w:rPr>
          <w:rFonts w:ascii="Times New Roman" w:hAnsi="Times New Roman" w:cs="Times New Roman"/>
          <w:bCs/>
          <w:color w:val="000000" w:themeColor="text1"/>
          <w:szCs w:val="24"/>
        </w:rPr>
        <w:t>earnings component decile</w:t>
      </w:r>
      <w:r w:rsidR="00E0787D" w:rsidRPr="00644FC9">
        <w:rPr>
          <w:rFonts w:ascii="Times New Roman" w:hAnsi="Times New Roman" w:cs="Times New Roman"/>
          <w:bCs/>
          <w:color w:val="000000" w:themeColor="text1"/>
          <w:szCs w:val="24"/>
        </w:rPr>
        <w:t>;</w:t>
      </w:r>
      <w:r w:rsidRPr="00644FC9">
        <w:rPr>
          <w:rFonts w:ascii="Times New Roman" w:hAnsi="Times New Roman" w:cs="Times New Roman"/>
          <w:bCs/>
          <w:color w:val="000000" w:themeColor="text1"/>
          <w:szCs w:val="24"/>
        </w:rPr>
        <w:t xml:space="preserve"> this generat</w:t>
      </w:r>
      <w:r w:rsidR="005F6A2E" w:rsidRPr="00644FC9">
        <w:rPr>
          <w:rFonts w:ascii="Times New Roman" w:hAnsi="Times New Roman" w:cs="Times New Roman"/>
          <w:bCs/>
          <w:color w:val="000000" w:themeColor="text1"/>
          <w:szCs w:val="24"/>
        </w:rPr>
        <w:t>es positive future returns. These</w:t>
      </w:r>
      <w:r w:rsidRPr="00644FC9">
        <w:rPr>
          <w:rFonts w:ascii="Times New Roman" w:hAnsi="Times New Roman" w:cs="Times New Roman"/>
          <w:bCs/>
          <w:color w:val="000000" w:themeColor="text1"/>
          <w:szCs w:val="24"/>
        </w:rPr>
        <w:t xml:space="preserve"> result</w:t>
      </w:r>
      <w:r w:rsidR="005F6A2E" w:rsidRPr="00644FC9">
        <w:rPr>
          <w:rFonts w:ascii="Times New Roman" w:hAnsi="Times New Roman" w:cs="Times New Roman"/>
          <w:bCs/>
          <w:color w:val="000000" w:themeColor="text1"/>
          <w:szCs w:val="24"/>
        </w:rPr>
        <w:t>s demonstrate</w:t>
      </w:r>
      <w:r w:rsidRPr="00644FC9">
        <w:rPr>
          <w:rFonts w:ascii="Times New Roman" w:hAnsi="Times New Roman" w:cs="Times New Roman"/>
          <w:bCs/>
          <w:color w:val="000000" w:themeColor="text1"/>
          <w:szCs w:val="24"/>
        </w:rPr>
        <w:t xml:space="preserve"> the mispricing of </w:t>
      </w:r>
      <w:r w:rsidR="005F6A2E" w:rsidRPr="00644FC9">
        <w:rPr>
          <w:rFonts w:ascii="Times New Roman" w:hAnsi="Times New Roman" w:cs="Times New Roman"/>
          <w:bCs/>
          <w:color w:val="000000" w:themeColor="text1"/>
          <w:szCs w:val="24"/>
        </w:rPr>
        <w:t>unexpected earnings components</w:t>
      </w:r>
      <w:r w:rsidRPr="00644FC9">
        <w:rPr>
          <w:rFonts w:ascii="Times New Roman" w:hAnsi="Times New Roman" w:cs="Times New Roman"/>
          <w:bCs/>
          <w:color w:val="000000" w:themeColor="text1"/>
          <w:szCs w:val="24"/>
        </w:rPr>
        <w:t>. I accumulate</w:t>
      </w:r>
      <w:r w:rsidR="00E0787D" w:rsidRPr="00644FC9">
        <w:rPr>
          <w:rFonts w:ascii="Times New Roman" w:hAnsi="Times New Roman" w:cs="Times New Roman"/>
          <w:bCs/>
          <w:color w:val="000000" w:themeColor="text1"/>
          <w:szCs w:val="24"/>
        </w:rPr>
        <w:t>d</w:t>
      </w:r>
      <w:r w:rsidRPr="00644FC9">
        <w:rPr>
          <w:rFonts w:ascii="Times New Roman" w:hAnsi="Times New Roman" w:cs="Times New Roman"/>
          <w:bCs/>
          <w:color w:val="000000" w:themeColor="text1"/>
          <w:szCs w:val="24"/>
        </w:rPr>
        <w:t xml:space="preserve"> these returns over thr</w:t>
      </w:r>
      <w:r w:rsidR="005F6A2E" w:rsidRPr="00644FC9">
        <w:rPr>
          <w:rFonts w:ascii="Times New Roman" w:hAnsi="Times New Roman" w:cs="Times New Roman"/>
          <w:bCs/>
          <w:color w:val="000000" w:themeColor="text1"/>
          <w:szCs w:val="24"/>
        </w:rPr>
        <w:t>ee different holding periods: (1, 5), (1, 21</w:t>
      </w:r>
      <w:r w:rsidRPr="00644FC9">
        <w:rPr>
          <w:rFonts w:ascii="Times New Roman" w:hAnsi="Times New Roman" w:cs="Times New Roman"/>
          <w:bCs/>
          <w:color w:val="000000" w:themeColor="text1"/>
          <w:szCs w:val="24"/>
        </w:rPr>
        <w:t>)</w:t>
      </w:r>
      <w:r w:rsidR="00E0787D" w:rsidRPr="00644FC9">
        <w:rPr>
          <w:rFonts w:ascii="Times New Roman" w:hAnsi="Times New Roman" w:cs="Times New Roman"/>
          <w:bCs/>
          <w:color w:val="000000" w:themeColor="text1"/>
          <w:szCs w:val="24"/>
        </w:rPr>
        <w:t>,</w:t>
      </w:r>
      <w:r w:rsidRPr="00644FC9">
        <w:rPr>
          <w:rFonts w:ascii="Times New Roman" w:hAnsi="Times New Roman" w:cs="Times New Roman"/>
          <w:bCs/>
          <w:color w:val="000000" w:themeColor="text1"/>
          <w:szCs w:val="24"/>
        </w:rPr>
        <w:t xml:space="preserve"> and (</w:t>
      </w:r>
      <w:r w:rsidR="005F6A2E" w:rsidRPr="00644FC9">
        <w:rPr>
          <w:rFonts w:ascii="Times New Roman" w:hAnsi="Times New Roman" w:cs="Times New Roman"/>
          <w:bCs/>
          <w:color w:val="000000" w:themeColor="text1"/>
          <w:szCs w:val="24"/>
        </w:rPr>
        <w:t>1</w:t>
      </w:r>
      <w:r w:rsidRPr="00644FC9">
        <w:rPr>
          <w:rFonts w:ascii="Times New Roman" w:hAnsi="Times New Roman" w:cs="Times New Roman"/>
          <w:bCs/>
          <w:color w:val="000000" w:themeColor="text1"/>
          <w:szCs w:val="24"/>
        </w:rPr>
        <w:t xml:space="preserve">, second day before quarter </w:t>
      </w:r>
      <w:r w:rsidRPr="004A5DD0">
        <w:rPr>
          <w:rFonts w:ascii="Times New Roman" w:hAnsi="Times New Roman" w:cs="Times New Roman"/>
          <w:bCs/>
          <w:i/>
          <w:color w:val="000000" w:themeColor="text1"/>
          <w:szCs w:val="24"/>
        </w:rPr>
        <w:t>t</w:t>
      </w:r>
      <w:r w:rsidRPr="00644FC9">
        <w:rPr>
          <w:rFonts w:ascii="Times New Roman" w:hAnsi="Times New Roman" w:cs="Times New Roman"/>
          <w:bCs/>
          <w:color w:val="000000" w:themeColor="text1"/>
          <w:szCs w:val="24"/>
        </w:rPr>
        <w:t xml:space="preserve">+1’s </w:t>
      </w:r>
      <w:r w:rsidR="0065717A">
        <w:rPr>
          <w:rFonts w:ascii="Times New Roman" w:hAnsi="Times New Roman" w:cs="Times New Roman"/>
          <w:bCs/>
          <w:color w:val="000000" w:themeColor="text1"/>
          <w:szCs w:val="24"/>
        </w:rPr>
        <w:t>earnings-announcement</w:t>
      </w:r>
      <w:r w:rsidRPr="00644FC9">
        <w:rPr>
          <w:rFonts w:ascii="Times New Roman" w:hAnsi="Times New Roman" w:cs="Times New Roman"/>
          <w:bCs/>
          <w:color w:val="000000" w:themeColor="text1"/>
          <w:szCs w:val="24"/>
        </w:rPr>
        <w:t>). I compare</w:t>
      </w:r>
      <w:r w:rsidR="00E0787D" w:rsidRPr="00644FC9">
        <w:rPr>
          <w:rFonts w:ascii="Times New Roman" w:hAnsi="Times New Roman" w:cs="Times New Roman"/>
          <w:bCs/>
          <w:color w:val="000000" w:themeColor="text1"/>
          <w:szCs w:val="24"/>
        </w:rPr>
        <w:t>d</w:t>
      </w:r>
      <w:r w:rsidRPr="00644FC9">
        <w:rPr>
          <w:rFonts w:ascii="Times New Roman" w:hAnsi="Times New Roman" w:cs="Times New Roman"/>
          <w:bCs/>
          <w:color w:val="000000" w:themeColor="text1"/>
          <w:szCs w:val="24"/>
        </w:rPr>
        <w:t xml:space="preserve"> the mean size-adjusted returns for different holding horizons between the </w:t>
      </w:r>
      <w:r w:rsidR="005F6A2E" w:rsidRPr="00644FC9">
        <w:rPr>
          <w:rFonts w:ascii="Times New Roman" w:hAnsi="Times New Roman" w:cs="Times New Roman"/>
          <w:bCs/>
          <w:color w:val="000000" w:themeColor="text1"/>
          <w:szCs w:val="24"/>
        </w:rPr>
        <w:t>hedge strategies of earnings components</w:t>
      </w:r>
      <w:r w:rsidRPr="00644FC9">
        <w:rPr>
          <w:rFonts w:ascii="Times New Roman" w:hAnsi="Times New Roman" w:cs="Times New Roman"/>
          <w:bCs/>
          <w:color w:val="000000" w:themeColor="text1"/>
          <w:szCs w:val="24"/>
        </w:rPr>
        <w:t>.</w:t>
      </w:r>
      <w:r w:rsidR="0089269F" w:rsidRPr="00644FC9">
        <w:rPr>
          <w:rStyle w:val="aa"/>
          <w:rFonts w:ascii="Times New Roman" w:hAnsi="Times New Roman" w:cs="Times New Roman"/>
          <w:bCs/>
          <w:color w:val="000000" w:themeColor="text1"/>
          <w:szCs w:val="24"/>
        </w:rPr>
        <w:footnoteReference w:id="4"/>
      </w:r>
      <w:r w:rsidR="00E94886" w:rsidRPr="00644FC9">
        <w:rPr>
          <w:rFonts w:ascii="Times New Roman" w:eastAsia="標楷體" w:hAnsi="Times New Roman" w:cs="Times New Roman"/>
          <w:color w:val="000000" w:themeColor="text1"/>
          <w:szCs w:val="24"/>
          <w:vertAlign w:val="superscript"/>
        </w:rPr>
        <w:t xml:space="preserve"> </w:t>
      </w:r>
    </w:p>
    <w:p w14:paraId="5C59E755" w14:textId="77777777" w:rsidR="00B14F1C" w:rsidRPr="00644FC9" w:rsidRDefault="00B14F1C" w:rsidP="009C61B8">
      <w:pPr>
        <w:spacing w:line="480" w:lineRule="auto"/>
        <w:ind w:firstLineChars="200" w:firstLine="480"/>
        <w:jc w:val="both"/>
        <w:rPr>
          <w:rFonts w:ascii="Times New Roman" w:hAnsi="Times New Roman" w:cs="Times New Roman"/>
          <w:bCs/>
          <w:color w:val="000000" w:themeColor="text1"/>
          <w:szCs w:val="24"/>
        </w:rPr>
      </w:pPr>
    </w:p>
    <w:p w14:paraId="000C8A1D" w14:textId="12627F65" w:rsidR="00B14F1C" w:rsidRPr="00F267BD" w:rsidRDefault="00B14F1C" w:rsidP="0069489D">
      <w:pPr>
        <w:spacing w:line="480" w:lineRule="auto"/>
        <w:jc w:val="both"/>
        <w:rPr>
          <w:rFonts w:ascii="Times New Roman" w:eastAsia="標楷體" w:hAnsi="Times New Roman" w:cs="Times New Roman"/>
          <w:b/>
          <w:color w:val="000000" w:themeColor="text1"/>
          <w:szCs w:val="24"/>
        </w:rPr>
      </w:pPr>
      <w:r w:rsidRPr="00F267BD">
        <w:rPr>
          <w:rFonts w:ascii="Times New Roman" w:hAnsi="Times New Roman" w:cs="Times New Roman"/>
          <w:b/>
          <w:bCs/>
          <w:color w:val="000000" w:themeColor="text1"/>
          <w:szCs w:val="24"/>
        </w:rPr>
        <w:t xml:space="preserve">3.3 </w:t>
      </w:r>
      <w:r w:rsidRPr="00F267BD">
        <w:rPr>
          <w:rFonts w:ascii="Times New Roman" w:eastAsia="標楷體" w:hAnsi="Times New Roman" w:cs="Times New Roman"/>
          <w:b/>
          <w:color w:val="000000" w:themeColor="text1"/>
          <w:szCs w:val="24"/>
        </w:rPr>
        <w:t>Regression test</w:t>
      </w:r>
    </w:p>
    <w:p w14:paraId="7C1B3307" w14:textId="6E2CC4B5" w:rsidR="00B14F1C" w:rsidRPr="00644FC9" w:rsidRDefault="0023436D" w:rsidP="008B38F9">
      <w:pPr>
        <w:spacing w:line="480" w:lineRule="auto"/>
        <w:ind w:firstLineChars="200" w:firstLine="480"/>
        <w:jc w:val="both"/>
        <w:rPr>
          <w:rFonts w:ascii="Times New Roman" w:eastAsia="標楷體" w:hAnsi="Times New Roman" w:cs="Times New Roman"/>
          <w:color w:val="000000" w:themeColor="text1"/>
          <w:szCs w:val="24"/>
        </w:rPr>
      </w:pPr>
      <w:r w:rsidRPr="00644FC9">
        <w:rPr>
          <w:rFonts w:ascii="Times New Roman" w:eastAsia="標楷體" w:hAnsi="Times New Roman" w:cs="Times New Roman"/>
          <w:color w:val="000000" w:themeColor="text1"/>
          <w:szCs w:val="24"/>
        </w:rPr>
        <w:t>Next</w:t>
      </w:r>
      <w:r w:rsidR="005F6A2E" w:rsidRPr="00644FC9">
        <w:rPr>
          <w:rFonts w:ascii="Times New Roman" w:eastAsia="標楷體" w:hAnsi="Times New Roman" w:cs="Times New Roman"/>
          <w:color w:val="000000" w:themeColor="text1"/>
          <w:szCs w:val="24"/>
        </w:rPr>
        <w:t xml:space="preserve">, I </w:t>
      </w:r>
      <w:r w:rsidRPr="00644FC9">
        <w:rPr>
          <w:rFonts w:ascii="Times New Roman" w:eastAsia="標楷體" w:hAnsi="Times New Roman" w:cs="Times New Roman"/>
          <w:color w:val="000000" w:themeColor="text1"/>
          <w:szCs w:val="24"/>
        </w:rPr>
        <w:t xml:space="preserve">applied a </w:t>
      </w:r>
      <w:r w:rsidR="005F6A2E" w:rsidRPr="00644FC9">
        <w:rPr>
          <w:rFonts w:ascii="Times New Roman" w:eastAsia="標楷體" w:hAnsi="Times New Roman" w:cs="Times New Roman"/>
          <w:color w:val="000000" w:themeColor="text1"/>
          <w:szCs w:val="24"/>
        </w:rPr>
        <w:t>regression approach</w:t>
      </w:r>
      <w:r w:rsidRPr="00644FC9">
        <w:rPr>
          <w:rFonts w:ascii="Times New Roman" w:eastAsia="標楷體" w:hAnsi="Times New Roman" w:cs="Times New Roman"/>
          <w:color w:val="000000" w:themeColor="text1"/>
          <w:szCs w:val="24"/>
        </w:rPr>
        <w:t xml:space="preserve"> that </w:t>
      </w:r>
      <w:r w:rsidR="0069489D" w:rsidRPr="00644FC9">
        <w:rPr>
          <w:rFonts w:ascii="Times New Roman" w:hAnsi="Times New Roman" w:cs="Times New Roman"/>
          <w:bCs/>
          <w:color w:val="000000" w:themeColor="text1"/>
          <w:szCs w:val="24"/>
        </w:rPr>
        <w:t xml:space="preserve">can be used to examine the association between </w:t>
      </w:r>
      <w:r w:rsidR="008B38F9" w:rsidRPr="00644FC9">
        <w:rPr>
          <w:rFonts w:ascii="Times New Roman" w:hAnsi="Times New Roman" w:cs="Times New Roman"/>
          <w:bCs/>
          <w:color w:val="000000" w:themeColor="text1"/>
          <w:szCs w:val="24"/>
        </w:rPr>
        <w:t>the unexpected earnings components and stock returns</w:t>
      </w:r>
      <w:r w:rsidR="0069489D" w:rsidRPr="00644FC9">
        <w:rPr>
          <w:rFonts w:ascii="Times New Roman" w:hAnsi="Times New Roman" w:cs="Times New Roman"/>
          <w:bCs/>
          <w:color w:val="000000" w:themeColor="text1"/>
          <w:szCs w:val="24"/>
        </w:rPr>
        <w:t xml:space="preserve"> after controlling for correlated</w:t>
      </w:r>
      <w:r w:rsidRPr="00644FC9">
        <w:rPr>
          <w:rFonts w:ascii="Times New Roman" w:hAnsi="Times New Roman" w:cs="Times New Roman"/>
          <w:bCs/>
          <w:color w:val="000000" w:themeColor="text1"/>
          <w:szCs w:val="24"/>
        </w:rPr>
        <w:t>,</w:t>
      </w:r>
      <w:r w:rsidR="0069489D" w:rsidRPr="00644FC9">
        <w:rPr>
          <w:rFonts w:ascii="Times New Roman" w:hAnsi="Times New Roman" w:cs="Times New Roman"/>
          <w:bCs/>
          <w:color w:val="000000" w:themeColor="text1"/>
          <w:szCs w:val="24"/>
        </w:rPr>
        <w:t xml:space="preserve"> omitted variables for stock returns.</w:t>
      </w:r>
      <w:r w:rsidR="008B38F9" w:rsidRPr="00644FC9">
        <w:rPr>
          <w:rFonts w:ascii="Times New Roman" w:eastAsia="標楷體" w:hAnsi="Times New Roman" w:cs="Times New Roman"/>
          <w:color w:val="000000" w:themeColor="text1"/>
          <w:szCs w:val="24"/>
        </w:rPr>
        <w:t xml:space="preserve"> </w:t>
      </w:r>
      <w:r w:rsidR="00B14F1C" w:rsidRPr="00644FC9">
        <w:rPr>
          <w:rFonts w:ascii="Times New Roman" w:eastAsia="標楷體" w:hAnsi="Times New Roman" w:cs="Times New Roman"/>
          <w:color w:val="000000" w:themeColor="text1"/>
          <w:szCs w:val="24"/>
        </w:rPr>
        <w:t xml:space="preserve">The following </w:t>
      </w:r>
      <w:r w:rsidR="00662527" w:rsidRPr="00644FC9">
        <w:rPr>
          <w:rFonts w:ascii="Times New Roman" w:eastAsia="標楷體" w:hAnsi="Times New Roman" w:cs="Times New Roman"/>
          <w:color w:val="000000" w:themeColor="text1"/>
          <w:szCs w:val="24"/>
        </w:rPr>
        <w:t xml:space="preserve">two </w:t>
      </w:r>
      <w:r w:rsidR="008B38F9" w:rsidRPr="00644FC9">
        <w:rPr>
          <w:rFonts w:ascii="Times New Roman" w:eastAsia="標楷體" w:hAnsi="Times New Roman" w:cs="Times New Roman"/>
          <w:color w:val="000000" w:themeColor="text1"/>
          <w:szCs w:val="24"/>
        </w:rPr>
        <w:t>regression</w:t>
      </w:r>
      <w:r w:rsidR="00662527" w:rsidRPr="00644FC9">
        <w:rPr>
          <w:rFonts w:ascii="Times New Roman" w:eastAsia="標楷體" w:hAnsi="Times New Roman" w:cs="Times New Roman"/>
          <w:color w:val="000000" w:themeColor="text1"/>
          <w:szCs w:val="24"/>
        </w:rPr>
        <w:t>s</w:t>
      </w:r>
      <w:r w:rsidR="00B14F1C" w:rsidRPr="00644FC9">
        <w:rPr>
          <w:rFonts w:ascii="Times New Roman" w:eastAsia="標楷體" w:hAnsi="Times New Roman" w:cs="Times New Roman"/>
          <w:color w:val="000000" w:themeColor="text1"/>
          <w:szCs w:val="24"/>
        </w:rPr>
        <w:t xml:space="preserve"> form the basis of </w:t>
      </w:r>
      <w:r w:rsidRPr="00644FC9">
        <w:rPr>
          <w:rFonts w:ascii="Times New Roman" w:eastAsia="標楷體" w:hAnsi="Times New Roman" w:cs="Times New Roman"/>
          <w:color w:val="000000" w:themeColor="text1"/>
          <w:szCs w:val="24"/>
        </w:rPr>
        <w:t xml:space="preserve">the </w:t>
      </w:r>
      <w:r w:rsidR="00B14F1C" w:rsidRPr="00644FC9">
        <w:rPr>
          <w:rFonts w:ascii="Times New Roman" w:eastAsia="標楷體" w:hAnsi="Times New Roman" w:cs="Times New Roman"/>
          <w:color w:val="000000" w:themeColor="text1"/>
          <w:szCs w:val="24"/>
        </w:rPr>
        <w:t>cross-sectionals:</w:t>
      </w:r>
    </w:p>
    <w:p w14:paraId="3A819219" w14:textId="47B48C4E" w:rsidR="008B38F9" w:rsidRPr="00644FC9" w:rsidRDefault="008B38F9" w:rsidP="0050375F">
      <w:pPr>
        <w:spacing w:line="480" w:lineRule="auto"/>
        <w:ind w:leftChars="200" w:left="3204" w:hangingChars="1135" w:hanging="2724"/>
        <w:jc w:val="both"/>
        <w:rPr>
          <w:rFonts w:ascii="Times New Roman" w:eastAsia="標楷體" w:hAnsi="Times New Roman" w:cs="Times New Roman"/>
          <w:color w:val="000000" w:themeColor="text1"/>
          <w:szCs w:val="24"/>
        </w:rPr>
      </w:pPr>
      <w:r w:rsidRPr="00644FC9">
        <w:rPr>
          <w:rFonts w:ascii="Times New Roman" w:eastAsia="標楷體" w:hAnsi="Times New Roman" w:cs="Times New Roman"/>
          <w:i/>
          <w:color w:val="000000" w:themeColor="text1"/>
          <w:szCs w:val="24"/>
        </w:rPr>
        <w:t>BHARQ</w:t>
      </w:r>
      <w:r w:rsidRPr="00644FC9">
        <w:rPr>
          <w:rFonts w:ascii="Times New Roman" w:eastAsia="標楷體" w:hAnsi="Times New Roman" w:cs="Times New Roman"/>
          <w:i/>
          <w:color w:val="000000" w:themeColor="text1"/>
          <w:szCs w:val="24"/>
          <w:vertAlign w:val="subscript"/>
        </w:rPr>
        <w:t>i</w:t>
      </w:r>
      <w:proofErr w:type="gramStart"/>
      <w:r w:rsidRPr="00644FC9">
        <w:rPr>
          <w:rFonts w:ascii="Times New Roman" w:eastAsia="標楷體" w:hAnsi="Times New Roman" w:cs="Times New Roman"/>
          <w:i/>
          <w:color w:val="000000" w:themeColor="text1"/>
          <w:szCs w:val="24"/>
          <w:vertAlign w:val="subscript"/>
        </w:rPr>
        <w:t>,t</w:t>
      </w:r>
      <w:proofErr w:type="gramEnd"/>
      <w:r w:rsidRPr="00644FC9">
        <w:rPr>
          <w:rFonts w:ascii="Times New Roman" w:eastAsia="標楷體" w:hAnsi="Times New Roman" w:cs="Times New Roman"/>
          <w:i/>
          <w:color w:val="000000" w:themeColor="text1"/>
          <w:szCs w:val="24"/>
          <w:vertAlign w:val="subscript"/>
        </w:rPr>
        <w:t>+1</w:t>
      </w:r>
      <w:r w:rsidRPr="00644FC9">
        <w:rPr>
          <w:rFonts w:ascii="Times New Roman" w:eastAsia="標楷體" w:hAnsi="Times New Roman" w:cs="Times New Roman"/>
          <w:color w:val="000000" w:themeColor="text1"/>
          <w:szCs w:val="24"/>
        </w:rPr>
        <w:t xml:space="preserve"> (</w:t>
      </w:r>
      <w:r w:rsidR="0050375F" w:rsidRPr="00644FC9">
        <w:rPr>
          <w:rFonts w:ascii="Times New Roman" w:eastAsia="標楷體" w:hAnsi="Times New Roman" w:cs="Times New Roman"/>
          <w:i/>
          <w:color w:val="000000" w:themeColor="text1"/>
          <w:szCs w:val="24"/>
        </w:rPr>
        <w:t>BHAR</w:t>
      </w:r>
      <w:r w:rsidRPr="00644FC9">
        <w:rPr>
          <w:rFonts w:ascii="Times New Roman" w:eastAsia="標楷體" w:hAnsi="Times New Roman" w:cs="Times New Roman"/>
          <w:i/>
          <w:color w:val="000000" w:themeColor="text1"/>
          <w:szCs w:val="24"/>
        </w:rPr>
        <w:t>N</w:t>
      </w:r>
      <w:r w:rsidRPr="00644FC9">
        <w:rPr>
          <w:rFonts w:ascii="Times New Roman" w:eastAsia="標楷體" w:hAnsi="Times New Roman" w:cs="Times New Roman"/>
          <w:i/>
          <w:color w:val="000000" w:themeColor="text1"/>
          <w:szCs w:val="24"/>
          <w:vertAlign w:val="subscript"/>
        </w:rPr>
        <w:t xml:space="preserve"> i,t+1</w:t>
      </w:r>
      <w:r w:rsidRPr="00644FC9">
        <w:rPr>
          <w:rFonts w:ascii="Times New Roman" w:eastAsia="標楷體" w:hAnsi="Times New Roman" w:cs="Times New Roman"/>
          <w:color w:val="000000" w:themeColor="text1"/>
          <w:szCs w:val="24"/>
        </w:rPr>
        <w:t xml:space="preserve">) = </w:t>
      </w:r>
      <w:r w:rsidR="00662527" w:rsidRPr="00644FC9">
        <w:rPr>
          <w:rFonts w:ascii="Times New Roman" w:eastAsia="新細明體" w:hAnsi="Times New Roman" w:cs="Times New Roman"/>
          <w:i/>
          <w:color w:val="000000" w:themeColor="text1"/>
          <w:szCs w:val="24"/>
        </w:rPr>
        <w:t>α</w:t>
      </w:r>
      <w:r w:rsidRPr="00644FC9">
        <w:rPr>
          <w:rFonts w:ascii="Times New Roman" w:eastAsia="標楷體" w:hAnsi="Times New Roman" w:cs="Times New Roman"/>
          <w:color w:val="000000" w:themeColor="text1"/>
          <w:szCs w:val="24"/>
          <w:vertAlign w:val="subscript"/>
        </w:rPr>
        <w:t>0</w:t>
      </w:r>
      <w:r w:rsidR="00662527"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00662527" w:rsidRPr="00644FC9">
        <w:rPr>
          <w:rFonts w:ascii="Times New Roman" w:eastAsia="新細明體" w:hAnsi="Times New Roman" w:cs="Times New Roman"/>
          <w:i/>
          <w:color w:val="000000" w:themeColor="text1"/>
          <w:szCs w:val="24"/>
        </w:rPr>
        <w:t>α</w:t>
      </w:r>
      <w:r w:rsidR="007C661A" w:rsidRPr="00644FC9">
        <w:rPr>
          <w:rFonts w:ascii="Times New Roman" w:eastAsia="標楷體" w:hAnsi="Times New Roman" w:cs="Times New Roman"/>
          <w:color w:val="000000" w:themeColor="text1"/>
          <w:szCs w:val="24"/>
          <w:vertAlign w:val="subscript"/>
        </w:rPr>
        <w:t>1</w:t>
      </w:r>
      <w:r w:rsidR="007C661A" w:rsidRPr="00644FC9">
        <w:rPr>
          <w:rFonts w:ascii="Times New Roman" w:eastAsia="標楷體" w:hAnsi="Times New Roman" w:cs="Times New Roman"/>
          <w:i/>
          <w:color w:val="000000" w:themeColor="text1"/>
          <w:szCs w:val="24"/>
        </w:rPr>
        <w:t>UE</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rPr>
        <w:t xml:space="preserve"> +</w:t>
      </w:r>
      <w:r w:rsidR="007C661A" w:rsidRPr="00644FC9">
        <w:rPr>
          <w:rFonts w:ascii="Times New Roman" w:eastAsia="標楷體" w:hAnsi="Times New Roman" w:cs="Times New Roman"/>
          <w:color w:val="000000" w:themeColor="text1"/>
          <w:szCs w:val="24"/>
        </w:rPr>
        <w:t xml:space="preserve"> </w:t>
      </w:r>
      <w:r w:rsidR="007C661A" w:rsidRPr="00644FC9">
        <w:rPr>
          <w:rFonts w:ascii="Times New Roman" w:eastAsia="新細明體" w:hAnsi="Times New Roman" w:cs="Times New Roman"/>
          <w:i/>
          <w:color w:val="000000" w:themeColor="text1"/>
          <w:szCs w:val="24"/>
        </w:rPr>
        <w:t>α</w:t>
      </w:r>
      <w:r w:rsidR="007C661A" w:rsidRPr="00644FC9">
        <w:rPr>
          <w:rFonts w:ascii="Times New Roman" w:eastAsia="新細明體" w:hAnsi="Times New Roman" w:cs="Times New Roman"/>
          <w:color w:val="000000" w:themeColor="text1"/>
          <w:szCs w:val="24"/>
          <w:vertAlign w:val="subscript"/>
        </w:rPr>
        <w:t>2</w:t>
      </w:r>
      <w:r w:rsidRPr="00644FC9">
        <w:rPr>
          <w:rFonts w:ascii="Times New Roman" w:eastAsia="新細明體" w:hAnsi="Times New Roman" w:cs="Times New Roman"/>
          <w:i/>
          <w:color w:val="000000" w:themeColor="text1"/>
          <w:szCs w:val="24"/>
        </w:rPr>
        <w:t>SIZE</w:t>
      </w:r>
      <w:r w:rsidRPr="00644FC9">
        <w:rPr>
          <w:rFonts w:ascii="Times New Roman" w:eastAsia="標楷體" w:hAnsi="Times New Roman" w:cs="Times New Roman"/>
          <w:i/>
          <w:color w:val="000000" w:themeColor="text1"/>
          <w:szCs w:val="24"/>
          <w:vertAlign w:val="subscript"/>
        </w:rPr>
        <w:t>i,t</w:t>
      </w:r>
      <w:r w:rsidRPr="00644FC9">
        <w:rPr>
          <w:rFonts w:ascii="Times New Roman" w:eastAsia="新細明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007C661A" w:rsidRPr="00644FC9">
        <w:rPr>
          <w:rFonts w:ascii="Times New Roman" w:eastAsia="新細明體" w:hAnsi="Times New Roman" w:cs="Times New Roman"/>
          <w:i/>
          <w:color w:val="000000" w:themeColor="text1"/>
          <w:szCs w:val="24"/>
        </w:rPr>
        <w:t>α</w:t>
      </w:r>
      <w:r w:rsidR="007C661A" w:rsidRPr="00644FC9">
        <w:rPr>
          <w:rFonts w:ascii="Times New Roman" w:eastAsia="新細明體" w:hAnsi="Times New Roman" w:cs="Times New Roman"/>
          <w:color w:val="000000" w:themeColor="text1"/>
          <w:szCs w:val="24"/>
          <w:vertAlign w:val="subscript"/>
        </w:rPr>
        <w:t>3</w:t>
      </w:r>
      <w:r w:rsidRPr="00644FC9">
        <w:rPr>
          <w:rFonts w:ascii="Times New Roman" w:eastAsia="新細明體" w:hAnsi="Times New Roman" w:cs="Times New Roman"/>
          <w:i/>
          <w:color w:val="000000" w:themeColor="text1"/>
          <w:szCs w:val="24"/>
        </w:rPr>
        <w:t>BETA</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rPr>
        <w:t xml:space="preserve"> + </w:t>
      </w:r>
      <w:r w:rsidR="007C661A" w:rsidRPr="00644FC9">
        <w:rPr>
          <w:rFonts w:ascii="Times New Roman" w:eastAsia="新細明體" w:hAnsi="Times New Roman" w:cs="Times New Roman"/>
          <w:i/>
          <w:color w:val="000000" w:themeColor="text1"/>
          <w:szCs w:val="24"/>
        </w:rPr>
        <w:t>α</w:t>
      </w:r>
      <w:r w:rsidR="007C661A" w:rsidRPr="00644FC9">
        <w:rPr>
          <w:rFonts w:ascii="Times New Roman" w:eastAsia="新細明體" w:hAnsi="Times New Roman" w:cs="Times New Roman"/>
          <w:color w:val="000000" w:themeColor="text1"/>
          <w:szCs w:val="24"/>
          <w:vertAlign w:val="subscript"/>
        </w:rPr>
        <w:t>4</w:t>
      </w:r>
      <w:r w:rsidRPr="00644FC9">
        <w:rPr>
          <w:rFonts w:ascii="Times New Roman" w:eastAsia="新細明體" w:hAnsi="Times New Roman" w:cs="Times New Roman"/>
          <w:i/>
          <w:color w:val="000000" w:themeColor="text1"/>
          <w:szCs w:val="24"/>
        </w:rPr>
        <w:t>BTM</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i/>
          <w:color w:val="000000" w:themeColor="text1"/>
          <w:szCs w:val="24"/>
        </w:rPr>
        <w:t xml:space="preserve"> </w:t>
      </w:r>
      <w:r w:rsidRPr="00644FC9">
        <w:rPr>
          <w:rFonts w:ascii="Times New Roman" w:eastAsia="標楷體" w:hAnsi="Times New Roman" w:cs="Times New Roman"/>
          <w:color w:val="000000" w:themeColor="text1"/>
          <w:szCs w:val="24"/>
        </w:rPr>
        <w:t>+</w:t>
      </w:r>
      <w:r w:rsidRPr="00644FC9">
        <w:rPr>
          <w:rFonts w:ascii="Times New Roman" w:eastAsia="新細明體" w:hAnsi="Times New Roman" w:cs="Times New Roman"/>
          <w:color w:val="000000" w:themeColor="text1"/>
          <w:szCs w:val="24"/>
        </w:rPr>
        <w:t xml:space="preserve"> </w:t>
      </w:r>
      <w:r w:rsidR="007C661A" w:rsidRPr="00644FC9">
        <w:rPr>
          <w:rFonts w:ascii="Times New Roman" w:eastAsia="新細明體" w:hAnsi="Times New Roman" w:cs="Times New Roman"/>
          <w:i/>
          <w:color w:val="000000" w:themeColor="text1"/>
          <w:szCs w:val="24"/>
        </w:rPr>
        <w:t>α</w:t>
      </w:r>
      <w:r w:rsidR="007C661A" w:rsidRPr="00644FC9">
        <w:rPr>
          <w:rFonts w:ascii="Times New Roman" w:eastAsia="新細明體" w:hAnsi="Times New Roman" w:cs="Times New Roman"/>
          <w:color w:val="000000" w:themeColor="text1"/>
          <w:szCs w:val="24"/>
          <w:vertAlign w:val="subscript"/>
        </w:rPr>
        <w:t>5</w:t>
      </w:r>
      <w:r w:rsidRPr="00644FC9">
        <w:rPr>
          <w:rFonts w:ascii="Times New Roman" w:eastAsia="新細明體" w:hAnsi="Times New Roman" w:cs="Times New Roman"/>
          <w:i/>
          <w:color w:val="000000" w:themeColor="text1"/>
          <w:szCs w:val="24"/>
        </w:rPr>
        <w:t>MOM</w:t>
      </w:r>
      <w:r w:rsidRPr="00644FC9">
        <w:rPr>
          <w:rFonts w:ascii="Times New Roman" w:eastAsia="標楷體" w:hAnsi="Times New Roman" w:cs="Times New Roman"/>
          <w:i/>
          <w:color w:val="000000" w:themeColor="text1"/>
          <w:szCs w:val="24"/>
          <w:vertAlign w:val="subscript"/>
        </w:rPr>
        <w:t>i,t</w:t>
      </w:r>
      <w:r w:rsidR="007C661A"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t>ϵ</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vertAlign w:val="subscript"/>
        </w:rPr>
        <w:t>+1</w:t>
      </w:r>
      <w:r w:rsidRPr="00644FC9">
        <w:rPr>
          <w:rFonts w:ascii="Times New Roman" w:eastAsia="標楷體" w:hAnsi="Times New Roman" w:cs="Times New Roman"/>
          <w:color w:val="000000" w:themeColor="text1"/>
          <w:szCs w:val="24"/>
        </w:rPr>
        <w:t xml:space="preserve">    </w:t>
      </w:r>
      <w:r w:rsidR="0050375F"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007C661A"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007C661A" w:rsidRPr="00644FC9">
        <w:rPr>
          <w:rFonts w:ascii="Times New Roman" w:eastAsia="標楷體" w:hAnsi="Times New Roman" w:cs="Times New Roman"/>
          <w:color w:val="000000" w:themeColor="text1"/>
          <w:szCs w:val="24"/>
        </w:rPr>
        <w:t>1</w:t>
      </w:r>
      <w:r w:rsidRPr="00644FC9">
        <w:rPr>
          <w:rFonts w:ascii="Times New Roman" w:eastAsia="標楷體" w:hAnsi="Times New Roman" w:cs="Times New Roman"/>
          <w:color w:val="000000" w:themeColor="text1"/>
          <w:szCs w:val="24"/>
        </w:rPr>
        <w:t>)</w:t>
      </w:r>
    </w:p>
    <w:p w14:paraId="17CEA89E" w14:textId="3060ED03" w:rsidR="007C661A" w:rsidRPr="00644FC9" w:rsidRDefault="007C661A" w:rsidP="0050375F">
      <w:pPr>
        <w:spacing w:line="480" w:lineRule="auto"/>
        <w:ind w:leftChars="200" w:left="3216" w:hangingChars="1140" w:hanging="2736"/>
        <w:jc w:val="both"/>
        <w:rPr>
          <w:rFonts w:ascii="Times New Roman" w:eastAsia="標楷體" w:hAnsi="Times New Roman" w:cs="Times New Roman"/>
          <w:color w:val="000000" w:themeColor="text1"/>
          <w:szCs w:val="24"/>
        </w:rPr>
      </w:pPr>
      <w:r w:rsidRPr="00644FC9">
        <w:rPr>
          <w:rFonts w:ascii="Times New Roman" w:eastAsia="標楷體" w:hAnsi="Times New Roman" w:cs="Times New Roman"/>
          <w:i/>
          <w:color w:val="000000" w:themeColor="text1"/>
          <w:szCs w:val="24"/>
        </w:rPr>
        <w:t>BHARQ</w:t>
      </w:r>
      <w:r w:rsidRPr="00644FC9">
        <w:rPr>
          <w:rFonts w:ascii="Times New Roman" w:eastAsia="標楷體" w:hAnsi="Times New Roman" w:cs="Times New Roman"/>
          <w:i/>
          <w:color w:val="000000" w:themeColor="text1"/>
          <w:szCs w:val="24"/>
          <w:vertAlign w:val="subscript"/>
        </w:rPr>
        <w:t>i</w:t>
      </w:r>
      <w:proofErr w:type="gramStart"/>
      <w:r w:rsidRPr="00644FC9">
        <w:rPr>
          <w:rFonts w:ascii="Times New Roman" w:eastAsia="標楷體" w:hAnsi="Times New Roman" w:cs="Times New Roman"/>
          <w:i/>
          <w:color w:val="000000" w:themeColor="text1"/>
          <w:szCs w:val="24"/>
          <w:vertAlign w:val="subscript"/>
        </w:rPr>
        <w:t>,t</w:t>
      </w:r>
      <w:proofErr w:type="gramEnd"/>
      <w:r w:rsidRPr="00644FC9">
        <w:rPr>
          <w:rFonts w:ascii="Times New Roman" w:eastAsia="標楷體" w:hAnsi="Times New Roman" w:cs="Times New Roman"/>
          <w:i/>
          <w:color w:val="000000" w:themeColor="text1"/>
          <w:szCs w:val="24"/>
          <w:vertAlign w:val="subscript"/>
        </w:rPr>
        <w:t>+1</w:t>
      </w:r>
      <w:r w:rsidRPr="00644FC9">
        <w:rPr>
          <w:rFonts w:ascii="Times New Roman" w:eastAsia="標楷體" w:hAnsi="Times New Roman" w:cs="Times New Roman"/>
          <w:color w:val="000000" w:themeColor="text1"/>
          <w:szCs w:val="24"/>
        </w:rPr>
        <w:t xml:space="preserve"> (</w:t>
      </w:r>
      <w:r w:rsidR="0050375F" w:rsidRPr="00644FC9">
        <w:rPr>
          <w:rFonts w:ascii="Times New Roman" w:eastAsia="標楷體" w:hAnsi="Times New Roman" w:cs="Times New Roman"/>
          <w:i/>
          <w:color w:val="000000" w:themeColor="text1"/>
          <w:szCs w:val="24"/>
        </w:rPr>
        <w:t>BHAR</w:t>
      </w:r>
      <w:r w:rsidRPr="00644FC9">
        <w:rPr>
          <w:rFonts w:ascii="Times New Roman" w:eastAsia="標楷體" w:hAnsi="Times New Roman" w:cs="Times New Roman"/>
          <w:i/>
          <w:color w:val="000000" w:themeColor="text1"/>
          <w:szCs w:val="24"/>
        </w:rPr>
        <w:t>N</w:t>
      </w:r>
      <w:r w:rsidRPr="00644FC9">
        <w:rPr>
          <w:rFonts w:ascii="Times New Roman" w:eastAsia="標楷體" w:hAnsi="Times New Roman" w:cs="Times New Roman"/>
          <w:i/>
          <w:color w:val="000000" w:themeColor="text1"/>
          <w:szCs w:val="24"/>
          <w:vertAlign w:val="subscript"/>
        </w:rPr>
        <w:t xml:space="preserve"> i,t+1</w:t>
      </w:r>
      <w:r w:rsidRPr="00644FC9">
        <w:rPr>
          <w:rFonts w:ascii="Times New Roman" w:eastAsia="標楷體" w:hAnsi="Times New Roman" w:cs="Times New Roman"/>
          <w:color w:val="000000" w:themeColor="text1"/>
          <w:szCs w:val="24"/>
        </w:rPr>
        <w:t xml:space="preserve">) = </w:t>
      </w:r>
      <w:r w:rsidRPr="00644FC9">
        <w:rPr>
          <w:rFonts w:ascii="Times New Roman" w:eastAsia="標楷體" w:hAnsi="Times New Roman" w:cs="Times New Roman"/>
          <w:i/>
          <w:color w:val="000000" w:themeColor="text1"/>
          <w:szCs w:val="24"/>
        </w:rPr>
        <w:t>β</w:t>
      </w:r>
      <w:r w:rsidRPr="00644FC9">
        <w:rPr>
          <w:rFonts w:ascii="Times New Roman" w:eastAsia="標楷體" w:hAnsi="Times New Roman" w:cs="Times New Roman"/>
          <w:color w:val="000000" w:themeColor="text1"/>
          <w:szCs w:val="24"/>
          <w:vertAlign w:val="subscript"/>
        </w:rPr>
        <w:t>0</w:t>
      </w:r>
      <w:r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t>β</w:t>
      </w:r>
      <w:r w:rsidRPr="00644FC9">
        <w:rPr>
          <w:rFonts w:ascii="Times New Roman" w:eastAsia="標楷體" w:hAnsi="Times New Roman" w:cs="Times New Roman"/>
          <w:color w:val="000000" w:themeColor="text1"/>
          <w:szCs w:val="24"/>
          <w:vertAlign w:val="subscript"/>
        </w:rPr>
        <w:t>1</w:t>
      </w:r>
      <w:r w:rsidRPr="00644FC9">
        <w:rPr>
          <w:rFonts w:ascii="Times New Roman" w:eastAsia="標楷體" w:hAnsi="Times New Roman" w:cs="Times New Roman"/>
          <w:i/>
          <w:color w:val="000000" w:themeColor="text1"/>
          <w:szCs w:val="24"/>
        </w:rPr>
        <w:t>UOI</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rPr>
        <w:t xml:space="preserve"> + </w:t>
      </w:r>
      <w:r w:rsidRPr="00644FC9">
        <w:rPr>
          <w:rFonts w:ascii="Times New Roman" w:eastAsia="標楷體" w:hAnsi="Times New Roman" w:cs="Times New Roman"/>
          <w:i/>
          <w:color w:val="000000" w:themeColor="text1"/>
          <w:szCs w:val="24"/>
        </w:rPr>
        <w:t>β</w:t>
      </w:r>
      <w:r w:rsidRPr="00644FC9">
        <w:rPr>
          <w:rFonts w:ascii="Times New Roman" w:eastAsia="標楷體" w:hAnsi="Times New Roman" w:cs="Times New Roman"/>
          <w:color w:val="000000" w:themeColor="text1"/>
          <w:szCs w:val="24"/>
          <w:vertAlign w:val="subscript"/>
        </w:rPr>
        <w:t>2</w:t>
      </w:r>
      <w:r w:rsidRPr="00644FC9">
        <w:rPr>
          <w:rFonts w:ascii="Times New Roman" w:eastAsia="標楷體" w:hAnsi="Times New Roman" w:cs="Times New Roman"/>
          <w:i/>
          <w:color w:val="000000" w:themeColor="text1"/>
          <w:szCs w:val="24"/>
        </w:rPr>
        <w:t>UNOI</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t>β</w:t>
      </w:r>
      <w:r w:rsidRPr="00644FC9">
        <w:rPr>
          <w:rFonts w:ascii="Times New Roman" w:eastAsia="新細明體" w:hAnsi="Times New Roman" w:cs="Times New Roman"/>
          <w:color w:val="000000" w:themeColor="text1"/>
          <w:szCs w:val="24"/>
          <w:vertAlign w:val="subscript"/>
        </w:rPr>
        <w:t>3</w:t>
      </w:r>
      <w:r w:rsidRPr="00644FC9">
        <w:rPr>
          <w:rFonts w:ascii="Times New Roman" w:eastAsia="新細明體" w:hAnsi="Times New Roman" w:cs="Times New Roman"/>
          <w:i/>
          <w:color w:val="000000" w:themeColor="text1"/>
          <w:szCs w:val="24"/>
        </w:rPr>
        <w:t>SIZE</w:t>
      </w:r>
      <w:r w:rsidRPr="00644FC9">
        <w:rPr>
          <w:rFonts w:ascii="Times New Roman" w:eastAsia="標楷體" w:hAnsi="Times New Roman" w:cs="Times New Roman"/>
          <w:i/>
          <w:color w:val="000000" w:themeColor="text1"/>
          <w:szCs w:val="24"/>
          <w:vertAlign w:val="subscript"/>
        </w:rPr>
        <w:t>i,t</w:t>
      </w:r>
      <w:r w:rsidRPr="00644FC9">
        <w:rPr>
          <w:rFonts w:ascii="Times New Roman" w:eastAsia="新細明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t>β</w:t>
      </w:r>
      <w:r w:rsidRPr="00644FC9">
        <w:rPr>
          <w:rFonts w:ascii="Times New Roman" w:eastAsia="新細明體" w:hAnsi="Times New Roman" w:cs="Times New Roman"/>
          <w:color w:val="000000" w:themeColor="text1"/>
          <w:szCs w:val="24"/>
          <w:vertAlign w:val="subscript"/>
        </w:rPr>
        <w:t>4</w:t>
      </w:r>
      <w:r w:rsidRPr="00644FC9">
        <w:rPr>
          <w:rFonts w:ascii="Times New Roman" w:eastAsia="新細明體" w:hAnsi="Times New Roman" w:cs="Times New Roman"/>
          <w:i/>
          <w:color w:val="000000" w:themeColor="text1"/>
          <w:szCs w:val="24"/>
        </w:rPr>
        <w:t>BETA</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rPr>
        <w:t xml:space="preserve"> + </w:t>
      </w:r>
      <w:r w:rsidRPr="00644FC9">
        <w:rPr>
          <w:rFonts w:ascii="Times New Roman" w:eastAsia="標楷體" w:hAnsi="Times New Roman" w:cs="Times New Roman"/>
          <w:i/>
          <w:color w:val="000000" w:themeColor="text1"/>
          <w:szCs w:val="24"/>
        </w:rPr>
        <w:t>β</w:t>
      </w:r>
      <w:r w:rsidRPr="00644FC9">
        <w:rPr>
          <w:rFonts w:ascii="Times New Roman" w:eastAsia="新細明體" w:hAnsi="Times New Roman" w:cs="Times New Roman"/>
          <w:color w:val="000000" w:themeColor="text1"/>
          <w:szCs w:val="24"/>
          <w:vertAlign w:val="subscript"/>
        </w:rPr>
        <w:t>5</w:t>
      </w:r>
      <w:r w:rsidRPr="00644FC9">
        <w:rPr>
          <w:rFonts w:ascii="Times New Roman" w:eastAsia="新細明體" w:hAnsi="Times New Roman" w:cs="Times New Roman"/>
          <w:i/>
          <w:color w:val="000000" w:themeColor="text1"/>
          <w:szCs w:val="24"/>
        </w:rPr>
        <w:t>BTM</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i/>
          <w:color w:val="000000" w:themeColor="text1"/>
          <w:szCs w:val="24"/>
        </w:rPr>
        <w:t xml:space="preserve"> </w:t>
      </w:r>
      <w:r w:rsidRPr="00644FC9">
        <w:rPr>
          <w:rFonts w:ascii="Times New Roman" w:eastAsia="標楷體" w:hAnsi="Times New Roman" w:cs="Times New Roman"/>
          <w:color w:val="000000" w:themeColor="text1"/>
          <w:szCs w:val="24"/>
        </w:rPr>
        <w:t>+</w:t>
      </w:r>
      <w:r w:rsidRPr="00644FC9">
        <w:rPr>
          <w:rFonts w:ascii="Times New Roman" w:eastAsia="新細明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lastRenderedPageBreak/>
        <w:t>β</w:t>
      </w:r>
      <w:r w:rsidRPr="00644FC9">
        <w:rPr>
          <w:rFonts w:ascii="Times New Roman" w:eastAsia="新細明體" w:hAnsi="Times New Roman" w:cs="Times New Roman"/>
          <w:color w:val="000000" w:themeColor="text1"/>
          <w:szCs w:val="24"/>
          <w:vertAlign w:val="subscript"/>
        </w:rPr>
        <w:t>6</w:t>
      </w:r>
      <w:r w:rsidRPr="00644FC9">
        <w:rPr>
          <w:rFonts w:ascii="Times New Roman" w:eastAsia="新細明體" w:hAnsi="Times New Roman" w:cs="Times New Roman"/>
          <w:i/>
          <w:color w:val="000000" w:themeColor="text1"/>
          <w:szCs w:val="24"/>
        </w:rPr>
        <w:t>MOM</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i/>
          <w:color w:val="000000" w:themeColor="text1"/>
          <w:szCs w:val="24"/>
        </w:rPr>
        <w:t xml:space="preserve"> </w:t>
      </w:r>
      <w:r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t>ϵ</w:t>
      </w:r>
      <w:r w:rsidRPr="00644FC9">
        <w:rPr>
          <w:rFonts w:ascii="Times New Roman" w:eastAsia="標楷體" w:hAnsi="Times New Roman" w:cs="Times New Roman"/>
          <w:i/>
          <w:color w:val="000000" w:themeColor="text1"/>
          <w:szCs w:val="24"/>
          <w:vertAlign w:val="subscript"/>
        </w:rPr>
        <w:t>i,t</w:t>
      </w:r>
      <w:r w:rsidRPr="00644FC9">
        <w:rPr>
          <w:rFonts w:ascii="Times New Roman" w:eastAsia="標楷體" w:hAnsi="Times New Roman" w:cs="Times New Roman"/>
          <w:color w:val="000000" w:themeColor="text1"/>
          <w:szCs w:val="24"/>
          <w:vertAlign w:val="subscript"/>
        </w:rPr>
        <w:t>+1</w:t>
      </w:r>
      <w:r w:rsidRPr="00644FC9">
        <w:rPr>
          <w:rFonts w:ascii="Times New Roman" w:eastAsia="標楷體" w:hAnsi="Times New Roman" w:cs="Times New Roman"/>
          <w:color w:val="000000" w:themeColor="text1"/>
          <w:szCs w:val="24"/>
        </w:rPr>
        <w:t xml:space="preserve">              </w:t>
      </w:r>
      <w:r w:rsidR="0050375F"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   (2)</w:t>
      </w:r>
    </w:p>
    <w:p w14:paraId="6E277F93" w14:textId="77777777" w:rsidR="008B38F9" w:rsidRPr="00644FC9" w:rsidRDefault="008B38F9" w:rsidP="008B38F9">
      <w:pPr>
        <w:autoSpaceDE w:val="0"/>
        <w:autoSpaceDN w:val="0"/>
        <w:spacing w:line="480" w:lineRule="auto"/>
        <w:jc w:val="both"/>
        <w:rPr>
          <w:rFonts w:ascii="Times New Roman" w:eastAsia="標楷體" w:hAnsi="Times New Roman" w:cs="Times New Roman"/>
          <w:color w:val="000000" w:themeColor="text1"/>
          <w:szCs w:val="24"/>
        </w:rPr>
      </w:pPr>
    </w:p>
    <w:p w14:paraId="7C5623DC" w14:textId="1D044BA9" w:rsidR="008B38F9" w:rsidRPr="00644FC9" w:rsidRDefault="008B38F9" w:rsidP="006B2A97">
      <w:pPr>
        <w:autoSpaceDE w:val="0"/>
        <w:autoSpaceDN w:val="0"/>
        <w:spacing w:line="480" w:lineRule="auto"/>
        <w:jc w:val="both"/>
        <w:rPr>
          <w:rFonts w:ascii="Times New Roman" w:eastAsia="新細明體" w:hAnsi="Times New Roman" w:cs="Times New Roman"/>
          <w:color w:val="000000" w:themeColor="text1"/>
          <w:szCs w:val="24"/>
        </w:rPr>
      </w:pPr>
      <w:proofErr w:type="gramStart"/>
      <w:r w:rsidRPr="00644FC9">
        <w:rPr>
          <w:rFonts w:ascii="Times New Roman" w:eastAsia="標楷體" w:hAnsi="Times New Roman" w:cs="Times New Roman"/>
          <w:color w:val="000000" w:themeColor="text1"/>
          <w:szCs w:val="24"/>
        </w:rPr>
        <w:t>where</w:t>
      </w:r>
      <w:proofErr w:type="gramEnd"/>
      <w:r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i/>
          <w:color w:val="000000" w:themeColor="text1"/>
          <w:szCs w:val="24"/>
        </w:rPr>
        <w:t>BHARQ</w:t>
      </w:r>
      <w:r w:rsidRPr="00644FC9">
        <w:rPr>
          <w:rFonts w:ascii="Times New Roman" w:eastAsia="標楷體" w:hAnsi="Times New Roman" w:cs="Times New Roman"/>
          <w:color w:val="000000" w:themeColor="text1"/>
          <w:szCs w:val="24"/>
        </w:rPr>
        <w:t xml:space="preserve"> represents the size-adjusted</w:t>
      </w:r>
      <w:r w:rsidR="0023436D" w:rsidRPr="00644FC9">
        <w:rPr>
          <w:rFonts w:ascii="Times New Roman" w:eastAsia="標楷體" w:hAnsi="Times New Roman" w:cs="Times New Roman"/>
          <w:color w:val="000000" w:themeColor="text1"/>
          <w:szCs w:val="24"/>
        </w:rPr>
        <w:t>,</w:t>
      </w:r>
      <w:r w:rsidRPr="00644FC9">
        <w:rPr>
          <w:rFonts w:ascii="Times New Roman" w:eastAsia="標楷體" w:hAnsi="Times New Roman" w:cs="Times New Roman"/>
          <w:color w:val="000000" w:themeColor="text1"/>
          <w:szCs w:val="24"/>
        </w:rPr>
        <w:t xml:space="preserve"> buy-and-hold returns for the period beginning on the day after quarter </w:t>
      </w:r>
      <w:r w:rsidRPr="00644FC9">
        <w:rPr>
          <w:rFonts w:ascii="Times New Roman" w:eastAsia="標楷體" w:hAnsi="Times New Roman" w:cs="Times New Roman"/>
          <w:i/>
          <w:color w:val="000000" w:themeColor="text1"/>
          <w:szCs w:val="24"/>
        </w:rPr>
        <w:t>t</w:t>
      </w:r>
      <w:r w:rsidRPr="00644FC9">
        <w:rPr>
          <w:rFonts w:ascii="Times New Roman" w:eastAsia="標楷體" w:hAnsi="Times New Roman" w:cs="Times New Roman"/>
          <w:color w:val="000000" w:themeColor="text1"/>
          <w:szCs w:val="24"/>
        </w:rPr>
        <w:t xml:space="preserve">’s </w:t>
      </w:r>
      <w:r w:rsidR="0065717A">
        <w:rPr>
          <w:rFonts w:ascii="Times New Roman" w:eastAsia="標楷體" w:hAnsi="Times New Roman" w:cs="Times New Roman"/>
          <w:color w:val="000000" w:themeColor="text1"/>
          <w:szCs w:val="24"/>
        </w:rPr>
        <w:t>earnings-announcement</w:t>
      </w:r>
      <w:r w:rsidRPr="00644FC9">
        <w:rPr>
          <w:rFonts w:ascii="Times New Roman" w:eastAsia="標楷體" w:hAnsi="Times New Roman" w:cs="Times New Roman"/>
          <w:color w:val="000000" w:themeColor="text1"/>
          <w:szCs w:val="24"/>
        </w:rPr>
        <w:t xml:space="preserve"> and ending on the </w:t>
      </w:r>
      <w:r w:rsidR="002332D2" w:rsidRPr="002332D2">
        <w:rPr>
          <w:rFonts w:ascii="Times New Roman" w:eastAsia="標楷體" w:hAnsi="Times New Roman" w:cs="Times New Roman"/>
          <w:color w:val="000000" w:themeColor="text1"/>
          <w:szCs w:val="24"/>
        </w:rPr>
        <w:t xml:space="preserve">second day before </w:t>
      </w:r>
      <w:r w:rsidRPr="00644FC9">
        <w:rPr>
          <w:rFonts w:ascii="Times New Roman" w:eastAsia="標楷體" w:hAnsi="Times New Roman" w:cs="Times New Roman"/>
          <w:color w:val="000000" w:themeColor="text1"/>
          <w:szCs w:val="24"/>
        </w:rPr>
        <w:t xml:space="preserve">quarter </w:t>
      </w:r>
      <w:r w:rsidRPr="00644FC9">
        <w:rPr>
          <w:rFonts w:ascii="Times New Roman" w:eastAsia="標楷體" w:hAnsi="Times New Roman" w:cs="Times New Roman"/>
          <w:i/>
          <w:color w:val="000000" w:themeColor="text1"/>
          <w:szCs w:val="24"/>
        </w:rPr>
        <w:t>t</w:t>
      </w:r>
      <w:r w:rsidRPr="00644FC9">
        <w:rPr>
          <w:rFonts w:ascii="Times New Roman" w:eastAsia="標楷體" w:hAnsi="Times New Roman" w:cs="Times New Roman"/>
          <w:color w:val="000000" w:themeColor="text1"/>
          <w:szCs w:val="24"/>
        </w:rPr>
        <w:t xml:space="preserve">+1’s </w:t>
      </w:r>
      <w:r w:rsidR="0065717A">
        <w:rPr>
          <w:rFonts w:ascii="Times New Roman" w:eastAsia="標楷體" w:hAnsi="Times New Roman" w:cs="Times New Roman"/>
          <w:color w:val="000000" w:themeColor="text1"/>
          <w:szCs w:val="24"/>
        </w:rPr>
        <w:t>earnings-announcement</w:t>
      </w:r>
      <w:r w:rsidRPr="00644FC9">
        <w:rPr>
          <w:rFonts w:ascii="Times New Roman" w:eastAsia="標楷體" w:hAnsi="Times New Roman" w:cs="Times New Roman"/>
          <w:color w:val="000000" w:themeColor="text1"/>
          <w:szCs w:val="24"/>
        </w:rPr>
        <w:t xml:space="preserve"> date. </w:t>
      </w:r>
      <w:r w:rsidR="0050375F" w:rsidRPr="00644FC9">
        <w:rPr>
          <w:rFonts w:ascii="Times New Roman" w:eastAsia="標楷體" w:hAnsi="Times New Roman" w:cs="Times New Roman"/>
          <w:i/>
          <w:color w:val="000000" w:themeColor="text1"/>
          <w:szCs w:val="24"/>
        </w:rPr>
        <w:t>BHAR</w:t>
      </w:r>
      <w:r w:rsidRPr="00644FC9">
        <w:rPr>
          <w:rFonts w:ascii="Times New Roman" w:eastAsia="標楷體" w:hAnsi="Times New Roman" w:cs="Times New Roman"/>
          <w:i/>
          <w:color w:val="000000" w:themeColor="text1"/>
          <w:szCs w:val="24"/>
        </w:rPr>
        <w:t xml:space="preserve">N </w:t>
      </w:r>
      <w:r w:rsidRPr="00644FC9">
        <w:rPr>
          <w:rFonts w:ascii="Times New Roman" w:eastAsia="標楷體" w:hAnsi="Times New Roman" w:cs="Times New Roman"/>
          <w:color w:val="000000" w:themeColor="text1"/>
          <w:szCs w:val="24"/>
        </w:rPr>
        <w:t>is</w:t>
      </w:r>
      <w:r w:rsidRPr="00644FC9">
        <w:rPr>
          <w:rFonts w:ascii="Times New Roman" w:eastAsia="標楷體" w:hAnsi="Times New Roman" w:cs="Times New Roman"/>
          <w:i/>
          <w:color w:val="000000" w:themeColor="text1"/>
          <w:szCs w:val="24"/>
        </w:rPr>
        <w:t xml:space="preserve"> </w:t>
      </w:r>
      <w:r w:rsidR="0050375F" w:rsidRPr="00644FC9">
        <w:rPr>
          <w:rFonts w:ascii="Times New Roman" w:eastAsia="標楷體" w:hAnsi="Times New Roman" w:cs="Times New Roman"/>
          <w:color w:val="000000" w:themeColor="text1"/>
          <w:szCs w:val="24"/>
        </w:rPr>
        <w:t>the 5-day (</w:t>
      </w:r>
      <w:r w:rsidRPr="00644FC9">
        <w:rPr>
          <w:rFonts w:ascii="Times New Roman" w:eastAsia="標楷體" w:hAnsi="Times New Roman" w:cs="Times New Roman"/>
          <w:i/>
          <w:color w:val="000000" w:themeColor="text1"/>
          <w:szCs w:val="24"/>
        </w:rPr>
        <w:t>BHAR</w:t>
      </w:r>
      <w:r w:rsidR="0050375F" w:rsidRPr="00644FC9">
        <w:rPr>
          <w:rFonts w:ascii="Times New Roman" w:eastAsia="標楷體" w:hAnsi="Times New Roman" w:cs="Times New Roman"/>
          <w:i/>
          <w:color w:val="000000" w:themeColor="text1"/>
          <w:szCs w:val="24"/>
        </w:rPr>
        <w:t>5</w:t>
      </w:r>
      <w:r w:rsidR="0050375F" w:rsidRPr="00644FC9">
        <w:rPr>
          <w:rFonts w:ascii="Times New Roman" w:eastAsia="標楷體" w:hAnsi="Times New Roman" w:cs="Times New Roman"/>
          <w:color w:val="000000" w:themeColor="text1"/>
          <w:szCs w:val="24"/>
        </w:rPr>
        <w:t>) or 21-day (</w:t>
      </w:r>
      <w:r w:rsidR="0050375F" w:rsidRPr="00644FC9">
        <w:rPr>
          <w:rFonts w:ascii="Times New Roman" w:eastAsia="標楷體" w:hAnsi="Times New Roman" w:cs="Times New Roman"/>
          <w:i/>
          <w:color w:val="000000" w:themeColor="text1"/>
          <w:szCs w:val="24"/>
        </w:rPr>
        <w:t>BHAR21</w:t>
      </w:r>
      <w:r w:rsidR="0050375F" w:rsidRPr="00644FC9">
        <w:rPr>
          <w:rFonts w:ascii="Times New Roman" w:eastAsia="標楷體" w:hAnsi="Times New Roman" w:cs="Times New Roman"/>
          <w:color w:val="000000" w:themeColor="text1"/>
          <w:szCs w:val="24"/>
        </w:rPr>
        <w:t>)</w:t>
      </w:r>
      <w:r w:rsidRPr="00644FC9">
        <w:rPr>
          <w:rFonts w:ascii="Times New Roman" w:eastAsia="標楷體" w:hAnsi="Times New Roman" w:cs="Times New Roman"/>
          <w:color w:val="000000" w:themeColor="text1"/>
          <w:szCs w:val="24"/>
        </w:rPr>
        <w:t xml:space="preserve"> size-adjusted</w:t>
      </w:r>
      <w:r w:rsidR="0023436D" w:rsidRPr="00644FC9">
        <w:rPr>
          <w:rFonts w:ascii="Times New Roman" w:eastAsia="標楷體" w:hAnsi="Times New Roman" w:cs="Times New Roman"/>
          <w:color w:val="000000" w:themeColor="text1"/>
          <w:szCs w:val="24"/>
        </w:rPr>
        <w:t>,</w:t>
      </w:r>
      <w:r w:rsidRPr="00644FC9">
        <w:rPr>
          <w:rFonts w:ascii="Times New Roman" w:eastAsia="標楷體" w:hAnsi="Times New Roman" w:cs="Times New Roman"/>
          <w:color w:val="000000" w:themeColor="text1"/>
          <w:szCs w:val="24"/>
        </w:rPr>
        <w:t xml:space="preserve"> buy-and-hold returns after quarter </w:t>
      </w:r>
      <w:r w:rsidRPr="00644FC9">
        <w:rPr>
          <w:rFonts w:ascii="Times New Roman" w:eastAsia="標楷體" w:hAnsi="Times New Roman" w:cs="Times New Roman"/>
          <w:i/>
          <w:color w:val="000000" w:themeColor="text1"/>
          <w:szCs w:val="24"/>
        </w:rPr>
        <w:t>t</w:t>
      </w:r>
      <w:r w:rsidRPr="00644FC9">
        <w:rPr>
          <w:rFonts w:ascii="Times New Roman" w:eastAsia="標楷體" w:hAnsi="Times New Roman" w:cs="Times New Roman"/>
          <w:color w:val="000000" w:themeColor="text1"/>
          <w:szCs w:val="24"/>
        </w:rPr>
        <w:t xml:space="preserve">’s </w:t>
      </w:r>
      <w:r w:rsidR="0065717A">
        <w:rPr>
          <w:rFonts w:ascii="Times New Roman" w:eastAsia="標楷體" w:hAnsi="Times New Roman" w:cs="Times New Roman"/>
          <w:color w:val="000000" w:themeColor="text1"/>
          <w:szCs w:val="24"/>
        </w:rPr>
        <w:t>earnings-announcement</w:t>
      </w:r>
      <w:r w:rsidRPr="00644FC9">
        <w:rPr>
          <w:rFonts w:ascii="Times New Roman" w:eastAsia="標楷體" w:hAnsi="Times New Roman" w:cs="Times New Roman"/>
          <w:color w:val="000000" w:themeColor="text1"/>
          <w:szCs w:val="24"/>
        </w:rPr>
        <w:t xml:space="preserve">. </w:t>
      </w:r>
      <w:r w:rsidR="0089462F" w:rsidRPr="00644FC9">
        <w:rPr>
          <w:rFonts w:ascii="Times New Roman" w:eastAsia="標楷體" w:hAnsi="Times New Roman" w:cs="Times New Roman"/>
          <w:color w:val="000000" w:themeColor="text1"/>
          <w:szCs w:val="24"/>
        </w:rPr>
        <w:t>Consis</w:t>
      </w:r>
      <w:r w:rsidR="004315BA" w:rsidRPr="00644FC9">
        <w:rPr>
          <w:rFonts w:ascii="Times New Roman" w:eastAsia="標楷體" w:hAnsi="Times New Roman" w:cs="Times New Roman"/>
          <w:color w:val="000000" w:themeColor="text1"/>
          <w:szCs w:val="24"/>
        </w:rPr>
        <w:t>tent with many prior studies</w:t>
      </w:r>
      <w:r w:rsidR="003C7296" w:rsidRPr="00644FC9">
        <w:rPr>
          <w:rFonts w:ascii="Times New Roman" w:eastAsia="標楷體" w:hAnsi="Times New Roman" w:cs="Times New Roman" w:hint="eastAsia"/>
          <w:color w:val="000000" w:themeColor="text1"/>
          <w:szCs w:val="24"/>
        </w:rPr>
        <w:t xml:space="preserve"> </w:t>
      </w:r>
      <w:r w:rsidR="003C7296" w:rsidRPr="00644FC9">
        <w:rPr>
          <w:rFonts w:ascii="Times New Roman" w:eastAsia="標楷體" w:hAnsi="Times New Roman" w:cs="Times New Roman"/>
          <w:color w:val="000000" w:themeColor="text1"/>
          <w:szCs w:val="24"/>
        </w:rPr>
        <w:t>(</w:t>
      </w:r>
      <w:r w:rsidR="00644FC9">
        <w:rPr>
          <w:rFonts w:ascii="Times New Roman" w:eastAsia="標楷體" w:hAnsi="Times New Roman" w:cs="Times New Roman"/>
          <w:color w:val="000000" w:themeColor="text1"/>
          <w:szCs w:val="24"/>
        </w:rPr>
        <w:t xml:space="preserve">e.g., </w:t>
      </w:r>
      <w:proofErr w:type="spellStart"/>
      <w:r w:rsidR="003C7296" w:rsidRPr="00644FC9">
        <w:rPr>
          <w:rFonts w:ascii="Times New Roman" w:eastAsia="標楷體" w:hAnsi="Times New Roman" w:cs="Times New Roman"/>
          <w:color w:val="000000" w:themeColor="text1"/>
          <w:szCs w:val="24"/>
        </w:rPr>
        <w:t>Livnat</w:t>
      </w:r>
      <w:proofErr w:type="spellEnd"/>
      <w:r w:rsidR="003C7296" w:rsidRPr="00644FC9">
        <w:rPr>
          <w:rFonts w:ascii="Times New Roman" w:eastAsia="標楷體" w:hAnsi="Times New Roman" w:cs="Times New Roman"/>
          <w:color w:val="000000" w:themeColor="text1"/>
          <w:szCs w:val="24"/>
        </w:rPr>
        <w:t xml:space="preserve"> et al., 2006)</w:t>
      </w:r>
      <w:r w:rsidR="004315BA" w:rsidRPr="00644FC9">
        <w:rPr>
          <w:rFonts w:ascii="Times New Roman" w:eastAsia="標楷體" w:hAnsi="Times New Roman" w:cs="Times New Roman"/>
          <w:color w:val="000000" w:themeColor="text1"/>
          <w:szCs w:val="24"/>
        </w:rPr>
        <w:t xml:space="preserve">, </w:t>
      </w:r>
      <w:r w:rsidR="003C7296" w:rsidRPr="00644FC9">
        <w:rPr>
          <w:rFonts w:ascii="Times New Roman" w:eastAsia="標楷體" w:hAnsi="Times New Roman" w:cs="Times New Roman"/>
          <w:color w:val="000000" w:themeColor="text1"/>
          <w:szCs w:val="24"/>
        </w:rPr>
        <w:t>I estimate</w:t>
      </w:r>
      <w:r w:rsidR="0023436D" w:rsidRPr="00644FC9">
        <w:rPr>
          <w:rFonts w:ascii="Times New Roman" w:eastAsia="標楷體" w:hAnsi="Times New Roman" w:cs="Times New Roman"/>
          <w:color w:val="000000" w:themeColor="text1"/>
          <w:szCs w:val="24"/>
        </w:rPr>
        <w:t>d</w:t>
      </w:r>
      <w:r w:rsidR="003C7296" w:rsidRPr="00644FC9">
        <w:rPr>
          <w:rFonts w:ascii="Times New Roman" w:eastAsia="標楷體" w:hAnsi="Times New Roman" w:cs="Times New Roman"/>
          <w:color w:val="000000" w:themeColor="text1"/>
          <w:szCs w:val="24"/>
        </w:rPr>
        <w:t xml:space="preserve"> earnings surprise</w:t>
      </w:r>
      <w:r w:rsidR="0023436D" w:rsidRPr="00644FC9">
        <w:rPr>
          <w:rFonts w:ascii="Times New Roman" w:eastAsia="標楷體" w:hAnsi="Times New Roman" w:cs="Times New Roman"/>
          <w:color w:val="000000" w:themeColor="text1"/>
          <w:szCs w:val="24"/>
        </w:rPr>
        <w:t>d</w:t>
      </w:r>
      <w:r w:rsidR="003C7296" w:rsidRPr="00644FC9">
        <w:rPr>
          <w:rFonts w:ascii="Times New Roman" w:eastAsia="標楷體" w:hAnsi="Times New Roman" w:cs="Times New Roman"/>
          <w:color w:val="000000" w:themeColor="text1"/>
          <w:szCs w:val="24"/>
        </w:rPr>
        <w:t xml:space="preserve"> using </w:t>
      </w:r>
      <w:r w:rsidR="0023436D" w:rsidRPr="00644FC9">
        <w:rPr>
          <w:rFonts w:ascii="Times New Roman" w:eastAsia="標楷體" w:hAnsi="Times New Roman" w:cs="Times New Roman"/>
          <w:color w:val="000000" w:themeColor="text1"/>
          <w:szCs w:val="24"/>
        </w:rPr>
        <w:t xml:space="preserve">a </w:t>
      </w:r>
      <w:r w:rsidR="003C7296" w:rsidRPr="00644FC9">
        <w:rPr>
          <w:rFonts w:ascii="Times New Roman" w:eastAsia="標楷體" w:hAnsi="Times New Roman" w:cs="Times New Roman"/>
          <w:color w:val="000000" w:themeColor="text1"/>
          <w:szCs w:val="24"/>
        </w:rPr>
        <w:t>time-series, rolling</w:t>
      </w:r>
      <w:r w:rsidR="0023436D" w:rsidRPr="00644FC9">
        <w:rPr>
          <w:rFonts w:ascii="Times New Roman" w:eastAsia="標楷體" w:hAnsi="Times New Roman" w:cs="Times New Roman"/>
          <w:color w:val="000000" w:themeColor="text1"/>
          <w:szCs w:val="24"/>
        </w:rPr>
        <w:t>,</w:t>
      </w:r>
      <w:r w:rsidR="003C7296" w:rsidRPr="00644FC9">
        <w:rPr>
          <w:rFonts w:ascii="Times New Roman" w:eastAsia="標楷體" w:hAnsi="Times New Roman" w:cs="Times New Roman"/>
          <w:color w:val="000000" w:themeColor="text1"/>
          <w:szCs w:val="24"/>
        </w:rPr>
        <w:t xml:space="preserve"> seasonal random walk model.</w:t>
      </w:r>
      <w:r w:rsidR="003C7296" w:rsidRPr="00644FC9">
        <w:rPr>
          <w:rFonts w:ascii="Times New Roman" w:eastAsia="標楷體" w:hAnsi="Times New Roman" w:cs="Times New Roman" w:hint="eastAsia"/>
          <w:color w:val="000000" w:themeColor="text1"/>
          <w:szCs w:val="24"/>
        </w:rPr>
        <w:t xml:space="preserve"> </w:t>
      </w:r>
      <w:r w:rsidR="004315BA" w:rsidRPr="00644FC9">
        <w:rPr>
          <w:rFonts w:ascii="Times New Roman" w:eastAsia="標楷體" w:hAnsi="Times New Roman" w:cs="Times New Roman"/>
          <w:color w:val="000000" w:themeColor="text1"/>
          <w:szCs w:val="24"/>
        </w:rPr>
        <w:t>I</w:t>
      </w:r>
      <w:r w:rsidR="0089462F" w:rsidRPr="00644FC9">
        <w:rPr>
          <w:rFonts w:ascii="Times New Roman" w:eastAsia="標楷體" w:hAnsi="Times New Roman" w:cs="Times New Roman"/>
          <w:color w:val="000000" w:themeColor="text1"/>
          <w:szCs w:val="24"/>
        </w:rPr>
        <w:t xml:space="preserve"> define</w:t>
      </w:r>
      <w:r w:rsidR="0023436D" w:rsidRPr="00644FC9">
        <w:rPr>
          <w:rFonts w:ascii="Times New Roman" w:eastAsia="標楷體" w:hAnsi="Times New Roman" w:cs="Times New Roman"/>
          <w:color w:val="000000" w:themeColor="text1"/>
          <w:szCs w:val="24"/>
        </w:rPr>
        <w:t>d</w:t>
      </w:r>
      <w:r w:rsidR="0089462F" w:rsidRPr="00644FC9">
        <w:rPr>
          <w:rFonts w:ascii="Times New Roman" w:eastAsia="標楷體" w:hAnsi="Times New Roman" w:cs="Times New Roman"/>
          <w:color w:val="000000" w:themeColor="text1"/>
          <w:szCs w:val="24"/>
        </w:rPr>
        <w:t xml:space="preserve"> the earnings surprise (</w:t>
      </w:r>
      <w:r w:rsidR="0089462F" w:rsidRPr="00644FC9">
        <w:rPr>
          <w:rFonts w:ascii="Times New Roman" w:eastAsia="標楷體" w:hAnsi="Times New Roman" w:cs="Times New Roman"/>
          <w:i/>
          <w:color w:val="000000" w:themeColor="text1"/>
          <w:szCs w:val="24"/>
        </w:rPr>
        <w:t>UE</w:t>
      </w:r>
      <w:r w:rsidR="0089462F" w:rsidRPr="00644FC9">
        <w:rPr>
          <w:rFonts w:ascii="Times New Roman" w:eastAsia="標楷體" w:hAnsi="Times New Roman" w:cs="Times New Roman"/>
          <w:color w:val="000000" w:themeColor="text1"/>
          <w:szCs w:val="24"/>
        </w:rPr>
        <w:t xml:space="preserve">) as </w:t>
      </w:r>
      <w:r w:rsidR="00931AAD" w:rsidRPr="00644FC9">
        <w:rPr>
          <w:rFonts w:ascii="Times New Roman" w:eastAsia="標楷體" w:hAnsi="Times New Roman" w:cs="Times New Roman"/>
          <w:color w:val="000000" w:themeColor="text1"/>
          <w:szCs w:val="24"/>
        </w:rPr>
        <w:t>earnings per share</w:t>
      </w:r>
      <w:r w:rsidR="0089462F" w:rsidRPr="00644FC9">
        <w:rPr>
          <w:rFonts w:ascii="Times New Roman" w:eastAsia="標楷體" w:hAnsi="Times New Roman" w:cs="Times New Roman"/>
          <w:color w:val="000000" w:themeColor="text1"/>
          <w:szCs w:val="24"/>
        </w:rPr>
        <w:t xml:space="preserve"> </w:t>
      </w:r>
      <w:r w:rsidR="00931AAD" w:rsidRPr="00644FC9">
        <w:rPr>
          <w:rFonts w:ascii="Times New Roman" w:eastAsia="標楷體" w:hAnsi="Times New Roman" w:cs="Times New Roman"/>
          <w:color w:val="000000" w:themeColor="text1"/>
          <w:szCs w:val="24"/>
        </w:rPr>
        <w:t xml:space="preserve">for quarter </w:t>
      </w:r>
      <w:r w:rsidR="00931AAD" w:rsidRPr="00644FC9">
        <w:rPr>
          <w:rFonts w:ascii="Times New Roman" w:eastAsia="標楷體" w:hAnsi="Times New Roman" w:cs="Times New Roman"/>
          <w:i/>
          <w:color w:val="000000" w:themeColor="text1"/>
          <w:szCs w:val="24"/>
        </w:rPr>
        <w:t>t</w:t>
      </w:r>
      <w:r w:rsidR="0023436D" w:rsidRPr="00644FC9">
        <w:rPr>
          <w:rFonts w:ascii="Times New Roman" w:eastAsia="標楷體" w:hAnsi="Times New Roman" w:cs="Times New Roman"/>
          <w:color w:val="000000" w:themeColor="text1"/>
          <w:szCs w:val="24"/>
        </w:rPr>
        <w:t>,</w:t>
      </w:r>
      <w:r w:rsidR="00931AAD" w:rsidRPr="00644FC9">
        <w:rPr>
          <w:rFonts w:ascii="Times New Roman" w:eastAsia="標楷體" w:hAnsi="Times New Roman" w:cs="Times New Roman"/>
          <w:color w:val="000000" w:themeColor="text1"/>
          <w:szCs w:val="24"/>
        </w:rPr>
        <w:t xml:space="preserve"> </w:t>
      </w:r>
      <w:r w:rsidR="0089462F" w:rsidRPr="00644FC9">
        <w:rPr>
          <w:rFonts w:ascii="Times New Roman" w:eastAsia="標楷體" w:hAnsi="Times New Roman" w:cs="Times New Roman"/>
          <w:color w:val="000000" w:themeColor="text1"/>
          <w:szCs w:val="24"/>
        </w:rPr>
        <w:t xml:space="preserve">minus </w:t>
      </w:r>
      <w:r w:rsidR="00931AAD" w:rsidRPr="00644FC9">
        <w:rPr>
          <w:rFonts w:ascii="Times New Roman" w:eastAsia="標楷體" w:hAnsi="Times New Roman" w:cs="Times New Roman"/>
          <w:color w:val="000000" w:themeColor="text1"/>
          <w:szCs w:val="24"/>
        </w:rPr>
        <w:t>earnings per share</w:t>
      </w:r>
      <w:r w:rsidR="003C7296" w:rsidRPr="00644FC9">
        <w:t xml:space="preserve"> </w:t>
      </w:r>
      <w:r w:rsidR="003C7296" w:rsidRPr="00644FC9">
        <w:rPr>
          <w:rFonts w:ascii="Times New Roman" w:eastAsia="標楷體" w:hAnsi="Times New Roman" w:cs="Times New Roman"/>
          <w:color w:val="000000" w:themeColor="text1"/>
          <w:szCs w:val="24"/>
        </w:rPr>
        <w:t xml:space="preserve">for quarter </w:t>
      </w:r>
      <w:r w:rsidR="003C7296" w:rsidRPr="00644FC9">
        <w:rPr>
          <w:rFonts w:ascii="Times New Roman" w:eastAsia="標楷體" w:hAnsi="Times New Roman" w:cs="Times New Roman"/>
          <w:i/>
          <w:color w:val="000000" w:themeColor="text1"/>
          <w:szCs w:val="24"/>
        </w:rPr>
        <w:t>t</w:t>
      </w:r>
      <w:r w:rsidR="003C7296" w:rsidRPr="00644FC9">
        <w:rPr>
          <w:rFonts w:ascii="Times New Roman" w:eastAsia="標楷體" w:hAnsi="Times New Roman" w:cs="Times New Roman"/>
          <w:color w:val="000000" w:themeColor="text1"/>
          <w:szCs w:val="24"/>
        </w:rPr>
        <w:t>-4</w:t>
      </w:r>
      <w:r w:rsidR="0089462F" w:rsidRPr="00644FC9">
        <w:rPr>
          <w:rFonts w:ascii="Times New Roman" w:eastAsia="標楷體" w:hAnsi="Times New Roman" w:cs="Times New Roman"/>
          <w:color w:val="000000" w:themeColor="text1"/>
          <w:szCs w:val="24"/>
        </w:rPr>
        <w:t>, scaled by stock price</w:t>
      </w:r>
      <w:r w:rsidR="003C7296" w:rsidRPr="00644FC9">
        <w:rPr>
          <w:rFonts w:ascii="Times New Roman" w:eastAsia="標楷體" w:hAnsi="Times New Roman" w:cs="Times New Roman"/>
          <w:color w:val="000000" w:themeColor="text1"/>
          <w:szCs w:val="24"/>
        </w:rPr>
        <w:t xml:space="preserve"> per share at the end of quarter </w:t>
      </w:r>
      <w:r w:rsidR="003C7296" w:rsidRPr="00644FC9">
        <w:rPr>
          <w:rFonts w:ascii="Times New Roman" w:eastAsia="標楷體" w:hAnsi="Times New Roman" w:cs="Times New Roman"/>
          <w:i/>
          <w:color w:val="000000" w:themeColor="text1"/>
          <w:szCs w:val="24"/>
        </w:rPr>
        <w:t>t</w:t>
      </w:r>
      <w:r w:rsidR="0089462F" w:rsidRPr="00644FC9">
        <w:rPr>
          <w:rFonts w:ascii="Times New Roman" w:eastAsia="標楷體" w:hAnsi="Times New Roman" w:cs="Times New Roman"/>
          <w:color w:val="000000" w:themeColor="text1"/>
          <w:szCs w:val="24"/>
        </w:rPr>
        <w:t xml:space="preserve">. Then, </w:t>
      </w:r>
      <w:r w:rsidRPr="00644FC9">
        <w:rPr>
          <w:rFonts w:ascii="Times New Roman" w:eastAsia="標楷體" w:hAnsi="Times New Roman" w:cs="Times New Roman"/>
          <w:color w:val="000000" w:themeColor="text1"/>
          <w:szCs w:val="24"/>
        </w:rPr>
        <w:t>I include</w:t>
      </w:r>
      <w:r w:rsidR="0023436D" w:rsidRPr="00644FC9">
        <w:rPr>
          <w:rFonts w:ascii="Times New Roman" w:eastAsia="標楷體" w:hAnsi="Times New Roman" w:cs="Times New Roman"/>
          <w:color w:val="000000" w:themeColor="text1"/>
          <w:szCs w:val="24"/>
        </w:rPr>
        <w:t>d</w:t>
      </w:r>
      <w:r w:rsidRPr="00644FC9">
        <w:rPr>
          <w:rFonts w:ascii="Times New Roman" w:eastAsia="標楷體" w:hAnsi="Times New Roman" w:cs="Times New Roman"/>
          <w:color w:val="000000" w:themeColor="text1"/>
          <w:szCs w:val="24"/>
        </w:rPr>
        <w:t xml:space="preserve"> the </w:t>
      </w:r>
      <w:r w:rsidR="0089462F" w:rsidRPr="00644FC9">
        <w:rPr>
          <w:rFonts w:ascii="Times New Roman" w:eastAsia="標楷體" w:hAnsi="Times New Roman" w:cs="Times New Roman"/>
          <w:color w:val="000000" w:themeColor="text1"/>
          <w:szCs w:val="24"/>
        </w:rPr>
        <w:t xml:space="preserve">unexpected </w:t>
      </w:r>
      <w:r w:rsidRPr="00644FC9">
        <w:rPr>
          <w:rFonts w:ascii="Times New Roman" w:eastAsia="標楷體" w:hAnsi="Times New Roman" w:cs="Times New Roman"/>
          <w:color w:val="000000" w:themeColor="text1"/>
          <w:szCs w:val="24"/>
        </w:rPr>
        <w:t xml:space="preserve">earnings components variables </w:t>
      </w:r>
      <w:r w:rsidRPr="00644FC9">
        <w:rPr>
          <w:rFonts w:ascii="Times New Roman" w:eastAsia="新細明體" w:hAnsi="Times New Roman" w:cs="Times New Roman"/>
          <w:color w:val="000000" w:themeColor="text1"/>
          <w:szCs w:val="24"/>
        </w:rPr>
        <w:t>(</w:t>
      </w:r>
      <w:r w:rsidR="007C661A" w:rsidRPr="00644FC9">
        <w:rPr>
          <w:rFonts w:ascii="Times New Roman" w:eastAsia="新細明體" w:hAnsi="Times New Roman" w:cs="Times New Roman"/>
          <w:i/>
          <w:color w:val="000000" w:themeColor="text1"/>
          <w:szCs w:val="24"/>
        </w:rPr>
        <w:t>UOI</w:t>
      </w:r>
      <w:r w:rsidRPr="00644FC9">
        <w:rPr>
          <w:rFonts w:ascii="Times New Roman" w:eastAsia="新細明體" w:hAnsi="Times New Roman" w:cs="Times New Roman"/>
          <w:color w:val="000000" w:themeColor="text1"/>
          <w:szCs w:val="24"/>
        </w:rPr>
        <w:t xml:space="preserve">, and </w:t>
      </w:r>
      <w:r w:rsidR="007C661A" w:rsidRPr="00644FC9">
        <w:rPr>
          <w:rFonts w:ascii="Times New Roman" w:eastAsia="新細明體" w:hAnsi="Times New Roman" w:cs="Times New Roman"/>
          <w:i/>
          <w:color w:val="000000" w:themeColor="text1"/>
          <w:szCs w:val="24"/>
        </w:rPr>
        <w:t>U</w:t>
      </w:r>
      <w:r w:rsidRPr="00644FC9">
        <w:rPr>
          <w:rFonts w:ascii="Times New Roman" w:eastAsia="新細明體" w:hAnsi="Times New Roman" w:cs="Times New Roman"/>
          <w:i/>
          <w:color w:val="000000" w:themeColor="text1"/>
          <w:szCs w:val="24"/>
        </w:rPr>
        <w:t>NOI</w:t>
      </w:r>
      <w:r w:rsidRPr="00644FC9">
        <w:rPr>
          <w:rFonts w:ascii="Times New Roman" w:eastAsia="新細明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to investigate the association between earnings components and subsequent stock returns. This tells me something about the way earnings are capitalized into prices. If the market correctly prices the information in historical earnings</w:t>
      </w:r>
      <w:r w:rsidR="0023436D" w:rsidRPr="00644FC9">
        <w:rPr>
          <w:rFonts w:ascii="Times New Roman" w:eastAsia="標楷體" w:hAnsi="Times New Roman" w:cs="Times New Roman"/>
          <w:color w:val="000000" w:themeColor="text1"/>
          <w:szCs w:val="24"/>
        </w:rPr>
        <w:t>,</w:t>
      </w:r>
      <w:r w:rsidRPr="00644FC9">
        <w:rPr>
          <w:rFonts w:ascii="Times New Roman" w:eastAsia="標楷體" w:hAnsi="Times New Roman" w:cs="Times New Roman"/>
          <w:color w:val="000000" w:themeColor="text1"/>
          <w:szCs w:val="24"/>
        </w:rPr>
        <w:t xml:space="preserve"> then the coefficients on earnings components variables should be insignificant. </w:t>
      </w:r>
      <w:r w:rsidR="0089462F" w:rsidRPr="00644FC9">
        <w:rPr>
          <w:rFonts w:ascii="Times New Roman" w:eastAsia="新細明體" w:hAnsi="Times New Roman" w:cs="Times New Roman"/>
          <w:color w:val="000000" w:themeColor="text1"/>
          <w:szCs w:val="24"/>
        </w:rPr>
        <w:t xml:space="preserve">Unexpected </w:t>
      </w:r>
      <w:r w:rsidR="0089462F" w:rsidRPr="00644FC9">
        <w:rPr>
          <w:rFonts w:ascii="Times New Roman" w:eastAsia="標楷體" w:hAnsi="Times New Roman" w:cs="Times New Roman"/>
          <w:color w:val="000000" w:themeColor="text1"/>
          <w:szCs w:val="24"/>
        </w:rPr>
        <w:t>operating income</w:t>
      </w:r>
      <w:r w:rsidR="0089462F" w:rsidRPr="00644FC9">
        <w:rPr>
          <w:rFonts w:ascii="Times New Roman" w:eastAsia="新細明體" w:hAnsi="Times New Roman" w:cs="Times New Roman"/>
          <w:color w:val="000000" w:themeColor="text1"/>
          <w:szCs w:val="24"/>
        </w:rPr>
        <w:t xml:space="preserve"> (</w:t>
      </w:r>
      <w:r w:rsidR="0089462F" w:rsidRPr="00644FC9">
        <w:rPr>
          <w:rFonts w:ascii="Times New Roman" w:eastAsia="新細明體" w:hAnsi="Times New Roman" w:cs="Times New Roman"/>
          <w:i/>
          <w:color w:val="000000" w:themeColor="text1"/>
          <w:szCs w:val="24"/>
        </w:rPr>
        <w:t>UOI</w:t>
      </w:r>
      <w:r w:rsidR="0089462F" w:rsidRPr="00644FC9">
        <w:rPr>
          <w:rFonts w:ascii="Times New Roman" w:eastAsia="新細明體" w:hAnsi="Times New Roman" w:cs="Times New Roman"/>
          <w:color w:val="000000" w:themeColor="text1"/>
          <w:szCs w:val="24"/>
        </w:rPr>
        <w:t>)</w:t>
      </w:r>
      <w:r w:rsidR="006B2A97" w:rsidRPr="00644FC9">
        <w:rPr>
          <w:rFonts w:ascii="Times New Roman" w:eastAsia="標楷體" w:hAnsi="Times New Roman" w:cs="Times New Roman"/>
          <w:color w:val="000000" w:themeColor="text1"/>
          <w:szCs w:val="24"/>
        </w:rPr>
        <w:t xml:space="preserve"> </w:t>
      </w:r>
      <w:r w:rsidR="0089462F" w:rsidRPr="00644FC9">
        <w:rPr>
          <w:rFonts w:ascii="Times New Roman" w:eastAsia="標楷體" w:hAnsi="Times New Roman" w:cs="Times New Roman"/>
          <w:color w:val="000000" w:themeColor="text1"/>
          <w:szCs w:val="24"/>
        </w:rPr>
        <w:t xml:space="preserve">is calculated as operating income per share for quarter </w:t>
      </w:r>
      <w:r w:rsidR="0089462F" w:rsidRPr="00644FC9">
        <w:rPr>
          <w:rFonts w:ascii="Times New Roman" w:eastAsia="標楷體" w:hAnsi="Times New Roman" w:cs="Times New Roman"/>
          <w:i/>
          <w:color w:val="000000" w:themeColor="text1"/>
          <w:szCs w:val="24"/>
        </w:rPr>
        <w:t>t</w:t>
      </w:r>
      <w:r w:rsidR="0089462F" w:rsidRPr="00644FC9">
        <w:rPr>
          <w:rFonts w:ascii="Times New Roman" w:eastAsia="標楷體" w:hAnsi="Times New Roman" w:cs="Times New Roman"/>
          <w:color w:val="000000" w:themeColor="text1"/>
          <w:szCs w:val="24"/>
        </w:rPr>
        <w:t xml:space="preserve"> minus operating income per share for quarter </w:t>
      </w:r>
      <w:r w:rsidR="0089462F" w:rsidRPr="00644FC9">
        <w:rPr>
          <w:rFonts w:ascii="Times New Roman" w:eastAsia="標楷體" w:hAnsi="Times New Roman" w:cs="Times New Roman"/>
          <w:i/>
          <w:color w:val="000000" w:themeColor="text1"/>
          <w:szCs w:val="24"/>
        </w:rPr>
        <w:t>t</w:t>
      </w:r>
      <w:r w:rsidR="0089462F" w:rsidRPr="00644FC9">
        <w:rPr>
          <w:rFonts w:ascii="Times New Roman" w:eastAsia="標楷體" w:hAnsi="Times New Roman" w:cs="Times New Roman"/>
          <w:color w:val="000000" w:themeColor="text1"/>
          <w:szCs w:val="24"/>
        </w:rPr>
        <w:t>-4, scale</w:t>
      </w:r>
      <w:r w:rsidR="0023436D" w:rsidRPr="00644FC9">
        <w:rPr>
          <w:rFonts w:ascii="Times New Roman" w:eastAsia="標楷體" w:hAnsi="Times New Roman" w:cs="Times New Roman"/>
          <w:color w:val="000000" w:themeColor="text1"/>
          <w:szCs w:val="24"/>
        </w:rPr>
        <w:t>d</w:t>
      </w:r>
      <w:r w:rsidR="0089462F" w:rsidRPr="00644FC9">
        <w:rPr>
          <w:rFonts w:ascii="Times New Roman" w:eastAsia="標楷體" w:hAnsi="Times New Roman" w:cs="Times New Roman"/>
          <w:color w:val="000000" w:themeColor="text1"/>
          <w:szCs w:val="24"/>
        </w:rPr>
        <w:t xml:space="preserve"> by the price per share at the end of quarter </w:t>
      </w:r>
      <w:r w:rsidR="0089462F" w:rsidRPr="00644FC9">
        <w:rPr>
          <w:rFonts w:ascii="Times New Roman" w:eastAsia="標楷體" w:hAnsi="Times New Roman" w:cs="Times New Roman"/>
          <w:i/>
          <w:color w:val="000000" w:themeColor="text1"/>
          <w:szCs w:val="24"/>
        </w:rPr>
        <w:t>t</w:t>
      </w:r>
      <w:r w:rsidR="0089462F" w:rsidRPr="00644FC9">
        <w:rPr>
          <w:rFonts w:ascii="Times New Roman" w:eastAsia="新細明體" w:hAnsi="Times New Roman" w:cs="Times New Roman"/>
          <w:color w:val="000000" w:themeColor="text1"/>
          <w:szCs w:val="24"/>
        </w:rPr>
        <w:t xml:space="preserve">. </w:t>
      </w:r>
      <w:r w:rsidR="00CC12D7" w:rsidRPr="00644FC9">
        <w:rPr>
          <w:rFonts w:ascii="Times New Roman" w:eastAsia="新細明體" w:hAnsi="Times New Roman" w:cs="Times New Roman"/>
          <w:color w:val="000000" w:themeColor="text1"/>
          <w:szCs w:val="24"/>
        </w:rPr>
        <w:t>Unexpected</w:t>
      </w:r>
      <w:r w:rsidR="00313173" w:rsidRPr="00644FC9">
        <w:rPr>
          <w:rFonts w:ascii="Times New Roman" w:eastAsia="新細明體" w:hAnsi="Times New Roman" w:cs="Times New Roman"/>
          <w:color w:val="000000" w:themeColor="text1"/>
          <w:szCs w:val="24"/>
        </w:rPr>
        <w:t xml:space="preserve"> non-operating </w:t>
      </w:r>
      <w:r w:rsidR="006B2A97" w:rsidRPr="00644FC9">
        <w:rPr>
          <w:rFonts w:ascii="Times New Roman" w:eastAsia="新細明體" w:hAnsi="Times New Roman" w:cs="Times New Roman"/>
          <w:color w:val="000000" w:themeColor="text1"/>
          <w:szCs w:val="24"/>
        </w:rPr>
        <w:t>income for quarter (</w:t>
      </w:r>
      <w:r w:rsidR="006B2A97" w:rsidRPr="00644FC9">
        <w:rPr>
          <w:rFonts w:ascii="Times New Roman" w:eastAsia="新細明體" w:hAnsi="Times New Roman" w:cs="Times New Roman"/>
          <w:i/>
          <w:color w:val="000000" w:themeColor="text1"/>
          <w:szCs w:val="24"/>
        </w:rPr>
        <w:t>UNOI</w:t>
      </w:r>
      <w:r w:rsidR="00CC12D7" w:rsidRPr="00644FC9">
        <w:rPr>
          <w:rFonts w:ascii="Times New Roman" w:eastAsia="新細明體" w:hAnsi="Times New Roman" w:cs="Times New Roman"/>
          <w:color w:val="000000" w:themeColor="text1"/>
          <w:szCs w:val="24"/>
        </w:rPr>
        <w:t>) is calculated as</w:t>
      </w:r>
      <w:r w:rsidR="00313173" w:rsidRPr="00644FC9">
        <w:rPr>
          <w:rFonts w:ascii="Times New Roman" w:eastAsia="新細明體" w:hAnsi="Times New Roman" w:cs="Times New Roman"/>
          <w:color w:val="000000" w:themeColor="text1"/>
          <w:szCs w:val="24"/>
        </w:rPr>
        <w:t xml:space="preserve"> non-operating </w:t>
      </w:r>
      <w:r w:rsidR="006B2A97" w:rsidRPr="00644FC9">
        <w:rPr>
          <w:rFonts w:ascii="Times New Roman" w:eastAsia="新細明體" w:hAnsi="Times New Roman" w:cs="Times New Roman"/>
          <w:color w:val="000000" w:themeColor="text1"/>
          <w:szCs w:val="24"/>
        </w:rPr>
        <w:t xml:space="preserve">income per share for quarter </w:t>
      </w:r>
      <w:r w:rsidR="006B2A97" w:rsidRPr="00644FC9">
        <w:rPr>
          <w:rFonts w:ascii="Times New Roman" w:eastAsia="新細明體" w:hAnsi="Times New Roman" w:cs="Times New Roman"/>
          <w:i/>
          <w:color w:val="000000" w:themeColor="text1"/>
          <w:szCs w:val="24"/>
        </w:rPr>
        <w:t>t</w:t>
      </w:r>
      <w:r w:rsidR="00CC12D7" w:rsidRPr="00644FC9">
        <w:rPr>
          <w:rFonts w:ascii="Times New Roman" w:eastAsia="新細明體" w:hAnsi="Times New Roman" w:cs="Times New Roman"/>
          <w:color w:val="000000" w:themeColor="text1"/>
          <w:szCs w:val="24"/>
        </w:rPr>
        <w:t xml:space="preserve"> minus</w:t>
      </w:r>
      <w:r w:rsidR="00313173" w:rsidRPr="00644FC9">
        <w:rPr>
          <w:rFonts w:ascii="Times New Roman" w:eastAsia="新細明體" w:hAnsi="Times New Roman" w:cs="Times New Roman"/>
          <w:color w:val="000000" w:themeColor="text1"/>
          <w:szCs w:val="24"/>
        </w:rPr>
        <w:t xml:space="preserve"> non-operating </w:t>
      </w:r>
      <w:r w:rsidR="006B2A97" w:rsidRPr="00644FC9">
        <w:rPr>
          <w:rFonts w:ascii="Times New Roman" w:eastAsia="新細明體" w:hAnsi="Times New Roman" w:cs="Times New Roman"/>
          <w:color w:val="000000" w:themeColor="text1"/>
          <w:szCs w:val="24"/>
        </w:rPr>
        <w:t xml:space="preserve">income per share for quarter </w:t>
      </w:r>
      <w:r w:rsidR="006B2A97" w:rsidRPr="00644FC9">
        <w:rPr>
          <w:rFonts w:ascii="Times New Roman" w:eastAsia="新細明體" w:hAnsi="Times New Roman" w:cs="Times New Roman"/>
          <w:i/>
          <w:color w:val="000000" w:themeColor="text1"/>
          <w:szCs w:val="24"/>
        </w:rPr>
        <w:t>t</w:t>
      </w:r>
      <w:r w:rsidR="006B2A97" w:rsidRPr="00644FC9">
        <w:rPr>
          <w:rFonts w:ascii="Times New Roman" w:eastAsia="新細明體" w:hAnsi="Times New Roman" w:cs="Times New Roman"/>
          <w:color w:val="000000" w:themeColor="text1"/>
          <w:szCs w:val="24"/>
        </w:rPr>
        <w:t>-4, scale</w:t>
      </w:r>
      <w:r w:rsidR="0023436D" w:rsidRPr="00644FC9">
        <w:rPr>
          <w:rFonts w:ascii="Times New Roman" w:eastAsia="新細明體" w:hAnsi="Times New Roman" w:cs="Times New Roman"/>
          <w:color w:val="000000" w:themeColor="text1"/>
          <w:szCs w:val="24"/>
        </w:rPr>
        <w:t>d</w:t>
      </w:r>
      <w:r w:rsidR="006B2A97" w:rsidRPr="00644FC9">
        <w:rPr>
          <w:rFonts w:ascii="Times New Roman" w:eastAsia="新細明體" w:hAnsi="Times New Roman" w:cs="Times New Roman"/>
          <w:color w:val="000000" w:themeColor="text1"/>
          <w:szCs w:val="24"/>
        </w:rPr>
        <w:t xml:space="preserve"> by the price per share at the end of quarter </w:t>
      </w:r>
      <w:r w:rsidR="006B2A97" w:rsidRPr="00644FC9">
        <w:rPr>
          <w:rFonts w:ascii="Times New Roman" w:eastAsia="新細明體" w:hAnsi="Times New Roman" w:cs="Times New Roman"/>
          <w:i/>
          <w:color w:val="000000" w:themeColor="text1"/>
          <w:szCs w:val="24"/>
        </w:rPr>
        <w:t>t</w:t>
      </w:r>
      <w:r w:rsidR="006B2A97" w:rsidRPr="00644FC9">
        <w:rPr>
          <w:rFonts w:ascii="Times New Roman" w:eastAsia="新細明體" w:hAnsi="Times New Roman" w:cs="Times New Roman"/>
          <w:color w:val="000000" w:themeColor="text1"/>
          <w:szCs w:val="24"/>
        </w:rPr>
        <w:t>.</w:t>
      </w:r>
      <w:r w:rsidR="00313173" w:rsidRPr="00644FC9">
        <w:rPr>
          <w:rFonts w:ascii="Times New Roman" w:eastAsia="新細明體" w:hAnsi="Times New Roman" w:cs="Times New Roman"/>
          <w:color w:val="000000" w:themeColor="text1"/>
          <w:szCs w:val="24"/>
        </w:rPr>
        <w:t xml:space="preserve"> </w:t>
      </w:r>
      <w:r w:rsidR="0023436D" w:rsidRPr="00644FC9">
        <w:rPr>
          <w:rFonts w:ascii="Times New Roman" w:eastAsia="新細明體" w:hAnsi="Times New Roman" w:cs="Times New Roman"/>
          <w:color w:val="000000" w:themeColor="text1"/>
          <w:szCs w:val="24"/>
        </w:rPr>
        <w:t>N</w:t>
      </w:r>
      <w:r w:rsidR="00313173" w:rsidRPr="00644FC9">
        <w:rPr>
          <w:rFonts w:ascii="Times New Roman" w:eastAsia="新細明體" w:hAnsi="Times New Roman" w:cs="Times New Roman"/>
          <w:color w:val="000000" w:themeColor="text1"/>
          <w:szCs w:val="24"/>
        </w:rPr>
        <w:t xml:space="preserve">on-operating </w:t>
      </w:r>
      <w:r w:rsidR="006B2A97" w:rsidRPr="00644FC9">
        <w:rPr>
          <w:rFonts w:ascii="Times New Roman" w:eastAsia="新細明體" w:hAnsi="Times New Roman" w:cs="Times New Roman"/>
          <w:color w:val="000000" w:themeColor="text1"/>
          <w:szCs w:val="24"/>
        </w:rPr>
        <w:t>income is calculated as earnings per share minus operating income.</w:t>
      </w:r>
    </w:p>
    <w:p w14:paraId="0FAA99B3" w14:textId="48D748F1" w:rsidR="008B38F9" w:rsidRPr="00644FC9" w:rsidRDefault="007C661A" w:rsidP="008B38F9">
      <w:pPr>
        <w:spacing w:line="480" w:lineRule="auto"/>
        <w:ind w:firstLineChars="200" w:firstLine="480"/>
        <w:jc w:val="both"/>
        <w:rPr>
          <w:rFonts w:ascii="Times New Roman" w:eastAsia="標楷體" w:hAnsi="Times New Roman" w:cs="Times New Roman"/>
          <w:color w:val="000000" w:themeColor="text1"/>
          <w:szCs w:val="24"/>
        </w:rPr>
      </w:pPr>
      <w:r w:rsidRPr="00644FC9">
        <w:rPr>
          <w:rFonts w:ascii="Times New Roman" w:eastAsia="標楷體" w:hAnsi="Times New Roman" w:cs="Times New Roman"/>
          <w:color w:val="000000" w:themeColor="text1"/>
          <w:szCs w:val="24"/>
        </w:rPr>
        <w:lastRenderedPageBreak/>
        <w:t>These analyse</w:t>
      </w:r>
      <w:r w:rsidR="008B38F9" w:rsidRPr="00644FC9">
        <w:rPr>
          <w:rFonts w:ascii="Times New Roman" w:eastAsia="標楷體" w:hAnsi="Times New Roman" w:cs="Times New Roman"/>
          <w:color w:val="000000" w:themeColor="text1"/>
          <w:szCs w:val="24"/>
        </w:rPr>
        <w:t xml:space="preserve">s control for a set of variables that prior literature shows to be associated with </w:t>
      </w:r>
      <w:r w:rsidRPr="00644FC9">
        <w:rPr>
          <w:rFonts w:ascii="Times New Roman" w:eastAsia="標楷體" w:hAnsi="Times New Roman" w:cs="Times New Roman"/>
          <w:color w:val="000000" w:themeColor="text1"/>
          <w:szCs w:val="24"/>
        </w:rPr>
        <w:t>subsequent stock returns</w:t>
      </w:r>
      <w:r w:rsidR="008B38F9" w:rsidRPr="00644FC9">
        <w:rPr>
          <w:rFonts w:ascii="Times New Roman" w:eastAsia="標楷體" w:hAnsi="Times New Roman" w:cs="Times New Roman"/>
          <w:color w:val="000000" w:themeColor="text1"/>
          <w:szCs w:val="24"/>
        </w:rPr>
        <w:t>.</w:t>
      </w:r>
      <w:r w:rsidRPr="00644FC9">
        <w:rPr>
          <w:rFonts w:ascii="Times New Roman" w:hAnsi="Times New Roman" w:cs="Times New Roman"/>
          <w:color w:val="000000" w:themeColor="text1"/>
        </w:rPr>
        <w:t xml:space="preserve"> </w:t>
      </w:r>
      <w:r w:rsidRPr="00644FC9">
        <w:rPr>
          <w:rFonts w:ascii="Times New Roman" w:eastAsia="標楷體" w:hAnsi="Times New Roman" w:cs="Times New Roman"/>
          <w:color w:val="000000" w:themeColor="text1"/>
          <w:szCs w:val="24"/>
        </w:rPr>
        <w:t xml:space="preserve">Specifically, </w:t>
      </w:r>
      <w:r w:rsidR="008B38F9" w:rsidRPr="00644FC9">
        <w:rPr>
          <w:rFonts w:ascii="Times New Roman" w:eastAsia="標楷體" w:hAnsi="Times New Roman" w:cs="Times New Roman"/>
          <w:color w:val="000000" w:themeColor="text1"/>
          <w:szCs w:val="24"/>
        </w:rPr>
        <w:t>I control for firm size (</w:t>
      </w:r>
      <w:r w:rsidR="008B38F9" w:rsidRPr="00644FC9">
        <w:rPr>
          <w:rFonts w:ascii="Times New Roman" w:eastAsia="標楷體" w:hAnsi="Times New Roman" w:cs="Times New Roman"/>
          <w:i/>
          <w:color w:val="000000" w:themeColor="text1"/>
          <w:szCs w:val="24"/>
        </w:rPr>
        <w:t>SIZE</w:t>
      </w:r>
      <w:r w:rsidR="008B38F9" w:rsidRPr="00644FC9">
        <w:rPr>
          <w:rFonts w:ascii="Times New Roman" w:eastAsia="標楷體" w:hAnsi="Times New Roman" w:cs="Times New Roman"/>
          <w:color w:val="000000" w:themeColor="text1"/>
          <w:szCs w:val="24"/>
        </w:rPr>
        <w:t>), beta (</w:t>
      </w:r>
      <w:r w:rsidR="008B38F9" w:rsidRPr="00644FC9">
        <w:rPr>
          <w:rFonts w:ascii="Times New Roman" w:eastAsia="標楷體" w:hAnsi="Times New Roman" w:cs="Times New Roman"/>
          <w:i/>
          <w:color w:val="000000" w:themeColor="text1"/>
          <w:szCs w:val="24"/>
        </w:rPr>
        <w:t>BETA</w:t>
      </w:r>
      <w:r w:rsidR="008B38F9" w:rsidRPr="00644FC9">
        <w:rPr>
          <w:rFonts w:ascii="Times New Roman" w:eastAsia="標楷體" w:hAnsi="Times New Roman" w:cs="Times New Roman"/>
          <w:color w:val="000000" w:themeColor="text1"/>
          <w:szCs w:val="24"/>
        </w:rPr>
        <w:t>), book-to-market ratio (</w:t>
      </w:r>
      <w:r w:rsidR="008B38F9" w:rsidRPr="00644FC9">
        <w:rPr>
          <w:rFonts w:ascii="Times New Roman" w:eastAsia="標楷體" w:hAnsi="Times New Roman" w:cs="Times New Roman"/>
          <w:i/>
          <w:color w:val="000000" w:themeColor="text1"/>
          <w:szCs w:val="24"/>
        </w:rPr>
        <w:t>BTM</w:t>
      </w:r>
      <w:r w:rsidR="008B38F9" w:rsidRPr="00644FC9">
        <w:rPr>
          <w:rFonts w:ascii="Times New Roman" w:eastAsia="標楷體" w:hAnsi="Times New Roman" w:cs="Times New Roman"/>
          <w:color w:val="000000" w:themeColor="text1"/>
          <w:szCs w:val="24"/>
        </w:rPr>
        <w:t xml:space="preserve">), </w:t>
      </w:r>
      <w:r w:rsidR="0023436D" w:rsidRPr="00644FC9">
        <w:rPr>
          <w:rFonts w:ascii="Times New Roman" w:eastAsia="標楷體" w:hAnsi="Times New Roman" w:cs="Times New Roman"/>
          <w:color w:val="000000" w:themeColor="text1"/>
          <w:szCs w:val="24"/>
        </w:rPr>
        <w:t xml:space="preserve">and </w:t>
      </w:r>
      <w:r w:rsidR="008B38F9" w:rsidRPr="00644FC9">
        <w:rPr>
          <w:rFonts w:ascii="Times New Roman" w:eastAsia="標楷體" w:hAnsi="Times New Roman" w:cs="Times New Roman"/>
          <w:color w:val="000000" w:themeColor="text1"/>
          <w:szCs w:val="24"/>
        </w:rPr>
        <w:t>momentum (</w:t>
      </w:r>
      <w:r w:rsidR="008B38F9" w:rsidRPr="00644FC9">
        <w:rPr>
          <w:rFonts w:ascii="Times New Roman" w:eastAsia="標楷體" w:hAnsi="Times New Roman" w:cs="Times New Roman"/>
          <w:i/>
          <w:color w:val="000000" w:themeColor="text1"/>
          <w:szCs w:val="24"/>
        </w:rPr>
        <w:t>MOM</w:t>
      </w:r>
      <w:r w:rsidR="008B38F9" w:rsidRPr="00644FC9">
        <w:rPr>
          <w:rFonts w:ascii="Times New Roman" w:eastAsia="標楷體" w:hAnsi="Times New Roman" w:cs="Times New Roman"/>
          <w:color w:val="000000" w:themeColor="text1"/>
          <w:szCs w:val="24"/>
        </w:rPr>
        <w:t>) because prior studies have demonstrated that they are associated with future stock returns (</w:t>
      </w:r>
      <w:proofErr w:type="spellStart"/>
      <w:r w:rsidR="008B38F9" w:rsidRPr="00644FC9">
        <w:rPr>
          <w:rFonts w:ascii="Times New Roman" w:eastAsia="標楷體" w:hAnsi="Times New Roman" w:cs="Times New Roman"/>
          <w:color w:val="000000" w:themeColor="text1"/>
          <w:szCs w:val="24"/>
        </w:rPr>
        <w:t>Carhart</w:t>
      </w:r>
      <w:proofErr w:type="spellEnd"/>
      <w:r w:rsidR="008B38F9" w:rsidRPr="00644FC9">
        <w:rPr>
          <w:rFonts w:ascii="Times New Roman" w:eastAsia="標楷體" w:hAnsi="Times New Roman" w:cs="Times New Roman"/>
          <w:color w:val="000000" w:themeColor="text1"/>
          <w:szCs w:val="24"/>
        </w:rPr>
        <w:t xml:space="preserve">, 1997; </w:t>
      </w:r>
      <w:proofErr w:type="spellStart"/>
      <w:r w:rsidR="008B38F9" w:rsidRPr="00644FC9">
        <w:rPr>
          <w:rFonts w:ascii="Times New Roman" w:eastAsia="標楷體" w:hAnsi="Times New Roman" w:cs="Times New Roman"/>
          <w:color w:val="000000" w:themeColor="text1"/>
          <w:szCs w:val="24"/>
        </w:rPr>
        <w:t>Shivakumar</w:t>
      </w:r>
      <w:proofErr w:type="spellEnd"/>
      <w:r w:rsidR="008B38F9" w:rsidRPr="00644FC9">
        <w:rPr>
          <w:rFonts w:ascii="Times New Roman" w:eastAsia="標楷體" w:hAnsi="Times New Roman" w:cs="Times New Roman"/>
          <w:color w:val="000000" w:themeColor="text1"/>
          <w:szCs w:val="24"/>
        </w:rPr>
        <w:t xml:space="preserve">, 2006). </w:t>
      </w:r>
    </w:p>
    <w:p w14:paraId="1ED7155C" w14:textId="77777777" w:rsidR="00B14F1C" w:rsidRPr="00644FC9" w:rsidRDefault="00B14F1C" w:rsidP="00B14F1C">
      <w:pPr>
        <w:spacing w:line="480" w:lineRule="auto"/>
        <w:ind w:firstLineChars="200" w:firstLine="480"/>
        <w:rPr>
          <w:rFonts w:ascii="Times New Roman" w:hAnsi="Times New Roman" w:cs="Times New Roman"/>
          <w:color w:val="000000" w:themeColor="text1"/>
          <w:szCs w:val="24"/>
        </w:rPr>
      </w:pPr>
    </w:p>
    <w:p w14:paraId="3C5B4024" w14:textId="534BE197" w:rsidR="00B14F1C" w:rsidRPr="00F267BD" w:rsidRDefault="006C7EA2" w:rsidP="006C7EA2">
      <w:pPr>
        <w:spacing w:line="480" w:lineRule="auto"/>
        <w:jc w:val="both"/>
        <w:rPr>
          <w:rFonts w:ascii="Times New Roman" w:hAnsi="Times New Roman" w:cs="Times New Roman"/>
          <w:b/>
          <w:bCs/>
          <w:color w:val="000000" w:themeColor="text1"/>
          <w:szCs w:val="24"/>
        </w:rPr>
      </w:pPr>
      <w:r w:rsidRPr="00F267BD">
        <w:rPr>
          <w:rFonts w:ascii="Times New Roman" w:hAnsi="Times New Roman" w:cs="Times New Roman"/>
          <w:b/>
          <w:bCs/>
          <w:color w:val="000000" w:themeColor="text1"/>
          <w:szCs w:val="24"/>
        </w:rPr>
        <w:t>4 Empirical results</w:t>
      </w:r>
    </w:p>
    <w:p w14:paraId="13B87721" w14:textId="18EA1F9F" w:rsidR="00A92677" w:rsidRPr="00644FC9" w:rsidRDefault="001B3ED5" w:rsidP="00710EAF">
      <w:pPr>
        <w:widowControl/>
        <w:spacing w:line="480" w:lineRule="auto"/>
        <w:ind w:firstLineChars="200" w:firstLine="480"/>
        <w:jc w:val="both"/>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 xml:space="preserve">Table 1 provides statistics </w:t>
      </w:r>
      <w:r w:rsidR="00EF6B4C" w:rsidRPr="00644FC9">
        <w:rPr>
          <w:rFonts w:ascii="Times New Roman" w:eastAsia="新細明體" w:hAnsi="Times New Roman" w:cs="Times New Roman"/>
          <w:color w:val="000000" w:themeColor="text1"/>
          <w:kern w:val="0"/>
          <w:szCs w:val="24"/>
        </w:rPr>
        <w:t xml:space="preserve">for the final sample based </w:t>
      </w:r>
      <w:r w:rsidRPr="00644FC9">
        <w:rPr>
          <w:rFonts w:ascii="Times New Roman" w:eastAsia="新細明體" w:hAnsi="Times New Roman" w:cs="Times New Roman"/>
          <w:color w:val="000000" w:themeColor="text1"/>
          <w:kern w:val="0"/>
          <w:szCs w:val="24"/>
        </w:rPr>
        <w:t xml:space="preserve">on the decile portfolios formed by </w:t>
      </w:r>
      <w:r w:rsidR="00EF6B4C" w:rsidRPr="00644FC9">
        <w:rPr>
          <w:rFonts w:ascii="Times New Roman" w:eastAsia="新細明體" w:hAnsi="Times New Roman" w:cs="Times New Roman"/>
          <w:color w:val="000000" w:themeColor="text1"/>
          <w:kern w:val="0"/>
          <w:szCs w:val="24"/>
        </w:rPr>
        <w:t xml:space="preserve">quarterly </w:t>
      </w:r>
      <w:r w:rsidRPr="00644FC9">
        <w:rPr>
          <w:rFonts w:ascii="Times New Roman" w:eastAsia="新細明體" w:hAnsi="Times New Roman" w:cs="Times New Roman"/>
          <w:color w:val="000000" w:themeColor="text1"/>
          <w:kern w:val="0"/>
          <w:szCs w:val="24"/>
        </w:rPr>
        <w:t>ranking firms on the magnitude of the earnings</w:t>
      </w:r>
      <w:r w:rsidR="0016598B" w:rsidRPr="00644FC9">
        <w:rPr>
          <w:rFonts w:ascii="Times New Roman" w:eastAsia="新細明體" w:hAnsi="Times New Roman" w:cs="Times New Roman"/>
          <w:color w:val="000000" w:themeColor="text1"/>
          <w:kern w:val="0"/>
          <w:szCs w:val="24"/>
        </w:rPr>
        <w:t xml:space="preserve"> surprises</w:t>
      </w:r>
      <w:r w:rsidRPr="00644FC9">
        <w:rPr>
          <w:rFonts w:ascii="Times New Roman" w:eastAsia="新細明體" w:hAnsi="Times New Roman" w:cs="Times New Roman"/>
          <w:color w:val="000000" w:themeColor="text1"/>
          <w:kern w:val="0"/>
          <w:szCs w:val="24"/>
        </w:rPr>
        <w:t xml:space="preserve">. Panel </w:t>
      </w:r>
      <w:proofErr w:type="gramStart"/>
      <w:r w:rsidRPr="00644FC9">
        <w:rPr>
          <w:rFonts w:ascii="Times New Roman" w:eastAsia="新細明體" w:hAnsi="Times New Roman" w:cs="Times New Roman"/>
          <w:color w:val="000000" w:themeColor="text1"/>
          <w:kern w:val="0"/>
          <w:szCs w:val="24"/>
        </w:rPr>
        <w:t>A</w:t>
      </w:r>
      <w:proofErr w:type="gramEnd"/>
      <w:r w:rsidRPr="00644FC9">
        <w:rPr>
          <w:rFonts w:ascii="Times New Roman" w:eastAsia="新細明體" w:hAnsi="Times New Roman" w:cs="Times New Roman"/>
          <w:color w:val="000000" w:themeColor="text1"/>
          <w:kern w:val="0"/>
          <w:szCs w:val="24"/>
        </w:rPr>
        <w:t xml:space="preserve"> reports the portfolio mean values for the magnitudes of </w:t>
      </w:r>
      <w:r w:rsidR="00EF6B4C" w:rsidRPr="00644FC9">
        <w:rPr>
          <w:rFonts w:ascii="Times New Roman" w:eastAsia="新細明體" w:hAnsi="Times New Roman" w:cs="Times New Roman"/>
          <w:color w:val="000000" w:themeColor="text1"/>
          <w:kern w:val="0"/>
          <w:szCs w:val="24"/>
        </w:rPr>
        <w:t xml:space="preserve">unexpected </w:t>
      </w:r>
      <w:r w:rsidRPr="00644FC9">
        <w:rPr>
          <w:rFonts w:ascii="Times New Roman" w:eastAsia="新細明體" w:hAnsi="Times New Roman" w:cs="Times New Roman"/>
          <w:color w:val="000000" w:themeColor="text1"/>
          <w:kern w:val="0"/>
          <w:szCs w:val="24"/>
        </w:rPr>
        <w:t xml:space="preserve">earnings </w:t>
      </w:r>
      <w:r w:rsidR="00EF6B4C" w:rsidRPr="00644FC9">
        <w:rPr>
          <w:rFonts w:ascii="Times New Roman" w:eastAsia="新細明體" w:hAnsi="Times New Roman" w:cs="Times New Roman"/>
          <w:color w:val="000000" w:themeColor="text1"/>
          <w:kern w:val="0"/>
          <w:szCs w:val="24"/>
        </w:rPr>
        <w:t>(</w:t>
      </w:r>
      <w:r w:rsidR="00EF6B4C" w:rsidRPr="00644FC9">
        <w:rPr>
          <w:rFonts w:ascii="Times New Roman" w:eastAsia="新細明體" w:hAnsi="Times New Roman" w:cs="Times New Roman"/>
          <w:i/>
          <w:color w:val="000000" w:themeColor="text1"/>
          <w:kern w:val="0"/>
          <w:szCs w:val="24"/>
        </w:rPr>
        <w:t>UE</w:t>
      </w:r>
      <w:r w:rsidR="00EF6B4C" w:rsidRPr="00644FC9">
        <w:rPr>
          <w:rFonts w:ascii="Times New Roman" w:eastAsia="新細明體" w:hAnsi="Times New Roman" w:cs="Times New Roman"/>
          <w:color w:val="000000" w:themeColor="text1"/>
          <w:kern w:val="0"/>
          <w:szCs w:val="24"/>
        </w:rPr>
        <w:t xml:space="preserve">) </w:t>
      </w:r>
      <w:r w:rsidRPr="00644FC9">
        <w:rPr>
          <w:rFonts w:ascii="Times New Roman" w:eastAsia="新細明體" w:hAnsi="Times New Roman" w:cs="Times New Roman"/>
          <w:color w:val="000000" w:themeColor="text1"/>
          <w:kern w:val="0"/>
          <w:szCs w:val="24"/>
        </w:rPr>
        <w:t>and its two components</w:t>
      </w:r>
      <w:r w:rsidR="00EF6B4C" w:rsidRPr="00644FC9">
        <w:rPr>
          <w:rFonts w:ascii="Times New Roman" w:eastAsia="新細明體" w:hAnsi="Times New Roman" w:cs="Times New Roman"/>
          <w:color w:val="000000" w:themeColor="text1"/>
          <w:kern w:val="0"/>
          <w:szCs w:val="24"/>
        </w:rPr>
        <w:t xml:space="preserve"> (</w:t>
      </w:r>
      <w:r w:rsidR="00EF6B4C" w:rsidRPr="00644FC9">
        <w:rPr>
          <w:rFonts w:ascii="Times New Roman" w:eastAsia="新細明體" w:hAnsi="Times New Roman" w:cs="Times New Roman"/>
          <w:i/>
          <w:color w:val="000000" w:themeColor="text1"/>
          <w:kern w:val="0"/>
          <w:szCs w:val="24"/>
        </w:rPr>
        <w:t>UOI</w:t>
      </w:r>
      <w:r w:rsidR="00EF6B4C" w:rsidRPr="00644FC9">
        <w:rPr>
          <w:rFonts w:ascii="Times New Roman" w:eastAsia="新細明體" w:hAnsi="Times New Roman" w:cs="Times New Roman"/>
          <w:color w:val="000000" w:themeColor="text1"/>
          <w:kern w:val="0"/>
          <w:szCs w:val="24"/>
        </w:rPr>
        <w:t xml:space="preserve"> and </w:t>
      </w:r>
      <w:r w:rsidR="00EF6B4C" w:rsidRPr="00644FC9">
        <w:rPr>
          <w:rFonts w:ascii="Times New Roman" w:eastAsia="新細明體" w:hAnsi="Times New Roman" w:cs="Times New Roman"/>
          <w:i/>
          <w:color w:val="000000" w:themeColor="text1"/>
          <w:kern w:val="0"/>
          <w:szCs w:val="24"/>
        </w:rPr>
        <w:t>UNOI</w:t>
      </w:r>
      <w:r w:rsidR="00EF6B4C" w:rsidRPr="00644FC9">
        <w:rPr>
          <w:rFonts w:ascii="Times New Roman" w:eastAsia="新細明體" w:hAnsi="Times New Roman" w:cs="Times New Roman"/>
          <w:color w:val="000000" w:themeColor="text1"/>
          <w:kern w:val="0"/>
          <w:szCs w:val="24"/>
        </w:rPr>
        <w:t>)</w:t>
      </w:r>
      <w:r w:rsidRPr="00644FC9">
        <w:rPr>
          <w:rFonts w:ascii="Times New Roman" w:eastAsia="新細明體" w:hAnsi="Times New Roman" w:cs="Times New Roman"/>
          <w:color w:val="000000" w:themeColor="text1"/>
          <w:kern w:val="0"/>
          <w:szCs w:val="24"/>
        </w:rPr>
        <w:t xml:space="preserve">. </w:t>
      </w:r>
      <w:r w:rsidR="00F8321B" w:rsidRPr="00644FC9">
        <w:rPr>
          <w:rFonts w:ascii="Times New Roman" w:eastAsia="新細明體" w:hAnsi="Times New Roman" w:cs="Times New Roman"/>
          <w:color w:val="000000" w:themeColor="text1"/>
          <w:kern w:val="0"/>
          <w:szCs w:val="24"/>
        </w:rPr>
        <w:t>The mean</w:t>
      </w:r>
      <w:r w:rsidRPr="00644FC9">
        <w:rPr>
          <w:rFonts w:ascii="Times New Roman" w:eastAsia="新細明體" w:hAnsi="Times New Roman" w:cs="Times New Roman"/>
          <w:color w:val="000000" w:themeColor="text1"/>
          <w:kern w:val="0"/>
          <w:szCs w:val="24"/>
        </w:rPr>
        <w:t xml:space="preserve"> value of </w:t>
      </w:r>
      <w:r w:rsidR="00F8321B" w:rsidRPr="00644FC9">
        <w:rPr>
          <w:rFonts w:ascii="Times New Roman" w:eastAsia="新細明體" w:hAnsi="Times New Roman" w:cs="Times New Roman"/>
          <w:color w:val="000000" w:themeColor="text1"/>
          <w:kern w:val="0"/>
          <w:szCs w:val="24"/>
        </w:rPr>
        <w:t>unexpected operating income</w:t>
      </w:r>
      <w:r w:rsidRPr="00644FC9">
        <w:rPr>
          <w:rFonts w:ascii="Times New Roman" w:eastAsia="新細明體" w:hAnsi="Times New Roman" w:cs="Times New Roman"/>
          <w:color w:val="000000" w:themeColor="text1"/>
          <w:kern w:val="0"/>
          <w:szCs w:val="24"/>
        </w:rPr>
        <w:t xml:space="preserve"> </w:t>
      </w:r>
      <w:r w:rsidR="00F8321B" w:rsidRPr="00644FC9">
        <w:rPr>
          <w:rFonts w:ascii="Times New Roman" w:eastAsia="新細明體" w:hAnsi="Times New Roman" w:cs="Times New Roman"/>
          <w:color w:val="000000" w:themeColor="text1"/>
          <w:kern w:val="0"/>
          <w:szCs w:val="24"/>
        </w:rPr>
        <w:t>(</w:t>
      </w:r>
      <w:r w:rsidR="008B1418">
        <w:rPr>
          <w:rFonts w:ascii="Times New Roman" w:eastAsia="新細明體" w:hAnsi="Times New Roman" w:cs="Times New Roman"/>
          <w:color w:val="000000" w:themeColor="text1"/>
          <w:kern w:val="0"/>
          <w:szCs w:val="24"/>
        </w:rPr>
        <w:t>non-operating</w:t>
      </w:r>
      <w:r w:rsidR="00F8321B" w:rsidRPr="00644FC9">
        <w:rPr>
          <w:rFonts w:ascii="Times New Roman" w:eastAsia="新細明體" w:hAnsi="Times New Roman" w:cs="Times New Roman"/>
          <w:color w:val="000000" w:themeColor="text1"/>
          <w:kern w:val="0"/>
          <w:szCs w:val="24"/>
        </w:rPr>
        <w:t xml:space="preserve"> income) </w:t>
      </w:r>
      <w:r w:rsidRPr="00644FC9">
        <w:rPr>
          <w:rFonts w:ascii="Times New Roman" w:eastAsia="新細明體" w:hAnsi="Times New Roman" w:cs="Times New Roman"/>
          <w:color w:val="000000" w:themeColor="text1"/>
          <w:kern w:val="0"/>
          <w:szCs w:val="24"/>
        </w:rPr>
        <w:t>falls</w:t>
      </w:r>
      <w:r w:rsidR="00F8321B" w:rsidRPr="00644FC9">
        <w:rPr>
          <w:rFonts w:ascii="Times New Roman" w:eastAsia="新細明體" w:hAnsi="Times New Roman" w:cs="Times New Roman"/>
          <w:color w:val="000000" w:themeColor="text1"/>
          <w:kern w:val="0"/>
          <w:szCs w:val="24"/>
        </w:rPr>
        <w:t xml:space="preserve"> from -0.050 (-0.031)</w:t>
      </w:r>
      <w:r w:rsidRPr="00644FC9">
        <w:rPr>
          <w:rFonts w:ascii="Times New Roman" w:eastAsia="新細明體" w:hAnsi="Times New Roman" w:cs="Times New Roman"/>
          <w:color w:val="000000" w:themeColor="text1"/>
          <w:kern w:val="0"/>
          <w:szCs w:val="24"/>
        </w:rPr>
        <w:t xml:space="preserve"> for the lowest </w:t>
      </w:r>
      <w:r w:rsidR="00F8321B" w:rsidRPr="00644FC9">
        <w:rPr>
          <w:rFonts w:ascii="Times New Roman" w:eastAsia="新細明體" w:hAnsi="Times New Roman" w:cs="Times New Roman"/>
          <w:color w:val="000000" w:themeColor="text1"/>
          <w:kern w:val="0"/>
          <w:szCs w:val="24"/>
        </w:rPr>
        <w:t xml:space="preserve">unexpected earnings </w:t>
      </w:r>
      <w:r w:rsidRPr="00644FC9">
        <w:rPr>
          <w:rFonts w:ascii="Times New Roman" w:eastAsia="新細明體" w:hAnsi="Times New Roman" w:cs="Times New Roman"/>
          <w:color w:val="000000" w:themeColor="text1"/>
          <w:kern w:val="0"/>
          <w:szCs w:val="24"/>
        </w:rPr>
        <w:t>portfolio</w:t>
      </w:r>
      <w:r w:rsidR="003B6D15" w:rsidRPr="00644FC9">
        <w:rPr>
          <w:rFonts w:ascii="Times New Roman" w:eastAsia="新細明體" w:hAnsi="Times New Roman" w:cs="Times New Roman"/>
          <w:color w:val="000000" w:themeColor="text1"/>
          <w:kern w:val="0"/>
          <w:szCs w:val="24"/>
        </w:rPr>
        <w:t>,</w:t>
      </w:r>
      <w:r w:rsidRPr="00644FC9">
        <w:rPr>
          <w:rFonts w:ascii="Times New Roman" w:eastAsia="新細明體" w:hAnsi="Times New Roman" w:cs="Times New Roman"/>
          <w:color w:val="000000" w:themeColor="text1"/>
          <w:kern w:val="0"/>
          <w:szCs w:val="24"/>
        </w:rPr>
        <w:t xml:space="preserve"> to </w:t>
      </w:r>
      <w:r w:rsidR="00F8321B" w:rsidRPr="00644FC9">
        <w:rPr>
          <w:rFonts w:ascii="Times New Roman" w:eastAsia="新細明體" w:hAnsi="Times New Roman" w:cs="Times New Roman"/>
          <w:color w:val="000000" w:themeColor="text1"/>
          <w:kern w:val="0"/>
          <w:szCs w:val="24"/>
        </w:rPr>
        <w:t>0.0</w:t>
      </w:r>
      <w:r w:rsidR="00C75228" w:rsidRPr="00644FC9">
        <w:rPr>
          <w:rFonts w:ascii="Times New Roman" w:eastAsia="新細明體" w:hAnsi="Times New Roman" w:cs="Times New Roman" w:hint="eastAsia"/>
          <w:color w:val="000000" w:themeColor="text1"/>
          <w:kern w:val="0"/>
          <w:szCs w:val="24"/>
        </w:rPr>
        <w:t>50</w:t>
      </w:r>
      <w:r w:rsidR="00F8321B" w:rsidRPr="00644FC9">
        <w:rPr>
          <w:rFonts w:ascii="Times New Roman" w:eastAsia="新細明體" w:hAnsi="Times New Roman" w:cs="Times New Roman"/>
          <w:color w:val="000000" w:themeColor="text1"/>
          <w:kern w:val="0"/>
          <w:szCs w:val="24"/>
        </w:rPr>
        <w:t xml:space="preserve"> (0.037</w:t>
      </w:r>
      <w:r w:rsidRPr="00644FC9">
        <w:rPr>
          <w:rFonts w:ascii="Times New Roman" w:eastAsia="新細明體" w:hAnsi="Times New Roman" w:cs="Times New Roman"/>
          <w:color w:val="000000" w:themeColor="text1"/>
          <w:kern w:val="0"/>
          <w:szCs w:val="24"/>
        </w:rPr>
        <w:t xml:space="preserve">) for the highest </w:t>
      </w:r>
      <w:r w:rsidR="00821947" w:rsidRPr="00644FC9">
        <w:rPr>
          <w:rFonts w:ascii="Times New Roman" w:eastAsia="新細明體" w:hAnsi="Times New Roman" w:cs="Times New Roman"/>
          <w:color w:val="000000" w:themeColor="text1"/>
          <w:kern w:val="0"/>
          <w:szCs w:val="24"/>
        </w:rPr>
        <w:t>unexpected earnings</w:t>
      </w:r>
      <w:r w:rsidRPr="00644FC9">
        <w:rPr>
          <w:rFonts w:ascii="Times New Roman" w:eastAsia="新細明體" w:hAnsi="Times New Roman" w:cs="Times New Roman"/>
          <w:color w:val="000000" w:themeColor="text1"/>
          <w:kern w:val="0"/>
          <w:szCs w:val="24"/>
        </w:rPr>
        <w:t xml:space="preserve"> portfolio. </w:t>
      </w:r>
      <w:r w:rsidR="003A00CB" w:rsidRPr="00644FC9">
        <w:rPr>
          <w:rFonts w:ascii="Times New Roman" w:eastAsia="新細明體" w:hAnsi="Times New Roman" w:cs="Times New Roman"/>
          <w:color w:val="000000" w:themeColor="text1"/>
          <w:kern w:val="0"/>
          <w:szCs w:val="24"/>
        </w:rPr>
        <w:t>The</w:t>
      </w:r>
      <w:r w:rsidR="003A00CB" w:rsidRPr="00644FC9">
        <w:rPr>
          <w:rFonts w:ascii="Times New Roman" w:hAnsi="Times New Roman" w:cs="Times New Roman"/>
          <w:color w:val="000000" w:themeColor="text1"/>
        </w:rPr>
        <w:t xml:space="preserve"> </w:t>
      </w:r>
      <w:r w:rsidR="003A00CB" w:rsidRPr="00644FC9">
        <w:rPr>
          <w:rFonts w:ascii="Times New Roman" w:eastAsia="新細明體" w:hAnsi="Times New Roman" w:cs="Times New Roman"/>
          <w:color w:val="000000" w:themeColor="text1"/>
          <w:kern w:val="0"/>
          <w:szCs w:val="24"/>
        </w:rPr>
        <w:t xml:space="preserve">unexpected earnings trading strategy predicts positive (negative) excess returns for firms in the most positive (negative) </w:t>
      </w:r>
      <w:r w:rsidR="003A00CB" w:rsidRPr="00644FC9">
        <w:rPr>
          <w:rFonts w:ascii="Times New Roman" w:eastAsia="新細明體" w:hAnsi="Times New Roman" w:cs="Times New Roman"/>
          <w:i/>
          <w:color w:val="000000" w:themeColor="text1"/>
          <w:kern w:val="0"/>
          <w:szCs w:val="24"/>
        </w:rPr>
        <w:t>UE</w:t>
      </w:r>
      <w:r w:rsidR="003A00CB" w:rsidRPr="00644FC9">
        <w:rPr>
          <w:rFonts w:ascii="Times New Roman" w:eastAsia="新細明體" w:hAnsi="Times New Roman" w:cs="Times New Roman"/>
          <w:color w:val="000000" w:themeColor="text1"/>
          <w:kern w:val="0"/>
          <w:szCs w:val="24"/>
        </w:rPr>
        <w:t xml:space="preserve"> decile. </w:t>
      </w:r>
      <w:r w:rsidR="000D505B" w:rsidRPr="00644FC9">
        <w:rPr>
          <w:rFonts w:ascii="Times New Roman" w:eastAsia="新細明體" w:hAnsi="Times New Roman" w:cs="Times New Roman" w:hint="eastAsia"/>
          <w:color w:val="000000" w:themeColor="text1"/>
          <w:kern w:val="0"/>
          <w:szCs w:val="24"/>
        </w:rPr>
        <w:t>T</w:t>
      </w:r>
      <w:r w:rsidR="000D505B" w:rsidRPr="00644FC9">
        <w:rPr>
          <w:rFonts w:ascii="Times New Roman" w:eastAsia="新細明體" w:hAnsi="Times New Roman" w:cs="Times New Roman"/>
          <w:color w:val="000000" w:themeColor="text1"/>
          <w:kern w:val="0"/>
          <w:szCs w:val="24"/>
        </w:rPr>
        <w:t>hus, f</w:t>
      </w:r>
      <w:r w:rsidR="003A00CB" w:rsidRPr="00644FC9">
        <w:rPr>
          <w:rFonts w:ascii="Times New Roman" w:eastAsia="新細明體" w:hAnsi="Times New Roman" w:cs="Times New Roman"/>
          <w:color w:val="000000" w:themeColor="text1"/>
          <w:kern w:val="0"/>
          <w:szCs w:val="24"/>
        </w:rPr>
        <w:t xml:space="preserve">irms with large positive (negative) unexpected operating </w:t>
      </w:r>
      <w:r w:rsidR="000D505B" w:rsidRPr="00644FC9">
        <w:rPr>
          <w:rFonts w:ascii="Times New Roman" w:eastAsia="新細明體" w:hAnsi="Times New Roman" w:cs="Times New Roman"/>
          <w:color w:val="000000" w:themeColor="text1"/>
          <w:kern w:val="0"/>
          <w:szCs w:val="24"/>
        </w:rPr>
        <w:t>or</w:t>
      </w:r>
      <w:r w:rsidR="00313173" w:rsidRPr="00644FC9">
        <w:rPr>
          <w:rFonts w:ascii="Times New Roman" w:eastAsia="新細明體" w:hAnsi="Times New Roman" w:cs="Times New Roman"/>
          <w:color w:val="000000" w:themeColor="text1"/>
          <w:kern w:val="0"/>
          <w:szCs w:val="24"/>
        </w:rPr>
        <w:t xml:space="preserve"> non-operating </w:t>
      </w:r>
      <w:r w:rsidR="003A00CB" w:rsidRPr="00644FC9">
        <w:rPr>
          <w:rFonts w:ascii="Times New Roman" w:eastAsia="新細明體" w:hAnsi="Times New Roman" w:cs="Times New Roman"/>
          <w:color w:val="000000" w:themeColor="text1"/>
          <w:kern w:val="0"/>
          <w:szCs w:val="24"/>
        </w:rPr>
        <w:t xml:space="preserve">income that also belong to the most </w:t>
      </w:r>
      <w:r w:rsidR="00163684" w:rsidRPr="00644FC9">
        <w:rPr>
          <w:rFonts w:ascii="Times New Roman" w:eastAsia="新細明體" w:hAnsi="Times New Roman" w:cs="Times New Roman"/>
          <w:color w:val="000000" w:themeColor="text1"/>
          <w:kern w:val="0"/>
          <w:szCs w:val="24"/>
        </w:rPr>
        <w:t>positive (negative)</w:t>
      </w:r>
      <w:r w:rsidR="003A00CB" w:rsidRPr="00644FC9">
        <w:rPr>
          <w:rFonts w:ascii="Times New Roman" w:eastAsia="新細明體" w:hAnsi="Times New Roman" w:cs="Times New Roman"/>
          <w:color w:val="000000" w:themeColor="text1"/>
          <w:kern w:val="0"/>
          <w:szCs w:val="24"/>
        </w:rPr>
        <w:t xml:space="preserve"> </w:t>
      </w:r>
      <w:r w:rsidR="00163684" w:rsidRPr="00644FC9">
        <w:rPr>
          <w:rFonts w:ascii="Times New Roman" w:eastAsia="新細明體" w:hAnsi="Times New Roman" w:cs="Times New Roman"/>
          <w:color w:val="000000" w:themeColor="text1"/>
          <w:kern w:val="0"/>
          <w:szCs w:val="24"/>
        </w:rPr>
        <w:t>unexpected earnings</w:t>
      </w:r>
      <w:r w:rsidR="003A00CB" w:rsidRPr="00644FC9">
        <w:rPr>
          <w:rFonts w:ascii="Times New Roman" w:eastAsia="新細明體" w:hAnsi="Times New Roman" w:cs="Times New Roman"/>
          <w:color w:val="000000" w:themeColor="text1"/>
          <w:kern w:val="0"/>
          <w:szCs w:val="24"/>
        </w:rPr>
        <w:t xml:space="preserve"> portfolio </w:t>
      </w:r>
      <w:r w:rsidR="00163684" w:rsidRPr="00644FC9">
        <w:rPr>
          <w:rFonts w:ascii="Times New Roman" w:eastAsia="新細明體" w:hAnsi="Times New Roman" w:cs="Times New Roman"/>
          <w:color w:val="000000" w:themeColor="text1"/>
          <w:kern w:val="0"/>
          <w:szCs w:val="24"/>
        </w:rPr>
        <w:t>may</w:t>
      </w:r>
      <w:r w:rsidR="003A00CB" w:rsidRPr="00644FC9">
        <w:rPr>
          <w:rFonts w:ascii="Times New Roman" w:eastAsia="新細明體" w:hAnsi="Times New Roman" w:cs="Times New Roman"/>
          <w:color w:val="000000" w:themeColor="text1"/>
          <w:kern w:val="0"/>
          <w:szCs w:val="24"/>
        </w:rPr>
        <w:t xml:space="preserve"> tend to </w:t>
      </w:r>
      <w:r w:rsidR="00163684" w:rsidRPr="00644FC9">
        <w:rPr>
          <w:rFonts w:ascii="Times New Roman" w:eastAsia="新細明體" w:hAnsi="Times New Roman" w:cs="Times New Roman"/>
          <w:color w:val="000000" w:themeColor="text1"/>
          <w:kern w:val="0"/>
          <w:szCs w:val="24"/>
        </w:rPr>
        <w:t>generate</w:t>
      </w:r>
      <w:r w:rsidR="003A00CB" w:rsidRPr="00644FC9">
        <w:rPr>
          <w:rFonts w:ascii="Times New Roman" w:eastAsia="新細明體" w:hAnsi="Times New Roman" w:cs="Times New Roman"/>
          <w:color w:val="000000" w:themeColor="text1"/>
          <w:kern w:val="0"/>
          <w:szCs w:val="24"/>
        </w:rPr>
        <w:t xml:space="preserve"> expected </w:t>
      </w:r>
      <w:r w:rsidR="00163684" w:rsidRPr="00644FC9">
        <w:rPr>
          <w:rFonts w:ascii="Times New Roman" w:eastAsia="新細明體" w:hAnsi="Times New Roman" w:cs="Times New Roman"/>
          <w:color w:val="000000" w:themeColor="text1"/>
          <w:kern w:val="0"/>
          <w:szCs w:val="24"/>
        </w:rPr>
        <w:t xml:space="preserve">partial </w:t>
      </w:r>
      <w:r w:rsidR="003A00CB" w:rsidRPr="00644FC9">
        <w:rPr>
          <w:rFonts w:ascii="Times New Roman" w:eastAsia="新細明體" w:hAnsi="Times New Roman" w:cs="Times New Roman"/>
          <w:color w:val="000000" w:themeColor="text1"/>
          <w:kern w:val="0"/>
          <w:szCs w:val="24"/>
        </w:rPr>
        <w:t xml:space="preserve">abnormal returns </w:t>
      </w:r>
      <w:r w:rsidR="00163684" w:rsidRPr="00644FC9">
        <w:rPr>
          <w:rFonts w:ascii="Times New Roman" w:eastAsia="新細明體" w:hAnsi="Times New Roman" w:cs="Times New Roman"/>
          <w:color w:val="000000" w:themeColor="text1"/>
          <w:kern w:val="0"/>
          <w:szCs w:val="24"/>
        </w:rPr>
        <w:t xml:space="preserve">belong to </w:t>
      </w:r>
      <w:r w:rsidR="007D370D" w:rsidRPr="00644FC9">
        <w:rPr>
          <w:rFonts w:ascii="Times New Roman" w:eastAsia="新細明體" w:hAnsi="Times New Roman" w:cs="Times New Roman"/>
          <w:color w:val="000000" w:themeColor="text1"/>
          <w:kern w:val="0"/>
          <w:szCs w:val="24"/>
        </w:rPr>
        <w:t xml:space="preserve">the </w:t>
      </w:r>
      <w:r w:rsidR="00163684" w:rsidRPr="00644FC9">
        <w:rPr>
          <w:rFonts w:ascii="Times New Roman" w:eastAsia="新細明體" w:hAnsi="Times New Roman" w:cs="Times New Roman"/>
          <w:color w:val="000000" w:themeColor="text1"/>
          <w:kern w:val="0"/>
          <w:szCs w:val="24"/>
        </w:rPr>
        <w:t>unexpected earnings hedge strategy.</w:t>
      </w:r>
      <w:r w:rsidR="00A92677" w:rsidRPr="00644FC9">
        <w:rPr>
          <w:rFonts w:ascii="Times New Roman" w:eastAsia="新細明體" w:hAnsi="Times New Roman" w:cs="Times New Roman"/>
          <w:color w:val="000000" w:themeColor="text1"/>
          <w:kern w:val="0"/>
          <w:szCs w:val="24"/>
        </w:rPr>
        <w:br w:type="page"/>
      </w:r>
    </w:p>
    <w:p w14:paraId="26BEDC7F" w14:textId="77777777" w:rsidR="004F2BF0" w:rsidRPr="00644FC9" w:rsidRDefault="004F2BF0" w:rsidP="004F2BF0">
      <w:pPr>
        <w:adjustRightInd w:val="0"/>
        <w:snapToGrid w:val="0"/>
        <w:jc w:val="center"/>
        <w:rPr>
          <w:rFonts w:ascii="Times New Roman" w:hAnsi="Times New Roman" w:cs="Times New Roman"/>
          <w:color w:val="000000" w:themeColor="text1"/>
          <w:szCs w:val="24"/>
        </w:rPr>
      </w:pPr>
    </w:p>
    <w:p w14:paraId="031DADC3" w14:textId="77777777" w:rsidR="004F2BF0" w:rsidRPr="00644FC9" w:rsidRDefault="004F2BF0" w:rsidP="004F2BF0">
      <w:pPr>
        <w:adjustRightInd w:val="0"/>
        <w:snapToGrid w:val="0"/>
        <w:jc w:val="center"/>
        <w:rPr>
          <w:rFonts w:ascii="Times New Roman" w:hAnsi="Times New Roman" w:cs="Times New Roman"/>
          <w:color w:val="000000" w:themeColor="text1"/>
          <w:szCs w:val="24"/>
        </w:rPr>
      </w:pPr>
      <w:r w:rsidRPr="00644FC9">
        <w:rPr>
          <w:rFonts w:ascii="Times New Roman" w:hAnsi="Times New Roman" w:cs="Times New Roman"/>
          <w:color w:val="000000" w:themeColor="text1"/>
          <w:szCs w:val="24"/>
        </w:rPr>
        <w:t>Table 1: Mean values of variables by assigning deciles based on the magnitude of unexpected earnings (N = 21,787)</w:t>
      </w:r>
    </w:p>
    <w:tbl>
      <w:tblPr>
        <w:tblW w:w="5000" w:type="pct"/>
        <w:jc w:val="center"/>
        <w:tblCellMar>
          <w:left w:w="28" w:type="dxa"/>
          <w:right w:w="28" w:type="dxa"/>
        </w:tblCellMar>
        <w:tblLook w:val="04A0" w:firstRow="1" w:lastRow="0" w:firstColumn="1" w:lastColumn="0" w:noHBand="0" w:noVBand="1"/>
      </w:tblPr>
      <w:tblGrid>
        <w:gridCol w:w="912"/>
        <w:gridCol w:w="727"/>
        <w:gridCol w:w="764"/>
        <w:gridCol w:w="711"/>
        <w:gridCol w:w="729"/>
        <w:gridCol w:w="729"/>
        <w:gridCol w:w="729"/>
        <w:gridCol w:w="729"/>
        <w:gridCol w:w="731"/>
        <w:gridCol w:w="731"/>
        <w:gridCol w:w="731"/>
        <w:gridCol w:w="803"/>
      </w:tblGrid>
      <w:tr w:rsidR="00CB42CC" w:rsidRPr="00644FC9" w14:paraId="3711C56E" w14:textId="77777777" w:rsidTr="0065482E">
        <w:trPr>
          <w:trHeight w:hRule="exact" w:val="284"/>
          <w:jc w:val="center"/>
        </w:trPr>
        <w:tc>
          <w:tcPr>
            <w:tcW w:w="505" w:type="pct"/>
            <w:tcBorders>
              <w:top w:val="single" w:sz="4" w:space="0" w:color="auto"/>
              <w:left w:val="nil"/>
              <w:bottom w:val="nil"/>
              <w:right w:val="nil"/>
            </w:tcBorders>
            <w:shd w:val="clear" w:color="auto" w:fill="auto"/>
            <w:noWrap/>
            <w:vAlign w:val="center"/>
          </w:tcPr>
          <w:p w14:paraId="249FB91B" w14:textId="77777777" w:rsidR="004F2BF0" w:rsidRPr="00644FC9" w:rsidRDefault="004F2BF0" w:rsidP="004F2BF0">
            <w:pPr>
              <w:widowControl/>
              <w:adjustRightInd w:val="0"/>
              <w:snapToGrid w:val="0"/>
              <w:rPr>
                <w:rFonts w:ascii="Times New Roman" w:eastAsia="新細明體" w:hAnsi="Times New Roman" w:cs="Times New Roman"/>
                <w:color w:val="000000" w:themeColor="text1"/>
                <w:kern w:val="0"/>
                <w:szCs w:val="24"/>
              </w:rPr>
            </w:pPr>
          </w:p>
        </w:tc>
        <w:tc>
          <w:tcPr>
            <w:tcW w:w="403" w:type="pct"/>
            <w:tcBorders>
              <w:top w:val="single" w:sz="4" w:space="0" w:color="auto"/>
              <w:left w:val="nil"/>
              <w:bottom w:val="nil"/>
              <w:right w:val="nil"/>
            </w:tcBorders>
            <w:shd w:val="clear" w:color="auto" w:fill="auto"/>
            <w:noWrap/>
            <w:vAlign w:val="center"/>
          </w:tcPr>
          <w:p w14:paraId="1E8CFB2F"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p>
        </w:tc>
        <w:tc>
          <w:tcPr>
            <w:tcW w:w="4092" w:type="pct"/>
            <w:gridSpan w:val="10"/>
            <w:tcBorders>
              <w:top w:val="single" w:sz="4" w:space="0" w:color="auto"/>
              <w:left w:val="nil"/>
              <w:bottom w:val="single" w:sz="4" w:space="0" w:color="auto"/>
              <w:right w:val="nil"/>
            </w:tcBorders>
            <w:shd w:val="clear" w:color="auto" w:fill="auto"/>
            <w:noWrap/>
            <w:vAlign w:val="center"/>
          </w:tcPr>
          <w:p w14:paraId="218CF14C"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Quarterly portfolio unexpected earnings ranking</w:t>
            </w:r>
          </w:p>
        </w:tc>
      </w:tr>
      <w:tr w:rsidR="00CB42CC" w:rsidRPr="00644FC9" w14:paraId="79667CDF" w14:textId="77777777" w:rsidTr="0065482E">
        <w:trPr>
          <w:trHeight w:hRule="exact" w:val="284"/>
          <w:jc w:val="center"/>
        </w:trPr>
        <w:tc>
          <w:tcPr>
            <w:tcW w:w="505" w:type="pct"/>
            <w:tcBorders>
              <w:top w:val="nil"/>
              <w:left w:val="nil"/>
              <w:bottom w:val="single" w:sz="4" w:space="0" w:color="auto"/>
              <w:right w:val="nil"/>
            </w:tcBorders>
            <w:shd w:val="clear" w:color="auto" w:fill="auto"/>
            <w:noWrap/>
            <w:vAlign w:val="center"/>
            <w:hideMark/>
          </w:tcPr>
          <w:p w14:paraId="3FCFD81D" w14:textId="77777777" w:rsidR="004F2BF0" w:rsidRPr="00644FC9" w:rsidRDefault="004F2BF0" w:rsidP="004F2BF0">
            <w:pPr>
              <w:widowControl/>
              <w:adjustRightInd w:val="0"/>
              <w:snapToGrid w:val="0"/>
              <w:rPr>
                <w:rFonts w:ascii="Times New Roman" w:eastAsia="新細明體" w:hAnsi="Times New Roman" w:cs="Times New Roman"/>
                <w:color w:val="000000" w:themeColor="text1"/>
                <w:kern w:val="0"/>
                <w:szCs w:val="24"/>
              </w:rPr>
            </w:pPr>
          </w:p>
        </w:tc>
        <w:tc>
          <w:tcPr>
            <w:tcW w:w="403" w:type="pct"/>
            <w:tcBorders>
              <w:top w:val="nil"/>
              <w:left w:val="nil"/>
              <w:bottom w:val="single" w:sz="4" w:space="0" w:color="auto"/>
              <w:right w:val="nil"/>
            </w:tcBorders>
            <w:shd w:val="clear" w:color="auto" w:fill="auto"/>
            <w:noWrap/>
            <w:vAlign w:val="center"/>
            <w:hideMark/>
          </w:tcPr>
          <w:p w14:paraId="23A2B17F"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Mean</w:t>
            </w:r>
          </w:p>
        </w:tc>
        <w:tc>
          <w:tcPr>
            <w:tcW w:w="423" w:type="pct"/>
            <w:tcBorders>
              <w:top w:val="single" w:sz="4" w:space="0" w:color="auto"/>
              <w:left w:val="nil"/>
              <w:bottom w:val="single" w:sz="4" w:space="0" w:color="auto"/>
              <w:right w:val="nil"/>
            </w:tcBorders>
            <w:shd w:val="clear" w:color="auto" w:fill="auto"/>
            <w:noWrap/>
            <w:vAlign w:val="center"/>
            <w:hideMark/>
          </w:tcPr>
          <w:p w14:paraId="33800A43"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Lowest</w:t>
            </w:r>
          </w:p>
        </w:tc>
        <w:tc>
          <w:tcPr>
            <w:tcW w:w="394" w:type="pct"/>
            <w:tcBorders>
              <w:top w:val="single" w:sz="4" w:space="0" w:color="auto"/>
              <w:left w:val="nil"/>
              <w:bottom w:val="single" w:sz="4" w:space="0" w:color="auto"/>
              <w:right w:val="nil"/>
            </w:tcBorders>
            <w:shd w:val="clear" w:color="auto" w:fill="auto"/>
            <w:noWrap/>
            <w:vAlign w:val="center"/>
            <w:hideMark/>
          </w:tcPr>
          <w:p w14:paraId="52167DDC"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w:t>
            </w:r>
          </w:p>
        </w:tc>
        <w:tc>
          <w:tcPr>
            <w:tcW w:w="404" w:type="pct"/>
            <w:tcBorders>
              <w:top w:val="single" w:sz="4" w:space="0" w:color="auto"/>
              <w:left w:val="nil"/>
              <w:bottom w:val="single" w:sz="4" w:space="0" w:color="auto"/>
              <w:right w:val="nil"/>
            </w:tcBorders>
            <w:shd w:val="clear" w:color="auto" w:fill="auto"/>
            <w:noWrap/>
            <w:vAlign w:val="center"/>
            <w:hideMark/>
          </w:tcPr>
          <w:p w14:paraId="43E752BD"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3</w:t>
            </w:r>
          </w:p>
        </w:tc>
        <w:tc>
          <w:tcPr>
            <w:tcW w:w="404" w:type="pct"/>
            <w:tcBorders>
              <w:top w:val="single" w:sz="4" w:space="0" w:color="auto"/>
              <w:left w:val="nil"/>
              <w:bottom w:val="single" w:sz="4" w:space="0" w:color="auto"/>
              <w:right w:val="nil"/>
            </w:tcBorders>
            <w:shd w:val="clear" w:color="auto" w:fill="auto"/>
            <w:noWrap/>
            <w:vAlign w:val="center"/>
            <w:hideMark/>
          </w:tcPr>
          <w:p w14:paraId="1C5DF321"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4</w:t>
            </w:r>
          </w:p>
        </w:tc>
        <w:tc>
          <w:tcPr>
            <w:tcW w:w="404" w:type="pct"/>
            <w:tcBorders>
              <w:top w:val="single" w:sz="4" w:space="0" w:color="auto"/>
              <w:left w:val="nil"/>
              <w:bottom w:val="single" w:sz="4" w:space="0" w:color="auto"/>
              <w:right w:val="nil"/>
            </w:tcBorders>
            <w:shd w:val="clear" w:color="auto" w:fill="auto"/>
            <w:noWrap/>
            <w:vAlign w:val="center"/>
            <w:hideMark/>
          </w:tcPr>
          <w:p w14:paraId="5B4503FD"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5</w:t>
            </w:r>
          </w:p>
        </w:tc>
        <w:tc>
          <w:tcPr>
            <w:tcW w:w="404" w:type="pct"/>
            <w:tcBorders>
              <w:top w:val="single" w:sz="4" w:space="0" w:color="auto"/>
              <w:left w:val="nil"/>
              <w:bottom w:val="single" w:sz="4" w:space="0" w:color="auto"/>
              <w:right w:val="nil"/>
            </w:tcBorders>
            <w:shd w:val="clear" w:color="auto" w:fill="auto"/>
            <w:noWrap/>
            <w:vAlign w:val="center"/>
            <w:hideMark/>
          </w:tcPr>
          <w:p w14:paraId="01B6FA4C"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w:t>
            </w:r>
          </w:p>
        </w:tc>
        <w:tc>
          <w:tcPr>
            <w:tcW w:w="405" w:type="pct"/>
            <w:tcBorders>
              <w:top w:val="single" w:sz="4" w:space="0" w:color="auto"/>
              <w:left w:val="nil"/>
              <w:bottom w:val="single" w:sz="4" w:space="0" w:color="auto"/>
              <w:right w:val="nil"/>
            </w:tcBorders>
            <w:shd w:val="clear" w:color="auto" w:fill="auto"/>
            <w:noWrap/>
            <w:vAlign w:val="center"/>
            <w:hideMark/>
          </w:tcPr>
          <w:p w14:paraId="63ACF2F9"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7</w:t>
            </w:r>
          </w:p>
        </w:tc>
        <w:tc>
          <w:tcPr>
            <w:tcW w:w="405" w:type="pct"/>
            <w:tcBorders>
              <w:top w:val="single" w:sz="4" w:space="0" w:color="auto"/>
              <w:left w:val="nil"/>
              <w:bottom w:val="single" w:sz="4" w:space="0" w:color="auto"/>
              <w:right w:val="nil"/>
            </w:tcBorders>
            <w:shd w:val="clear" w:color="auto" w:fill="auto"/>
            <w:noWrap/>
            <w:vAlign w:val="center"/>
            <w:hideMark/>
          </w:tcPr>
          <w:p w14:paraId="7CF23198"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8</w:t>
            </w:r>
          </w:p>
        </w:tc>
        <w:tc>
          <w:tcPr>
            <w:tcW w:w="405" w:type="pct"/>
            <w:tcBorders>
              <w:top w:val="single" w:sz="4" w:space="0" w:color="auto"/>
              <w:left w:val="nil"/>
              <w:bottom w:val="single" w:sz="4" w:space="0" w:color="auto"/>
              <w:right w:val="nil"/>
            </w:tcBorders>
            <w:shd w:val="clear" w:color="auto" w:fill="auto"/>
            <w:noWrap/>
            <w:vAlign w:val="center"/>
            <w:hideMark/>
          </w:tcPr>
          <w:p w14:paraId="72657DB7"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9</w:t>
            </w:r>
          </w:p>
        </w:tc>
        <w:tc>
          <w:tcPr>
            <w:tcW w:w="445" w:type="pct"/>
            <w:tcBorders>
              <w:top w:val="single" w:sz="4" w:space="0" w:color="auto"/>
              <w:left w:val="nil"/>
              <w:bottom w:val="single" w:sz="4" w:space="0" w:color="auto"/>
              <w:right w:val="nil"/>
            </w:tcBorders>
            <w:shd w:val="clear" w:color="auto" w:fill="auto"/>
            <w:noWrap/>
            <w:vAlign w:val="center"/>
            <w:hideMark/>
          </w:tcPr>
          <w:p w14:paraId="3A94CC18"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w:t>
            </w:r>
          </w:p>
        </w:tc>
      </w:tr>
      <w:tr w:rsidR="00CB42CC" w:rsidRPr="00644FC9" w14:paraId="5D61701A" w14:textId="77777777" w:rsidTr="0065482E">
        <w:trPr>
          <w:trHeight w:hRule="exact" w:val="284"/>
          <w:jc w:val="center"/>
        </w:trPr>
        <w:tc>
          <w:tcPr>
            <w:tcW w:w="5000" w:type="pct"/>
            <w:gridSpan w:val="12"/>
            <w:tcBorders>
              <w:top w:val="single" w:sz="4" w:space="0" w:color="auto"/>
              <w:left w:val="nil"/>
              <w:bottom w:val="nil"/>
              <w:right w:val="nil"/>
            </w:tcBorders>
            <w:shd w:val="clear" w:color="auto" w:fill="auto"/>
            <w:noWrap/>
            <w:vAlign w:val="center"/>
          </w:tcPr>
          <w:p w14:paraId="6BD17424" w14:textId="77777777" w:rsidR="004F2BF0" w:rsidRPr="00644FC9" w:rsidRDefault="004F2BF0" w:rsidP="004F2BF0">
            <w:pPr>
              <w:widowControl/>
              <w:adjustRightInd w:val="0"/>
              <w:snapToGrid w:val="0"/>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Panel A: Components of unexpected earnings</w:t>
            </w:r>
          </w:p>
        </w:tc>
      </w:tr>
      <w:tr w:rsidR="00CB42CC" w:rsidRPr="00644FC9" w14:paraId="339E481D" w14:textId="77777777" w:rsidTr="0065482E">
        <w:trPr>
          <w:trHeight w:hRule="exact" w:val="284"/>
          <w:jc w:val="center"/>
        </w:trPr>
        <w:tc>
          <w:tcPr>
            <w:tcW w:w="505" w:type="pct"/>
            <w:tcBorders>
              <w:top w:val="nil"/>
              <w:left w:val="nil"/>
              <w:bottom w:val="nil"/>
              <w:right w:val="nil"/>
            </w:tcBorders>
            <w:shd w:val="clear" w:color="auto" w:fill="auto"/>
            <w:noWrap/>
            <w:vAlign w:val="center"/>
            <w:hideMark/>
          </w:tcPr>
          <w:p w14:paraId="7E168C5A"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UE</w:t>
            </w:r>
          </w:p>
        </w:tc>
        <w:tc>
          <w:tcPr>
            <w:tcW w:w="403" w:type="pct"/>
            <w:tcBorders>
              <w:top w:val="nil"/>
              <w:left w:val="nil"/>
              <w:bottom w:val="nil"/>
              <w:right w:val="nil"/>
            </w:tcBorders>
            <w:shd w:val="clear" w:color="auto" w:fill="auto"/>
            <w:noWrap/>
            <w:hideMark/>
          </w:tcPr>
          <w:p w14:paraId="42136303"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423" w:type="pct"/>
            <w:tcBorders>
              <w:top w:val="nil"/>
              <w:left w:val="nil"/>
              <w:bottom w:val="nil"/>
              <w:right w:val="nil"/>
            </w:tcBorders>
            <w:shd w:val="clear" w:color="auto" w:fill="auto"/>
            <w:noWrap/>
            <w:hideMark/>
          </w:tcPr>
          <w:p w14:paraId="7CCA4FEA"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-0.082</w:t>
            </w:r>
          </w:p>
        </w:tc>
        <w:tc>
          <w:tcPr>
            <w:tcW w:w="394" w:type="pct"/>
            <w:tcBorders>
              <w:top w:val="nil"/>
              <w:left w:val="nil"/>
              <w:bottom w:val="nil"/>
              <w:right w:val="nil"/>
            </w:tcBorders>
            <w:shd w:val="clear" w:color="auto" w:fill="auto"/>
            <w:noWrap/>
            <w:hideMark/>
          </w:tcPr>
          <w:p w14:paraId="7868BE70"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-0.022</w:t>
            </w:r>
          </w:p>
        </w:tc>
        <w:tc>
          <w:tcPr>
            <w:tcW w:w="404" w:type="pct"/>
            <w:tcBorders>
              <w:top w:val="nil"/>
              <w:left w:val="nil"/>
              <w:bottom w:val="nil"/>
              <w:right w:val="nil"/>
            </w:tcBorders>
            <w:shd w:val="clear" w:color="auto" w:fill="auto"/>
            <w:noWrap/>
            <w:hideMark/>
          </w:tcPr>
          <w:p w14:paraId="655EC765"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-0.011</w:t>
            </w:r>
          </w:p>
        </w:tc>
        <w:tc>
          <w:tcPr>
            <w:tcW w:w="404" w:type="pct"/>
            <w:tcBorders>
              <w:top w:val="nil"/>
              <w:left w:val="nil"/>
              <w:bottom w:val="nil"/>
              <w:right w:val="nil"/>
            </w:tcBorders>
            <w:shd w:val="clear" w:color="auto" w:fill="auto"/>
            <w:noWrap/>
            <w:hideMark/>
          </w:tcPr>
          <w:p w14:paraId="00145F83"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404" w:type="pct"/>
            <w:tcBorders>
              <w:top w:val="nil"/>
              <w:left w:val="nil"/>
              <w:bottom w:val="nil"/>
              <w:right w:val="nil"/>
            </w:tcBorders>
            <w:shd w:val="clear" w:color="auto" w:fill="auto"/>
            <w:noWrap/>
            <w:hideMark/>
          </w:tcPr>
          <w:p w14:paraId="28A0D4B2"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404" w:type="pct"/>
            <w:tcBorders>
              <w:top w:val="nil"/>
              <w:left w:val="nil"/>
              <w:bottom w:val="nil"/>
              <w:right w:val="nil"/>
            </w:tcBorders>
            <w:shd w:val="clear" w:color="auto" w:fill="auto"/>
            <w:noWrap/>
            <w:hideMark/>
          </w:tcPr>
          <w:p w14:paraId="3D0C7BAB"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405" w:type="pct"/>
            <w:tcBorders>
              <w:top w:val="nil"/>
              <w:left w:val="nil"/>
              <w:bottom w:val="nil"/>
              <w:right w:val="nil"/>
            </w:tcBorders>
            <w:shd w:val="clear" w:color="auto" w:fill="auto"/>
            <w:noWrap/>
            <w:hideMark/>
          </w:tcPr>
          <w:p w14:paraId="22F12FC8"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405" w:type="pct"/>
            <w:tcBorders>
              <w:top w:val="nil"/>
              <w:left w:val="nil"/>
              <w:bottom w:val="nil"/>
              <w:right w:val="nil"/>
            </w:tcBorders>
            <w:shd w:val="clear" w:color="auto" w:fill="auto"/>
            <w:noWrap/>
            <w:hideMark/>
          </w:tcPr>
          <w:p w14:paraId="19C2CB46"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405" w:type="pct"/>
            <w:tcBorders>
              <w:top w:val="nil"/>
              <w:left w:val="nil"/>
              <w:bottom w:val="nil"/>
              <w:right w:val="nil"/>
            </w:tcBorders>
            <w:shd w:val="clear" w:color="auto" w:fill="auto"/>
            <w:noWrap/>
            <w:hideMark/>
          </w:tcPr>
          <w:p w14:paraId="60FCF812"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0.023</w:t>
            </w:r>
          </w:p>
        </w:tc>
        <w:tc>
          <w:tcPr>
            <w:tcW w:w="445" w:type="pct"/>
            <w:tcBorders>
              <w:top w:val="nil"/>
              <w:left w:val="nil"/>
              <w:bottom w:val="nil"/>
              <w:right w:val="nil"/>
            </w:tcBorders>
            <w:shd w:val="clear" w:color="auto" w:fill="auto"/>
            <w:noWrap/>
            <w:hideMark/>
          </w:tcPr>
          <w:p w14:paraId="63C5BADB"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0.087</w:t>
            </w:r>
          </w:p>
        </w:tc>
      </w:tr>
      <w:tr w:rsidR="00CB42CC" w:rsidRPr="00644FC9" w14:paraId="314747CF" w14:textId="77777777" w:rsidTr="0065482E">
        <w:trPr>
          <w:trHeight w:hRule="exact" w:val="284"/>
          <w:jc w:val="center"/>
        </w:trPr>
        <w:tc>
          <w:tcPr>
            <w:tcW w:w="505" w:type="pct"/>
            <w:tcBorders>
              <w:top w:val="nil"/>
              <w:left w:val="nil"/>
              <w:right w:val="nil"/>
            </w:tcBorders>
            <w:shd w:val="clear" w:color="auto" w:fill="auto"/>
            <w:noWrap/>
            <w:vAlign w:val="center"/>
            <w:hideMark/>
          </w:tcPr>
          <w:p w14:paraId="5A41513B"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UOI</w:t>
            </w:r>
          </w:p>
        </w:tc>
        <w:tc>
          <w:tcPr>
            <w:tcW w:w="403" w:type="pct"/>
            <w:tcBorders>
              <w:top w:val="nil"/>
              <w:left w:val="nil"/>
              <w:right w:val="nil"/>
            </w:tcBorders>
            <w:shd w:val="clear" w:color="auto" w:fill="auto"/>
            <w:noWrap/>
            <w:hideMark/>
          </w:tcPr>
          <w:p w14:paraId="16D63654"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423" w:type="pct"/>
            <w:tcBorders>
              <w:top w:val="nil"/>
              <w:left w:val="nil"/>
              <w:right w:val="nil"/>
            </w:tcBorders>
            <w:shd w:val="clear" w:color="auto" w:fill="auto"/>
            <w:noWrap/>
            <w:hideMark/>
          </w:tcPr>
          <w:p w14:paraId="32EEEB97"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-0.050</w:t>
            </w:r>
          </w:p>
        </w:tc>
        <w:tc>
          <w:tcPr>
            <w:tcW w:w="394" w:type="pct"/>
            <w:tcBorders>
              <w:top w:val="nil"/>
              <w:left w:val="nil"/>
              <w:right w:val="nil"/>
            </w:tcBorders>
            <w:shd w:val="clear" w:color="auto" w:fill="auto"/>
            <w:noWrap/>
            <w:hideMark/>
          </w:tcPr>
          <w:p w14:paraId="12D0C6BE"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c>
          <w:tcPr>
            <w:tcW w:w="404" w:type="pct"/>
            <w:tcBorders>
              <w:top w:val="nil"/>
              <w:left w:val="nil"/>
              <w:right w:val="nil"/>
            </w:tcBorders>
            <w:shd w:val="clear" w:color="auto" w:fill="auto"/>
            <w:noWrap/>
            <w:hideMark/>
          </w:tcPr>
          <w:p w14:paraId="6E65140E"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-0.009</w:t>
            </w:r>
          </w:p>
        </w:tc>
        <w:tc>
          <w:tcPr>
            <w:tcW w:w="404" w:type="pct"/>
            <w:tcBorders>
              <w:top w:val="nil"/>
              <w:left w:val="nil"/>
              <w:right w:val="nil"/>
            </w:tcBorders>
            <w:shd w:val="clear" w:color="auto" w:fill="auto"/>
            <w:noWrap/>
            <w:hideMark/>
          </w:tcPr>
          <w:p w14:paraId="36BF3D4B"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404" w:type="pct"/>
            <w:tcBorders>
              <w:top w:val="nil"/>
              <w:left w:val="nil"/>
              <w:right w:val="nil"/>
            </w:tcBorders>
            <w:shd w:val="clear" w:color="auto" w:fill="auto"/>
            <w:noWrap/>
            <w:hideMark/>
          </w:tcPr>
          <w:p w14:paraId="619F48C6"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404" w:type="pct"/>
            <w:tcBorders>
              <w:top w:val="nil"/>
              <w:left w:val="nil"/>
              <w:right w:val="nil"/>
            </w:tcBorders>
            <w:shd w:val="clear" w:color="auto" w:fill="auto"/>
            <w:noWrap/>
            <w:hideMark/>
          </w:tcPr>
          <w:p w14:paraId="36B7CEAA"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405" w:type="pct"/>
            <w:tcBorders>
              <w:top w:val="nil"/>
              <w:left w:val="nil"/>
              <w:right w:val="nil"/>
            </w:tcBorders>
            <w:shd w:val="clear" w:color="auto" w:fill="auto"/>
            <w:noWrap/>
            <w:hideMark/>
          </w:tcPr>
          <w:p w14:paraId="44801777"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405" w:type="pct"/>
            <w:tcBorders>
              <w:top w:val="nil"/>
              <w:left w:val="nil"/>
              <w:right w:val="nil"/>
            </w:tcBorders>
            <w:shd w:val="clear" w:color="auto" w:fill="auto"/>
            <w:noWrap/>
            <w:hideMark/>
          </w:tcPr>
          <w:p w14:paraId="0111038E"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0.010</w:t>
            </w:r>
          </w:p>
        </w:tc>
        <w:tc>
          <w:tcPr>
            <w:tcW w:w="405" w:type="pct"/>
            <w:tcBorders>
              <w:top w:val="nil"/>
              <w:left w:val="nil"/>
              <w:right w:val="nil"/>
            </w:tcBorders>
            <w:shd w:val="clear" w:color="auto" w:fill="auto"/>
            <w:noWrap/>
            <w:hideMark/>
          </w:tcPr>
          <w:p w14:paraId="04C21177"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c>
          <w:tcPr>
            <w:tcW w:w="445" w:type="pct"/>
            <w:tcBorders>
              <w:top w:val="nil"/>
              <w:left w:val="nil"/>
              <w:right w:val="nil"/>
            </w:tcBorders>
            <w:shd w:val="clear" w:color="auto" w:fill="auto"/>
            <w:noWrap/>
            <w:hideMark/>
          </w:tcPr>
          <w:p w14:paraId="2424C286"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0.050</w:t>
            </w:r>
          </w:p>
        </w:tc>
      </w:tr>
      <w:tr w:rsidR="00CB42CC" w:rsidRPr="00644FC9" w14:paraId="5B07F269" w14:textId="77777777" w:rsidTr="0065482E">
        <w:trPr>
          <w:trHeight w:hRule="exact" w:val="284"/>
          <w:jc w:val="center"/>
        </w:trPr>
        <w:tc>
          <w:tcPr>
            <w:tcW w:w="505" w:type="pct"/>
            <w:tcBorders>
              <w:top w:val="nil"/>
              <w:left w:val="nil"/>
              <w:bottom w:val="single" w:sz="4" w:space="0" w:color="auto"/>
              <w:right w:val="nil"/>
            </w:tcBorders>
            <w:shd w:val="clear" w:color="auto" w:fill="auto"/>
            <w:noWrap/>
            <w:vAlign w:val="center"/>
            <w:hideMark/>
          </w:tcPr>
          <w:p w14:paraId="169AA270"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UNOI</w:t>
            </w:r>
          </w:p>
        </w:tc>
        <w:tc>
          <w:tcPr>
            <w:tcW w:w="403" w:type="pct"/>
            <w:tcBorders>
              <w:top w:val="nil"/>
              <w:left w:val="nil"/>
              <w:bottom w:val="single" w:sz="4" w:space="0" w:color="auto"/>
              <w:right w:val="nil"/>
            </w:tcBorders>
            <w:shd w:val="clear" w:color="auto" w:fill="auto"/>
            <w:noWrap/>
            <w:hideMark/>
          </w:tcPr>
          <w:p w14:paraId="4556506E"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423" w:type="pct"/>
            <w:tcBorders>
              <w:top w:val="nil"/>
              <w:left w:val="nil"/>
              <w:bottom w:val="single" w:sz="4" w:space="0" w:color="auto"/>
              <w:right w:val="nil"/>
            </w:tcBorders>
            <w:shd w:val="clear" w:color="auto" w:fill="auto"/>
            <w:noWrap/>
            <w:hideMark/>
          </w:tcPr>
          <w:p w14:paraId="1B5874D3"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-0.031</w:t>
            </w:r>
          </w:p>
        </w:tc>
        <w:tc>
          <w:tcPr>
            <w:tcW w:w="394" w:type="pct"/>
            <w:tcBorders>
              <w:top w:val="nil"/>
              <w:left w:val="nil"/>
              <w:bottom w:val="single" w:sz="4" w:space="0" w:color="auto"/>
              <w:right w:val="nil"/>
            </w:tcBorders>
            <w:shd w:val="clear" w:color="auto" w:fill="auto"/>
            <w:noWrap/>
            <w:hideMark/>
          </w:tcPr>
          <w:p w14:paraId="2B86912E"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404" w:type="pct"/>
            <w:tcBorders>
              <w:top w:val="nil"/>
              <w:left w:val="nil"/>
              <w:bottom w:val="single" w:sz="4" w:space="0" w:color="auto"/>
              <w:right w:val="nil"/>
            </w:tcBorders>
            <w:shd w:val="clear" w:color="auto" w:fill="auto"/>
            <w:noWrap/>
            <w:hideMark/>
          </w:tcPr>
          <w:p w14:paraId="647C52F9"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404" w:type="pct"/>
            <w:tcBorders>
              <w:top w:val="nil"/>
              <w:left w:val="nil"/>
              <w:bottom w:val="single" w:sz="4" w:space="0" w:color="auto"/>
              <w:right w:val="nil"/>
            </w:tcBorders>
            <w:shd w:val="clear" w:color="auto" w:fill="auto"/>
            <w:noWrap/>
            <w:hideMark/>
          </w:tcPr>
          <w:p w14:paraId="1087FC51"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404" w:type="pct"/>
            <w:tcBorders>
              <w:top w:val="nil"/>
              <w:left w:val="nil"/>
              <w:bottom w:val="single" w:sz="4" w:space="0" w:color="auto"/>
              <w:right w:val="nil"/>
            </w:tcBorders>
            <w:shd w:val="clear" w:color="auto" w:fill="auto"/>
            <w:noWrap/>
            <w:hideMark/>
          </w:tcPr>
          <w:p w14:paraId="4BE76B71"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404" w:type="pct"/>
            <w:tcBorders>
              <w:top w:val="nil"/>
              <w:left w:val="nil"/>
              <w:bottom w:val="single" w:sz="4" w:space="0" w:color="auto"/>
              <w:right w:val="nil"/>
            </w:tcBorders>
            <w:shd w:val="clear" w:color="auto" w:fill="auto"/>
            <w:noWrap/>
            <w:hideMark/>
          </w:tcPr>
          <w:p w14:paraId="0811BADA"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405" w:type="pct"/>
            <w:tcBorders>
              <w:top w:val="nil"/>
              <w:left w:val="nil"/>
              <w:bottom w:val="single" w:sz="4" w:space="0" w:color="auto"/>
              <w:right w:val="nil"/>
            </w:tcBorders>
            <w:shd w:val="clear" w:color="auto" w:fill="auto"/>
            <w:noWrap/>
            <w:hideMark/>
          </w:tcPr>
          <w:p w14:paraId="2B39E6C8"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405" w:type="pct"/>
            <w:tcBorders>
              <w:top w:val="nil"/>
              <w:left w:val="nil"/>
              <w:bottom w:val="single" w:sz="4" w:space="0" w:color="auto"/>
              <w:right w:val="nil"/>
            </w:tcBorders>
            <w:shd w:val="clear" w:color="auto" w:fill="auto"/>
            <w:noWrap/>
            <w:hideMark/>
          </w:tcPr>
          <w:p w14:paraId="6757593A"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405" w:type="pct"/>
            <w:tcBorders>
              <w:top w:val="nil"/>
              <w:left w:val="nil"/>
              <w:bottom w:val="single" w:sz="4" w:space="0" w:color="auto"/>
              <w:right w:val="nil"/>
            </w:tcBorders>
            <w:shd w:val="clear" w:color="auto" w:fill="auto"/>
            <w:noWrap/>
            <w:hideMark/>
          </w:tcPr>
          <w:p w14:paraId="1D06E65B"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445" w:type="pct"/>
            <w:tcBorders>
              <w:top w:val="nil"/>
              <w:left w:val="nil"/>
              <w:bottom w:val="single" w:sz="4" w:space="0" w:color="auto"/>
              <w:right w:val="nil"/>
            </w:tcBorders>
            <w:shd w:val="clear" w:color="auto" w:fill="auto"/>
            <w:noWrap/>
            <w:hideMark/>
          </w:tcPr>
          <w:p w14:paraId="2CBFF432" w14:textId="77777777" w:rsidR="004F2BF0" w:rsidRPr="00644FC9" w:rsidRDefault="004F2BF0" w:rsidP="004F2BF0">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0.037</w:t>
            </w:r>
          </w:p>
        </w:tc>
      </w:tr>
      <w:tr w:rsidR="00CB42CC" w:rsidRPr="00644FC9" w14:paraId="1AB034A8" w14:textId="77777777" w:rsidTr="0065482E">
        <w:trPr>
          <w:trHeight w:hRule="exact" w:val="284"/>
          <w:jc w:val="center"/>
        </w:trPr>
        <w:tc>
          <w:tcPr>
            <w:tcW w:w="5000" w:type="pct"/>
            <w:gridSpan w:val="12"/>
            <w:tcBorders>
              <w:top w:val="single" w:sz="4" w:space="0" w:color="auto"/>
              <w:left w:val="nil"/>
              <w:bottom w:val="nil"/>
              <w:right w:val="nil"/>
            </w:tcBorders>
            <w:shd w:val="clear" w:color="auto" w:fill="auto"/>
            <w:noWrap/>
            <w:vAlign w:val="center"/>
          </w:tcPr>
          <w:p w14:paraId="5AEB9496" w14:textId="77777777" w:rsidR="004F2BF0" w:rsidRPr="00644FC9" w:rsidRDefault="004F2BF0" w:rsidP="004F2BF0">
            <w:pPr>
              <w:widowControl/>
              <w:adjustRightInd w:val="0"/>
              <w:snapToGrid w:val="0"/>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Panel B: Control variables</w:t>
            </w:r>
          </w:p>
        </w:tc>
      </w:tr>
      <w:tr w:rsidR="00CB42CC" w:rsidRPr="00644FC9" w14:paraId="021C2022" w14:textId="77777777" w:rsidTr="0065482E">
        <w:trPr>
          <w:trHeight w:hRule="exact" w:val="284"/>
          <w:jc w:val="center"/>
        </w:trPr>
        <w:tc>
          <w:tcPr>
            <w:tcW w:w="505" w:type="pct"/>
            <w:tcBorders>
              <w:top w:val="nil"/>
              <w:left w:val="nil"/>
              <w:bottom w:val="nil"/>
              <w:right w:val="nil"/>
            </w:tcBorders>
            <w:shd w:val="clear" w:color="auto" w:fill="auto"/>
            <w:noWrap/>
            <w:vAlign w:val="center"/>
            <w:hideMark/>
          </w:tcPr>
          <w:p w14:paraId="74E0D5AA"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SIZE</w:t>
            </w:r>
          </w:p>
        </w:tc>
        <w:tc>
          <w:tcPr>
            <w:tcW w:w="403" w:type="pct"/>
            <w:tcBorders>
              <w:top w:val="nil"/>
              <w:left w:val="nil"/>
              <w:bottom w:val="nil"/>
              <w:right w:val="nil"/>
            </w:tcBorders>
            <w:shd w:val="clear" w:color="auto" w:fill="auto"/>
            <w:noWrap/>
            <w:vAlign w:val="center"/>
            <w:hideMark/>
          </w:tcPr>
          <w:p w14:paraId="7071C348"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6.542</w:t>
            </w:r>
          </w:p>
        </w:tc>
        <w:tc>
          <w:tcPr>
            <w:tcW w:w="423" w:type="pct"/>
            <w:tcBorders>
              <w:top w:val="nil"/>
              <w:left w:val="nil"/>
              <w:bottom w:val="nil"/>
              <w:right w:val="nil"/>
            </w:tcBorders>
            <w:shd w:val="clear" w:color="auto" w:fill="auto"/>
            <w:noWrap/>
            <w:vAlign w:val="center"/>
            <w:hideMark/>
          </w:tcPr>
          <w:p w14:paraId="575D89F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6.405</w:t>
            </w:r>
          </w:p>
        </w:tc>
        <w:tc>
          <w:tcPr>
            <w:tcW w:w="394" w:type="pct"/>
            <w:tcBorders>
              <w:top w:val="nil"/>
              <w:left w:val="nil"/>
              <w:bottom w:val="nil"/>
              <w:right w:val="nil"/>
            </w:tcBorders>
            <w:shd w:val="clear" w:color="auto" w:fill="auto"/>
            <w:noWrap/>
            <w:vAlign w:val="center"/>
            <w:hideMark/>
          </w:tcPr>
          <w:p w14:paraId="3A834085"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6.466</w:t>
            </w:r>
          </w:p>
        </w:tc>
        <w:tc>
          <w:tcPr>
            <w:tcW w:w="404" w:type="pct"/>
            <w:tcBorders>
              <w:top w:val="nil"/>
              <w:left w:val="nil"/>
              <w:bottom w:val="nil"/>
              <w:right w:val="nil"/>
            </w:tcBorders>
            <w:shd w:val="clear" w:color="auto" w:fill="auto"/>
            <w:noWrap/>
            <w:vAlign w:val="center"/>
            <w:hideMark/>
          </w:tcPr>
          <w:p w14:paraId="584EFC17"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6.571</w:t>
            </w:r>
          </w:p>
        </w:tc>
        <w:tc>
          <w:tcPr>
            <w:tcW w:w="404" w:type="pct"/>
            <w:tcBorders>
              <w:top w:val="nil"/>
              <w:left w:val="nil"/>
              <w:bottom w:val="nil"/>
              <w:right w:val="nil"/>
            </w:tcBorders>
            <w:shd w:val="clear" w:color="auto" w:fill="auto"/>
            <w:noWrap/>
            <w:vAlign w:val="center"/>
            <w:hideMark/>
          </w:tcPr>
          <w:p w14:paraId="6929ED06"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6.626</w:t>
            </w:r>
          </w:p>
        </w:tc>
        <w:tc>
          <w:tcPr>
            <w:tcW w:w="404" w:type="pct"/>
            <w:tcBorders>
              <w:top w:val="nil"/>
              <w:left w:val="nil"/>
              <w:bottom w:val="nil"/>
              <w:right w:val="nil"/>
            </w:tcBorders>
            <w:shd w:val="clear" w:color="auto" w:fill="auto"/>
            <w:noWrap/>
            <w:vAlign w:val="center"/>
            <w:hideMark/>
          </w:tcPr>
          <w:p w14:paraId="0876E3E3"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6.680</w:t>
            </w:r>
          </w:p>
        </w:tc>
        <w:tc>
          <w:tcPr>
            <w:tcW w:w="404" w:type="pct"/>
            <w:tcBorders>
              <w:top w:val="nil"/>
              <w:left w:val="nil"/>
              <w:bottom w:val="nil"/>
              <w:right w:val="nil"/>
            </w:tcBorders>
            <w:shd w:val="clear" w:color="auto" w:fill="auto"/>
            <w:noWrap/>
            <w:vAlign w:val="center"/>
            <w:hideMark/>
          </w:tcPr>
          <w:p w14:paraId="541133BC"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6.669</w:t>
            </w:r>
          </w:p>
        </w:tc>
        <w:tc>
          <w:tcPr>
            <w:tcW w:w="405" w:type="pct"/>
            <w:tcBorders>
              <w:top w:val="nil"/>
              <w:left w:val="nil"/>
              <w:bottom w:val="nil"/>
              <w:right w:val="nil"/>
            </w:tcBorders>
            <w:shd w:val="clear" w:color="auto" w:fill="auto"/>
            <w:noWrap/>
            <w:vAlign w:val="center"/>
            <w:hideMark/>
          </w:tcPr>
          <w:p w14:paraId="32FA9CF2"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6.606</w:t>
            </w:r>
          </w:p>
        </w:tc>
        <w:tc>
          <w:tcPr>
            <w:tcW w:w="405" w:type="pct"/>
            <w:tcBorders>
              <w:top w:val="nil"/>
              <w:left w:val="nil"/>
              <w:bottom w:val="nil"/>
              <w:right w:val="nil"/>
            </w:tcBorders>
            <w:shd w:val="clear" w:color="auto" w:fill="auto"/>
            <w:noWrap/>
            <w:vAlign w:val="center"/>
            <w:hideMark/>
          </w:tcPr>
          <w:p w14:paraId="5363CE19"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6.541</w:t>
            </w:r>
          </w:p>
        </w:tc>
        <w:tc>
          <w:tcPr>
            <w:tcW w:w="405" w:type="pct"/>
            <w:tcBorders>
              <w:top w:val="nil"/>
              <w:left w:val="nil"/>
              <w:bottom w:val="nil"/>
              <w:right w:val="nil"/>
            </w:tcBorders>
            <w:shd w:val="clear" w:color="auto" w:fill="auto"/>
            <w:noWrap/>
            <w:vAlign w:val="center"/>
            <w:hideMark/>
          </w:tcPr>
          <w:p w14:paraId="36E67B49"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6.464</w:t>
            </w:r>
          </w:p>
        </w:tc>
        <w:tc>
          <w:tcPr>
            <w:tcW w:w="445" w:type="pct"/>
            <w:tcBorders>
              <w:top w:val="nil"/>
              <w:left w:val="nil"/>
              <w:bottom w:val="nil"/>
              <w:right w:val="nil"/>
            </w:tcBorders>
            <w:shd w:val="clear" w:color="auto" w:fill="auto"/>
            <w:noWrap/>
            <w:vAlign w:val="center"/>
            <w:hideMark/>
          </w:tcPr>
          <w:p w14:paraId="43147011"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6.395</w:t>
            </w:r>
          </w:p>
        </w:tc>
      </w:tr>
      <w:tr w:rsidR="00CB42CC" w:rsidRPr="00644FC9" w14:paraId="52E0E16F" w14:textId="77777777" w:rsidTr="0065482E">
        <w:trPr>
          <w:trHeight w:hRule="exact" w:val="284"/>
          <w:jc w:val="center"/>
        </w:trPr>
        <w:tc>
          <w:tcPr>
            <w:tcW w:w="505" w:type="pct"/>
            <w:tcBorders>
              <w:top w:val="nil"/>
              <w:left w:val="nil"/>
              <w:bottom w:val="nil"/>
              <w:right w:val="nil"/>
            </w:tcBorders>
            <w:shd w:val="clear" w:color="auto" w:fill="auto"/>
            <w:noWrap/>
            <w:vAlign w:val="center"/>
            <w:hideMark/>
          </w:tcPr>
          <w:p w14:paraId="0C0977AB"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BETA</w:t>
            </w:r>
          </w:p>
        </w:tc>
        <w:tc>
          <w:tcPr>
            <w:tcW w:w="403" w:type="pct"/>
            <w:tcBorders>
              <w:top w:val="nil"/>
              <w:left w:val="nil"/>
              <w:bottom w:val="nil"/>
              <w:right w:val="nil"/>
            </w:tcBorders>
            <w:shd w:val="clear" w:color="auto" w:fill="auto"/>
            <w:noWrap/>
            <w:vAlign w:val="center"/>
            <w:hideMark/>
          </w:tcPr>
          <w:p w14:paraId="6240A141"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0.761</w:t>
            </w:r>
          </w:p>
        </w:tc>
        <w:tc>
          <w:tcPr>
            <w:tcW w:w="423" w:type="pct"/>
            <w:tcBorders>
              <w:top w:val="nil"/>
              <w:left w:val="nil"/>
              <w:bottom w:val="nil"/>
              <w:right w:val="nil"/>
            </w:tcBorders>
            <w:shd w:val="clear" w:color="auto" w:fill="auto"/>
            <w:noWrap/>
            <w:vAlign w:val="center"/>
            <w:hideMark/>
          </w:tcPr>
          <w:p w14:paraId="64772C0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0.786</w:t>
            </w:r>
          </w:p>
        </w:tc>
        <w:tc>
          <w:tcPr>
            <w:tcW w:w="394" w:type="pct"/>
            <w:tcBorders>
              <w:top w:val="nil"/>
              <w:left w:val="nil"/>
              <w:bottom w:val="nil"/>
              <w:right w:val="nil"/>
            </w:tcBorders>
            <w:shd w:val="clear" w:color="auto" w:fill="auto"/>
            <w:noWrap/>
            <w:vAlign w:val="center"/>
            <w:hideMark/>
          </w:tcPr>
          <w:p w14:paraId="4AE19310"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0.781</w:t>
            </w:r>
          </w:p>
        </w:tc>
        <w:tc>
          <w:tcPr>
            <w:tcW w:w="404" w:type="pct"/>
            <w:tcBorders>
              <w:top w:val="nil"/>
              <w:left w:val="nil"/>
              <w:bottom w:val="nil"/>
              <w:right w:val="nil"/>
            </w:tcBorders>
            <w:shd w:val="clear" w:color="auto" w:fill="auto"/>
            <w:noWrap/>
            <w:vAlign w:val="center"/>
            <w:hideMark/>
          </w:tcPr>
          <w:p w14:paraId="4AD3AA53"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0.748</w:t>
            </w:r>
          </w:p>
        </w:tc>
        <w:tc>
          <w:tcPr>
            <w:tcW w:w="404" w:type="pct"/>
            <w:tcBorders>
              <w:top w:val="nil"/>
              <w:left w:val="nil"/>
              <w:bottom w:val="nil"/>
              <w:right w:val="nil"/>
            </w:tcBorders>
            <w:shd w:val="clear" w:color="auto" w:fill="auto"/>
            <w:noWrap/>
            <w:vAlign w:val="center"/>
            <w:hideMark/>
          </w:tcPr>
          <w:p w14:paraId="353A0001"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0.734</w:t>
            </w:r>
          </w:p>
        </w:tc>
        <w:tc>
          <w:tcPr>
            <w:tcW w:w="404" w:type="pct"/>
            <w:tcBorders>
              <w:top w:val="nil"/>
              <w:left w:val="nil"/>
              <w:bottom w:val="nil"/>
              <w:right w:val="nil"/>
            </w:tcBorders>
            <w:shd w:val="clear" w:color="auto" w:fill="auto"/>
            <w:noWrap/>
            <w:vAlign w:val="center"/>
            <w:hideMark/>
          </w:tcPr>
          <w:p w14:paraId="0D1EF5A4"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0.737</w:t>
            </w:r>
          </w:p>
        </w:tc>
        <w:tc>
          <w:tcPr>
            <w:tcW w:w="404" w:type="pct"/>
            <w:tcBorders>
              <w:top w:val="nil"/>
              <w:left w:val="nil"/>
              <w:bottom w:val="nil"/>
              <w:right w:val="nil"/>
            </w:tcBorders>
            <w:shd w:val="clear" w:color="auto" w:fill="auto"/>
            <w:noWrap/>
            <w:vAlign w:val="center"/>
            <w:hideMark/>
          </w:tcPr>
          <w:p w14:paraId="77C24EC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0.748</w:t>
            </w:r>
          </w:p>
        </w:tc>
        <w:tc>
          <w:tcPr>
            <w:tcW w:w="405" w:type="pct"/>
            <w:tcBorders>
              <w:top w:val="nil"/>
              <w:left w:val="nil"/>
              <w:bottom w:val="nil"/>
              <w:right w:val="nil"/>
            </w:tcBorders>
            <w:shd w:val="clear" w:color="auto" w:fill="auto"/>
            <w:noWrap/>
            <w:vAlign w:val="center"/>
            <w:hideMark/>
          </w:tcPr>
          <w:p w14:paraId="7455C71E"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0.751</w:t>
            </w:r>
          </w:p>
        </w:tc>
        <w:tc>
          <w:tcPr>
            <w:tcW w:w="405" w:type="pct"/>
            <w:tcBorders>
              <w:top w:val="nil"/>
              <w:left w:val="nil"/>
              <w:bottom w:val="nil"/>
              <w:right w:val="nil"/>
            </w:tcBorders>
            <w:shd w:val="clear" w:color="auto" w:fill="auto"/>
            <w:noWrap/>
            <w:vAlign w:val="center"/>
            <w:hideMark/>
          </w:tcPr>
          <w:p w14:paraId="19C4B007"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0.775</w:t>
            </w:r>
          </w:p>
        </w:tc>
        <w:tc>
          <w:tcPr>
            <w:tcW w:w="405" w:type="pct"/>
            <w:tcBorders>
              <w:top w:val="nil"/>
              <w:left w:val="nil"/>
              <w:bottom w:val="nil"/>
              <w:right w:val="nil"/>
            </w:tcBorders>
            <w:shd w:val="clear" w:color="auto" w:fill="auto"/>
            <w:noWrap/>
            <w:vAlign w:val="center"/>
            <w:hideMark/>
          </w:tcPr>
          <w:p w14:paraId="29A1C633"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0.777</w:t>
            </w:r>
          </w:p>
        </w:tc>
        <w:tc>
          <w:tcPr>
            <w:tcW w:w="445" w:type="pct"/>
            <w:tcBorders>
              <w:top w:val="nil"/>
              <w:left w:val="nil"/>
              <w:bottom w:val="nil"/>
              <w:right w:val="nil"/>
            </w:tcBorders>
            <w:shd w:val="clear" w:color="auto" w:fill="auto"/>
            <w:noWrap/>
            <w:vAlign w:val="center"/>
            <w:hideMark/>
          </w:tcPr>
          <w:p w14:paraId="3E3D5B35"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0.768</w:t>
            </w:r>
          </w:p>
        </w:tc>
      </w:tr>
      <w:tr w:rsidR="00CB42CC" w:rsidRPr="00644FC9" w14:paraId="33B9A410" w14:textId="77777777" w:rsidTr="0065482E">
        <w:trPr>
          <w:trHeight w:hRule="exact" w:val="284"/>
          <w:jc w:val="center"/>
        </w:trPr>
        <w:tc>
          <w:tcPr>
            <w:tcW w:w="505" w:type="pct"/>
            <w:tcBorders>
              <w:top w:val="nil"/>
              <w:left w:val="nil"/>
              <w:right w:val="nil"/>
            </w:tcBorders>
            <w:shd w:val="clear" w:color="auto" w:fill="auto"/>
            <w:noWrap/>
            <w:vAlign w:val="center"/>
            <w:hideMark/>
          </w:tcPr>
          <w:p w14:paraId="18354FB8"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BTM</w:t>
            </w:r>
          </w:p>
        </w:tc>
        <w:tc>
          <w:tcPr>
            <w:tcW w:w="403" w:type="pct"/>
            <w:tcBorders>
              <w:top w:val="nil"/>
              <w:left w:val="nil"/>
              <w:right w:val="nil"/>
            </w:tcBorders>
            <w:shd w:val="clear" w:color="auto" w:fill="auto"/>
            <w:noWrap/>
            <w:vAlign w:val="center"/>
            <w:hideMark/>
          </w:tcPr>
          <w:p w14:paraId="50400B00"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1.044</w:t>
            </w:r>
          </w:p>
        </w:tc>
        <w:tc>
          <w:tcPr>
            <w:tcW w:w="423" w:type="pct"/>
            <w:tcBorders>
              <w:top w:val="nil"/>
              <w:left w:val="nil"/>
              <w:right w:val="nil"/>
            </w:tcBorders>
            <w:shd w:val="clear" w:color="auto" w:fill="auto"/>
            <w:noWrap/>
            <w:vAlign w:val="center"/>
            <w:hideMark/>
          </w:tcPr>
          <w:p w14:paraId="43F2F1F1"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0.905</w:t>
            </w:r>
          </w:p>
        </w:tc>
        <w:tc>
          <w:tcPr>
            <w:tcW w:w="394" w:type="pct"/>
            <w:tcBorders>
              <w:top w:val="nil"/>
              <w:left w:val="nil"/>
              <w:right w:val="nil"/>
            </w:tcBorders>
            <w:shd w:val="clear" w:color="auto" w:fill="auto"/>
            <w:noWrap/>
            <w:vAlign w:val="center"/>
            <w:hideMark/>
          </w:tcPr>
          <w:p w14:paraId="5A387674"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1.018</w:t>
            </w:r>
          </w:p>
        </w:tc>
        <w:tc>
          <w:tcPr>
            <w:tcW w:w="404" w:type="pct"/>
            <w:tcBorders>
              <w:top w:val="nil"/>
              <w:left w:val="nil"/>
              <w:right w:val="nil"/>
            </w:tcBorders>
            <w:shd w:val="clear" w:color="auto" w:fill="auto"/>
            <w:noWrap/>
            <w:vAlign w:val="center"/>
            <w:hideMark/>
          </w:tcPr>
          <w:p w14:paraId="43251A0E"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1.050</w:t>
            </w:r>
          </w:p>
        </w:tc>
        <w:tc>
          <w:tcPr>
            <w:tcW w:w="404" w:type="pct"/>
            <w:tcBorders>
              <w:top w:val="nil"/>
              <w:left w:val="nil"/>
              <w:right w:val="nil"/>
            </w:tcBorders>
            <w:shd w:val="clear" w:color="auto" w:fill="auto"/>
            <w:noWrap/>
            <w:vAlign w:val="center"/>
            <w:hideMark/>
          </w:tcPr>
          <w:p w14:paraId="016563B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1.098</w:t>
            </w:r>
          </w:p>
        </w:tc>
        <w:tc>
          <w:tcPr>
            <w:tcW w:w="404" w:type="pct"/>
            <w:tcBorders>
              <w:top w:val="nil"/>
              <w:left w:val="nil"/>
              <w:right w:val="nil"/>
            </w:tcBorders>
            <w:shd w:val="clear" w:color="auto" w:fill="auto"/>
            <w:noWrap/>
            <w:vAlign w:val="center"/>
            <w:hideMark/>
          </w:tcPr>
          <w:p w14:paraId="29AFABD7"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1.140</w:t>
            </w:r>
          </w:p>
        </w:tc>
        <w:tc>
          <w:tcPr>
            <w:tcW w:w="404" w:type="pct"/>
            <w:tcBorders>
              <w:top w:val="nil"/>
              <w:left w:val="nil"/>
              <w:right w:val="nil"/>
            </w:tcBorders>
            <w:shd w:val="clear" w:color="auto" w:fill="auto"/>
            <w:noWrap/>
            <w:vAlign w:val="center"/>
            <w:hideMark/>
          </w:tcPr>
          <w:p w14:paraId="536025B5"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1.113</w:t>
            </w:r>
          </w:p>
        </w:tc>
        <w:tc>
          <w:tcPr>
            <w:tcW w:w="405" w:type="pct"/>
            <w:tcBorders>
              <w:top w:val="nil"/>
              <w:left w:val="nil"/>
              <w:right w:val="nil"/>
            </w:tcBorders>
            <w:shd w:val="clear" w:color="auto" w:fill="auto"/>
            <w:noWrap/>
            <w:vAlign w:val="center"/>
            <w:hideMark/>
          </w:tcPr>
          <w:p w14:paraId="2A93647D"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1.092</w:t>
            </w:r>
          </w:p>
        </w:tc>
        <w:tc>
          <w:tcPr>
            <w:tcW w:w="405" w:type="pct"/>
            <w:tcBorders>
              <w:top w:val="nil"/>
              <w:left w:val="nil"/>
              <w:right w:val="nil"/>
            </w:tcBorders>
            <w:shd w:val="clear" w:color="auto" w:fill="auto"/>
            <w:noWrap/>
            <w:vAlign w:val="center"/>
            <w:hideMark/>
          </w:tcPr>
          <w:p w14:paraId="7382D564"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1.071</w:t>
            </w:r>
          </w:p>
        </w:tc>
        <w:tc>
          <w:tcPr>
            <w:tcW w:w="405" w:type="pct"/>
            <w:tcBorders>
              <w:top w:val="nil"/>
              <w:left w:val="nil"/>
              <w:right w:val="nil"/>
            </w:tcBorders>
            <w:shd w:val="clear" w:color="auto" w:fill="auto"/>
            <w:noWrap/>
            <w:vAlign w:val="center"/>
            <w:hideMark/>
          </w:tcPr>
          <w:p w14:paraId="7D415031"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1.032</w:t>
            </w:r>
          </w:p>
        </w:tc>
        <w:tc>
          <w:tcPr>
            <w:tcW w:w="445" w:type="pct"/>
            <w:tcBorders>
              <w:top w:val="nil"/>
              <w:left w:val="nil"/>
              <w:right w:val="nil"/>
            </w:tcBorders>
            <w:shd w:val="clear" w:color="auto" w:fill="auto"/>
            <w:noWrap/>
            <w:vAlign w:val="center"/>
            <w:hideMark/>
          </w:tcPr>
          <w:p w14:paraId="4DAE532C"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0.924</w:t>
            </w:r>
          </w:p>
        </w:tc>
      </w:tr>
      <w:tr w:rsidR="00CB42CC" w:rsidRPr="00644FC9" w14:paraId="3DADCFE4" w14:textId="77777777" w:rsidTr="0065482E">
        <w:trPr>
          <w:trHeight w:hRule="exact" w:val="284"/>
          <w:jc w:val="center"/>
        </w:trPr>
        <w:tc>
          <w:tcPr>
            <w:tcW w:w="505" w:type="pct"/>
            <w:tcBorders>
              <w:top w:val="nil"/>
              <w:left w:val="nil"/>
              <w:bottom w:val="single" w:sz="4" w:space="0" w:color="auto"/>
              <w:right w:val="nil"/>
            </w:tcBorders>
            <w:shd w:val="clear" w:color="auto" w:fill="auto"/>
            <w:noWrap/>
            <w:vAlign w:val="center"/>
            <w:hideMark/>
          </w:tcPr>
          <w:p w14:paraId="73D7D4EC" w14:textId="77777777" w:rsidR="004F2BF0" w:rsidRPr="00644FC9" w:rsidRDefault="004F2BF0" w:rsidP="004F2BF0">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MOM</w:t>
            </w:r>
          </w:p>
        </w:tc>
        <w:tc>
          <w:tcPr>
            <w:tcW w:w="403" w:type="pct"/>
            <w:tcBorders>
              <w:top w:val="nil"/>
              <w:left w:val="nil"/>
              <w:bottom w:val="single" w:sz="4" w:space="0" w:color="auto"/>
              <w:right w:val="nil"/>
            </w:tcBorders>
            <w:shd w:val="clear" w:color="auto" w:fill="auto"/>
            <w:noWrap/>
            <w:vAlign w:val="center"/>
            <w:hideMark/>
          </w:tcPr>
          <w:p w14:paraId="3A105D24"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0.088</w:t>
            </w:r>
          </w:p>
        </w:tc>
        <w:tc>
          <w:tcPr>
            <w:tcW w:w="423" w:type="pct"/>
            <w:tcBorders>
              <w:top w:val="nil"/>
              <w:left w:val="nil"/>
              <w:bottom w:val="single" w:sz="4" w:space="0" w:color="auto"/>
              <w:right w:val="nil"/>
            </w:tcBorders>
            <w:shd w:val="clear" w:color="auto" w:fill="auto"/>
            <w:noWrap/>
            <w:vAlign w:val="center"/>
            <w:hideMark/>
          </w:tcPr>
          <w:p w14:paraId="20D20E37"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-0.052</w:t>
            </w:r>
          </w:p>
        </w:tc>
        <w:tc>
          <w:tcPr>
            <w:tcW w:w="394" w:type="pct"/>
            <w:tcBorders>
              <w:top w:val="nil"/>
              <w:left w:val="nil"/>
              <w:bottom w:val="single" w:sz="4" w:space="0" w:color="auto"/>
              <w:right w:val="nil"/>
            </w:tcBorders>
            <w:shd w:val="clear" w:color="auto" w:fill="auto"/>
            <w:noWrap/>
            <w:vAlign w:val="center"/>
            <w:hideMark/>
          </w:tcPr>
          <w:p w14:paraId="3578092E"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-0.027</w:t>
            </w:r>
          </w:p>
        </w:tc>
        <w:tc>
          <w:tcPr>
            <w:tcW w:w="404" w:type="pct"/>
            <w:tcBorders>
              <w:top w:val="nil"/>
              <w:left w:val="nil"/>
              <w:bottom w:val="single" w:sz="4" w:space="0" w:color="auto"/>
              <w:right w:val="nil"/>
            </w:tcBorders>
            <w:shd w:val="clear" w:color="auto" w:fill="auto"/>
            <w:noWrap/>
            <w:vAlign w:val="center"/>
            <w:hideMark/>
          </w:tcPr>
          <w:p w14:paraId="59050233"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0.013</w:t>
            </w:r>
          </w:p>
        </w:tc>
        <w:tc>
          <w:tcPr>
            <w:tcW w:w="404" w:type="pct"/>
            <w:tcBorders>
              <w:top w:val="nil"/>
              <w:left w:val="nil"/>
              <w:bottom w:val="single" w:sz="4" w:space="0" w:color="auto"/>
              <w:right w:val="nil"/>
            </w:tcBorders>
            <w:shd w:val="clear" w:color="auto" w:fill="auto"/>
            <w:noWrap/>
            <w:vAlign w:val="center"/>
            <w:hideMark/>
          </w:tcPr>
          <w:p w14:paraId="30324C39"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0.036</w:t>
            </w:r>
          </w:p>
        </w:tc>
        <w:tc>
          <w:tcPr>
            <w:tcW w:w="404" w:type="pct"/>
            <w:tcBorders>
              <w:top w:val="nil"/>
              <w:left w:val="nil"/>
              <w:bottom w:val="single" w:sz="4" w:space="0" w:color="auto"/>
              <w:right w:val="nil"/>
            </w:tcBorders>
            <w:shd w:val="clear" w:color="auto" w:fill="auto"/>
            <w:noWrap/>
            <w:vAlign w:val="center"/>
            <w:hideMark/>
          </w:tcPr>
          <w:p w14:paraId="14A2FD8D"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0.060</w:t>
            </w:r>
          </w:p>
        </w:tc>
        <w:tc>
          <w:tcPr>
            <w:tcW w:w="404" w:type="pct"/>
            <w:tcBorders>
              <w:top w:val="nil"/>
              <w:left w:val="nil"/>
              <w:bottom w:val="single" w:sz="4" w:space="0" w:color="auto"/>
              <w:right w:val="nil"/>
            </w:tcBorders>
            <w:shd w:val="clear" w:color="auto" w:fill="auto"/>
            <w:noWrap/>
            <w:vAlign w:val="center"/>
            <w:hideMark/>
          </w:tcPr>
          <w:p w14:paraId="4BE5D1B4"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0.085</w:t>
            </w:r>
          </w:p>
        </w:tc>
        <w:tc>
          <w:tcPr>
            <w:tcW w:w="405" w:type="pct"/>
            <w:tcBorders>
              <w:top w:val="nil"/>
              <w:left w:val="nil"/>
              <w:bottom w:val="single" w:sz="4" w:space="0" w:color="auto"/>
              <w:right w:val="nil"/>
            </w:tcBorders>
            <w:shd w:val="clear" w:color="auto" w:fill="auto"/>
            <w:noWrap/>
            <w:vAlign w:val="center"/>
            <w:hideMark/>
          </w:tcPr>
          <w:p w14:paraId="4AAACB2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0.115</w:t>
            </w:r>
          </w:p>
        </w:tc>
        <w:tc>
          <w:tcPr>
            <w:tcW w:w="405" w:type="pct"/>
            <w:tcBorders>
              <w:top w:val="nil"/>
              <w:left w:val="nil"/>
              <w:bottom w:val="single" w:sz="4" w:space="0" w:color="auto"/>
              <w:right w:val="nil"/>
            </w:tcBorders>
            <w:shd w:val="clear" w:color="auto" w:fill="auto"/>
            <w:noWrap/>
            <w:vAlign w:val="center"/>
            <w:hideMark/>
          </w:tcPr>
          <w:p w14:paraId="1541163A"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0.153</w:t>
            </w:r>
          </w:p>
        </w:tc>
        <w:tc>
          <w:tcPr>
            <w:tcW w:w="405" w:type="pct"/>
            <w:tcBorders>
              <w:top w:val="nil"/>
              <w:left w:val="nil"/>
              <w:bottom w:val="single" w:sz="4" w:space="0" w:color="auto"/>
              <w:right w:val="nil"/>
            </w:tcBorders>
            <w:shd w:val="clear" w:color="auto" w:fill="auto"/>
            <w:noWrap/>
            <w:vAlign w:val="center"/>
            <w:hideMark/>
          </w:tcPr>
          <w:p w14:paraId="7CFE6E3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0.206</w:t>
            </w:r>
          </w:p>
        </w:tc>
        <w:tc>
          <w:tcPr>
            <w:tcW w:w="445" w:type="pct"/>
            <w:tcBorders>
              <w:top w:val="nil"/>
              <w:left w:val="nil"/>
              <w:bottom w:val="single" w:sz="4" w:space="0" w:color="auto"/>
              <w:right w:val="nil"/>
            </w:tcBorders>
            <w:shd w:val="clear" w:color="auto" w:fill="auto"/>
            <w:noWrap/>
            <w:vAlign w:val="center"/>
            <w:hideMark/>
          </w:tcPr>
          <w:p w14:paraId="47D7D25B" w14:textId="77777777" w:rsidR="004F2BF0" w:rsidRPr="00644FC9" w:rsidRDefault="004F2BF0" w:rsidP="004F2BF0">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0.294</w:t>
            </w:r>
          </w:p>
        </w:tc>
      </w:tr>
    </w:tbl>
    <w:p w14:paraId="500D27B5" w14:textId="68CBE85B" w:rsidR="004F2BF0" w:rsidRPr="00644FC9" w:rsidRDefault="004F2BF0" w:rsidP="003B6D15">
      <w:pPr>
        <w:adjustRightInd w:val="0"/>
        <w:snapToGrid w:val="0"/>
        <w:spacing w:before="60"/>
        <w:jc w:val="both"/>
        <w:rPr>
          <w:rFonts w:ascii="Times New Roman" w:hAnsi="Times New Roman" w:cs="Times New Roman"/>
          <w:color w:val="000000" w:themeColor="text1"/>
          <w:szCs w:val="24"/>
        </w:rPr>
      </w:pPr>
      <w:r w:rsidRPr="00644FC9">
        <w:rPr>
          <w:rFonts w:ascii="Times New Roman" w:hAnsi="Times New Roman" w:cs="Times New Roman"/>
          <w:i/>
          <w:color w:val="000000" w:themeColor="text1"/>
          <w:szCs w:val="24"/>
        </w:rPr>
        <w:t>UE</w:t>
      </w:r>
      <w:r w:rsidRPr="00644FC9">
        <w:rPr>
          <w:rFonts w:ascii="Times New Roman" w:hAnsi="Times New Roman" w:cs="Times New Roman"/>
          <w:color w:val="000000" w:themeColor="text1"/>
          <w:szCs w:val="24"/>
        </w:rPr>
        <w:t xml:space="preserve"> is unexpected earnings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which is calculated as earnings per share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minus earnings per share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-4, scale</w:t>
      </w:r>
      <w:r w:rsidR="003B6D15" w:rsidRPr="00644FC9">
        <w:rPr>
          <w:rFonts w:ascii="Times New Roman" w:hAnsi="Times New Roman" w:cs="Times New Roman"/>
          <w:color w:val="000000" w:themeColor="text1"/>
          <w:szCs w:val="24"/>
        </w:rPr>
        <w:t>d</w:t>
      </w:r>
      <w:r w:rsidRPr="00644FC9">
        <w:rPr>
          <w:rFonts w:ascii="Times New Roman" w:hAnsi="Times New Roman" w:cs="Times New Roman"/>
          <w:color w:val="000000" w:themeColor="text1"/>
          <w:szCs w:val="24"/>
        </w:rPr>
        <w:t xml:space="preserve"> by the price per share at the end of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UOI</w:t>
      </w:r>
      <w:r w:rsidRPr="00644FC9">
        <w:rPr>
          <w:rFonts w:ascii="Times New Roman" w:hAnsi="Times New Roman" w:cs="Times New Roman"/>
          <w:color w:val="000000" w:themeColor="text1"/>
          <w:szCs w:val="24"/>
        </w:rPr>
        <w:t xml:space="preserve"> is unexpected operating income for quarter</w:t>
      </w:r>
      <w:r w:rsidRPr="00644FC9">
        <w:rPr>
          <w:rFonts w:ascii="Times New Roman" w:hAnsi="Times New Roman" w:cs="Times New Roman"/>
          <w:i/>
          <w:color w:val="000000" w:themeColor="text1"/>
          <w:szCs w:val="24"/>
        </w:rPr>
        <w:t xml:space="preserve"> t</w:t>
      </w:r>
      <w:r w:rsidRPr="00644FC9">
        <w:rPr>
          <w:rFonts w:ascii="Times New Roman" w:hAnsi="Times New Roman" w:cs="Times New Roman"/>
          <w:color w:val="000000" w:themeColor="text1"/>
          <w:szCs w:val="24"/>
        </w:rPr>
        <w:t>, which is calculated as operating income per share for quarter</w:t>
      </w:r>
      <w:r w:rsidRPr="00644FC9">
        <w:rPr>
          <w:rFonts w:ascii="Times New Roman" w:hAnsi="Times New Roman" w:cs="Times New Roman"/>
          <w:i/>
          <w:color w:val="000000" w:themeColor="text1"/>
          <w:szCs w:val="24"/>
        </w:rPr>
        <w:t xml:space="preserve"> t</w:t>
      </w:r>
      <w:r w:rsidRPr="00644FC9">
        <w:rPr>
          <w:rFonts w:ascii="Times New Roman" w:hAnsi="Times New Roman" w:cs="Times New Roman"/>
          <w:color w:val="000000" w:themeColor="text1"/>
          <w:szCs w:val="24"/>
        </w:rPr>
        <w:t xml:space="preserve"> minus operating income per share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-4, scale</w:t>
      </w:r>
      <w:r w:rsidR="003B6D15" w:rsidRPr="00644FC9">
        <w:rPr>
          <w:rFonts w:ascii="Times New Roman" w:hAnsi="Times New Roman" w:cs="Times New Roman"/>
          <w:color w:val="000000" w:themeColor="text1"/>
          <w:szCs w:val="24"/>
        </w:rPr>
        <w:t>d</w:t>
      </w:r>
      <w:r w:rsidRPr="00644FC9">
        <w:rPr>
          <w:rFonts w:ascii="Times New Roman" w:hAnsi="Times New Roman" w:cs="Times New Roman"/>
          <w:color w:val="000000" w:themeColor="text1"/>
          <w:szCs w:val="24"/>
        </w:rPr>
        <w:t xml:space="preserve"> by the price per share at the end of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UNOI</w:t>
      </w:r>
      <w:r w:rsidRPr="00644FC9">
        <w:rPr>
          <w:rFonts w:ascii="Times New Roman" w:hAnsi="Times New Roman" w:cs="Times New Roman"/>
          <w:color w:val="000000" w:themeColor="text1"/>
          <w:szCs w:val="24"/>
        </w:rPr>
        <w:t xml:space="preserve"> is unexpected</w:t>
      </w:r>
      <w:r w:rsidR="00313173" w:rsidRPr="00644FC9">
        <w:rPr>
          <w:rFonts w:ascii="Times New Roman" w:hAnsi="Times New Roman" w:cs="Times New Roman"/>
          <w:color w:val="000000" w:themeColor="text1"/>
          <w:szCs w:val="24"/>
        </w:rPr>
        <w:t xml:space="preserve"> non-operating </w:t>
      </w:r>
      <w:r w:rsidRPr="00644FC9">
        <w:rPr>
          <w:rFonts w:ascii="Times New Roman" w:hAnsi="Times New Roman" w:cs="Times New Roman"/>
          <w:color w:val="000000" w:themeColor="text1"/>
          <w:szCs w:val="24"/>
        </w:rPr>
        <w:t xml:space="preserve">income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which is calculated as</w:t>
      </w:r>
      <w:r w:rsidR="00313173" w:rsidRPr="00644FC9">
        <w:rPr>
          <w:rFonts w:ascii="Times New Roman" w:hAnsi="Times New Roman" w:cs="Times New Roman"/>
          <w:color w:val="000000" w:themeColor="text1"/>
          <w:szCs w:val="24"/>
        </w:rPr>
        <w:t xml:space="preserve"> non-operating </w:t>
      </w:r>
      <w:r w:rsidRPr="00644FC9">
        <w:rPr>
          <w:rFonts w:ascii="Times New Roman" w:hAnsi="Times New Roman" w:cs="Times New Roman"/>
          <w:color w:val="000000" w:themeColor="text1"/>
          <w:szCs w:val="24"/>
        </w:rPr>
        <w:t xml:space="preserve">income per share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minus</w:t>
      </w:r>
      <w:r w:rsidR="00313173" w:rsidRPr="00644FC9">
        <w:rPr>
          <w:rFonts w:ascii="Times New Roman" w:hAnsi="Times New Roman" w:cs="Times New Roman"/>
          <w:color w:val="000000" w:themeColor="text1"/>
          <w:szCs w:val="24"/>
        </w:rPr>
        <w:t xml:space="preserve"> non-operating </w:t>
      </w:r>
      <w:r w:rsidRPr="00644FC9">
        <w:rPr>
          <w:rFonts w:ascii="Times New Roman" w:hAnsi="Times New Roman" w:cs="Times New Roman"/>
          <w:color w:val="000000" w:themeColor="text1"/>
          <w:szCs w:val="24"/>
        </w:rPr>
        <w:t xml:space="preserve">income per share for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-4, scale</w:t>
      </w:r>
      <w:r w:rsidR="003B6D15" w:rsidRPr="00644FC9">
        <w:rPr>
          <w:rFonts w:ascii="Times New Roman" w:hAnsi="Times New Roman" w:cs="Times New Roman"/>
          <w:color w:val="000000" w:themeColor="text1"/>
          <w:szCs w:val="24"/>
        </w:rPr>
        <w:t>d</w:t>
      </w:r>
      <w:r w:rsidRPr="00644FC9">
        <w:rPr>
          <w:rFonts w:ascii="Times New Roman" w:hAnsi="Times New Roman" w:cs="Times New Roman"/>
          <w:color w:val="000000" w:themeColor="text1"/>
          <w:szCs w:val="24"/>
        </w:rPr>
        <w:t xml:space="preserve"> by the price per share at the end of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SIZE</w:t>
      </w:r>
      <w:r w:rsidRPr="00644FC9">
        <w:rPr>
          <w:rFonts w:ascii="Times New Roman" w:hAnsi="Times New Roman" w:cs="Times New Roman"/>
          <w:color w:val="000000" w:themeColor="text1"/>
          <w:szCs w:val="24"/>
        </w:rPr>
        <w:t xml:space="preserve"> is </w:t>
      </w:r>
      <w:r w:rsidR="003B6D15"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 xml:space="preserve">log of the market value at the end of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BETA</w:t>
      </w:r>
      <w:r w:rsidRPr="00644FC9">
        <w:rPr>
          <w:rFonts w:ascii="Times New Roman" w:hAnsi="Times New Roman" w:cs="Times New Roman"/>
          <w:color w:val="000000" w:themeColor="text1"/>
          <w:szCs w:val="24"/>
        </w:rPr>
        <w:t xml:space="preserve"> is </w:t>
      </w:r>
      <w:r w:rsidR="003B6D15"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 xml:space="preserve">beta from the market model at the end of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BTM</w:t>
      </w:r>
      <w:r w:rsidRPr="00644FC9">
        <w:rPr>
          <w:rFonts w:ascii="Times New Roman" w:hAnsi="Times New Roman" w:cs="Times New Roman"/>
          <w:color w:val="000000" w:themeColor="text1"/>
          <w:szCs w:val="24"/>
        </w:rPr>
        <w:t xml:space="preserve"> is </w:t>
      </w:r>
      <w:r w:rsidR="003B6D15"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 xml:space="preserve">book-to-market ratio at the end of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MOM</w:t>
      </w:r>
      <w:r w:rsidRPr="00644FC9">
        <w:rPr>
          <w:rFonts w:ascii="Times New Roman" w:hAnsi="Times New Roman" w:cs="Times New Roman"/>
          <w:color w:val="000000" w:themeColor="text1"/>
          <w:szCs w:val="24"/>
        </w:rPr>
        <w:t xml:space="preserve"> is </w:t>
      </w:r>
      <w:r w:rsidR="003B6D15"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 xml:space="preserve">stock return from twelve to two months prior to the </w:t>
      </w:r>
      <w:r w:rsidR="0065717A">
        <w:rPr>
          <w:rFonts w:ascii="Times New Roman" w:hAnsi="Times New Roman" w:cs="Times New Roman"/>
          <w:color w:val="000000" w:themeColor="text1"/>
          <w:szCs w:val="24"/>
        </w:rPr>
        <w:t>earnings-announcement</w:t>
      </w:r>
      <w:r w:rsidRPr="00644FC9">
        <w:rPr>
          <w:rFonts w:ascii="Times New Roman" w:hAnsi="Times New Roman" w:cs="Times New Roman"/>
          <w:color w:val="000000" w:themeColor="text1"/>
          <w:szCs w:val="24"/>
        </w:rPr>
        <w:t xml:space="preserve"> month.</w:t>
      </w:r>
    </w:p>
    <w:p w14:paraId="23B92857" w14:textId="77777777" w:rsidR="004F2BF0" w:rsidRPr="00644FC9" w:rsidRDefault="004F2BF0" w:rsidP="004F2BF0">
      <w:pPr>
        <w:adjustRightInd w:val="0"/>
        <w:snapToGrid w:val="0"/>
        <w:jc w:val="both"/>
        <w:rPr>
          <w:rFonts w:ascii="Times New Roman" w:hAnsi="Times New Roman" w:cs="Times New Roman"/>
          <w:color w:val="000000" w:themeColor="text1"/>
          <w:szCs w:val="24"/>
        </w:rPr>
      </w:pPr>
    </w:p>
    <w:p w14:paraId="114D666D" w14:textId="1752039B" w:rsidR="00980551" w:rsidRPr="00644FC9" w:rsidRDefault="001B3ED5" w:rsidP="000C2FDF">
      <w:pPr>
        <w:widowControl/>
        <w:spacing w:line="480" w:lineRule="auto"/>
        <w:ind w:firstLineChars="200" w:firstLine="480"/>
        <w:jc w:val="both"/>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 xml:space="preserve">Panel B provides statistics on </w:t>
      </w:r>
      <w:r w:rsidR="004743C7" w:rsidRPr="00644FC9">
        <w:rPr>
          <w:rFonts w:ascii="Times New Roman" w:eastAsia="新細明體" w:hAnsi="Times New Roman" w:cs="Times New Roman"/>
          <w:color w:val="000000" w:themeColor="text1"/>
          <w:kern w:val="0"/>
          <w:szCs w:val="24"/>
        </w:rPr>
        <w:t>four</w:t>
      </w:r>
      <w:r w:rsidRPr="00644FC9">
        <w:rPr>
          <w:rFonts w:ascii="Times New Roman" w:eastAsia="新細明體" w:hAnsi="Times New Roman" w:cs="Times New Roman"/>
          <w:color w:val="000000" w:themeColor="text1"/>
          <w:kern w:val="0"/>
          <w:szCs w:val="24"/>
        </w:rPr>
        <w:t xml:space="preserve"> </w:t>
      </w:r>
      <w:r w:rsidR="004743C7" w:rsidRPr="00644FC9">
        <w:rPr>
          <w:rFonts w:ascii="Times New Roman" w:eastAsia="新細明體" w:hAnsi="Times New Roman" w:cs="Times New Roman"/>
          <w:color w:val="000000" w:themeColor="text1"/>
          <w:kern w:val="0"/>
          <w:szCs w:val="24"/>
        </w:rPr>
        <w:t>risk proxies associated with</w:t>
      </w:r>
      <w:r w:rsidRPr="00644FC9">
        <w:rPr>
          <w:rFonts w:ascii="Times New Roman" w:eastAsia="新細明體" w:hAnsi="Times New Roman" w:cs="Times New Roman"/>
          <w:color w:val="000000" w:themeColor="text1"/>
          <w:kern w:val="0"/>
          <w:szCs w:val="24"/>
        </w:rPr>
        <w:t xml:space="preserve"> future stock returns. </w:t>
      </w:r>
      <w:r w:rsidR="00C36384" w:rsidRPr="00644FC9">
        <w:rPr>
          <w:rFonts w:ascii="Times New Roman" w:eastAsia="新細明體" w:hAnsi="Times New Roman" w:cs="Times New Roman"/>
          <w:color w:val="000000" w:themeColor="text1"/>
          <w:kern w:val="0"/>
          <w:szCs w:val="24"/>
        </w:rPr>
        <w:t>An i</w:t>
      </w:r>
      <w:r w:rsidR="003448E2" w:rsidRPr="00644FC9">
        <w:rPr>
          <w:rFonts w:ascii="Times New Roman" w:eastAsia="新細明體" w:hAnsi="Times New Roman" w:cs="Times New Roman"/>
          <w:color w:val="000000" w:themeColor="text1"/>
          <w:kern w:val="0"/>
          <w:szCs w:val="24"/>
        </w:rPr>
        <w:t>nverted</w:t>
      </w:r>
      <w:r w:rsidR="00C36384" w:rsidRPr="00644FC9">
        <w:rPr>
          <w:rFonts w:ascii="Times New Roman" w:eastAsia="新細明體" w:hAnsi="Times New Roman" w:cs="Times New Roman"/>
          <w:color w:val="000000" w:themeColor="text1"/>
          <w:kern w:val="0"/>
          <w:szCs w:val="24"/>
        </w:rPr>
        <w:t>,</w:t>
      </w:r>
      <w:r w:rsidR="003448E2" w:rsidRPr="00644FC9">
        <w:rPr>
          <w:rFonts w:ascii="Times New Roman" w:eastAsia="新細明體" w:hAnsi="Times New Roman" w:cs="Times New Roman"/>
          <w:color w:val="000000" w:themeColor="text1"/>
          <w:kern w:val="0"/>
          <w:szCs w:val="24"/>
        </w:rPr>
        <w:t xml:space="preserve"> U-shaped relations</w:t>
      </w:r>
      <w:r w:rsidR="00C36384" w:rsidRPr="00644FC9">
        <w:rPr>
          <w:rFonts w:ascii="Times New Roman" w:eastAsia="新細明體" w:hAnsi="Times New Roman" w:cs="Times New Roman"/>
          <w:color w:val="000000" w:themeColor="text1"/>
          <w:kern w:val="0"/>
          <w:szCs w:val="24"/>
        </w:rPr>
        <w:t>hip</w:t>
      </w:r>
      <w:r w:rsidR="003448E2" w:rsidRPr="00644FC9">
        <w:rPr>
          <w:rFonts w:ascii="Times New Roman" w:eastAsia="新細明體" w:hAnsi="Times New Roman" w:cs="Times New Roman"/>
          <w:color w:val="000000" w:themeColor="text1"/>
          <w:kern w:val="0"/>
          <w:szCs w:val="24"/>
        </w:rPr>
        <w:t xml:space="preserve"> in the portfolio </w:t>
      </w:r>
      <w:r w:rsidR="00C36384" w:rsidRPr="00644FC9">
        <w:rPr>
          <w:rFonts w:ascii="Times New Roman" w:eastAsia="新細明體" w:hAnsi="Times New Roman" w:cs="Times New Roman"/>
          <w:color w:val="000000" w:themeColor="text1"/>
          <w:kern w:val="0"/>
          <w:szCs w:val="24"/>
        </w:rPr>
        <w:t xml:space="preserve">indicates an </w:t>
      </w:r>
      <w:r w:rsidR="003448E2" w:rsidRPr="00644FC9">
        <w:rPr>
          <w:rFonts w:ascii="Times New Roman" w:eastAsia="新細明體" w:hAnsi="Times New Roman" w:cs="Times New Roman"/>
          <w:color w:val="000000" w:themeColor="text1"/>
          <w:kern w:val="0"/>
          <w:szCs w:val="24"/>
        </w:rPr>
        <w:t xml:space="preserve">extreme portfolio containing smaller </w:t>
      </w:r>
      <w:r w:rsidR="001F34C5" w:rsidRPr="00644FC9">
        <w:rPr>
          <w:rFonts w:ascii="Times New Roman" w:eastAsia="新細明體" w:hAnsi="Times New Roman" w:cs="Times New Roman"/>
          <w:i/>
          <w:color w:val="000000" w:themeColor="text1"/>
          <w:kern w:val="0"/>
          <w:szCs w:val="24"/>
        </w:rPr>
        <w:t>SIZE</w:t>
      </w:r>
      <w:r w:rsidR="001F34C5" w:rsidRPr="00644FC9">
        <w:rPr>
          <w:rFonts w:ascii="Times New Roman" w:eastAsia="新細明體" w:hAnsi="Times New Roman" w:cs="Times New Roman"/>
          <w:color w:val="000000" w:themeColor="text1"/>
          <w:kern w:val="0"/>
          <w:szCs w:val="24"/>
        </w:rPr>
        <w:t xml:space="preserve"> </w:t>
      </w:r>
      <w:r w:rsidR="003448E2" w:rsidRPr="00644FC9">
        <w:rPr>
          <w:rFonts w:ascii="Times New Roman" w:eastAsia="新細明體" w:hAnsi="Times New Roman" w:cs="Times New Roman"/>
          <w:color w:val="000000" w:themeColor="text1"/>
          <w:kern w:val="0"/>
          <w:szCs w:val="24"/>
        </w:rPr>
        <w:t xml:space="preserve">and </w:t>
      </w:r>
      <w:r w:rsidR="001F34C5" w:rsidRPr="00644FC9">
        <w:rPr>
          <w:rFonts w:ascii="Times New Roman" w:eastAsia="新細明體" w:hAnsi="Times New Roman" w:cs="Times New Roman"/>
          <w:color w:val="000000" w:themeColor="text1"/>
          <w:kern w:val="0"/>
          <w:szCs w:val="24"/>
        </w:rPr>
        <w:t xml:space="preserve">lower </w:t>
      </w:r>
      <w:r w:rsidR="001F34C5" w:rsidRPr="00644FC9">
        <w:rPr>
          <w:rFonts w:ascii="Times New Roman" w:eastAsia="新細明體" w:hAnsi="Times New Roman" w:cs="Times New Roman"/>
          <w:i/>
          <w:color w:val="000000" w:themeColor="text1"/>
          <w:kern w:val="0"/>
          <w:szCs w:val="24"/>
        </w:rPr>
        <w:t>BTM</w:t>
      </w:r>
      <w:r w:rsidR="003448E2" w:rsidRPr="00644FC9">
        <w:rPr>
          <w:rFonts w:ascii="Times New Roman" w:eastAsia="新細明體" w:hAnsi="Times New Roman" w:cs="Times New Roman"/>
          <w:color w:val="000000" w:themeColor="text1"/>
          <w:kern w:val="0"/>
          <w:szCs w:val="24"/>
        </w:rPr>
        <w:t xml:space="preserve">. </w:t>
      </w:r>
      <w:r w:rsidR="00C36384" w:rsidRPr="00644FC9">
        <w:rPr>
          <w:rFonts w:ascii="Times New Roman" w:eastAsia="新細明體" w:hAnsi="Times New Roman" w:cs="Times New Roman"/>
          <w:color w:val="000000" w:themeColor="text1"/>
          <w:kern w:val="0"/>
          <w:szCs w:val="24"/>
        </w:rPr>
        <w:t>A</w:t>
      </w:r>
      <w:r w:rsidR="001F34C5" w:rsidRPr="00644FC9">
        <w:rPr>
          <w:rFonts w:ascii="Times New Roman" w:eastAsia="新細明體" w:hAnsi="Times New Roman" w:cs="Times New Roman"/>
          <w:color w:val="000000" w:themeColor="text1"/>
          <w:kern w:val="0"/>
          <w:szCs w:val="24"/>
        </w:rPr>
        <w:t xml:space="preserve"> U-shaped relations</w:t>
      </w:r>
      <w:r w:rsidR="00C36384" w:rsidRPr="00644FC9">
        <w:rPr>
          <w:rFonts w:ascii="Times New Roman" w:eastAsia="新細明體" w:hAnsi="Times New Roman" w:cs="Times New Roman"/>
          <w:color w:val="000000" w:themeColor="text1"/>
          <w:kern w:val="0"/>
          <w:szCs w:val="24"/>
        </w:rPr>
        <w:t>hip</w:t>
      </w:r>
      <w:r w:rsidR="001F34C5" w:rsidRPr="00644FC9">
        <w:rPr>
          <w:rFonts w:ascii="Times New Roman" w:eastAsia="新細明體" w:hAnsi="Times New Roman" w:cs="Times New Roman"/>
          <w:color w:val="000000" w:themeColor="text1"/>
          <w:kern w:val="0"/>
          <w:szCs w:val="24"/>
        </w:rPr>
        <w:t xml:space="preserve"> in the portfolio </w:t>
      </w:r>
      <w:r w:rsidR="00C36384" w:rsidRPr="00644FC9">
        <w:rPr>
          <w:rFonts w:ascii="Times New Roman" w:eastAsia="新細明體" w:hAnsi="Times New Roman" w:cs="Times New Roman"/>
          <w:color w:val="000000" w:themeColor="text1"/>
          <w:kern w:val="0"/>
          <w:szCs w:val="24"/>
        </w:rPr>
        <w:t xml:space="preserve">indicates an </w:t>
      </w:r>
      <w:r w:rsidR="001F34C5" w:rsidRPr="00644FC9">
        <w:rPr>
          <w:rFonts w:ascii="Times New Roman" w:eastAsia="新細明體" w:hAnsi="Times New Roman" w:cs="Times New Roman"/>
          <w:color w:val="000000" w:themeColor="text1"/>
          <w:kern w:val="0"/>
          <w:szCs w:val="24"/>
        </w:rPr>
        <w:t xml:space="preserve">extreme portfolio containing higher </w:t>
      </w:r>
      <w:r w:rsidR="001F34C5" w:rsidRPr="00644FC9">
        <w:rPr>
          <w:rFonts w:ascii="Times New Roman" w:eastAsia="新細明體" w:hAnsi="Times New Roman" w:cs="Times New Roman"/>
          <w:i/>
          <w:color w:val="000000" w:themeColor="text1"/>
          <w:kern w:val="0"/>
          <w:szCs w:val="24"/>
        </w:rPr>
        <w:t>BETA</w:t>
      </w:r>
      <w:r w:rsidR="001F34C5" w:rsidRPr="00644FC9">
        <w:rPr>
          <w:rFonts w:ascii="Times New Roman" w:eastAsia="新細明體" w:hAnsi="Times New Roman" w:cs="Times New Roman"/>
          <w:color w:val="000000" w:themeColor="text1"/>
          <w:kern w:val="0"/>
          <w:szCs w:val="24"/>
        </w:rPr>
        <w:t>. Those results show th</w:t>
      </w:r>
      <w:r w:rsidR="00C36384" w:rsidRPr="00644FC9">
        <w:rPr>
          <w:rFonts w:ascii="Times New Roman" w:eastAsia="新細明體" w:hAnsi="Times New Roman" w:cs="Times New Roman"/>
          <w:color w:val="000000" w:themeColor="text1"/>
          <w:kern w:val="0"/>
          <w:szCs w:val="24"/>
        </w:rPr>
        <w:t>at</w:t>
      </w:r>
      <w:r w:rsidR="001F34C5" w:rsidRPr="00644FC9">
        <w:rPr>
          <w:rFonts w:ascii="Times New Roman" w:eastAsia="新細明體" w:hAnsi="Times New Roman" w:cs="Times New Roman"/>
          <w:color w:val="000000" w:themeColor="text1"/>
          <w:kern w:val="0"/>
          <w:szCs w:val="24"/>
        </w:rPr>
        <w:t xml:space="preserve"> extreme portfolios are more risky.</w:t>
      </w:r>
      <w:r w:rsidR="000C2FDF" w:rsidRPr="00644FC9">
        <w:rPr>
          <w:rFonts w:ascii="Times New Roman" w:eastAsia="新細明體" w:hAnsi="Times New Roman" w:cs="Times New Roman"/>
          <w:color w:val="000000" w:themeColor="text1"/>
          <w:kern w:val="0"/>
          <w:szCs w:val="24"/>
        </w:rPr>
        <w:t xml:space="preserve"> Across the unexpected </w:t>
      </w:r>
      <w:r w:rsidR="00C0284B" w:rsidRPr="00644FC9">
        <w:rPr>
          <w:rFonts w:ascii="Times New Roman" w:eastAsia="新細明體" w:hAnsi="Times New Roman" w:cs="Times New Roman"/>
          <w:color w:val="000000" w:themeColor="text1"/>
          <w:kern w:val="0"/>
          <w:szCs w:val="24"/>
        </w:rPr>
        <w:t xml:space="preserve">earnings </w:t>
      </w:r>
      <w:r w:rsidR="000C2FDF" w:rsidRPr="00644FC9">
        <w:rPr>
          <w:rFonts w:ascii="Times New Roman" w:eastAsia="新細明體" w:hAnsi="Times New Roman" w:cs="Times New Roman"/>
          <w:color w:val="000000" w:themeColor="text1"/>
          <w:kern w:val="0"/>
          <w:szCs w:val="24"/>
        </w:rPr>
        <w:t xml:space="preserve">portfolios, the mean values of the </w:t>
      </w:r>
      <w:r w:rsidR="00C0284B" w:rsidRPr="00644FC9">
        <w:rPr>
          <w:rFonts w:ascii="Times New Roman" w:eastAsia="新細明體" w:hAnsi="Times New Roman" w:cs="Times New Roman"/>
          <w:i/>
          <w:color w:val="000000" w:themeColor="text1"/>
          <w:kern w:val="0"/>
          <w:szCs w:val="24"/>
        </w:rPr>
        <w:t>MOM</w:t>
      </w:r>
      <w:r w:rsidR="000C2FDF" w:rsidRPr="00644FC9">
        <w:rPr>
          <w:rFonts w:ascii="Times New Roman" w:eastAsia="新細明體" w:hAnsi="Times New Roman" w:cs="Times New Roman"/>
          <w:color w:val="000000" w:themeColor="text1"/>
          <w:kern w:val="0"/>
          <w:szCs w:val="24"/>
        </w:rPr>
        <w:t xml:space="preserve"> range from -</w:t>
      </w:r>
      <w:r w:rsidR="00C0284B" w:rsidRPr="00644FC9">
        <w:rPr>
          <w:rFonts w:ascii="Times New Roman" w:eastAsia="新細明體" w:hAnsi="Times New Roman" w:cs="Times New Roman"/>
          <w:color w:val="000000" w:themeColor="text1"/>
          <w:kern w:val="0"/>
          <w:szCs w:val="24"/>
        </w:rPr>
        <w:t>0.052</w:t>
      </w:r>
      <w:r w:rsidR="000C2FDF" w:rsidRPr="00644FC9">
        <w:rPr>
          <w:rFonts w:ascii="Times New Roman" w:eastAsia="新細明體" w:hAnsi="Times New Roman" w:cs="Times New Roman"/>
          <w:color w:val="000000" w:themeColor="text1"/>
          <w:kern w:val="0"/>
          <w:szCs w:val="24"/>
        </w:rPr>
        <w:t xml:space="preserve"> to </w:t>
      </w:r>
      <w:r w:rsidR="00C0284B" w:rsidRPr="00644FC9">
        <w:rPr>
          <w:rFonts w:ascii="Times New Roman" w:eastAsia="新細明體" w:hAnsi="Times New Roman" w:cs="Times New Roman"/>
          <w:color w:val="000000" w:themeColor="text1"/>
          <w:kern w:val="0"/>
          <w:szCs w:val="24"/>
        </w:rPr>
        <w:t>0.294</w:t>
      </w:r>
      <w:r w:rsidR="000C2FDF" w:rsidRPr="00644FC9">
        <w:rPr>
          <w:rFonts w:ascii="Times New Roman" w:eastAsia="新細明體" w:hAnsi="Times New Roman" w:cs="Times New Roman"/>
          <w:color w:val="000000" w:themeColor="text1"/>
          <w:kern w:val="0"/>
          <w:szCs w:val="24"/>
        </w:rPr>
        <w:t>.</w:t>
      </w:r>
      <w:r w:rsidR="00C0284B" w:rsidRPr="00644FC9">
        <w:rPr>
          <w:rFonts w:ascii="Times New Roman" w:eastAsia="新細明體" w:hAnsi="Times New Roman" w:cs="Times New Roman"/>
          <w:color w:val="000000" w:themeColor="text1"/>
          <w:kern w:val="0"/>
          <w:szCs w:val="24"/>
        </w:rPr>
        <w:t xml:space="preserve"> This reveals a positive relation</w:t>
      </w:r>
      <w:r w:rsidR="00C36384" w:rsidRPr="00644FC9">
        <w:rPr>
          <w:rFonts w:ascii="Times New Roman" w:eastAsia="新細明體" w:hAnsi="Times New Roman" w:cs="Times New Roman"/>
          <w:color w:val="000000" w:themeColor="text1"/>
          <w:kern w:val="0"/>
          <w:szCs w:val="24"/>
        </w:rPr>
        <w:t>ship</w:t>
      </w:r>
      <w:r w:rsidR="00C0284B" w:rsidRPr="00644FC9">
        <w:rPr>
          <w:rFonts w:ascii="Times New Roman" w:eastAsia="新細明體" w:hAnsi="Times New Roman" w:cs="Times New Roman"/>
          <w:color w:val="000000" w:themeColor="text1"/>
          <w:kern w:val="0"/>
          <w:szCs w:val="24"/>
        </w:rPr>
        <w:t xml:space="preserve"> between unexpected earnings and stock momentum.</w:t>
      </w:r>
    </w:p>
    <w:p w14:paraId="615F2EC0" w14:textId="4C730E78" w:rsidR="00222EBB" w:rsidRPr="00644FC9" w:rsidRDefault="00222EBB" w:rsidP="00222EBB">
      <w:pPr>
        <w:adjustRightInd w:val="0"/>
        <w:spacing w:line="480" w:lineRule="auto"/>
        <w:ind w:firstLineChars="200" w:firstLine="480"/>
        <w:jc w:val="both"/>
        <w:rPr>
          <w:rFonts w:ascii="Times New Roman" w:hAnsi="Times New Roman" w:cs="Times New Roman"/>
          <w:color w:val="000000" w:themeColor="text1"/>
        </w:rPr>
      </w:pPr>
      <w:r w:rsidRPr="00644FC9">
        <w:rPr>
          <w:rFonts w:ascii="Times New Roman" w:eastAsia="標楷體" w:hAnsi="Times New Roman" w:cs="Times New Roman"/>
          <w:color w:val="000000" w:themeColor="text1"/>
        </w:rPr>
        <w:t xml:space="preserve">Prior studies have documented that a </w:t>
      </w:r>
      <w:r w:rsidR="00C94802" w:rsidRPr="00644FC9">
        <w:rPr>
          <w:rFonts w:ascii="Times New Roman" w:eastAsia="標楷體" w:hAnsi="Times New Roman" w:cs="Times New Roman"/>
          <w:color w:val="000000" w:themeColor="text1"/>
        </w:rPr>
        <w:t>posi</w:t>
      </w:r>
      <w:r w:rsidRPr="00644FC9">
        <w:rPr>
          <w:rFonts w:ascii="Times New Roman" w:eastAsia="標楷體" w:hAnsi="Times New Roman" w:cs="Times New Roman"/>
          <w:color w:val="000000" w:themeColor="text1"/>
        </w:rPr>
        <w:t xml:space="preserve">tive relationship exists between </w:t>
      </w:r>
      <w:r w:rsidR="002D70FB" w:rsidRPr="00644FC9">
        <w:rPr>
          <w:rFonts w:ascii="Times New Roman" w:eastAsia="標楷體" w:hAnsi="Times New Roman" w:cs="Times New Roman"/>
          <w:color w:val="000000" w:themeColor="text1"/>
        </w:rPr>
        <w:t>standardized unexpected earnings</w:t>
      </w:r>
      <w:r w:rsidRPr="00644FC9">
        <w:rPr>
          <w:rFonts w:ascii="Times New Roman" w:eastAsia="標楷體" w:hAnsi="Times New Roman" w:cs="Times New Roman"/>
          <w:color w:val="000000" w:themeColor="text1"/>
        </w:rPr>
        <w:t xml:space="preserve"> and future stock returns (</w:t>
      </w:r>
      <w:r w:rsidR="00644FC9">
        <w:rPr>
          <w:rFonts w:ascii="Times New Roman" w:eastAsia="標楷體" w:hAnsi="Times New Roman" w:cs="Times New Roman"/>
          <w:color w:val="000000" w:themeColor="text1"/>
        </w:rPr>
        <w:t xml:space="preserve">e.g., </w:t>
      </w:r>
      <w:r w:rsidR="00DC7BE3" w:rsidRPr="00644FC9">
        <w:rPr>
          <w:rFonts w:ascii="Times New Roman" w:eastAsia="標楷體" w:hAnsi="Times New Roman" w:cs="Times New Roman"/>
          <w:color w:val="000000" w:themeColor="text1"/>
        </w:rPr>
        <w:t>Bernard and Thomas, 1990)</w:t>
      </w:r>
      <w:r w:rsidRPr="00644FC9">
        <w:rPr>
          <w:rFonts w:ascii="Times New Roman" w:eastAsia="標楷體" w:hAnsi="Times New Roman" w:cs="Times New Roman"/>
          <w:color w:val="000000" w:themeColor="text1"/>
        </w:rPr>
        <w:t xml:space="preserve">. </w:t>
      </w:r>
      <w:r w:rsidR="00C94802" w:rsidRPr="00644FC9">
        <w:rPr>
          <w:rFonts w:ascii="Times New Roman" w:eastAsia="標楷體" w:hAnsi="Times New Roman" w:cs="Times New Roman"/>
          <w:color w:val="000000" w:themeColor="text1"/>
        </w:rPr>
        <w:t>I</w:t>
      </w:r>
      <w:r w:rsidRPr="00644FC9">
        <w:rPr>
          <w:rFonts w:ascii="Times New Roman" w:eastAsia="標楷體" w:hAnsi="Times New Roman" w:cs="Times New Roman"/>
          <w:color w:val="000000" w:themeColor="text1"/>
        </w:rPr>
        <w:t xml:space="preserve"> sort</w:t>
      </w:r>
      <w:r w:rsidR="00C36384" w:rsidRPr="00644FC9">
        <w:rPr>
          <w:rFonts w:ascii="Times New Roman" w:eastAsia="標楷體" w:hAnsi="Times New Roman" w:cs="Times New Roman"/>
          <w:color w:val="000000" w:themeColor="text1"/>
        </w:rPr>
        <w:t>ed</w:t>
      </w:r>
      <w:r w:rsidRPr="00644FC9">
        <w:rPr>
          <w:rFonts w:ascii="Times New Roman" w:eastAsia="標楷體" w:hAnsi="Times New Roman" w:cs="Times New Roman"/>
          <w:color w:val="000000" w:themeColor="text1"/>
        </w:rPr>
        <w:t xml:space="preserve"> firm-</w:t>
      </w:r>
      <w:r w:rsidR="00C94802" w:rsidRPr="00644FC9">
        <w:rPr>
          <w:rFonts w:ascii="Times New Roman" w:eastAsia="標楷體" w:hAnsi="Times New Roman" w:cs="Times New Roman"/>
          <w:color w:val="000000" w:themeColor="text1"/>
        </w:rPr>
        <w:t>quarter</w:t>
      </w:r>
      <w:r w:rsidRPr="00644FC9">
        <w:rPr>
          <w:rFonts w:ascii="Times New Roman" w:eastAsia="標楷體" w:hAnsi="Times New Roman" w:cs="Times New Roman"/>
          <w:color w:val="000000" w:themeColor="text1"/>
        </w:rPr>
        <w:t xml:space="preserve">s into </w:t>
      </w:r>
      <w:r w:rsidR="00C94802" w:rsidRPr="00644FC9">
        <w:rPr>
          <w:rFonts w:ascii="Times New Roman" w:eastAsia="標楷體" w:hAnsi="Times New Roman" w:cs="Times New Roman"/>
          <w:color w:val="000000" w:themeColor="text1"/>
        </w:rPr>
        <w:t>decile</w:t>
      </w:r>
      <w:r w:rsidRPr="00644FC9">
        <w:rPr>
          <w:rFonts w:ascii="Times New Roman" w:eastAsia="標楷體" w:hAnsi="Times New Roman" w:cs="Times New Roman"/>
          <w:color w:val="000000" w:themeColor="text1"/>
        </w:rPr>
        <w:t>s based on the levels of</w:t>
      </w:r>
      <w:r w:rsidRPr="00644FC9">
        <w:rPr>
          <w:rFonts w:ascii="Times New Roman" w:eastAsia="AdvTimes-Integra" w:hAnsi="Times New Roman" w:cs="Times New Roman"/>
          <w:color w:val="000000" w:themeColor="text1"/>
          <w:kern w:val="0"/>
        </w:rPr>
        <w:t xml:space="preserve"> </w:t>
      </w:r>
      <w:r w:rsidR="00C75BDD" w:rsidRPr="00644FC9">
        <w:rPr>
          <w:rFonts w:ascii="Times New Roman" w:eastAsia="AdvTimes-Integra" w:hAnsi="Times New Roman" w:cs="Times New Roman"/>
          <w:color w:val="000000" w:themeColor="text1"/>
          <w:kern w:val="0"/>
        </w:rPr>
        <w:t xml:space="preserve">each </w:t>
      </w:r>
      <w:r w:rsidR="00C94802" w:rsidRPr="00644FC9">
        <w:rPr>
          <w:rFonts w:ascii="Times New Roman" w:eastAsia="AdvTimes-i-Integra" w:hAnsi="Times New Roman" w:cs="Times New Roman"/>
          <w:color w:val="000000" w:themeColor="text1"/>
          <w:kern w:val="0"/>
        </w:rPr>
        <w:t>unexpected earnings</w:t>
      </w:r>
      <w:r w:rsidR="00DD6167" w:rsidRPr="00644FC9">
        <w:rPr>
          <w:rFonts w:ascii="Times New Roman" w:eastAsia="AdvTimes-i-Integra" w:hAnsi="Times New Roman" w:cs="Times New Roman"/>
          <w:color w:val="000000" w:themeColor="text1"/>
          <w:kern w:val="0"/>
        </w:rPr>
        <w:t xml:space="preserve"> </w:t>
      </w:r>
      <w:r w:rsidR="00C75BDD" w:rsidRPr="00644FC9">
        <w:rPr>
          <w:rFonts w:ascii="Times New Roman" w:eastAsia="AdvTimes-i-Integra" w:hAnsi="Times New Roman" w:cs="Times New Roman"/>
          <w:color w:val="000000" w:themeColor="text1"/>
          <w:kern w:val="0"/>
        </w:rPr>
        <w:t xml:space="preserve">components </w:t>
      </w:r>
      <w:r w:rsidRPr="00644FC9">
        <w:rPr>
          <w:rFonts w:ascii="Times New Roman" w:eastAsia="AdvTimes-Integra" w:hAnsi="Times New Roman" w:cs="Times New Roman"/>
          <w:color w:val="000000" w:themeColor="text1"/>
          <w:kern w:val="0"/>
        </w:rPr>
        <w:t xml:space="preserve">for the </w:t>
      </w:r>
      <w:r w:rsidRPr="00644FC9">
        <w:rPr>
          <w:rFonts w:ascii="Times New Roman" w:eastAsia="AdvTimes-Integra" w:hAnsi="Times New Roman" w:cs="Times New Roman"/>
          <w:color w:val="000000" w:themeColor="text1"/>
          <w:kern w:val="0"/>
        </w:rPr>
        <w:lastRenderedPageBreak/>
        <w:t xml:space="preserve">previous </w:t>
      </w:r>
      <w:r w:rsidR="00DD6167" w:rsidRPr="00644FC9">
        <w:rPr>
          <w:rFonts w:ascii="Times New Roman" w:eastAsia="AdvTimes-Integra" w:hAnsi="Times New Roman" w:cs="Times New Roman"/>
          <w:color w:val="000000" w:themeColor="text1"/>
          <w:kern w:val="0"/>
        </w:rPr>
        <w:t>quarter</w:t>
      </w:r>
      <w:r w:rsidRPr="00644FC9">
        <w:rPr>
          <w:rFonts w:ascii="Times New Roman" w:hAnsi="Times New Roman" w:cs="Times New Roman"/>
          <w:color w:val="000000" w:themeColor="text1"/>
          <w:kern w:val="0"/>
        </w:rPr>
        <w:t xml:space="preserve">. Then, </w:t>
      </w:r>
      <w:r w:rsidR="005955AA" w:rsidRPr="00644FC9">
        <w:rPr>
          <w:rFonts w:ascii="Times New Roman" w:hAnsi="Times New Roman" w:cs="Times New Roman"/>
          <w:color w:val="000000" w:themeColor="text1"/>
          <w:kern w:val="0"/>
        </w:rPr>
        <w:t>I</w:t>
      </w:r>
      <w:r w:rsidRPr="00644FC9">
        <w:rPr>
          <w:rFonts w:ascii="Times New Roman" w:eastAsia="標楷體" w:hAnsi="Times New Roman" w:cs="Times New Roman"/>
          <w:color w:val="000000" w:themeColor="text1"/>
        </w:rPr>
        <w:t xml:space="preserve"> calculate</w:t>
      </w:r>
      <w:r w:rsidR="00C36384" w:rsidRPr="00644FC9">
        <w:rPr>
          <w:rFonts w:ascii="Times New Roman" w:eastAsia="標楷體" w:hAnsi="Times New Roman" w:cs="Times New Roman"/>
          <w:color w:val="000000" w:themeColor="text1"/>
        </w:rPr>
        <w:t>d</w:t>
      </w:r>
      <w:r w:rsidRPr="00644FC9">
        <w:rPr>
          <w:rFonts w:ascii="Times New Roman" w:eastAsia="標楷體" w:hAnsi="Times New Roman" w:cs="Times New Roman"/>
          <w:color w:val="000000" w:themeColor="text1"/>
        </w:rPr>
        <w:t xml:space="preserve"> </w:t>
      </w:r>
      <w:r w:rsidR="005955AA" w:rsidRPr="00644FC9">
        <w:rPr>
          <w:rFonts w:ascii="Times New Roman" w:eastAsia="標楷體" w:hAnsi="Times New Roman" w:cs="Times New Roman"/>
          <w:color w:val="000000" w:themeColor="text1"/>
        </w:rPr>
        <w:t>mean</w:t>
      </w:r>
      <w:r w:rsidRPr="00644FC9">
        <w:rPr>
          <w:rFonts w:ascii="Times New Roman" w:eastAsia="標楷體" w:hAnsi="Times New Roman" w:cs="Times New Roman"/>
          <w:color w:val="000000" w:themeColor="text1"/>
        </w:rPr>
        <w:t xml:space="preserve"> size-adjusted returns following the portfolio formation</w:t>
      </w:r>
      <w:r w:rsidRPr="00644FC9">
        <w:rPr>
          <w:rFonts w:ascii="Times New Roman" w:eastAsia="AdvTimes-Integra" w:hAnsi="Times New Roman" w:cs="Times New Roman"/>
          <w:color w:val="000000" w:themeColor="text1"/>
          <w:kern w:val="0"/>
        </w:rPr>
        <w:t xml:space="preserve"> for </w:t>
      </w:r>
      <w:r w:rsidR="002D70FB" w:rsidRPr="00644FC9">
        <w:rPr>
          <w:rFonts w:ascii="Times New Roman" w:hAnsi="Times New Roman" w:cs="Times New Roman"/>
          <w:color w:val="000000" w:themeColor="text1"/>
          <w:kern w:val="0"/>
        </w:rPr>
        <w:t>each earnings component</w:t>
      </w:r>
      <w:r w:rsidR="00C75BDD" w:rsidRPr="00644FC9">
        <w:rPr>
          <w:rFonts w:ascii="Times New Roman" w:hAnsi="Times New Roman" w:cs="Times New Roman"/>
          <w:color w:val="000000" w:themeColor="text1"/>
          <w:kern w:val="0"/>
        </w:rPr>
        <w:t>s</w:t>
      </w:r>
      <w:r w:rsidRPr="00644FC9">
        <w:rPr>
          <w:rFonts w:ascii="Times New Roman" w:eastAsia="標楷體" w:hAnsi="Times New Roman" w:cs="Times New Roman"/>
          <w:color w:val="000000" w:themeColor="text1"/>
        </w:rPr>
        <w:t xml:space="preserve">. </w:t>
      </w:r>
      <w:r w:rsidR="002D70FB" w:rsidRPr="00644FC9">
        <w:rPr>
          <w:rFonts w:ascii="Times New Roman" w:hAnsi="Times New Roman" w:cs="Times New Roman"/>
          <w:color w:val="000000" w:themeColor="text1"/>
        </w:rPr>
        <w:t>Table 2</w:t>
      </w:r>
      <w:r w:rsidRPr="00644FC9">
        <w:rPr>
          <w:rFonts w:ascii="Times New Roman" w:hAnsi="Times New Roman" w:cs="Times New Roman"/>
          <w:color w:val="000000" w:themeColor="text1"/>
        </w:rPr>
        <w:t xml:space="preserve"> compares the mean size-adjusted returns for different periods following the prior year</w:t>
      </w:r>
      <w:r w:rsidR="00C36384" w:rsidRPr="00644FC9">
        <w:rPr>
          <w:rFonts w:ascii="Times New Roman" w:hAnsi="Times New Roman" w:cs="Times New Roman"/>
          <w:color w:val="000000" w:themeColor="text1"/>
        </w:rPr>
        <w:t>’</w:t>
      </w:r>
      <w:r w:rsidRPr="00644FC9">
        <w:rPr>
          <w:rFonts w:ascii="Times New Roman" w:hAnsi="Times New Roman" w:cs="Times New Roman"/>
          <w:color w:val="000000" w:themeColor="text1"/>
        </w:rPr>
        <w:t xml:space="preserve">s </w:t>
      </w:r>
      <w:r w:rsidR="0065717A">
        <w:rPr>
          <w:rFonts w:ascii="Times New Roman" w:hAnsi="Times New Roman" w:cs="Times New Roman"/>
          <w:color w:val="000000" w:themeColor="text1"/>
        </w:rPr>
        <w:t>earnings-announcement</w:t>
      </w:r>
      <w:r w:rsidRPr="00644FC9">
        <w:rPr>
          <w:rFonts w:ascii="Times New Roman" w:hAnsi="Times New Roman" w:cs="Times New Roman"/>
          <w:color w:val="000000" w:themeColor="text1"/>
        </w:rPr>
        <w:t xml:space="preserve"> for </w:t>
      </w:r>
      <w:r w:rsidR="00C75BDD" w:rsidRPr="00644FC9">
        <w:rPr>
          <w:rFonts w:ascii="Times New Roman" w:hAnsi="Times New Roman" w:cs="Times New Roman"/>
          <w:color w:val="000000" w:themeColor="text1"/>
        </w:rPr>
        <w:t>each unexpected earnings components</w:t>
      </w:r>
      <w:r w:rsidRPr="00644FC9">
        <w:rPr>
          <w:rFonts w:ascii="Times New Roman" w:hAnsi="Times New Roman" w:cs="Times New Roman"/>
          <w:color w:val="000000" w:themeColor="text1"/>
        </w:rPr>
        <w:t xml:space="preserve">. </w:t>
      </w:r>
      <w:r w:rsidR="00822616" w:rsidRPr="00644FC9">
        <w:rPr>
          <w:rFonts w:ascii="Times New Roman" w:hAnsi="Times New Roman" w:cs="Times New Roman"/>
          <w:color w:val="000000" w:themeColor="text1"/>
        </w:rPr>
        <w:t>I</w:t>
      </w:r>
      <w:r w:rsidRPr="00644FC9">
        <w:rPr>
          <w:rFonts w:ascii="Times New Roman" w:hAnsi="Times New Roman" w:cs="Times New Roman"/>
          <w:color w:val="000000" w:themeColor="text1"/>
        </w:rPr>
        <w:t xml:space="preserve"> accumulate</w:t>
      </w:r>
      <w:r w:rsidR="00C36384" w:rsidRPr="00644FC9">
        <w:rPr>
          <w:rFonts w:ascii="Times New Roman" w:hAnsi="Times New Roman" w:cs="Times New Roman"/>
          <w:color w:val="000000" w:themeColor="text1"/>
        </w:rPr>
        <w:t>d</w:t>
      </w:r>
      <w:r w:rsidRPr="00644FC9">
        <w:rPr>
          <w:rFonts w:ascii="Times New Roman" w:hAnsi="Times New Roman" w:cs="Times New Roman"/>
          <w:color w:val="000000" w:themeColor="text1"/>
        </w:rPr>
        <w:t xml:space="preserve"> these returns over three holding periods: </w:t>
      </w:r>
      <w:r w:rsidR="00EC0D6E" w:rsidRPr="00644FC9">
        <w:rPr>
          <w:rFonts w:ascii="Times New Roman" w:hAnsi="Times New Roman" w:cs="Times New Roman"/>
          <w:color w:val="000000" w:themeColor="text1"/>
        </w:rPr>
        <w:t>5</w:t>
      </w:r>
      <w:r w:rsidR="00757598" w:rsidRPr="00644FC9">
        <w:rPr>
          <w:rFonts w:ascii="Times New Roman" w:hAnsi="Times New Roman" w:cs="Times New Roman" w:hint="eastAsia"/>
          <w:color w:val="000000" w:themeColor="text1"/>
        </w:rPr>
        <w:t>-</w:t>
      </w:r>
      <w:r w:rsidR="00EC0D6E" w:rsidRPr="00644FC9">
        <w:rPr>
          <w:rFonts w:ascii="Times New Roman" w:hAnsi="Times New Roman" w:cs="Times New Roman"/>
          <w:color w:val="000000" w:themeColor="text1"/>
        </w:rPr>
        <w:t>days</w:t>
      </w:r>
      <w:r w:rsidRPr="00644FC9">
        <w:rPr>
          <w:rFonts w:ascii="Times New Roman" w:hAnsi="Times New Roman" w:cs="Times New Roman"/>
          <w:color w:val="000000" w:themeColor="text1"/>
        </w:rPr>
        <w:t xml:space="preserve">, </w:t>
      </w:r>
      <w:r w:rsidR="00EC0D6E" w:rsidRPr="00644FC9">
        <w:rPr>
          <w:rFonts w:ascii="Times New Roman" w:hAnsi="Times New Roman" w:cs="Times New Roman"/>
          <w:color w:val="000000" w:themeColor="text1"/>
        </w:rPr>
        <w:t>21-days</w:t>
      </w:r>
      <w:r w:rsidRPr="00644FC9">
        <w:rPr>
          <w:rFonts w:ascii="Times New Roman" w:hAnsi="Times New Roman" w:cs="Times New Roman"/>
          <w:color w:val="000000" w:themeColor="text1"/>
        </w:rPr>
        <w:t xml:space="preserve">, and </w:t>
      </w:r>
      <w:r w:rsidR="00757598" w:rsidRPr="00644FC9">
        <w:rPr>
          <w:rFonts w:ascii="Times New Roman" w:hAnsi="Times New Roman" w:cs="Times New Roman"/>
          <w:color w:val="000000" w:themeColor="text1"/>
        </w:rPr>
        <w:t>one</w:t>
      </w:r>
      <w:r w:rsidRPr="00644FC9">
        <w:rPr>
          <w:rFonts w:ascii="Times New Roman" w:hAnsi="Times New Roman" w:cs="Times New Roman"/>
          <w:color w:val="000000" w:themeColor="text1"/>
        </w:rPr>
        <w:t xml:space="preserve"> </w:t>
      </w:r>
      <w:r w:rsidR="00EC0D6E" w:rsidRPr="00644FC9">
        <w:rPr>
          <w:rFonts w:ascii="Times New Roman" w:hAnsi="Times New Roman" w:cs="Times New Roman"/>
          <w:color w:val="000000" w:themeColor="text1"/>
        </w:rPr>
        <w:t>quarter</w:t>
      </w:r>
      <w:r w:rsidRPr="00644FC9">
        <w:rPr>
          <w:rFonts w:ascii="Times New Roman" w:hAnsi="Times New Roman" w:cs="Times New Roman"/>
          <w:color w:val="000000" w:themeColor="text1"/>
        </w:rPr>
        <w:t>.</w:t>
      </w:r>
      <w:r w:rsidR="00A92677" w:rsidRPr="00644FC9">
        <w:rPr>
          <w:rFonts w:ascii="Times New Roman" w:hAnsi="Times New Roman" w:cs="Times New Roman"/>
          <w:color w:val="000000" w:themeColor="text1"/>
        </w:rPr>
        <w:t xml:space="preserve"> </w:t>
      </w:r>
    </w:p>
    <w:p w14:paraId="1B915CB6" w14:textId="4F2BD5EB" w:rsidR="00B44B95" w:rsidRPr="00644FC9" w:rsidRDefault="00836237" w:rsidP="009C3A2F">
      <w:pPr>
        <w:tabs>
          <w:tab w:val="left" w:pos="3686"/>
        </w:tabs>
        <w:adjustRightInd w:val="0"/>
        <w:spacing w:line="480" w:lineRule="auto"/>
        <w:ind w:firstLineChars="200" w:firstLine="480"/>
        <w:jc w:val="both"/>
        <w:rPr>
          <w:rFonts w:ascii="Times New Roman" w:eastAsia="新細明體" w:hAnsi="Times New Roman" w:cs="Times New Roman"/>
          <w:color w:val="000000" w:themeColor="text1"/>
          <w:szCs w:val="24"/>
        </w:rPr>
      </w:pPr>
      <w:r w:rsidRPr="00644FC9">
        <w:rPr>
          <w:rFonts w:ascii="Times New Roman" w:eastAsia="新細明體" w:hAnsi="Times New Roman" w:cs="Times New Roman"/>
          <w:color w:val="000000" w:themeColor="text1"/>
          <w:szCs w:val="24"/>
        </w:rPr>
        <w:t xml:space="preserve">Panel </w:t>
      </w:r>
      <w:proofErr w:type="gramStart"/>
      <w:r w:rsidRPr="00644FC9">
        <w:rPr>
          <w:rFonts w:ascii="Times New Roman" w:eastAsia="新細明體" w:hAnsi="Times New Roman" w:cs="Times New Roman"/>
          <w:color w:val="000000" w:themeColor="text1"/>
          <w:szCs w:val="24"/>
        </w:rPr>
        <w:t>A</w:t>
      </w:r>
      <w:proofErr w:type="gramEnd"/>
      <w:r w:rsidRPr="00644FC9">
        <w:rPr>
          <w:rFonts w:ascii="Times New Roman" w:eastAsia="新細明體" w:hAnsi="Times New Roman" w:cs="Times New Roman"/>
          <w:color w:val="000000" w:themeColor="text1"/>
          <w:szCs w:val="24"/>
        </w:rPr>
        <w:t xml:space="preserve"> of Table 2</w:t>
      </w:r>
      <w:r w:rsidR="003429A0" w:rsidRPr="00644FC9">
        <w:rPr>
          <w:rFonts w:ascii="Times New Roman" w:eastAsia="新細明體" w:hAnsi="Times New Roman" w:cs="Times New Roman"/>
          <w:color w:val="000000" w:themeColor="text1"/>
          <w:szCs w:val="24"/>
        </w:rPr>
        <w:t xml:space="preserve"> provides the results for </w:t>
      </w:r>
      <w:r w:rsidR="00145236" w:rsidRPr="00644FC9">
        <w:rPr>
          <w:rFonts w:ascii="Times New Roman" w:eastAsia="新細明體" w:hAnsi="Times New Roman" w:cs="Times New Roman"/>
          <w:color w:val="000000" w:themeColor="text1"/>
          <w:szCs w:val="24"/>
        </w:rPr>
        <w:t xml:space="preserve">the </w:t>
      </w:r>
      <w:r w:rsidR="00D55322" w:rsidRPr="00644FC9">
        <w:rPr>
          <w:rFonts w:ascii="Times New Roman" w:eastAsia="新細明體" w:hAnsi="Times New Roman" w:cs="Times New Roman"/>
          <w:color w:val="000000" w:themeColor="text1"/>
          <w:szCs w:val="24"/>
        </w:rPr>
        <w:t>unexpected earnings (</w:t>
      </w:r>
      <w:r w:rsidR="00D55322" w:rsidRPr="00644FC9">
        <w:rPr>
          <w:rFonts w:ascii="Times New Roman" w:eastAsia="新細明體" w:hAnsi="Times New Roman" w:cs="Times New Roman"/>
          <w:i/>
          <w:color w:val="000000" w:themeColor="text1"/>
          <w:szCs w:val="24"/>
        </w:rPr>
        <w:t>UE</w:t>
      </w:r>
      <w:r w:rsidR="00D55322" w:rsidRPr="00644FC9">
        <w:rPr>
          <w:rFonts w:ascii="Times New Roman" w:eastAsia="新細明體" w:hAnsi="Times New Roman" w:cs="Times New Roman"/>
          <w:color w:val="000000" w:themeColor="text1"/>
          <w:szCs w:val="24"/>
        </w:rPr>
        <w:t>)</w:t>
      </w:r>
      <w:r w:rsidR="00D905F8" w:rsidRPr="00644FC9">
        <w:rPr>
          <w:rFonts w:ascii="Times New Roman" w:hAnsi="Times New Roman" w:cs="Times New Roman"/>
          <w:color w:val="000000" w:themeColor="text1"/>
        </w:rPr>
        <w:t xml:space="preserve"> </w:t>
      </w:r>
      <w:r w:rsidR="00D905F8" w:rsidRPr="00644FC9">
        <w:rPr>
          <w:rFonts w:ascii="Times New Roman" w:eastAsia="新細明體" w:hAnsi="Times New Roman" w:cs="Times New Roman"/>
          <w:color w:val="000000" w:themeColor="text1"/>
          <w:szCs w:val="24"/>
        </w:rPr>
        <w:t>portfolio</w:t>
      </w:r>
      <w:r w:rsidR="003429A0" w:rsidRPr="00644FC9">
        <w:rPr>
          <w:rFonts w:ascii="Times New Roman" w:eastAsia="新細明體" w:hAnsi="Times New Roman" w:cs="Times New Roman"/>
          <w:color w:val="000000" w:themeColor="text1"/>
          <w:szCs w:val="24"/>
        </w:rPr>
        <w:t xml:space="preserve">. On average, a </w:t>
      </w:r>
      <w:r w:rsidR="00B44B95" w:rsidRPr="00644FC9">
        <w:rPr>
          <w:rFonts w:ascii="Times New Roman" w:eastAsia="新細明體" w:hAnsi="Times New Roman" w:cs="Times New Roman"/>
          <w:color w:val="000000" w:themeColor="text1"/>
          <w:szCs w:val="24"/>
        </w:rPr>
        <w:t xml:space="preserve">firm-quarter </w:t>
      </w:r>
      <w:r w:rsidR="003429A0" w:rsidRPr="00644FC9">
        <w:rPr>
          <w:rFonts w:ascii="Times New Roman" w:eastAsia="新細明體" w:hAnsi="Times New Roman" w:cs="Times New Roman"/>
          <w:color w:val="000000" w:themeColor="text1"/>
          <w:szCs w:val="24"/>
        </w:rPr>
        <w:t>in the lowest (highest)</w:t>
      </w:r>
      <w:r w:rsidR="00B44B95" w:rsidRPr="00644FC9">
        <w:rPr>
          <w:rFonts w:ascii="Times New Roman" w:eastAsia="新細明體" w:hAnsi="Times New Roman" w:cs="Times New Roman"/>
          <w:color w:val="000000" w:themeColor="text1"/>
          <w:szCs w:val="24"/>
        </w:rPr>
        <w:t xml:space="preserve"> </w:t>
      </w:r>
      <w:r w:rsidR="000B2A8B" w:rsidRPr="00644FC9">
        <w:rPr>
          <w:rFonts w:ascii="Times New Roman" w:eastAsia="新細明體" w:hAnsi="Times New Roman" w:cs="Times New Roman"/>
          <w:color w:val="000000" w:themeColor="text1"/>
          <w:szCs w:val="24"/>
        </w:rPr>
        <w:t>unexpected earnings</w:t>
      </w:r>
      <w:r w:rsidR="00B44B95" w:rsidRPr="00644FC9">
        <w:rPr>
          <w:rFonts w:ascii="Times New Roman" w:eastAsia="新細明體" w:hAnsi="Times New Roman" w:cs="Times New Roman"/>
          <w:color w:val="000000" w:themeColor="text1"/>
          <w:szCs w:val="24"/>
        </w:rPr>
        <w:t xml:space="preserve"> </w:t>
      </w:r>
      <w:r w:rsidR="000B2A8B" w:rsidRPr="00644FC9">
        <w:rPr>
          <w:rFonts w:ascii="Times New Roman" w:eastAsia="新細明體" w:hAnsi="Times New Roman" w:cs="Times New Roman"/>
          <w:color w:val="000000" w:themeColor="text1"/>
          <w:szCs w:val="24"/>
        </w:rPr>
        <w:t>decile</w:t>
      </w:r>
      <w:r w:rsidR="00B44B95" w:rsidRPr="00644FC9">
        <w:rPr>
          <w:rFonts w:ascii="Times New Roman" w:eastAsia="新細明體" w:hAnsi="Times New Roman" w:cs="Times New Roman"/>
          <w:color w:val="000000" w:themeColor="text1"/>
          <w:szCs w:val="24"/>
        </w:rPr>
        <w:t xml:space="preserve"> experiences a</w:t>
      </w:r>
      <w:r w:rsidR="003429A0" w:rsidRPr="00644FC9">
        <w:rPr>
          <w:rFonts w:ascii="Times New Roman" w:eastAsia="新細明體" w:hAnsi="Times New Roman" w:cs="Times New Roman"/>
          <w:color w:val="000000" w:themeColor="text1"/>
          <w:szCs w:val="24"/>
        </w:rPr>
        <w:t xml:space="preserve"> </w:t>
      </w:r>
      <w:r w:rsidR="00B44B95" w:rsidRPr="00644FC9">
        <w:rPr>
          <w:rFonts w:ascii="Times New Roman" w:eastAsia="新細明體" w:hAnsi="Times New Roman" w:cs="Times New Roman"/>
          <w:color w:val="000000" w:themeColor="text1"/>
          <w:szCs w:val="24"/>
        </w:rPr>
        <w:t xml:space="preserve">downward </w:t>
      </w:r>
      <w:r w:rsidR="003429A0" w:rsidRPr="00644FC9">
        <w:rPr>
          <w:rFonts w:ascii="Times New Roman" w:eastAsia="新細明體" w:hAnsi="Times New Roman" w:cs="Times New Roman"/>
          <w:color w:val="000000" w:themeColor="text1"/>
          <w:szCs w:val="24"/>
        </w:rPr>
        <w:t>(</w:t>
      </w:r>
      <w:r w:rsidR="00B44B95" w:rsidRPr="00644FC9">
        <w:rPr>
          <w:rFonts w:ascii="Times New Roman" w:eastAsia="新細明體" w:hAnsi="Times New Roman" w:cs="Times New Roman"/>
          <w:color w:val="000000" w:themeColor="text1"/>
          <w:szCs w:val="24"/>
        </w:rPr>
        <w:t>upward</w:t>
      </w:r>
      <w:r w:rsidR="003429A0" w:rsidRPr="00644FC9">
        <w:rPr>
          <w:rFonts w:ascii="Times New Roman" w:eastAsia="新細明體" w:hAnsi="Times New Roman" w:cs="Times New Roman"/>
          <w:color w:val="000000" w:themeColor="text1"/>
          <w:szCs w:val="24"/>
        </w:rPr>
        <w:t xml:space="preserve">) price drift of </w:t>
      </w:r>
      <w:r w:rsidR="001837D2" w:rsidRPr="00644FC9">
        <w:rPr>
          <w:rFonts w:ascii="Times New Roman" w:eastAsia="新細明體" w:hAnsi="Times New Roman" w:cs="Times New Roman" w:hint="eastAsia"/>
          <w:color w:val="000000" w:themeColor="text1"/>
          <w:szCs w:val="24"/>
        </w:rPr>
        <w:t>-</w:t>
      </w:r>
      <w:r w:rsidR="00B44B95" w:rsidRPr="00644FC9">
        <w:rPr>
          <w:rFonts w:ascii="Times New Roman" w:eastAsia="新細明體" w:hAnsi="Times New Roman" w:cs="Times New Roman"/>
          <w:color w:val="000000" w:themeColor="text1"/>
          <w:szCs w:val="24"/>
        </w:rPr>
        <w:t>3.0</w:t>
      </w:r>
      <w:r w:rsidR="003429A0" w:rsidRPr="00644FC9">
        <w:rPr>
          <w:rFonts w:ascii="Times New Roman" w:eastAsia="新細明體" w:hAnsi="Times New Roman" w:cs="Times New Roman"/>
          <w:color w:val="000000" w:themeColor="text1"/>
          <w:szCs w:val="24"/>
        </w:rPr>
        <w:t xml:space="preserve"> (</w:t>
      </w:r>
      <w:r w:rsidR="000B2A8B" w:rsidRPr="00644FC9">
        <w:rPr>
          <w:rFonts w:ascii="Times New Roman" w:eastAsia="新細明體" w:hAnsi="Times New Roman" w:cs="Times New Roman"/>
          <w:color w:val="000000" w:themeColor="text1"/>
          <w:szCs w:val="24"/>
        </w:rPr>
        <w:t>5.0</w:t>
      </w:r>
      <w:proofErr w:type="gramStart"/>
      <w:r w:rsidR="003429A0" w:rsidRPr="00644FC9">
        <w:rPr>
          <w:rFonts w:ascii="Times New Roman" w:eastAsia="新細明體" w:hAnsi="Times New Roman" w:cs="Times New Roman"/>
          <w:color w:val="000000" w:themeColor="text1"/>
          <w:szCs w:val="24"/>
        </w:rPr>
        <w:t>)</w:t>
      </w:r>
      <w:r w:rsidR="00AB5009" w:rsidRPr="00644FC9">
        <w:rPr>
          <w:rFonts w:ascii="Times New Roman" w:eastAsia="新細明體" w:hAnsi="Times New Roman" w:cs="Times New Roman"/>
          <w:color w:val="000000" w:themeColor="text1"/>
          <w:szCs w:val="24"/>
        </w:rPr>
        <w:t>%</w:t>
      </w:r>
      <w:proofErr w:type="gramEnd"/>
      <w:r w:rsidR="00AB5009" w:rsidRPr="00644FC9">
        <w:rPr>
          <w:rFonts w:ascii="Times New Roman" w:eastAsia="新細明體" w:hAnsi="Times New Roman" w:cs="Times New Roman"/>
          <w:color w:val="000000" w:themeColor="text1"/>
          <w:szCs w:val="24"/>
        </w:rPr>
        <w:t xml:space="preserve"> </w:t>
      </w:r>
      <w:r w:rsidR="003429A0" w:rsidRPr="00644FC9">
        <w:rPr>
          <w:rFonts w:ascii="Times New Roman" w:eastAsia="新細明體" w:hAnsi="Times New Roman" w:cs="Times New Roman"/>
          <w:color w:val="000000" w:themeColor="text1"/>
          <w:szCs w:val="24"/>
        </w:rPr>
        <w:t xml:space="preserve">during the </w:t>
      </w:r>
      <w:r w:rsidR="00B44B95" w:rsidRPr="00644FC9">
        <w:rPr>
          <w:rFonts w:ascii="Times New Roman" w:eastAsia="新細明體" w:hAnsi="Times New Roman" w:cs="Times New Roman"/>
          <w:color w:val="000000" w:themeColor="text1"/>
          <w:szCs w:val="24"/>
        </w:rPr>
        <w:t xml:space="preserve">quarter </w:t>
      </w:r>
      <w:r w:rsidR="003429A0" w:rsidRPr="00644FC9">
        <w:rPr>
          <w:rFonts w:ascii="Times New Roman" w:eastAsia="新細明體" w:hAnsi="Times New Roman" w:cs="Times New Roman"/>
          <w:color w:val="000000" w:themeColor="text1"/>
          <w:szCs w:val="24"/>
        </w:rPr>
        <w:t xml:space="preserve">after </w:t>
      </w:r>
      <w:r w:rsidR="0061361C" w:rsidRPr="00644FC9">
        <w:rPr>
          <w:rFonts w:ascii="Times New Roman" w:eastAsia="新細明體" w:hAnsi="Times New Roman" w:cs="Times New Roman"/>
          <w:color w:val="000000" w:themeColor="text1"/>
          <w:szCs w:val="24"/>
        </w:rPr>
        <w:t xml:space="preserve">the </w:t>
      </w:r>
      <w:r w:rsidR="003429A0" w:rsidRPr="00644FC9">
        <w:rPr>
          <w:rFonts w:ascii="Times New Roman" w:eastAsia="新細明體" w:hAnsi="Times New Roman" w:cs="Times New Roman"/>
          <w:color w:val="000000" w:themeColor="text1"/>
          <w:szCs w:val="24"/>
        </w:rPr>
        <w:t xml:space="preserve">prior </w:t>
      </w:r>
      <w:r w:rsidR="00B44B95" w:rsidRPr="00644FC9">
        <w:rPr>
          <w:rFonts w:ascii="Times New Roman" w:eastAsia="新細明體" w:hAnsi="Times New Roman" w:cs="Times New Roman"/>
          <w:color w:val="000000" w:themeColor="text1"/>
          <w:szCs w:val="24"/>
        </w:rPr>
        <w:t>quarter</w:t>
      </w:r>
      <w:r w:rsidR="0061361C" w:rsidRPr="00644FC9">
        <w:rPr>
          <w:rFonts w:ascii="Times New Roman" w:eastAsia="新細明體" w:hAnsi="Times New Roman" w:cs="Times New Roman"/>
          <w:color w:val="000000" w:themeColor="text1"/>
          <w:szCs w:val="24"/>
        </w:rPr>
        <w:t>’</w:t>
      </w:r>
      <w:r w:rsidR="003429A0" w:rsidRPr="00644FC9">
        <w:rPr>
          <w:rFonts w:ascii="Times New Roman" w:eastAsia="新細明體" w:hAnsi="Times New Roman" w:cs="Times New Roman"/>
          <w:color w:val="000000" w:themeColor="text1"/>
          <w:szCs w:val="24"/>
        </w:rPr>
        <w:t xml:space="preserve">s </w:t>
      </w:r>
      <w:r w:rsidR="0065717A">
        <w:rPr>
          <w:rFonts w:ascii="Times New Roman" w:eastAsia="新細明體" w:hAnsi="Times New Roman" w:cs="Times New Roman"/>
          <w:color w:val="000000" w:themeColor="text1"/>
          <w:szCs w:val="24"/>
        </w:rPr>
        <w:t>earnings-announcement</w:t>
      </w:r>
      <w:r w:rsidR="003429A0" w:rsidRPr="00644FC9">
        <w:rPr>
          <w:rFonts w:ascii="Times New Roman" w:eastAsia="標楷體" w:hAnsi="Times New Roman" w:cs="Times New Roman"/>
          <w:color w:val="000000" w:themeColor="text1"/>
          <w:kern w:val="0"/>
          <w:szCs w:val="24"/>
        </w:rPr>
        <w:t>.</w:t>
      </w:r>
      <w:r w:rsidR="003429A0" w:rsidRPr="00644FC9">
        <w:rPr>
          <w:rFonts w:ascii="Times New Roman" w:eastAsia="新細明體" w:hAnsi="Times New Roman" w:cs="Times New Roman"/>
          <w:color w:val="000000" w:themeColor="text1"/>
          <w:szCs w:val="24"/>
        </w:rPr>
        <w:t xml:space="preserve"> </w:t>
      </w:r>
      <w:r w:rsidR="009C71C1" w:rsidRPr="00644FC9">
        <w:rPr>
          <w:rFonts w:ascii="Times New Roman" w:eastAsia="新細明體" w:hAnsi="Times New Roman" w:cs="Times New Roman"/>
          <w:color w:val="000000" w:themeColor="text1"/>
          <w:szCs w:val="24"/>
        </w:rPr>
        <w:t>The</w:t>
      </w:r>
      <w:r w:rsidR="00145236" w:rsidRPr="00644FC9">
        <w:rPr>
          <w:rFonts w:ascii="Times New Roman" w:eastAsia="新細明體" w:hAnsi="Times New Roman" w:cs="Times New Roman"/>
          <w:color w:val="000000" w:themeColor="text1"/>
          <w:szCs w:val="24"/>
        </w:rPr>
        <w:t xml:space="preserve"> quarter</w:t>
      </w:r>
      <w:r w:rsidR="0061361C" w:rsidRPr="00644FC9">
        <w:rPr>
          <w:rFonts w:ascii="Times New Roman" w:eastAsia="新細明體" w:hAnsi="Times New Roman" w:cs="Times New Roman"/>
          <w:color w:val="000000" w:themeColor="text1"/>
          <w:szCs w:val="24"/>
        </w:rPr>
        <w:t>ly</w:t>
      </w:r>
      <w:r w:rsidR="00D55322" w:rsidRPr="00644FC9">
        <w:rPr>
          <w:rFonts w:ascii="Times New Roman" w:eastAsia="新細明體" w:hAnsi="Times New Roman" w:cs="Times New Roman"/>
          <w:color w:val="000000" w:themeColor="text1"/>
          <w:szCs w:val="24"/>
        </w:rPr>
        <w:t xml:space="preserve"> hedge</w:t>
      </w:r>
      <w:r w:rsidR="0061361C" w:rsidRPr="00644FC9">
        <w:rPr>
          <w:rFonts w:ascii="Times New Roman" w:eastAsia="新細明體" w:hAnsi="Times New Roman" w:cs="Times New Roman"/>
          <w:color w:val="000000" w:themeColor="text1"/>
          <w:szCs w:val="24"/>
        </w:rPr>
        <w:t>d</w:t>
      </w:r>
      <w:r w:rsidR="00D55322" w:rsidRPr="00644FC9">
        <w:rPr>
          <w:rFonts w:ascii="Times New Roman" w:eastAsia="新細明體" w:hAnsi="Times New Roman" w:cs="Times New Roman"/>
          <w:color w:val="000000" w:themeColor="text1"/>
          <w:szCs w:val="24"/>
        </w:rPr>
        <w:t xml:space="preserve"> portfolio return (taking a long position for the</w:t>
      </w:r>
      <w:r w:rsidR="00D55322" w:rsidRPr="00644FC9">
        <w:rPr>
          <w:rFonts w:ascii="Times New Roman" w:hAnsi="Times New Roman" w:cs="Times New Roman"/>
          <w:color w:val="000000" w:themeColor="text1"/>
        </w:rPr>
        <w:t xml:space="preserve"> </w:t>
      </w:r>
      <w:r w:rsidR="00D55322" w:rsidRPr="00644FC9">
        <w:rPr>
          <w:rFonts w:ascii="Times New Roman" w:eastAsia="新細明體" w:hAnsi="Times New Roman" w:cs="Times New Roman"/>
          <w:color w:val="000000" w:themeColor="text1"/>
          <w:szCs w:val="24"/>
        </w:rPr>
        <w:t xml:space="preserve">highest </w:t>
      </w:r>
      <w:r w:rsidR="00D55322" w:rsidRPr="00644FC9">
        <w:rPr>
          <w:rFonts w:ascii="Times New Roman" w:eastAsia="新細明體" w:hAnsi="Times New Roman" w:cs="Times New Roman"/>
          <w:i/>
          <w:color w:val="000000" w:themeColor="text1"/>
          <w:szCs w:val="24"/>
        </w:rPr>
        <w:t>UE</w:t>
      </w:r>
      <w:r w:rsidR="00D55322" w:rsidRPr="00644FC9">
        <w:rPr>
          <w:rFonts w:ascii="Times New Roman" w:eastAsia="新細明體" w:hAnsi="Times New Roman" w:cs="Times New Roman"/>
          <w:color w:val="000000" w:themeColor="text1"/>
          <w:szCs w:val="24"/>
        </w:rPr>
        <w:t xml:space="preserve"> decile and a short position for the lowest </w:t>
      </w:r>
      <w:r w:rsidR="00D55322" w:rsidRPr="00644FC9">
        <w:rPr>
          <w:rFonts w:ascii="Times New Roman" w:eastAsia="新細明體" w:hAnsi="Times New Roman" w:cs="Times New Roman"/>
          <w:i/>
          <w:color w:val="000000" w:themeColor="text1"/>
          <w:szCs w:val="24"/>
        </w:rPr>
        <w:t>UE</w:t>
      </w:r>
      <w:r w:rsidR="00D55322" w:rsidRPr="00644FC9">
        <w:rPr>
          <w:rFonts w:ascii="Times New Roman" w:eastAsia="新細明體" w:hAnsi="Times New Roman" w:cs="Times New Roman"/>
          <w:color w:val="000000" w:themeColor="text1"/>
          <w:szCs w:val="24"/>
        </w:rPr>
        <w:t xml:space="preserve"> decile) is 8.0</w:t>
      </w:r>
      <w:r w:rsidR="0061361C" w:rsidRPr="00644FC9">
        <w:rPr>
          <w:rFonts w:ascii="Times New Roman" w:eastAsia="新細明體" w:hAnsi="Times New Roman" w:cs="Times New Roman"/>
          <w:color w:val="000000" w:themeColor="text1"/>
          <w:szCs w:val="24"/>
        </w:rPr>
        <w:t>%</w:t>
      </w:r>
      <w:r w:rsidR="00D55322" w:rsidRPr="00644FC9">
        <w:rPr>
          <w:rFonts w:ascii="Times New Roman" w:eastAsia="新細明體" w:hAnsi="Times New Roman" w:cs="Times New Roman"/>
          <w:color w:val="000000" w:themeColor="text1"/>
          <w:szCs w:val="24"/>
        </w:rPr>
        <w:t xml:space="preserve"> (0.030 + 0.050). For the dissemination of current earnings information regarding stock prices, the 5-day (21-day) hedge</w:t>
      </w:r>
      <w:r w:rsidR="0061361C" w:rsidRPr="00644FC9">
        <w:rPr>
          <w:rFonts w:ascii="Times New Roman" w:eastAsia="新細明體" w:hAnsi="Times New Roman" w:cs="Times New Roman"/>
          <w:color w:val="000000" w:themeColor="text1"/>
          <w:szCs w:val="24"/>
        </w:rPr>
        <w:t>d</w:t>
      </w:r>
      <w:r w:rsidR="00D55322" w:rsidRPr="00644FC9">
        <w:rPr>
          <w:rFonts w:ascii="Times New Roman" w:eastAsia="新細明體" w:hAnsi="Times New Roman" w:cs="Times New Roman"/>
          <w:color w:val="000000" w:themeColor="text1"/>
          <w:szCs w:val="24"/>
        </w:rPr>
        <w:t xml:space="preserve"> portfolio returns are 4.0</w:t>
      </w:r>
      <w:r w:rsidR="0061361C" w:rsidRPr="00644FC9">
        <w:rPr>
          <w:rFonts w:ascii="Times New Roman" w:eastAsia="新細明體" w:hAnsi="Times New Roman" w:cs="Times New Roman"/>
          <w:color w:val="000000" w:themeColor="text1"/>
          <w:szCs w:val="24"/>
        </w:rPr>
        <w:t>%</w:t>
      </w:r>
      <w:r w:rsidR="00D55322" w:rsidRPr="00644FC9">
        <w:rPr>
          <w:rFonts w:ascii="Times New Roman" w:eastAsia="新細明體" w:hAnsi="Times New Roman" w:cs="Times New Roman"/>
          <w:color w:val="000000" w:themeColor="text1"/>
          <w:szCs w:val="24"/>
        </w:rPr>
        <w:t xml:space="preserve"> (5.2</w:t>
      </w:r>
      <w:r w:rsidR="0061361C" w:rsidRPr="00644FC9">
        <w:rPr>
          <w:rFonts w:ascii="Times New Roman" w:eastAsia="新細明體" w:hAnsi="Times New Roman" w:cs="Times New Roman"/>
          <w:color w:val="000000" w:themeColor="text1"/>
          <w:szCs w:val="24"/>
        </w:rPr>
        <w:t>%</w:t>
      </w:r>
      <w:r w:rsidR="00D55322" w:rsidRPr="00644FC9">
        <w:rPr>
          <w:rFonts w:ascii="Times New Roman" w:eastAsia="新細明體" w:hAnsi="Times New Roman" w:cs="Times New Roman"/>
          <w:color w:val="000000" w:themeColor="text1"/>
          <w:szCs w:val="24"/>
        </w:rPr>
        <w:t>), which is 49.5</w:t>
      </w:r>
      <w:r w:rsidR="0061361C" w:rsidRPr="00644FC9">
        <w:rPr>
          <w:rFonts w:ascii="Times New Roman" w:eastAsia="新細明體" w:hAnsi="Times New Roman" w:cs="Times New Roman"/>
          <w:color w:val="000000" w:themeColor="text1"/>
          <w:szCs w:val="24"/>
        </w:rPr>
        <w:t>%</w:t>
      </w:r>
      <w:r w:rsidR="00D55322" w:rsidRPr="00644FC9">
        <w:rPr>
          <w:rFonts w:ascii="Times New Roman" w:eastAsia="新細明體" w:hAnsi="Times New Roman" w:cs="Times New Roman"/>
          <w:color w:val="000000" w:themeColor="text1"/>
          <w:szCs w:val="24"/>
        </w:rPr>
        <w:t xml:space="preserve"> (64.9</w:t>
      </w:r>
      <w:r w:rsidR="0061361C" w:rsidRPr="00644FC9">
        <w:rPr>
          <w:rFonts w:ascii="Times New Roman" w:eastAsia="新細明體" w:hAnsi="Times New Roman" w:cs="Times New Roman"/>
          <w:color w:val="000000" w:themeColor="text1"/>
          <w:szCs w:val="24"/>
        </w:rPr>
        <w:t>%</w:t>
      </w:r>
      <w:r w:rsidR="00D55322" w:rsidRPr="00644FC9">
        <w:rPr>
          <w:rFonts w:ascii="Times New Roman" w:eastAsia="新細明體" w:hAnsi="Times New Roman" w:cs="Times New Roman"/>
          <w:color w:val="000000" w:themeColor="text1"/>
          <w:szCs w:val="24"/>
        </w:rPr>
        <w:t>) of the quarter</w:t>
      </w:r>
      <w:r w:rsidR="0061361C" w:rsidRPr="00644FC9">
        <w:rPr>
          <w:rFonts w:ascii="Times New Roman" w:eastAsia="新細明體" w:hAnsi="Times New Roman" w:cs="Times New Roman"/>
          <w:color w:val="000000" w:themeColor="text1"/>
          <w:szCs w:val="24"/>
        </w:rPr>
        <w:t>ly</w:t>
      </w:r>
      <w:r w:rsidR="00D55322" w:rsidRPr="00644FC9">
        <w:rPr>
          <w:rFonts w:ascii="Times New Roman" w:eastAsia="新細明體" w:hAnsi="Times New Roman" w:cs="Times New Roman"/>
          <w:color w:val="000000" w:themeColor="text1"/>
          <w:szCs w:val="24"/>
        </w:rPr>
        <w:t xml:space="preserve"> hedge</w:t>
      </w:r>
      <w:r w:rsidR="0061361C" w:rsidRPr="00644FC9">
        <w:rPr>
          <w:rFonts w:ascii="Times New Roman" w:eastAsia="新細明體" w:hAnsi="Times New Roman" w:cs="Times New Roman"/>
          <w:color w:val="000000" w:themeColor="text1"/>
          <w:szCs w:val="24"/>
        </w:rPr>
        <w:t>d</w:t>
      </w:r>
      <w:r w:rsidR="00D55322" w:rsidRPr="00644FC9">
        <w:rPr>
          <w:rFonts w:ascii="Times New Roman" w:eastAsia="新細明體" w:hAnsi="Times New Roman" w:cs="Times New Roman"/>
          <w:color w:val="000000" w:themeColor="text1"/>
          <w:szCs w:val="24"/>
        </w:rPr>
        <w:t xml:space="preserve"> portfolio return. Panel B of Table </w:t>
      </w:r>
      <w:r w:rsidR="003E47CA" w:rsidRPr="00644FC9">
        <w:rPr>
          <w:rFonts w:ascii="Times New Roman" w:eastAsia="新細明體" w:hAnsi="Times New Roman" w:cs="Times New Roman" w:hint="eastAsia"/>
          <w:color w:val="000000" w:themeColor="text1"/>
          <w:szCs w:val="24"/>
        </w:rPr>
        <w:t>2</w:t>
      </w:r>
      <w:r w:rsidR="00D55322" w:rsidRPr="00644FC9">
        <w:rPr>
          <w:rFonts w:ascii="Times New Roman" w:eastAsia="新細明體" w:hAnsi="Times New Roman" w:cs="Times New Roman"/>
          <w:color w:val="000000" w:themeColor="text1"/>
          <w:szCs w:val="24"/>
        </w:rPr>
        <w:t xml:space="preserve"> </w:t>
      </w:r>
      <w:r w:rsidR="00145236" w:rsidRPr="00644FC9">
        <w:rPr>
          <w:rFonts w:ascii="Times New Roman" w:eastAsia="新細明體" w:hAnsi="Times New Roman" w:cs="Times New Roman"/>
          <w:color w:val="000000" w:themeColor="text1"/>
          <w:szCs w:val="24"/>
        </w:rPr>
        <w:t>shows</w:t>
      </w:r>
      <w:r w:rsidR="00D55322" w:rsidRPr="00644FC9">
        <w:rPr>
          <w:rFonts w:ascii="Times New Roman" w:eastAsia="新細明體" w:hAnsi="Times New Roman" w:cs="Times New Roman"/>
          <w:color w:val="000000" w:themeColor="text1"/>
          <w:szCs w:val="24"/>
        </w:rPr>
        <w:t xml:space="preserve"> </w:t>
      </w:r>
      <w:r w:rsidR="0061361C" w:rsidRPr="00644FC9">
        <w:rPr>
          <w:rFonts w:ascii="Times New Roman" w:eastAsia="新細明體" w:hAnsi="Times New Roman" w:cs="Times New Roman"/>
          <w:color w:val="000000" w:themeColor="text1"/>
          <w:szCs w:val="24"/>
        </w:rPr>
        <w:t xml:space="preserve">that the </w:t>
      </w:r>
      <w:r w:rsidR="00145236" w:rsidRPr="00644FC9">
        <w:rPr>
          <w:rFonts w:ascii="Times New Roman" w:eastAsia="新細明體" w:hAnsi="Times New Roman" w:cs="Times New Roman"/>
          <w:color w:val="000000" w:themeColor="text1"/>
          <w:szCs w:val="24"/>
        </w:rPr>
        <w:t>quarter</w:t>
      </w:r>
      <w:r w:rsidR="0061361C" w:rsidRPr="00644FC9">
        <w:rPr>
          <w:rFonts w:ascii="Times New Roman" w:eastAsia="新細明體" w:hAnsi="Times New Roman" w:cs="Times New Roman"/>
          <w:color w:val="000000" w:themeColor="text1"/>
          <w:szCs w:val="24"/>
        </w:rPr>
        <w:t>ly</w:t>
      </w:r>
      <w:r w:rsidR="00145236" w:rsidRPr="00644FC9">
        <w:rPr>
          <w:rFonts w:ascii="Times New Roman" w:eastAsia="新細明體" w:hAnsi="Times New Roman" w:cs="Times New Roman"/>
          <w:color w:val="000000" w:themeColor="text1"/>
          <w:szCs w:val="24"/>
        </w:rPr>
        <w:t xml:space="preserve"> hedge</w:t>
      </w:r>
      <w:r w:rsidR="0061361C" w:rsidRPr="00644FC9">
        <w:rPr>
          <w:rFonts w:ascii="Times New Roman" w:eastAsia="新細明體" w:hAnsi="Times New Roman" w:cs="Times New Roman"/>
          <w:color w:val="000000" w:themeColor="text1"/>
          <w:szCs w:val="24"/>
        </w:rPr>
        <w:t>d</w:t>
      </w:r>
      <w:r w:rsidR="00145236" w:rsidRPr="00644FC9">
        <w:rPr>
          <w:rFonts w:ascii="Times New Roman" w:eastAsia="新細明體" w:hAnsi="Times New Roman" w:cs="Times New Roman"/>
          <w:color w:val="000000" w:themeColor="text1"/>
          <w:szCs w:val="24"/>
        </w:rPr>
        <w:t xml:space="preserve"> portfolio returns of the </w:t>
      </w:r>
      <w:r w:rsidR="00D55322" w:rsidRPr="00644FC9">
        <w:rPr>
          <w:rFonts w:ascii="Times New Roman" w:eastAsia="新細明體" w:hAnsi="Times New Roman" w:cs="Times New Roman"/>
          <w:color w:val="000000" w:themeColor="text1"/>
          <w:szCs w:val="24"/>
        </w:rPr>
        <w:t xml:space="preserve">unexpected operating income </w:t>
      </w:r>
      <w:r w:rsidR="00CC47A8" w:rsidRPr="00644FC9">
        <w:rPr>
          <w:rFonts w:ascii="Times New Roman" w:eastAsia="新細明體" w:hAnsi="Times New Roman" w:cs="Times New Roman"/>
          <w:color w:val="000000" w:themeColor="text1"/>
          <w:szCs w:val="24"/>
        </w:rPr>
        <w:t>(</w:t>
      </w:r>
      <w:r w:rsidR="00CC47A8" w:rsidRPr="00644FC9">
        <w:rPr>
          <w:rFonts w:ascii="Times New Roman" w:eastAsia="新細明體" w:hAnsi="Times New Roman" w:cs="Times New Roman"/>
          <w:i/>
          <w:color w:val="000000" w:themeColor="text1"/>
          <w:szCs w:val="24"/>
        </w:rPr>
        <w:t>UOI</w:t>
      </w:r>
      <w:r w:rsidR="00CC47A8" w:rsidRPr="00644FC9">
        <w:rPr>
          <w:rFonts w:ascii="Times New Roman" w:eastAsia="新細明體" w:hAnsi="Times New Roman" w:cs="Times New Roman"/>
          <w:color w:val="000000" w:themeColor="text1"/>
          <w:szCs w:val="24"/>
        </w:rPr>
        <w:t xml:space="preserve">) </w:t>
      </w:r>
      <w:r w:rsidR="00145236" w:rsidRPr="00644FC9">
        <w:rPr>
          <w:rFonts w:ascii="Times New Roman" w:eastAsia="新細明體" w:hAnsi="Times New Roman" w:cs="Times New Roman"/>
          <w:color w:val="000000" w:themeColor="text1"/>
          <w:szCs w:val="24"/>
        </w:rPr>
        <w:t>portfolio is 7.3</w:t>
      </w:r>
      <w:r w:rsidR="0061361C" w:rsidRPr="00644FC9">
        <w:rPr>
          <w:rFonts w:ascii="Times New Roman" w:eastAsia="新細明體" w:hAnsi="Times New Roman" w:cs="Times New Roman"/>
          <w:color w:val="000000" w:themeColor="text1"/>
          <w:szCs w:val="24"/>
        </w:rPr>
        <w:t>%</w:t>
      </w:r>
      <w:r w:rsidR="00145236" w:rsidRPr="00644FC9">
        <w:rPr>
          <w:rFonts w:ascii="Times New Roman" w:eastAsia="新細明體" w:hAnsi="Times New Roman" w:cs="Times New Roman"/>
          <w:color w:val="000000" w:themeColor="text1"/>
          <w:szCs w:val="24"/>
        </w:rPr>
        <w:t xml:space="preserve"> (0.028 + 0.04</w:t>
      </w:r>
      <w:r w:rsidR="00BD305A" w:rsidRPr="00644FC9">
        <w:rPr>
          <w:rFonts w:ascii="Times New Roman" w:eastAsia="新細明體" w:hAnsi="Times New Roman" w:cs="Times New Roman" w:hint="eastAsia"/>
          <w:color w:val="000000" w:themeColor="text1"/>
          <w:szCs w:val="24"/>
        </w:rPr>
        <w:t>5</w:t>
      </w:r>
      <w:r w:rsidR="00145236" w:rsidRPr="00644FC9">
        <w:rPr>
          <w:rFonts w:ascii="Times New Roman" w:eastAsia="新細明體" w:hAnsi="Times New Roman" w:cs="Times New Roman"/>
          <w:color w:val="000000" w:themeColor="text1"/>
          <w:szCs w:val="24"/>
        </w:rPr>
        <w:t>)</w:t>
      </w:r>
      <w:r w:rsidR="00644FC9">
        <w:rPr>
          <w:rFonts w:ascii="Times New Roman" w:eastAsia="新細明體" w:hAnsi="Times New Roman" w:cs="Times New Roman"/>
          <w:color w:val="000000" w:themeColor="text1"/>
          <w:szCs w:val="24"/>
        </w:rPr>
        <w:t xml:space="preserve">. In addition, </w:t>
      </w:r>
      <w:r w:rsidR="00145236" w:rsidRPr="00644FC9">
        <w:rPr>
          <w:rFonts w:ascii="Times New Roman" w:eastAsia="新細明體" w:hAnsi="Times New Roman" w:cs="Times New Roman"/>
          <w:color w:val="000000" w:themeColor="text1"/>
          <w:szCs w:val="24"/>
        </w:rPr>
        <w:t>the 5-day (21-day) hedge</w:t>
      </w:r>
      <w:r w:rsidR="0061361C" w:rsidRPr="00644FC9">
        <w:rPr>
          <w:rFonts w:ascii="Times New Roman" w:eastAsia="新細明體" w:hAnsi="Times New Roman" w:cs="Times New Roman"/>
          <w:color w:val="000000" w:themeColor="text1"/>
          <w:szCs w:val="24"/>
        </w:rPr>
        <w:t>s</w:t>
      </w:r>
      <w:r w:rsidR="00145236" w:rsidRPr="00644FC9">
        <w:rPr>
          <w:rFonts w:ascii="Times New Roman" w:eastAsia="新細明體" w:hAnsi="Times New Roman" w:cs="Times New Roman"/>
          <w:color w:val="000000" w:themeColor="text1"/>
          <w:szCs w:val="24"/>
        </w:rPr>
        <w:t xml:space="preserve"> portfolio returns are 3.2</w:t>
      </w:r>
      <w:r w:rsidR="0061361C" w:rsidRPr="00644FC9">
        <w:rPr>
          <w:rFonts w:ascii="Times New Roman" w:eastAsia="新細明體" w:hAnsi="Times New Roman" w:cs="Times New Roman"/>
          <w:color w:val="000000" w:themeColor="text1"/>
          <w:szCs w:val="24"/>
        </w:rPr>
        <w:t>%</w:t>
      </w:r>
      <w:r w:rsidR="00145236" w:rsidRPr="00644FC9">
        <w:rPr>
          <w:rFonts w:ascii="Times New Roman" w:eastAsia="新細明體" w:hAnsi="Times New Roman" w:cs="Times New Roman"/>
          <w:color w:val="000000" w:themeColor="text1"/>
          <w:szCs w:val="24"/>
        </w:rPr>
        <w:t xml:space="preserve"> (4.6</w:t>
      </w:r>
      <w:r w:rsidR="0061361C" w:rsidRPr="00644FC9">
        <w:rPr>
          <w:rFonts w:ascii="Times New Roman" w:eastAsia="新細明體" w:hAnsi="Times New Roman" w:cs="Times New Roman"/>
          <w:color w:val="000000" w:themeColor="text1"/>
          <w:szCs w:val="24"/>
        </w:rPr>
        <w:t>%</w:t>
      </w:r>
      <w:r w:rsidR="00145236" w:rsidRPr="00644FC9">
        <w:rPr>
          <w:rFonts w:ascii="Times New Roman" w:eastAsia="新細明體" w:hAnsi="Times New Roman" w:cs="Times New Roman"/>
          <w:color w:val="000000" w:themeColor="text1"/>
          <w:szCs w:val="24"/>
        </w:rPr>
        <w:t>), which is 43.0</w:t>
      </w:r>
      <w:r w:rsidR="0061361C" w:rsidRPr="00644FC9">
        <w:rPr>
          <w:rFonts w:ascii="Times New Roman" w:eastAsia="新細明體" w:hAnsi="Times New Roman" w:cs="Times New Roman"/>
          <w:color w:val="000000" w:themeColor="text1"/>
          <w:szCs w:val="24"/>
        </w:rPr>
        <w:t>%</w:t>
      </w:r>
      <w:r w:rsidR="00145236" w:rsidRPr="00644FC9">
        <w:rPr>
          <w:rFonts w:ascii="Times New Roman" w:eastAsia="新細明體" w:hAnsi="Times New Roman" w:cs="Times New Roman"/>
          <w:color w:val="000000" w:themeColor="text1"/>
          <w:szCs w:val="24"/>
        </w:rPr>
        <w:t xml:space="preserve"> (62.3</w:t>
      </w:r>
      <w:r w:rsidR="0061361C" w:rsidRPr="00644FC9">
        <w:rPr>
          <w:rFonts w:ascii="Times New Roman" w:eastAsia="新細明體" w:hAnsi="Times New Roman" w:cs="Times New Roman"/>
          <w:color w:val="000000" w:themeColor="text1"/>
          <w:szCs w:val="24"/>
        </w:rPr>
        <w:t>%</w:t>
      </w:r>
      <w:r w:rsidR="00145236" w:rsidRPr="00644FC9">
        <w:rPr>
          <w:rFonts w:ascii="Times New Roman" w:eastAsia="新細明體" w:hAnsi="Times New Roman" w:cs="Times New Roman"/>
          <w:color w:val="000000" w:themeColor="text1"/>
          <w:szCs w:val="24"/>
        </w:rPr>
        <w:t>) of the quarter</w:t>
      </w:r>
      <w:r w:rsidR="0061361C" w:rsidRPr="00644FC9">
        <w:rPr>
          <w:rFonts w:ascii="Times New Roman" w:eastAsia="新細明體" w:hAnsi="Times New Roman" w:cs="Times New Roman"/>
          <w:color w:val="000000" w:themeColor="text1"/>
          <w:szCs w:val="24"/>
        </w:rPr>
        <w:t>ly</w:t>
      </w:r>
      <w:r w:rsidR="00145236" w:rsidRPr="00644FC9">
        <w:rPr>
          <w:rFonts w:ascii="Times New Roman" w:eastAsia="新細明體" w:hAnsi="Times New Roman" w:cs="Times New Roman"/>
          <w:color w:val="000000" w:themeColor="text1"/>
          <w:szCs w:val="24"/>
        </w:rPr>
        <w:t xml:space="preserve"> hedge</w:t>
      </w:r>
      <w:r w:rsidR="0061361C" w:rsidRPr="00644FC9">
        <w:rPr>
          <w:rFonts w:ascii="Times New Roman" w:eastAsia="新細明體" w:hAnsi="Times New Roman" w:cs="Times New Roman"/>
          <w:color w:val="000000" w:themeColor="text1"/>
          <w:szCs w:val="24"/>
        </w:rPr>
        <w:t>d</w:t>
      </w:r>
      <w:r w:rsidR="00145236" w:rsidRPr="00644FC9">
        <w:rPr>
          <w:rFonts w:ascii="Times New Roman" w:eastAsia="新細明體" w:hAnsi="Times New Roman" w:cs="Times New Roman"/>
          <w:color w:val="000000" w:themeColor="text1"/>
          <w:szCs w:val="24"/>
        </w:rPr>
        <w:t xml:space="preserve"> portfolio return. </w:t>
      </w:r>
      <w:r w:rsidR="00CC47A8" w:rsidRPr="00644FC9">
        <w:rPr>
          <w:rFonts w:ascii="Times New Roman" w:eastAsia="新細明體" w:hAnsi="Times New Roman" w:cs="Times New Roman"/>
          <w:color w:val="000000" w:themeColor="text1"/>
          <w:szCs w:val="24"/>
        </w:rPr>
        <w:t>The unexpected operating income (</w:t>
      </w:r>
      <w:r w:rsidR="00CC47A8" w:rsidRPr="00644FC9">
        <w:rPr>
          <w:rFonts w:ascii="Times New Roman" w:eastAsia="新細明體" w:hAnsi="Times New Roman" w:cs="Times New Roman"/>
          <w:i/>
          <w:color w:val="000000" w:themeColor="text1"/>
          <w:szCs w:val="24"/>
        </w:rPr>
        <w:t>UOI</w:t>
      </w:r>
      <w:r w:rsidR="00CC47A8" w:rsidRPr="00644FC9">
        <w:rPr>
          <w:rFonts w:ascii="Times New Roman" w:eastAsia="新細明體" w:hAnsi="Times New Roman" w:cs="Times New Roman"/>
          <w:color w:val="000000" w:themeColor="text1"/>
          <w:szCs w:val="24"/>
        </w:rPr>
        <w:t xml:space="preserve">) portfolio presents a </w:t>
      </w:r>
      <w:r w:rsidR="00980E4E" w:rsidRPr="00644FC9">
        <w:rPr>
          <w:rFonts w:ascii="Times New Roman" w:eastAsia="新細明體" w:hAnsi="Times New Roman" w:cs="Times New Roman"/>
          <w:color w:val="000000" w:themeColor="text1"/>
          <w:szCs w:val="24"/>
        </w:rPr>
        <w:t xml:space="preserve">slightly </w:t>
      </w:r>
      <w:r w:rsidR="00CC47A8" w:rsidRPr="00644FC9">
        <w:rPr>
          <w:rFonts w:ascii="Times New Roman" w:eastAsia="新細明體" w:hAnsi="Times New Roman" w:cs="Times New Roman"/>
          <w:color w:val="000000" w:themeColor="text1"/>
          <w:szCs w:val="24"/>
        </w:rPr>
        <w:t>small</w:t>
      </w:r>
      <w:r w:rsidR="0065482E" w:rsidRPr="00644FC9">
        <w:rPr>
          <w:rFonts w:ascii="Times New Roman" w:eastAsia="新細明體" w:hAnsi="Times New Roman" w:cs="Times New Roman"/>
          <w:color w:val="000000" w:themeColor="text1"/>
          <w:szCs w:val="24"/>
        </w:rPr>
        <w:t>er</w:t>
      </w:r>
      <w:r w:rsidR="00CC47A8" w:rsidRPr="00644FC9">
        <w:rPr>
          <w:rFonts w:ascii="Times New Roman" w:eastAsia="新細明體" w:hAnsi="Times New Roman" w:cs="Times New Roman"/>
          <w:color w:val="000000" w:themeColor="text1"/>
          <w:szCs w:val="24"/>
        </w:rPr>
        <w:t xml:space="preserve"> hedge</w:t>
      </w:r>
      <w:r w:rsidR="0061361C" w:rsidRPr="00644FC9">
        <w:rPr>
          <w:rFonts w:ascii="Times New Roman" w:eastAsia="新細明體" w:hAnsi="Times New Roman" w:cs="Times New Roman"/>
          <w:color w:val="000000" w:themeColor="text1"/>
          <w:szCs w:val="24"/>
        </w:rPr>
        <w:t>d</w:t>
      </w:r>
      <w:r w:rsidR="00CC47A8" w:rsidRPr="00644FC9">
        <w:rPr>
          <w:rFonts w:ascii="Times New Roman" w:eastAsia="新細明體" w:hAnsi="Times New Roman" w:cs="Times New Roman"/>
          <w:color w:val="000000" w:themeColor="text1"/>
          <w:szCs w:val="24"/>
        </w:rPr>
        <w:t xml:space="preserve"> return and similar price response </w:t>
      </w:r>
      <w:r w:rsidR="0065482E" w:rsidRPr="00644FC9">
        <w:rPr>
          <w:rFonts w:ascii="Times New Roman" w:eastAsia="新細明體" w:hAnsi="Times New Roman" w:cs="Times New Roman"/>
          <w:color w:val="000000" w:themeColor="text1"/>
          <w:szCs w:val="24"/>
        </w:rPr>
        <w:t>speed</w:t>
      </w:r>
      <w:r w:rsidR="008D6FE0" w:rsidRPr="00644FC9">
        <w:rPr>
          <w:rFonts w:ascii="Times New Roman" w:eastAsia="新細明體" w:hAnsi="Times New Roman" w:cs="Times New Roman"/>
          <w:color w:val="000000" w:themeColor="text1"/>
          <w:szCs w:val="24"/>
        </w:rPr>
        <w:t xml:space="preserve"> </w:t>
      </w:r>
      <w:r w:rsidR="00CC47A8" w:rsidRPr="00644FC9">
        <w:rPr>
          <w:rFonts w:ascii="Times New Roman" w:eastAsia="新細明體" w:hAnsi="Times New Roman" w:cs="Times New Roman"/>
          <w:color w:val="000000" w:themeColor="text1"/>
          <w:szCs w:val="24"/>
        </w:rPr>
        <w:t>compar</w:t>
      </w:r>
      <w:r w:rsidR="0061361C" w:rsidRPr="00644FC9">
        <w:rPr>
          <w:rFonts w:ascii="Times New Roman" w:eastAsia="新細明體" w:hAnsi="Times New Roman" w:cs="Times New Roman"/>
          <w:color w:val="000000" w:themeColor="text1"/>
          <w:szCs w:val="24"/>
        </w:rPr>
        <w:t>ed to</w:t>
      </w:r>
      <w:r w:rsidR="00CC47A8" w:rsidRPr="00644FC9">
        <w:rPr>
          <w:rFonts w:ascii="Times New Roman" w:eastAsia="新細明體" w:hAnsi="Times New Roman" w:cs="Times New Roman"/>
          <w:color w:val="000000" w:themeColor="text1"/>
          <w:szCs w:val="24"/>
        </w:rPr>
        <w:t xml:space="preserve"> the unexpected earnings (</w:t>
      </w:r>
      <w:r w:rsidR="00CC47A8" w:rsidRPr="00644FC9">
        <w:rPr>
          <w:rFonts w:ascii="Times New Roman" w:eastAsia="新細明體" w:hAnsi="Times New Roman" w:cs="Times New Roman"/>
          <w:i/>
          <w:color w:val="000000" w:themeColor="text1"/>
          <w:szCs w:val="24"/>
        </w:rPr>
        <w:t>UE</w:t>
      </w:r>
      <w:r w:rsidR="00CC47A8" w:rsidRPr="00644FC9">
        <w:rPr>
          <w:rFonts w:ascii="Times New Roman" w:eastAsia="新細明體" w:hAnsi="Times New Roman" w:cs="Times New Roman"/>
          <w:color w:val="000000" w:themeColor="text1"/>
          <w:szCs w:val="24"/>
        </w:rPr>
        <w:t>) portfolio.</w:t>
      </w:r>
    </w:p>
    <w:p w14:paraId="329E673E" w14:textId="77777777" w:rsidR="00522EC5" w:rsidRPr="00644FC9" w:rsidRDefault="00522EC5" w:rsidP="00222EBB">
      <w:pPr>
        <w:adjustRightInd w:val="0"/>
        <w:spacing w:line="480" w:lineRule="auto"/>
        <w:ind w:firstLineChars="200" w:firstLine="480"/>
        <w:rPr>
          <w:rFonts w:ascii="Times New Roman" w:eastAsia="新細明體" w:hAnsi="Times New Roman" w:cs="Times New Roman"/>
          <w:color w:val="000000" w:themeColor="text1"/>
          <w:szCs w:val="24"/>
        </w:rPr>
        <w:sectPr w:rsidR="00522EC5" w:rsidRPr="00644FC9" w:rsidSect="00A92677">
          <w:footerReference w:type="default" r:id="rId8"/>
          <w:pgSz w:w="11906" w:h="16838"/>
          <w:pgMar w:top="1440" w:right="1440" w:bottom="1440" w:left="1440" w:header="851" w:footer="992" w:gutter="0"/>
          <w:cols w:space="425"/>
          <w:docGrid w:type="lines" w:linePitch="360"/>
        </w:sectPr>
      </w:pPr>
    </w:p>
    <w:p w14:paraId="01EB870D" w14:textId="07A94866" w:rsidR="00522EC5" w:rsidRPr="00644FC9" w:rsidRDefault="00522EC5" w:rsidP="00522EC5">
      <w:pPr>
        <w:widowControl/>
        <w:adjustRightInd w:val="0"/>
        <w:snapToGrid w:val="0"/>
        <w:jc w:val="center"/>
        <w:rPr>
          <w:rFonts w:ascii="Times New Roman" w:hAnsi="Times New Roman" w:cs="Times New Roman"/>
          <w:color w:val="000000" w:themeColor="text1"/>
          <w:szCs w:val="24"/>
        </w:rPr>
      </w:pPr>
      <w:r w:rsidRPr="00644FC9">
        <w:rPr>
          <w:rFonts w:ascii="Times New Roman" w:hAnsi="Times New Roman" w:cs="Times New Roman"/>
          <w:color w:val="000000" w:themeColor="text1"/>
          <w:szCs w:val="24"/>
        </w:rPr>
        <w:lastRenderedPageBreak/>
        <w:t>Table 2: Mean values across various portfolios based on the magnitude of unexpected earnings, unexpected operating income, and unexpected</w:t>
      </w:r>
      <w:r w:rsidR="00313173" w:rsidRPr="00644FC9">
        <w:rPr>
          <w:rFonts w:ascii="Times New Roman" w:hAnsi="Times New Roman" w:cs="Times New Roman"/>
          <w:color w:val="000000" w:themeColor="text1"/>
          <w:szCs w:val="24"/>
        </w:rPr>
        <w:t xml:space="preserve"> non-operating </w:t>
      </w:r>
      <w:r w:rsidRPr="00644FC9">
        <w:rPr>
          <w:rFonts w:ascii="Times New Roman" w:hAnsi="Times New Roman" w:cs="Times New Roman"/>
          <w:color w:val="000000" w:themeColor="text1"/>
          <w:szCs w:val="24"/>
        </w:rPr>
        <w:t>income (N = 21,787)</w:t>
      </w:r>
    </w:p>
    <w:tbl>
      <w:tblPr>
        <w:tblW w:w="5000" w:type="pct"/>
        <w:tblCellMar>
          <w:left w:w="28" w:type="dxa"/>
          <w:right w:w="28" w:type="dxa"/>
        </w:tblCellMar>
        <w:tblLook w:val="04A0" w:firstRow="1" w:lastRow="0" w:firstColumn="1" w:lastColumn="0" w:noHBand="0" w:noVBand="1"/>
      </w:tblPr>
      <w:tblGrid>
        <w:gridCol w:w="1053"/>
        <w:gridCol w:w="1055"/>
        <w:gridCol w:w="1055"/>
        <w:gridCol w:w="1055"/>
        <w:gridCol w:w="1055"/>
        <w:gridCol w:w="1055"/>
        <w:gridCol w:w="1058"/>
        <w:gridCol w:w="1061"/>
        <w:gridCol w:w="1061"/>
        <w:gridCol w:w="1058"/>
        <w:gridCol w:w="1066"/>
        <w:gridCol w:w="1083"/>
        <w:gridCol w:w="1243"/>
      </w:tblGrid>
      <w:tr w:rsidR="00CB42CC" w:rsidRPr="00644FC9" w14:paraId="377ADC08" w14:textId="77777777" w:rsidTr="0065482E">
        <w:trPr>
          <w:trHeight w:hRule="exact" w:val="284"/>
        </w:trPr>
        <w:tc>
          <w:tcPr>
            <w:tcW w:w="5000" w:type="pct"/>
            <w:gridSpan w:val="13"/>
            <w:tcBorders>
              <w:top w:val="single" w:sz="4" w:space="0" w:color="auto"/>
            </w:tcBorders>
            <w:shd w:val="clear" w:color="auto" w:fill="auto"/>
            <w:noWrap/>
            <w:vAlign w:val="center"/>
          </w:tcPr>
          <w:p w14:paraId="43A8A2D0" w14:textId="77777777" w:rsidR="00522EC5" w:rsidRPr="00644FC9" w:rsidRDefault="00522EC5" w:rsidP="0065482E">
            <w:pPr>
              <w:widowControl/>
              <w:adjustRightInd w:val="0"/>
              <w:snapToGrid w:val="0"/>
              <w:rPr>
                <w:rFonts w:ascii="Times New Roman" w:eastAsia="Times New Roman" w:hAnsi="Times New Roman" w:cs="Times New Roman"/>
                <w:color w:val="000000" w:themeColor="text1"/>
                <w:kern w:val="0"/>
                <w:szCs w:val="24"/>
              </w:rPr>
            </w:pPr>
            <w:r w:rsidRPr="00644FC9">
              <w:rPr>
                <w:rFonts w:ascii="Times New Roman" w:eastAsia="Times New Roman" w:hAnsi="Times New Roman" w:cs="Times New Roman"/>
                <w:color w:val="000000" w:themeColor="text1"/>
                <w:kern w:val="0"/>
                <w:szCs w:val="24"/>
              </w:rPr>
              <w:t>Panel A: Mean returns across various portfolios based on the magnitude of unexpected earnings</w:t>
            </w:r>
          </w:p>
        </w:tc>
      </w:tr>
      <w:tr w:rsidR="00CB42CC" w:rsidRPr="00644FC9" w14:paraId="1C60389E" w14:textId="77777777" w:rsidTr="0065482E">
        <w:trPr>
          <w:trHeight w:hRule="exact" w:val="284"/>
        </w:trPr>
        <w:tc>
          <w:tcPr>
            <w:tcW w:w="377" w:type="pct"/>
            <w:shd w:val="clear" w:color="auto" w:fill="auto"/>
            <w:noWrap/>
          </w:tcPr>
          <w:p w14:paraId="7F5800E9" w14:textId="77777777" w:rsidR="00522EC5" w:rsidRPr="00644FC9" w:rsidRDefault="00522EC5" w:rsidP="0065482E">
            <w:pPr>
              <w:adjustRightInd w:val="0"/>
              <w:snapToGrid w:val="0"/>
              <w:rPr>
                <w:rFonts w:ascii="Times New Roman" w:hAnsi="Times New Roman" w:cs="Times New Roman"/>
                <w:color w:val="000000" w:themeColor="text1"/>
              </w:rPr>
            </w:pPr>
          </w:p>
        </w:tc>
        <w:tc>
          <w:tcPr>
            <w:tcW w:w="3790" w:type="pct"/>
            <w:gridSpan w:val="10"/>
            <w:tcBorders>
              <w:bottom w:val="single" w:sz="4" w:space="0" w:color="auto"/>
            </w:tcBorders>
            <w:shd w:val="clear" w:color="auto" w:fill="auto"/>
            <w:noWrap/>
          </w:tcPr>
          <w:p w14:paraId="6E27DAF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Unexpected earnings (</w:t>
            </w:r>
            <w:r w:rsidRPr="00644FC9">
              <w:rPr>
                <w:rFonts w:ascii="Times New Roman" w:hAnsi="Times New Roman" w:cs="Times New Roman"/>
                <w:i/>
                <w:color w:val="000000" w:themeColor="text1"/>
              </w:rPr>
              <w:t>UE</w:t>
            </w:r>
            <w:r w:rsidRPr="00644FC9">
              <w:rPr>
                <w:rFonts w:ascii="Times New Roman" w:hAnsi="Times New Roman" w:cs="Times New Roman"/>
                <w:color w:val="000000" w:themeColor="text1"/>
              </w:rPr>
              <w:t>) portfolio</w:t>
            </w:r>
          </w:p>
        </w:tc>
        <w:tc>
          <w:tcPr>
            <w:tcW w:w="388" w:type="pct"/>
            <w:shd w:val="clear" w:color="auto" w:fill="auto"/>
            <w:noWrap/>
            <w:vAlign w:val="center"/>
          </w:tcPr>
          <w:p w14:paraId="0A07F40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 -</w:t>
            </w:r>
          </w:p>
        </w:tc>
        <w:tc>
          <w:tcPr>
            <w:tcW w:w="445" w:type="pct"/>
            <w:shd w:val="clear" w:color="auto" w:fill="auto"/>
            <w:noWrap/>
            <w:vAlign w:val="center"/>
          </w:tcPr>
          <w:p w14:paraId="6E285560"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r w:rsidRPr="00644FC9">
              <w:rPr>
                <w:rFonts w:ascii="Times New Roman" w:eastAsia="標楷體" w:hAnsi="Times New Roman" w:cs="Times New Roman"/>
                <w:color w:val="000000" w:themeColor="text1"/>
                <w:kern w:val="0"/>
                <w:szCs w:val="24"/>
              </w:rPr>
              <w:t>%</w:t>
            </w:r>
            <w:r w:rsidRPr="00644FC9">
              <w:rPr>
                <w:rFonts w:ascii="Times New Roman" w:hAnsi="Times New Roman" w:cs="Times New Roman"/>
                <w:color w:val="000000" w:themeColor="text1"/>
              </w:rPr>
              <w:t xml:space="preserve"> </w:t>
            </w:r>
            <w:r w:rsidRPr="00644FC9">
              <w:rPr>
                <w:rFonts w:ascii="Times New Roman" w:eastAsia="標楷體" w:hAnsi="Times New Roman" w:cs="Times New Roman"/>
                <w:color w:val="000000" w:themeColor="text1"/>
                <w:kern w:val="0"/>
                <w:szCs w:val="24"/>
              </w:rPr>
              <w:t>of 1-Year</w:t>
            </w:r>
          </w:p>
        </w:tc>
      </w:tr>
      <w:tr w:rsidR="00CB42CC" w:rsidRPr="00644FC9" w14:paraId="73B8CD37" w14:textId="77777777" w:rsidTr="0065482E">
        <w:trPr>
          <w:trHeight w:hRule="exact" w:val="284"/>
        </w:trPr>
        <w:tc>
          <w:tcPr>
            <w:tcW w:w="377" w:type="pct"/>
            <w:tcBorders>
              <w:bottom w:val="single" w:sz="4" w:space="0" w:color="auto"/>
            </w:tcBorders>
            <w:shd w:val="clear" w:color="auto" w:fill="auto"/>
            <w:noWrap/>
          </w:tcPr>
          <w:p w14:paraId="3268B8E0" w14:textId="77777777" w:rsidR="00522EC5" w:rsidRPr="00644FC9" w:rsidRDefault="00522EC5" w:rsidP="0065482E">
            <w:pPr>
              <w:adjustRightInd w:val="0"/>
              <w:snapToGrid w:val="0"/>
              <w:rPr>
                <w:rFonts w:ascii="Times New Roman" w:hAnsi="Times New Roman" w:cs="Times New Roman"/>
                <w:color w:val="000000" w:themeColor="text1"/>
              </w:rPr>
            </w:pPr>
          </w:p>
        </w:tc>
        <w:tc>
          <w:tcPr>
            <w:tcW w:w="378" w:type="pct"/>
            <w:tcBorders>
              <w:top w:val="single" w:sz="4" w:space="0" w:color="auto"/>
              <w:left w:val="nil"/>
              <w:bottom w:val="single" w:sz="4" w:space="0" w:color="auto"/>
              <w:right w:val="nil"/>
            </w:tcBorders>
            <w:shd w:val="clear" w:color="auto" w:fill="auto"/>
            <w:noWrap/>
            <w:vAlign w:val="center"/>
          </w:tcPr>
          <w:p w14:paraId="76893B0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Lowest</w:t>
            </w:r>
          </w:p>
        </w:tc>
        <w:tc>
          <w:tcPr>
            <w:tcW w:w="378" w:type="pct"/>
            <w:tcBorders>
              <w:top w:val="single" w:sz="4" w:space="0" w:color="auto"/>
              <w:left w:val="nil"/>
              <w:bottom w:val="single" w:sz="4" w:space="0" w:color="auto"/>
              <w:right w:val="nil"/>
            </w:tcBorders>
            <w:shd w:val="clear" w:color="auto" w:fill="auto"/>
            <w:noWrap/>
            <w:vAlign w:val="center"/>
          </w:tcPr>
          <w:p w14:paraId="09AB14C1"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w:t>
            </w:r>
          </w:p>
        </w:tc>
        <w:tc>
          <w:tcPr>
            <w:tcW w:w="378" w:type="pct"/>
            <w:tcBorders>
              <w:top w:val="single" w:sz="4" w:space="0" w:color="auto"/>
              <w:left w:val="nil"/>
              <w:bottom w:val="single" w:sz="4" w:space="0" w:color="auto"/>
              <w:right w:val="nil"/>
            </w:tcBorders>
            <w:shd w:val="clear" w:color="auto" w:fill="auto"/>
            <w:noWrap/>
            <w:vAlign w:val="center"/>
          </w:tcPr>
          <w:p w14:paraId="0347D80E"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3</w:t>
            </w:r>
          </w:p>
        </w:tc>
        <w:tc>
          <w:tcPr>
            <w:tcW w:w="378" w:type="pct"/>
            <w:tcBorders>
              <w:top w:val="single" w:sz="4" w:space="0" w:color="auto"/>
              <w:left w:val="nil"/>
              <w:bottom w:val="single" w:sz="4" w:space="0" w:color="auto"/>
              <w:right w:val="nil"/>
            </w:tcBorders>
            <w:shd w:val="clear" w:color="auto" w:fill="auto"/>
            <w:noWrap/>
            <w:vAlign w:val="center"/>
          </w:tcPr>
          <w:p w14:paraId="76383D71"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4</w:t>
            </w:r>
          </w:p>
        </w:tc>
        <w:tc>
          <w:tcPr>
            <w:tcW w:w="378" w:type="pct"/>
            <w:tcBorders>
              <w:top w:val="single" w:sz="4" w:space="0" w:color="auto"/>
              <w:left w:val="nil"/>
              <w:bottom w:val="single" w:sz="4" w:space="0" w:color="auto"/>
              <w:right w:val="nil"/>
            </w:tcBorders>
            <w:shd w:val="clear" w:color="auto" w:fill="auto"/>
            <w:noWrap/>
            <w:vAlign w:val="center"/>
          </w:tcPr>
          <w:p w14:paraId="669A0645"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5</w:t>
            </w:r>
          </w:p>
        </w:tc>
        <w:tc>
          <w:tcPr>
            <w:tcW w:w="379" w:type="pct"/>
            <w:tcBorders>
              <w:top w:val="single" w:sz="4" w:space="0" w:color="auto"/>
              <w:left w:val="nil"/>
              <w:bottom w:val="single" w:sz="4" w:space="0" w:color="auto"/>
              <w:right w:val="nil"/>
            </w:tcBorders>
            <w:shd w:val="clear" w:color="auto" w:fill="auto"/>
            <w:noWrap/>
            <w:vAlign w:val="center"/>
          </w:tcPr>
          <w:p w14:paraId="3DEF7D54"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w:t>
            </w:r>
          </w:p>
        </w:tc>
        <w:tc>
          <w:tcPr>
            <w:tcW w:w="380" w:type="pct"/>
            <w:tcBorders>
              <w:top w:val="single" w:sz="4" w:space="0" w:color="auto"/>
              <w:left w:val="nil"/>
              <w:bottom w:val="single" w:sz="4" w:space="0" w:color="auto"/>
              <w:right w:val="nil"/>
            </w:tcBorders>
            <w:shd w:val="clear" w:color="auto" w:fill="auto"/>
            <w:noWrap/>
            <w:vAlign w:val="center"/>
          </w:tcPr>
          <w:p w14:paraId="27A7C77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7</w:t>
            </w:r>
          </w:p>
        </w:tc>
        <w:tc>
          <w:tcPr>
            <w:tcW w:w="380" w:type="pct"/>
            <w:tcBorders>
              <w:top w:val="single" w:sz="4" w:space="0" w:color="auto"/>
              <w:left w:val="nil"/>
              <w:bottom w:val="single" w:sz="4" w:space="0" w:color="auto"/>
              <w:right w:val="nil"/>
            </w:tcBorders>
            <w:shd w:val="clear" w:color="auto" w:fill="auto"/>
            <w:noWrap/>
            <w:vAlign w:val="center"/>
          </w:tcPr>
          <w:p w14:paraId="6A9B48A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8</w:t>
            </w:r>
          </w:p>
        </w:tc>
        <w:tc>
          <w:tcPr>
            <w:tcW w:w="379" w:type="pct"/>
            <w:tcBorders>
              <w:top w:val="single" w:sz="4" w:space="0" w:color="auto"/>
              <w:left w:val="nil"/>
              <w:bottom w:val="single" w:sz="4" w:space="0" w:color="auto"/>
              <w:right w:val="nil"/>
            </w:tcBorders>
            <w:shd w:val="clear" w:color="auto" w:fill="auto"/>
            <w:noWrap/>
            <w:vAlign w:val="center"/>
          </w:tcPr>
          <w:p w14:paraId="623E8874"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9</w:t>
            </w:r>
          </w:p>
        </w:tc>
        <w:tc>
          <w:tcPr>
            <w:tcW w:w="382" w:type="pct"/>
            <w:tcBorders>
              <w:top w:val="single" w:sz="4" w:space="0" w:color="auto"/>
              <w:left w:val="nil"/>
              <w:bottom w:val="single" w:sz="4" w:space="0" w:color="auto"/>
              <w:right w:val="nil"/>
            </w:tcBorders>
            <w:shd w:val="clear" w:color="auto" w:fill="auto"/>
            <w:noWrap/>
            <w:vAlign w:val="center"/>
          </w:tcPr>
          <w:p w14:paraId="1405B1E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w:t>
            </w:r>
          </w:p>
        </w:tc>
        <w:tc>
          <w:tcPr>
            <w:tcW w:w="388" w:type="pct"/>
            <w:tcBorders>
              <w:bottom w:val="single" w:sz="4" w:space="0" w:color="auto"/>
            </w:tcBorders>
            <w:shd w:val="clear" w:color="auto" w:fill="auto"/>
            <w:noWrap/>
            <w:vAlign w:val="bottom"/>
          </w:tcPr>
          <w:p w14:paraId="39874DCD" w14:textId="77777777" w:rsidR="00522EC5" w:rsidRPr="00644FC9" w:rsidRDefault="00522EC5" w:rsidP="0065482E">
            <w:pPr>
              <w:widowControl/>
              <w:adjustRightInd w:val="0"/>
              <w:snapToGrid w:val="0"/>
              <w:jc w:val="center"/>
              <w:rPr>
                <w:rFonts w:ascii="Times New Roman" w:eastAsia="標楷體" w:hAnsi="Times New Roman" w:cs="Times New Roman"/>
                <w:color w:val="000000" w:themeColor="text1"/>
                <w:kern w:val="0"/>
                <w:szCs w:val="24"/>
              </w:rPr>
            </w:pPr>
            <w:r w:rsidRPr="00644FC9">
              <w:rPr>
                <w:rFonts w:ascii="Times New Roman" w:eastAsia="標楷體" w:hAnsi="Times New Roman" w:cs="Times New Roman"/>
                <w:color w:val="000000" w:themeColor="text1"/>
                <w:kern w:val="0"/>
                <w:szCs w:val="24"/>
              </w:rPr>
              <w:t>Lowest</w:t>
            </w:r>
          </w:p>
        </w:tc>
        <w:tc>
          <w:tcPr>
            <w:tcW w:w="445" w:type="pct"/>
            <w:tcBorders>
              <w:bottom w:val="single" w:sz="4" w:space="0" w:color="auto"/>
            </w:tcBorders>
            <w:shd w:val="clear" w:color="auto" w:fill="auto"/>
            <w:noWrap/>
            <w:vAlign w:val="bottom"/>
          </w:tcPr>
          <w:p w14:paraId="16C08B9D" w14:textId="77777777" w:rsidR="00522EC5" w:rsidRPr="00644FC9" w:rsidRDefault="00522EC5" w:rsidP="0065482E">
            <w:pPr>
              <w:widowControl/>
              <w:adjustRightInd w:val="0"/>
              <w:snapToGrid w:val="0"/>
              <w:jc w:val="center"/>
              <w:rPr>
                <w:rFonts w:ascii="Times New Roman" w:eastAsia="標楷體" w:hAnsi="Times New Roman" w:cs="Times New Roman"/>
                <w:color w:val="000000" w:themeColor="text1"/>
                <w:kern w:val="0"/>
                <w:szCs w:val="24"/>
              </w:rPr>
            </w:pPr>
            <w:r w:rsidRPr="00644FC9">
              <w:rPr>
                <w:rFonts w:ascii="Times New Roman" w:eastAsia="標楷體" w:hAnsi="Times New Roman" w:cs="Times New Roman"/>
                <w:color w:val="000000" w:themeColor="text1"/>
                <w:kern w:val="0"/>
                <w:szCs w:val="24"/>
              </w:rPr>
              <w:t>Return</w:t>
            </w:r>
          </w:p>
        </w:tc>
      </w:tr>
      <w:tr w:rsidR="00CB42CC" w:rsidRPr="00644FC9" w14:paraId="7C0C6EA6" w14:textId="77777777" w:rsidTr="0065482E">
        <w:trPr>
          <w:trHeight w:hRule="exact" w:val="284"/>
        </w:trPr>
        <w:tc>
          <w:tcPr>
            <w:tcW w:w="377" w:type="pct"/>
            <w:tcBorders>
              <w:top w:val="single" w:sz="4" w:space="0" w:color="auto"/>
            </w:tcBorders>
            <w:shd w:val="clear" w:color="auto" w:fill="auto"/>
            <w:noWrap/>
            <w:vAlign w:val="center"/>
            <w:hideMark/>
          </w:tcPr>
          <w:p w14:paraId="13A5A641"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N</w:t>
            </w:r>
          </w:p>
        </w:tc>
        <w:tc>
          <w:tcPr>
            <w:tcW w:w="378" w:type="pct"/>
            <w:tcBorders>
              <w:top w:val="single" w:sz="4" w:space="0" w:color="auto"/>
            </w:tcBorders>
            <w:shd w:val="clear" w:color="auto" w:fill="auto"/>
            <w:noWrap/>
            <w:vAlign w:val="center"/>
            <w:hideMark/>
          </w:tcPr>
          <w:p w14:paraId="54E7B50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2,169</w:t>
            </w:r>
          </w:p>
        </w:tc>
        <w:tc>
          <w:tcPr>
            <w:tcW w:w="378" w:type="pct"/>
            <w:tcBorders>
              <w:top w:val="single" w:sz="4" w:space="0" w:color="auto"/>
            </w:tcBorders>
            <w:shd w:val="clear" w:color="auto" w:fill="auto"/>
            <w:noWrap/>
            <w:vAlign w:val="center"/>
            <w:hideMark/>
          </w:tcPr>
          <w:p w14:paraId="5819785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2,181</w:t>
            </w:r>
          </w:p>
        </w:tc>
        <w:tc>
          <w:tcPr>
            <w:tcW w:w="378" w:type="pct"/>
            <w:tcBorders>
              <w:top w:val="single" w:sz="4" w:space="0" w:color="auto"/>
            </w:tcBorders>
            <w:shd w:val="clear" w:color="auto" w:fill="auto"/>
            <w:noWrap/>
            <w:vAlign w:val="center"/>
            <w:hideMark/>
          </w:tcPr>
          <w:p w14:paraId="642B2395"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2,177</w:t>
            </w:r>
          </w:p>
        </w:tc>
        <w:tc>
          <w:tcPr>
            <w:tcW w:w="378" w:type="pct"/>
            <w:tcBorders>
              <w:top w:val="single" w:sz="4" w:space="0" w:color="auto"/>
            </w:tcBorders>
            <w:shd w:val="clear" w:color="auto" w:fill="auto"/>
            <w:noWrap/>
            <w:vAlign w:val="center"/>
            <w:hideMark/>
          </w:tcPr>
          <w:p w14:paraId="6600F3E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2,180</w:t>
            </w:r>
          </w:p>
        </w:tc>
        <w:tc>
          <w:tcPr>
            <w:tcW w:w="378" w:type="pct"/>
            <w:tcBorders>
              <w:top w:val="single" w:sz="4" w:space="0" w:color="auto"/>
            </w:tcBorders>
            <w:shd w:val="clear" w:color="auto" w:fill="auto"/>
            <w:noWrap/>
            <w:vAlign w:val="center"/>
            <w:hideMark/>
          </w:tcPr>
          <w:p w14:paraId="4D98D607"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2,181</w:t>
            </w:r>
          </w:p>
        </w:tc>
        <w:tc>
          <w:tcPr>
            <w:tcW w:w="379" w:type="pct"/>
            <w:tcBorders>
              <w:top w:val="single" w:sz="4" w:space="0" w:color="auto"/>
            </w:tcBorders>
            <w:shd w:val="clear" w:color="auto" w:fill="auto"/>
            <w:noWrap/>
            <w:vAlign w:val="center"/>
            <w:hideMark/>
          </w:tcPr>
          <w:p w14:paraId="7B57BBD5"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2,176</w:t>
            </w:r>
          </w:p>
        </w:tc>
        <w:tc>
          <w:tcPr>
            <w:tcW w:w="380" w:type="pct"/>
            <w:tcBorders>
              <w:top w:val="single" w:sz="4" w:space="0" w:color="auto"/>
            </w:tcBorders>
            <w:shd w:val="clear" w:color="auto" w:fill="auto"/>
            <w:noWrap/>
            <w:vAlign w:val="center"/>
            <w:hideMark/>
          </w:tcPr>
          <w:p w14:paraId="6FCDCCC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2,178</w:t>
            </w:r>
          </w:p>
        </w:tc>
        <w:tc>
          <w:tcPr>
            <w:tcW w:w="380" w:type="pct"/>
            <w:tcBorders>
              <w:top w:val="single" w:sz="4" w:space="0" w:color="auto"/>
            </w:tcBorders>
            <w:shd w:val="clear" w:color="auto" w:fill="auto"/>
            <w:noWrap/>
            <w:vAlign w:val="center"/>
            <w:hideMark/>
          </w:tcPr>
          <w:p w14:paraId="45366FA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2,179</w:t>
            </w:r>
          </w:p>
        </w:tc>
        <w:tc>
          <w:tcPr>
            <w:tcW w:w="379" w:type="pct"/>
            <w:tcBorders>
              <w:top w:val="single" w:sz="4" w:space="0" w:color="auto"/>
            </w:tcBorders>
            <w:shd w:val="clear" w:color="auto" w:fill="auto"/>
            <w:noWrap/>
            <w:vAlign w:val="center"/>
            <w:hideMark/>
          </w:tcPr>
          <w:p w14:paraId="5466F0ED"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2,179</w:t>
            </w:r>
          </w:p>
        </w:tc>
        <w:tc>
          <w:tcPr>
            <w:tcW w:w="382" w:type="pct"/>
            <w:tcBorders>
              <w:top w:val="single" w:sz="4" w:space="0" w:color="auto"/>
            </w:tcBorders>
            <w:shd w:val="clear" w:color="auto" w:fill="auto"/>
            <w:noWrap/>
            <w:vAlign w:val="center"/>
            <w:hideMark/>
          </w:tcPr>
          <w:p w14:paraId="0C358CF7"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2,187</w:t>
            </w:r>
          </w:p>
        </w:tc>
        <w:tc>
          <w:tcPr>
            <w:tcW w:w="388" w:type="pct"/>
            <w:tcBorders>
              <w:top w:val="single" w:sz="4" w:space="0" w:color="auto"/>
            </w:tcBorders>
            <w:shd w:val="clear" w:color="auto" w:fill="auto"/>
            <w:noWrap/>
            <w:vAlign w:val="center"/>
            <w:hideMark/>
          </w:tcPr>
          <w:p w14:paraId="7D6DA38A"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tcBorders>
              <w:top w:val="single" w:sz="4" w:space="0" w:color="auto"/>
            </w:tcBorders>
            <w:shd w:val="clear" w:color="auto" w:fill="auto"/>
            <w:noWrap/>
            <w:vAlign w:val="center"/>
            <w:hideMark/>
          </w:tcPr>
          <w:p w14:paraId="7227CDBB"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504191FE" w14:textId="77777777" w:rsidTr="0065482E">
        <w:trPr>
          <w:trHeight w:hRule="exact" w:val="284"/>
        </w:trPr>
        <w:tc>
          <w:tcPr>
            <w:tcW w:w="377" w:type="pct"/>
            <w:shd w:val="clear" w:color="auto" w:fill="auto"/>
            <w:noWrap/>
            <w:vAlign w:val="center"/>
            <w:hideMark/>
          </w:tcPr>
          <w:p w14:paraId="03FDCFEB"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UE</w:t>
            </w:r>
          </w:p>
        </w:tc>
        <w:tc>
          <w:tcPr>
            <w:tcW w:w="378" w:type="pct"/>
            <w:tcBorders>
              <w:top w:val="nil"/>
              <w:left w:val="nil"/>
              <w:bottom w:val="nil"/>
              <w:right w:val="nil"/>
            </w:tcBorders>
            <w:shd w:val="clear" w:color="auto" w:fill="auto"/>
            <w:noWrap/>
            <w:vAlign w:val="center"/>
            <w:hideMark/>
          </w:tcPr>
          <w:p w14:paraId="3B1E165B" w14:textId="77777777" w:rsidR="00522EC5" w:rsidRPr="00644FC9" w:rsidRDefault="00522EC5" w:rsidP="0065482E">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-0.082</w:t>
            </w:r>
          </w:p>
        </w:tc>
        <w:tc>
          <w:tcPr>
            <w:tcW w:w="378" w:type="pct"/>
            <w:tcBorders>
              <w:top w:val="nil"/>
              <w:left w:val="nil"/>
              <w:bottom w:val="nil"/>
              <w:right w:val="nil"/>
            </w:tcBorders>
            <w:shd w:val="clear" w:color="auto" w:fill="auto"/>
            <w:noWrap/>
            <w:vAlign w:val="center"/>
            <w:hideMark/>
          </w:tcPr>
          <w:p w14:paraId="0C4C6C7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-0.022</w:t>
            </w:r>
          </w:p>
        </w:tc>
        <w:tc>
          <w:tcPr>
            <w:tcW w:w="378" w:type="pct"/>
            <w:tcBorders>
              <w:top w:val="nil"/>
              <w:left w:val="nil"/>
              <w:bottom w:val="nil"/>
              <w:right w:val="nil"/>
            </w:tcBorders>
            <w:shd w:val="clear" w:color="auto" w:fill="auto"/>
            <w:noWrap/>
            <w:vAlign w:val="center"/>
            <w:hideMark/>
          </w:tcPr>
          <w:p w14:paraId="6AE8D42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-0.011</w:t>
            </w:r>
          </w:p>
        </w:tc>
        <w:tc>
          <w:tcPr>
            <w:tcW w:w="378" w:type="pct"/>
            <w:tcBorders>
              <w:top w:val="nil"/>
              <w:left w:val="nil"/>
              <w:bottom w:val="nil"/>
              <w:right w:val="nil"/>
            </w:tcBorders>
            <w:shd w:val="clear" w:color="auto" w:fill="auto"/>
            <w:noWrap/>
            <w:vAlign w:val="center"/>
            <w:hideMark/>
          </w:tcPr>
          <w:p w14:paraId="0121049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78" w:type="pct"/>
            <w:tcBorders>
              <w:top w:val="nil"/>
              <w:left w:val="nil"/>
              <w:bottom w:val="nil"/>
              <w:right w:val="nil"/>
            </w:tcBorders>
            <w:shd w:val="clear" w:color="auto" w:fill="auto"/>
            <w:noWrap/>
            <w:vAlign w:val="center"/>
            <w:hideMark/>
          </w:tcPr>
          <w:p w14:paraId="6AB8DAF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bottom w:val="nil"/>
              <w:right w:val="nil"/>
            </w:tcBorders>
            <w:shd w:val="clear" w:color="auto" w:fill="auto"/>
            <w:noWrap/>
            <w:vAlign w:val="center"/>
            <w:hideMark/>
          </w:tcPr>
          <w:p w14:paraId="50B4D04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80" w:type="pct"/>
            <w:tcBorders>
              <w:top w:val="nil"/>
              <w:left w:val="nil"/>
              <w:bottom w:val="nil"/>
              <w:right w:val="nil"/>
            </w:tcBorders>
            <w:shd w:val="clear" w:color="auto" w:fill="auto"/>
            <w:noWrap/>
            <w:vAlign w:val="center"/>
            <w:hideMark/>
          </w:tcPr>
          <w:p w14:paraId="43A63E7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80" w:type="pct"/>
            <w:tcBorders>
              <w:top w:val="nil"/>
              <w:left w:val="nil"/>
              <w:bottom w:val="nil"/>
              <w:right w:val="nil"/>
            </w:tcBorders>
            <w:shd w:val="clear" w:color="auto" w:fill="auto"/>
            <w:noWrap/>
            <w:vAlign w:val="center"/>
            <w:hideMark/>
          </w:tcPr>
          <w:p w14:paraId="5BB6D71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379" w:type="pct"/>
            <w:tcBorders>
              <w:top w:val="nil"/>
              <w:left w:val="nil"/>
              <w:bottom w:val="nil"/>
              <w:right w:val="nil"/>
            </w:tcBorders>
            <w:shd w:val="clear" w:color="auto" w:fill="auto"/>
            <w:noWrap/>
            <w:vAlign w:val="center"/>
            <w:hideMark/>
          </w:tcPr>
          <w:p w14:paraId="1067276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0.023</w:t>
            </w:r>
          </w:p>
        </w:tc>
        <w:tc>
          <w:tcPr>
            <w:tcW w:w="382" w:type="pct"/>
            <w:tcBorders>
              <w:top w:val="nil"/>
              <w:left w:val="nil"/>
              <w:bottom w:val="nil"/>
              <w:right w:val="nil"/>
            </w:tcBorders>
            <w:shd w:val="clear" w:color="auto" w:fill="auto"/>
            <w:noWrap/>
            <w:vAlign w:val="center"/>
            <w:hideMark/>
          </w:tcPr>
          <w:p w14:paraId="605ECF1D"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0.087</w:t>
            </w:r>
          </w:p>
        </w:tc>
        <w:tc>
          <w:tcPr>
            <w:tcW w:w="388" w:type="pct"/>
            <w:shd w:val="clear" w:color="auto" w:fill="auto"/>
            <w:noWrap/>
            <w:vAlign w:val="center"/>
            <w:hideMark/>
          </w:tcPr>
          <w:p w14:paraId="303C76AF"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shd w:val="clear" w:color="auto" w:fill="auto"/>
            <w:noWrap/>
            <w:vAlign w:val="center"/>
            <w:hideMark/>
          </w:tcPr>
          <w:p w14:paraId="1AA1E7AD"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4BB5D6E4" w14:textId="77777777" w:rsidTr="0065482E">
        <w:trPr>
          <w:trHeight w:hRule="exact" w:val="284"/>
        </w:trPr>
        <w:tc>
          <w:tcPr>
            <w:tcW w:w="377" w:type="pct"/>
            <w:shd w:val="clear" w:color="auto" w:fill="auto"/>
            <w:noWrap/>
            <w:vAlign w:val="center"/>
          </w:tcPr>
          <w:p w14:paraId="7E8A9550" w14:textId="77777777" w:rsidR="00522EC5" w:rsidRPr="00644FC9" w:rsidRDefault="00522EC5" w:rsidP="0065482E">
            <w:pPr>
              <w:widowControl/>
              <w:adjustRightInd w:val="0"/>
              <w:snapToGrid w:val="0"/>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258F085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78" w:type="pct"/>
            <w:shd w:val="clear" w:color="auto" w:fill="auto"/>
            <w:noWrap/>
            <w:vAlign w:val="center"/>
          </w:tcPr>
          <w:p w14:paraId="7B3EAE6A"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78" w:type="pct"/>
            <w:shd w:val="clear" w:color="auto" w:fill="auto"/>
            <w:noWrap/>
            <w:vAlign w:val="center"/>
          </w:tcPr>
          <w:p w14:paraId="2EB6120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78" w:type="pct"/>
            <w:shd w:val="clear" w:color="auto" w:fill="auto"/>
            <w:noWrap/>
            <w:vAlign w:val="center"/>
          </w:tcPr>
          <w:p w14:paraId="19DEFB74"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78" w:type="pct"/>
            <w:shd w:val="clear" w:color="auto" w:fill="auto"/>
            <w:noWrap/>
            <w:vAlign w:val="center"/>
          </w:tcPr>
          <w:p w14:paraId="1A61413F"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79" w:type="pct"/>
            <w:shd w:val="clear" w:color="auto" w:fill="auto"/>
            <w:noWrap/>
            <w:vAlign w:val="center"/>
          </w:tcPr>
          <w:p w14:paraId="2010D8E4"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80" w:type="pct"/>
            <w:shd w:val="clear" w:color="auto" w:fill="auto"/>
            <w:noWrap/>
            <w:vAlign w:val="center"/>
          </w:tcPr>
          <w:p w14:paraId="415D75D9"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80" w:type="pct"/>
            <w:shd w:val="clear" w:color="auto" w:fill="auto"/>
            <w:noWrap/>
            <w:vAlign w:val="center"/>
          </w:tcPr>
          <w:p w14:paraId="397EE99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79" w:type="pct"/>
            <w:shd w:val="clear" w:color="auto" w:fill="auto"/>
            <w:noWrap/>
            <w:vAlign w:val="center"/>
          </w:tcPr>
          <w:p w14:paraId="54D30A16"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82" w:type="pct"/>
            <w:shd w:val="clear" w:color="auto" w:fill="auto"/>
            <w:noWrap/>
            <w:vAlign w:val="center"/>
          </w:tcPr>
          <w:p w14:paraId="3F36C07D"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highlight w:val="yellow"/>
              </w:rPr>
            </w:pPr>
          </w:p>
        </w:tc>
        <w:tc>
          <w:tcPr>
            <w:tcW w:w="388" w:type="pct"/>
            <w:shd w:val="clear" w:color="auto" w:fill="auto"/>
            <w:noWrap/>
            <w:vAlign w:val="center"/>
            <w:hideMark/>
          </w:tcPr>
          <w:p w14:paraId="328354BA"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shd w:val="clear" w:color="auto" w:fill="auto"/>
            <w:noWrap/>
            <w:vAlign w:val="center"/>
            <w:hideMark/>
          </w:tcPr>
          <w:p w14:paraId="73562AD3"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178F962B" w14:textId="77777777" w:rsidTr="0065482E">
        <w:trPr>
          <w:trHeight w:hRule="exact" w:val="284"/>
        </w:trPr>
        <w:tc>
          <w:tcPr>
            <w:tcW w:w="377" w:type="pct"/>
            <w:shd w:val="clear" w:color="auto" w:fill="auto"/>
            <w:noWrap/>
            <w:vAlign w:val="center"/>
            <w:hideMark/>
          </w:tcPr>
          <w:p w14:paraId="1A01B495"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標楷體" w:hAnsi="Times New Roman" w:cs="Times New Roman"/>
                <w:i/>
                <w:color w:val="000000" w:themeColor="text1"/>
                <w:szCs w:val="24"/>
              </w:rPr>
              <w:t>BHAR</w:t>
            </w:r>
            <w:r w:rsidRPr="00644FC9">
              <w:rPr>
                <w:rFonts w:ascii="Times New Roman" w:eastAsia="新細明體" w:hAnsi="Times New Roman" w:cs="Times New Roman"/>
                <w:i/>
                <w:color w:val="000000" w:themeColor="text1"/>
                <w:szCs w:val="24"/>
              </w:rPr>
              <w:t>5</w:t>
            </w:r>
          </w:p>
        </w:tc>
        <w:tc>
          <w:tcPr>
            <w:tcW w:w="378" w:type="pct"/>
            <w:tcBorders>
              <w:top w:val="nil"/>
              <w:left w:val="nil"/>
              <w:bottom w:val="nil"/>
              <w:right w:val="nil"/>
            </w:tcBorders>
            <w:shd w:val="clear" w:color="auto" w:fill="auto"/>
            <w:noWrap/>
            <w:vAlign w:val="center"/>
            <w:hideMark/>
          </w:tcPr>
          <w:p w14:paraId="4E79841B" w14:textId="77777777" w:rsidR="00522EC5" w:rsidRPr="00644FC9" w:rsidRDefault="00522EC5" w:rsidP="0065482E">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-0.019</w:t>
            </w:r>
          </w:p>
        </w:tc>
        <w:tc>
          <w:tcPr>
            <w:tcW w:w="378" w:type="pct"/>
            <w:tcBorders>
              <w:top w:val="nil"/>
              <w:left w:val="nil"/>
              <w:bottom w:val="nil"/>
              <w:right w:val="nil"/>
            </w:tcBorders>
            <w:shd w:val="clear" w:color="auto" w:fill="auto"/>
            <w:noWrap/>
            <w:vAlign w:val="center"/>
            <w:hideMark/>
          </w:tcPr>
          <w:p w14:paraId="26CDE0B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378" w:type="pct"/>
            <w:tcBorders>
              <w:top w:val="nil"/>
              <w:left w:val="nil"/>
              <w:bottom w:val="nil"/>
              <w:right w:val="nil"/>
            </w:tcBorders>
            <w:shd w:val="clear" w:color="auto" w:fill="auto"/>
            <w:noWrap/>
            <w:vAlign w:val="center"/>
            <w:hideMark/>
          </w:tcPr>
          <w:p w14:paraId="4331BAD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-0.008</w:t>
            </w:r>
          </w:p>
        </w:tc>
        <w:tc>
          <w:tcPr>
            <w:tcW w:w="378" w:type="pct"/>
            <w:tcBorders>
              <w:top w:val="nil"/>
              <w:left w:val="nil"/>
              <w:bottom w:val="nil"/>
              <w:right w:val="nil"/>
            </w:tcBorders>
            <w:shd w:val="clear" w:color="auto" w:fill="auto"/>
            <w:noWrap/>
            <w:vAlign w:val="center"/>
            <w:hideMark/>
          </w:tcPr>
          <w:p w14:paraId="65D8DFE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78" w:type="pct"/>
            <w:tcBorders>
              <w:top w:val="nil"/>
              <w:left w:val="nil"/>
              <w:bottom w:val="nil"/>
              <w:right w:val="nil"/>
            </w:tcBorders>
            <w:shd w:val="clear" w:color="auto" w:fill="auto"/>
            <w:noWrap/>
            <w:vAlign w:val="center"/>
            <w:hideMark/>
          </w:tcPr>
          <w:p w14:paraId="4C139EE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79" w:type="pct"/>
            <w:tcBorders>
              <w:top w:val="nil"/>
              <w:left w:val="nil"/>
              <w:bottom w:val="nil"/>
              <w:right w:val="nil"/>
            </w:tcBorders>
            <w:shd w:val="clear" w:color="auto" w:fill="auto"/>
            <w:noWrap/>
            <w:vAlign w:val="center"/>
            <w:hideMark/>
          </w:tcPr>
          <w:p w14:paraId="27C3DDE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80" w:type="pct"/>
            <w:tcBorders>
              <w:top w:val="nil"/>
              <w:left w:val="nil"/>
              <w:bottom w:val="nil"/>
              <w:right w:val="nil"/>
            </w:tcBorders>
            <w:shd w:val="clear" w:color="auto" w:fill="auto"/>
            <w:noWrap/>
            <w:vAlign w:val="center"/>
            <w:hideMark/>
          </w:tcPr>
          <w:p w14:paraId="2024ECE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380" w:type="pct"/>
            <w:tcBorders>
              <w:top w:val="nil"/>
              <w:left w:val="nil"/>
              <w:bottom w:val="nil"/>
              <w:right w:val="nil"/>
            </w:tcBorders>
            <w:shd w:val="clear" w:color="auto" w:fill="auto"/>
            <w:noWrap/>
            <w:vAlign w:val="center"/>
            <w:hideMark/>
          </w:tcPr>
          <w:p w14:paraId="43A0B7F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9" w:type="pct"/>
            <w:tcBorders>
              <w:top w:val="nil"/>
              <w:left w:val="nil"/>
              <w:bottom w:val="nil"/>
              <w:right w:val="nil"/>
            </w:tcBorders>
            <w:shd w:val="clear" w:color="auto" w:fill="auto"/>
            <w:noWrap/>
            <w:vAlign w:val="center"/>
            <w:hideMark/>
          </w:tcPr>
          <w:p w14:paraId="07BEC0C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0.014</w:t>
            </w:r>
          </w:p>
        </w:tc>
        <w:tc>
          <w:tcPr>
            <w:tcW w:w="382" w:type="pct"/>
            <w:tcBorders>
              <w:top w:val="nil"/>
              <w:left w:val="nil"/>
              <w:bottom w:val="nil"/>
              <w:right w:val="nil"/>
            </w:tcBorders>
            <w:shd w:val="clear" w:color="auto" w:fill="auto"/>
            <w:noWrap/>
            <w:vAlign w:val="center"/>
            <w:hideMark/>
          </w:tcPr>
          <w:p w14:paraId="3BF716D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c>
          <w:tcPr>
            <w:tcW w:w="388" w:type="pct"/>
            <w:tcBorders>
              <w:top w:val="nil"/>
              <w:left w:val="nil"/>
              <w:bottom w:val="nil"/>
              <w:right w:val="nil"/>
            </w:tcBorders>
            <w:shd w:val="clear" w:color="auto" w:fill="auto"/>
            <w:noWrap/>
            <w:vAlign w:val="center"/>
            <w:hideMark/>
          </w:tcPr>
          <w:p w14:paraId="11333F6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0.040</w:t>
            </w:r>
          </w:p>
        </w:tc>
        <w:tc>
          <w:tcPr>
            <w:tcW w:w="445" w:type="pct"/>
            <w:tcBorders>
              <w:top w:val="nil"/>
              <w:left w:val="nil"/>
              <w:bottom w:val="nil"/>
              <w:right w:val="nil"/>
            </w:tcBorders>
            <w:shd w:val="clear" w:color="auto" w:fill="auto"/>
            <w:noWrap/>
            <w:vAlign w:val="center"/>
            <w:hideMark/>
          </w:tcPr>
          <w:p w14:paraId="7614D07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49.5%</w:t>
            </w:r>
          </w:p>
        </w:tc>
      </w:tr>
      <w:tr w:rsidR="00CB42CC" w:rsidRPr="00644FC9" w14:paraId="3E1E6D04" w14:textId="77777777" w:rsidTr="0065482E">
        <w:trPr>
          <w:trHeight w:hRule="exact" w:val="284"/>
        </w:trPr>
        <w:tc>
          <w:tcPr>
            <w:tcW w:w="377" w:type="pct"/>
            <w:shd w:val="clear" w:color="auto" w:fill="auto"/>
            <w:noWrap/>
            <w:vAlign w:val="center"/>
            <w:hideMark/>
          </w:tcPr>
          <w:p w14:paraId="7A80B72D"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BHAR21</w:t>
            </w:r>
          </w:p>
        </w:tc>
        <w:tc>
          <w:tcPr>
            <w:tcW w:w="378" w:type="pct"/>
            <w:tcBorders>
              <w:top w:val="nil"/>
              <w:left w:val="nil"/>
              <w:bottom w:val="nil"/>
              <w:right w:val="nil"/>
            </w:tcBorders>
            <w:shd w:val="clear" w:color="auto" w:fill="auto"/>
            <w:noWrap/>
            <w:vAlign w:val="center"/>
            <w:hideMark/>
          </w:tcPr>
          <w:p w14:paraId="3700251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-0.022</w:t>
            </w:r>
          </w:p>
        </w:tc>
        <w:tc>
          <w:tcPr>
            <w:tcW w:w="378" w:type="pct"/>
            <w:tcBorders>
              <w:top w:val="nil"/>
              <w:left w:val="nil"/>
              <w:bottom w:val="nil"/>
              <w:right w:val="nil"/>
            </w:tcBorders>
            <w:shd w:val="clear" w:color="auto" w:fill="auto"/>
            <w:noWrap/>
            <w:vAlign w:val="center"/>
            <w:hideMark/>
          </w:tcPr>
          <w:p w14:paraId="1B9BEB5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-0.022</w:t>
            </w:r>
          </w:p>
        </w:tc>
        <w:tc>
          <w:tcPr>
            <w:tcW w:w="378" w:type="pct"/>
            <w:tcBorders>
              <w:top w:val="nil"/>
              <w:left w:val="nil"/>
              <w:bottom w:val="nil"/>
              <w:right w:val="nil"/>
            </w:tcBorders>
            <w:shd w:val="clear" w:color="auto" w:fill="auto"/>
            <w:noWrap/>
            <w:vAlign w:val="center"/>
            <w:hideMark/>
          </w:tcPr>
          <w:p w14:paraId="47A0A92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-0.017</w:t>
            </w:r>
          </w:p>
        </w:tc>
        <w:tc>
          <w:tcPr>
            <w:tcW w:w="378" w:type="pct"/>
            <w:tcBorders>
              <w:top w:val="nil"/>
              <w:left w:val="nil"/>
              <w:bottom w:val="nil"/>
              <w:right w:val="nil"/>
            </w:tcBorders>
            <w:shd w:val="clear" w:color="auto" w:fill="auto"/>
            <w:noWrap/>
            <w:vAlign w:val="center"/>
            <w:hideMark/>
          </w:tcPr>
          <w:p w14:paraId="7986CFC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-0.009</w:t>
            </w:r>
          </w:p>
        </w:tc>
        <w:tc>
          <w:tcPr>
            <w:tcW w:w="378" w:type="pct"/>
            <w:tcBorders>
              <w:top w:val="nil"/>
              <w:left w:val="nil"/>
              <w:bottom w:val="nil"/>
              <w:right w:val="nil"/>
            </w:tcBorders>
            <w:shd w:val="clear" w:color="auto" w:fill="auto"/>
            <w:noWrap/>
            <w:vAlign w:val="center"/>
            <w:hideMark/>
          </w:tcPr>
          <w:p w14:paraId="43DDFA7B"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379" w:type="pct"/>
            <w:tcBorders>
              <w:top w:val="nil"/>
              <w:left w:val="nil"/>
              <w:bottom w:val="nil"/>
              <w:right w:val="nil"/>
            </w:tcBorders>
            <w:shd w:val="clear" w:color="auto" w:fill="auto"/>
            <w:noWrap/>
            <w:vAlign w:val="center"/>
            <w:hideMark/>
          </w:tcPr>
          <w:p w14:paraId="35DF1DD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380" w:type="pct"/>
            <w:tcBorders>
              <w:top w:val="nil"/>
              <w:left w:val="nil"/>
              <w:bottom w:val="nil"/>
              <w:right w:val="nil"/>
            </w:tcBorders>
            <w:shd w:val="clear" w:color="auto" w:fill="auto"/>
            <w:noWrap/>
            <w:vAlign w:val="center"/>
            <w:hideMark/>
          </w:tcPr>
          <w:p w14:paraId="4B87D2A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80" w:type="pct"/>
            <w:tcBorders>
              <w:top w:val="nil"/>
              <w:left w:val="nil"/>
              <w:bottom w:val="nil"/>
              <w:right w:val="nil"/>
            </w:tcBorders>
            <w:shd w:val="clear" w:color="auto" w:fill="auto"/>
            <w:noWrap/>
            <w:vAlign w:val="center"/>
            <w:hideMark/>
          </w:tcPr>
          <w:p w14:paraId="34A9814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379" w:type="pct"/>
            <w:tcBorders>
              <w:top w:val="nil"/>
              <w:left w:val="nil"/>
              <w:bottom w:val="nil"/>
              <w:right w:val="nil"/>
            </w:tcBorders>
            <w:shd w:val="clear" w:color="auto" w:fill="auto"/>
            <w:noWrap/>
            <w:vAlign w:val="center"/>
            <w:hideMark/>
          </w:tcPr>
          <w:p w14:paraId="65D13923"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c>
          <w:tcPr>
            <w:tcW w:w="382" w:type="pct"/>
            <w:tcBorders>
              <w:top w:val="nil"/>
              <w:left w:val="nil"/>
              <w:bottom w:val="nil"/>
              <w:right w:val="nil"/>
            </w:tcBorders>
            <w:shd w:val="clear" w:color="auto" w:fill="auto"/>
            <w:noWrap/>
            <w:vAlign w:val="center"/>
            <w:hideMark/>
          </w:tcPr>
          <w:p w14:paraId="2689E45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0.030</w:t>
            </w:r>
          </w:p>
        </w:tc>
        <w:tc>
          <w:tcPr>
            <w:tcW w:w="388" w:type="pct"/>
            <w:tcBorders>
              <w:top w:val="nil"/>
              <w:left w:val="nil"/>
              <w:bottom w:val="nil"/>
              <w:right w:val="nil"/>
            </w:tcBorders>
            <w:shd w:val="clear" w:color="auto" w:fill="auto"/>
            <w:noWrap/>
            <w:vAlign w:val="center"/>
            <w:hideMark/>
          </w:tcPr>
          <w:p w14:paraId="13096AF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0.052</w:t>
            </w:r>
          </w:p>
        </w:tc>
        <w:tc>
          <w:tcPr>
            <w:tcW w:w="445" w:type="pct"/>
            <w:tcBorders>
              <w:top w:val="nil"/>
              <w:left w:val="nil"/>
              <w:bottom w:val="nil"/>
              <w:right w:val="nil"/>
            </w:tcBorders>
            <w:shd w:val="clear" w:color="auto" w:fill="auto"/>
            <w:noWrap/>
            <w:vAlign w:val="center"/>
            <w:hideMark/>
          </w:tcPr>
          <w:p w14:paraId="6B588620"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64.9%</w:t>
            </w:r>
          </w:p>
        </w:tc>
      </w:tr>
      <w:tr w:rsidR="00CB42CC" w:rsidRPr="00644FC9" w14:paraId="50FEEF9C" w14:textId="77777777" w:rsidTr="0065482E">
        <w:trPr>
          <w:trHeight w:hRule="exact" w:val="284"/>
        </w:trPr>
        <w:tc>
          <w:tcPr>
            <w:tcW w:w="377" w:type="pct"/>
            <w:shd w:val="clear" w:color="auto" w:fill="auto"/>
            <w:noWrap/>
            <w:vAlign w:val="center"/>
            <w:hideMark/>
          </w:tcPr>
          <w:p w14:paraId="304901CE"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BHARQ</w:t>
            </w:r>
          </w:p>
        </w:tc>
        <w:tc>
          <w:tcPr>
            <w:tcW w:w="378" w:type="pct"/>
            <w:tcBorders>
              <w:top w:val="nil"/>
              <w:left w:val="nil"/>
              <w:bottom w:val="nil"/>
              <w:right w:val="nil"/>
            </w:tcBorders>
            <w:shd w:val="clear" w:color="auto" w:fill="auto"/>
            <w:noWrap/>
            <w:vAlign w:val="center"/>
            <w:hideMark/>
          </w:tcPr>
          <w:p w14:paraId="7BD6FD0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-0.030</w:t>
            </w:r>
          </w:p>
        </w:tc>
        <w:tc>
          <w:tcPr>
            <w:tcW w:w="378" w:type="pct"/>
            <w:tcBorders>
              <w:top w:val="nil"/>
              <w:left w:val="nil"/>
              <w:bottom w:val="nil"/>
              <w:right w:val="nil"/>
            </w:tcBorders>
            <w:shd w:val="clear" w:color="auto" w:fill="auto"/>
            <w:noWrap/>
            <w:vAlign w:val="center"/>
            <w:hideMark/>
          </w:tcPr>
          <w:p w14:paraId="01B5AA1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-0.029</w:t>
            </w:r>
          </w:p>
        </w:tc>
        <w:tc>
          <w:tcPr>
            <w:tcW w:w="378" w:type="pct"/>
            <w:tcBorders>
              <w:top w:val="nil"/>
              <w:left w:val="nil"/>
              <w:bottom w:val="nil"/>
              <w:right w:val="nil"/>
            </w:tcBorders>
            <w:shd w:val="clear" w:color="auto" w:fill="auto"/>
            <w:noWrap/>
            <w:vAlign w:val="center"/>
            <w:hideMark/>
          </w:tcPr>
          <w:p w14:paraId="314A34C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-0.025</w:t>
            </w:r>
          </w:p>
        </w:tc>
        <w:tc>
          <w:tcPr>
            <w:tcW w:w="378" w:type="pct"/>
            <w:tcBorders>
              <w:top w:val="nil"/>
              <w:left w:val="nil"/>
              <w:bottom w:val="nil"/>
              <w:right w:val="nil"/>
            </w:tcBorders>
            <w:shd w:val="clear" w:color="auto" w:fill="auto"/>
            <w:noWrap/>
            <w:vAlign w:val="center"/>
            <w:hideMark/>
          </w:tcPr>
          <w:p w14:paraId="06D69D2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-0.011</w:t>
            </w:r>
          </w:p>
        </w:tc>
        <w:tc>
          <w:tcPr>
            <w:tcW w:w="378" w:type="pct"/>
            <w:tcBorders>
              <w:top w:val="nil"/>
              <w:left w:val="nil"/>
              <w:bottom w:val="nil"/>
              <w:right w:val="nil"/>
            </w:tcBorders>
            <w:shd w:val="clear" w:color="auto" w:fill="auto"/>
            <w:noWrap/>
            <w:vAlign w:val="center"/>
            <w:hideMark/>
          </w:tcPr>
          <w:p w14:paraId="7257546D"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9" w:type="pct"/>
            <w:tcBorders>
              <w:top w:val="nil"/>
              <w:left w:val="nil"/>
              <w:bottom w:val="nil"/>
              <w:right w:val="nil"/>
            </w:tcBorders>
            <w:shd w:val="clear" w:color="auto" w:fill="auto"/>
            <w:noWrap/>
            <w:vAlign w:val="center"/>
            <w:hideMark/>
          </w:tcPr>
          <w:p w14:paraId="1B4EDE73"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80" w:type="pct"/>
            <w:tcBorders>
              <w:top w:val="nil"/>
              <w:left w:val="nil"/>
              <w:bottom w:val="nil"/>
              <w:right w:val="nil"/>
            </w:tcBorders>
            <w:shd w:val="clear" w:color="auto" w:fill="auto"/>
            <w:noWrap/>
            <w:vAlign w:val="center"/>
            <w:hideMark/>
          </w:tcPr>
          <w:p w14:paraId="3BB8973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0.010</w:t>
            </w:r>
          </w:p>
        </w:tc>
        <w:tc>
          <w:tcPr>
            <w:tcW w:w="380" w:type="pct"/>
            <w:tcBorders>
              <w:top w:val="nil"/>
              <w:left w:val="nil"/>
              <w:bottom w:val="nil"/>
              <w:right w:val="nil"/>
            </w:tcBorders>
            <w:shd w:val="clear" w:color="auto" w:fill="auto"/>
            <w:noWrap/>
            <w:vAlign w:val="center"/>
            <w:hideMark/>
          </w:tcPr>
          <w:p w14:paraId="338D6CE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0.023</w:t>
            </w:r>
          </w:p>
        </w:tc>
        <w:tc>
          <w:tcPr>
            <w:tcW w:w="379" w:type="pct"/>
            <w:tcBorders>
              <w:top w:val="nil"/>
              <w:left w:val="nil"/>
              <w:bottom w:val="nil"/>
              <w:right w:val="nil"/>
            </w:tcBorders>
            <w:shd w:val="clear" w:color="auto" w:fill="auto"/>
            <w:noWrap/>
            <w:vAlign w:val="center"/>
            <w:hideMark/>
          </w:tcPr>
          <w:p w14:paraId="53987B1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0.029</w:t>
            </w:r>
          </w:p>
        </w:tc>
        <w:tc>
          <w:tcPr>
            <w:tcW w:w="382" w:type="pct"/>
            <w:tcBorders>
              <w:top w:val="nil"/>
              <w:left w:val="nil"/>
              <w:bottom w:val="nil"/>
              <w:right w:val="nil"/>
            </w:tcBorders>
            <w:shd w:val="clear" w:color="auto" w:fill="auto"/>
            <w:noWrap/>
            <w:vAlign w:val="center"/>
            <w:hideMark/>
          </w:tcPr>
          <w:p w14:paraId="1BB6132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0.050</w:t>
            </w:r>
          </w:p>
        </w:tc>
        <w:tc>
          <w:tcPr>
            <w:tcW w:w="388" w:type="pct"/>
            <w:tcBorders>
              <w:top w:val="nil"/>
              <w:left w:val="nil"/>
              <w:bottom w:val="nil"/>
              <w:right w:val="nil"/>
            </w:tcBorders>
            <w:shd w:val="clear" w:color="auto" w:fill="auto"/>
            <w:noWrap/>
            <w:vAlign w:val="center"/>
            <w:hideMark/>
          </w:tcPr>
          <w:p w14:paraId="33092F5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0.080</w:t>
            </w:r>
          </w:p>
        </w:tc>
        <w:tc>
          <w:tcPr>
            <w:tcW w:w="445" w:type="pct"/>
            <w:tcBorders>
              <w:top w:val="nil"/>
              <w:left w:val="nil"/>
              <w:bottom w:val="nil"/>
              <w:right w:val="nil"/>
            </w:tcBorders>
            <w:shd w:val="clear" w:color="auto" w:fill="auto"/>
            <w:noWrap/>
            <w:vAlign w:val="center"/>
            <w:hideMark/>
          </w:tcPr>
          <w:p w14:paraId="026AA9C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100.0%</w:t>
            </w:r>
          </w:p>
        </w:tc>
      </w:tr>
      <w:tr w:rsidR="00CB42CC" w:rsidRPr="00644FC9" w14:paraId="7717E80C" w14:textId="77777777" w:rsidTr="0065482E">
        <w:trPr>
          <w:trHeight w:hRule="exact" w:val="284"/>
        </w:trPr>
        <w:tc>
          <w:tcPr>
            <w:tcW w:w="5000" w:type="pct"/>
            <w:gridSpan w:val="13"/>
            <w:tcBorders>
              <w:top w:val="single" w:sz="4" w:space="0" w:color="auto"/>
            </w:tcBorders>
            <w:shd w:val="clear" w:color="auto" w:fill="auto"/>
            <w:noWrap/>
            <w:vAlign w:val="center"/>
            <w:hideMark/>
          </w:tcPr>
          <w:p w14:paraId="5F3B0ABD" w14:textId="77777777" w:rsidR="00522EC5" w:rsidRPr="00644FC9" w:rsidRDefault="00522EC5" w:rsidP="0065482E">
            <w:pPr>
              <w:widowControl/>
              <w:adjustRightInd w:val="0"/>
              <w:snapToGrid w:val="0"/>
              <w:rPr>
                <w:rFonts w:ascii="Times New Roman" w:eastAsia="Times New Roman" w:hAnsi="Times New Roman" w:cs="Times New Roman"/>
                <w:color w:val="000000" w:themeColor="text1"/>
                <w:kern w:val="0"/>
                <w:szCs w:val="24"/>
              </w:rPr>
            </w:pPr>
            <w:r w:rsidRPr="00644FC9">
              <w:rPr>
                <w:rFonts w:ascii="Times New Roman" w:eastAsia="Times New Roman" w:hAnsi="Times New Roman" w:cs="Times New Roman"/>
                <w:color w:val="000000" w:themeColor="text1"/>
                <w:kern w:val="0"/>
                <w:szCs w:val="24"/>
              </w:rPr>
              <w:t>Panel B: Mean returns across various portfolios based on the magnitude of unexpected operating income</w:t>
            </w:r>
          </w:p>
        </w:tc>
      </w:tr>
      <w:tr w:rsidR="00CB42CC" w:rsidRPr="00644FC9" w14:paraId="56D5FAB1" w14:textId="77777777" w:rsidTr="0065482E">
        <w:trPr>
          <w:trHeight w:hRule="exact" w:val="284"/>
        </w:trPr>
        <w:tc>
          <w:tcPr>
            <w:tcW w:w="377" w:type="pct"/>
            <w:shd w:val="clear" w:color="auto" w:fill="auto"/>
            <w:noWrap/>
            <w:vAlign w:val="center"/>
          </w:tcPr>
          <w:p w14:paraId="6B2E0A12" w14:textId="77777777" w:rsidR="00522EC5" w:rsidRPr="00644FC9" w:rsidRDefault="00522EC5" w:rsidP="0065482E">
            <w:pPr>
              <w:widowControl/>
              <w:adjustRightInd w:val="0"/>
              <w:snapToGrid w:val="0"/>
              <w:rPr>
                <w:rFonts w:ascii="Times New Roman" w:eastAsia="新細明體" w:hAnsi="Times New Roman" w:cs="Times New Roman"/>
                <w:color w:val="000000" w:themeColor="text1"/>
                <w:kern w:val="0"/>
                <w:szCs w:val="24"/>
              </w:rPr>
            </w:pPr>
          </w:p>
        </w:tc>
        <w:tc>
          <w:tcPr>
            <w:tcW w:w="3790" w:type="pct"/>
            <w:gridSpan w:val="10"/>
            <w:tcBorders>
              <w:bottom w:val="single" w:sz="4" w:space="0" w:color="auto"/>
            </w:tcBorders>
            <w:shd w:val="clear" w:color="auto" w:fill="auto"/>
            <w:noWrap/>
            <w:vAlign w:val="center"/>
          </w:tcPr>
          <w:p w14:paraId="60453C2A"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Unexpected operating income (</w:t>
            </w: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 portfolio</w:t>
            </w:r>
          </w:p>
        </w:tc>
        <w:tc>
          <w:tcPr>
            <w:tcW w:w="388" w:type="pct"/>
            <w:shd w:val="clear" w:color="auto" w:fill="auto"/>
            <w:noWrap/>
            <w:vAlign w:val="center"/>
          </w:tcPr>
          <w:p w14:paraId="5B21F93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 -</w:t>
            </w:r>
          </w:p>
        </w:tc>
        <w:tc>
          <w:tcPr>
            <w:tcW w:w="445" w:type="pct"/>
            <w:shd w:val="clear" w:color="auto" w:fill="auto"/>
            <w:noWrap/>
            <w:vAlign w:val="center"/>
          </w:tcPr>
          <w:p w14:paraId="41618FC9"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r w:rsidRPr="00644FC9">
              <w:rPr>
                <w:rFonts w:ascii="Times New Roman" w:eastAsia="Times New Roman" w:hAnsi="Times New Roman" w:cs="Times New Roman"/>
                <w:color w:val="000000" w:themeColor="text1"/>
                <w:kern w:val="0"/>
                <w:szCs w:val="24"/>
              </w:rPr>
              <w:t>% of 1-Year</w:t>
            </w:r>
          </w:p>
        </w:tc>
      </w:tr>
      <w:tr w:rsidR="00CB42CC" w:rsidRPr="00644FC9" w14:paraId="25E1B326" w14:textId="77777777" w:rsidTr="0065482E">
        <w:trPr>
          <w:trHeight w:hRule="exact" w:val="284"/>
        </w:trPr>
        <w:tc>
          <w:tcPr>
            <w:tcW w:w="377" w:type="pct"/>
            <w:tcBorders>
              <w:bottom w:val="single" w:sz="4" w:space="0" w:color="auto"/>
            </w:tcBorders>
            <w:shd w:val="clear" w:color="auto" w:fill="auto"/>
            <w:noWrap/>
            <w:vAlign w:val="center"/>
          </w:tcPr>
          <w:p w14:paraId="69FF4EFC" w14:textId="77777777" w:rsidR="00522EC5" w:rsidRPr="00644FC9" w:rsidRDefault="00522EC5" w:rsidP="0065482E">
            <w:pPr>
              <w:widowControl/>
              <w:adjustRightInd w:val="0"/>
              <w:snapToGrid w:val="0"/>
              <w:rPr>
                <w:rFonts w:ascii="Times New Roman" w:eastAsia="新細明體" w:hAnsi="Times New Roman" w:cs="Times New Roman"/>
                <w:color w:val="000000" w:themeColor="text1"/>
                <w:kern w:val="0"/>
                <w:szCs w:val="24"/>
              </w:rPr>
            </w:pPr>
          </w:p>
        </w:tc>
        <w:tc>
          <w:tcPr>
            <w:tcW w:w="378" w:type="pct"/>
            <w:tcBorders>
              <w:top w:val="single" w:sz="4" w:space="0" w:color="auto"/>
              <w:left w:val="nil"/>
              <w:bottom w:val="single" w:sz="4" w:space="0" w:color="auto"/>
              <w:right w:val="nil"/>
            </w:tcBorders>
            <w:shd w:val="clear" w:color="auto" w:fill="auto"/>
            <w:noWrap/>
            <w:vAlign w:val="center"/>
          </w:tcPr>
          <w:p w14:paraId="02860EF7"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Lowest</w:t>
            </w:r>
          </w:p>
        </w:tc>
        <w:tc>
          <w:tcPr>
            <w:tcW w:w="378" w:type="pct"/>
            <w:tcBorders>
              <w:top w:val="single" w:sz="4" w:space="0" w:color="auto"/>
              <w:left w:val="nil"/>
              <w:bottom w:val="single" w:sz="4" w:space="0" w:color="auto"/>
              <w:right w:val="nil"/>
            </w:tcBorders>
            <w:shd w:val="clear" w:color="auto" w:fill="auto"/>
            <w:noWrap/>
            <w:vAlign w:val="center"/>
          </w:tcPr>
          <w:p w14:paraId="6BF8BF0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w:t>
            </w:r>
          </w:p>
        </w:tc>
        <w:tc>
          <w:tcPr>
            <w:tcW w:w="378" w:type="pct"/>
            <w:tcBorders>
              <w:top w:val="single" w:sz="4" w:space="0" w:color="auto"/>
              <w:left w:val="nil"/>
              <w:bottom w:val="single" w:sz="4" w:space="0" w:color="auto"/>
              <w:right w:val="nil"/>
            </w:tcBorders>
            <w:shd w:val="clear" w:color="auto" w:fill="auto"/>
            <w:noWrap/>
            <w:vAlign w:val="center"/>
          </w:tcPr>
          <w:p w14:paraId="40C5F45F"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3</w:t>
            </w:r>
          </w:p>
        </w:tc>
        <w:tc>
          <w:tcPr>
            <w:tcW w:w="378" w:type="pct"/>
            <w:tcBorders>
              <w:top w:val="single" w:sz="4" w:space="0" w:color="auto"/>
              <w:left w:val="nil"/>
              <w:bottom w:val="single" w:sz="4" w:space="0" w:color="auto"/>
              <w:right w:val="nil"/>
            </w:tcBorders>
            <w:shd w:val="clear" w:color="auto" w:fill="auto"/>
            <w:noWrap/>
            <w:vAlign w:val="center"/>
          </w:tcPr>
          <w:p w14:paraId="053CB629"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4</w:t>
            </w:r>
          </w:p>
        </w:tc>
        <w:tc>
          <w:tcPr>
            <w:tcW w:w="378" w:type="pct"/>
            <w:tcBorders>
              <w:top w:val="single" w:sz="4" w:space="0" w:color="auto"/>
              <w:left w:val="nil"/>
              <w:bottom w:val="single" w:sz="4" w:space="0" w:color="auto"/>
              <w:right w:val="nil"/>
            </w:tcBorders>
            <w:shd w:val="clear" w:color="auto" w:fill="auto"/>
            <w:noWrap/>
            <w:vAlign w:val="center"/>
          </w:tcPr>
          <w:p w14:paraId="0524E79D"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5</w:t>
            </w:r>
          </w:p>
        </w:tc>
        <w:tc>
          <w:tcPr>
            <w:tcW w:w="379" w:type="pct"/>
            <w:tcBorders>
              <w:top w:val="single" w:sz="4" w:space="0" w:color="auto"/>
              <w:left w:val="nil"/>
              <w:bottom w:val="single" w:sz="4" w:space="0" w:color="auto"/>
              <w:right w:val="nil"/>
            </w:tcBorders>
            <w:shd w:val="clear" w:color="auto" w:fill="auto"/>
            <w:noWrap/>
            <w:vAlign w:val="center"/>
          </w:tcPr>
          <w:p w14:paraId="73D625A8"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w:t>
            </w:r>
          </w:p>
        </w:tc>
        <w:tc>
          <w:tcPr>
            <w:tcW w:w="380" w:type="pct"/>
            <w:tcBorders>
              <w:top w:val="single" w:sz="4" w:space="0" w:color="auto"/>
              <w:left w:val="nil"/>
              <w:bottom w:val="single" w:sz="4" w:space="0" w:color="auto"/>
              <w:right w:val="nil"/>
            </w:tcBorders>
            <w:shd w:val="clear" w:color="auto" w:fill="auto"/>
            <w:noWrap/>
            <w:vAlign w:val="center"/>
          </w:tcPr>
          <w:p w14:paraId="796FA40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7</w:t>
            </w:r>
          </w:p>
        </w:tc>
        <w:tc>
          <w:tcPr>
            <w:tcW w:w="380" w:type="pct"/>
            <w:tcBorders>
              <w:top w:val="single" w:sz="4" w:space="0" w:color="auto"/>
              <w:left w:val="nil"/>
              <w:bottom w:val="single" w:sz="4" w:space="0" w:color="auto"/>
              <w:right w:val="nil"/>
            </w:tcBorders>
            <w:shd w:val="clear" w:color="auto" w:fill="auto"/>
            <w:noWrap/>
            <w:vAlign w:val="center"/>
          </w:tcPr>
          <w:p w14:paraId="4AF38B8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8</w:t>
            </w:r>
          </w:p>
        </w:tc>
        <w:tc>
          <w:tcPr>
            <w:tcW w:w="379" w:type="pct"/>
            <w:tcBorders>
              <w:top w:val="single" w:sz="4" w:space="0" w:color="auto"/>
              <w:left w:val="nil"/>
              <w:bottom w:val="single" w:sz="4" w:space="0" w:color="auto"/>
              <w:right w:val="nil"/>
            </w:tcBorders>
            <w:shd w:val="clear" w:color="auto" w:fill="auto"/>
            <w:noWrap/>
            <w:vAlign w:val="center"/>
          </w:tcPr>
          <w:p w14:paraId="7C3BEFA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9</w:t>
            </w:r>
          </w:p>
        </w:tc>
        <w:tc>
          <w:tcPr>
            <w:tcW w:w="382" w:type="pct"/>
            <w:tcBorders>
              <w:top w:val="single" w:sz="4" w:space="0" w:color="auto"/>
              <w:left w:val="nil"/>
              <w:bottom w:val="single" w:sz="4" w:space="0" w:color="auto"/>
              <w:right w:val="nil"/>
            </w:tcBorders>
            <w:shd w:val="clear" w:color="auto" w:fill="auto"/>
            <w:noWrap/>
            <w:vAlign w:val="center"/>
          </w:tcPr>
          <w:p w14:paraId="22653242"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w:t>
            </w:r>
          </w:p>
        </w:tc>
        <w:tc>
          <w:tcPr>
            <w:tcW w:w="388" w:type="pct"/>
            <w:tcBorders>
              <w:bottom w:val="single" w:sz="4" w:space="0" w:color="auto"/>
            </w:tcBorders>
            <w:shd w:val="clear" w:color="auto" w:fill="auto"/>
            <w:noWrap/>
          </w:tcPr>
          <w:p w14:paraId="1F45D323"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eastAsia="標楷體" w:hAnsi="Times New Roman" w:cs="Times New Roman"/>
                <w:color w:val="000000" w:themeColor="text1"/>
                <w:kern w:val="0"/>
                <w:szCs w:val="24"/>
              </w:rPr>
              <w:t>Lowest</w:t>
            </w:r>
          </w:p>
        </w:tc>
        <w:tc>
          <w:tcPr>
            <w:tcW w:w="445" w:type="pct"/>
            <w:tcBorders>
              <w:bottom w:val="single" w:sz="4" w:space="0" w:color="auto"/>
            </w:tcBorders>
            <w:shd w:val="clear" w:color="auto" w:fill="auto"/>
            <w:noWrap/>
          </w:tcPr>
          <w:p w14:paraId="54C1B24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Return</w:t>
            </w:r>
          </w:p>
        </w:tc>
      </w:tr>
      <w:tr w:rsidR="00CB42CC" w:rsidRPr="00644FC9" w14:paraId="2ADD34CE" w14:textId="77777777" w:rsidTr="0065482E">
        <w:trPr>
          <w:trHeight w:hRule="exact" w:val="284"/>
        </w:trPr>
        <w:tc>
          <w:tcPr>
            <w:tcW w:w="377" w:type="pct"/>
            <w:tcBorders>
              <w:top w:val="single" w:sz="4" w:space="0" w:color="auto"/>
            </w:tcBorders>
            <w:shd w:val="clear" w:color="auto" w:fill="auto"/>
            <w:noWrap/>
            <w:vAlign w:val="center"/>
            <w:hideMark/>
          </w:tcPr>
          <w:p w14:paraId="5EA292B8"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UOI</w:t>
            </w:r>
          </w:p>
        </w:tc>
        <w:tc>
          <w:tcPr>
            <w:tcW w:w="378" w:type="pct"/>
            <w:tcBorders>
              <w:top w:val="nil"/>
              <w:left w:val="nil"/>
              <w:bottom w:val="nil"/>
              <w:right w:val="nil"/>
            </w:tcBorders>
            <w:shd w:val="clear" w:color="auto" w:fill="auto"/>
            <w:noWrap/>
            <w:vAlign w:val="center"/>
            <w:hideMark/>
          </w:tcPr>
          <w:p w14:paraId="1DE3757C" w14:textId="77777777" w:rsidR="00522EC5" w:rsidRPr="00644FC9" w:rsidRDefault="00522EC5" w:rsidP="0065482E">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-0.068</w:t>
            </w:r>
          </w:p>
        </w:tc>
        <w:tc>
          <w:tcPr>
            <w:tcW w:w="378" w:type="pct"/>
            <w:tcBorders>
              <w:top w:val="nil"/>
              <w:left w:val="nil"/>
              <w:bottom w:val="nil"/>
              <w:right w:val="nil"/>
            </w:tcBorders>
            <w:shd w:val="clear" w:color="auto" w:fill="auto"/>
            <w:noWrap/>
            <w:vAlign w:val="center"/>
            <w:hideMark/>
          </w:tcPr>
          <w:p w14:paraId="3A1EEB5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c>
          <w:tcPr>
            <w:tcW w:w="378" w:type="pct"/>
            <w:tcBorders>
              <w:top w:val="nil"/>
              <w:left w:val="nil"/>
              <w:bottom w:val="nil"/>
              <w:right w:val="nil"/>
            </w:tcBorders>
            <w:shd w:val="clear" w:color="auto" w:fill="auto"/>
            <w:noWrap/>
            <w:vAlign w:val="center"/>
            <w:hideMark/>
          </w:tcPr>
          <w:p w14:paraId="4F36510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-0.010</w:t>
            </w:r>
          </w:p>
        </w:tc>
        <w:tc>
          <w:tcPr>
            <w:tcW w:w="378" w:type="pct"/>
            <w:tcBorders>
              <w:top w:val="nil"/>
              <w:left w:val="nil"/>
              <w:bottom w:val="nil"/>
              <w:right w:val="nil"/>
            </w:tcBorders>
            <w:shd w:val="clear" w:color="auto" w:fill="auto"/>
            <w:noWrap/>
            <w:vAlign w:val="center"/>
            <w:hideMark/>
          </w:tcPr>
          <w:p w14:paraId="71CF41C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78" w:type="pct"/>
            <w:tcBorders>
              <w:top w:val="nil"/>
              <w:left w:val="nil"/>
              <w:bottom w:val="nil"/>
              <w:right w:val="nil"/>
            </w:tcBorders>
            <w:shd w:val="clear" w:color="auto" w:fill="auto"/>
            <w:noWrap/>
            <w:vAlign w:val="center"/>
            <w:hideMark/>
          </w:tcPr>
          <w:p w14:paraId="371B26A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bottom w:val="nil"/>
              <w:right w:val="nil"/>
            </w:tcBorders>
            <w:shd w:val="clear" w:color="auto" w:fill="auto"/>
            <w:noWrap/>
            <w:vAlign w:val="center"/>
            <w:hideMark/>
          </w:tcPr>
          <w:p w14:paraId="27A72A9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80" w:type="pct"/>
            <w:tcBorders>
              <w:top w:val="nil"/>
              <w:left w:val="nil"/>
              <w:bottom w:val="nil"/>
              <w:right w:val="nil"/>
            </w:tcBorders>
            <w:shd w:val="clear" w:color="auto" w:fill="auto"/>
            <w:noWrap/>
            <w:vAlign w:val="center"/>
            <w:hideMark/>
          </w:tcPr>
          <w:p w14:paraId="5319ACB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80" w:type="pct"/>
            <w:tcBorders>
              <w:top w:val="nil"/>
              <w:left w:val="nil"/>
              <w:bottom w:val="nil"/>
              <w:right w:val="nil"/>
            </w:tcBorders>
            <w:shd w:val="clear" w:color="auto" w:fill="auto"/>
            <w:noWrap/>
            <w:vAlign w:val="center"/>
            <w:hideMark/>
          </w:tcPr>
          <w:p w14:paraId="1B0485E3"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379" w:type="pct"/>
            <w:tcBorders>
              <w:top w:val="nil"/>
              <w:left w:val="nil"/>
              <w:bottom w:val="nil"/>
              <w:right w:val="nil"/>
            </w:tcBorders>
            <w:shd w:val="clear" w:color="auto" w:fill="auto"/>
            <w:noWrap/>
            <w:vAlign w:val="center"/>
            <w:hideMark/>
          </w:tcPr>
          <w:p w14:paraId="179103E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0.022</w:t>
            </w:r>
          </w:p>
        </w:tc>
        <w:tc>
          <w:tcPr>
            <w:tcW w:w="382" w:type="pct"/>
            <w:tcBorders>
              <w:top w:val="nil"/>
              <w:left w:val="nil"/>
              <w:bottom w:val="nil"/>
              <w:right w:val="nil"/>
            </w:tcBorders>
            <w:shd w:val="clear" w:color="auto" w:fill="auto"/>
            <w:noWrap/>
            <w:vAlign w:val="center"/>
            <w:hideMark/>
          </w:tcPr>
          <w:p w14:paraId="31503FE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0.067</w:t>
            </w:r>
          </w:p>
        </w:tc>
        <w:tc>
          <w:tcPr>
            <w:tcW w:w="388" w:type="pct"/>
            <w:tcBorders>
              <w:top w:val="single" w:sz="4" w:space="0" w:color="auto"/>
            </w:tcBorders>
            <w:shd w:val="clear" w:color="auto" w:fill="auto"/>
            <w:noWrap/>
            <w:vAlign w:val="center"/>
            <w:hideMark/>
          </w:tcPr>
          <w:p w14:paraId="6EAFC86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tcBorders>
              <w:top w:val="single" w:sz="4" w:space="0" w:color="auto"/>
            </w:tcBorders>
            <w:shd w:val="clear" w:color="auto" w:fill="auto"/>
            <w:noWrap/>
            <w:vAlign w:val="center"/>
            <w:hideMark/>
          </w:tcPr>
          <w:p w14:paraId="68A8B2B8"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0DAEEEA4" w14:textId="77777777" w:rsidTr="0065482E">
        <w:trPr>
          <w:trHeight w:hRule="exact" w:val="284"/>
        </w:trPr>
        <w:tc>
          <w:tcPr>
            <w:tcW w:w="377" w:type="pct"/>
            <w:shd w:val="clear" w:color="auto" w:fill="auto"/>
            <w:noWrap/>
            <w:vAlign w:val="center"/>
          </w:tcPr>
          <w:p w14:paraId="033F9543"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p>
        </w:tc>
        <w:tc>
          <w:tcPr>
            <w:tcW w:w="378" w:type="pct"/>
            <w:shd w:val="clear" w:color="auto" w:fill="auto"/>
            <w:noWrap/>
            <w:vAlign w:val="center"/>
          </w:tcPr>
          <w:p w14:paraId="394DD75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7A4A5688"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10E685E9"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76AC01B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3FCA29D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9" w:type="pct"/>
            <w:shd w:val="clear" w:color="auto" w:fill="auto"/>
            <w:noWrap/>
            <w:vAlign w:val="center"/>
          </w:tcPr>
          <w:p w14:paraId="49B4C43F"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0" w:type="pct"/>
            <w:shd w:val="clear" w:color="auto" w:fill="auto"/>
            <w:noWrap/>
            <w:vAlign w:val="center"/>
          </w:tcPr>
          <w:p w14:paraId="36D9913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0" w:type="pct"/>
            <w:shd w:val="clear" w:color="auto" w:fill="auto"/>
            <w:noWrap/>
            <w:vAlign w:val="center"/>
          </w:tcPr>
          <w:p w14:paraId="53A5774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9" w:type="pct"/>
            <w:shd w:val="clear" w:color="auto" w:fill="auto"/>
            <w:noWrap/>
            <w:vAlign w:val="center"/>
          </w:tcPr>
          <w:p w14:paraId="0DDE89E9"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2" w:type="pct"/>
            <w:shd w:val="clear" w:color="auto" w:fill="auto"/>
            <w:noWrap/>
            <w:vAlign w:val="center"/>
          </w:tcPr>
          <w:p w14:paraId="2D5D6751"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8" w:type="pct"/>
            <w:shd w:val="clear" w:color="auto" w:fill="auto"/>
            <w:noWrap/>
            <w:vAlign w:val="center"/>
            <w:hideMark/>
          </w:tcPr>
          <w:p w14:paraId="735166B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shd w:val="clear" w:color="auto" w:fill="auto"/>
            <w:noWrap/>
            <w:vAlign w:val="center"/>
            <w:hideMark/>
          </w:tcPr>
          <w:p w14:paraId="14DD6D18"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5D32BCDD" w14:textId="77777777" w:rsidTr="0065482E">
        <w:trPr>
          <w:trHeight w:hRule="exact" w:val="284"/>
        </w:trPr>
        <w:tc>
          <w:tcPr>
            <w:tcW w:w="377" w:type="pct"/>
            <w:shd w:val="clear" w:color="auto" w:fill="auto"/>
            <w:noWrap/>
            <w:hideMark/>
          </w:tcPr>
          <w:p w14:paraId="0B05B08B" w14:textId="77777777" w:rsidR="00522EC5" w:rsidRPr="00644FC9" w:rsidRDefault="00522EC5" w:rsidP="0065482E">
            <w:pPr>
              <w:adjustRightInd w:val="0"/>
              <w:snapToGrid w:val="0"/>
              <w:rPr>
                <w:rFonts w:ascii="Times New Roman" w:hAnsi="Times New Roman" w:cs="Times New Roman"/>
                <w:i/>
                <w:color w:val="000000" w:themeColor="text1"/>
                <w:szCs w:val="24"/>
              </w:rPr>
            </w:pPr>
            <w:r w:rsidRPr="00644FC9">
              <w:rPr>
                <w:rFonts w:ascii="Times New Roman" w:hAnsi="Times New Roman" w:cs="Times New Roman"/>
                <w:i/>
                <w:color w:val="000000" w:themeColor="text1"/>
                <w:szCs w:val="24"/>
              </w:rPr>
              <w:t>BHAR5</w:t>
            </w:r>
          </w:p>
        </w:tc>
        <w:tc>
          <w:tcPr>
            <w:tcW w:w="378" w:type="pct"/>
            <w:tcBorders>
              <w:top w:val="nil"/>
              <w:left w:val="nil"/>
              <w:bottom w:val="nil"/>
              <w:right w:val="nil"/>
            </w:tcBorders>
            <w:shd w:val="clear" w:color="auto" w:fill="auto"/>
            <w:noWrap/>
            <w:vAlign w:val="center"/>
            <w:hideMark/>
          </w:tcPr>
          <w:p w14:paraId="7452895A" w14:textId="77777777" w:rsidR="00522EC5" w:rsidRPr="00644FC9" w:rsidRDefault="00522EC5" w:rsidP="0065482E">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-0.016</w:t>
            </w:r>
          </w:p>
        </w:tc>
        <w:tc>
          <w:tcPr>
            <w:tcW w:w="378" w:type="pct"/>
            <w:tcBorders>
              <w:top w:val="nil"/>
              <w:left w:val="nil"/>
              <w:bottom w:val="nil"/>
              <w:right w:val="nil"/>
            </w:tcBorders>
            <w:shd w:val="clear" w:color="auto" w:fill="auto"/>
            <w:noWrap/>
            <w:vAlign w:val="center"/>
            <w:hideMark/>
          </w:tcPr>
          <w:p w14:paraId="1D6C3F2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378" w:type="pct"/>
            <w:tcBorders>
              <w:top w:val="nil"/>
              <w:left w:val="nil"/>
              <w:bottom w:val="nil"/>
              <w:right w:val="nil"/>
            </w:tcBorders>
            <w:shd w:val="clear" w:color="auto" w:fill="auto"/>
            <w:noWrap/>
            <w:vAlign w:val="center"/>
            <w:hideMark/>
          </w:tcPr>
          <w:p w14:paraId="5CBE8B2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78" w:type="pct"/>
            <w:tcBorders>
              <w:top w:val="nil"/>
              <w:left w:val="nil"/>
              <w:bottom w:val="nil"/>
              <w:right w:val="nil"/>
            </w:tcBorders>
            <w:shd w:val="clear" w:color="auto" w:fill="auto"/>
            <w:noWrap/>
            <w:vAlign w:val="center"/>
            <w:hideMark/>
          </w:tcPr>
          <w:p w14:paraId="14ED8A40"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378" w:type="pct"/>
            <w:tcBorders>
              <w:top w:val="nil"/>
              <w:left w:val="nil"/>
              <w:bottom w:val="nil"/>
              <w:right w:val="nil"/>
            </w:tcBorders>
            <w:shd w:val="clear" w:color="auto" w:fill="auto"/>
            <w:noWrap/>
            <w:vAlign w:val="center"/>
            <w:hideMark/>
          </w:tcPr>
          <w:p w14:paraId="77DD715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79" w:type="pct"/>
            <w:tcBorders>
              <w:top w:val="nil"/>
              <w:left w:val="nil"/>
              <w:bottom w:val="nil"/>
              <w:right w:val="nil"/>
            </w:tcBorders>
            <w:shd w:val="clear" w:color="auto" w:fill="auto"/>
            <w:noWrap/>
            <w:vAlign w:val="center"/>
            <w:hideMark/>
          </w:tcPr>
          <w:p w14:paraId="0553253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80" w:type="pct"/>
            <w:tcBorders>
              <w:top w:val="nil"/>
              <w:left w:val="nil"/>
              <w:bottom w:val="nil"/>
              <w:right w:val="nil"/>
            </w:tcBorders>
            <w:shd w:val="clear" w:color="auto" w:fill="auto"/>
            <w:noWrap/>
            <w:vAlign w:val="center"/>
            <w:hideMark/>
          </w:tcPr>
          <w:p w14:paraId="61C7E22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380" w:type="pct"/>
            <w:tcBorders>
              <w:top w:val="nil"/>
              <w:left w:val="nil"/>
              <w:bottom w:val="nil"/>
              <w:right w:val="nil"/>
            </w:tcBorders>
            <w:shd w:val="clear" w:color="auto" w:fill="auto"/>
            <w:noWrap/>
            <w:vAlign w:val="center"/>
            <w:hideMark/>
          </w:tcPr>
          <w:p w14:paraId="4C3B17C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79" w:type="pct"/>
            <w:tcBorders>
              <w:top w:val="nil"/>
              <w:left w:val="nil"/>
              <w:bottom w:val="nil"/>
              <w:right w:val="nil"/>
            </w:tcBorders>
            <w:shd w:val="clear" w:color="auto" w:fill="auto"/>
            <w:noWrap/>
            <w:vAlign w:val="center"/>
            <w:hideMark/>
          </w:tcPr>
          <w:p w14:paraId="120D116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0.009</w:t>
            </w:r>
          </w:p>
        </w:tc>
        <w:tc>
          <w:tcPr>
            <w:tcW w:w="382" w:type="pct"/>
            <w:tcBorders>
              <w:top w:val="nil"/>
              <w:left w:val="nil"/>
              <w:bottom w:val="nil"/>
              <w:right w:val="nil"/>
            </w:tcBorders>
            <w:shd w:val="clear" w:color="auto" w:fill="auto"/>
            <w:noWrap/>
            <w:vAlign w:val="center"/>
            <w:hideMark/>
          </w:tcPr>
          <w:p w14:paraId="1A62696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0.016</w:t>
            </w:r>
          </w:p>
        </w:tc>
        <w:tc>
          <w:tcPr>
            <w:tcW w:w="388" w:type="pct"/>
            <w:tcBorders>
              <w:top w:val="nil"/>
              <w:left w:val="nil"/>
              <w:bottom w:val="nil"/>
              <w:right w:val="nil"/>
            </w:tcBorders>
            <w:shd w:val="clear" w:color="auto" w:fill="auto"/>
            <w:noWrap/>
            <w:vAlign w:val="center"/>
            <w:hideMark/>
          </w:tcPr>
          <w:p w14:paraId="4C724FF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0.032</w:t>
            </w:r>
          </w:p>
        </w:tc>
        <w:tc>
          <w:tcPr>
            <w:tcW w:w="445" w:type="pct"/>
            <w:tcBorders>
              <w:top w:val="nil"/>
              <w:left w:val="nil"/>
              <w:bottom w:val="nil"/>
              <w:right w:val="nil"/>
            </w:tcBorders>
            <w:shd w:val="clear" w:color="auto" w:fill="auto"/>
            <w:noWrap/>
            <w:vAlign w:val="center"/>
            <w:hideMark/>
          </w:tcPr>
          <w:p w14:paraId="58735FE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43.0%</w:t>
            </w:r>
          </w:p>
        </w:tc>
      </w:tr>
      <w:tr w:rsidR="00CB42CC" w:rsidRPr="00644FC9" w14:paraId="132CE952" w14:textId="77777777" w:rsidTr="0065482E">
        <w:trPr>
          <w:trHeight w:hRule="exact" w:val="284"/>
        </w:trPr>
        <w:tc>
          <w:tcPr>
            <w:tcW w:w="377" w:type="pct"/>
            <w:shd w:val="clear" w:color="auto" w:fill="auto"/>
            <w:noWrap/>
            <w:hideMark/>
          </w:tcPr>
          <w:p w14:paraId="7E8460F8" w14:textId="77777777" w:rsidR="00522EC5" w:rsidRPr="00644FC9" w:rsidRDefault="00522EC5" w:rsidP="0065482E">
            <w:pPr>
              <w:adjustRightInd w:val="0"/>
              <w:snapToGrid w:val="0"/>
              <w:rPr>
                <w:rFonts w:ascii="Times New Roman" w:hAnsi="Times New Roman" w:cs="Times New Roman"/>
                <w:i/>
                <w:color w:val="000000" w:themeColor="text1"/>
                <w:szCs w:val="24"/>
              </w:rPr>
            </w:pPr>
            <w:r w:rsidRPr="00644FC9">
              <w:rPr>
                <w:rFonts w:ascii="Times New Roman" w:hAnsi="Times New Roman" w:cs="Times New Roman"/>
                <w:i/>
                <w:color w:val="000000" w:themeColor="text1"/>
                <w:szCs w:val="24"/>
              </w:rPr>
              <w:t>BHAR21</w:t>
            </w:r>
          </w:p>
        </w:tc>
        <w:tc>
          <w:tcPr>
            <w:tcW w:w="378" w:type="pct"/>
            <w:tcBorders>
              <w:top w:val="nil"/>
              <w:left w:val="nil"/>
              <w:bottom w:val="nil"/>
              <w:right w:val="nil"/>
            </w:tcBorders>
            <w:shd w:val="clear" w:color="auto" w:fill="auto"/>
            <w:noWrap/>
            <w:vAlign w:val="center"/>
            <w:hideMark/>
          </w:tcPr>
          <w:p w14:paraId="3788FF8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-0.020</w:t>
            </w:r>
          </w:p>
        </w:tc>
        <w:tc>
          <w:tcPr>
            <w:tcW w:w="378" w:type="pct"/>
            <w:tcBorders>
              <w:top w:val="nil"/>
              <w:left w:val="nil"/>
              <w:bottom w:val="nil"/>
              <w:right w:val="nil"/>
            </w:tcBorders>
            <w:shd w:val="clear" w:color="auto" w:fill="auto"/>
            <w:noWrap/>
            <w:vAlign w:val="center"/>
            <w:hideMark/>
          </w:tcPr>
          <w:p w14:paraId="1DBEE9FB"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-0.013</w:t>
            </w:r>
          </w:p>
        </w:tc>
        <w:tc>
          <w:tcPr>
            <w:tcW w:w="378" w:type="pct"/>
            <w:tcBorders>
              <w:top w:val="nil"/>
              <w:left w:val="nil"/>
              <w:bottom w:val="nil"/>
              <w:right w:val="nil"/>
            </w:tcBorders>
            <w:shd w:val="clear" w:color="auto" w:fill="auto"/>
            <w:noWrap/>
            <w:vAlign w:val="center"/>
            <w:hideMark/>
          </w:tcPr>
          <w:p w14:paraId="40230E2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-0.013</w:t>
            </w:r>
          </w:p>
        </w:tc>
        <w:tc>
          <w:tcPr>
            <w:tcW w:w="378" w:type="pct"/>
            <w:tcBorders>
              <w:top w:val="nil"/>
              <w:left w:val="nil"/>
              <w:bottom w:val="nil"/>
              <w:right w:val="nil"/>
            </w:tcBorders>
            <w:shd w:val="clear" w:color="auto" w:fill="auto"/>
            <w:noWrap/>
            <w:vAlign w:val="center"/>
            <w:hideMark/>
          </w:tcPr>
          <w:p w14:paraId="1BE31BC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-0.008</w:t>
            </w:r>
          </w:p>
        </w:tc>
        <w:tc>
          <w:tcPr>
            <w:tcW w:w="378" w:type="pct"/>
            <w:tcBorders>
              <w:top w:val="nil"/>
              <w:left w:val="nil"/>
              <w:bottom w:val="nil"/>
              <w:right w:val="nil"/>
            </w:tcBorders>
            <w:shd w:val="clear" w:color="auto" w:fill="auto"/>
            <w:noWrap/>
            <w:vAlign w:val="center"/>
            <w:hideMark/>
          </w:tcPr>
          <w:p w14:paraId="72AD75C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79" w:type="pct"/>
            <w:tcBorders>
              <w:top w:val="nil"/>
              <w:left w:val="nil"/>
              <w:bottom w:val="nil"/>
              <w:right w:val="nil"/>
            </w:tcBorders>
            <w:shd w:val="clear" w:color="auto" w:fill="auto"/>
            <w:noWrap/>
            <w:vAlign w:val="center"/>
            <w:hideMark/>
          </w:tcPr>
          <w:p w14:paraId="038D823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80" w:type="pct"/>
            <w:tcBorders>
              <w:top w:val="nil"/>
              <w:left w:val="nil"/>
              <w:bottom w:val="nil"/>
              <w:right w:val="nil"/>
            </w:tcBorders>
            <w:shd w:val="clear" w:color="auto" w:fill="auto"/>
            <w:noWrap/>
            <w:vAlign w:val="center"/>
            <w:hideMark/>
          </w:tcPr>
          <w:p w14:paraId="66C8F66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80" w:type="pct"/>
            <w:tcBorders>
              <w:top w:val="nil"/>
              <w:left w:val="nil"/>
              <w:bottom w:val="nil"/>
              <w:right w:val="nil"/>
            </w:tcBorders>
            <w:shd w:val="clear" w:color="auto" w:fill="auto"/>
            <w:noWrap/>
            <w:vAlign w:val="center"/>
            <w:hideMark/>
          </w:tcPr>
          <w:p w14:paraId="46A1D4BD"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9" w:type="pct"/>
            <w:tcBorders>
              <w:top w:val="nil"/>
              <w:left w:val="nil"/>
              <w:bottom w:val="nil"/>
              <w:right w:val="nil"/>
            </w:tcBorders>
            <w:shd w:val="clear" w:color="auto" w:fill="auto"/>
            <w:noWrap/>
            <w:vAlign w:val="center"/>
            <w:hideMark/>
          </w:tcPr>
          <w:p w14:paraId="496B322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0.014</w:t>
            </w:r>
          </w:p>
        </w:tc>
        <w:tc>
          <w:tcPr>
            <w:tcW w:w="382" w:type="pct"/>
            <w:tcBorders>
              <w:top w:val="nil"/>
              <w:left w:val="nil"/>
              <w:bottom w:val="nil"/>
              <w:right w:val="nil"/>
            </w:tcBorders>
            <w:shd w:val="clear" w:color="auto" w:fill="auto"/>
            <w:noWrap/>
            <w:vAlign w:val="center"/>
            <w:hideMark/>
          </w:tcPr>
          <w:p w14:paraId="306FAD5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0.026</w:t>
            </w:r>
          </w:p>
        </w:tc>
        <w:tc>
          <w:tcPr>
            <w:tcW w:w="388" w:type="pct"/>
            <w:tcBorders>
              <w:top w:val="nil"/>
              <w:left w:val="nil"/>
              <w:bottom w:val="nil"/>
              <w:right w:val="nil"/>
            </w:tcBorders>
            <w:shd w:val="clear" w:color="auto" w:fill="auto"/>
            <w:noWrap/>
            <w:vAlign w:val="center"/>
            <w:hideMark/>
          </w:tcPr>
          <w:p w14:paraId="47593AF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0.046</w:t>
            </w:r>
          </w:p>
        </w:tc>
        <w:tc>
          <w:tcPr>
            <w:tcW w:w="445" w:type="pct"/>
            <w:tcBorders>
              <w:top w:val="nil"/>
              <w:left w:val="nil"/>
              <w:bottom w:val="nil"/>
              <w:right w:val="nil"/>
            </w:tcBorders>
            <w:shd w:val="clear" w:color="auto" w:fill="auto"/>
            <w:noWrap/>
            <w:vAlign w:val="center"/>
            <w:hideMark/>
          </w:tcPr>
          <w:p w14:paraId="45381290"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62.3%</w:t>
            </w:r>
          </w:p>
        </w:tc>
      </w:tr>
      <w:tr w:rsidR="00CB42CC" w:rsidRPr="00644FC9" w14:paraId="5170B792" w14:textId="77777777" w:rsidTr="0065482E">
        <w:trPr>
          <w:trHeight w:hRule="exact" w:val="284"/>
        </w:trPr>
        <w:tc>
          <w:tcPr>
            <w:tcW w:w="377" w:type="pct"/>
            <w:shd w:val="clear" w:color="auto" w:fill="auto"/>
            <w:noWrap/>
            <w:hideMark/>
          </w:tcPr>
          <w:p w14:paraId="3CFF9B72" w14:textId="77777777" w:rsidR="00522EC5" w:rsidRPr="00644FC9" w:rsidRDefault="00522EC5" w:rsidP="0065482E">
            <w:pPr>
              <w:adjustRightInd w:val="0"/>
              <w:snapToGrid w:val="0"/>
              <w:rPr>
                <w:rFonts w:ascii="Times New Roman" w:hAnsi="Times New Roman" w:cs="Times New Roman"/>
                <w:i/>
                <w:color w:val="000000" w:themeColor="text1"/>
                <w:szCs w:val="24"/>
              </w:rPr>
            </w:pPr>
            <w:r w:rsidRPr="00644FC9">
              <w:rPr>
                <w:rFonts w:ascii="Times New Roman" w:hAnsi="Times New Roman" w:cs="Times New Roman"/>
                <w:i/>
                <w:color w:val="000000" w:themeColor="text1"/>
                <w:szCs w:val="24"/>
              </w:rPr>
              <w:t>BHARQ</w:t>
            </w:r>
          </w:p>
        </w:tc>
        <w:tc>
          <w:tcPr>
            <w:tcW w:w="378" w:type="pct"/>
            <w:tcBorders>
              <w:top w:val="nil"/>
              <w:left w:val="nil"/>
              <w:bottom w:val="nil"/>
              <w:right w:val="nil"/>
            </w:tcBorders>
            <w:shd w:val="clear" w:color="auto" w:fill="auto"/>
            <w:noWrap/>
            <w:vAlign w:val="center"/>
            <w:hideMark/>
          </w:tcPr>
          <w:p w14:paraId="34FB482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-0.028</w:t>
            </w:r>
          </w:p>
        </w:tc>
        <w:tc>
          <w:tcPr>
            <w:tcW w:w="378" w:type="pct"/>
            <w:tcBorders>
              <w:top w:val="nil"/>
              <w:left w:val="nil"/>
              <w:bottom w:val="nil"/>
              <w:right w:val="nil"/>
            </w:tcBorders>
            <w:shd w:val="clear" w:color="auto" w:fill="auto"/>
            <w:noWrap/>
            <w:vAlign w:val="center"/>
            <w:hideMark/>
          </w:tcPr>
          <w:p w14:paraId="270B843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-0.019</w:t>
            </w:r>
          </w:p>
        </w:tc>
        <w:tc>
          <w:tcPr>
            <w:tcW w:w="378" w:type="pct"/>
            <w:tcBorders>
              <w:top w:val="nil"/>
              <w:left w:val="nil"/>
              <w:bottom w:val="nil"/>
              <w:right w:val="nil"/>
            </w:tcBorders>
            <w:shd w:val="clear" w:color="auto" w:fill="auto"/>
            <w:noWrap/>
            <w:vAlign w:val="center"/>
            <w:hideMark/>
          </w:tcPr>
          <w:p w14:paraId="7FDC047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c>
          <w:tcPr>
            <w:tcW w:w="378" w:type="pct"/>
            <w:tcBorders>
              <w:top w:val="nil"/>
              <w:left w:val="nil"/>
              <w:bottom w:val="nil"/>
              <w:right w:val="nil"/>
            </w:tcBorders>
            <w:shd w:val="clear" w:color="auto" w:fill="auto"/>
            <w:noWrap/>
            <w:vAlign w:val="center"/>
            <w:hideMark/>
          </w:tcPr>
          <w:p w14:paraId="36A495A3"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-0.009</w:t>
            </w:r>
          </w:p>
        </w:tc>
        <w:tc>
          <w:tcPr>
            <w:tcW w:w="378" w:type="pct"/>
            <w:tcBorders>
              <w:top w:val="nil"/>
              <w:left w:val="nil"/>
              <w:bottom w:val="nil"/>
              <w:right w:val="nil"/>
            </w:tcBorders>
            <w:shd w:val="clear" w:color="auto" w:fill="auto"/>
            <w:noWrap/>
            <w:vAlign w:val="center"/>
            <w:hideMark/>
          </w:tcPr>
          <w:p w14:paraId="630D557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-0.008</w:t>
            </w:r>
          </w:p>
        </w:tc>
        <w:tc>
          <w:tcPr>
            <w:tcW w:w="379" w:type="pct"/>
            <w:tcBorders>
              <w:top w:val="nil"/>
              <w:left w:val="nil"/>
              <w:bottom w:val="nil"/>
              <w:right w:val="nil"/>
            </w:tcBorders>
            <w:shd w:val="clear" w:color="auto" w:fill="auto"/>
            <w:noWrap/>
            <w:vAlign w:val="center"/>
            <w:hideMark/>
          </w:tcPr>
          <w:p w14:paraId="1194D2D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380" w:type="pct"/>
            <w:tcBorders>
              <w:top w:val="nil"/>
              <w:left w:val="nil"/>
              <w:bottom w:val="nil"/>
              <w:right w:val="nil"/>
            </w:tcBorders>
            <w:shd w:val="clear" w:color="auto" w:fill="auto"/>
            <w:noWrap/>
            <w:vAlign w:val="center"/>
            <w:hideMark/>
          </w:tcPr>
          <w:p w14:paraId="156900FC"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0.009</w:t>
            </w:r>
          </w:p>
        </w:tc>
        <w:tc>
          <w:tcPr>
            <w:tcW w:w="380" w:type="pct"/>
            <w:tcBorders>
              <w:top w:val="nil"/>
              <w:left w:val="nil"/>
              <w:bottom w:val="nil"/>
              <w:right w:val="nil"/>
            </w:tcBorders>
            <w:shd w:val="clear" w:color="auto" w:fill="auto"/>
            <w:noWrap/>
            <w:vAlign w:val="center"/>
            <w:hideMark/>
          </w:tcPr>
          <w:p w14:paraId="7857819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0.011</w:t>
            </w:r>
          </w:p>
        </w:tc>
        <w:tc>
          <w:tcPr>
            <w:tcW w:w="379" w:type="pct"/>
            <w:tcBorders>
              <w:top w:val="nil"/>
              <w:left w:val="nil"/>
              <w:bottom w:val="nil"/>
              <w:right w:val="nil"/>
            </w:tcBorders>
            <w:shd w:val="clear" w:color="auto" w:fill="auto"/>
            <w:noWrap/>
            <w:vAlign w:val="center"/>
            <w:hideMark/>
          </w:tcPr>
          <w:p w14:paraId="5013409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0.026</w:t>
            </w:r>
          </w:p>
        </w:tc>
        <w:tc>
          <w:tcPr>
            <w:tcW w:w="382" w:type="pct"/>
            <w:tcBorders>
              <w:top w:val="nil"/>
              <w:left w:val="nil"/>
              <w:bottom w:val="nil"/>
              <w:right w:val="nil"/>
            </w:tcBorders>
            <w:shd w:val="clear" w:color="auto" w:fill="auto"/>
            <w:noWrap/>
            <w:vAlign w:val="center"/>
            <w:hideMark/>
          </w:tcPr>
          <w:p w14:paraId="0DA2C13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0.045</w:t>
            </w:r>
          </w:p>
        </w:tc>
        <w:tc>
          <w:tcPr>
            <w:tcW w:w="388" w:type="pct"/>
            <w:tcBorders>
              <w:top w:val="nil"/>
              <w:left w:val="nil"/>
              <w:bottom w:val="nil"/>
              <w:right w:val="nil"/>
            </w:tcBorders>
            <w:shd w:val="clear" w:color="auto" w:fill="auto"/>
            <w:noWrap/>
            <w:vAlign w:val="center"/>
            <w:hideMark/>
          </w:tcPr>
          <w:p w14:paraId="37DC4B2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0.073</w:t>
            </w:r>
          </w:p>
        </w:tc>
        <w:tc>
          <w:tcPr>
            <w:tcW w:w="445" w:type="pct"/>
            <w:tcBorders>
              <w:top w:val="nil"/>
              <w:left w:val="nil"/>
              <w:bottom w:val="nil"/>
              <w:right w:val="nil"/>
            </w:tcBorders>
            <w:shd w:val="clear" w:color="auto" w:fill="auto"/>
            <w:noWrap/>
            <w:vAlign w:val="center"/>
            <w:hideMark/>
          </w:tcPr>
          <w:p w14:paraId="193CED8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100.0%</w:t>
            </w:r>
          </w:p>
        </w:tc>
      </w:tr>
      <w:tr w:rsidR="00CB42CC" w:rsidRPr="00644FC9" w14:paraId="4FE04BF6" w14:textId="77777777" w:rsidTr="0065482E">
        <w:trPr>
          <w:trHeight w:hRule="exact" w:val="284"/>
        </w:trPr>
        <w:tc>
          <w:tcPr>
            <w:tcW w:w="5000" w:type="pct"/>
            <w:gridSpan w:val="13"/>
            <w:tcBorders>
              <w:top w:val="single" w:sz="4" w:space="0" w:color="auto"/>
            </w:tcBorders>
            <w:shd w:val="clear" w:color="auto" w:fill="auto"/>
            <w:noWrap/>
            <w:vAlign w:val="center"/>
          </w:tcPr>
          <w:p w14:paraId="6C3F34FA" w14:textId="044B2CED" w:rsidR="00522EC5" w:rsidRPr="00644FC9" w:rsidRDefault="00522EC5" w:rsidP="0065482E">
            <w:pPr>
              <w:widowControl/>
              <w:adjustRightInd w:val="0"/>
              <w:snapToGrid w:val="0"/>
              <w:rPr>
                <w:rFonts w:ascii="Times New Roman" w:eastAsia="Times New Roman" w:hAnsi="Times New Roman" w:cs="Times New Roman"/>
                <w:color w:val="000000" w:themeColor="text1"/>
                <w:kern w:val="0"/>
                <w:szCs w:val="24"/>
              </w:rPr>
            </w:pPr>
            <w:r w:rsidRPr="00644FC9">
              <w:rPr>
                <w:rFonts w:ascii="Times New Roman" w:eastAsia="Times New Roman" w:hAnsi="Times New Roman" w:cs="Times New Roman"/>
                <w:color w:val="000000" w:themeColor="text1"/>
                <w:kern w:val="0"/>
                <w:szCs w:val="24"/>
              </w:rPr>
              <w:t>Panel C: Mean returns across various portfolios based on the magnitude of unexpected</w:t>
            </w:r>
            <w:r w:rsidR="00313173" w:rsidRPr="00644FC9">
              <w:rPr>
                <w:rFonts w:ascii="Times New Roman" w:eastAsia="Times New Roman" w:hAnsi="Times New Roman" w:cs="Times New Roman"/>
                <w:color w:val="000000" w:themeColor="text1"/>
                <w:kern w:val="0"/>
                <w:szCs w:val="24"/>
              </w:rPr>
              <w:t xml:space="preserve"> non-operating </w:t>
            </w:r>
            <w:r w:rsidRPr="00644FC9">
              <w:rPr>
                <w:rFonts w:ascii="Times New Roman" w:eastAsia="Times New Roman" w:hAnsi="Times New Roman" w:cs="Times New Roman"/>
                <w:color w:val="000000" w:themeColor="text1"/>
                <w:kern w:val="0"/>
                <w:szCs w:val="24"/>
              </w:rPr>
              <w:t>income</w:t>
            </w:r>
          </w:p>
        </w:tc>
      </w:tr>
      <w:tr w:rsidR="00CB42CC" w:rsidRPr="00644FC9" w14:paraId="08809BE3" w14:textId="77777777" w:rsidTr="0065482E">
        <w:trPr>
          <w:trHeight w:hRule="exact" w:val="284"/>
        </w:trPr>
        <w:tc>
          <w:tcPr>
            <w:tcW w:w="377" w:type="pct"/>
            <w:shd w:val="clear" w:color="auto" w:fill="auto"/>
            <w:noWrap/>
            <w:vAlign w:val="center"/>
            <w:hideMark/>
          </w:tcPr>
          <w:p w14:paraId="6ACF00FE" w14:textId="77777777" w:rsidR="00522EC5" w:rsidRPr="00644FC9" w:rsidRDefault="00522EC5" w:rsidP="0065482E">
            <w:pPr>
              <w:widowControl/>
              <w:adjustRightInd w:val="0"/>
              <w:snapToGrid w:val="0"/>
              <w:jc w:val="right"/>
              <w:rPr>
                <w:rFonts w:ascii="Times New Roman" w:eastAsia="新細明體" w:hAnsi="Times New Roman" w:cs="Times New Roman"/>
                <w:color w:val="000000" w:themeColor="text1"/>
                <w:kern w:val="0"/>
                <w:szCs w:val="24"/>
              </w:rPr>
            </w:pPr>
          </w:p>
        </w:tc>
        <w:tc>
          <w:tcPr>
            <w:tcW w:w="3790" w:type="pct"/>
            <w:gridSpan w:val="10"/>
            <w:tcBorders>
              <w:bottom w:val="single" w:sz="4" w:space="0" w:color="auto"/>
            </w:tcBorders>
            <w:shd w:val="clear" w:color="auto" w:fill="auto"/>
            <w:noWrap/>
            <w:vAlign w:val="center"/>
            <w:hideMark/>
          </w:tcPr>
          <w:p w14:paraId="22660E4E" w14:textId="53073898"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r w:rsidRPr="00644FC9">
              <w:rPr>
                <w:rFonts w:ascii="Times New Roman" w:eastAsia="Times New Roman" w:hAnsi="Times New Roman" w:cs="Times New Roman"/>
                <w:color w:val="000000" w:themeColor="text1"/>
                <w:kern w:val="0"/>
                <w:szCs w:val="24"/>
              </w:rPr>
              <w:t>Unexpected</w:t>
            </w:r>
            <w:r w:rsidR="00313173" w:rsidRPr="00644FC9">
              <w:rPr>
                <w:rFonts w:ascii="Times New Roman" w:eastAsia="Times New Roman" w:hAnsi="Times New Roman" w:cs="Times New Roman"/>
                <w:color w:val="000000" w:themeColor="text1"/>
                <w:kern w:val="0"/>
                <w:szCs w:val="24"/>
              </w:rPr>
              <w:t xml:space="preserve"> non-operating </w:t>
            </w:r>
            <w:r w:rsidRPr="00644FC9">
              <w:rPr>
                <w:rFonts w:ascii="Times New Roman" w:eastAsia="Times New Roman" w:hAnsi="Times New Roman" w:cs="Times New Roman"/>
                <w:color w:val="000000" w:themeColor="text1"/>
                <w:kern w:val="0"/>
                <w:szCs w:val="24"/>
              </w:rPr>
              <w:t>income (</w:t>
            </w:r>
            <w:r w:rsidRPr="00644FC9">
              <w:rPr>
                <w:rFonts w:ascii="Times New Roman" w:eastAsia="Times New Roman" w:hAnsi="Times New Roman" w:cs="Times New Roman"/>
                <w:i/>
                <w:color w:val="000000" w:themeColor="text1"/>
                <w:kern w:val="0"/>
                <w:szCs w:val="24"/>
              </w:rPr>
              <w:t>UNOI</w:t>
            </w:r>
            <w:r w:rsidRPr="00644FC9">
              <w:rPr>
                <w:rFonts w:ascii="Times New Roman" w:eastAsia="Times New Roman" w:hAnsi="Times New Roman" w:cs="Times New Roman"/>
                <w:color w:val="000000" w:themeColor="text1"/>
                <w:kern w:val="0"/>
                <w:szCs w:val="24"/>
              </w:rPr>
              <w:t>) portfolio</w:t>
            </w:r>
          </w:p>
        </w:tc>
        <w:tc>
          <w:tcPr>
            <w:tcW w:w="388" w:type="pct"/>
            <w:shd w:val="clear" w:color="auto" w:fill="auto"/>
            <w:noWrap/>
            <w:vAlign w:val="center"/>
            <w:hideMark/>
          </w:tcPr>
          <w:p w14:paraId="403F8DE5"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 -</w:t>
            </w:r>
          </w:p>
        </w:tc>
        <w:tc>
          <w:tcPr>
            <w:tcW w:w="445" w:type="pct"/>
            <w:shd w:val="clear" w:color="auto" w:fill="auto"/>
            <w:noWrap/>
            <w:vAlign w:val="center"/>
            <w:hideMark/>
          </w:tcPr>
          <w:p w14:paraId="61334F93"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r w:rsidRPr="00644FC9">
              <w:rPr>
                <w:rFonts w:ascii="Times New Roman" w:eastAsia="Times New Roman" w:hAnsi="Times New Roman" w:cs="Times New Roman"/>
                <w:color w:val="000000" w:themeColor="text1"/>
                <w:kern w:val="0"/>
                <w:szCs w:val="24"/>
              </w:rPr>
              <w:t>% of 1-Year</w:t>
            </w:r>
          </w:p>
        </w:tc>
      </w:tr>
      <w:tr w:rsidR="00CB42CC" w:rsidRPr="00644FC9" w14:paraId="40898899" w14:textId="77777777" w:rsidTr="0065482E">
        <w:trPr>
          <w:trHeight w:hRule="exact" w:val="284"/>
        </w:trPr>
        <w:tc>
          <w:tcPr>
            <w:tcW w:w="377" w:type="pct"/>
            <w:shd w:val="clear" w:color="auto" w:fill="auto"/>
            <w:noWrap/>
            <w:vAlign w:val="center"/>
          </w:tcPr>
          <w:p w14:paraId="48E91301" w14:textId="77777777" w:rsidR="00522EC5" w:rsidRPr="00644FC9" w:rsidRDefault="00522EC5" w:rsidP="0065482E">
            <w:pPr>
              <w:widowControl/>
              <w:adjustRightInd w:val="0"/>
              <w:snapToGrid w:val="0"/>
              <w:rPr>
                <w:rFonts w:ascii="Times New Roman" w:eastAsia="新細明體" w:hAnsi="Times New Roman" w:cs="Times New Roman"/>
                <w:color w:val="000000" w:themeColor="text1"/>
                <w:kern w:val="0"/>
                <w:szCs w:val="24"/>
              </w:rPr>
            </w:pPr>
          </w:p>
        </w:tc>
        <w:tc>
          <w:tcPr>
            <w:tcW w:w="378" w:type="pct"/>
            <w:tcBorders>
              <w:top w:val="single" w:sz="4" w:space="0" w:color="auto"/>
              <w:left w:val="nil"/>
              <w:bottom w:val="single" w:sz="4" w:space="0" w:color="auto"/>
              <w:right w:val="nil"/>
            </w:tcBorders>
            <w:shd w:val="clear" w:color="auto" w:fill="auto"/>
            <w:noWrap/>
            <w:vAlign w:val="center"/>
          </w:tcPr>
          <w:p w14:paraId="308AE867"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Lowest</w:t>
            </w:r>
          </w:p>
        </w:tc>
        <w:tc>
          <w:tcPr>
            <w:tcW w:w="378" w:type="pct"/>
            <w:tcBorders>
              <w:top w:val="single" w:sz="4" w:space="0" w:color="auto"/>
              <w:left w:val="nil"/>
              <w:bottom w:val="single" w:sz="4" w:space="0" w:color="auto"/>
              <w:right w:val="nil"/>
            </w:tcBorders>
            <w:shd w:val="clear" w:color="auto" w:fill="auto"/>
            <w:noWrap/>
            <w:vAlign w:val="center"/>
          </w:tcPr>
          <w:p w14:paraId="5C02857E"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2</w:t>
            </w:r>
          </w:p>
        </w:tc>
        <w:tc>
          <w:tcPr>
            <w:tcW w:w="378" w:type="pct"/>
            <w:tcBorders>
              <w:top w:val="single" w:sz="4" w:space="0" w:color="auto"/>
              <w:left w:val="nil"/>
              <w:bottom w:val="single" w:sz="4" w:space="0" w:color="auto"/>
              <w:right w:val="nil"/>
            </w:tcBorders>
            <w:shd w:val="clear" w:color="auto" w:fill="auto"/>
            <w:noWrap/>
            <w:vAlign w:val="center"/>
          </w:tcPr>
          <w:p w14:paraId="67C816F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3</w:t>
            </w:r>
          </w:p>
        </w:tc>
        <w:tc>
          <w:tcPr>
            <w:tcW w:w="378" w:type="pct"/>
            <w:tcBorders>
              <w:top w:val="single" w:sz="4" w:space="0" w:color="auto"/>
              <w:left w:val="nil"/>
              <w:bottom w:val="single" w:sz="4" w:space="0" w:color="auto"/>
              <w:right w:val="nil"/>
            </w:tcBorders>
            <w:shd w:val="clear" w:color="auto" w:fill="auto"/>
            <w:noWrap/>
            <w:vAlign w:val="center"/>
          </w:tcPr>
          <w:p w14:paraId="022562DD"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4</w:t>
            </w:r>
          </w:p>
        </w:tc>
        <w:tc>
          <w:tcPr>
            <w:tcW w:w="378" w:type="pct"/>
            <w:tcBorders>
              <w:top w:val="single" w:sz="4" w:space="0" w:color="auto"/>
              <w:left w:val="nil"/>
              <w:bottom w:val="single" w:sz="4" w:space="0" w:color="auto"/>
              <w:right w:val="nil"/>
            </w:tcBorders>
            <w:shd w:val="clear" w:color="auto" w:fill="auto"/>
            <w:noWrap/>
            <w:vAlign w:val="center"/>
          </w:tcPr>
          <w:p w14:paraId="6F4E720D"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5</w:t>
            </w:r>
          </w:p>
        </w:tc>
        <w:tc>
          <w:tcPr>
            <w:tcW w:w="379" w:type="pct"/>
            <w:tcBorders>
              <w:top w:val="single" w:sz="4" w:space="0" w:color="auto"/>
              <w:left w:val="nil"/>
              <w:bottom w:val="single" w:sz="4" w:space="0" w:color="auto"/>
              <w:right w:val="nil"/>
            </w:tcBorders>
            <w:shd w:val="clear" w:color="auto" w:fill="auto"/>
            <w:noWrap/>
            <w:vAlign w:val="center"/>
          </w:tcPr>
          <w:p w14:paraId="2F7A5EA7"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6</w:t>
            </w:r>
          </w:p>
        </w:tc>
        <w:tc>
          <w:tcPr>
            <w:tcW w:w="380" w:type="pct"/>
            <w:tcBorders>
              <w:top w:val="single" w:sz="4" w:space="0" w:color="auto"/>
              <w:left w:val="nil"/>
              <w:bottom w:val="single" w:sz="4" w:space="0" w:color="auto"/>
              <w:right w:val="nil"/>
            </w:tcBorders>
            <w:shd w:val="clear" w:color="auto" w:fill="auto"/>
            <w:noWrap/>
            <w:vAlign w:val="center"/>
          </w:tcPr>
          <w:p w14:paraId="048DF5E0"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7</w:t>
            </w:r>
          </w:p>
        </w:tc>
        <w:tc>
          <w:tcPr>
            <w:tcW w:w="380" w:type="pct"/>
            <w:tcBorders>
              <w:top w:val="single" w:sz="4" w:space="0" w:color="auto"/>
              <w:left w:val="nil"/>
              <w:bottom w:val="single" w:sz="4" w:space="0" w:color="auto"/>
              <w:right w:val="nil"/>
            </w:tcBorders>
            <w:shd w:val="clear" w:color="auto" w:fill="auto"/>
            <w:noWrap/>
            <w:vAlign w:val="center"/>
          </w:tcPr>
          <w:p w14:paraId="551E579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8</w:t>
            </w:r>
          </w:p>
        </w:tc>
        <w:tc>
          <w:tcPr>
            <w:tcW w:w="379" w:type="pct"/>
            <w:tcBorders>
              <w:top w:val="single" w:sz="4" w:space="0" w:color="auto"/>
              <w:left w:val="nil"/>
              <w:bottom w:val="single" w:sz="4" w:space="0" w:color="auto"/>
              <w:right w:val="nil"/>
            </w:tcBorders>
            <w:shd w:val="clear" w:color="auto" w:fill="auto"/>
            <w:noWrap/>
            <w:vAlign w:val="center"/>
          </w:tcPr>
          <w:p w14:paraId="0813CF38"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9</w:t>
            </w:r>
          </w:p>
        </w:tc>
        <w:tc>
          <w:tcPr>
            <w:tcW w:w="382" w:type="pct"/>
            <w:tcBorders>
              <w:top w:val="single" w:sz="4" w:space="0" w:color="auto"/>
              <w:left w:val="nil"/>
              <w:bottom w:val="single" w:sz="4" w:space="0" w:color="auto"/>
              <w:right w:val="nil"/>
            </w:tcBorders>
            <w:shd w:val="clear" w:color="auto" w:fill="auto"/>
            <w:noWrap/>
            <w:vAlign w:val="center"/>
          </w:tcPr>
          <w:p w14:paraId="7B015F1F"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Highest</w:t>
            </w:r>
          </w:p>
        </w:tc>
        <w:tc>
          <w:tcPr>
            <w:tcW w:w="388" w:type="pct"/>
            <w:tcBorders>
              <w:bottom w:val="single" w:sz="4" w:space="0" w:color="auto"/>
            </w:tcBorders>
            <w:shd w:val="clear" w:color="auto" w:fill="auto"/>
            <w:noWrap/>
          </w:tcPr>
          <w:p w14:paraId="7EAB28E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eastAsia="標楷體" w:hAnsi="Times New Roman" w:cs="Times New Roman"/>
                <w:color w:val="000000" w:themeColor="text1"/>
                <w:kern w:val="0"/>
                <w:szCs w:val="24"/>
              </w:rPr>
              <w:t>Lowest</w:t>
            </w:r>
          </w:p>
        </w:tc>
        <w:tc>
          <w:tcPr>
            <w:tcW w:w="445" w:type="pct"/>
            <w:tcBorders>
              <w:bottom w:val="single" w:sz="4" w:space="0" w:color="auto"/>
            </w:tcBorders>
            <w:shd w:val="clear" w:color="auto" w:fill="auto"/>
            <w:noWrap/>
          </w:tcPr>
          <w:p w14:paraId="074D6E3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Return</w:t>
            </w:r>
          </w:p>
        </w:tc>
      </w:tr>
      <w:tr w:rsidR="00CB42CC" w:rsidRPr="00644FC9" w14:paraId="376A781D" w14:textId="77777777" w:rsidTr="0065482E">
        <w:trPr>
          <w:trHeight w:hRule="exact" w:val="284"/>
        </w:trPr>
        <w:tc>
          <w:tcPr>
            <w:tcW w:w="377" w:type="pct"/>
            <w:shd w:val="clear" w:color="auto" w:fill="auto"/>
            <w:noWrap/>
            <w:vAlign w:val="center"/>
            <w:hideMark/>
          </w:tcPr>
          <w:p w14:paraId="774A28E6"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UNOI</w:t>
            </w:r>
          </w:p>
        </w:tc>
        <w:tc>
          <w:tcPr>
            <w:tcW w:w="378" w:type="pct"/>
            <w:tcBorders>
              <w:top w:val="nil"/>
              <w:left w:val="nil"/>
              <w:bottom w:val="nil"/>
              <w:right w:val="nil"/>
            </w:tcBorders>
            <w:shd w:val="clear" w:color="auto" w:fill="auto"/>
            <w:noWrap/>
            <w:vAlign w:val="center"/>
            <w:hideMark/>
          </w:tcPr>
          <w:p w14:paraId="730FFF28" w14:textId="77777777" w:rsidR="00522EC5" w:rsidRPr="00644FC9" w:rsidRDefault="00522EC5" w:rsidP="0065482E">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-0.056</w:t>
            </w:r>
          </w:p>
        </w:tc>
        <w:tc>
          <w:tcPr>
            <w:tcW w:w="378" w:type="pct"/>
            <w:tcBorders>
              <w:top w:val="nil"/>
              <w:left w:val="nil"/>
              <w:bottom w:val="nil"/>
              <w:right w:val="nil"/>
            </w:tcBorders>
            <w:shd w:val="clear" w:color="auto" w:fill="auto"/>
            <w:noWrap/>
            <w:vAlign w:val="center"/>
            <w:hideMark/>
          </w:tcPr>
          <w:p w14:paraId="47BC884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-0.013</w:t>
            </w:r>
          </w:p>
        </w:tc>
        <w:tc>
          <w:tcPr>
            <w:tcW w:w="378" w:type="pct"/>
            <w:tcBorders>
              <w:top w:val="nil"/>
              <w:left w:val="nil"/>
              <w:bottom w:val="nil"/>
              <w:right w:val="nil"/>
            </w:tcBorders>
            <w:shd w:val="clear" w:color="auto" w:fill="auto"/>
            <w:noWrap/>
            <w:vAlign w:val="center"/>
            <w:hideMark/>
          </w:tcPr>
          <w:p w14:paraId="26C42704"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8" w:type="pct"/>
            <w:tcBorders>
              <w:top w:val="nil"/>
              <w:left w:val="nil"/>
              <w:bottom w:val="nil"/>
              <w:right w:val="nil"/>
            </w:tcBorders>
            <w:shd w:val="clear" w:color="auto" w:fill="auto"/>
            <w:noWrap/>
            <w:vAlign w:val="center"/>
            <w:hideMark/>
          </w:tcPr>
          <w:p w14:paraId="4E19928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78" w:type="pct"/>
            <w:tcBorders>
              <w:top w:val="nil"/>
              <w:left w:val="nil"/>
              <w:bottom w:val="nil"/>
              <w:right w:val="nil"/>
            </w:tcBorders>
            <w:shd w:val="clear" w:color="auto" w:fill="auto"/>
            <w:noWrap/>
            <w:vAlign w:val="center"/>
            <w:hideMark/>
          </w:tcPr>
          <w:p w14:paraId="4617293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bottom w:val="nil"/>
              <w:right w:val="nil"/>
            </w:tcBorders>
            <w:shd w:val="clear" w:color="auto" w:fill="auto"/>
            <w:noWrap/>
            <w:vAlign w:val="center"/>
            <w:hideMark/>
          </w:tcPr>
          <w:p w14:paraId="019543E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80" w:type="pct"/>
            <w:tcBorders>
              <w:top w:val="nil"/>
              <w:left w:val="nil"/>
              <w:bottom w:val="nil"/>
              <w:right w:val="nil"/>
            </w:tcBorders>
            <w:shd w:val="clear" w:color="auto" w:fill="auto"/>
            <w:noWrap/>
            <w:vAlign w:val="center"/>
            <w:hideMark/>
          </w:tcPr>
          <w:p w14:paraId="565BBB3B"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80" w:type="pct"/>
            <w:tcBorders>
              <w:top w:val="nil"/>
              <w:left w:val="nil"/>
              <w:bottom w:val="nil"/>
              <w:right w:val="nil"/>
            </w:tcBorders>
            <w:shd w:val="clear" w:color="auto" w:fill="auto"/>
            <w:noWrap/>
            <w:vAlign w:val="center"/>
            <w:hideMark/>
          </w:tcPr>
          <w:p w14:paraId="182AA200"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9" w:type="pct"/>
            <w:tcBorders>
              <w:top w:val="nil"/>
              <w:left w:val="nil"/>
              <w:bottom w:val="nil"/>
              <w:right w:val="nil"/>
            </w:tcBorders>
            <w:shd w:val="clear" w:color="auto" w:fill="auto"/>
            <w:noWrap/>
            <w:vAlign w:val="center"/>
            <w:hideMark/>
          </w:tcPr>
          <w:p w14:paraId="3695979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382" w:type="pct"/>
            <w:tcBorders>
              <w:top w:val="nil"/>
              <w:left w:val="nil"/>
              <w:bottom w:val="nil"/>
              <w:right w:val="nil"/>
            </w:tcBorders>
            <w:shd w:val="clear" w:color="auto" w:fill="auto"/>
            <w:noWrap/>
            <w:vAlign w:val="center"/>
            <w:hideMark/>
          </w:tcPr>
          <w:p w14:paraId="23E5618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0.061</w:t>
            </w:r>
          </w:p>
        </w:tc>
        <w:tc>
          <w:tcPr>
            <w:tcW w:w="388" w:type="pct"/>
            <w:shd w:val="clear" w:color="auto" w:fill="auto"/>
            <w:noWrap/>
            <w:vAlign w:val="center"/>
            <w:hideMark/>
          </w:tcPr>
          <w:p w14:paraId="31DB8AE7"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shd w:val="clear" w:color="auto" w:fill="auto"/>
            <w:noWrap/>
            <w:vAlign w:val="center"/>
            <w:hideMark/>
          </w:tcPr>
          <w:p w14:paraId="4E6C9A5B"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3CBAA540" w14:textId="77777777" w:rsidTr="0065482E">
        <w:trPr>
          <w:trHeight w:hRule="exact" w:val="284"/>
        </w:trPr>
        <w:tc>
          <w:tcPr>
            <w:tcW w:w="377" w:type="pct"/>
            <w:shd w:val="clear" w:color="auto" w:fill="auto"/>
            <w:noWrap/>
            <w:vAlign w:val="center"/>
          </w:tcPr>
          <w:p w14:paraId="0A8ECF53"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p>
        </w:tc>
        <w:tc>
          <w:tcPr>
            <w:tcW w:w="378" w:type="pct"/>
            <w:shd w:val="clear" w:color="auto" w:fill="auto"/>
            <w:noWrap/>
            <w:vAlign w:val="center"/>
          </w:tcPr>
          <w:p w14:paraId="23B44E03"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57219F08"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3FDEDCDC"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63CBAD6D"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8" w:type="pct"/>
            <w:shd w:val="clear" w:color="auto" w:fill="auto"/>
            <w:noWrap/>
            <w:vAlign w:val="center"/>
          </w:tcPr>
          <w:p w14:paraId="17C90FB5"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9" w:type="pct"/>
            <w:shd w:val="clear" w:color="auto" w:fill="auto"/>
            <w:noWrap/>
            <w:vAlign w:val="center"/>
          </w:tcPr>
          <w:p w14:paraId="176C55D1"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0" w:type="pct"/>
            <w:shd w:val="clear" w:color="auto" w:fill="auto"/>
            <w:noWrap/>
            <w:vAlign w:val="center"/>
          </w:tcPr>
          <w:p w14:paraId="3224FC35"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0" w:type="pct"/>
            <w:shd w:val="clear" w:color="auto" w:fill="auto"/>
            <w:noWrap/>
            <w:vAlign w:val="center"/>
          </w:tcPr>
          <w:p w14:paraId="4FEC4975"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79" w:type="pct"/>
            <w:shd w:val="clear" w:color="auto" w:fill="auto"/>
            <w:noWrap/>
            <w:vAlign w:val="center"/>
          </w:tcPr>
          <w:p w14:paraId="36CADCEE"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2" w:type="pct"/>
            <w:shd w:val="clear" w:color="auto" w:fill="auto"/>
            <w:noWrap/>
            <w:vAlign w:val="center"/>
          </w:tcPr>
          <w:p w14:paraId="1F8A5E9F"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388" w:type="pct"/>
            <w:shd w:val="clear" w:color="auto" w:fill="auto"/>
            <w:noWrap/>
            <w:vAlign w:val="center"/>
          </w:tcPr>
          <w:p w14:paraId="1A5CAA2B" w14:textId="77777777" w:rsidR="00522EC5" w:rsidRPr="00644FC9" w:rsidRDefault="00522EC5" w:rsidP="0065482E">
            <w:pPr>
              <w:widowControl/>
              <w:adjustRightInd w:val="0"/>
              <w:snapToGrid w:val="0"/>
              <w:jc w:val="center"/>
              <w:rPr>
                <w:rFonts w:ascii="Times New Roman" w:eastAsia="新細明體" w:hAnsi="Times New Roman" w:cs="Times New Roman"/>
                <w:color w:val="000000" w:themeColor="text1"/>
                <w:kern w:val="0"/>
                <w:szCs w:val="24"/>
              </w:rPr>
            </w:pPr>
          </w:p>
        </w:tc>
        <w:tc>
          <w:tcPr>
            <w:tcW w:w="445" w:type="pct"/>
            <w:shd w:val="clear" w:color="auto" w:fill="auto"/>
            <w:noWrap/>
            <w:vAlign w:val="center"/>
          </w:tcPr>
          <w:p w14:paraId="6FF8F422" w14:textId="77777777" w:rsidR="00522EC5" w:rsidRPr="00644FC9" w:rsidRDefault="00522EC5" w:rsidP="0065482E">
            <w:pPr>
              <w:widowControl/>
              <w:adjustRightInd w:val="0"/>
              <w:snapToGrid w:val="0"/>
              <w:jc w:val="center"/>
              <w:rPr>
                <w:rFonts w:ascii="Times New Roman" w:eastAsia="Times New Roman" w:hAnsi="Times New Roman" w:cs="Times New Roman"/>
                <w:color w:val="000000" w:themeColor="text1"/>
                <w:kern w:val="0"/>
                <w:szCs w:val="24"/>
              </w:rPr>
            </w:pPr>
          </w:p>
        </w:tc>
      </w:tr>
      <w:tr w:rsidR="00CB42CC" w:rsidRPr="00644FC9" w14:paraId="167FD408" w14:textId="77777777" w:rsidTr="0065482E">
        <w:trPr>
          <w:trHeight w:hRule="exact" w:val="284"/>
        </w:trPr>
        <w:tc>
          <w:tcPr>
            <w:tcW w:w="377" w:type="pct"/>
            <w:shd w:val="clear" w:color="auto" w:fill="auto"/>
            <w:noWrap/>
            <w:vAlign w:val="center"/>
            <w:hideMark/>
          </w:tcPr>
          <w:p w14:paraId="5F626D7A"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標楷體" w:hAnsi="Times New Roman" w:cs="Times New Roman"/>
                <w:i/>
                <w:color w:val="000000" w:themeColor="text1"/>
                <w:szCs w:val="24"/>
              </w:rPr>
              <w:t>BHAR</w:t>
            </w:r>
            <w:r w:rsidRPr="00644FC9">
              <w:rPr>
                <w:rFonts w:ascii="Times New Roman" w:eastAsia="新細明體" w:hAnsi="Times New Roman" w:cs="Times New Roman"/>
                <w:i/>
                <w:color w:val="000000" w:themeColor="text1"/>
                <w:szCs w:val="24"/>
              </w:rPr>
              <w:t>5</w:t>
            </w:r>
          </w:p>
        </w:tc>
        <w:tc>
          <w:tcPr>
            <w:tcW w:w="378" w:type="pct"/>
            <w:tcBorders>
              <w:top w:val="nil"/>
              <w:left w:val="nil"/>
              <w:bottom w:val="nil"/>
              <w:right w:val="nil"/>
            </w:tcBorders>
            <w:shd w:val="clear" w:color="auto" w:fill="auto"/>
            <w:noWrap/>
            <w:vAlign w:val="center"/>
            <w:hideMark/>
          </w:tcPr>
          <w:p w14:paraId="5E0ECA5E" w14:textId="77777777" w:rsidR="00522EC5" w:rsidRPr="00644FC9" w:rsidRDefault="00522EC5" w:rsidP="0065482E">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378" w:type="pct"/>
            <w:tcBorders>
              <w:top w:val="nil"/>
              <w:left w:val="nil"/>
              <w:bottom w:val="nil"/>
              <w:right w:val="nil"/>
            </w:tcBorders>
            <w:shd w:val="clear" w:color="auto" w:fill="auto"/>
            <w:noWrap/>
            <w:vAlign w:val="center"/>
            <w:hideMark/>
          </w:tcPr>
          <w:p w14:paraId="78766B4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8" w:type="pct"/>
            <w:tcBorders>
              <w:top w:val="nil"/>
              <w:left w:val="nil"/>
              <w:bottom w:val="nil"/>
              <w:right w:val="nil"/>
            </w:tcBorders>
            <w:shd w:val="clear" w:color="auto" w:fill="auto"/>
            <w:noWrap/>
            <w:vAlign w:val="center"/>
            <w:hideMark/>
          </w:tcPr>
          <w:p w14:paraId="71FFBCD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8" w:type="pct"/>
            <w:tcBorders>
              <w:top w:val="nil"/>
              <w:left w:val="nil"/>
              <w:bottom w:val="nil"/>
              <w:right w:val="nil"/>
            </w:tcBorders>
            <w:shd w:val="clear" w:color="auto" w:fill="auto"/>
            <w:noWrap/>
            <w:vAlign w:val="center"/>
            <w:hideMark/>
          </w:tcPr>
          <w:p w14:paraId="7AFD848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378" w:type="pct"/>
            <w:tcBorders>
              <w:top w:val="nil"/>
              <w:left w:val="nil"/>
              <w:bottom w:val="nil"/>
              <w:right w:val="nil"/>
            </w:tcBorders>
            <w:shd w:val="clear" w:color="auto" w:fill="auto"/>
            <w:noWrap/>
            <w:vAlign w:val="center"/>
            <w:hideMark/>
          </w:tcPr>
          <w:p w14:paraId="6AD3622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bottom w:val="nil"/>
              <w:right w:val="nil"/>
            </w:tcBorders>
            <w:shd w:val="clear" w:color="auto" w:fill="auto"/>
            <w:noWrap/>
            <w:vAlign w:val="center"/>
            <w:hideMark/>
          </w:tcPr>
          <w:p w14:paraId="4A6943E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80" w:type="pct"/>
            <w:tcBorders>
              <w:top w:val="nil"/>
              <w:left w:val="nil"/>
              <w:bottom w:val="nil"/>
              <w:right w:val="nil"/>
            </w:tcBorders>
            <w:shd w:val="clear" w:color="auto" w:fill="auto"/>
            <w:noWrap/>
            <w:vAlign w:val="center"/>
            <w:hideMark/>
          </w:tcPr>
          <w:p w14:paraId="435F487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380" w:type="pct"/>
            <w:tcBorders>
              <w:top w:val="nil"/>
              <w:left w:val="nil"/>
              <w:bottom w:val="nil"/>
              <w:right w:val="nil"/>
            </w:tcBorders>
            <w:shd w:val="clear" w:color="auto" w:fill="auto"/>
            <w:noWrap/>
            <w:vAlign w:val="center"/>
            <w:hideMark/>
          </w:tcPr>
          <w:p w14:paraId="396AE820"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bottom w:val="nil"/>
              <w:right w:val="nil"/>
            </w:tcBorders>
            <w:shd w:val="clear" w:color="auto" w:fill="auto"/>
            <w:noWrap/>
            <w:vAlign w:val="center"/>
            <w:hideMark/>
          </w:tcPr>
          <w:p w14:paraId="5557DBA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82" w:type="pct"/>
            <w:tcBorders>
              <w:top w:val="nil"/>
              <w:left w:val="nil"/>
              <w:bottom w:val="nil"/>
              <w:right w:val="nil"/>
            </w:tcBorders>
            <w:shd w:val="clear" w:color="auto" w:fill="auto"/>
            <w:noWrap/>
            <w:vAlign w:val="center"/>
            <w:hideMark/>
          </w:tcPr>
          <w:p w14:paraId="26919EA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0.009</w:t>
            </w:r>
          </w:p>
        </w:tc>
        <w:tc>
          <w:tcPr>
            <w:tcW w:w="388" w:type="pct"/>
            <w:tcBorders>
              <w:top w:val="nil"/>
              <w:left w:val="nil"/>
              <w:bottom w:val="nil"/>
              <w:right w:val="nil"/>
            </w:tcBorders>
            <w:shd w:val="clear" w:color="auto" w:fill="auto"/>
            <w:noWrap/>
            <w:vAlign w:val="center"/>
            <w:hideMark/>
          </w:tcPr>
          <w:p w14:paraId="3B81685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0.015</w:t>
            </w:r>
          </w:p>
        </w:tc>
        <w:tc>
          <w:tcPr>
            <w:tcW w:w="445" w:type="pct"/>
            <w:tcBorders>
              <w:top w:val="nil"/>
              <w:left w:val="nil"/>
              <w:bottom w:val="nil"/>
              <w:right w:val="nil"/>
            </w:tcBorders>
            <w:shd w:val="clear" w:color="auto" w:fill="auto"/>
            <w:noWrap/>
            <w:vAlign w:val="center"/>
            <w:hideMark/>
          </w:tcPr>
          <w:p w14:paraId="6E8C46A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90.6%</w:t>
            </w:r>
          </w:p>
        </w:tc>
      </w:tr>
      <w:tr w:rsidR="00CB42CC" w:rsidRPr="00644FC9" w14:paraId="1D6114D4" w14:textId="77777777" w:rsidTr="0065482E">
        <w:trPr>
          <w:trHeight w:hRule="exact" w:val="284"/>
        </w:trPr>
        <w:tc>
          <w:tcPr>
            <w:tcW w:w="377" w:type="pct"/>
            <w:shd w:val="clear" w:color="auto" w:fill="auto"/>
            <w:noWrap/>
            <w:vAlign w:val="center"/>
            <w:hideMark/>
          </w:tcPr>
          <w:p w14:paraId="40F5FC84"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BHAR21</w:t>
            </w:r>
          </w:p>
        </w:tc>
        <w:tc>
          <w:tcPr>
            <w:tcW w:w="378" w:type="pct"/>
            <w:tcBorders>
              <w:top w:val="nil"/>
              <w:left w:val="nil"/>
              <w:right w:val="nil"/>
            </w:tcBorders>
            <w:shd w:val="clear" w:color="auto" w:fill="auto"/>
            <w:noWrap/>
            <w:vAlign w:val="center"/>
            <w:hideMark/>
          </w:tcPr>
          <w:p w14:paraId="37E523F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8" w:type="pct"/>
            <w:tcBorders>
              <w:top w:val="nil"/>
              <w:left w:val="nil"/>
              <w:right w:val="nil"/>
            </w:tcBorders>
            <w:shd w:val="clear" w:color="auto" w:fill="auto"/>
            <w:noWrap/>
            <w:vAlign w:val="center"/>
            <w:hideMark/>
          </w:tcPr>
          <w:p w14:paraId="6CA2075B"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378" w:type="pct"/>
            <w:tcBorders>
              <w:top w:val="nil"/>
              <w:left w:val="nil"/>
              <w:right w:val="nil"/>
            </w:tcBorders>
            <w:shd w:val="clear" w:color="auto" w:fill="auto"/>
            <w:noWrap/>
            <w:vAlign w:val="center"/>
            <w:hideMark/>
          </w:tcPr>
          <w:p w14:paraId="1F01309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8" w:type="pct"/>
            <w:tcBorders>
              <w:top w:val="nil"/>
              <w:left w:val="nil"/>
              <w:right w:val="nil"/>
            </w:tcBorders>
            <w:shd w:val="clear" w:color="auto" w:fill="auto"/>
            <w:noWrap/>
            <w:vAlign w:val="center"/>
            <w:hideMark/>
          </w:tcPr>
          <w:p w14:paraId="0BB1AE2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8" w:type="pct"/>
            <w:tcBorders>
              <w:top w:val="nil"/>
              <w:left w:val="nil"/>
              <w:right w:val="nil"/>
            </w:tcBorders>
            <w:shd w:val="clear" w:color="auto" w:fill="auto"/>
            <w:noWrap/>
            <w:vAlign w:val="center"/>
            <w:hideMark/>
          </w:tcPr>
          <w:p w14:paraId="3A72E8D5"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right w:val="nil"/>
            </w:tcBorders>
            <w:shd w:val="clear" w:color="auto" w:fill="auto"/>
            <w:noWrap/>
            <w:vAlign w:val="center"/>
            <w:hideMark/>
          </w:tcPr>
          <w:p w14:paraId="655B04F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380" w:type="pct"/>
            <w:tcBorders>
              <w:top w:val="nil"/>
              <w:left w:val="nil"/>
              <w:right w:val="nil"/>
            </w:tcBorders>
            <w:shd w:val="clear" w:color="auto" w:fill="auto"/>
            <w:noWrap/>
            <w:vAlign w:val="center"/>
            <w:hideMark/>
          </w:tcPr>
          <w:p w14:paraId="6FDABD3D"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80" w:type="pct"/>
            <w:tcBorders>
              <w:top w:val="nil"/>
              <w:left w:val="nil"/>
              <w:right w:val="nil"/>
            </w:tcBorders>
            <w:shd w:val="clear" w:color="auto" w:fill="auto"/>
            <w:noWrap/>
            <w:vAlign w:val="center"/>
            <w:hideMark/>
          </w:tcPr>
          <w:p w14:paraId="359AC5DF"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79" w:type="pct"/>
            <w:tcBorders>
              <w:top w:val="nil"/>
              <w:left w:val="nil"/>
              <w:right w:val="nil"/>
            </w:tcBorders>
            <w:shd w:val="clear" w:color="auto" w:fill="auto"/>
            <w:noWrap/>
            <w:vAlign w:val="center"/>
            <w:hideMark/>
          </w:tcPr>
          <w:p w14:paraId="0DA5C778"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382" w:type="pct"/>
            <w:tcBorders>
              <w:top w:val="nil"/>
              <w:left w:val="nil"/>
              <w:right w:val="nil"/>
            </w:tcBorders>
            <w:shd w:val="clear" w:color="auto" w:fill="auto"/>
            <w:noWrap/>
            <w:vAlign w:val="center"/>
            <w:hideMark/>
          </w:tcPr>
          <w:p w14:paraId="2BE1F6B3"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388" w:type="pct"/>
            <w:tcBorders>
              <w:top w:val="nil"/>
              <w:left w:val="nil"/>
              <w:right w:val="nil"/>
            </w:tcBorders>
            <w:shd w:val="clear" w:color="auto" w:fill="auto"/>
            <w:noWrap/>
            <w:vAlign w:val="center"/>
            <w:hideMark/>
          </w:tcPr>
          <w:p w14:paraId="16C1FC0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0.019</w:t>
            </w:r>
          </w:p>
        </w:tc>
        <w:tc>
          <w:tcPr>
            <w:tcW w:w="445" w:type="pct"/>
            <w:tcBorders>
              <w:top w:val="nil"/>
              <w:left w:val="nil"/>
              <w:right w:val="nil"/>
            </w:tcBorders>
            <w:shd w:val="clear" w:color="auto" w:fill="auto"/>
            <w:noWrap/>
            <w:vAlign w:val="center"/>
            <w:hideMark/>
          </w:tcPr>
          <w:p w14:paraId="2AEE91E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110.3%</w:t>
            </w:r>
          </w:p>
        </w:tc>
      </w:tr>
      <w:tr w:rsidR="00CB42CC" w:rsidRPr="00644FC9" w14:paraId="410DAC64" w14:textId="77777777" w:rsidTr="0065482E">
        <w:trPr>
          <w:trHeight w:hRule="exact" w:val="284"/>
        </w:trPr>
        <w:tc>
          <w:tcPr>
            <w:tcW w:w="377" w:type="pct"/>
            <w:tcBorders>
              <w:bottom w:val="single" w:sz="4" w:space="0" w:color="auto"/>
            </w:tcBorders>
            <w:shd w:val="clear" w:color="auto" w:fill="auto"/>
            <w:noWrap/>
            <w:vAlign w:val="center"/>
            <w:hideMark/>
          </w:tcPr>
          <w:p w14:paraId="3068D9CA" w14:textId="77777777" w:rsidR="00522EC5" w:rsidRPr="00644FC9" w:rsidRDefault="00522EC5" w:rsidP="0065482E">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BHARQ</w:t>
            </w:r>
          </w:p>
        </w:tc>
        <w:tc>
          <w:tcPr>
            <w:tcW w:w="378" w:type="pct"/>
            <w:tcBorders>
              <w:top w:val="nil"/>
              <w:left w:val="nil"/>
              <w:bottom w:val="single" w:sz="4" w:space="0" w:color="auto"/>
              <w:right w:val="nil"/>
            </w:tcBorders>
            <w:shd w:val="clear" w:color="auto" w:fill="auto"/>
            <w:noWrap/>
            <w:vAlign w:val="center"/>
            <w:hideMark/>
          </w:tcPr>
          <w:p w14:paraId="4177ECE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78" w:type="pct"/>
            <w:tcBorders>
              <w:top w:val="nil"/>
              <w:left w:val="nil"/>
              <w:bottom w:val="single" w:sz="4" w:space="0" w:color="auto"/>
              <w:right w:val="nil"/>
            </w:tcBorders>
            <w:shd w:val="clear" w:color="auto" w:fill="auto"/>
            <w:noWrap/>
            <w:vAlign w:val="center"/>
            <w:hideMark/>
          </w:tcPr>
          <w:p w14:paraId="30C74D0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378" w:type="pct"/>
            <w:tcBorders>
              <w:top w:val="nil"/>
              <w:left w:val="nil"/>
              <w:bottom w:val="single" w:sz="4" w:space="0" w:color="auto"/>
              <w:right w:val="nil"/>
            </w:tcBorders>
            <w:shd w:val="clear" w:color="auto" w:fill="auto"/>
            <w:noWrap/>
            <w:vAlign w:val="center"/>
            <w:hideMark/>
          </w:tcPr>
          <w:p w14:paraId="68E3D957"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378" w:type="pct"/>
            <w:tcBorders>
              <w:top w:val="nil"/>
              <w:left w:val="nil"/>
              <w:bottom w:val="single" w:sz="4" w:space="0" w:color="auto"/>
              <w:right w:val="nil"/>
            </w:tcBorders>
            <w:shd w:val="clear" w:color="auto" w:fill="auto"/>
            <w:noWrap/>
            <w:vAlign w:val="center"/>
            <w:hideMark/>
          </w:tcPr>
          <w:p w14:paraId="0815D4D9"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78" w:type="pct"/>
            <w:tcBorders>
              <w:top w:val="nil"/>
              <w:left w:val="nil"/>
              <w:bottom w:val="single" w:sz="4" w:space="0" w:color="auto"/>
              <w:right w:val="nil"/>
            </w:tcBorders>
            <w:shd w:val="clear" w:color="auto" w:fill="auto"/>
            <w:noWrap/>
            <w:vAlign w:val="center"/>
            <w:hideMark/>
          </w:tcPr>
          <w:p w14:paraId="48932E1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379" w:type="pct"/>
            <w:tcBorders>
              <w:top w:val="nil"/>
              <w:left w:val="nil"/>
              <w:bottom w:val="single" w:sz="4" w:space="0" w:color="auto"/>
              <w:right w:val="nil"/>
            </w:tcBorders>
            <w:shd w:val="clear" w:color="auto" w:fill="auto"/>
            <w:noWrap/>
            <w:vAlign w:val="center"/>
            <w:hideMark/>
          </w:tcPr>
          <w:p w14:paraId="515B4CF1"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380" w:type="pct"/>
            <w:tcBorders>
              <w:top w:val="nil"/>
              <w:left w:val="nil"/>
              <w:bottom w:val="single" w:sz="4" w:space="0" w:color="auto"/>
              <w:right w:val="nil"/>
            </w:tcBorders>
            <w:shd w:val="clear" w:color="auto" w:fill="auto"/>
            <w:noWrap/>
            <w:vAlign w:val="center"/>
            <w:hideMark/>
          </w:tcPr>
          <w:p w14:paraId="36A3A2AD"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380" w:type="pct"/>
            <w:tcBorders>
              <w:top w:val="nil"/>
              <w:left w:val="nil"/>
              <w:bottom w:val="single" w:sz="4" w:space="0" w:color="auto"/>
              <w:right w:val="nil"/>
            </w:tcBorders>
            <w:shd w:val="clear" w:color="auto" w:fill="auto"/>
            <w:noWrap/>
            <w:vAlign w:val="center"/>
            <w:hideMark/>
          </w:tcPr>
          <w:p w14:paraId="3EA49A9E"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379" w:type="pct"/>
            <w:tcBorders>
              <w:top w:val="nil"/>
              <w:left w:val="nil"/>
              <w:bottom w:val="single" w:sz="4" w:space="0" w:color="auto"/>
              <w:right w:val="nil"/>
            </w:tcBorders>
            <w:shd w:val="clear" w:color="auto" w:fill="auto"/>
            <w:noWrap/>
            <w:vAlign w:val="center"/>
            <w:hideMark/>
          </w:tcPr>
          <w:p w14:paraId="4BCC7C16"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382" w:type="pct"/>
            <w:tcBorders>
              <w:top w:val="nil"/>
              <w:left w:val="nil"/>
              <w:bottom w:val="single" w:sz="4" w:space="0" w:color="auto"/>
              <w:right w:val="nil"/>
            </w:tcBorders>
            <w:shd w:val="clear" w:color="auto" w:fill="auto"/>
            <w:noWrap/>
            <w:vAlign w:val="center"/>
            <w:hideMark/>
          </w:tcPr>
          <w:p w14:paraId="7EC125EA"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0.020</w:t>
            </w:r>
          </w:p>
        </w:tc>
        <w:tc>
          <w:tcPr>
            <w:tcW w:w="388" w:type="pct"/>
            <w:tcBorders>
              <w:top w:val="nil"/>
              <w:left w:val="nil"/>
              <w:bottom w:val="single" w:sz="4" w:space="0" w:color="auto"/>
              <w:right w:val="nil"/>
            </w:tcBorders>
            <w:shd w:val="clear" w:color="auto" w:fill="auto"/>
            <w:noWrap/>
            <w:vAlign w:val="center"/>
            <w:hideMark/>
          </w:tcPr>
          <w:p w14:paraId="52D87E9D"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0.017</w:t>
            </w:r>
          </w:p>
        </w:tc>
        <w:tc>
          <w:tcPr>
            <w:tcW w:w="445" w:type="pct"/>
            <w:tcBorders>
              <w:top w:val="nil"/>
              <w:left w:val="nil"/>
              <w:bottom w:val="single" w:sz="4" w:space="0" w:color="auto"/>
              <w:right w:val="nil"/>
            </w:tcBorders>
            <w:shd w:val="clear" w:color="auto" w:fill="auto"/>
            <w:noWrap/>
            <w:vAlign w:val="center"/>
            <w:hideMark/>
          </w:tcPr>
          <w:p w14:paraId="567E2992" w14:textId="77777777" w:rsidR="00522EC5" w:rsidRPr="00644FC9" w:rsidRDefault="00522EC5" w:rsidP="0065482E">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100.0%</w:t>
            </w:r>
          </w:p>
        </w:tc>
      </w:tr>
    </w:tbl>
    <w:p w14:paraId="449B56D0" w14:textId="73603FAE" w:rsidR="00522EC5" w:rsidRPr="00644FC9" w:rsidRDefault="00522EC5" w:rsidP="00121B9E">
      <w:pPr>
        <w:adjustRightInd w:val="0"/>
        <w:snapToGrid w:val="0"/>
        <w:jc w:val="both"/>
        <w:rPr>
          <w:rFonts w:ascii="Times New Roman" w:eastAsia="新細明體" w:hAnsi="Times New Roman" w:cs="Times New Roman"/>
          <w:color w:val="000000" w:themeColor="text1"/>
          <w:szCs w:val="24"/>
        </w:rPr>
      </w:pPr>
      <w:r w:rsidRPr="00644FC9">
        <w:rPr>
          <w:rFonts w:ascii="Times New Roman" w:hAnsi="Times New Roman" w:cs="Times New Roman"/>
          <w:i/>
          <w:color w:val="000000" w:themeColor="text1"/>
          <w:szCs w:val="24"/>
        </w:rPr>
        <w:t>BHAR5</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BHAR21</w:t>
      </w:r>
      <w:r w:rsidRPr="00644FC9">
        <w:rPr>
          <w:rFonts w:ascii="Times New Roman" w:hAnsi="Times New Roman" w:cs="Times New Roman"/>
          <w:color w:val="000000" w:themeColor="text1"/>
          <w:szCs w:val="24"/>
        </w:rPr>
        <w:t xml:space="preserve">) is </w:t>
      </w:r>
      <w:r w:rsidR="00AB5009"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5-day (21-day)</w:t>
      </w:r>
      <w:r w:rsidR="00AB5009"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 size-adjusted</w:t>
      </w:r>
      <w:r w:rsidR="00AB5009"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 buy-and-hold returns after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’s </w:t>
      </w:r>
      <w:r w:rsidR="0065717A">
        <w:rPr>
          <w:rFonts w:ascii="Times New Roman" w:hAnsi="Times New Roman" w:cs="Times New Roman"/>
          <w:color w:val="000000" w:themeColor="text1"/>
          <w:szCs w:val="24"/>
        </w:rPr>
        <w:t>earnings-announcement</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BHARQ</w:t>
      </w:r>
      <w:r w:rsidRPr="00644FC9">
        <w:rPr>
          <w:rFonts w:ascii="Times New Roman" w:hAnsi="Times New Roman" w:cs="Times New Roman"/>
          <w:color w:val="000000" w:themeColor="text1"/>
          <w:szCs w:val="24"/>
        </w:rPr>
        <w:t xml:space="preserve"> is </w:t>
      </w:r>
      <w:r w:rsidR="00AB5009"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 xml:space="preserve">size-adjusted buy-and-hold return for the period beginning on the day after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’s </w:t>
      </w:r>
      <w:r w:rsidR="0065717A">
        <w:rPr>
          <w:rFonts w:ascii="Times New Roman" w:hAnsi="Times New Roman" w:cs="Times New Roman"/>
          <w:color w:val="000000" w:themeColor="text1"/>
          <w:szCs w:val="24"/>
        </w:rPr>
        <w:t>earnings-announcement</w:t>
      </w:r>
      <w:r w:rsidR="003F7E1E" w:rsidRPr="00644FC9">
        <w:rPr>
          <w:rFonts w:ascii="Times New Roman" w:hAnsi="Times New Roman" w:cs="Times New Roman"/>
          <w:color w:val="000000" w:themeColor="text1"/>
          <w:szCs w:val="24"/>
        </w:rPr>
        <w:t xml:space="preserve"> and</w:t>
      </w:r>
      <w:r w:rsidRPr="00644FC9">
        <w:rPr>
          <w:rFonts w:ascii="Times New Roman" w:hAnsi="Times New Roman" w:cs="Times New Roman"/>
          <w:color w:val="000000" w:themeColor="text1"/>
          <w:szCs w:val="24"/>
        </w:rPr>
        <w:t xml:space="preserve"> ending on the </w:t>
      </w:r>
      <w:r w:rsidR="005E6294" w:rsidRPr="005E6294">
        <w:rPr>
          <w:rFonts w:ascii="Times New Roman" w:hAnsi="Times New Roman" w:cs="Times New Roman"/>
          <w:color w:val="000000" w:themeColor="text1"/>
          <w:szCs w:val="24"/>
        </w:rPr>
        <w:t xml:space="preserve">second day before </w:t>
      </w:r>
      <w:r w:rsidRPr="00644FC9">
        <w:rPr>
          <w:rFonts w:ascii="Times New Roman" w:hAnsi="Times New Roman" w:cs="Times New Roman"/>
          <w:color w:val="000000" w:themeColor="text1"/>
          <w:szCs w:val="24"/>
        </w:rPr>
        <w:t xml:space="preserve">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+1’s </w:t>
      </w:r>
      <w:r w:rsidR="0065717A">
        <w:rPr>
          <w:rFonts w:ascii="Times New Roman" w:hAnsi="Times New Roman" w:cs="Times New Roman"/>
          <w:color w:val="000000" w:themeColor="text1"/>
          <w:szCs w:val="24"/>
        </w:rPr>
        <w:t>earnings-announcement</w:t>
      </w:r>
      <w:r w:rsidRPr="00644FC9">
        <w:rPr>
          <w:rFonts w:ascii="Times New Roman" w:hAnsi="Times New Roman" w:cs="Times New Roman"/>
          <w:color w:val="000000" w:themeColor="text1"/>
          <w:szCs w:val="24"/>
        </w:rPr>
        <w:t xml:space="preserve"> date. See the Table 1 for </w:t>
      </w:r>
      <w:r w:rsidR="00AB5009" w:rsidRPr="00644FC9">
        <w:rPr>
          <w:rFonts w:ascii="Times New Roman" w:hAnsi="Times New Roman" w:cs="Times New Roman"/>
          <w:color w:val="000000" w:themeColor="text1"/>
          <w:szCs w:val="24"/>
        </w:rPr>
        <w:t xml:space="preserve">definitions of the </w:t>
      </w:r>
      <w:r w:rsidRPr="00644FC9">
        <w:rPr>
          <w:rFonts w:ascii="Times New Roman" w:hAnsi="Times New Roman" w:cs="Times New Roman"/>
          <w:color w:val="000000" w:themeColor="text1"/>
          <w:szCs w:val="24"/>
        </w:rPr>
        <w:t>other variables.</w:t>
      </w:r>
    </w:p>
    <w:p w14:paraId="165E4547" w14:textId="77777777" w:rsidR="00522EC5" w:rsidRPr="00644FC9" w:rsidRDefault="00522EC5" w:rsidP="00222EBB">
      <w:pPr>
        <w:adjustRightInd w:val="0"/>
        <w:spacing w:line="480" w:lineRule="auto"/>
        <w:ind w:firstLineChars="200" w:firstLine="480"/>
        <w:rPr>
          <w:rFonts w:ascii="Times New Roman" w:eastAsia="新細明體" w:hAnsi="Times New Roman" w:cs="Times New Roman"/>
          <w:color w:val="000000" w:themeColor="text1"/>
          <w:szCs w:val="24"/>
        </w:rPr>
        <w:sectPr w:rsidR="00522EC5" w:rsidRPr="00644FC9" w:rsidSect="00A92677">
          <w:pgSz w:w="16838" w:h="11906" w:orient="landscape"/>
          <w:pgMar w:top="1440" w:right="1440" w:bottom="1440" w:left="1440" w:header="851" w:footer="992" w:gutter="0"/>
          <w:cols w:space="425"/>
          <w:docGrid w:type="lines" w:linePitch="360"/>
        </w:sectPr>
      </w:pPr>
    </w:p>
    <w:p w14:paraId="399474DB" w14:textId="01134D54" w:rsidR="009C3A2F" w:rsidRPr="00644FC9" w:rsidRDefault="009C3A2F" w:rsidP="009C3A2F">
      <w:pPr>
        <w:tabs>
          <w:tab w:val="left" w:pos="3686"/>
        </w:tabs>
        <w:adjustRightInd w:val="0"/>
        <w:spacing w:line="480" w:lineRule="auto"/>
        <w:ind w:firstLineChars="200" w:firstLine="480"/>
        <w:jc w:val="both"/>
        <w:rPr>
          <w:rFonts w:ascii="Times New Roman" w:eastAsia="新細明體" w:hAnsi="Times New Roman" w:cs="Times New Roman"/>
          <w:color w:val="000000" w:themeColor="text1"/>
          <w:szCs w:val="24"/>
        </w:rPr>
      </w:pPr>
      <w:r w:rsidRPr="00644FC9">
        <w:rPr>
          <w:rFonts w:ascii="Times New Roman" w:eastAsia="新細明體" w:hAnsi="Times New Roman" w:cs="Times New Roman"/>
          <w:color w:val="000000" w:themeColor="text1"/>
          <w:szCs w:val="24"/>
        </w:rPr>
        <w:lastRenderedPageBreak/>
        <w:t xml:space="preserve">Panel C of Table 2 shows </w:t>
      </w:r>
      <w:r w:rsidR="00AB5009" w:rsidRPr="00644FC9">
        <w:rPr>
          <w:rFonts w:ascii="Times New Roman" w:eastAsia="新細明體" w:hAnsi="Times New Roman" w:cs="Times New Roman"/>
          <w:color w:val="000000" w:themeColor="text1"/>
          <w:szCs w:val="24"/>
        </w:rPr>
        <w:t xml:space="preserve">that the </w:t>
      </w:r>
      <w:r w:rsidRPr="00644FC9">
        <w:rPr>
          <w:rFonts w:ascii="Times New Roman" w:eastAsia="新細明體" w:hAnsi="Times New Roman" w:cs="Times New Roman"/>
          <w:color w:val="000000" w:themeColor="text1"/>
          <w:szCs w:val="24"/>
        </w:rPr>
        <w:t>quarter</w:t>
      </w:r>
      <w:r w:rsidR="00AB5009" w:rsidRPr="00644FC9">
        <w:rPr>
          <w:rFonts w:ascii="Times New Roman" w:eastAsia="新細明體" w:hAnsi="Times New Roman" w:cs="Times New Roman"/>
          <w:color w:val="000000" w:themeColor="text1"/>
          <w:szCs w:val="24"/>
        </w:rPr>
        <w:t>ly</w:t>
      </w:r>
      <w:r w:rsidRPr="00644FC9">
        <w:rPr>
          <w:rFonts w:ascii="Times New Roman" w:eastAsia="新細明體" w:hAnsi="Times New Roman" w:cs="Times New Roman"/>
          <w:color w:val="000000" w:themeColor="text1"/>
          <w:szCs w:val="24"/>
        </w:rPr>
        <w:t xml:space="preserve"> hedge</w:t>
      </w:r>
      <w:r w:rsidR="00AB5009" w:rsidRPr="00644FC9">
        <w:rPr>
          <w:rFonts w:ascii="Times New Roman" w:eastAsia="新細明體" w:hAnsi="Times New Roman" w:cs="Times New Roman"/>
          <w:color w:val="000000" w:themeColor="text1"/>
          <w:szCs w:val="24"/>
        </w:rPr>
        <w:t>d</w:t>
      </w:r>
      <w:r w:rsidRPr="00644FC9">
        <w:rPr>
          <w:rFonts w:ascii="Times New Roman" w:eastAsia="新細明體" w:hAnsi="Times New Roman" w:cs="Times New Roman"/>
          <w:color w:val="000000" w:themeColor="text1"/>
          <w:szCs w:val="24"/>
        </w:rPr>
        <w:t xml:space="preserve"> portfolio returns of the unexpected</w:t>
      </w:r>
      <w:r w:rsidR="00313173" w:rsidRPr="00644FC9">
        <w:rPr>
          <w:rFonts w:ascii="Times New Roman" w:eastAsia="新細明體" w:hAnsi="Times New Roman" w:cs="Times New Roman"/>
          <w:color w:val="000000" w:themeColor="text1"/>
          <w:szCs w:val="24"/>
        </w:rPr>
        <w:t xml:space="preserve"> non-operating </w:t>
      </w:r>
      <w:r w:rsidRPr="00644FC9">
        <w:rPr>
          <w:rFonts w:ascii="Times New Roman" w:eastAsia="新細明體" w:hAnsi="Times New Roman" w:cs="Times New Roman"/>
          <w:color w:val="000000" w:themeColor="text1"/>
          <w:szCs w:val="24"/>
        </w:rPr>
        <w:t>income (</w:t>
      </w:r>
      <w:r w:rsidRPr="00644FC9">
        <w:rPr>
          <w:rFonts w:ascii="Times New Roman" w:eastAsia="新細明體" w:hAnsi="Times New Roman" w:cs="Times New Roman"/>
          <w:i/>
          <w:color w:val="000000" w:themeColor="text1"/>
          <w:szCs w:val="24"/>
        </w:rPr>
        <w:t>UNOI</w:t>
      </w:r>
      <w:r w:rsidRPr="00644FC9">
        <w:rPr>
          <w:rFonts w:ascii="Times New Roman" w:eastAsia="新細明體" w:hAnsi="Times New Roman" w:cs="Times New Roman"/>
          <w:color w:val="000000" w:themeColor="text1"/>
          <w:szCs w:val="24"/>
        </w:rPr>
        <w:t xml:space="preserve">) </w:t>
      </w:r>
      <w:r w:rsidR="00A856B0" w:rsidRPr="00644FC9">
        <w:rPr>
          <w:rFonts w:ascii="Times New Roman" w:eastAsia="新細明體" w:hAnsi="Times New Roman" w:cs="Times New Roman"/>
          <w:color w:val="000000" w:themeColor="text1"/>
          <w:szCs w:val="24"/>
        </w:rPr>
        <w:t>portfolio is 1.7</w:t>
      </w:r>
      <w:r w:rsidR="00AB5009" w:rsidRPr="00644FC9">
        <w:rPr>
          <w:rFonts w:ascii="Times New Roman" w:eastAsia="新細明體" w:hAnsi="Times New Roman" w:cs="Times New Roman"/>
          <w:color w:val="000000" w:themeColor="text1"/>
          <w:szCs w:val="24"/>
        </w:rPr>
        <w:t xml:space="preserve">% </w:t>
      </w:r>
      <w:r w:rsidR="00A856B0" w:rsidRPr="00644FC9">
        <w:rPr>
          <w:rFonts w:ascii="Times New Roman" w:eastAsia="新細明體" w:hAnsi="Times New Roman" w:cs="Times New Roman"/>
          <w:color w:val="000000" w:themeColor="text1"/>
          <w:szCs w:val="24"/>
        </w:rPr>
        <w:t>(-0.003</w:t>
      </w:r>
      <w:r w:rsidRPr="00644FC9">
        <w:rPr>
          <w:rFonts w:ascii="Times New Roman" w:eastAsia="新細明體" w:hAnsi="Times New Roman" w:cs="Times New Roman"/>
          <w:color w:val="000000" w:themeColor="text1"/>
          <w:szCs w:val="24"/>
        </w:rPr>
        <w:t xml:space="preserve"> + 0.020). </w:t>
      </w:r>
      <w:r w:rsidR="00AB5009" w:rsidRPr="00644FC9">
        <w:rPr>
          <w:rFonts w:ascii="Times New Roman" w:eastAsia="新細明體" w:hAnsi="Times New Roman" w:cs="Times New Roman"/>
          <w:color w:val="000000" w:themeColor="text1"/>
          <w:szCs w:val="24"/>
        </w:rPr>
        <w:t>T</w:t>
      </w:r>
      <w:r w:rsidRPr="00644FC9">
        <w:rPr>
          <w:rFonts w:ascii="Times New Roman" w:eastAsia="新細明體" w:hAnsi="Times New Roman" w:cs="Times New Roman"/>
          <w:color w:val="000000" w:themeColor="text1"/>
          <w:szCs w:val="24"/>
        </w:rPr>
        <w:t>he 5-day (21-day) hedge</w:t>
      </w:r>
      <w:r w:rsidR="00AB5009" w:rsidRPr="00644FC9">
        <w:rPr>
          <w:rFonts w:ascii="Times New Roman" w:eastAsia="新細明體" w:hAnsi="Times New Roman" w:cs="Times New Roman"/>
          <w:color w:val="000000" w:themeColor="text1"/>
          <w:szCs w:val="24"/>
        </w:rPr>
        <w:t>d</w:t>
      </w:r>
      <w:r w:rsidRPr="00644FC9">
        <w:rPr>
          <w:rFonts w:ascii="Times New Roman" w:eastAsia="新細明體" w:hAnsi="Times New Roman" w:cs="Times New Roman"/>
          <w:color w:val="000000" w:themeColor="text1"/>
          <w:szCs w:val="24"/>
        </w:rPr>
        <w:t xml:space="preserve"> portfolio returns are 1.5</w:t>
      </w:r>
      <w:r w:rsidR="00AB5009" w:rsidRPr="00644FC9">
        <w:rPr>
          <w:rFonts w:ascii="Times New Roman" w:eastAsia="新細明體" w:hAnsi="Times New Roman" w:cs="Times New Roman"/>
          <w:color w:val="000000" w:themeColor="text1"/>
          <w:szCs w:val="24"/>
        </w:rPr>
        <w:t xml:space="preserve">% </w:t>
      </w:r>
      <w:r w:rsidRPr="00644FC9">
        <w:rPr>
          <w:rFonts w:ascii="Times New Roman" w:eastAsia="新細明體" w:hAnsi="Times New Roman" w:cs="Times New Roman"/>
          <w:color w:val="000000" w:themeColor="text1"/>
          <w:szCs w:val="24"/>
        </w:rPr>
        <w:t>(1.9</w:t>
      </w:r>
      <w:r w:rsidR="00AB5009" w:rsidRPr="00644FC9">
        <w:rPr>
          <w:rFonts w:ascii="Times New Roman" w:eastAsia="新細明體" w:hAnsi="Times New Roman" w:cs="Times New Roman"/>
          <w:color w:val="000000" w:themeColor="text1"/>
          <w:szCs w:val="24"/>
        </w:rPr>
        <w:t>%</w:t>
      </w:r>
      <w:r w:rsidRPr="00644FC9">
        <w:rPr>
          <w:rFonts w:ascii="Times New Roman" w:eastAsia="新細明體" w:hAnsi="Times New Roman" w:cs="Times New Roman"/>
          <w:color w:val="000000" w:themeColor="text1"/>
          <w:szCs w:val="24"/>
        </w:rPr>
        <w:t>), which is 90.6</w:t>
      </w:r>
      <w:r w:rsidR="00AB5009" w:rsidRPr="00644FC9">
        <w:rPr>
          <w:rFonts w:ascii="Times New Roman" w:eastAsia="新細明體" w:hAnsi="Times New Roman" w:cs="Times New Roman"/>
          <w:color w:val="000000" w:themeColor="text1"/>
          <w:szCs w:val="24"/>
        </w:rPr>
        <w:t xml:space="preserve">% </w:t>
      </w:r>
      <w:r w:rsidRPr="00644FC9">
        <w:rPr>
          <w:rFonts w:ascii="Times New Roman" w:eastAsia="新細明體" w:hAnsi="Times New Roman" w:cs="Times New Roman"/>
          <w:color w:val="000000" w:themeColor="text1"/>
          <w:szCs w:val="24"/>
        </w:rPr>
        <w:t>(110.3</w:t>
      </w:r>
      <w:r w:rsidR="00AB5009" w:rsidRPr="00644FC9">
        <w:rPr>
          <w:rFonts w:ascii="Times New Roman" w:eastAsia="新細明體" w:hAnsi="Times New Roman" w:cs="Times New Roman"/>
          <w:color w:val="000000" w:themeColor="text1"/>
          <w:szCs w:val="24"/>
        </w:rPr>
        <w:t>%</w:t>
      </w:r>
      <w:r w:rsidRPr="00644FC9">
        <w:rPr>
          <w:rFonts w:ascii="Times New Roman" w:eastAsia="新細明體" w:hAnsi="Times New Roman" w:cs="Times New Roman"/>
          <w:color w:val="000000" w:themeColor="text1"/>
          <w:szCs w:val="24"/>
        </w:rPr>
        <w:t>) of the quarter</w:t>
      </w:r>
      <w:r w:rsidR="00AB5009" w:rsidRPr="00644FC9">
        <w:rPr>
          <w:rFonts w:ascii="Times New Roman" w:eastAsia="新細明體" w:hAnsi="Times New Roman" w:cs="Times New Roman"/>
          <w:color w:val="000000" w:themeColor="text1"/>
          <w:szCs w:val="24"/>
        </w:rPr>
        <w:t>ly</w:t>
      </w:r>
      <w:r w:rsidRPr="00644FC9">
        <w:rPr>
          <w:rFonts w:ascii="Times New Roman" w:eastAsia="新細明體" w:hAnsi="Times New Roman" w:cs="Times New Roman"/>
          <w:color w:val="000000" w:themeColor="text1"/>
          <w:szCs w:val="24"/>
        </w:rPr>
        <w:t xml:space="preserve"> hedge</w:t>
      </w:r>
      <w:r w:rsidR="00AB5009" w:rsidRPr="00644FC9">
        <w:rPr>
          <w:rFonts w:ascii="Times New Roman" w:eastAsia="新細明體" w:hAnsi="Times New Roman" w:cs="Times New Roman"/>
          <w:color w:val="000000" w:themeColor="text1"/>
          <w:szCs w:val="24"/>
        </w:rPr>
        <w:t>d</w:t>
      </w:r>
      <w:r w:rsidRPr="00644FC9">
        <w:rPr>
          <w:rFonts w:ascii="Times New Roman" w:eastAsia="新細明體" w:hAnsi="Times New Roman" w:cs="Times New Roman"/>
          <w:color w:val="000000" w:themeColor="text1"/>
          <w:szCs w:val="24"/>
        </w:rPr>
        <w:t xml:space="preserve"> portfolio returns. Compar</w:t>
      </w:r>
      <w:r w:rsidR="00AB5009" w:rsidRPr="00644FC9">
        <w:rPr>
          <w:rFonts w:ascii="Times New Roman" w:eastAsia="新細明體" w:hAnsi="Times New Roman" w:cs="Times New Roman"/>
          <w:color w:val="000000" w:themeColor="text1"/>
          <w:szCs w:val="24"/>
        </w:rPr>
        <w:t xml:space="preserve">ed to </w:t>
      </w:r>
      <w:r w:rsidRPr="00644FC9">
        <w:rPr>
          <w:rFonts w:ascii="Times New Roman" w:eastAsia="新細明體" w:hAnsi="Times New Roman" w:cs="Times New Roman"/>
          <w:color w:val="000000" w:themeColor="text1"/>
          <w:szCs w:val="24"/>
        </w:rPr>
        <w:t>the unexpected earnings (</w:t>
      </w:r>
      <w:r w:rsidRPr="00644FC9">
        <w:rPr>
          <w:rFonts w:ascii="Times New Roman" w:eastAsia="新細明體" w:hAnsi="Times New Roman" w:cs="Times New Roman"/>
          <w:i/>
          <w:color w:val="000000" w:themeColor="text1"/>
          <w:szCs w:val="24"/>
        </w:rPr>
        <w:t>UE</w:t>
      </w:r>
      <w:r w:rsidRPr="00644FC9">
        <w:rPr>
          <w:rFonts w:ascii="Times New Roman" w:eastAsia="新細明體" w:hAnsi="Times New Roman" w:cs="Times New Roman"/>
          <w:color w:val="000000" w:themeColor="text1"/>
          <w:szCs w:val="24"/>
        </w:rPr>
        <w:t>) portfolio, the unexpected</w:t>
      </w:r>
      <w:r w:rsidR="00313173" w:rsidRPr="00644FC9">
        <w:rPr>
          <w:rFonts w:ascii="Times New Roman" w:eastAsia="新細明體" w:hAnsi="Times New Roman" w:cs="Times New Roman"/>
          <w:color w:val="000000" w:themeColor="text1"/>
          <w:szCs w:val="24"/>
        </w:rPr>
        <w:t xml:space="preserve"> non-operating </w:t>
      </w:r>
      <w:r w:rsidRPr="00644FC9">
        <w:rPr>
          <w:rFonts w:ascii="Times New Roman" w:eastAsia="新細明體" w:hAnsi="Times New Roman" w:cs="Times New Roman"/>
          <w:color w:val="000000" w:themeColor="text1"/>
          <w:szCs w:val="24"/>
        </w:rPr>
        <w:t>income (</w:t>
      </w:r>
      <w:r w:rsidRPr="00644FC9">
        <w:rPr>
          <w:rFonts w:ascii="Times New Roman" w:eastAsia="新細明體" w:hAnsi="Times New Roman" w:cs="Times New Roman"/>
          <w:i/>
          <w:color w:val="000000" w:themeColor="text1"/>
          <w:szCs w:val="24"/>
        </w:rPr>
        <w:t>UNOI</w:t>
      </w:r>
      <w:r w:rsidRPr="00644FC9">
        <w:rPr>
          <w:rFonts w:ascii="Times New Roman" w:eastAsia="新細明體" w:hAnsi="Times New Roman" w:cs="Times New Roman"/>
          <w:color w:val="000000" w:themeColor="text1"/>
          <w:szCs w:val="24"/>
        </w:rPr>
        <w:t xml:space="preserve">) portfolio shows </w:t>
      </w:r>
      <w:r w:rsidR="00AB5009" w:rsidRPr="00644FC9">
        <w:rPr>
          <w:rFonts w:ascii="Times New Roman" w:eastAsia="新細明體" w:hAnsi="Times New Roman" w:cs="Times New Roman"/>
          <w:color w:val="000000" w:themeColor="text1"/>
          <w:szCs w:val="24"/>
        </w:rPr>
        <w:t xml:space="preserve">a </w:t>
      </w:r>
      <w:r w:rsidRPr="00644FC9">
        <w:rPr>
          <w:rFonts w:ascii="Times New Roman" w:eastAsia="新細明體" w:hAnsi="Times New Roman" w:cs="Times New Roman"/>
          <w:color w:val="000000" w:themeColor="text1"/>
          <w:szCs w:val="24"/>
        </w:rPr>
        <w:t>significantly smaller hedge return</w:t>
      </w:r>
      <w:r w:rsidR="00AB5009" w:rsidRPr="00644FC9">
        <w:rPr>
          <w:rFonts w:ascii="Times New Roman" w:eastAsia="新細明體" w:hAnsi="Times New Roman" w:cs="Times New Roman"/>
          <w:color w:val="000000" w:themeColor="text1"/>
          <w:szCs w:val="24"/>
        </w:rPr>
        <w:t>,</w:t>
      </w:r>
      <w:r w:rsidRPr="00644FC9">
        <w:rPr>
          <w:rFonts w:ascii="Times New Roman" w:eastAsia="新細明體" w:hAnsi="Times New Roman" w:cs="Times New Roman"/>
          <w:color w:val="000000" w:themeColor="text1"/>
          <w:szCs w:val="24"/>
        </w:rPr>
        <w:t xml:space="preserve"> but a faster price response. </w:t>
      </w:r>
      <w:r w:rsidR="00735401" w:rsidRPr="00644FC9">
        <w:rPr>
          <w:rFonts w:ascii="Times New Roman" w:eastAsia="新細明體" w:hAnsi="Times New Roman" w:cs="Times New Roman" w:hint="eastAsia"/>
          <w:color w:val="000000" w:themeColor="text1"/>
          <w:szCs w:val="24"/>
        </w:rPr>
        <w:t xml:space="preserve">In sum, </w:t>
      </w:r>
      <w:r w:rsidR="00735401" w:rsidRPr="00644FC9">
        <w:rPr>
          <w:rFonts w:ascii="Times New Roman" w:eastAsia="新細明體" w:hAnsi="Times New Roman" w:cs="Times New Roman"/>
          <w:color w:val="000000" w:themeColor="text1"/>
          <w:szCs w:val="24"/>
        </w:rPr>
        <w:t>t</w:t>
      </w:r>
      <w:r w:rsidRPr="00644FC9">
        <w:rPr>
          <w:rFonts w:ascii="Times New Roman" w:eastAsia="新細明體" w:hAnsi="Times New Roman" w:cs="Times New Roman"/>
          <w:color w:val="000000" w:themeColor="text1"/>
          <w:szCs w:val="24"/>
        </w:rPr>
        <w:t xml:space="preserve">he delayed market response is </w:t>
      </w:r>
      <w:r w:rsidR="00FF07ED" w:rsidRPr="00644FC9">
        <w:rPr>
          <w:rFonts w:ascii="Times New Roman" w:eastAsia="新細明體" w:hAnsi="Times New Roman" w:cs="Times New Roman"/>
          <w:color w:val="000000" w:themeColor="text1"/>
          <w:szCs w:val="24"/>
        </w:rPr>
        <w:t>smaller and faster for unexpected</w:t>
      </w:r>
      <w:r w:rsidR="00313173" w:rsidRPr="00644FC9">
        <w:rPr>
          <w:rFonts w:ascii="Times New Roman" w:eastAsia="新細明體" w:hAnsi="Times New Roman" w:cs="Times New Roman"/>
          <w:color w:val="000000" w:themeColor="text1"/>
          <w:szCs w:val="24"/>
        </w:rPr>
        <w:t xml:space="preserve"> non-operating </w:t>
      </w:r>
      <w:r w:rsidR="00FF07ED" w:rsidRPr="00644FC9">
        <w:rPr>
          <w:rFonts w:ascii="Times New Roman" w:eastAsia="新細明體" w:hAnsi="Times New Roman" w:cs="Times New Roman"/>
          <w:color w:val="000000" w:themeColor="text1"/>
          <w:szCs w:val="24"/>
        </w:rPr>
        <w:t>income (</w:t>
      </w:r>
      <w:r w:rsidR="00FF07ED" w:rsidRPr="00644FC9">
        <w:rPr>
          <w:rFonts w:ascii="Times New Roman" w:eastAsia="新細明體" w:hAnsi="Times New Roman" w:cs="Times New Roman"/>
          <w:i/>
          <w:color w:val="000000" w:themeColor="text1"/>
          <w:szCs w:val="24"/>
        </w:rPr>
        <w:t>UNOI</w:t>
      </w:r>
      <w:r w:rsidR="00FF07ED" w:rsidRPr="00644FC9">
        <w:rPr>
          <w:rFonts w:ascii="Times New Roman" w:eastAsia="新細明體" w:hAnsi="Times New Roman" w:cs="Times New Roman"/>
          <w:color w:val="000000" w:themeColor="text1"/>
          <w:szCs w:val="24"/>
        </w:rPr>
        <w:t>) than for unexpected operating income (</w:t>
      </w:r>
      <w:r w:rsidR="00FF07ED" w:rsidRPr="00644FC9">
        <w:rPr>
          <w:rFonts w:ascii="Times New Roman" w:eastAsia="新細明體" w:hAnsi="Times New Roman" w:cs="Times New Roman"/>
          <w:i/>
          <w:color w:val="000000" w:themeColor="text1"/>
          <w:szCs w:val="24"/>
        </w:rPr>
        <w:t>UOI</w:t>
      </w:r>
      <w:r w:rsidR="00FF07ED" w:rsidRPr="00644FC9">
        <w:rPr>
          <w:rFonts w:ascii="Times New Roman" w:eastAsia="新細明體" w:hAnsi="Times New Roman" w:cs="Times New Roman"/>
          <w:color w:val="000000" w:themeColor="text1"/>
          <w:szCs w:val="24"/>
        </w:rPr>
        <w:t>)</w:t>
      </w:r>
      <w:r w:rsidRPr="00644FC9">
        <w:rPr>
          <w:rFonts w:ascii="Times New Roman" w:eastAsia="新細明體" w:hAnsi="Times New Roman" w:cs="Times New Roman"/>
          <w:color w:val="000000" w:themeColor="text1"/>
          <w:szCs w:val="24"/>
        </w:rPr>
        <w:t>.</w:t>
      </w:r>
    </w:p>
    <w:p w14:paraId="0F53DB04" w14:textId="3EF99ECB" w:rsidR="009C3A2F" w:rsidRPr="00644FC9" w:rsidRDefault="009C3A2F" w:rsidP="009C3A2F">
      <w:pPr>
        <w:tabs>
          <w:tab w:val="left" w:pos="3686"/>
        </w:tabs>
        <w:adjustRightInd w:val="0"/>
        <w:spacing w:line="480" w:lineRule="auto"/>
        <w:ind w:firstLineChars="200" w:firstLine="480"/>
        <w:jc w:val="both"/>
        <w:rPr>
          <w:rFonts w:ascii="Times New Roman" w:eastAsia="新細明體" w:hAnsi="Times New Roman" w:cs="Times New Roman"/>
          <w:color w:val="000000" w:themeColor="text1"/>
          <w:szCs w:val="24"/>
        </w:rPr>
      </w:pPr>
      <w:r w:rsidRPr="00644FC9">
        <w:rPr>
          <w:rFonts w:ascii="Times New Roman" w:eastAsia="新細明體" w:hAnsi="Times New Roman" w:cs="Times New Roman"/>
          <w:color w:val="000000" w:themeColor="text1"/>
          <w:szCs w:val="24"/>
        </w:rPr>
        <w:t>So far the unexpected earnings, operating and</w:t>
      </w:r>
      <w:r w:rsidR="00313173" w:rsidRPr="00644FC9">
        <w:rPr>
          <w:rFonts w:ascii="Times New Roman" w:eastAsia="新細明體" w:hAnsi="Times New Roman" w:cs="Times New Roman"/>
          <w:color w:val="000000" w:themeColor="text1"/>
          <w:szCs w:val="24"/>
        </w:rPr>
        <w:t xml:space="preserve"> non-operating </w:t>
      </w:r>
      <w:r w:rsidRPr="00644FC9">
        <w:rPr>
          <w:rFonts w:ascii="Times New Roman" w:eastAsia="新細明體" w:hAnsi="Times New Roman" w:cs="Times New Roman"/>
          <w:color w:val="000000" w:themeColor="text1"/>
          <w:szCs w:val="24"/>
        </w:rPr>
        <w:t>income strategies have been indepe</w:t>
      </w:r>
      <w:r w:rsidR="003C08D3" w:rsidRPr="00644FC9">
        <w:rPr>
          <w:rFonts w:ascii="Times New Roman" w:eastAsia="新細明體" w:hAnsi="Times New Roman" w:cs="Times New Roman"/>
          <w:color w:val="000000" w:themeColor="text1"/>
          <w:szCs w:val="24"/>
        </w:rPr>
        <w:t>ndently examined. If the market’</w:t>
      </w:r>
      <w:r w:rsidRPr="00644FC9">
        <w:rPr>
          <w:rFonts w:ascii="Times New Roman" w:eastAsia="新細明體" w:hAnsi="Times New Roman" w:cs="Times New Roman"/>
          <w:color w:val="000000" w:themeColor="text1"/>
          <w:szCs w:val="24"/>
        </w:rPr>
        <w:t>s mispricing of unexpected operating or</w:t>
      </w:r>
      <w:r w:rsidR="00313173" w:rsidRPr="00644FC9">
        <w:rPr>
          <w:rFonts w:ascii="Times New Roman" w:eastAsia="新細明體" w:hAnsi="Times New Roman" w:cs="Times New Roman"/>
          <w:color w:val="000000" w:themeColor="text1"/>
          <w:szCs w:val="24"/>
        </w:rPr>
        <w:t xml:space="preserve"> non-operating </w:t>
      </w:r>
      <w:r w:rsidRPr="00644FC9">
        <w:rPr>
          <w:rFonts w:ascii="Times New Roman" w:eastAsia="新細明體" w:hAnsi="Times New Roman" w:cs="Times New Roman"/>
          <w:color w:val="000000" w:themeColor="text1"/>
          <w:szCs w:val="24"/>
        </w:rPr>
        <w:t>income is part of the post-</w:t>
      </w:r>
      <w:r w:rsidR="0065717A">
        <w:rPr>
          <w:rFonts w:ascii="Times New Roman" w:eastAsia="新細明體" w:hAnsi="Times New Roman" w:cs="Times New Roman"/>
          <w:color w:val="000000" w:themeColor="text1"/>
          <w:szCs w:val="24"/>
        </w:rPr>
        <w:t>earnings-announcement</w:t>
      </w:r>
      <w:r w:rsidRPr="00644FC9">
        <w:rPr>
          <w:rFonts w:ascii="Times New Roman" w:eastAsia="新細明體" w:hAnsi="Times New Roman" w:cs="Times New Roman"/>
          <w:color w:val="000000" w:themeColor="text1"/>
          <w:szCs w:val="24"/>
        </w:rPr>
        <w:t xml:space="preserve"> drift, then it should be possible to form trading strategies that capitalize on </w:t>
      </w:r>
      <w:r w:rsidR="00AB5009" w:rsidRPr="00644FC9">
        <w:rPr>
          <w:rFonts w:ascii="Times New Roman" w:eastAsia="新細明體" w:hAnsi="Times New Roman" w:cs="Times New Roman"/>
          <w:color w:val="000000" w:themeColor="text1"/>
          <w:szCs w:val="24"/>
        </w:rPr>
        <w:t xml:space="preserve">an </w:t>
      </w:r>
      <w:r w:rsidRPr="00644FC9">
        <w:rPr>
          <w:rFonts w:ascii="Times New Roman" w:eastAsia="新細明體" w:hAnsi="Times New Roman" w:cs="Times New Roman"/>
          <w:color w:val="000000" w:themeColor="text1"/>
          <w:szCs w:val="24"/>
        </w:rPr>
        <w:t>unexpected earnings strategy with operating or</w:t>
      </w:r>
      <w:r w:rsidR="00313173" w:rsidRPr="00644FC9">
        <w:rPr>
          <w:rFonts w:ascii="Times New Roman" w:eastAsia="新細明體" w:hAnsi="Times New Roman" w:cs="Times New Roman"/>
          <w:color w:val="000000" w:themeColor="text1"/>
          <w:szCs w:val="24"/>
        </w:rPr>
        <w:t xml:space="preserve"> non-operating </w:t>
      </w:r>
      <w:r w:rsidRPr="00644FC9">
        <w:rPr>
          <w:rFonts w:ascii="Times New Roman" w:eastAsia="新細明體" w:hAnsi="Times New Roman" w:cs="Times New Roman"/>
          <w:color w:val="000000" w:themeColor="text1"/>
          <w:szCs w:val="24"/>
        </w:rPr>
        <w:t xml:space="preserve">income strategies </w:t>
      </w:r>
      <w:r w:rsidR="00AB5009" w:rsidRPr="00644FC9">
        <w:rPr>
          <w:rFonts w:ascii="Times New Roman" w:eastAsia="新細明體" w:hAnsi="Times New Roman" w:cs="Times New Roman"/>
          <w:color w:val="000000" w:themeColor="text1"/>
          <w:szCs w:val="24"/>
        </w:rPr>
        <w:t xml:space="preserve">that </w:t>
      </w:r>
      <w:r w:rsidRPr="00644FC9">
        <w:rPr>
          <w:rFonts w:ascii="Times New Roman" w:eastAsia="新細明體" w:hAnsi="Times New Roman" w:cs="Times New Roman"/>
          <w:color w:val="000000" w:themeColor="text1"/>
          <w:szCs w:val="24"/>
        </w:rPr>
        <w:t xml:space="preserve">yield smaller hedge returns than the unexpected earnings strategy in Panel </w:t>
      </w:r>
      <w:proofErr w:type="gramStart"/>
      <w:r w:rsidRPr="00644FC9">
        <w:rPr>
          <w:rFonts w:ascii="Times New Roman" w:eastAsia="新細明體" w:hAnsi="Times New Roman" w:cs="Times New Roman"/>
          <w:color w:val="000000" w:themeColor="text1"/>
          <w:szCs w:val="24"/>
        </w:rPr>
        <w:t>A</w:t>
      </w:r>
      <w:proofErr w:type="gramEnd"/>
      <w:r w:rsidRPr="00644FC9">
        <w:rPr>
          <w:rFonts w:ascii="Times New Roman" w:eastAsia="新細明體" w:hAnsi="Times New Roman" w:cs="Times New Roman"/>
          <w:color w:val="000000" w:themeColor="text1"/>
          <w:szCs w:val="24"/>
        </w:rPr>
        <w:t xml:space="preserve"> of Table 2.</w:t>
      </w:r>
    </w:p>
    <w:p w14:paraId="1F05D9AF" w14:textId="57ED91E7" w:rsidR="00314652" w:rsidRPr="00644FC9" w:rsidRDefault="009E45C0" w:rsidP="002F500F">
      <w:pPr>
        <w:tabs>
          <w:tab w:val="left" w:pos="3686"/>
        </w:tabs>
        <w:adjustRightInd w:val="0"/>
        <w:spacing w:line="480" w:lineRule="auto"/>
        <w:ind w:firstLineChars="200" w:firstLine="480"/>
        <w:jc w:val="both"/>
        <w:rPr>
          <w:rFonts w:ascii="Times New Roman" w:eastAsia="新細明體" w:hAnsi="Times New Roman" w:cs="Times New Roman"/>
          <w:color w:val="000000" w:themeColor="text1"/>
          <w:szCs w:val="24"/>
        </w:rPr>
      </w:pPr>
      <w:r w:rsidRPr="00644FC9">
        <w:rPr>
          <w:rFonts w:ascii="Times New Roman" w:eastAsia="新細明體" w:hAnsi="Times New Roman" w:cs="Times New Roman"/>
          <w:color w:val="000000" w:themeColor="text1"/>
          <w:szCs w:val="24"/>
        </w:rPr>
        <w:t>Table 3 show</w:t>
      </w:r>
      <w:r w:rsidR="00836237" w:rsidRPr="00644FC9">
        <w:rPr>
          <w:rFonts w:ascii="Times New Roman" w:eastAsia="新細明體" w:hAnsi="Times New Roman" w:cs="Times New Roman"/>
          <w:color w:val="000000" w:themeColor="text1"/>
          <w:szCs w:val="24"/>
        </w:rPr>
        <w:t xml:space="preserve">s a contingency table of abnormal returns earned from portfolios constructed by grouping </w:t>
      </w:r>
      <w:r w:rsidR="00AB5009" w:rsidRPr="00644FC9">
        <w:rPr>
          <w:rFonts w:ascii="Times New Roman" w:eastAsia="新細明體" w:hAnsi="Times New Roman" w:cs="Times New Roman"/>
          <w:color w:val="000000" w:themeColor="text1"/>
          <w:szCs w:val="24"/>
        </w:rPr>
        <w:t xml:space="preserve">together </w:t>
      </w:r>
      <w:r w:rsidR="00836237" w:rsidRPr="00644FC9">
        <w:rPr>
          <w:rFonts w:ascii="Times New Roman" w:eastAsia="新細明體" w:hAnsi="Times New Roman" w:cs="Times New Roman"/>
          <w:color w:val="000000" w:themeColor="text1"/>
          <w:szCs w:val="24"/>
        </w:rPr>
        <w:t xml:space="preserve">firms according to </w:t>
      </w:r>
      <w:r w:rsidR="00B058CD" w:rsidRPr="00644FC9">
        <w:rPr>
          <w:rFonts w:ascii="Times New Roman" w:eastAsia="新細明體" w:hAnsi="Times New Roman" w:cs="Times New Roman"/>
          <w:color w:val="000000" w:themeColor="text1"/>
          <w:szCs w:val="24"/>
        </w:rPr>
        <w:t xml:space="preserve">all of the </w:t>
      </w:r>
      <w:r w:rsidR="00836237" w:rsidRPr="00644FC9">
        <w:rPr>
          <w:rFonts w:ascii="Times New Roman" w:eastAsia="新細明體" w:hAnsi="Times New Roman" w:cs="Times New Roman"/>
          <w:color w:val="000000" w:themeColor="text1"/>
          <w:szCs w:val="24"/>
        </w:rPr>
        <w:t>unexpected earnings</w:t>
      </w:r>
      <w:r w:rsidR="00B058CD" w:rsidRPr="00644FC9">
        <w:rPr>
          <w:rFonts w:ascii="Times New Roman" w:eastAsia="新細明體" w:hAnsi="Times New Roman" w:cs="Times New Roman"/>
          <w:color w:val="000000" w:themeColor="text1"/>
          <w:szCs w:val="24"/>
        </w:rPr>
        <w:t xml:space="preserve">, operating </w:t>
      </w:r>
      <w:r w:rsidR="00836237" w:rsidRPr="00644FC9">
        <w:rPr>
          <w:rFonts w:ascii="Times New Roman" w:eastAsia="新細明體" w:hAnsi="Times New Roman" w:cs="Times New Roman"/>
          <w:color w:val="000000" w:themeColor="text1"/>
          <w:szCs w:val="24"/>
        </w:rPr>
        <w:t>and</w:t>
      </w:r>
      <w:r w:rsidR="00313173" w:rsidRPr="00644FC9">
        <w:rPr>
          <w:rFonts w:ascii="Times New Roman" w:eastAsia="新細明體" w:hAnsi="Times New Roman" w:cs="Times New Roman"/>
          <w:color w:val="000000" w:themeColor="text1"/>
          <w:szCs w:val="24"/>
        </w:rPr>
        <w:t xml:space="preserve"> non-operating </w:t>
      </w:r>
      <w:r w:rsidR="00B058CD" w:rsidRPr="00644FC9">
        <w:rPr>
          <w:rFonts w:ascii="Times New Roman" w:eastAsia="新細明體" w:hAnsi="Times New Roman" w:cs="Times New Roman"/>
          <w:color w:val="000000" w:themeColor="text1"/>
          <w:szCs w:val="24"/>
        </w:rPr>
        <w:t>income</w:t>
      </w:r>
      <w:r w:rsidR="00836237" w:rsidRPr="00644FC9">
        <w:rPr>
          <w:rFonts w:ascii="Times New Roman" w:eastAsia="新細明體" w:hAnsi="Times New Roman" w:cs="Times New Roman"/>
          <w:color w:val="000000" w:themeColor="text1"/>
          <w:szCs w:val="24"/>
        </w:rPr>
        <w:t>.</w:t>
      </w:r>
      <w:r w:rsidRPr="00644FC9">
        <w:rPr>
          <w:rFonts w:ascii="Times New Roman" w:eastAsia="新細明體" w:hAnsi="Times New Roman" w:cs="Times New Roman"/>
          <w:color w:val="000000" w:themeColor="text1"/>
          <w:szCs w:val="24"/>
        </w:rPr>
        <w:t xml:space="preserve"> </w:t>
      </w:r>
      <w:r w:rsidR="006D53A1" w:rsidRPr="00644FC9">
        <w:rPr>
          <w:rFonts w:ascii="Times New Roman" w:eastAsia="新細明體" w:hAnsi="Times New Roman" w:cs="Times New Roman"/>
          <w:color w:val="000000" w:themeColor="text1"/>
          <w:szCs w:val="24"/>
        </w:rPr>
        <w:t>The numbe</w:t>
      </w:r>
      <w:r w:rsidR="000025C7" w:rsidRPr="00644FC9">
        <w:rPr>
          <w:rFonts w:ascii="Times New Roman" w:eastAsia="新細明體" w:hAnsi="Times New Roman" w:cs="Times New Roman"/>
          <w:color w:val="000000" w:themeColor="text1"/>
          <w:szCs w:val="24"/>
        </w:rPr>
        <w:t xml:space="preserve">rs of firm-quarters </w:t>
      </w:r>
      <w:r w:rsidR="00AB5009" w:rsidRPr="00644FC9">
        <w:rPr>
          <w:rFonts w:ascii="Times New Roman" w:eastAsia="新細明體" w:hAnsi="Times New Roman" w:cs="Times New Roman"/>
          <w:color w:val="000000" w:themeColor="text1"/>
          <w:szCs w:val="24"/>
        </w:rPr>
        <w:t xml:space="preserve">in </w:t>
      </w:r>
      <w:r w:rsidR="000025C7" w:rsidRPr="00644FC9">
        <w:rPr>
          <w:rFonts w:ascii="Times New Roman" w:eastAsia="新細明體" w:hAnsi="Times New Roman" w:cs="Times New Roman"/>
          <w:color w:val="000000" w:themeColor="text1"/>
          <w:szCs w:val="24"/>
        </w:rPr>
        <w:t>each cell</w:t>
      </w:r>
      <w:r w:rsidR="006D53A1" w:rsidRPr="00644FC9">
        <w:rPr>
          <w:rFonts w:ascii="Times New Roman" w:eastAsia="新細明體" w:hAnsi="Times New Roman" w:cs="Times New Roman"/>
          <w:color w:val="000000" w:themeColor="text1"/>
          <w:szCs w:val="24"/>
        </w:rPr>
        <w:t xml:space="preserve"> are reported in parentheses.</w:t>
      </w:r>
      <w:r w:rsidR="002076AE" w:rsidRPr="00644FC9">
        <w:rPr>
          <w:rFonts w:ascii="Times New Roman" w:eastAsia="新細明體" w:hAnsi="Times New Roman" w:cs="Times New Roman"/>
          <w:color w:val="000000" w:themeColor="text1"/>
          <w:szCs w:val="24"/>
        </w:rPr>
        <w:t xml:space="preserve"> </w:t>
      </w:r>
      <w:r w:rsidR="006D53A1" w:rsidRPr="00644FC9">
        <w:rPr>
          <w:rFonts w:ascii="Times New Roman" w:eastAsia="新細明體" w:hAnsi="Times New Roman" w:cs="Times New Roman"/>
          <w:color w:val="000000" w:themeColor="text1"/>
          <w:szCs w:val="24"/>
        </w:rPr>
        <w:t>To simplify, quintiles 2-4 have been condensed into a single cell, while the extreme quintiles (1 and 5) are presented separately.</w:t>
      </w:r>
      <w:r w:rsidR="002076AE" w:rsidRPr="00644FC9">
        <w:rPr>
          <w:rFonts w:ascii="Times New Roman" w:eastAsia="新細明體" w:hAnsi="Times New Roman" w:cs="Times New Roman"/>
          <w:color w:val="000000" w:themeColor="text1"/>
          <w:szCs w:val="24"/>
        </w:rPr>
        <w:t xml:space="preserve"> </w:t>
      </w:r>
      <w:r w:rsidR="009C0D81" w:rsidRPr="00644FC9">
        <w:rPr>
          <w:rFonts w:ascii="Times New Roman" w:eastAsia="新細明體" w:hAnsi="Times New Roman" w:cs="Times New Roman"/>
          <w:color w:val="000000" w:themeColor="text1"/>
          <w:szCs w:val="24"/>
        </w:rPr>
        <w:t xml:space="preserve">Panel </w:t>
      </w:r>
      <w:proofErr w:type="gramStart"/>
      <w:r w:rsidR="009C0D81" w:rsidRPr="00644FC9">
        <w:rPr>
          <w:rFonts w:ascii="Times New Roman" w:eastAsia="新細明體" w:hAnsi="Times New Roman" w:cs="Times New Roman"/>
          <w:color w:val="000000" w:themeColor="text1"/>
          <w:szCs w:val="24"/>
        </w:rPr>
        <w:t>A</w:t>
      </w:r>
      <w:proofErr w:type="gramEnd"/>
      <w:r w:rsidR="009C0D81" w:rsidRPr="00644FC9">
        <w:rPr>
          <w:rFonts w:ascii="Times New Roman" w:eastAsia="新細明體" w:hAnsi="Times New Roman" w:cs="Times New Roman"/>
          <w:color w:val="000000" w:themeColor="text1"/>
          <w:szCs w:val="24"/>
        </w:rPr>
        <w:t xml:space="preserve"> of Table 3 presents </w:t>
      </w:r>
      <w:r w:rsidR="00314652" w:rsidRPr="00644FC9">
        <w:rPr>
          <w:rFonts w:ascii="Times New Roman" w:eastAsia="新細明體" w:hAnsi="Times New Roman" w:cs="Times New Roman"/>
          <w:color w:val="000000" w:themeColor="text1"/>
          <w:szCs w:val="24"/>
        </w:rPr>
        <w:t xml:space="preserve">the results of </w:t>
      </w:r>
      <w:r w:rsidR="00AB5009" w:rsidRPr="00644FC9">
        <w:rPr>
          <w:rFonts w:ascii="Times New Roman" w:eastAsia="新細明體" w:hAnsi="Times New Roman" w:cs="Times New Roman"/>
          <w:color w:val="000000" w:themeColor="text1"/>
          <w:szCs w:val="24"/>
        </w:rPr>
        <w:t xml:space="preserve">a </w:t>
      </w:r>
      <w:r w:rsidR="009C0D81" w:rsidRPr="00644FC9">
        <w:rPr>
          <w:rFonts w:ascii="Times New Roman" w:eastAsia="新細明體" w:hAnsi="Times New Roman" w:cs="Times New Roman"/>
          <w:color w:val="000000" w:themeColor="text1"/>
          <w:szCs w:val="24"/>
        </w:rPr>
        <w:t xml:space="preserve">joint strategy </w:t>
      </w:r>
      <w:r w:rsidR="009C3A2F" w:rsidRPr="00644FC9">
        <w:rPr>
          <w:rFonts w:ascii="Times New Roman" w:eastAsia="新細明體" w:hAnsi="Times New Roman" w:cs="Times New Roman"/>
          <w:color w:val="000000" w:themeColor="text1"/>
          <w:szCs w:val="24"/>
        </w:rPr>
        <w:t>form</w:t>
      </w:r>
      <w:r w:rsidR="00AB5009" w:rsidRPr="00644FC9">
        <w:rPr>
          <w:rFonts w:ascii="Times New Roman" w:eastAsia="新細明體" w:hAnsi="Times New Roman" w:cs="Times New Roman"/>
          <w:color w:val="000000" w:themeColor="text1"/>
          <w:szCs w:val="24"/>
        </w:rPr>
        <w:t>ed</w:t>
      </w:r>
      <w:r w:rsidR="009C3A2F" w:rsidRPr="00644FC9">
        <w:rPr>
          <w:rFonts w:ascii="Times New Roman" w:eastAsia="新細明體" w:hAnsi="Times New Roman" w:cs="Times New Roman"/>
          <w:color w:val="000000" w:themeColor="text1"/>
          <w:szCs w:val="24"/>
        </w:rPr>
        <w:t xml:space="preserve"> by unexpected earnings (</w:t>
      </w:r>
      <w:r w:rsidR="009C3A2F" w:rsidRPr="00644FC9">
        <w:rPr>
          <w:rFonts w:ascii="Times New Roman" w:eastAsia="新細明體" w:hAnsi="Times New Roman" w:cs="Times New Roman"/>
          <w:i/>
          <w:color w:val="000000" w:themeColor="text1"/>
          <w:szCs w:val="24"/>
        </w:rPr>
        <w:t>UE</w:t>
      </w:r>
      <w:r w:rsidR="009C3A2F" w:rsidRPr="00644FC9">
        <w:rPr>
          <w:rFonts w:ascii="Times New Roman" w:eastAsia="新細明體" w:hAnsi="Times New Roman" w:cs="Times New Roman"/>
          <w:color w:val="000000" w:themeColor="text1"/>
          <w:szCs w:val="24"/>
        </w:rPr>
        <w:t>) and unexpected operating income (</w:t>
      </w:r>
      <w:r w:rsidR="009C3A2F" w:rsidRPr="00644FC9">
        <w:rPr>
          <w:rFonts w:ascii="Times New Roman" w:eastAsia="新細明體" w:hAnsi="Times New Roman" w:cs="Times New Roman"/>
          <w:i/>
          <w:color w:val="000000" w:themeColor="text1"/>
          <w:szCs w:val="24"/>
        </w:rPr>
        <w:t>UOI</w:t>
      </w:r>
      <w:r w:rsidR="009C3A2F" w:rsidRPr="00644FC9">
        <w:rPr>
          <w:rFonts w:ascii="Times New Roman" w:eastAsia="新細明體" w:hAnsi="Times New Roman" w:cs="Times New Roman"/>
          <w:color w:val="000000" w:themeColor="text1"/>
          <w:szCs w:val="24"/>
        </w:rPr>
        <w:t>).</w:t>
      </w:r>
      <w:r w:rsidR="009C0D81" w:rsidRPr="00644FC9">
        <w:rPr>
          <w:rFonts w:ascii="Times New Roman" w:eastAsia="新細明體" w:hAnsi="Times New Roman" w:cs="Times New Roman"/>
          <w:color w:val="000000" w:themeColor="text1"/>
          <w:szCs w:val="24"/>
        </w:rPr>
        <w:t xml:space="preserve"> </w:t>
      </w:r>
      <w:r w:rsidR="00A856B0" w:rsidRPr="00644FC9">
        <w:rPr>
          <w:rFonts w:ascii="Times New Roman" w:eastAsia="新細明體" w:hAnsi="Times New Roman" w:cs="Times New Roman"/>
          <w:color w:val="000000" w:themeColor="text1"/>
          <w:szCs w:val="24"/>
        </w:rPr>
        <w:t>A hedge</w:t>
      </w:r>
      <w:r w:rsidR="00AB5009" w:rsidRPr="00644FC9">
        <w:rPr>
          <w:rFonts w:ascii="Times New Roman" w:eastAsia="新細明體" w:hAnsi="Times New Roman" w:cs="Times New Roman"/>
          <w:color w:val="000000" w:themeColor="text1"/>
          <w:szCs w:val="24"/>
        </w:rPr>
        <w:t>d</w:t>
      </w:r>
      <w:r w:rsidR="00A856B0" w:rsidRPr="00644FC9">
        <w:rPr>
          <w:rFonts w:ascii="Times New Roman" w:eastAsia="新細明體" w:hAnsi="Times New Roman" w:cs="Times New Roman"/>
          <w:color w:val="000000" w:themeColor="text1"/>
          <w:szCs w:val="24"/>
        </w:rPr>
        <w:t xml:space="preserve"> portfolio </w:t>
      </w:r>
      <w:r w:rsidR="00A856B0" w:rsidRPr="00644FC9">
        <w:rPr>
          <w:rFonts w:ascii="Times New Roman" w:eastAsia="新細明體" w:hAnsi="Times New Roman" w:cs="Times New Roman"/>
          <w:color w:val="000000" w:themeColor="text1"/>
          <w:szCs w:val="24"/>
        </w:rPr>
        <w:lastRenderedPageBreak/>
        <w:t xml:space="preserve">strategy formed by taking a long position in </w:t>
      </w:r>
      <w:r w:rsidR="00A856B0" w:rsidRPr="00644FC9">
        <w:rPr>
          <w:rFonts w:ascii="Times New Roman" w:eastAsia="新細明體" w:hAnsi="Times New Roman" w:cs="Times New Roman"/>
          <w:i/>
          <w:color w:val="000000" w:themeColor="text1"/>
          <w:szCs w:val="24"/>
        </w:rPr>
        <w:t>UE5</w:t>
      </w:r>
      <w:r w:rsidR="00A856B0" w:rsidRPr="00644FC9">
        <w:rPr>
          <w:rFonts w:ascii="Times New Roman" w:eastAsia="新細明體" w:hAnsi="Times New Roman" w:cs="Times New Roman"/>
          <w:color w:val="000000" w:themeColor="text1"/>
          <w:szCs w:val="24"/>
        </w:rPr>
        <w:t>/</w:t>
      </w:r>
      <w:r w:rsidR="00A856B0" w:rsidRPr="00644FC9">
        <w:rPr>
          <w:rFonts w:ascii="Times New Roman" w:eastAsia="新細明體" w:hAnsi="Times New Roman" w:cs="Times New Roman"/>
          <w:i/>
          <w:color w:val="000000" w:themeColor="text1"/>
          <w:szCs w:val="24"/>
        </w:rPr>
        <w:t>UOI5</w:t>
      </w:r>
      <w:r w:rsidR="00A856B0" w:rsidRPr="00644FC9">
        <w:rPr>
          <w:rFonts w:ascii="Times New Roman" w:eastAsia="新細明體" w:hAnsi="Times New Roman" w:cs="Times New Roman"/>
          <w:color w:val="000000" w:themeColor="text1"/>
          <w:szCs w:val="24"/>
        </w:rPr>
        <w:t xml:space="preserve"> firms and a short position in </w:t>
      </w:r>
      <w:r w:rsidR="00A856B0" w:rsidRPr="00644FC9">
        <w:rPr>
          <w:rFonts w:ascii="Times New Roman" w:eastAsia="新細明體" w:hAnsi="Times New Roman" w:cs="Times New Roman"/>
          <w:i/>
          <w:color w:val="000000" w:themeColor="text1"/>
          <w:szCs w:val="24"/>
        </w:rPr>
        <w:t>UE1</w:t>
      </w:r>
      <w:r w:rsidR="00A856B0" w:rsidRPr="00644FC9">
        <w:rPr>
          <w:rFonts w:ascii="Times New Roman" w:eastAsia="新細明體" w:hAnsi="Times New Roman" w:cs="Times New Roman"/>
          <w:color w:val="000000" w:themeColor="text1"/>
          <w:szCs w:val="24"/>
        </w:rPr>
        <w:t>/</w:t>
      </w:r>
      <w:r w:rsidR="00A856B0" w:rsidRPr="00644FC9">
        <w:rPr>
          <w:rFonts w:ascii="Times New Roman" w:eastAsia="新細明體" w:hAnsi="Times New Roman" w:cs="Times New Roman"/>
          <w:i/>
          <w:color w:val="000000" w:themeColor="text1"/>
          <w:szCs w:val="24"/>
        </w:rPr>
        <w:t>UOI1</w:t>
      </w:r>
      <w:r w:rsidR="00A856B0" w:rsidRPr="00644FC9">
        <w:rPr>
          <w:rFonts w:ascii="Times New Roman" w:eastAsia="新細明體" w:hAnsi="Times New Roman" w:cs="Times New Roman"/>
          <w:color w:val="000000" w:themeColor="text1"/>
          <w:szCs w:val="24"/>
        </w:rPr>
        <w:t xml:space="preserve"> firms will earn an abnormal return of 7.</w:t>
      </w:r>
      <w:r w:rsidR="00A14F30">
        <w:rPr>
          <w:rFonts w:ascii="Times New Roman" w:eastAsia="新細明體" w:hAnsi="Times New Roman" w:cs="Times New Roman" w:hint="eastAsia"/>
          <w:color w:val="000000" w:themeColor="text1"/>
          <w:szCs w:val="24"/>
        </w:rPr>
        <w:t>7</w:t>
      </w:r>
      <w:r w:rsidR="00A856B0" w:rsidRPr="00644FC9">
        <w:rPr>
          <w:rFonts w:ascii="Times New Roman" w:eastAsia="新細明體" w:hAnsi="Times New Roman" w:cs="Times New Roman"/>
          <w:color w:val="000000" w:themeColor="text1"/>
          <w:szCs w:val="24"/>
        </w:rPr>
        <w:t xml:space="preserve">% (0.045+0.032) </w:t>
      </w:r>
      <w:r w:rsidR="0089113E" w:rsidRPr="00644FC9">
        <w:rPr>
          <w:rFonts w:ascii="Times New Roman" w:eastAsia="新細明體" w:hAnsi="Times New Roman" w:cs="Times New Roman"/>
          <w:color w:val="000000" w:themeColor="text1"/>
          <w:szCs w:val="24"/>
        </w:rPr>
        <w:t>for one quarter</w:t>
      </w:r>
      <w:r w:rsidR="000F3E01" w:rsidRPr="00644FC9">
        <w:rPr>
          <w:rFonts w:ascii="Times New Roman" w:eastAsia="新細明體" w:hAnsi="Times New Roman" w:cs="Times New Roman"/>
          <w:color w:val="000000" w:themeColor="text1"/>
          <w:szCs w:val="24"/>
        </w:rPr>
        <w:t xml:space="preserve">, slightly smaller than the unexpected earnings strategy (8.0%). </w:t>
      </w:r>
      <w:r w:rsidR="00314652" w:rsidRPr="00644FC9">
        <w:rPr>
          <w:rFonts w:ascii="Times New Roman" w:eastAsia="新細明體" w:hAnsi="Times New Roman" w:cs="Times New Roman"/>
          <w:color w:val="000000" w:themeColor="text1"/>
          <w:szCs w:val="24"/>
        </w:rPr>
        <w:t>Panel B of Table 3</w:t>
      </w:r>
      <w:r w:rsidR="00AB5009" w:rsidRPr="00644FC9">
        <w:rPr>
          <w:rFonts w:ascii="Times New Roman" w:eastAsia="新細明體" w:hAnsi="Times New Roman" w:cs="Times New Roman"/>
          <w:color w:val="000000" w:themeColor="text1"/>
          <w:szCs w:val="24"/>
        </w:rPr>
        <w:t xml:space="preserve"> presents </w:t>
      </w:r>
      <w:r w:rsidR="00314652" w:rsidRPr="00644FC9">
        <w:rPr>
          <w:rFonts w:ascii="Times New Roman" w:eastAsia="新細明體" w:hAnsi="Times New Roman" w:cs="Times New Roman"/>
          <w:color w:val="000000" w:themeColor="text1"/>
          <w:szCs w:val="24"/>
        </w:rPr>
        <w:t xml:space="preserve">the results of </w:t>
      </w:r>
      <w:r w:rsidR="00AB5009" w:rsidRPr="00644FC9">
        <w:rPr>
          <w:rFonts w:ascii="Times New Roman" w:eastAsia="新細明體" w:hAnsi="Times New Roman" w:cs="Times New Roman"/>
          <w:color w:val="000000" w:themeColor="text1"/>
          <w:szCs w:val="24"/>
        </w:rPr>
        <w:t xml:space="preserve">a </w:t>
      </w:r>
      <w:r w:rsidR="00314652" w:rsidRPr="00644FC9">
        <w:rPr>
          <w:rFonts w:ascii="Times New Roman" w:eastAsia="新細明體" w:hAnsi="Times New Roman" w:cs="Times New Roman"/>
          <w:color w:val="000000" w:themeColor="text1"/>
          <w:szCs w:val="24"/>
        </w:rPr>
        <w:t>joint strategy constructed by unexpected earnings (</w:t>
      </w:r>
      <w:r w:rsidR="00314652" w:rsidRPr="00644FC9">
        <w:rPr>
          <w:rFonts w:ascii="Times New Roman" w:eastAsia="新細明體" w:hAnsi="Times New Roman" w:cs="Times New Roman"/>
          <w:i/>
          <w:color w:val="000000" w:themeColor="text1"/>
          <w:szCs w:val="24"/>
        </w:rPr>
        <w:t>UE</w:t>
      </w:r>
      <w:r w:rsidR="00314652" w:rsidRPr="00644FC9">
        <w:rPr>
          <w:rFonts w:ascii="Times New Roman" w:eastAsia="新細明體" w:hAnsi="Times New Roman" w:cs="Times New Roman"/>
          <w:color w:val="000000" w:themeColor="text1"/>
          <w:szCs w:val="24"/>
        </w:rPr>
        <w:t>) and unexpected</w:t>
      </w:r>
      <w:r w:rsidR="00313173" w:rsidRPr="00644FC9">
        <w:rPr>
          <w:rFonts w:ascii="Times New Roman" w:eastAsia="新細明體" w:hAnsi="Times New Roman" w:cs="Times New Roman"/>
          <w:color w:val="000000" w:themeColor="text1"/>
          <w:szCs w:val="24"/>
        </w:rPr>
        <w:t xml:space="preserve"> non-operating </w:t>
      </w:r>
      <w:r w:rsidR="00314652" w:rsidRPr="00644FC9">
        <w:rPr>
          <w:rFonts w:ascii="Times New Roman" w:eastAsia="新細明體" w:hAnsi="Times New Roman" w:cs="Times New Roman"/>
          <w:color w:val="000000" w:themeColor="text1"/>
          <w:szCs w:val="24"/>
        </w:rPr>
        <w:t>income (</w:t>
      </w:r>
      <w:r w:rsidR="00314652" w:rsidRPr="00644FC9">
        <w:rPr>
          <w:rFonts w:ascii="Times New Roman" w:eastAsia="新細明體" w:hAnsi="Times New Roman" w:cs="Times New Roman"/>
          <w:i/>
          <w:color w:val="000000" w:themeColor="text1"/>
          <w:szCs w:val="24"/>
        </w:rPr>
        <w:t>UNOI</w:t>
      </w:r>
      <w:r w:rsidR="00314652" w:rsidRPr="00644FC9">
        <w:rPr>
          <w:rFonts w:ascii="Times New Roman" w:eastAsia="新細明體" w:hAnsi="Times New Roman" w:cs="Times New Roman"/>
          <w:color w:val="000000" w:themeColor="text1"/>
          <w:szCs w:val="24"/>
        </w:rPr>
        <w:t>). A hedge</w:t>
      </w:r>
      <w:r w:rsidR="00AB5009" w:rsidRPr="00644FC9">
        <w:rPr>
          <w:rFonts w:ascii="Times New Roman" w:eastAsia="新細明體" w:hAnsi="Times New Roman" w:cs="Times New Roman"/>
          <w:color w:val="000000" w:themeColor="text1"/>
          <w:szCs w:val="24"/>
        </w:rPr>
        <w:t>d</w:t>
      </w:r>
      <w:r w:rsidR="00314652" w:rsidRPr="00644FC9">
        <w:rPr>
          <w:rFonts w:ascii="Times New Roman" w:eastAsia="新細明體" w:hAnsi="Times New Roman" w:cs="Times New Roman"/>
          <w:color w:val="000000" w:themeColor="text1"/>
          <w:szCs w:val="24"/>
        </w:rPr>
        <w:t xml:space="preserve"> portfolio strategy formed by the extreme quintiles will earn an abnormal return of 6.3</w:t>
      </w:r>
      <w:r w:rsidR="00062831" w:rsidRPr="00644FC9">
        <w:rPr>
          <w:rFonts w:ascii="Times New Roman" w:eastAsia="新細明體" w:hAnsi="Times New Roman" w:cs="Times New Roman"/>
          <w:color w:val="000000" w:themeColor="text1"/>
          <w:szCs w:val="24"/>
        </w:rPr>
        <w:t>% (0.038+0.025) for one quarter</w:t>
      </w:r>
      <w:r w:rsidR="00314652" w:rsidRPr="00644FC9">
        <w:rPr>
          <w:rFonts w:ascii="Times New Roman" w:eastAsia="新細明體" w:hAnsi="Times New Roman" w:cs="Times New Roman"/>
          <w:color w:val="000000" w:themeColor="text1"/>
          <w:szCs w:val="24"/>
        </w:rPr>
        <w:t xml:space="preserve">, smaller than the unexpected earnings strategy (8.0%). </w:t>
      </w:r>
      <w:r w:rsidR="002F500F" w:rsidRPr="00644FC9">
        <w:rPr>
          <w:rFonts w:ascii="Times New Roman" w:eastAsia="新細明體" w:hAnsi="Times New Roman" w:cs="Times New Roman"/>
          <w:color w:val="000000" w:themeColor="text1"/>
          <w:szCs w:val="24"/>
        </w:rPr>
        <w:t>These</w:t>
      </w:r>
      <w:r w:rsidR="00314652" w:rsidRPr="00644FC9">
        <w:rPr>
          <w:rFonts w:ascii="Times New Roman" w:eastAsia="新細明體" w:hAnsi="Times New Roman" w:cs="Times New Roman"/>
          <w:color w:val="000000" w:themeColor="text1"/>
          <w:szCs w:val="24"/>
        </w:rPr>
        <w:t xml:space="preserve"> result</w:t>
      </w:r>
      <w:r w:rsidR="002F500F" w:rsidRPr="00644FC9">
        <w:rPr>
          <w:rFonts w:ascii="Times New Roman" w:eastAsia="新細明體" w:hAnsi="Times New Roman" w:cs="Times New Roman"/>
          <w:color w:val="000000" w:themeColor="text1"/>
          <w:szCs w:val="24"/>
        </w:rPr>
        <w:t>s</w:t>
      </w:r>
      <w:r w:rsidR="00314652" w:rsidRPr="00644FC9">
        <w:rPr>
          <w:rFonts w:ascii="Times New Roman" w:eastAsia="新細明體" w:hAnsi="Times New Roman" w:cs="Times New Roman"/>
          <w:color w:val="000000" w:themeColor="text1"/>
          <w:szCs w:val="24"/>
        </w:rPr>
        <w:t xml:space="preserve"> imply that the price respon</w:t>
      </w:r>
      <w:r w:rsidR="00AB5009" w:rsidRPr="00644FC9">
        <w:rPr>
          <w:rFonts w:ascii="Times New Roman" w:eastAsia="新細明體" w:hAnsi="Times New Roman" w:cs="Times New Roman"/>
          <w:color w:val="000000" w:themeColor="text1"/>
          <w:szCs w:val="24"/>
        </w:rPr>
        <w:t>se</w:t>
      </w:r>
      <w:r w:rsidR="00314652" w:rsidRPr="00644FC9">
        <w:rPr>
          <w:rFonts w:ascii="Times New Roman" w:eastAsia="新細明體" w:hAnsi="Times New Roman" w:cs="Times New Roman"/>
          <w:color w:val="000000" w:themeColor="text1"/>
          <w:szCs w:val="24"/>
        </w:rPr>
        <w:t xml:space="preserve"> to unexpected earnings has incorporate</w:t>
      </w:r>
      <w:r w:rsidR="00AB5009" w:rsidRPr="00644FC9">
        <w:rPr>
          <w:rFonts w:ascii="Times New Roman" w:eastAsia="新細明體" w:hAnsi="Times New Roman" w:cs="Times New Roman"/>
          <w:color w:val="000000" w:themeColor="text1"/>
          <w:szCs w:val="24"/>
        </w:rPr>
        <w:t>d</w:t>
      </w:r>
      <w:r w:rsidR="00314652" w:rsidRPr="00644FC9">
        <w:rPr>
          <w:rFonts w:ascii="Times New Roman" w:eastAsia="新細明體" w:hAnsi="Times New Roman" w:cs="Times New Roman"/>
          <w:color w:val="000000" w:themeColor="text1"/>
          <w:szCs w:val="24"/>
        </w:rPr>
        <w:t xml:space="preserve"> the information of unexpected operating </w:t>
      </w:r>
      <w:r w:rsidR="002F500F" w:rsidRPr="00644FC9">
        <w:rPr>
          <w:rFonts w:ascii="Times New Roman" w:eastAsia="新細明體" w:hAnsi="Times New Roman" w:cs="Times New Roman"/>
          <w:color w:val="000000" w:themeColor="text1"/>
          <w:szCs w:val="24"/>
        </w:rPr>
        <w:t xml:space="preserve">and </w:t>
      </w:r>
      <w:r w:rsidR="008B1418">
        <w:rPr>
          <w:rFonts w:ascii="Times New Roman" w:eastAsia="新細明體" w:hAnsi="Times New Roman" w:cs="Times New Roman"/>
          <w:color w:val="000000" w:themeColor="text1"/>
          <w:szCs w:val="24"/>
        </w:rPr>
        <w:t>non-operating</w:t>
      </w:r>
      <w:r w:rsidR="00313173" w:rsidRPr="00644FC9">
        <w:rPr>
          <w:rFonts w:ascii="Times New Roman" w:eastAsia="新細明體" w:hAnsi="Times New Roman" w:cs="Times New Roman"/>
          <w:color w:val="000000" w:themeColor="text1"/>
          <w:szCs w:val="24"/>
        </w:rPr>
        <w:t xml:space="preserve"> </w:t>
      </w:r>
      <w:r w:rsidR="002F500F" w:rsidRPr="00644FC9">
        <w:rPr>
          <w:rFonts w:ascii="Times New Roman" w:eastAsia="新細明體" w:hAnsi="Times New Roman" w:cs="Times New Roman"/>
          <w:color w:val="000000" w:themeColor="text1"/>
          <w:szCs w:val="24"/>
        </w:rPr>
        <w:t>income</w:t>
      </w:r>
      <w:r w:rsidR="00644FC9">
        <w:rPr>
          <w:rFonts w:ascii="Times New Roman" w:eastAsia="新細明體" w:hAnsi="Times New Roman" w:cs="Times New Roman"/>
          <w:color w:val="000000" w:themeColor="text1"/>
          <w:szCs w:val="24"/>
        </w:rPr>
        <w:t xml:space="preserve">. In addition, </w:t>
      </w:r>
      <w:r w:rsidR="00DE110B" w:rsidRPr="00644FC9">
        <w:rPr>
          <w:rFonts w:ascii="Times New Roman" w:eastAsia="新細明體" w:hAnsi="Times New Roman" w:cs="Times New Roman"/>
          <w:color w:val="000000" w:themeColor="text1"/>
          <w:szCs w:val="24"/>
        </w:rPr>
        <w:t>both unexpected operating and</w:t>
      </w:r>
      <w:r w:rsidR="00313173" w:rsidRPr="00644FC9">
        <w:rPr>
          <w:rFonts w:ascii="Times New Roman" w:eastAsia="新細明體" w:hAnsi="Times New Roman" w:cs="Times New Roman"/>
          <w:color w:val="000000" w:themeColor="text1"/>
          <w:szCs w:val="24"/>
        </w:rPr>
        <w:t xml:space="preserve"> non-operating </w:t>
      </w:r>
      <w:r w:rsidR="00DE110B" w:rsidRPr="00644FC9">
        <w:rPr>
          <w:rFonts w:ascii="Times New Roman" w:eastAsia="新細明體" w:hAnsi="Times New Roman" w:cs="Times New Roman"/>
          <w:color w:val="000000" w:themeColor="text1"/>
          <w:szCs w:val="24"/>
        </w:rPr>
        <w:t>income could result in the post-</w:t>
      </w:r>
      <w:r w:rsidR="0065717A">
        <w:rPr>
          <w:rFonts w:ascii="Times New Roman" w:eastAsia="新細明體" w:hAnsi="Times New Roman" w:cs="Times New Roman"/>
          <w:color w:val="000000" w:themeColor="text1"/>
          <w:szCs w:val="24"/>
        </w:rPr>
        <w:t>earnings-announcement</w:t>
      </w:r>
      <w:r w:rsidR="00DE110B" w:rsidRPr="00644FC9">
        <w:rPr>
          <w:rFonts w:ascii="Times New Roman" w:eastAsia="新細明體" w:hAnsi="Times New Roman" w:cs="Times New Roman"/>
          <w:color w:val="000000" w:themeColor="text1"/>
          <w:szCs w:val="24"/>
        </w:rPr>
        <w:t xml:space="preserve"> drift phenomenon.</w:t>
      </w:r>
    </w:p>
    <w:p w14:paraId="3E7CCF03" w14:textId="0B19F8F6" w:rsidR="00DE110B" w:rsidRPr="00644FC9" w:rsidRDefault="002F500F" w:rsidP="002E05C9">
      <w:pPr>
        <w:tabs>
          <w:tab w:val="left" w:pos="3686"/>
        </w:tabs>
        <w:adjustRightInd w:val="0"/>
        <w:spacing w:line="480" w:lineRule="auto"/>
        <w:ind w:firstLineChars="200" w:firstLine="480"/>
        <w:jc w:val="both"/>
        <w:rPr>
          <w:rFonts w:ascii="Times New Roman" w:eastAsia="新細明體" w:hAnsi="Times New Roman" w:cs="Times New Roman"/>
          <w:color w:val="000000" w:themeColor="text1"/>
          <w:szCs w:val="24"/>
        </w:rPr>
      </w:pPr>
      <w:r w:rsidRPr="00644FC9">
        <w:rPr>
          <w:rFonts w:ascii="Times New Roman" w:eastAsia="新細明體" w:hAnsi="Times New Roman" w:cs="Times New Roman"/>
          <w:color w:val="000000" w:themeColor="text1"/>
          <w:szCs w:val="24"/>
        </w:rPr>
        <w:t>Further</w:t>
      </w:r>
      <w:r w:rsidR="00AB5009" w:rsidRPr="00644FC9">
        <w:rPr>
          <w:rFonts w:ascii="Times New Roman" w:eastAsia="新細明體" w:hAnsi="Times New Roman" w:cs="Times New Roman"/>
          <w:color w:val="000000" w:themeColor="text1"/>
          <w:szCs w:val="24"/>
        </w:rPr>
        <w:t>more</w:t>
      </w:r>
      <w:r w:rsidRPr="00644FC9">
        <w:rPr>
          <w:rFonts w:ascii="Times New Roman" w:eastAsia="新細明體" w:hAnsi="Times New Roman" w:cs="Times New Roman"/>
          <w:color w:val="000000" w:themeColor="text1"/>
          <w:szCs w:val="24"/>
        </w:rPr>
        <w:t xml:space="preserve">, </w:t>
      </w:r>
      <w:r w:rsidR="0055578E" w:rsidRPr="00644FC9">
        <w:rPr>
          <w:rFonts w:ascii="Times New Roman" w:eastAsia="新細明體" w:hAnsi="Times New Roman" w:cs="Times New Roman"/>
          <w:color w:val="000000" w:themeColor="text1"/>
          <w:szCs w:val="24"/>
        </w:rPr>
        <w:t>I construct</w:t>
      </w:r>
      <w:r w:rsidR="00AB5009" w:rsidRPr="00644FC9">
        <w:rPr>
          <w:rFonts w:ascii="Times New Roman" w:eastAsia="新細明體" w:hAnsi="Times New Roman" w:cs="Times New Roman"/>
          <w:color w:val="000000" w:themeColor="text1"/>
          <w:szCs w:val="24"/>
        </w:rPr>
        <w:t>ed</w:t>
      </w:r>
      <w:r w:rsidR="00A82043" w:rsidRPr="00644FC9">
        <w:rPr>
          <w:rFonts w:ascii="Times New Roman" w:eastAsia="新細明體" w:hAnsi="Times New Roman" w:cs="Times New Roman"/>
          <w:color w:val="000000" w:themeColor="text1"/>
          <w:szCs w:val="24"/>
        </w:rPr>
        <w:t xml:space="preserve"> a contin</w:t>
      </w:r>
      <w:r w:rsidR="0055578E" w:rsidRPr="00644FC9">
        <w:rPr>
          <w:rFonts w:ascii="Times New Roman" w:eastAsia="新細明體" w:hAnsi="Times New Roman" w:cs="Times New Roman"/>
          <w:color w:val="000000" w:themeColor="text1"/>
          <w:szCs w:val="24"/>
        </w:rPr>
        <w:t xml:space="preserve">gency table of abnormal returns </w:t>
      </w:r>
      <w:r w:rsidR="00A82043" w:rsidRPr="00644FC9">
        <w:rPr>
          <w:rFonts w:ascii="Times New Roman" w:eastAsia="新細明體" w:hAnsi="Times New Roman" w:cs="Times New Roman"/>
          <w:color w:val="000000" w:themeColor="text1"/>
          <w:szCs w:val="24"/>
        </w:rPr>
        <w:t>earned from portfolios by groupi</w:t>
      </w:r>
      <w:r w:rsidR="0055578E" w:rsidRPr="00644FC9">
        <w:rPr>
          <w:rFonts w:ascii="Times New Roman" w:eastAsia="新細明體" w:hAnsi="Times New Roman" w:cs="Times New Roman"/>
          <w:color w:val="000000" w:themeColor="text1"/>
          <w:szCs w:val="24"/>
        </w:rPr>
        <w:t>ng firms accordin</w:t>
      </w:r>
      <w:r w:rsidR="00E731B9" w:rsidRPr="00644FC9">
        <w:rPr>
          <w:rFonts w:ascii="Times New Roman" w:eastAsia="新細明體" w:hAnsi="Times New Roman" w:cs="Times New Roman"/>
          <w:color w:val="000000" w:themeColor="text1"/>
          <w:szCs w:val="24"/>
        </w:rPr>
        <w:t>g to unexpected operating</w:t>
      </w:r>
      <w:r w:rsidR="00A82043" w:rsidRPr="00644FC9">
        <w:rPr>
          <w:rFonts w:ascii="Times New Roman" w:eastAsia="新細明體" w:hAnsi="Times New Roman" w:cs="Times New Roman"/>
          <w:color w:val="000000" w:themeColor="text1"/>
          <w:szCs w:val="24"/>
        </w:rPr>
        <w:t xml:space="preserve"> and</w:t>
      </w:r>
      <w:r w:rsidR="00313173" w:rsidRPr="00644FC9">
        <w:rPr>
          <w:rFonts w:ascii="Times New Roman" w:eastAsia="新細明體" w:hAnsi="Times New Roman" w:cs="Times New Roman"/>
          <w:color w:val="000000" w:themeColor="text1"/>
          <w:szCs w:val="24"/>
        </w:rPr>
        <w:t xml:space="preserve"> non-operating </w:t>
      </w:r>
      <w:r w:rsidR="0055578E" w:rsidRPr="00644FC9">
        <w:rPr>
          <w:rFonts w:ascii="Times New Roman" w:eastAsia="新細明體" w:hAnsi="Times New Roman" w:cs="Times New Roman"/>
          <w:color w:val="000000" w:themeColor="text1"/>
          <w:szCs w:val="24"/>
        </w:rPr>
        <w:t>income in Panel C of Table 3. In this matrix, a hedge</w:t>
      </w:r>
      <w:r w:rsidR="00AB5009" w:rsidRPr="00644FC9">
        <w:rPr>
          <w:rFonts w:ascii="Times New Roman" w:eastAsia="新細明體" w:hAnsi="Times New Roman" w:cs="Times New Roman"/>
          <w:color w:val="000000" w:themeColor="text1"/>
          <w:szCs w:val="24"/>
        </w:rPr>
        <w:t>d</w:t>
      </w:r>
      <w:r w:rsidR="0055578E" w:rsidRPr="00644FC9">
        <w:rPr>
          <w:rFonts w:ascii="Times New Roman" w:eastAsia="新細明體" w:hAnsi="Times New Roman" w:cs="Times New Roman"/>
          <w:color w:val="000000" w:themeColor="text1"/>
          <w:szCs w:val="24"/>
        </w:rPr>
        <w:t xml:space="preserve"> portfolio strategy formed by the extreme quintiles will earn an abnormal return of 8.6</w:t>
      </w:r>
      <w:r w:rsidR="00FD1198" w:rsidRPr="00644FC9">
        <w:rPr>
          <w:rFonts w:ascii="Times New Roman" w:eastAsia="新細明體" w:hAnsi="Times New Roman" w:cs="Times New Roman"/>
          <w:color w:val="000000" w:themeColor="text1"/>
          <w:szCs w:val="24"/>
        </w:rPr>
        <w:t>% (0.055+0.031) for one quarter</w:t>
      </w:r>
      <w:r w:rsidR="0055578E" w:rsidRPr="00644FC9">
        <w:rPr>
          <w:rFonts w:ascii="Times New Roman" w:eastAsia="新細明體" w:hAnsi="Times New Roman" w:cs="Times New Roman"/>
          <w:color w:val="000000" w:themeColor="text1"/>
          <w:szCs w:val="24"/>
        </w:rPr>
        <w:t xml:space="preserve">, larger than that of individual </w:t>
      </w:r>
      <w:r w:rsidR="00AB5009" w:rsidRPr="00644FC9">
        <w:rPr>
          <w:rFonts w:ascii="Times New Roman" w:eastAsia="新細明體" w:hAnsi="Times New Roman" w:cs="Times New Roman"/>
          <w:color w:val="000000" w:themeColor="text1"/>
          <w:szCs w:val="24"/>
        </w:rPr>
        <w:t xml:space="preserve">an </w:t>
      </w:r>
      <w:r w:rsidR="0055578E" w:rsidRPr="00644FC9">
        <w:rPr>
          <w:rFonts w:ascii="Times New Roman" w:eastAsia="新細明體" w:hAnsi="Times New Roman" w:cs="Times New Roman"/>
          <w:color w:val="000000" w:themeColor="text1"/>
          <w:szCs w:val="24"/>
        </w:rPr>
        <w:t xml:space="preserve">unexpected operating income strategy (7.3%) </w:t>
      </w:r>
      <w:r w:rsidR="00AB5009" w:rsidRPr="00644FC9">
        <w:rPr>
          <w:rFonts w:ascii="Times New Roman" w:eastAsia="新細明體" w:hAnsi="Times New Roman" w:cs="Times New Roman"/>
          <w:color w:val="000000" w:themeColor="text1"/>
          <w:szCs w:val="24"/>
        </w:rPr>
        <w:t xml:space="preserve">or an </w:t>
      </w:r>
      <w:r w:rsidR="0055578E" w:rsidRPr="00644FC9">
        <w:rPr>
          <w:rFonts w:ascii="Times New Roman" w:eastAsia="新細明體" w:hAnsi="Times New Roman" w:cs="Times New Roman"/>
          <w:color w:val="000000" w:themeColor="text1"/>
          <w:szCs w:val="24"/>
        </w:rPr>
        <w:t>unexpected</w:t>
      </w:r>
      <w:r w:rsidR="00313173" w:rsidRPr="00644FC9">
        <w:rPr>
          <w:rFonts w:ascii="Times New Roman" w:eastAsia="新細明體" w:hAnsi="Times New Roman" w:cs="Times New Roman"/>
          <w:color w:val="000000" w:themeColor="text1"/>
          <w:szCs w:val="24"/>
        </w:rPr>
        <w:t xml:space="preserve"> non-operating </w:t>
      </w:r>
      <w:r w:rsidR="0055578E" w:rsidRPr="00644FC9">
        <w:rPr>
          <w:rFonts w:ascii="Times New Roman" w:eastAsia="新細明體" w:hAnsi="Times New Roman" w:cs="Times New Roman"/>
          <w:color w:val="000000" w:themeColor="text1"/>
          <w:szCs w:val="24"/>
        </w:rPr>
        <w:t xml:space="preserve">income strategy (1.7%). </w:t>
      </w:r>
      <w:r w:rsidR="002E05C9" w:rsidRPr="00644FC9">
        <w:rPr>
          <w:rFonts w:ascii="Times New Roman" w:eastAsia="新細明體" w:hAnsi="Times New Roman" w:cs="Times New Roman"/>
          <w:color w:val="000000" w:themeColor="text1"/>
          <w:szCs w:val="24"/>
        </w:rPr>
        <w:t xml:space="preserve">This result </w:t>
      </w:r>
      <w:r w:rsidR="00DE110B" w:rsidRPr="00644FC9">
        <w:rPr>
          <w:rFonts w:ascii="Times New Roman" w:eastAsia="新細明體" w:hAnsi="Times New Roman" w:cs="Times New Roman"/>
          <w:color w:val="000000" w:themeColor="text1"/>
          <w:szCs w:val="24"/>
        </w:rPr>
        <w:t>confirms that</w:t>
      </w:r>
      <w:r w:rsidR="00FD1198" w:rsidRPr="00644FC9">
        <w:rPr>
          <w:rFonts w:ascii="Times New Roman" w:eastAsia="新細明體" w:hAnsi="Times New Roman" w:cs="Times New Roman"/>
          <w:color w:val="000000" w:themeColor="text1"/>
          <w:szCs w:val="24"/>
        </w:rPr>
        <w:t xml:space="preserve"> the market’</w:t>
      </w:r>
      <w:r w:rsidR="002E05C9" w:rsidRPr="00644FC9">
        <w:rPr>
          <w:rFonts w:ascii="Times New Roman" w:eastAsia="新細明體" w:hAnsi="Times New Roman" w:cs="Times New Roman"/>
          <w:color w:val="000000" w:themeColor="text1"/>
          <w:szCs w:val="24"/>
        </w:rPr>
        <w:t xml:space="preserve">s mispricing of unexpected operating </w:t>
      </w:r>
      <w:r w:rsidR="00DE110B" w:rsidRPr="00644FC9">
        <w:rPr>
          <w:rFonts w:ascii="Times New Roman" w:eastAsia="新細明體" w:hAnsi="Times New Roman" w:cs="Times New Roman"/>
          <w:color w:val="000000" w:themeColor="text1"/>
          <w:szCs w:val="24"/>
        </w:rPr>
        <w:t xml:space="preserve">and </w:t>
      </w:r>
      <w:r w:rsidR="008B1418">
        <w:rPr>
          <w:rFonts w:ascii="Times New Roman" w:eastAsia="新細明體" w:hAnsi="Times New Roman" w:cs="Times New Roman"/>
          <w:color w:val="000000" w:themeColor="text1"/>
          <w:szCs w:val="24"/>
        </w:rPr>
        <w:t>non-operating</w:t>
      </w:r>
      <w:r w:rsidR="00313173" w:rsidRPr="00644FC9">
        <w:rPr>
          <w:rFonts w:ascii="Times New Roman" w:eastAsia="新細明體" w:hAnsi="Times New Roman" w:cs="Times New Roman"/>
          <w:color w:val="000000" w:themeColor="text1"/>
          <w:szCs w:val="24"/>
        </w:rPr>
        <w:t xml:space="preserve"> </w:t>
      </w:r>
      <w:r w:rsidR="00DE110B" w:rsidRPr="00644FC9">
        <w:rPr>
          <w:rFonts w:ascii="Times New Roman" w:eastAsia="新細明體" w:hAnsi="Times New Roman" w:cs="Times New Roman"/>
          <w:color w:val="000000" w:themeColor="text1"/>
          <w:szCs w:val="24"/>
        </w:rPr>
        <w:t xml:space="preserve">income </w:t>
      </w:r>
      <w:r w:rsidR="002E05C9" w:rsidRPr="00644FC9">
        <w:rPr>
          <w:rFonts w:ascii="Times New Roman" w:eastAsia="新細明體" w:hAnsi="Times New Roman" w:cs="Times New Roman"/>
          <w:color w:val="000000" w:themeColor="text1"/>
          <w:szCs w:val="24"/>
        </w:rPr>
        <w:t xml:space="preserve">is distinct </w:t>
      </w:r>
      <w:r w:rsidR="00DE110B" w:rsidRPr="00644FC9">
        <w:rPr>
          <w:rFonts w:ascii="Times New Roman" w:eastAsia="新細明體" w:hAnsi="Times New Roman" w:cs="Times New Roman"/>
          <w:color w:val="000000" w:themeColor="text1"/>
          <w:szCs w:val="24"/>
        </w:rPr>
        <w:t>from each other.</w:t>
      </w:r>
      <w:r w:rsidR="00DE110B" w:rsidRPr="00644FC9">
        <w:rPr>
          <w:rFonts w:ascii="Times New Roman" w:eastAsia="新細明體" w:hAnsi="Times New Roman" w:cs="Times New Roman"/>
          <w:color w:val="000000" w:themeColor="text1"/>
          <w:szCs w:val="24"/>
        </w:rPr>
        <w:br w:type="page"/>
      </w:r>
    </w:p>
    <w:p w14:paraId="551E8805" w14:textId="77777777" w:rsidR="00DE110B" w:rsidRPr="00644FC9" w:rsidRDefault="00DE110B" w:rsidP="00DE110B">
      <w:pPr>
        <w:adjustRightInd w:val="0"/>
        <w:snapToGrid w:val="0"/>
        <w:jc w:val="center"/>
        <w:rPr>
          <w:rFonts w:ascii="Times New Roman" w:hAnsi="Times New Roman" w:cs="Times New Roman"/>
          <w:color w:val="000000" w:themeColor="text1"/>
          <w:szCs w:val="24"/>
        </w:rPr>
      </w:pPr>
      <w:r w:rsidRPr="00644FC9">
        <w:rPr>
          <w:rFonts w:ascii="Times New Roman" w:hAnsi="Times New Roman" w:cs="Times New Roman"/>
          <w:color w:val="000000" w:themeColor="text1"/>
          <w:szCs w:val="24"/>
        </w:rPr>
        <w:lastRenderedPageBreak/>
        <w:t>Table 3: Double portfolio sorting (N = 21,787)</w:t>
      </w:r>
    </w:p>
    <w:tbl>
      <w:tblPr>
        <w:tblW w:w="5000" w:type="pct"/>
        <w:tblCellMar>
          <w:left w:w="28" w:type="dxa"/>
          <w:right w:w="28" w:type="dxa"/>
        </w:tblCellMar>
        <w:tblLook w:val="04A0" w:firstRow="1" w:lastRow="0" w:firstColumn="1" w:lastColumn="0" w:noHBand="0" w:noVBand="1"/>
      </w:tblPr>
      <w:tblGrid>
        <w:gridCol w:w="1390"/>
        <w:gridCol w:w="1390"/>
        <w:gridCol w:w="1390"/>
        <w:gridCol w:w="1677"/>
        <w:gridCol w:w="1504"/>
        <w:gridCol w:w="1675"/>
      </w:tblGrid>
      <w:tr w:rsidR="00CB42CC" w:rsidRPr="00644FC9" w14:paraId="4D8060EF" w14:textId="77777777" w:rsidTr="004F5AE5">
        <w:trPr>
          <w:trHeight w:hRule="exact" w:val="567"/>
        </w:trPr>
        <w:tc>
          <w:tcPr>
            <w:tcW w:w="5000" w:type="pct"/>
            <w:gridSpan w:val="6"/>
            <w:tcBorders>
              <w:top w:val="single" w:sz="4" w:space="0" w:color="auto"/>
              <w:left w:val="nil"/>
              <w:bottom w:val="nil"/>
              <w:right w:val="nil"/>
            </w:tcBorders>
          </w:tcPr>
          <w:p w14:paraId="0F55112B" w14:textId="77777777" w:rsidR="00DE110B" w:rsidRPr="00644FC9" w:rsidRDefault="00DE110B" w:rsidP="004F5AE5">
            <w:pPr>
              <w:widowControl/>
              <w:adjustRightInd w:val="0"/>
              <w:snapToGrid w:val="0"/>
              <w:jc w:val="both"/>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Panel A: Double portfolio sorting based upon unexpected earnings (</w:t>
            </w:r>
            <w:r w:rsidRPr="00644FC9">
              <w:rPr>
                <w:rFonts w:ascii="Times New Roman" w:eastAsia="新細明體" w:hAnsi="Times New Roman" w:cs="Times New Roman"/>
                <w:i/>
                <w:color w:val="000000" w:themeColor="text1"/>
                <w:kern w:val="0"/>
                <w:szCs w:val="24"/>
              </w:rPr>
              <w:t>UE</w:t>
            </w:r>
            <w:r w:rsidRPr="00644FC9">
              <w:rPr>
                <w:rFonts w:ascii="Times New Roman" w:eastAsia="新細明體" w:hAnsi="Times New Roman" w:cs="Times New Roman"/>
                <w:color w:val="000000" w:themeColor="text1"/>
                <w:kern w:val="0"/>
                <w:szCs w:val="24"/>
              </w:rPr>
              <w:t>) and unexpected operating income (</w:t>
            </w: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w:t>
            </w:r>
          </w:p>
        </w:tc>
      </w:tr>
      <w:tr w:rsidR="00CB42CC" w:rsidRPr="00644FC9" w14:paraId="4F25F752" w14:textId="77777777" w:rsidTr="004F5AE5">
        <w:trPr>
          <w:trHeight w:hRule="exact" w:val="284"/>
        </w:trPr>
        <w:tc>
          <w:tcPr>
            <w:tcW w:w="770" w:type="pct"/>
            <w:tcBorders>
              <w:top w:val="single" w:sz="4" w:space="0" w:color="auto"/>
              <w:left w:val="nil"/>
              <w:bottom w:val="nil"/>
              <w:right w:val="nil"/>
            </w:tcBorders>
          </w:tcPr>
          <w:p w14:paraId="51138126"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nil"/>
              <w:right w:val="nil"/>
            </w:tcBorders>
            <w:shd w:val="clear" w:color="auto" w:fill="auto"/>
            <w:noWrap/>
            <w:vAlign w:val="center"/>
          </w:tcPr>
          <w:p w14:paraId="744E5DDA"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3460" w:type="pct"/>
            <w:gridSpan w:val="4"/>
            <w:tcBorders>
              <w:top w:val="single" w:sz="4" w:space="0" w:color="auto"/>
              <w:left w:val="nil"/>
              <w:bottom w:val="single" w:sz="4" w:space="0" w:color="auto"/>
              <w:right w:val="nil"/>
            </w:tcBorders>
            <w:shd w:val="clear" w:color="auto" w:fill="auto"/>
            <w:noWrap/>
            <w:vAlign w:val="center"/>
          </w:tcPr>
          <w:p w14:paraId="7D73663C"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UE</w:t>
            </w:r>
            <w:r w:rsidRPr="00644FC9">
              <w:rPr>
                <w:rFonts w:ascii="Times New Roman" w:eastAsia="新細明體" w:hAnsi="Times New Roman" w:cs="Times New Roman"/>
                <w:color w:val="000000" w:themeColor="text1"/>
                <w:kern w:val="0"/>
                <w:szCs w:val="24"/>
              </w:rPr>
              <w:t xml:space="preserve"> quintile</w:t>
            </w:r>
          </w:p>
        </w:tc>
      </w:tr>
      <w:tr w:rsidR="00CB42CC" w:rsidRPr="00644FC9" w14:paraId="31360965" w14:textId="77777777" w:rsidTr="004F5AE5">
        <w:trPr>
          <w:trHeight w:hRule="exact" w:val="284"/>
        </w:trPr>
        <w:tc>
          <w:tcPr>
            <w:tcW w:w="770" w:type="pct"/>
            <w:tcBorders>
              <w:top w:val="nil"/>
              <w:left w:val="nil"/>
              <w:bottom w:val="nil"/>
              <w:right w:val="nil"/>
            </w:tcBorders>
          </w:tcPr>
          <w:p w14:paraId="7E8DD170"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21A8AEEC"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single" w:sz="4" w:space="0" w:color="auto"/>
              <w:right w:val="nil"/>
            </w:tcBorders>
            <w:shd w:val="clear" w:color="auto" w:fill="auto"/>
            <w:noWrap/>
            <w:vAlign w:val="center"/>
            <w:hideMark/>
          </w:tcPr>
          <w:p w14:paraId="5F4B69AD"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1</w:t>
            </w:r>
          </w:p>
        </w:tc>
        <w:tc>
          <w:tcPr>
            <w:tcW w:w="929" w:type="pct"/>
            <w:tcBorders>
              <w:top w:val="single" w:sz="4" w:space="0" w:color="auto"/>
              <w:left w:val="nil"/>
              <w:bottom w:val="single" w:sz="4" w:space="0" w:color="auto"/>
              <w:right w:val="nil"/>
            </w:tcBorders>
            <w:shd w:val="clear" w:color="auto" w:fill="auto"/>
            <w:noWrap/>
            <w:vAlign w:val="center"/>
            <w:hideMark/>
          </w:tcPr>
          <w:p w14:paraId="6B21F8CC"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2-4</w:t>
            </w:r>
          </w:p>
        </w:tc>
        <w:tc>
          <w:tcPr>
            <w:tcW w:w="833" w:type="pct"/>
            <w:tcBorders>
              <w:top w:val="single" w:sz="4" w:space="0" w:color="auto"/>
              <w:left w:val="nil"/>
              <w:bottom w:val="single" w:sz="4" w:space="0" w:color="auto"/>
              <w:right w:val="nil"/>
            </w:tcBorders>
            <w:shd w:val="clear" w:color="auto" w:fill="auto"/>
            <w:noWrap/>
            <w:vAlign w:val="center"/>
            <w:hideMark/>
          </w:tcPr>
          <w:p w14:paraId="115299FB"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5</w:t>
            </w:r>
          </w:p>
        </w:tc>
        <w:tc>
          <w:tcPr>
            <w:tcW w:w="928" w:type="pct"/>
            <w:tcBorders>
              <w:top w:val="single" w:sz="4" w:space="0" w:color="auto"/>
              <w:left w:val="nil"/>
              <w:bottom w:val="single" w:sz="4" w:space="0" w:color="auto"/>
              <w:right w:val="nil"/>
            </w:tcBorders>
            <w:shd w:val="clear" w:color="auto" w:fill="auto"/>
            <w:noWrap/>
            <w:vAlign w:val="center"/>
            <w:hideMark/>
          </w:tcPr>
          <w:p w14:paraId="28E9ED01"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r>
      <w:tr w:rsidR="00CB42CC" w:rsidRPr="00644FC9" w14:paraId="76F7CE64" w14:textId="77777777" w:rsidTr="004F5AE5">
        <w:trPr>
          <w:trHeight w:hRule="exact" w:val="284"/>
        </w:trPr>
        <w:tc>
          <w:tcPr>
            <w:tcW w:w="770" w:type="pct"/>
            <w:vMerge w:val="restart"/>
            <w:tcBorders>
              <w:top w:val="nil"/>
              <w:left w:val="nil"/>
              <w:right w:val="nil"/>
            </w:tcBorders>
            <w:vAlign w:val="center"/>
          </w:tcPr>
          <w:p w14:paraId="01132CDB" w14:textId="77777777" w:rsidR="00DE110B" w:rsidRPr="00644FC9" w:rsidRDefault="00DE110B" w:rsidP="004F5AE5">
            <w:pPr>
              <w:widowControl/>
              <w:adjustRightInd w:val="0"/>
              <w:snapToGrid w:val="0"/>
              <w:jc w:val="center"/>
              <w:rPr>
                <w:rFonts w:ascii="Times New Roman" w:hAnsi="Times New Roman" w:cs="Times New Roman"/>
                <w:color w:val="000000" w:themeColor="text1"/>
              </w:rPr>
            </w:pPr>
            <w:r w:rsidRPr="00644FC9">
              <w:rPr>
                <w:rFonts w:ascii="Times New Roman" w:eastAsia="新細明體" w:hAnsi="Times New Roman" w:cs="Times New Roman"/>
                <w:i/>
                <w:color w:val="000000" w:themeColor="text1"/>
                <w:kern w:val="0"/>
                <w:szCs w:val="24"/>
              </w:rPr>
              <w:t>UOI</w:t>
            </w:r>
          </w:p>
          <w:p w14:paraId="57AC73C5"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quintile</w:t>
            </w:r>
          </w:p>
        </w:tc>
        <w:tc>
          <w:tcPr>
            <w:tcW w:w="770" w:type="pct"/>
            <w:tcBorders>
              <w:top w:val="nil"/>
              <w:left w:val="nil"/>
              <w:bottom w:val="nil"/>
              <w:right w:val="nil"/>
            </w:tcBorders>
            <w:shd w:val="clear" w:color="auto" w:fill="auto"/>
            <w:noWrap/>
            <w:vAlign w:val="center"/>
            <w:hideMark/>
          </w:tcPr>
          <w:p w14:paraId="0DE23ED6"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1</w:t>
            </w:r>
          </w:p>
        </w:tc>
        <w:tc>
          <w:tcPr>
            <w:tcW w:w="770" w:type="pct"/>
            <w:tcBorders>
              <w:top w:val="nil"/>
              <w:left w:val="nil"/>
              <w:bottom w:val="nil"/>
              <w:right w:val="nil"/>
            </w:tcBorders>
            <w:shd w:val="clear" w:color="auto" w:fill="auto"/>
            <w:noWrap/>
            <w:vAlign w:val="center"/>
          </w:tcPr>
          <w:p w14:paraId="3B9156C2" w14:textId="77777777" w:rsidR="00DE110B" w:rsidRPr="00644FC9" w:rsidRDefault="00DE110B" w:rsidP="004F5AE5">
            <w:pPr>
              <w:widowControl/>
              <w:adjustRightInd w:val="0"/>
              <w:snapToGrid w:val="0"/>
              <w:jc w:val="center"/>
              <w:rPr>
                <w:rFonts w:ascii="Times New Roman" w:hAnsi="Times New Roman" w:cs="Times New Roman"/>
                <w:b/>
                <w:i/>
                <w:color w:val="000000" w:themeColor="text1"/>
              </w:rPr>
            </w:pPr>
            <w:r w:rsidRPr="00644FC9">
              <w:rPr>
                <w:rFonts w:ascii="Times New Roman" w:hAnsi="Times New Roman" w:cs="Times New Roman"/>
                <w:b/>
                <w:i/>
                <w:color w:val="000000" w:themeColor="text1"/>
              </w:rPr>
              <w:t>-0.032</w:t>
            </w:r>
          </w:p>
        </w:tc>
        <w:tc>
          <w:tcPr>
            <w:tcW w:w="929" w:type="pct"/>
            <w:tcBorders>
              <w:top w:val="nil"/>
              <w:left w:val="nil"/>
              <w:bottom w:val="nil"/>
              <w:right w:val="nil"/>
            </w:tcBorders>
            <w:shd w:val="clear" w:color="auto" w:fill="auto"/>
            <w:noWrap/>
            <w:vAlign w:val="center"/>
          </w:tcPr>
          <w:p w14:paraId="51BA211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-0.014</w:t>
            </w:r>
          </w:p>
        </w:tc>
        <w:tc>
          <w:tcPr>
            <w:tcW w:w="833" w:type="pct"/>
            <w:tcBorders>
              <w:top w:val="nil"/>
              <w:left w:val="nil"/>
              <w:bottom w:val="nil"/>
              <w:right w:val="nil"/>
            </w:tcBorders>
            <w:shd w:val="clear" w:color="auto" w:fill="auto"/>
            <w:noWrap/>
            <w:vAlign w:val="center"/>
          </w:tcPr>
          <w:p w14:paraId="6C94A701"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0.044</w:t>
            </w:r>
          </w:p>
        </w:tc>
        <w:tc>
          <w:tcPr>
            <w:tcW w:w="928" w:type="pct"/>
            <w:tcBorders>
              <w:top w:val="nil"/>
              <w:left w:val="nil"/>
              <w:bottom w:val="nil"/>
              <w:right w:val="nil"/>
            </w:tcBorders>
            <w:shd w:val="clear" w:color="auto" w:fill="auto"/>
            <w:noWrap/>
            <w:vAlign w:val="center"/>
          </w:tcPr>
          <w:p w14:paraId="1DD7B2EC"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-0.024</w:t>
            </w:r>
          </w:p>
        </w:tc>
      </w:tr>
      <w:tr w:rsidR="00CB42CC" w:rsidRPr="00644FC9" w14:paraId="7081A4F6" w14:textId="77777777" w:rsidTr="004F5AE5">
        <w:trPr>
          <w:trHeight w:hRule="exact" w:val="284"/>
        </w:trPr>
        <w:tc>
          <w:tcPr>
            <w:tcW w:w="770" w:type="pct"/>
            <w:vMerge/>
            <w:tcBorders>
              <w:left w:val="nil"/>
              <w:right w:val="nil"/>
            </w:tcBorders>
          </w:tcPr>
          <w:p w14:paraId="1BB5B72F"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25414C6F"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551E074E"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(3004)</w:t>
            </w:r>
          </w:p>
        </w:tc>
        <w:tc>
          <w:tcPr>
            <w:tcW w:w="929" w:type="pct"/>
            <w:tcBorders>
              <w:top w:val="nil"/>
              <w:left w:val="nil"/>
              <w:bottom w:val="nil"/>
              <w:right w:val="nil"/>
            </w:tcBorders>
            <w:shd w:val="clear" w:color="auto" w:fill="auto"/>
            <w:noWrap/>
            <w:vAlign w:val="center"/>
          </w:tcPr>
          <w:p w14:paraId="7C0B1206"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(1124)</w:t>
            </w:r>
          </w:p>
        </w:tc>
        <w:tc>
          <w:tcPr>
            <w:tcW w:w="833" w:type="pct"/>
            <w:tcBorders>
              <w:top w:val="nil"/>
              <w:left w:val="nil"/>
              <w:bottom w:val="nil"/>
              <w:right w:val="nil"/>
            </w:tcBorders>
            <w:shd w:val="clear" w:color="auto" w:fill="auto"/>
            <w:noWrap/>
            <w:vAlign w:val="center"/>
          </w:tcPr>
          <w:p w14:paraId="4FBF7673"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(222)</w:t>
            </w:r>
          </w:p>
        </w:tc>
        <w:tc>
          <w:tcPr>
            <w:tcW w:w="928" w:type="pct"/>
            <w:tcBorders>
              <w:top w:val="nil"/>
              <w:left w:val="nil"/>
              <w:bottom w:val="nil"/>
              <w:right w:val="nil"/>
            </w:tcBorders>
            <w:shd w:val="clear" w:color="auto" w:fill="auto"/>
            <w:noWrap/>
            <w:vAlign w:val="center"/>
          </w:tcPr>
          <w:p w14:paraId="7F3006C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(4350)</w:t>
            </w:r>
          </w:p>
        </w:tc>
      </w:tr>
      <w:tr w:rsidR="00CB42CC" w:rsidRPr="00644FC9" w14:paraId="5023DA40" w14:textId="77777777" w:rsidTr="004F5AE5">
        <w:trPr>
          <w:trHeight w:hRule="exact" w:val="284"/>
        </w:trPr>
        <w:tc>
          <w:tcPr>
            <w:tcW w:w="770" w:type="pct"/>
            <w:vMerge/>
            <w:tcBorders>
              <w:left w:val="nil"/>
              <w:right w:val="nil"/>
            </w:tcBorders>
          </w:tcPr>
          <w:p w14:paraId="38A25E17"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48006169"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2-4</w:t>
            </w:r>
          </w:p>
        </w:tc>
        <w:tc>
          <w:tcPr>
            <w:tcW w:w="770" w:type="pct"/>
            <w:tcBorders>
              <w:top w:val="nil"/>
              <w:left w:val="nil"/>
              <w:bottom w:val="nil"/>
              <w:right w:val="nil"/>
            </w:tcBorders>
            <w:shd w:val="clear" w:color="auto" w:fill="auto"/>
            <w:noWrap/>
            <w:vAlign w:val="center"/>
          </w:tcPr>
          <w:p w14:paraId="51A5D6CE"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-0.025</w:t>
            </w:r>
          </w:p>
        </w:tc>
        <w:tc>
          <w:tcPr>
            <w:tcW w:w="929" w:type="pct"/>
            <w:tcBorders>
              <w:top w:val="nil"/>
              <w:left w:val="nil"/>
              <w:bottom w:val="nil"/>
              <w:right w:val="nil"/>
            </w:tcBorders>
            <w:shd w:val="clear" w:color="auto" w:fill="auto"/>
            <w:noWrap/>
            <w:vAlign w:val="center"/>
          </w:tcPr>
          <w:p w14:paraId="622E789F"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833" w:type="pct"/>
            <w:tcBorders>
              <w:top w:val="nil"/>
              <w:left w:val="nil"/>
              <w:bottom w:val="nil"/>
              <w:right w:val="nil"/>
            </w:tcBorders>
            <w:shd w:val="clear" w:color="auto" w:fill="auto"/>
            <w:noWrap/>
            <w:vAlign w:val="center"/>
          </w:tcPr>
          <w:p w14:paraId="2BD6592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0.022</w:t>
            </w:r>
          </w:p>
        </w:tc>
        <w:tc>
          <w:tcPr>
            <w:tcW w:w="928" w:type="pct"/>
            <w:tcBorders>
              <w:top w:val="nil"/>
              <w:left w:val="nil"/>
              <w:bottom w:val="nil"/>
              <w:right w:val="nil"/>
            </w:tcBorders>
            <w:shd w:val="clear" w:color="auto" w:fill="auto"/>
            <w:noWrap/>
            <w:vAlign w:val="center"/>
          </w:tcPr>
          <w:p w14:paraId="592734DD"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r>
      <w:tr w:rsidR="00CB42CC" w:rsidRPr="00644FC9" w14:paraId="594738F4" w14:textId="77777777" w:rsidTr="004F5AE5">
        <w:trPr>
          <w:trHeight w:hRule="exact" w:val="284"/>
        </w:trPr>
        <w:tc>
          <w:tcPr>
            <w:tcW w:w="770" w:type="pct"/>
            <w:vMerge/>
            <w:tcBorders>
              <w:left w:val="nil"/>
              <w:right w:val="nil"/>
            </w:tcBorders>
          </w:tcPr>
          <w:p w14:paraId="0A78AC89"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527FAABB"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06C5B32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(1126)</w:t>
            </w:r>
          </w:p>
        </w:tc>
        <w:tc>
          <w:tcPr>
            <w:tcW w:w="929" w:type="pct"/>
            <w:tcBorders>
              <w:top w:val="nil"/>
              <w:left w:val="nil"/>
              <w:bottom w:val="nil"/>
              <w:right w:val="nil"/>
            </w:tcBorders>
            <w:shd w:val="clear" w:color="auto" w:fill="auto"/>
            <w:noWrap/>
            <w:vAlign w:val="center"/>
          </w:tcPr>
          <w:p w14:paraId="6976DC9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(10841)</w:t>
            </w:r>
          </w:p>
        </w:tc>
        <w:tc>
          <w:tcPr>
            <w:tcW w:w="833" w:type="pct"/>
            <w:tcBorders>
              <w:top w:val="nil"/>
              <w:left w:val="nil"/>
              <w:bottom w:val="nil"/>
              <w:right w:val="nil"/>
            </w:tcBorders>
            <w:shd w:val="clear" w:color="auto" w:fill="auto"/>
            <w:noWrap/>
            <w:vAlign w:val="center"/>
          </w:tcPr>
          <w:p w14:paraId="0FF9B5F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(1104)</w:t>
            </w:r>
          </w:p>
        </w:tc>
        <w:tc>
          <w:tcPr>
            <w:tcW w:w="928" w:type="pct"/>
            <w:tcBorders>
              <w:top w:val="nil"/>
              <w:left w:val="nil"/>
              <w:bottom w:val="nil"/>
              <w:right w:val="nil"/>
            </w:tcBorders>
            <w:shd w:val="clear" w:color="auto" w:fill="auto"/>
            <w:noWrap/>
            <w:vAlign w:val="center"/>
          </w:tcPr>
          <w:p w14:paraId="79C6C38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(13071)</w:t>
            </w:r>
          </w:p>
        </w:tc>
      </w:tr>
      <w:tr w:rsidR="00CB42CC" w:rsidRPr="00644FC9" w14:paraId="4E7CF8BA" w14:textId="77777777" w:rsidTr="004F5AE5">
        <w:trPr>
          <w:trHeight w:hRule="exact" w:val="284"/>
        </w:trPr>
        <w:tc>
          <w:tcPr>
            <w:tcW w:w="770" w:type="pct"/>
            <w:vMerge/>
            <w:tcBorders>
              <w:left w:val="nil"/>
              <w:right w:val="nil"/>
            </w:tcBorders>
          </w:tcPr>
          <w:p w14:paraId="1C60C3AE"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473FB849"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5</w:t>
            </w:r>
          </w:p>
        </w:tc>
        <w:tc>
          <w:tcPr>
            <w:tcW w:w="770" w:type="pct"/>
            <w:tcBorders>
              <w:top w:val="nil"/>
              <w:left w:val="nil"/>
              <w:right w:val="nil"/>
            </w:tcBorders>
            <w:shd w:val="clear" w:color="auto" w:fill="auto"/>
            <w:noWrap/>
            <w:vAlign w:val="center"/>
          </w:tcPr>
          <w:p w14:paraId="728DACB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-0.020</w:t>
            </w:r>
          </w:p>
        </w:tc>
        <w:tc>
          <w:tcPr>
            <w:tcW w:w="929" w:type="pct"/>
            <w:tcBorders>
              <w:top w:val="nil"/>
              <w:left w:val="nil"/>
              <w:right w:val="nil"/>
            </w:tcBorders>
            <w:shd w:val="clear" w:color="auto" w:fill="auto"/>
            <w:noWrap/>
            <w:vAlign w:val="center"/>
          </w:tcPr>
          <w:p w14:paraId="4027233F"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0.019</w:t>
            </w:r>
          </w:p>
        </w:tc>
        <w:tc>
          <w:tcPr>
            <w:tcW w:w="833" w:type="pct"/>
            <w:tcBorders>
              <w:top w:val="nil"/>
              <w:left w:val="nil"/>
              <w:right w:val="nil"/>
            </w:tcBorders>
            <w:shd w:val="clear" w:color="auto" w:fill="auto"/>
            <w:noWrap/>
            <w:vAlign w:val="center"/>
          </w:tcPr>
          <w:p w14:paraId="38800805" w14:textId="77777777" w:rsidR="00DE110B" w:rsidRPr="00644FC9" w:rsidRDefault="00DE110B" w:rsidP="004F5AE5">
            <w:pPr>
              <w:adjustRightInd w:val="0"/>
              <w:snapToGrid w:val="0"/>
              <w:jc w:val="center"/>
              <w:rPr>
                <w:rFonts w:ascii="Times New Roman" w:hAnsi="Times New Roman" w:cs="Times New Roman"/>
                <w:b/>
                <w:i/>
                <w:color w:val="000000" w:themeColor="text1"/>
              </w:rPr>
            </w:pPr>
            <w:r w:rsidRPr="00644FC9">
              <w:rPr>
                <w:rFonts w:ascii="Times New Roman" w:hAnsi="Times New Roman" w:cs="Times New Roman"/>
                <w:b/>
                <w:i/>
                <w:color w:val="000000" w:themeColor="text1"/>
              </w:rPr>
              <w:t>0.045</w:t>
            </w:r>
          </w:p>
        </w:tc>
        <w:tc>
          <w:tcPr>
            <w:tcW w:w="928" w:type="pct"/>
            <w:tcBorders>
              <w:top w:val="nil"/>
              <w:left w:val="nil"/>
              <w:bottom w:val="nil"/>
              <w:right w:val="nil"/>
            </w:tcBorders>
            <w:shd w:val="clear" w:color="auto" w:fill="auto"/>
            <w:noWrap/>
            <w:vAlign w:val="center"/>
          </w:tcPr>
          <w:p w14:paraId="22C0836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0.035</w:t>
            </w:r>
          </w:p>
        </w:tc>
      </w:tr>
      <w:tr w:rsidR="00CB42CC" w:rsidRPr="00644FC9" w14:paraId="58DB54D6" w14:textId="77777777" w:rsidTr="004F5AE5">
        <w:trPr>
          <w:trHeight w:hRule="exact" w:val="284"/>
        </w:trPr>
        <w:tc>
          <w:tcPr>
            <w:tcW w:w="770" w:type="pct"/>
            <w:vMerge/>
            <w:tcBorders>
              <w:left w:val="nil"/>
              <w:bottom w:val="nil"/>
              <w:right w:val="nil"/>
            </w:tcBorders>
          </w:tcPr>
          <w:p w14:paraId="2B5EE544"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728E388B"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single" w:sz="4" w:space="0" w:color="auto"/>
              <w:right w:val="nil"/>
            </w:tcBorders>
            <w:shd w:val="clear" w:color="auto" w:fill="auto"/>
            <w:noWrap/>
            <w:vAlign w:val="center"/>
          </w:tcPr>
          <w:p w14:paraId="551C1A57"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(220)</w:t>
            </w:r>
          </w:p>
        </w:tc>
        <w:tc>
          <w:tcPr>
            <w:tcW w:w="929" w:type="pct"/>
            <w:tcBorders>
              <w:top w:val="nil"/>
              <w:left w:val="nil"/>
              <w:bottom w:val="single" w:sz="4" w:space="0" w:color="auto"/>
              <w:right w:val="nil"/>
            </w:tcBorders>
            <w:shd w:val="clear" w:color="auto" w:fill="auto"/>
            <w:noWrap/>
            <w:vAlign w:val="center"/>
          </w:tcPr>
          <w:p w14:paraId="322B608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(1106)</w:t>
            </w:r>
          </w:p>
        </w:tc>
        <w:tc>
          <w:tcPr>
            <w:tcW w:w="833" w:type="pct"/>
            <w:tcBorders>
              <w:top w:val="nil"/>
              <w:left w:val="nil"/>
              <w:bottom w:val="single" w:sz="4" w:space="0" w:color="auto"/>
              <w:right w:val="nil"/>
            </w:tcBorders>
            <w:shd w:val="clear" w:color="auto" w:fill="auto"/>
            <w:noWrap/>
            <w:vAlign w:val="center"/>
          </w:tcPr>
          <w:p w14:paraId="452334F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(3040)</w:t>
            </w:r>
          </w:p>
        </w:tc>
        <w:tc>
          <w:tcPr>
            <w:tcW w:w="928" w:type="pct"/>
            <w:tcBorders>
              <w:top w:val="nil"/>
              <w:left w:val="nil"/>
              <w:bottom w:val="nil"/>
              <w:right w:val="nil"/>
            </w:tcBorders>
            <w:shd w:val="clear" w:color="auto" w:fill="auto"/>
            <w:noWrap/>
            <w:vAlign w:val="center"/>
          </w:tcPr>
          <w:p w14:paraId="72B3053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(4366)</w:t>
            </w:r>
          </w:p>
        </w:tc>
      </w:tr>
      <w:tr w:rsidR="00CB42CC" w:rsidRPr="00644FC9" w14:paraId="4196ACAD" w14:textId="77777777" w:rsidTr="004F5AE5">
        <w:trPr>
          <w:trHeight w:hRule="exact" w:val="284"/>
        </w:trPr>
        <w:tc>
          <w:tcPr>
            <w:tcW w:w="770" w:type="pct"/>
            <w:tcBorders>
              <w:top w:val="nil"/>
              <w:left w:val="nil"/>
              <w:right w:val="nil"/>
            </w:tcBorders>
          </w:tcPr>
          <w:p w14:paraId="71527160"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right w:val="nil"/>
            </w:tcBorders>
            <w:shd w:val="clear" w:color="auto" w:fill="auto"/>
            <w:noWrap/>
            <w:vAlign w:val="center"/>
            <w:hideMark/>
          </w:tcPr>
          <w:p w14:paraId="02D475B3"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nil"/>
              <w:right w:val="nil"/>
            </w:tcBorders>
            <w:shd w:val="clear" w:color="auto" w:fill="auto"/>
            <w:noWrap/>
            <w:vAlign w:val="center"/>
          </w:tcPr>
          <w:p w14:paraId="2BB41764"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-0.030</w:t>
            </w:r>
          </w:p>
        </w:tc>
        <w:tc>
          <w:tcPr>
            <w:tcW w:w="929" w:type="pct"/>
            <w:tcBorders>
              <w:top w:val="single" w:sz="4" w:space="0" w:color="auto"/>
              <w:left w:val="nil"/>
              <w:bottom w:val="nil"/>
              <w:right w:val="nil"/>
            </w:tcBorders>
            <w:shd w:val="clear" w:color="auto" w:fill="auto"/>
            <w:noWrap/>
            <w:vAlign w:val="center"/>
          </w:tcPr>
          <w:p w14:paraId="36F2161F"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833" w:type="pct"/>
            <w:tcBorders>
              <w:top w:val="single" w:sz="4" w:space="0" w:color="auto"/>
              <w:left w:val="nil"/>
              <w:bottom w:val="nil"/>
              <w:right w:val="nil"/>
            </w:tcBorders>
            <w:shd w:val="clear" w:color="auto" w:fill="auto"/>
            <w:noWrap/>
            <w:vAlign w:val="center"/>
          </w:tcPr>
          <w:p w14:paraId="004775FD"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0.040</w:t>
            </w:r>
          </w:p>
        </w:tc>
        <w:tc>
          <w:tcPr>
            <w:tcW w:w="928" w:type="pct"/>
            <w:tcBorders>
              <w:top w:val="nil"/>
              <w:left w:val="nil"/>
              <w:bottom w:val="nil"/>
              <w:right w:val="nil"/>
            </w:tcBorders>
            <w:shd w:val="clear" w:color="auto" w:fill="auto"/>
            <w:noWrap/>
            <w:vAlign w:val="center"/>
          </w:tcPr>
          <w:p w14:paraId="50860C67" w14:textId="77777777" w:rsidR="00DE110B" w:rsidRPr="00644FC9" w:rsidRDefault="00DE110B" w:rsidP="004F5AE5">
            <w:pPr>
              <w:adjustRightInd w:val="0"/>
              <w:snapToGrid w:val="0"/>
              <w:jc w:val="center"/>
              <w:rPr>
                <w:rFonts w:ascii="Times New Roman" w:hAnsi="Times New Roman" w:cs="Times New Roman"/>
                <w:color w:val="000000" w:themeColor="text1"/>
              </w:rPr>
            </w:pPr>
          </w:p>
        </w:tc>
      </w:tr>
      <w:tr w:rsidR="00CB42CC" w:rsidRPr="00644FC9" w14:paraId="41EB16DD" w14:textId="77777777" w:rsidTr="004F5AE5">
        <w:trPr>
          <w:trHeight w:hRule="exact" w:val="284"/>
        </w:trPr>
        <w:tc>
          <w:tcPr>
            <w:tcW w:w="770" w:type="pct"/>
            <w:tcBorders>
              <w:top w:val="nil"/>
              <w:left w:val="nil"/>
              <w:bottom w:val="single" w:sz="4" w:space="0" w:color="auto"/>
              <w:right w:val="nil"/>
            </w:tcBorders>
          </w:tcPr>
          <w:p w14:paraId="4C6B483B"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single" w:sz="4" w:space="0" w:color="auto"/>
              <w:right w:val="nil"/>
            </w:tcBorders>
            <w:shd w:val="clear" w:color="auto" w:fill="auto"/>
            <w:noWrap/>
            <w:vAlign w:val="center"/>
            <w:hideMark/>
          </w:tcPr>
          <w:p w14:paraId="4ABEE20A"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17F274F9" w14:textId="77777777" w:rsidR="00DE110B" w:rsidRPr="00644FC9" w:rsidRDefault="00DE110B" w:rsidP="004F5AE5">
            <w:pPr>
              <w:adjustRightInd w:val="0"/>
              <w:snapToGrid w:val="0"/>
              <w:jc w:val="center"/>
              <w:rPr>
                <w:rFonts w:ascii="Times New Roman" w:eastAsia="新細明體" w:hAnsi="Times New Roman" w:cs="Times New Roman"/>
                <w:color w:val="000000" w:themeColor="text1"/>
                <w:szCs w:val="24"/>
              </w:rPr>
            </w:pPr>
            <w:r w:rsidRPr="00644FC9">
              <w:rPr>
                <w:rFonts w:ascii="Times New Roman" w:hAnsi="Times New Roman" w:cs="Times New Roman"/>
                <w:color w:val="000000" w:themeColor="text1"/>
              </w:rPr>
              <w:t>(4350)</w:t>
            </w:r>
          </w:p>
        </w:tc>
        <w:tc>
          <w:tcPr>
            <w:tcW w:w="929" w:type="pct"/>
            <w:tcBorders>
              <w:top w:val="nil"/>
              <w:left w:val="nil"/>
              <w:bottom w:val="nil"/>
              <w:right w:val="nil"/>
            </w:tcBorders>
            <w:shd w:val="clear" w:color="auto" w:fill="auto"/>
            <w:noWrap/>
            <w:vAlign w:val="center"/>
          </w:tcPr>
          <w:p w14:paraId="4B7E380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(13071)</w:t>
            </w:r>
          </w:p>
        </w:tc>
        <w:tc>
          <w:tcPr>
            <w:tcW w:w="833" w:type="pct"/>
            <w:tcBorders>
              <w:top w:val="nil"/>
              <w:left w:val="nil"/>
              <w:bottom w:val="nil"/>
              <w:right w:val="nil"/>
            </w:tcBorders>
            <w:shd w:val="clear" w:color="auto" w:fill="auto"/>
            <w:noWrap/>
            <w:vAlign w:val="center"/>
          </w:tcPr>
          <w:p w14:paraId="4438D1B1"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(4366)</w:t>
            </w:r>
          </w:p>
        </w:tc>
        <w:tc>
          <w:tcPr>
            <w:tcW w:w="928" w:type="pct"/>
            <w:tcBorders>
              <w:top w:val="nil"/>
              <w:left w:val="nil"/>
              <w:bottom w:val="nil"/>
              <w:right w:val="nil"/>
            </w:tcBorders>
            <w:shd w:val="clear" w:color="auto" w:fill="auto"/>
            <w:noWrap/>
            <w:vAlign w:val="center"/>
          </w:tcPr>
          <w:p w14:paraId="52D14905" w14:textId="77777777" w:rsidR="00DE110B" w:rsidRPr="00644FC9" w:rsidRDefault="00DE110B" w:rsidP="004F5AE5">
            <w:pPr>
              <w:adjustRightInd w:val="0"/>
              <w:snapToGrid w:val="0"/>
              <w:jc w:val="center"/>
              <w:rPr>
                <w:rFonts w:ascii="Times New Roman" w:hAnsi="Times New Roman" w:cs="Times New Roman"/>
                <w:color w:val="000000" w:themeColor="text1"/>
              </w:rPr>
            </w:pPr>
          </w:p>
        </w:tc>
      </w:tr>
      <w:tr w:rsidR="00CB42CC" w:rsidRPr="00644FC9" w14:paraId="07CEA228" w14:textId="77777777" w:rsidTr="004F5AE5">
        <w:trPr>
          <w:trHeight w:hRule="exact" w:val="567"/>
        </w:trPr>
        <w:tc>
          <w:tcPr>
            <w:tcW w:w="5000" w:type="pct"/>
            <w:gridSpan w:val="6"/>
            <w:tcBorders>
              <w:top w:val="single" w:sz="4" w:space="0" w:color="auto"/>
              <w:left w:val="nil"/>
              <w:bottom w:val="nil"/>
              <w:right w:val="nil"/>
            </w:tcBorders>
          </w:tcPr>
          <w:p w14:paraId="72D8F226" w14:textId="7987998A" w:rsidR="00DE110B" w:rsidRPr="00644FC9" w:rsidRDefault="00DE110B" w:rsidP="00F5550E">
            <w:pPr>
              <w:widowControl/>
              <w:adjustRightInd w:val="0"/>
              <w:snapToGrid w:val="0"/>
              <w:jc w:val="both"/>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color w:val="000000" w:themeColor="text1"/>
                <w:kern w:val="0"/>
                <w:szCs w:val="24"/>
              </w:rPr>
              <w:t>Panel B: Double portfolio sorting based upon unexpected earnings (</w:t>
            </w:r>
            <w:r w:rsidRPr="00644FC9">
              <w:rPr>
                <w:rFonts w:ascii="Times New Roman" w:eastAsia="新細明體" w:hAnsi="Times New Roman" w:cs="Times New Roman"/>
                <w:i/>
                <w:color w:val="000000" w:themeColor="text1"/>
                <w:kern w:val="0"/>
                <w:szCs w:val="24"/>
              </w:rPr>
              <w:t>UE</w:t>
            </w:r>
            <w:r w:rsidRPr="00644FC9">
              <w:rPr>
                <w:rFonts w:ascii="Times New Roman" w:eastAsia="新細明體" w:hAnsi="Times New Roman" w:cs="Times New Roman"/>
                <w:color w:val="000000" w:themeColor="text1"/>
                <w:kern w:val="0"/>
                <w:szCs w:val="24"/>
              </w:rPr>
              <w:t>) and unexpected</w:t>
            </w:r>
            <w:r w:rsidR="00313173" w:rsidRPr="00644FC9">
              <w:rPr>
                <w:rFonts w:ascii="Times New Roman" w:eastAsia="新細明體" w:hAnsi="Times New Roman" w:cs="Times New Roman"/>
                <w:color w:val="000000" w:themeColor="text1"/>
                <w:kern w:val="0"/>
                <w:szCs w:val="24"/>
              </w:rPr>
              <w:t xml:space="preserve"> non-operating </w:t>
            </w:r>
            <w:r w:rsidRPr="00644FC9">
              <w:rPr>
                <w:rFonts w:ascii="Times New Roman" w:eastAsia="新細明體" w:hAnsi="Times New Roman" w:cs="Times New Roman"/>
                <w:color w:val="000000" w:themeColor="text1"/>
                <w:kern w:val="0"/>
                <w:szCs w:val="24"/>
              </w:rPr>
              <w:t>income (</w:t>
            </w: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w:t>
            </w:r>
          </w:p>
        </w:tc>
      </w:tr>
      <w:tr w:rsidR="00CB42CC" w:rsidRPr="00644FC9" w14:paraId="74D7C6CA" w14:textId="77777777" w:rsidTr="004F5AE5">
        <w:trPr>
          <w:trHeight w:hRule="exact" w:val="284"/>
        </w:trPr>
        <w:tc>
          <w:tcPr>
            <w:tcW w:w="770" w:type="pct"/>
            <w:tcBorders>
              <w:top w:val="single" w:sz="4" w:space="0" w:color="auto"/>
              <w:left w:val="nil"/>
              <w:bottom w:val="nil"/>
              <w:right w:val="nil"/>
            </w:tcBorders>
          </w:tcPr>
          <w:p w14:paraId="1D2F7FDF"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nil"/>
              <w:right w:val="nil"/>
            </w:tcBorders>
            <w:shd w:val="clear" w:color="auto" w:fill="auto"/>
            <w:noWrap/>
            <w:vAlign w:val="center"/>
          </w:tcPr>
          <w:p w14:paraId="42494F59"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3460" w:type="pct"/>
            <w:gridSpan w:val="4"/>
            <w:tcBorders>
              <w:top w:val="single" w:sz="4" w:space="0" w:color="auto"/>
              <w:left w:val="nil"/>
              <w:bottom w:val="single" w:sz="4" w:space="0" w:color="auto"/>
              <w:right w:val="nil"/>
            </w:tcBorders>
            <w:shd w:val="clear" w:color="auto" w:fill="auto"/>
            <w:noWrap/>
            <w:vAlign w:val="center"/>
          </w:tcPr>
          <w:p w14:paraId="1175F229"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UE</w:t>
            </w:r>
            <w:r w:rsidRPr="00644FC9">
              <w:rPr>
                <w:rFonts w:ascii="Times New Roman" w:eastAsia="新細明體" w:hAnsi="Times New Roman" w:cs="Times New Roman"/>
                <w:color w:val="000000" w:themeColor="text1"/>
                <w:kern w:val="0"/>
                <w:szCs w:val="24"/>
              </w:rPr>
              <w:t xml:space="preserve"> quintile</w:t>
            </w:r>
          </w:p>
        </w:tc>
      </w:tr>
      <w:tr w:rsidR="00CB42CC" w:rsidRPr="00644FC9" w14:paraId="00218D93" w14:textId="77777777" w:rsidTr="004F5AE5">
        <w:trPr>
          <w:trHeight w:hRule="exact" w:val="284"/>
        </w:trPr>
        <w:tc>
          <w:tcPr>
            <w:tcW w:w="770" w:type="pct"/>
            <w:tcBorders>
              <w:top w:val="nil"/>
              <w:left w:val="nil"/>
              <w:bottom w:val="nil"/>
              <w:right w:val="nil"/>
            </w:tcBorders>
          </w:tcPr>
          <w:p w14:paraId="14F2208E"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27D7B417"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single" w:sz="4" w:space="0" w:color="auto"/>
              <w:right w:val="nil"/>
            </w:tcBorders>
            <w:shd w:val="clear" w:color="auto" w:fill="auto"/>
            <w:noWrap/>
            <w:vAlign w:val="center"/>
            <w:hideMark/>
          </w:tcPr>
          <w:p w14:paraId="19249B4B"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1</w:t>
            </w:r>
          </w:p>
        </w:tc>
        <w:tc>
          <w:tcPr>
            <w:tcW w:w="929" w:type="pct"/>
            <w:tcBorders>
              <w:top w:val="single" w:sz="4" w:space="0" w:color="auto"/>
              <w:left w:val="nil"/>
              <w:bottom w:val="single" w:sz="4" w:space="0" w:color="auto"/>
              <w:right w:val="nil"/>
            </w:tcBorders>
            <w:shd w:val="clear" w:color="auto" w:fill="auto"/>
            <w:noWrap/>
            <w:vAlign w:val="center"/>
            <w:hideMark/>
          </w:tcPr>
          <w:p w14:paraId="2C6643EB"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2-4</w:t>
            </w:r>
          </w:p>
        </w:tc>
        <w:tc>
          <w:tcPr>
            <w:tcW w:w="833" w:type="pct"/>
            <w:tcBorders>
              <w:top w:val="single" w:sz="4" w:space="0" w:color="auto"/>
              <w:left w:val="nil"/>
              <w:bottom w:val="single" w:sz="4" w:space="0" w:color="auto"/>
              <w:right w:val="nil"/>
            </w:tcBorders>
            <w:shd w:val="clear" w:color="auto" w:fill="auto"/>
            <w:noWrap/>
            <w:vAlign w:val="center"/>
            <w:hideMark/>
          </w:tcPr>
          <w:p w14:paraId="6A4866A2"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5</w:t>
            </w:r>
          </w:p>
        </w:tc>
        <w:tc>
          <w:tcPr>
            <w:tcW w:w="928" w:type="pct"/>
            <w:tcBorders>
              <w:top w:val="single" w:sz="4" w:space="0" w:color="auto"/>
              <w:left w:val="nil"/>
              <w:bottom w:val="single" w:sz="4" w:space="0" w:color="auto"/>
              <w:right w:val="nil"/>
            </w:tcBorders>
            <w:shd w:val="clear" w:color="auto" w:fill="auto"/>
            <w:noWrap/>
            <w:vAlign w:val="center"/>
            <w:hideMark/>
          </w:tcPr>
          <w:p w14:paraId="76965400"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r>
      <w:tr w:rsidR="00CB42CC" w:rsidRPr="00644FC9" w14:paraId="41C7E7C7" w14:textId="77777777" w:rsidTr="004F5AE5">
        <w:trPr>
          <w:trHeight w:hRule="exact" w:val="284"/>
        </w:trPr>
        <w:tc>
          <w:tcPr>
            <w:tcW w:w="770" w:type="pct"/>
            <w:vMerge w:val="restart"/>
            <w:tcBorders>
              <w:top w:val="nil"/>
              <w:left w:val="nil"/>
              <w:right w:val="nil"/>
            </w:tcBorders>
            <w:vAlign w:val="center"/>
          </w:tcPr>
          <w:p w14:paraId="2240E066"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hAnsi="Times New Roman" w:cs="Times New Roman"/>
                <w:color w:val="000000" w:themeColor="text1"/>
              </w:rPr>
              <w:t xml:space="preserve"> </w:t>
            </w:r>
            <w:r w:rsidRPr="00644FC9">
              <w:rPr>
                <w:rFonts w:ascii="Times New Roman" w:eastAsia="新細明體" w:hAnsi="Times New Roman" w:cs="Times New Roman"/>
                <w:color w:val="000000" w:themeColor="text1"/>
                <w:kern w:val="0"/>
                <w:szCs w:val="24"/>
              </w:rPr>
              <w:t>quintile</w:t>
            </w:r>
          </w:p>
        </w:tc>
        <w:tc>
          <w:tcPr>
            <w:tcW w:w="770" w:type="pct"/>
            <w:tcBorders>
              <w:top w:val="nil"/>
              <w:left w:val="nil"/>
              <w:bottom w:val="nil"/>
              <w:right w:val="nil"/>
            </w:tcBorders>
            <w:shd w:val="clear" w:color="auto" w:fill="auto"/>
            <w:noWrap/>
            <w:vAlign w:val="center"/>
            <w:hideMark/>
          </w:tcPr>
          <w:p w14:paraId="2DED720A"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1</w:t>
            </w:r>
          </w:p>
        </w:tc>
        <w:tc>
          <w:tcPr>
            <w:tcW w:w="770" w:type="pct"/>
            <w:tcBorders>
              <w:top w:val="nil"/>
              <w:left w:val="nil"/>
              <w:bottom w:val="nil"/>
              <w:right w:val="nil"/>
            </w:tcBorders>
            <w:shd w:val="clear" w:color="auto" w:fill="auto"/>
            <w:noWrap/>
            <w:vAlign w:val="center"/>
          </w:tcPr>
          <w:p w14:paraId="093CA85A" w14:textId="77777777" w:rsidR="00DE110B" w:rsidRPr="00644FC9" w:rsidRDefault="00DE110B" w:rsidP="004F5AE5">
            <w:pPr>
              <w:widowControl/>
              <w:adjustRightInd w:val="0"/>
              <w:snapToGrid w:val="0"/>
              <w:jc w:val="center"/>
              <w:rPr>
                <w:rFonts w:ascii="Times New Roman" w:hAnsi="Times New Roman" w:cs="Times New Roman"/>
                <w:b/>
                <w:i/>
                <w:color w:val="000000" w:themeColor="text1"/>
              </w:rPr>
            </w:pPr>
            <w:r w:rsidRPr="00644FC9">
              <w:rPr>
                <w:rFonts w:ascii="Times New Roman" w:hAnsi="Times New Roman" w:cs="Times New Roman"/>
                <w:b/>
                <w:i/>
                <w:color w:val="000000" w:themeColor="text1"/>
              </w:rPr>
              <w:t>-0.025</w:t>
            </w:r>
          </w:p>
        </w:tc>
        <w:tc>
          <w:tcPr>
            <w:tcW w:w="929" w:type="pct"/>
            <w:tcBorders>
              <w:top w:val="nil"/>
              <w:left w:val="nil"/>
              <w:bottom w:val="nil"/>
              <w:right w:val="nil"/>
            </w:tcBorders>
            <w:shd w:val="clear" w:color="auto" w:fill="auto"/>
            <w:noWrap/>
            <w:vAlign w:val="center"/>
          </w:tcPr>
          <w:p w14:paraId="77133971"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833" w:type="pct"/>
            <w:tcBorders>
              <w:top w:val="nil"/>
              <w:left w:val="nil"/>
              <w:bottom w:val="nil"/>
              <w:right w:val="nil"/>
            </w:tcBorders>
            <w:shd w:val="clear" w:color="auto" w:fill="auto"/>
            <w:noWrap/>
            <w:vAlign w:val="center"/>
          </w:tcPr>
          <w:p w14:paraId="378F9F75"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0.049</w:t>
            </w:r>
          </w:p>
        </w:tc>
        <w:tc>
          <w:tcPr>
            <w:tcW w:w="928" w:type="pct"/>
            <w:tcBorders>
              <w:top w:val="nil"/>
              <w:left w:val="nil"/>
              <w:bottom w:val="nil"/>
              <w:right w:val="nil"/>
            </w:tcBorders>
            <w:shd w:val="clear" w:color="auto" w:fill="auto"/>
            <w:noWrap/>
            <w:vAlign w:val="center"/>
          </w:tcPr>
          <w:p w14:paraId="1BE52BA4"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r>
      <w:tr w:rsidR="00CB42CC" w:rsidRPr="00644FC9" w14:paraId="72BFC7BA" w14:textId="77777777" w:rsidTr="004F5AE5">
        <w:trPr>
          <w:trHeight w:hRule="exact" w:val="284"/>
        </w:trPr>
        <w:tc>
          <w:tcPr>
            <w:tcW w:w="770" w:type="pct"/>
            <w:vMerge/>
            <w:tcBorders>
              <w:left w:val="nil"/>
              <w:right w:val="nil"/>
            </w:tcBorders>
          </w:tcPr>
          <w:p w14:paraId="2D1395C9"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63660759"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5C34DE8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(1768)</w:t>
            </w:r>
          </w:p>
        </w:tc>
        <w:tc>
          <w:tcPr>
            <w:tcW w:w="929" w:type="pct"/>
            <w:tcBorders>
              <w:top w:val="nil"/>
              <w:left w:val="nil"/>
              <w:bottom w:val="nil"/>
              <w:right w:val="nil"/>
            </w:tcBorders>
            <w:shd w:val="clear" w:color="auto" w:fill="auto"/>
            <w:noWrap/>
            <w:vAlign w:val="center"/>
          </w:tcPr>
          <w:p w14:paraId="734A1B9D"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(1782)</w:t>
            </w:r>
          </w:p>
        </w:tc>
        <w:tc>
          <w:tcPr>
            <w:tcW w:w="833" w:type="pct"/>
            <w:tcBorders>
              <w:top w:val="nil"/>
              <w:left w:val="nil"/>
              <w:bottom w:val="nil"/>
              <w:right w:val="nil"/>
            </w:tcBorders>
            <w:shd w:val="clear" w:color="auto" w:fill="auto"/>
            <w:noWrap/>
            <w:vAlign w:val="center"/>
          </w:tcPr>
          <w:p w14:paraId="7D123ACF"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(800)</w:t>
            </w:r>
          </w:p>
        </w:tc>
        <w:tc>
          <w:tcPr>
            <w:tcW w:w="928" w:type="pct"/>
            <w:tcBorders>
              <w:top w:val="nil"/>
              <w:left w:val="nil"/>
              <w:bottom w:val="nil"/>
              <w:right w:val="nil"/>
            </w:tcBorders>
            <w:shd w:val="clear" w:color="auto" w:fill="auto"/>
            <w:noWrap/>
            <w:vAlign w:val="center"/>
          </w:tcPr>
          <w:p w14:paraId="3F67233E"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(4350)</w:t>
            </w:r>
          </w:p>
        </w:tc>
      </w:tr>
      <w:tr w:rsidR="00CB42CC" w:rsidRPr="00644FC9" w14:paraId="39D3E52F" w14:textId="77777777" w:rsidTr="004F5AE5">
        <w:trPr>
          <w:trHeight w:hRule="exact" w:val="284"/>
        </w:trPr>
        <w:tc>
          <w:tcPr>
            <w:tcW w:w="770" w:type="pct"/>
            <w:vMerge/>
            <w:tcBorders>
              <w:left w:val="nil"/>
              <w:right w:val="nil"/>
            </w:tcBorders>
          </w:tcPr>
          <w:p w14:paraId="425E3257"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32BE128A"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2-4</w:t>
            </w:r>
          </w:p>
        </w:tc>
        <w:tc>
          <w:tcPr>
            <w:tcW w:w="770" w:type="pct"/>
            <w:tcBorders>
              <w:top w:val="nil"/>
              <w:left w:val="nil"/>
              <w:bottom w:val="nil"/>
              <w:right w:val="nil"/>
            </w:tcBorders>
            <w:shd w:val="clear" w:color="auto" w:fill="auto"/>
            <w:noWrap/>
            <w:vAlign w:val="center"/>
          </w:tcPr>
          <w:p w14:paraId="40DA174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-0.033</w:t>
            </w:r>
          </w:p>
        </w:tc>
        <w:tc>
          <w:tcPr>
            <w:tcW w:w="929" w:type="pct"/>
            <w:tcBorders>
              <w:top w:val="nil"/>
              <w:left w:val="nil"/>
              <w:bottom w:val="nil"/>
              <w:right w:val="nil"/>
            </w:tcBorders>
            <w:shd w:val="clear" w:color="auto" w:fill="auto"/>
            <w:noWrap/>
            <w:vAlign w:val="center"/>
          </w:tcPr>
          <w:p w14:paraId="09BC65F3"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833" w:type="pct"/>
            <w:tcBorders>
              <w:top w:val="nil"/>
              <w:left w:val="nil"/>
              <w:bottom w:val="nil"/>
              <w:right w:val="nil"/>
            </w:tcBorders>
            <w:shd w:val="clear" w:color="auto" w:fill="auto"/>
            <w:noWrap/>
            <w:vAlign w:val="center"/>
          </w:tcPr>
          <w:p w14:paraId="1B9FDC9E"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0.037</w:t>
            </w:r>
          </w:p>
        </w:tc>
        <w:tc>
          <w:tcPr>
            <w:tcW w:w="928" w:type="pct"/>
            <w:tcBorders>
              <w:top w:val="nil"/>
              <w:left w:val="nil"/>
              <w:bottom w:val="nil"/>
              <w:right w:val="nil"/>
            </w:tcBorders>
            <w:shd w:val="clear" w:color="auto" w:fill="auto"/>
            <w:noWrap/>
            <w:vAlign w:val="center"/>
          </w:tcPr>
          <w:p w14:paraId="5EDF5BDC"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r>
      <w:tr w:rsidR="00CB42CC" w:rsidRPr="00644FC9" w14:paraId="63CAA4DD" w14:textId="77777777" w:rsidTr="004F5AE5">
        <w:trPr>
          <w:trHeight w:hRule="exact" w:val="284"/>
        </w:trPr>
        <w:tc>
          <w:tcPr>
            <w:tcW w:w="770" w:type="pct"/>
            <w:vMerge/>
            <w:tcBorders>
              <w:left w:val="nil"/>
              <w:right w:val="nil"/>
            </w:tcBorders>
          </w:tcPr>
          <w:p w14:paraId="110C02E2"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14D76488"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26387360"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(1730)</w:t>
            </w:r>
          </w:p>
        </w:tc>
        <w:tc>
          <w:tcPr>
            <w:tcW w:w="929" w:type="pct"/>
            <w:tcBorders>
              <w:top w:val="nil"/>
              <w:left w:val="nil"/>
              <w:bottom w:val="nil"/>
              <w:right w:val="nil"/>
            </w:tcBorders>
            <w:shd w:val="clear" w:color="auto" w:fill="auto"/>
            <w:noWrap/>
            <w:vAlign w:val="center"/>
          </w:tcPr>
          <w:p w14:paraId="5EAEE5A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(9614)</w:t>
            </w:r>
          </w:p>
        </w:tc>
        <w:tc>
          <w:tcPr>
            <w:tcW w:w="833" w:type="pct"/>
            <w:tcBorders>
              <w:top w:val="nil"/>
              <w:left w:val="nil"/>
              <w:bottom w:val="nil"/>
              <w:right w:val="nil"/>
            </w:tcBorders>
            <w:shd w:val="clear" w:color="auto" w:fill="auto"/>
            <w:noWrap/>
            <w:vAlign w:val="center"/>
          </w:tcPr>
          <w:p w14:paraId="76ADA90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(1727)</w:t>
            </w:r>
          </w:p>
        </w:tc>
        <w:tc>
          <w:tcPr>
            <w:tcW w:w="928" w:type="pct"/>
            <w:tcBorders>
              <w:top w:val="nil"/>
              <w:left w:val="nil"/>
              <w:bottom w:val="nil"/>
              <w:right w:val="nil"/>
            </w:tcBorders>
            <w:shd w:val="clear" w:color="auto" w:fill="auto"/>
            <w:noWrap/>
            <w:vAlign w:val="center"/>
          </w:tcPr>
          <w:p w14:paraId="7F39B466"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(13071)</w:t>
            </w:r>
          </w:p>
        </w:tc>
      </w:tr>
      <w:tr w:rsidR="00CB42CC" w:rsidRPr="00644FC9" w14:paraId="7CF5019E" w14:textId="77777777" w:rsidTr="004F5AE5">
        <w:trPr>
          <w:trHeight w:hRule="exact" w:val="284"/>
        </w:trPr>
        <w:tc>
          <w:tcPr>
            <w:tcW w:w="770" w:type="pct"/>
            <w:vMerge/>
            <w:tcBorders>
              <w:left w:val="nil"/>
              <w:right w:val="nil"/>
            </w:tcBorders>
          </w:tcPr>
          <w:p w14:paraId="70239D35"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2152DBD0"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5</w:t>
            </w:r>
          </w:p>
        </w:tc>
        <w:tc>
          <w:tcPr>
            <w:tcW w:w="770" w:type="pct"/>
            <w:tcBorders>
              <w:top w:val="nil"/>
              <w:left w:val="nil"/>
              <w:right w:val="nil"/>
            </w:tcBorders>
            <w:shd w:val="clear" w:color="auto" w:fill="auto"/>
            <w:noWrap/>
            <w:vAlign w:val="center"/>
          </w:tcPr>
          <w:p w14:paraId="02C78139"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-0.031</w:t>
            </w:r>
          </w:p>
        </w:tc>
        <w:tc>
          <w:tcPr>
            <w:tcW w:w="929" w:type="pct"/>
            <w:tcBorders>
              <w:top w:val="nil"/>
              <w:left w:val="nil"/>
              <w:right w:val="nil"/>
            </w:tcBorders>
            <w:shd w:val="clear" w:color="auto" w:fill="auto"/>
            <w:noWrap/>
            <w:vAlign w:val="center"/>
          </w:tcPr>
          <w:p w14:paraId="3AB52633"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833" w:type="pct"/>
            <w:tcBorders>
              <w:top w:val="nil"/>
              <w:left w:val="nil"/>
              <w:right w:val="nil"/>
            </w:tcBorders>
            <w:shd w:val="clear" w:color="auto" w:fill="auto"/>
            <w:noWrap/>
            <w:vAlign w:val="center"/>
          </w:tcPr>
          <w:p w14:paraId="528738BD" w14:textId="77777777" w:rsidR="00DE110B" w:rsidRPr="00644FC9" w:rsidRDefault="00DE110B" w:rsidP="004F5AE5">
            <w:pPr>
              <w:adjustRightInd w:val="0"/>
              <w:snapToGrid w:val="0"/>
              <w:jc w:val="center"/>
              <w:rPr>
                <w:rFonts w:ascii="Times New Roman" w:hAnsi="Times New Roman" w:cs="Times New Roman"/>
                <w:b/>
                <w:i/>
                <w:color w:val="000000" w:themeColor="text1"/>
              </w:rPr>
            </w:pPr>
            <w:r w:rsidRPr="00644FC9">
              <w:rPr>
                <w:rFonts w:ascii="Times New Roman" w:hAnsi="Times New Roman" w:cs="Times New Roman"/>
                <w:b/>
                <w:i/>
                <w:color w:val="000000" w:themeColor="text1"/>
              </w:rPr>
              <w:t>0.038</w:t>
            </w:r>
          </w:p>
        </w:tc>
        <w:tc>
          <w:tcPr>
            <w:tcW w:w="928" w:type="pct"/>
            <w:tcBorders>
              <w:top w:val="nil"/>
              <w:left w:val="nil"/>
              <w:bottom w:val="nil"/>
              <w:right w:val="nil"/>
            </w:tcBorders>
            <w:shd w:val="clear" w:color="auto" w:fill="auto"/>
            <w:noWrap/>
            <w:vAlign w:val="center"/>
          </w:tcPr>
          <w:p w14:paraId="28987CB5"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0.010</w:t>
            </w:r>
          </w:p>
        </w:tc>
      </w:tr>
      <w:tr w:rsidR="00CB42CC" w:rsidRPr="00644FC9" w14:paraId="18EB00DC" w14:textId="77777777" w:rsidTr="004F5AE5">
        <w:trPr>
          <w:trHeight w:hRule="exact" w:val="284"/>
        </w:trPr>
        <w:tc>
          <w:tcPr>
            <w:tcW w:w="770" w:type="pct"/>
            <w:vMerge/>
            <w:tcBorders>
              <w:left w:val="nil"/>
              <w:bottom w:val="nil"/>
              <w:right w:val="nil"/>
            </w:tcBorders>
          </w:tcPr>
          <w:p w14:paraId="5E4C10BE"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272B3D17"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single" w:sz="4" w:space="0" w:color="auto"/>
              <w:right w:val="nil"/>
            </w:tcBorders>
            <w:shd w:val="clear" w:color="auto" w:fill="auto"/>
            <w:noWrap/>
            <w:vAlign w:val="center"/>
          </w:tcPr>
          <w:p w14:paraId="40D35CB1"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(852)</w:t>
            </w:r>
          </w:p>
        </w:tc>
        <w:tc>
          <w:tcPr>
            <w:tcW w:w="929" w:type="pct"/>
            <w:tcBorders>
              <w:top w:val="nil"/>
              <w:left w:val="nil"/>
              <w:bottom w:val="single" w:sz="4" w:space="0" w:color="auto"/>
              <w:right w:val="nil"/>
            </w:tcBorders>
            <w:shd w:val="clear" w:color="auto" w:fill="auto"/>
            <w:noWrap/>
            <w:vAlign w:val="center"/>
          </w:tcPr>
          <w:p w14:paraId="0797DB21"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(1675)</w:t>
            </w:r>
          </w:p>
        </w:tc>
        <w:tc>
          <w:tcPr>
            <w:tcW w:w="833" w:type="pct"/>
            <w:tcBorders>
              <w:top w:val="nil"/>
              <w:left w:val="nil"/>
              <w:bottom w:val="single" w:sz="4" w:space="0" w:color="auto"/>
              <w:right w:val="nil"/>
            </w:tcBorders>
            <w:shd w:val="clear" w:color="auto" w:fill="auto"/>
            <w:noWrap/>
            <w:vAlign w:val="center"/>
          </w:tcPr>
          <w:p w14:paraId="67BE38E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(1839)</w:t>
            </w:r>
          </w:p>
        </w:tc>
        <w:tc>
          <w:tcPr>
            <w:tcW w:w="928" w:type="pct"/>
            <w:tcBorders>
              <w:top w:val="nil"/>
              <w:left w:val="nil"/>
              <w:bottom w:val="nil"/>
              <w:right w:val="nil"/>
            </w:tcBorders>
            <w:shd w:val="clear" w:color="auto" w:fill="auto"/>
            <w:noWrap/>
            <w:vAlign w:val="center"/>
          </w:tcPr>
          <w:p w14:paraId="07992347"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(4366)</w:t>
            </w:r>
          </w:p>
        </w:tc>
      </w:tr>
      <w:tr w:rsidR="00CB42CC" w:rsidRPr="00644FC9" w14:paraId="2229BAD5" w14:textId="77777777" w:rsidTr="004F5AE5">
        <w:trPr>
          <w:trHeight w:hRule="exact" w:val="284"/>
        </w:trPr>
        <w:tc>
          <w:tcPr>
            <w:tcW w:w="770" w:type="pct"/>
            <w:tcBorders>
              <w:top w:val="nil"/>
              <w:left w:val="nil"/>
              <w:right w:val="nil"/>
            </w:tcBorders>
          </w:tcPr>
          <w:p w14:paraId="0A8CB5E4"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right w:val="nil"/>
            </w:tcBorders>
            <w:shd w:val="clear" w:color="auto" w:fill="auto"/>
            <w:noWrap/>
            <w:vAlign w:val="center"/>
            <w:hideMark/>
          </w:tcPr>
          <w:p w14:paraId="532AA79F"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nil"/>
              <w:right w:val="nil"/>
            </w:tcBorders>
            <w:shd w:val="clear" w:color="auto" w:fill="auto"/>
            <w:noWrap/>
            <w:vAlign w:val="center"/>
          </w:tcPr>
          <w:p w14:paraId="266D56A8"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-0.030</w:t>
            </w:r>
          </w:p>
        </w:tc>
        <w:tc>
          <w:tcPr>
            <w:tcW w:w="929" w:type="pct"/>
            <w:tcBorders>
              <w:top w:val="single" w:sz="4" w:space="0" w:color="auto"/>
              <w:left w:val="nil"/>
              <w:bottom w:val="nil"/>
              <w:right w:val="nil"/>
            </w:tcBorders>
            <w:shd w:val="clear" w:color="auto" w:fill="auto"/>
            <w:noWrap/>
            <w:vAlign w:val="center"/>
          </w:tcPr>
          <w:p w14:paraId="4BA220F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833" w:type="pct"/>
            <w:tcBorders>
              <w:top w:val="single" w:sz="4" w:space="0" w:color="auto"/>
              <w:left w:val="nil"/>
              <w:bottom w:val="nil"/>
              <w:right w:val="nil"/>
            </w:tcBorders>
            <w:shd w:val="clear" w:color="auto" w:fill="auto"/>
            <w:noWrap/>
            <w:vAlign w:val="center"/>
          </w:tcPr>
          <w:p w14:paraId="25D80EA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0.040</w:t>
            </w:r>
          </w:p>
        </w:tc>
        <w:tc>
          <w:tcPr>
            <w:tcW w:w="928" w:type="pct"/>
            <w:tcBorders>
              <w:top w:val="nil"/>
              <w:left w:val="nil"/>
              <w:bottom w:val="nil"/>
              <w:right w:val="nil"/>
            </w:tcBorders>
            <w:shd w:val="clear" w:color="auto" w:fill="auto"/>
            <w:noWrap/>
            <w:vAlign w:val="center"/>
          </w:tcPr>
          <w:p w14:paraId="6CB62155" w14:textId="77777777" w:rsidR="00DE110B" w:rsidRPr="00644FC9" w:rsidRDefault="00DE110B" w:rsidP="004F5AE5">
            <w:pPr>
              <w:adjustRightInd w:val="0"/>
              <w:snapToGrid w:val="0"/>
              <w:jc w:val="center"/>
              <w:rPr>
                <w:rFonts w:ascii="Times New Roman" w:hAnsi="Times New Roman" w:cs="Times New Roman"/>
                <w:color w:val="000000" w:themeColor="text1"/>
              </w:rPr>
            </w:pPr>
          </w:p>
        </w:tc>
      </w:tr>
      <w:tr w:rsidR="00CB42CC" w:rsidRPr="00644FC9" w14:paraId="58FA6D83" w14:textId="77777777" w:rsidTr="004F5AE5">
        <w:trPr>
          <w:trHeight w:hRule="exact" w:val="284"/>
        </w:trPr>
        <w:tc>
          <w:tcPr>
            <w:tcW w:w="770" w:type="pct"/>
            <w:tcBorders>
              <w:top w:val="nil"/>
              <w:left w:val="nil"/>
              <w:bottom w:val="single" w:sz="4" w:space="0" w:color="auto"/>
              <w:right w:val="nil"/>
            </w:tcBorders>
          </w:tcPr>
          <w:p w14:paraId="35F14815"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single" w:sz="4" w:space="0" w:color="auto"/>
              <w:right w:val="nil"/>
            </w:tcBorders>
            <w:shd w:val="clear" w:color="auto" w:fill="auto"/>
            <w:noWrap/>
            <w:vAlign w:val="center"/>
            <w:hideMark/>
          </w:tcPr>
          <w:p w14:paraId="04672B25"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04EED1EF" w14:textId="77777777" w:rsidR="00DE110B" w:rsidRPr="00644FC9" w:rsidRDefault="00DE110B" w:rsidP="004F5AE5">
            <w:pPr>
              <w:adjustRightInd w:val="0"/>
              <w:snapToGrid w:val="0"/>
              <w:jc w:val="center"/>
              <w:rPr>
                <w:rFonts w:ascii="Times New Roman" w:eastAsia="新細明體" w:hAnsi="Times New Roman" w:cs="Times New Roman"/>
                <w:color w:val="000000" w:themeColor="text1"/>
                <w:szCs w:val="24"/>
              </w:rPr>
            </w:pPr>
            <w:r w:rsidRPr="00644FC9">
              <w:rPr>
                <w:rFonts w:ascii="Times New Roman" w:hAnsi="Times New Roman" w:cs="Times New Roman"/>
                <w:color w:val="000000" w:themeColor="text1"/>
              </w:rPr>
              <w:t>(4350)</w:t>
            </w:r>
          </w:p>
        </w:tc>
        <w:tc>
          <w:tcPr>
            <w:tcW w:w="929" w:type="pct"/>
            <w:tcBorders>
              <w:top w:val="nil"/>
              <w:left w:val="nil"/>
              <w:bottom w:val="nil"/>
              <w:right w:val="nil"/>
            </w:tcBorders>
            <w:shd w:val="clear" w:color="auto" w:fill="auto"/>
            <w:noWrap/>
            <w:vAlign w:val="center"/>
          </w:tcPr>
          <w:p w14:paraId="58F866BC"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(13071)</w:t>
            </w:r>
          </w:p>
        </w:tc>
        <w:tc>
          <w:tcPr>
            <w:tcW w:w="833" w:type="pct"/>
            <w:tcBorders>
              <w:top w:val="nil"/>
              <w:left w:val="nil"/>
              <w:bottom w:val="nil"/>
              <w:right w:val="nil"/>
            </w:tcBorders>
            <w:shd w:val="clear" w:color="auto" w:fill="auto"/>
            <w:noWrap/>
            <w:vAlign w:val="center"/>
          </w:tcPr>
          <w:p w14:paraId="4C8A1AE1"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(4366)</w:t>
            </w:r>
          </w:p>
        </w:tc>
        <w:tc>
          <w:tcPr>
            <w:tcW w:w="928" w:type="pct"/>
            <w:tcBorders>
              <w:top w:val="nil"/>
              <w:left w:val="nil"/>
              <w:bottom w:val="nil"/>
              <w:right w:val="nil"/>
            </w:tcBorders>
            <w:shd w:val="clear" w:color="auto" w:fill="auto"/>
            <w:noWrap/>
            <w:vAlign w:val="center"/>
          </w:tcPr>
          <w:p w14:paraId="693608BF" w14:textId="77777777" w:rsidR="00DE110B" w:rsidRPr="00644FC9" w:rsidRDefault="00DE110B" w:rsidP="004F5AE5">
            <w:pPr>
              <w:adjustRightInd w:val="0"/>
              <w:snapToGrid w:val="0"/>
              <w:jc w:val="center"/>
              <w:rPr>
                <w:rFonts w:ascii="Times New Roman" w:hAnsi="Times New Roman" w:cs="Times New Roman"/>
                <w:color w:val="000000" w:themeColor="text1"/>
              </w:rPr>
            </w:pPr>
          </w:p>
        </w:tc>
      </w:tr>
      <w:tr w:rsidR="00CB42CC" w:rsidRPr="00644FC9" w14:paraId="5D948B7B" w14:textId="77777777" w:rsidTr="004F5AE5">
        <w:trPr>
          <w:trHeight w:hRule="exact" w:val="567"/>
        </w:trPr>
        <w:tc>
          <w:tcPr>
            <w:tcW w:w="5000" w:type="pct"/>
            <w:gridSpan w:val="6"/>
            <w:tcBorders>
              <w:top w:val="single" w:sz="4" w:space="0" w:color="auto"/>
              <w:left w:val="nil"/>
              <w:bottom w:val="nil"/>
              <w:right w:val="nil"/>
            </w:tcBorders>
          </w:tcPr>
          <w:p w14:paraId="1A482A89" w14:textId="621A371F" w:rsidR="00DE110B" w:rsidRPr="00644FC9" w:rsidRDefault="00DE110B" w:rsidP="00F5550E">
            <w:pPr>
              <w:widowControl/>
              <w:adjustRightInd w:val="0"/>
              <w:snapToGrid w:val="0"/>
              <w:jc w:val="both"/>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color w:val="000000" w:themeColor="text1"/>
                <w:kern w:val="0"/>
                <w:szCs w:val="24"/>
              </w:rPr>
              <w:t>Panel C: Double portfolio sorting based upon unexpected operating income (</w:t>
            </w: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 and unexpected</w:t>
            </w:r>
            <w:r w:rsidR="00313173" w:rsidRPr="00644FC9">
              <w:rPr>
                <w:rFonts w:ascii="Times New Roman" w:eastAsia="新細明體" w:hAnsi="Times New Roman" w:cs="Times New Roman"/>
                <w:color w:val="000000" w:themeColor="text1"/>
                <w:kern w:val="0"/>
                <w:szCs w:val="24"/>
              </w:rPr>
              <w:t xml:space="preserve"> non-operating </w:t>
            </w:r>
            <w:r w:rsidRPr="00644FC9">
              <w:rPr>
                <w:rFonts w:ascii="Times New Roman" w:eastAsia="新細明體" w:hAnsi="Times New Roman" w:cs="Times New Roman"/>
                <w:color w:val="000000" w:themeColor="text1"/>
                <w:kern w:val="0"/>
                <w:szCs w:val="24"/>
              </w:rPr>
              <w:t>income (</w:t>
            </w: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w:t>
            </w:r>
          </w:p>
        </w:tc>
      </w:tr>
      <w:tr w:rsidR="00CB42CC" w:rsidRPr="00644FC9" w14:paraId="5FB2C064" w14:textId="77777777" w:rsidTr="004F5AE5">
        <w:trPr>
          <w:trHeight w:hRule="exact" w:val="284"/>
        </w:trPr>
        <w:tc>
          <w:tcPr>
            <w:tcW w:w="770" w:type="pct"/>
            <w:tcBorders>
              <w:top w:val="single" w:sz="4" w:space="0" w:color="auto"/>
              <w:left w:val="nil"/>
              <w:bottom w:val="nil"/>
              <w:right w:val="nil"/>
            </w:tcBorders>
          </w:tcPr>
          <w:p w14:paraId="26B7D2FD"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nil"/>
              <w:right w:val="nil"/>
            </w:tcBorders>
            <w:shd w:val="clear" w:color="auto" w:fill="auto"/>
            <w:noWrap/>
            <w:vAlign w:val="center"/>
          </w:tcPr>
          <w:p w14:paraId="7525FD90"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3460" w:type="pct"/>
            <w:gridSpan w:val="4"/>
            <w:tcBorders>
              <w:top w:val="single" w:sz="4" w:space="0" w:color="auto"/>
              <w:left w:val="nil"/>
              <w:bottom w:val="single" w:sz="4" w:space="0" w:color="auto"/>
              <w:right w:val="nil"/>
            </w:tcBorders>
            <w:shd w:val="clear" w:color="auto" w:fill="auto"/>
            <w:noWrap/>
            <w:vAlign w:val="center"/>
          </w:tcPr>
          <w:p w14:paraId="4D7D6C5B"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 xml:space="preserve"> quintile</w:t>
            </w:r>
          </w:p>
        </w:tc>
      </w:tr>
      <w:tr w:rsidR="00CB42CC" w:rsidRPr="00644FC9" w14:paraId="75C7DE95" w14:textId="77777777" w:rsidTr="004F5AE5">
        <w:trPr>
          <w:trHeight w:hRule="exact" w:val="284"/>
        </w:trPr>
        <w:tc>
          <w:tcPr>
            <w:tcW w:w="770" w:type="pct"/>
            <w:tcBorders>
              <w:top w:val="nil"/>
              <w:left w:val="nil"/>
              <w:bottom w:val="nil"/>
              <w:right w:val="nil"/>
            </w:tcBorders>
          </w:tcPr>
          <w:p w14:paraId="678B944B"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70C4E486"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single" w:sz="4" w:space="0" w:color="auto"/>
              <w:left w:val="nil"/>
              <w:bottom w:val="single" w:sz="4" w:space="0" w:color="auto"/>
              <w:right w:val="nil"/>
            </w:tcBorders>
            <w:shd w:val="clear" w:color="auto" w:fill="auto"/>
            <w:noWrap/>
            <w:vAlign w:val="center"/>
            <w:hideMark/>
          </w:tcPr>
          <w:p w14:paraId="4C7FDC5E"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1</w:t>
            </w:r>
          </w:p>
        </w:tc>
        <w:tc>
          <w:tcPr>
            <w:tcW w:w="929" w:type="pct"/>
            <w:tcBorders>
              <w:top w:val="single" w:sz="4" w:space="0" w:color="auto"/>
              <w:left w:val="nil"/>
              <w:bottom w:val="single" w:sz="4" w:space="0" w:color="auto"/>
              <w:right w:val="nil"/>
            </w:tcBorders>
            <w:shd w:val="clear" w:color="auto" w:fill="auto"/>
            <w:noWrap/>
            <w:vAlign w:val="center"/>
            <w:hideMark/>
          </w:tcPr>
          <w:p w14:paraId="6035ED5F"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2-4</w:t>
            </w:r>
          </w:p>
        </w:tc>
        <w:tc>
          <w:tcPr>
            <w:tcW w:w="833" w:type="pct"/>
            <w:tcBorders>
              <w:top w:val="single" w:sz="4" w:space="0" w:color="auto"/>
              <w:left w:val="nil"/>
              <w:bottom w:val="single" w:sz="4" w:space="0" w:color="auto"/>
              <w:right w:val="nil"/>
            </w:tcBorders>
            <w:shd w:val="clear" w:color="auto" w:fill="auto"/>
            <w:noWrap/>
            <w:vAlign w:val="center"/>
            <w:hideMark/>
          </w:tcPr>
          <w:p w14:paraId="0FE02C95"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UOI</w:t>
            </w:r>
            <w:r w:rsidRPr="00644FC9">
              <w:rPr>
                <w:rFonts w:ascii="Times New Roman" w:eastAsia="新細明體" w:hAnsi="Times New Roman" w:cs="Times New Roman"/>
                <w:color w:val="000000" w:themeColor="text1"/>
                <w:kern w:val="0"/>
                <w:szCs w:val="24"/>
              </w:rPr>
              <w:t>5</w:t>
            </w:r>
          </w:p>
        </w:tc>
        <w:tc>
          <w:tcPr>
            <w:tcW w:w="928" w:type="pct"/>
            <w:tcBorders>
              <w:top w:val="single" w:sz="4" w:space="0" w:color="auto"/>
              <w:left w:val="nil"/>
              <w:bottom w:val="single" w:sz="4" w:space="0" w:color="auto"/>
              <w:right w:val="nil"/>
            </w:tcBorders>
            <w:shd w:val="clear" w:color="auto" w:fill="auto"/>
            <w:noWrap/>
            <w:vAlign w:val="center"/>
            <w:hideMark/>
          </w:tcPr>
          <w:p w14:paraId="261B0627"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r>
      <w:tr w:rsidR="00CB42CC" w:rsidRPr="00644FC9" w14:paraId="3AB298F0" w14:textId="77777777" w:rsidTr="004F5AE5">
        <w:trPr>
          <w:trHeight w:hRule="exact" w:val="284"/>
        </w:trPr>
        <w:tc>
          <w:tcPr>
            <w:tcW w:w="770" w:type="pct"/>
            <w:vMerge w:val="restart"/>
            <w:tcBorders>
              <w:top w:val="nil"/>
              <w:left w:val="nil"/>
              <w:right w:val="nil"/>
            </w:tcBorders>
            <w:vAlign w:val="center"/>
          </w:tcPr>
          <w:p w14:paraId="0FB2E0DC"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hAnsi="Times New Roman" w:cs="Times New Roman"/>
                <w:color w:val="000000" w:themeColor="text1"/>
              </w:rPr>
              <w:t xml:space="preserve"> </w:t>
            </w:r>
            <w:r w:rsidRPr="00644FC9">
              <w:rPr>
                <w:rFonts w:ascii="Times New Roman" w:eastAsia="新細明體" w:hAnsi="Times New Roman" w:cs="Times New Roman"/>
                <w:color w:val="000000" w:themeColor="text1"/>
                <w:kern w:val="0"/>
                <w:szCs w:val="24"/>
              </w:rPr>
              <w:t>quintile</w:t>
            </w:r>
          </w:p>
        </w:tc>
        <w:tc>
          <w:tcPr>
            <w:tcW w:w="770" w:type="pct"/>
            <w:tcBorders>
              <w:top w:val="nil"/>
              <w:left w:val="nil"/>
              <w:bottom w:val="nil"/>
              <w:right w:val="nil"/>
            </w:tcBorders>
            <w:shd w:val="clear" w:color="auto" w:fill="auto"/>
            <w:noWrap/>
            <w:vAlign w:val="center"/>
            <w:hideMark/>
          </w:tcPr>
          <w:p w14:paraId="5C690C98"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1</w:t>
            </w:r>
          </w:p>
        </w:tc>
        <w:tc>
          <w:tcPr>
            <w:tcW w:w="770" w:type="pct"/>
            <w:tcBorders>
              <w:top w:val="nil"/>
              <w:left w:val="nil"/>
              <w:bottom w:val="nil"/>
              <w:right w:val="nil"/>
            </w:tcBorders>
            <w:shd w:val="clear" w:color="auto" w:fill="auto"/>
            <w:noWrap/>
            <w:vAlign w:val="center"/>
          </w:tcPr>
          <w:p w14:paraId="451517A8" w14:textId="77777777" w:rsidR="00DE110B" w:rsidRPr="00644FC9" w:rsidRDefault="00DE110B" w:rsidP="004F5AE5">
            <w:pPr>
              <w:widowControl/>
              <w:adjustRightInd w:val="0"/>
              <w:snapToGrid w:val="0"/>
              <w:jc w:val="center"/>
              <w:rPr>
                <w:rFonts w:ascii="Times New Roman" w:hAnsi="Times New Roman" w:cs="Times New Roman"/>
                <w:b/>
                <w:i/>
                <w:color w:val="000000" w:themeColor="text1"/>
              </w:rPr>
            </w:pPr>
            <w:r w:rsidRPr="00644FC9">
              <w:rPr>
                <w:rFonts w:ascii="Times New Roman" w:hAnsi="Times New Roman" w:cs="Times New Roman"/>
                <w:b/>
                <w:i/>
                <w:color w:val="000000" w:themeColor="text1"/>
              </w:rPr>
              <w:t>-0.031</w:t>
            </w:r>
          </w:p>
        </w:tc>
        <w:tc>
          <w:tcPr>
            <w:tcW w:w="929" w:type="pct"/>
            <w:tcBorders>
              <w:top w:val="nil"/>
              <w:left w:val="nil"/>
              <w:bottom w:val="nil"/>
              <w:right w:val="nil"/>
            </w:tcBorders>
            <w:shd w:val="clear" w:color="auto" w:fill="auto"/>
            <w:noWrap/>
            <w:vAlign w:val="center"/>
          </w:tcPr>
          <w:p w14:paraId="55396C36"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-0.019</w:t>
            </w:r>
          </w:p>
        </w:tc>
        <w:tc>
          <w:tcPr>
            <w:tcW w:w="833" w:type="pct"/>
            <w:tcBorders>
              <w:top w:val="nil"/>
              <w:left w:val="nil"/>
              <w:bottom w:val="nil"/>
              <w:right w:val="nil"/>
            </w:tcBorders>
            <w:shd w:val="clear" w:color="auto" w:fill="auto"/>
            <w:noWrap/>
            <w:vAlign w:val="center"/>
          </w:tcPr>
          <w:p w14:paraId="16F927D7"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0.027</w:t>
            </w:r>
          </w:p>
        </w:tc>
        <w:tc>
          <w:tcPr>
            <w:tcW w:w="928" w:type="pct"/>
            <w:tcBorders>
              <w:top w:val="nil"/>
              <w:left w:val="nil"/>
              <w:bottom w:val="nil"/>
              <w:right w:val="nil"/>
            </w:tcBorders>
            <w:shd w:val="clear" w:color="auto" w:fill="auto"/>
            <w:noWrap/>
            <w:vAlign w:val="center"/>
          </w:tcPr>
          <w:p w14:paraId="6F7A1CDF"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r>
      <w:tr w:rsidR="00CB42CC" w:rsidRPr="00644FC9" w14:paraId="73944631" w14:textId="77777777" w:rsidTr="004F5AE5">
        <w:trPr>
          <w:trHeight w:hRule="exact" w:val="284"/>
        </w:trPr>
        <w:tc>
          <w:tcPr>
            <w:tcW w:w="770" w:type="pct"/>
            <w:vMerge/>
            <w:tcBorders>
              <w:left w:val="nil"/>
              <w:right w:val="nil"/>
            </w:tcBorders>
          </w:tcPr>
          <w:p w14:paraId="70A207D3"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13132549"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608A3044"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(607)</w:t>
            </w:r>
          </w:p>
        </w:tc>
        <w:tc>
          <w:tcPr>
            <w:tcW w:w="929" w:type="pct"/>
            <w:tcBorders>
              <w:top w:val="nil"/>
              <w:left w:val="nil"/>
              <w:bottom w:val="nil"/>
              <w:right w:val="nil"/>
            </w:tcBorders>
            <w:shd w:val="clear" w:color="auto" w:fill="auto"/>
            <w:noWrap/>
            <w:vAlign w:val="center"/>
          </w:tcPr>
          <w:p w14:paraId="306A9D3C"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(1938)</w:t>
            </w:r>
          </w:p>
        </w:tc>
        <w:tc>
          <w:tcPr>
            <w:tcW w:w="833" w:type="pct"/>
            <w:tcBorders>
              <w:top w:val="nil"/>
              <w:left w:val="nil"/>
              <w:bottom w:val="nil"/>
              <w:right w:val="nil"/>
            </w:tcBorders>
            <w:shd w:val="clear" w:color="auto" w:fill="auto"/>
            <w:noWrap/>
            <w:vAlign w:val="center"/>
          </w:tcPr>
          <w:p w14:paraId="051EDC4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(1805)</w:t>
            </w:r>
          </w:p>
        </w:tc>
        <w:tc>
          <w:tcPr>
            <w:tcW w:w="928" w:type="pct"/>
            <w:tcBorders>
              <w:top w:val="nil"/>
              <w:left w:val="nil"/>
              <w:bottom w:val="nil"/>
              <w:right w:val="nil"/>
            </w:tcBorders>
            <w:shd w:val="clear" w:color="auto" w:fill="auto"/>
            <w:noWrap/>
            <w:vAlign w:val="center"/>
          </w:tcPr>
          <w:p w14:paraId="0BF5E664"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(4350)</w:t>
            </w:r>
          </w:p>
        </w:tc>
      </w:tr>
      <w:tr w:rsidR="00CB42CC" w:rsidRPr="00644FC9" w14:paraId="4F1A6865" w14:textId="77777777" w:rsidTr="004F5AE5">
        <w:trPr>
          <w:trHeight w:hRule="exact" w:val="284"/>
        </w:trPr>
        <w:tc>
          <w:tcPr>
            <w:tcW w:w="770" w:type="pct"/>
            <w:vMerge/>
            <w:tcBorders>
              <w:left w:val="nil"/>
              <w:right w:val="nil"/>
            </w:tcBorders>
          </w:tcPr>
          <w:p w14:paraId="1A55CB07"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685A7D85"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2-4</w:t>
            </w:r>
          </w:p>
        </w:tc>
        <w:tc>
          <w:tcPr>
            <w:tcW w:w="770" w:type="pct"/>
            <w:tcBorders>
              <w:top w:val="nil"/>
              <w:left w:val="nil"/>
              <w:bottom w:val="nil"/>
              <w:right w:val="nil"/>
            </w:tcBorders>
            <w:shd w:val="clear" w:color="auto" w:fill="auto"/>
            <w:noWrap/>
            <w:vAlign w:val="center"/>
          </w:tcPr>
          <w:p w14:paraId="728E3712"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-0.032</w:t>
            </w:r>
          </w:p>
        </w:tc>
        <w:tc>
          <w:tcPr>
            <w:tcW w:w="929" w:type="pct"/>
            <w:tcBorders>
              <w:top w:val="nil"/>
              <w:left w:val="nil"/>
              <w:bottom w:val="nil"/>
              <w:right w:val="nil"/>
            </w:tcBorders>
            <w:shd w:val="clear" w:color="auto" w:fill="auto"/>
            <w:noWrap/>
            <w:vAlign w:val="center"/>
          </w:tcPr>
          <w:p w14:paraId="54E3B2FC"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833" w:type="pct"/>
            <w:tcBorders>
              <w:top w:val="nil"/>
              <w:left w:val="nil"/>
              <w:bottom w:val="nil"/>
              <w:right w:val="nil"/>
            </w:tcBorders>
            <w:shd w:val="clear" w:color="auto" w:fill="auto"/>
            <w:noWrap/>
            <w:vAlign w:val="center"/>
          </w:tcPr>
          <w:p w14:paraId="3E565AB8"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0.037</w:t>
            </w:r>
          </w:p>
        </w:tc>
        <w:tc>
          <w:tcPr>
            <w:tcW w:w="928" w:type="pct"/>
            <w:tcBorders>
              <w:top w:val="nil"/>
              <w:left w:val="nil"/>
              <w:bottom w:val="nil"/>
              <w:right w:val="nil"/>
            </w:tcBorders>
            <w:shd w:val="clear" w:color="auto" w:fill="auto"/>
            <w:noWrap/>
            <w:vAlign w:val="center"/>
          </w:tcPr>
          <w:p w14:paraId="11E31146"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r>
      <w:tr w:rsidR="00CB42CC" w:rsidRPr="00644FC9" w14:paraId="22A70AAC" w14:textId="77777777" w:rsidTr="004F5AE5">
        <w:trPr>
          <w:trHeight w:hRule="exact" w:val="284"/>
        </w:trPr>
        <w:tc>
          <w:tcPr>
            <w:tcW w:w="770" w:type="pct"/>
            <w:vMerge/>
            <w:tcBorders>
              <w:left w:val="nil"/>
              <w:right w:val="nil"/>
            </w:tcBorders>
          </w:tcPr>
          <w:p w14:paraId="4323CCD9"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4F7678B9"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0F022D86"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(1911)</w:t>
            </w:r>
          </w:p>
        </w:tc>
        <w:tc>
          <w:tcPr>
            <w:tcW w:w="929" w:type="pct"/>
            <w:tcBorders>
              <w:top w:val="nil"/>
              <w:left w:val="nil"/>
              <w:bottom w:val="nil"/>
              <w:right w:val="nil"/>
            </w:tcBorders>
            <w:shd w:val="clear" w:color="auto" w:fill="auto"/>
            <w:noWrap/>
            <w:vAlign w:val="center"/>
          </w:tcPr>
          <w:p w14:paraId="619918C3"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(9295)</w:t>
            </w:r>
          </w:p>
        </w:tc>
        <w:tc>
          <w:tcPr>
            <w:tcW w:w="833" w:type="pct"/>
            <w:tcBorders>
              <w:top w:val="nil"/>
              <w:left w:val="nil"/>
              <w:bottom w:val="nil"/>
              <w:right w:val="nil"/>
            </w:tcBorders>
            <w:shd w:val="clear" w:color="auto" w:fill="auto"/>
            <w:noWrap/>
            <w:vAlign w:val="center"/>
          </w:tcPr>
          <w:p w14:paraId="4957DBB0"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(1865)</w:t>
            </w:r>
          </w:p>
        </w:tc>
        <w:tc>
          <w:tcPr>
            <w:tcW w:w="928" w:type="pct"/>
            <w:tcBorders>
              <w:top w:val="nil"/>
              <w:left w:val="nil"/>
              <w:bottom w:val="nil"/>
              <w:right w:val="nil"/>
            </w:tcBorders>
            <w:shd w:val="clear" w:color="auto" w:fill="auto"/>
            <w:noWrap/>
            <w:vAlign w:val="center"/>
          </w:tcPr>
          <w:p w14:paraId="4A93C987"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(13071)</w:t>
            </w:r>
          </w:p>
        </w:tc>
      </w:tr>
      <w:tr w:rsidR="00CB42CC" w:rsidRPr="00644FC9" w14:paraId="6D759A4A" w14:textId="77777777" w:rsidTr="004F5AE5">
        <w:trPr>
          <w:trHeight w:hRule="exact" w:val="284"/>
        </w:trPr>
        <w:tc>
          <w:tcPr>
            <w:tcW w:w="770" w:type="pct"/>
            <w:vMerge/>
            <w:tcBorders>
              <w:left w:val="nil"/>
              <w:right w:val="nil"/>
            </w:tcBorders>
          </w:tcPr>
          <w:p w14:paraId="7D513F06" w14:textId="77777777" w:rsidR="00DE110B" w:rsidRPr="00644FC9" w:rsidRDefault="00DE110B" w:rsidP="004F5AE5">
            <w:pPr>
              <w:widowControl/>
              <w:adjustRightInd w:val="0"/>
              <w:snapToGrid w:val="0"/>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30EBC184" w14:textId="77777777" w:rsidR="00DE110B" w:rsidRPr="00644FC9" w:rsidRDefault="00DE110B" w:rsidP="004F5AE5">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UNOI</w:t>
            </w:r>
            <w:r w:rsidRPr="00644FC9">
              <w:rPr>
                <w:rFonts w:ascii="Times New Roman" w:eastAsia="新細明體" w:hAnsi="Times New Roman" w:cs="Times New Roman"/>
                <w:color w:val="000000" w:themeColor="text1"/>
                <w:kern w:val="0"/>
                <w:szCs w:val="24"/>
              </w:rPr>
              <w:t>5</w:t>
            </w:r>
          </w:p>
        </w:tc>
        <w:tc>
          <w:tcPr>
            <w:tcW w:w="770" w:type="pct"/>
            <w:tcBorders>
              <w:top w:val="nil"/>
              <w:left w:val="nil"/>
              <w:bottom w:val="nil"/>
              <w:right w:val="nil"/>
            </w:tcBorders>
            <w:shd w:val="clear" w:color="auto" w:fill="auto"/>
            <w:noWrap/>
            <w:vAlign w:val="center"/>
          </w:tcPr>
          <w:p w14:paraId="5F6BB400"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-0.013</w:t>
            </w:r>
          </w:p>
        </w:tc>
        <w:tc>
          <w:tcPr>
            <w:tcW w:w="929" w:type="pct"/>
            <w:tcBorders>
              <w:top w:val="nil"/>
              <w:left w:val="nil"/>
              <w:bottom w:val="nil"/>
              <w:right w:val="nil"/>
            </w:tcBorders>
            <w:shd w:val="clear" w:color="auto" w:fill="auto"/>
            <w:noWrap/>
            <w:vAlign w:val="center"/>
          </w:tcPr>
          <w:p w14:paraId="41E5560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0.015</w:t>
            </w:r>
          </w:p>
        </w:tc>
        <w:tc>
          <w:tcPr>
            <w:tcW w:w="833" w:type="pct"/>
            <w:tcBorders>
              <w:top w:val="nil"/>
              <w:left w:val="nil"/>
              <w:bottom w:val="nil"/>
              <w:right w:val="nil"/>
            </w:tcBorders>
            <w:shd w:val="clear" w:color="auto" w:fill="auto"/>
            <w:noWrap/>
            <w:vAlign w:val="center"/>
          </w:tcPr>
          <w:p w14:paraId="1622A902" w14:textId="77777777" w:rsidR="00DE110B" w:rsidRPr="00644FC9" w:rsidRDefault="00DE110B" w:rsidP="004F5AE5">
            <w:pPr>
              <w:adjustRightInd w:val="0"/>
              <w:snapToGrid w:val="0"/>
              <w:jc w:val="center"/>
              <w:rPr>
                <w:rFonts w:ascii="Times New Roman" w:hAnsi="Times New Roman" w:cs="Times New Roman"/>
                <w:b/>
                <w:i/>
                <w:color w:val="000000" w:themeColor="text1"/>
              </w:rPr>
            </w:pPr>
            <w:r w:rsidRPr="00644FC9">
              <w:rPr>
                <w:rFonts w:ascii="Times New Roman" w:hAnsi="Times New Roman" w:cs="Times New Roman"/>
                <w:b/>
                <w:i/>
                <w:color w:val="000000" w:themeColor="text1"/>
              </w:rPr>
              <w:t>0.055</w:t>
            </w:r>
          </w:p>
        </w:tc>
        <w:tc>
          <w:tcPr>
            <w:tcW w:w="928" w:type="pct"/>
            <w:tcBorders>
              <w:top w:val="nil"/>
              <w:left w:val="nil"/>
              <w:bottom w:val="nil"/>
              <w:right w:val="nil"/>
            </w:tcBorders>
            <w:shd w:val="clear" w:color="auto" w:fill="auto"/>
            <w:noWrap/>
            <w:vAlign w:val="center"/>
          </w:tcPr>
          <w:p w14:paraId="4ABA705E"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0.010</w:t>
            </w:r>
          </w:p>
        </w:tc>
      </w:tr>
      <w:tr w:rsidR="00CB42CC" w:rsidRPr="00644FC9" w14:paraId="6C9A8FD0" w14:textId="77777777" w:rsidTr="004F5AE5">
        <w:trPr>
          <w:trHeight w:hRule="exact" w:val="284"/>
        </w:trPr>
        <w:tc>
          <w:tcPr>
            <w:tcW w:w="770" w:type="pct"/>
            <w:vMerge/>
            <w:tcBorders>
              <w:left w:val="nil"/>
              <w:bottom w:val="nil"/>
              <w:right w:val="nil"/>
            </w:tcBorders>
          </w:tcPr>
          <w:p w14:paraId="53AD0869"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hideMark/>
          </w:tcPr>
          <w:p w14:paraId="302883FB"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nil"/>
              <w:right w:val="nil"/>
            </w:tcBorders>
            <w:shd w:val="clear" w:color="auto" w:fill="auto"/>
            <w:noWrap/>
            <w:vAlign w:val="center"/>
          </w:tcPr>
          <w:p w14:paraId="1D5BF3E0"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(1832)</w:t>
            </w:r>
          </w:p>
        </w:tc>
        <w:tc>
          <w:tcPr>
            <w:tcW w:w="929" w:type="pct"/>
            <w:tcBorders>
              <w:top w:val="nil"/>
              <w:left w:val="nil"/>
              <w:bottom w:val="nil"/>
              <w:right w:val="nil"/>
            </w:tcBorders>
            <w:shd w:val="clear" w:color="auto" w:fill="auto"/>
            <w:noWrap/>
            <w:vAlign w:val="center"/>
          </w:tcPr>
          <w:p w14:paraId="6BA79AFC"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(1838)</w:t>
            </w:r>
          </w:p>
        </w:tc>
        <w:tc>
          <w:tcPr>
            <w:tcW w:w="833" w:type="pct"/>
            <w:tcBorders>
              <w:top w:val="nil"/>
              <w:left w:val="nil"/>
              <w:bottom w:val="nil"/>
              <w:right w:val="nil"/>
            </w:tcBorders>
            <w:shd w:val="clear" w:color="auto" w:fill="auto"/>
            <w:noWrap/>
            <w:vAlign w:val="center"/>
          </w:tcPr>
          <w:p w14:paraId="17F1A1BF"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(696)</w:t>
            </w:r>
          </w:p>
        </w:tc>
        <w:tc>
          <w:tcPr>
            <w:tcW w:w="928" w:type="pct"/>
            <w:tcBorders>
              <w:top w:val="nil"/>
              <w:left w:val="nil"/>
              <w:bottom w:val="nil"/>
              <w:right w:val="nil"/>
            </w:tcBorders>
            <w:shd w:val="clear" w:color="auto" w:fill="auto"/>
            <w:noWrap/>
            <w:vAlign w:val="center"/>
          </w:tcPr>
          <w:p w14:paraId="2BD6DAF4"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(4366)</w:t>
            </w:r>
          </w:p>
        </w:tc>
      </w:tr>
      <w:tr w:rsidR="00CB42CC" w:rsidRPr="00644FC9" w14:paraId="15DB5F78" w14:textId="77777777" w:rsidTr="004F5AE5">
        <w:trPr>
          <w:trHeight w:hRule="exact" w:val="284"/>
        </w:trPr>
        <w:tc>
          <w:tcPr>
            <w:tcW w:w="770" w:type="pct"/>
            <w:tcBorders>
              <w:top w:val="nil"/>
              <w:left w:val="nil"/>
              <w:right w:val="nil"/>
            </w:tcBorders>
          </w:tcPr>
          <w:p w14:paraId="008C2237"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right w:val="nil"/>
            </w:tcBorders>
            <w:shd w:val="clear" w:color="auto" w:fill="auto"/>
            <w:noWrap/>
            <w:vAlign w:val="center"/>
            <w:hideMark/>
          </w:tcPr>
          <w:p w14:paraId="1B095101"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single" w:sz="4" w:space="0" w:color="auto"/>
              <w:left w:val="nil"/>
              <w:right w:val="nil"/>
            </w:tcBorders>
            <w:shd w:val="clear" w:color="auto" w:fill="auto"/>
            <w:noWrap/>
            <w:vAlign w:val="center"/>
          </w:tcPr>
          <w:p w14:paraId="4F754F9B"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-0.024</w:t>
            </w:r>
          </w:p>
        </w:tc>
        <w:tc>
          <w:tcPr>
            <w:tcW w:w="929" w:type="pct"/>
            <w:tcBorders>
              <w:top w:val="single" w:sz="4" w:space="0" w:color="auto"/>
              <w:left w:val="nil"/>
              <w:right w:val="nil"/>
            </w:tcBorders>
            <w:shd w:val="clear" w:color="auto" w:fill="auto"/>
            <w:noWrap/>
            <w:vAlign w:val="center"/>
          </w:tcPr>
          <w:p w14:paraId="627BD425"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833" w:type="pct"/>
            <w:tcBorders>
              <w:top w:val="single" w:sz="4" w:space="0" w:color="auto"/>
              <w:left w:val="nil"/>
              <w:right w:val="nil"/>
            </w:tcBorders>
            <w:shd w:val="clear" w:color="auto" w:fill="auto"/>
            <w:noWrap/>
            <w:vAlign w:val="center"/>
          </w:tcPr>
          <w:p w14:paraId="43868813"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0.035</w:t>
            </w:r>
          </w:p>
        </w:tc>
        <w:tc>
          <w:tcPr>
            <w:tcW w:w="928" w:type="pct"/>
            <w:tcBorders>
              <w:top w:val="nil"/>
              <w:left w:val="nil"/>
              <w:right w:val="nil"/>
            </w:tcBorders>
            <w:shd w:val="clear" w:color="auto" w:fill="auto"/>
            <w:noWrap/>
            <w:vAlign w:val="center"/>
          </w:tcPr>
          <w:p w14:paraId="1B1F2BAE" w14:textId="77777777" w:rsidR="00DE110B" w:rsidRPr="00644FC9" w:rsidRDefault="00DE110B" w:rsidP="004F5AE5">
            <w:pPr>
              <w:adjustRightInd w:val="0"/>
              <w:snapToGrid w:val="0"/>
              <w:jc w:val="center"/>
              <w:rPr>
                <w:rFonts w:ascii="Times New Roman" w:hAnsi="Times New Roman" w:cs="Times New Roman"/>
                <w:color w:val="000000" w:themeColor="text1"/>
              </w:rPr>
            </w:pPr>
          </w:p>
        </w:tc>
      </w:tr>
      <w:tr w:rsidR="00CB42CC" w:rsidRPr="00644FC9" w14:paraId="0B3BC43B" w14:textId="77777777" w:rsidTr="004F5AE5">
        <w:trPr>
          <w:trHeight w:hRule="exact" w:val="284"/>
        </w:trPr>
        <w:tc>
          <w:tcPr>
            <w:tcW w:w="770" w:type="pct"/>
            <w:tcBorders>
              <w:top w:val="nil"/>
              <w:left w:val="nil"/>
              <w:bottom w:val="single" w:sz="4" w:space="0" w:color="auto"/>
              <w:right w:val="nil"/>
            </w:tcBorders>
          </w:tcPr>
          <w:p w14:paraId="1BEA4D59"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single" w:sz="4" w:space="0" w:color="auto"/>
              <w:right w:val="nil"/>
            </w:tcBorders>
            <w:shd w:val="clear" w:color="auto" w:fill="auto"/>
            <w:noWrap/>
            <w:vAlign w:val="center"/>
            <w:hideMark/>
          </w:tcPr>
          <w:p w14:paraId="06A5FF24" w14:textId="77777777" w:rsidR="00DE110B" w:rsidRPr="00644FC9" w:rsidRDefault="00DE110B" w:rsidP="004F5AE5">
            <w:pPr>
              <w:widowControl/>
              <w:adjustRightInd w:val="0"/>
              <w:snapToGrid w:val="0"/>
              <w:jc w:val="right"/>
              <w:rPr>
                <w:rFonts w:ascii="Times New Roman" w:eastAsia="新細明體" w:hAnsi="Times New Roman" w:cs="Times New Roman"/>
                <w:color w:val="000000" w:themeColor="text1"/>
                <w:kern w:val="0"/>
                <w:szCs w:val="24"/>
              </w:rPr>
            </w:pPr>
          </w:p>
        </w:tc>
        <w:tc>
          <w:tcPr>
            <w:tcW w:w="770" w:type="pct"/>
            <w:tcBorders>
              <w:top w:val="nil"/>
              <w:left w:val="nil"/>
              <w:bottom w:val="single" w:sz="4" w:space="0" w:color="auto"/>
              <w:right w:val="nil"/>
            </w:tcBorders>
            <w:shd w:val="clear" w:color="auto" w:fill="auto"/>
            <w:noWrap/>
            <w:vAlign w:val="center"/>
          </w:tcPr>
          <w:p w14:paraId="2939B736" w14:textId="77777777" w:rsidR="00DE110B" w:rsidRPr="00644FC9" w:rsidRDefault="00DE110B" w:rsidP="004F5AE5">
            <w:pPr>
              <w:adjustRightInd w:val="0"/>
              <w:snapToGrid w:val="0"/>
              <w:jc w:val="center"/>
              <w:rPr>
                <w:rFonts w:ascii="Times New Roman" w:eastAsia="新細明體" w:hAnsi="Times New Roman" w:cs="Times New Roman"/>
                <w:color w:val="000000" w:themeColor="text1"/>
                <w:szCs w:val="24"/>
              </w:rPr>
            </w:pPr>
            <w:r w:rsidRPr="00644FC9">
              <w:rPr>
                <w:rFonts w:ascii="Times New Roman" w:hAnsi="Times New Roman" w:cs="Times New Roman"/>
                <w:color w:val="000000" w:themeColor="text1"/>
              </w:rPr>
              <w:t>(4350)</w:t>
            </w:r>
          </w:p>
        </w:tc>
        <w:tc>
          <w:tcPr>
            <w:tcW w:w="929" w:type="pct"/>
            <w:tcBorders>
              <w:top w:val="nil"/>
              <w:left w:val="nil"/>
              <w:bottom w:val="single" w:sz="4" w:space="0" w:color="auto"/>
              <w:right w:val="nil"/>
            </w:tcBorders>
            <w:shd w:val="clear" w:color="auto" w:fill="auto"/>
            <w:noWrap/>
            <w:vAlign w:val="center"/>
          </w:tcPr>
          <w:p w14:paraId="26364FC3"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(13071)</w:t>
            </w:r>
          </w:p>
        </w:tc>
        <w:tc>
          <w:tcPr>
            <w:tcW w:w="833" w:type="pct"/>
            <w:tcBorders>
              <w:top w:val="nil"/>
              <w:left w:val="nil"/>
              <w:bottom w:val="single" w:sz="4" w:space="0" w:color="auto"/>
              <w:right w:val="nil"/>
            </w:tcBorders>
            <w:shd w:val="clear" w:color="auto" w:fill="auto"/>
            <w:noWrap/>
            <w:vAlign w:val="center"/>
          </w:tcPr>
          <w:p w14:paraId="0C9EA7B6" w14:textId="77777777" w:rsidR="00DE110B" w:rsidRPr="00644FC9" w:rsidRDefault="00DE110B" w:rsidP="004F5AE5">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(4366)</w:t>
            </w:r>
          </w:p>
        </w:tc>
        <w:tc>
          <w:tcPr>
            <w:tcW w:w="928" w:type="pct"/>
            <w:tcBorders>
              <w:top w:val="nil"/>
              <w:left w:val="nil"/>
              <w:bottom w:val="single" w:sz="4" w:space="0" w:color="auto"/>
              <w:right w:val="nil"/>
            </w:tcBorders>
            <w:shd w:val="clear" w:color="auto" w:fill="auto"/>
            <w:noWrap/>
            <w:vAlign w:val="center"/>
          </w:tcPr>
          <w:p w14:paraId="3D94A99D" w14:textId="77777777" w:rsidR="00DE110B" w:rsidRPr="00644FC9" w:rsidRDefault="00DE110B" w:rsidP="004F5AE5">
            <w:pPr>
              <w:adjustRightInd w:val="0"/>
              <w:snapToGrid w:val="0"/>
              <w:jc w:val="center"/>
              <w:rPr>
                <w:rFonts w:ascii="Times New Roman" w:hAnsi="Times New Roman" w:cs="Times New Roman"/>
                <w:color w:val="000000" w:themeColor="text1"/>
              </w:rPr>
            </w:pPr>
          </w:p>
        </w:tc>
      </w:tr>
    </w:tbl>
    <w:p w14:paraId="50EC3027" w14:textId="72CB7F44" w:rsidR="00DE110B" w:rsidRPr="00644FC9" w:rsidRDefault="00DE110B" w:rsidP="00BB03BB">
      <w:pPr>
        <w:adjustRightInd w:val="0"/>
        <w:snapToGrid w:val="0"/>
        <w:jc w:val="both"/>
        <w:rPr>
          <w:rFonts w:ascii="Times New Roman" w:eastAsia="新細明體" w:hAnsi="Times New Roman" w:cs="Times New Roman"/>
          <w:color w:val="000000" w:themeColor="text1"/>
          <w:szCs w:val="24"/>
        </w:rPr>
      </w:pPr>
      <w:r w:rsidRPr="00644FC9">
        <w:rPr>
          <w:rFonts w:ascii="Times New Roman" w:hAnsi="Times New Roman" w:cs="Times New Roman"/>
          <w:i/>
          <w:color w:val="000000" w:themeColor="text1"/>
          <w:szCs w:val="24"/>
        </w:rPr>
        <w:t>BHAR5</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BHAR21</w:t>
      </w:r>
      <w:r w:rsidRPr="00644FC9">
        <w:rPr>
          <w:rFonts w:ascii="Times New Roman" w:hAnsi="Times New Roman" w:cs="Times New Roman"/>
          <w:color w:val="000000" w:themeColor="text1"/>
          <w:szCs w:val="24"/>
        </w:rPr>
        <w:t xml:space="preserve">) is </w:t>
      </w:r>
      <w:r w:rsidR="00FC5AD3"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5-day (21-day)</w:t>
      </w:r>
      <w:r w:rsidR="00FC5AD3"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 size-adjusted</w:t>
      </w:r>
      <w:r w:rsidR="00FC5AD3"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 buy-and-hold returns after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’s </w:t>
      </w:r>
      <w:r w:rsidR="0065717A">
        <w:rPr>
          <w:rFonts w:ascii="Times New Roman" w:hAnsi="Times New Roman" w:cs="Times New Roman"/>
          <w:color w:val="000000" w:themeColor="text1"/>
          <w:szCs w:val="24"/>
        </w:rPr>
        <w:t>earnings-announcement</w:t>
      </w:r>
      <w:r w:rsidRPr="00644FC9">
        <w:rPr>
          <w:rFonts w:ascii="Times New Roman" w:hAnsi="Times New Roman" w:cs="Times New Roman"/>
          <w:color w:val="000000" w:themeColor="text1"/>
          <w:szCs w:val="24"/>
        </w:rPr>
        <w:t xml:space="preserve">. </w:t>
      </w:r>
      <w:r w:rsidR="005E6294" w:rsidRPr="00644FC9">
        <w:rPr>
          <w:rFonts w:ascii="Times New Roman" w:hAnsi="Times New Roman" w:cs="Times New Roman"/>
          <w:i/>
          <w:color w:val="000000" w:themeColor="text1"/>
          <w:szCs w:val="24"/>
        </w:rPr>
        <w:t>BHARQ</w:t>
      </w:r>
      <w:r w:rsidR="005E6294" w:rsidRPr="00644FC9">
        <w:rPr>
          <w:rFonts w:ascii="Times New Roman" w:hAnsi="Times New Roman" w:cs="Times New Roman"/>
          <w:color w:val="000000" w:themeColor="text1"/>
          <w:szCs w:val="24"/>
        </w:rPr>
        <w:t xml:space="preserve"> is the size-adjusted buy-and-hold return for the period beginning on the day after quarter </w:t>
      </w:r>
      <w:r w:rsidR="005E6294" w:rsidRPr="00644FC9">
        <w:rPr>
          <w:rFonts w:ascii="Times New Roman" w:hAnsi="Times New Roman" w:cs="Times New Roman"/>
          <w:i/>
          <w:color w:val="000000" w:themeColor="text1"/>
          <w:szCs w:val="24"/>
        </w:rPr>
        <w:t>t</w:t>
      </w:r>
      <w:r w:rsidR="005E6294" w:rsidRPr="00644FC9">
        <w:rPr>
          <w:rFonts w:ascii="Times New Roman" w:hAnsi="Times New Roman" w:cs="Times New Roman"/>
          <w:color w:val="000000" w:themeColor="text1"/>
          <w:szCs w:val="24"/>
        </w:rPr>
        <w:t xml:space="preserve">’s </w:t>
      </w:r>
      <w:r w:rsidR="005E6294">
        <w:rPr>
          <w:rFonts w:ascii="Times New Roman" w:hAnsi="Times New Roman" w:cs="Times New Roman"/>
          <w:color w:val="000000" w:themeColor="text1"/>
          <w:szCs w:val="24"/>
        </w:rPr>
        <w:t>earnings-announcement</w:t>
      </w:r>
      <w:r w:rsidR="005E6294" w:rsidRPr="00644FC9">
        <w:rPr>
          <w:rFonts w:ascii="Times New Roman" w:hAnsi="Times New Roman" w:cs="Times New Roman"/>
          <w:color w:val="000000" w:themeColor="text1"/>
          <w:szCs w:val="24"/>
        </w:rPr>
        <w:t xml:space="preserve"> and ending on the </w:t>
      </w:r>
      <w:r w:rsidR="005E6294" w:rsidRPr="005E6294">
        <w:rPr>
          <w:rFonts w:ascii="Times New Roman" w:hAnsi="Times New Roman" w:cs="Times New Roman"/>
          <w:color w:val="000000" w:themeColor="text1"/>
          <w:szCs w:val="24"/>
        </w:rPr>
        <w:t xml:space="preserve">second day before </w:t>
      </w:r>
      <w:r w:rsidR="005E6294" w:rsidRPr="00644FC9">
        <w:rPr>
          <w:rFonts w:ascii="Times New Roman" w:hAnsi="Times New Roman" w:cs="Times New Roman"/>
          <w:color w:val="000000" w:themeColor="text1"/>
          <w:szCs w:val="24"/>
        </w:rPr>
        <w:t xml:space="preserve">quarter </w:t>
      </w:r>
      <w:r w:rsidR="005E6294" w:rsidRPr="00644FC9">
        <w:rPr>
          <w:rFonts w:ascii="Times New Roman" w:hAnsi="Times New Roman" w:cs="Times New Roman"/>
          <w:i/>
          <w:color w:val="000000" w:themeColor="text1"/>
          <w:szCs w:val="24"/>
        </w:rPr>
        <w:t>t</w:t>
      </w:r>
      <w:r w:rsidR="005E6294" w:rsidRPr="00644FC9">
        <w:rPr>
          <w:rFonts w:ascii="Times New Roman" w:hAnsi="Times New Roman" w:cs="Times New Roman"/>
          <w:color w:val="000000" w:themeColor="text1"/>
          <w:szCs w:val="24"/>
        </w:rPr>
        <w:t xml:space="preserve">+1’s </w:t>
      </w:r>
      <w:r w:rsidR="005E6294">
        <w:rPr>
          <w:rFonts w:ascii="Times New Roman" w:hAnsi="Times New Roman" w:cs="Times New Roman"/>
          <w:color w:val="000000" w:themeColor="text1"/>
          <w:szCs w:val="24"/>
        </w:rPr>
        <w:t>earnings-announcement</w:t>
      </w:r>
      <w:r w:rsidR="005E6294" w:rsidRPr="00644FC9">
        <w:rPr>
          <w:rFonts w:ascii="Times New Roman" w:hAnsi="Times New Roman" w:cs="Times New Roman"/>
          <w:color w:val="000000" w:themeColor="text1"/>
          <w:szCs w:val="24"/>
        </w:rPr>
        <w:t xml:space="preserve"> date.</w:t>
      </w:r>
      <w:r w:rsidRPr="00644FC9">
        <w:rPr>
          <w:rFonts w:ascii="Times New Roman" w:hAnsi="Times New Roman" w:cs="Times New Roman"/>
          <w:color w:val="000000" w:themeColor="text1"/>
          <w:szCs w:val="24"/>
        </w:rPr>
        <w:t xml:space="preserve"> See Table 1 for </w:t>
      </w:r>
      <w:r w:rsidR="00FC5AD3" w:rsidRPr="00644FC9">
        <w:rPr>
          <w:rFonts w:ascii="Times New Roman" w:hAnsi="Times New Roman" w:cs="Times New Roman"/>
          <w:color w:val="000000" w:themeColor="text1"/>
          <w:szCs w:val="24"/>
        </w:rPr>
        <w:t xml:space="preserve">definitions of the </w:t>
      </w:r>
      <w:r w:rsidRPr="00644FC9">
        <w:rPr>
          <w:rFonts w:ascii="Times New Roman" w:hAnsi="Times New Roman" w:cs="Times New Roman"/>
          <w:color w:val="000000" w:themeColor="text1"/>
          <w:szCs w:val="24"/>
        </w:rPr>
        <w:t>other variables.</w:t>
      </w:r>
      <w:r w:rsidRPr="00644FC9">
        <w:rPr>
          <w:rFonts w:ascii="Times New Roman" w:hAnsi="Times New Roman" w:cs="Times New Roman"/>
          <w:color w:val="000000" w:themeColor="text1"/>
        </w:rPr>
        <w:t xml:space="preserve"> </w:t>
      </w:r>
      <w:r w:rsidRPr="00644FC9">
        <w:rPr>
          <w:rFonts w:ascii="Times New Roman" w:hAnsi="Times New Roman" w:cs="Times New Roman"/>
          <w:color w:val="000000" w:themeColor="text1"/>
          <w:szCs w:val="24"/>
        </w:rPr>
        <w:t>The number of observations per cell is reported in parentheses.</w:t>
      </w:r>
    </w:p>
    <w:p w14:paraId="10003484" w14:textId="514A708F" w:rsidR="00336253" w:rsidRPr="00644FC9" w:rsidRDefault="00F343C6" w:rsidP="00EC65B9">
      <w:pPr>
        <w:autoSpaceDE w:val="0"/>
        <w:autoSpaceDN w:val="0"/>
        <w:adjustRightInd w:val="0"/>
        <w:spacing w:line="480" w:lineRule="auto"/>
        <w:ind w:firstLineChars="225" w:firstLine="540"/>
        <w:jc w:val="both"/>
        <w:rPr>
          <w:rFonts w:ascii="Times New Roman" w:eastAsia="標楷體" w:hAnsi="Times New Roman" w:cs="Times New Roman"/>
          <w:color w:val="000000" w:themeColor="text1"/>
          <w:szCs w:val="24"/>
        </w:rPr>
      </w:pPr>
      <w:r w:rsidRPr="00644FC9">
        <w:rPr>
          <w:rFonts w:ascii="Times New Roman" w:eastAsia="標楷體" w:hAnsi="Times New Roman" w:cs="Times New Roman"/>
          <w:color w:val="000000" w:themeColor="text1"/>
          <w:szCs w:val="24"/>
        </w:rPr>
        <w:t>Table 4 reports the results of</w:t>
      </w:r>
      <w:r w:rsidR="00336253" w:rsidRPr="00644FC9">
        <w:rPr>
          <w:rFonts w:ascii="Times New Roman" w:eastAsia="標楷體" w:hAnsi="Times New Roman" w:cs="Times New Roman"/>
          <w:color w:val="000000" w:themeColor="text1"/>
          <w:szCs w:val="24"/>
        </w:rPr>
        <w:t xml:space="preserve"> pooled cross-sectional regression</w:t>
      </w:r>
      <w:r w:rsidRPr="00644FC9">
        <w:rPr>
          <w:rFonts w:ascii="Times New Roman" w:eastAsia="標楷體" w:hAnsi="Times New Roman" w:cs="Times New Roman"/>
          <w:color w:val="000000" w:themeColor="text1"/>
          <w:szCs w:val="24"/>
        </w:rPr>
        <w:t>s</w:t>
      </w:r>
      <w:r w:rsidR="00336253" w:rsidRPr="00644FC9">
        <w:rPr>
          <w:rFonts w:ascii="Times New Roman" w:eastAsia="標楷體" w:hAnsi="Times New Roman" w:cs="Times New Roman"/>
          <w:color w:val="000000" w:themeColor="text1"/>
          <w:szCs w:val="24"/>
        </w:rPr>
        <w:t xml:space="preserve"> </w:t>
      </w:r>
      <w:r w:rsidRPr="00644FC9">
        <w:rPr>
          <w:rFonts w:ascii="Times New Roman" w:eastAsia="標楷體" w:hAnsi="Times New Roman" w:cs="Times New Roman"/>
          <w:color w:val="000000" w:themeColor="text1"/>
          <w:szCs w:val="24"/>
        </w:rPr>
        <w:t xml:space="preserve">(Model 1-6) and decile </w:t>
      </w:r>
      <w:r w:rsidRPr="00644FC9">
        <w:rPr>
          <w:rFonts w:ascii="Times New Roman" w:eastAsia="標楷體" w:hAnsi="Times New Roman" w:cs="Times New Roman"/>
          <w:color w:val="000000" w:themeColor="text1"/>
          <w:szCs w:val="24"/>
        </w:rPr>
        <w:lastRenderedPageBreak/>
        <w:t>rank regression</w:t>
      </w:r>
      <w:r w:rsidR="001311AE" w:rsidRPr="00644FC9">
        <w:rPr>
          <w:rFonts w:ascii="Times New Roman" w:eastAsia="標楷體" w:hAnsi="Times New Roman" w:cs="Times New Roman" w:hint="eastAsia"/>
          <w:color w:val="000000" w:themeColor="text1"/>
          <w:szCs w:val="24"/>
        </w:rPr>
        <w:t>s</w:t>
      </w:r>
      <w:r w:rsidRPr="00644FC9">
        <w:rPr>
          <w:rFonts w:ascii="Times New Roman" w:eastAsia="標楷體" w:hAnsi="Times New Roman" w:cs="Times New Roman"/>
          <w:color w:val="000000" w:themeColor="text1"/>
          <w:szCs w:val="24"/>
        </w:rPr>
        <w:t xml:space="preserve"> (Model 7-12).</w:t>
      </w:r>
      <w:r w:rsidR="00A83E6C" w:rsidRPr="00644FC9">
        <w:rPr>
          <w:rStyle w:val="aa"/>
          <w:rFonts w:ascii="Times New Roman" w:eastAsia="標楷體" w:hAnsi="Times New Roman" w:cs="Times New Roman"/>
          <w:color w:val="000000" w:themeColor="text1"/>
          <w:szCs w:val="24"/>
        </w:rPr>
        <w:footnoteReference w:id="5"/>
      </w:r>
      <w:r w:rsidRPr="00644FC9">
        <w:rPr>
          <w:rFonts w:ascii="Times New Roman" w:eastAsia="標楷體" w:hAnsi="Times New Roman" w:cs="Times New Roman"/>
          <w:color w:val="000000" w:themeColor="text1"/>
          <w:szCs w:val="24"/>
        </w:rPr>
        <w:t xml:space="preserve"> I regress</w:t>
      </w:r>
      <w:r w:rsidR="00FC5AD3" w:rsidRPr="00644FC9">
        <w:rPr>
          <w:rFonts w:ascii="Times New Roman" w:eastAsia="標楷體" w:hAnsi="Times New Roman" w:cs="Times New Roman"/>
          <w:color w:val="000000" w:themeColor="text1"/>
          <w:szCs w:val="24"/>
        </w:rPr>
        <w:t>ed</w:t>
      </w:r>
      <w:r w:rsidR="00336253" w:rsidRPr="00644FC9">
        <w:rPr>
          <w:rFonts w:ascii="Times New Roman" w:eastAsia="標楷體" w:hAnsi="Times New Roman" w:cs="Times New Roman"/>
          <w:color w:val="000000" w:themeColor="text1"/>
          <w:szCs w:val="24"/>
        </w:rPr>
        <w:t xml:space="preserve"> future returns on explanatory variables </w:t>
      </w:r>
      <w:r w:rsidR="00336253" w:rsidRPr="00644FC9">
        <w:rPr>
          <w:rFonts w:ascii="Times New Roman" w:eastAsia="新細明體" w:hAnsi="Times New Roman" w:cs="Times New Roman"/>
          <w:color w:val="000000" w:themeColor="text1"/>
          <w:szCs w:val="24"/>
        </w:rPr>
        <w:t>that might affect the magnitude of the delayed price response. The dependent variables are</w:t>
      </w:r>
      <w:r w:rsidR="00FC5AD3" w:rsidRPr="00644FC9">
        <w:rPr>
          <w:rFonts w:ascii="Times New Roman" w:eastAsia="新細明體" w:hAnsi="Times New Roman" w:cs="Times New Roman"/>
          <w:color w:val="000000" w:themeColor="text1"/>
          <w:szCs w:val="24"/>
        </w:rPr>
        <w:t xml:space="preserve"> the</w:t>
      </w:r>
      <w:r w:rsidR="00336253" w:rsidRPr="00644FC9">
        <w:rPr>
          <w:rFonts w:ascii="Times New Roman" w:eastAsia="新細明體" w:hAnsi="Times New Roman" w:cs="Times New Roman"/>
          <w:color w:val="000000" w:themeColor="text1"/>
          <w:szCs w:val="24"/>
        </w:rPr>
        <w:t xml:space="preserve"> </w:t>
      </w:r>
      <w:r w:rsidR="004F5AE5" w:rsidRPr="00644FC9">
        <w:rPr>
          <w:rFonts w:ascii="Times New Roman" w:eastAsia="新細明體" w:hAnsi="Times New Roman" w:cs="Times New Roman"/>
          <w:color w:val="000000" w:themeColor="text1"/>
          <w:szCs w:val="24"/>
        </w:rPr>
        <w:t>5-day</w:t>
      </w:r>
      <w:r w:rsidR="00336253" w:rsidRPr="00644FC9">
        <w:rPr>
          <w:rFonts w:ascii="Times New Roman" w:eastAsia="新細明體" w:hAnsi="Times New Roman" w:cs="Times New Roman"/>
          <w:color w:val="000000" w:themeColor="text1"/>
          <w:szCs w:val="24"/>
        </w:rPr>
        <w:t xml:space="preserve"> (</w:t>
      </w:r>
      <w:r w:rsidR="00336253" w:rsidRPr="00644FC9">
        <w:rPr>
          <w:rFonts w:ascii="Times New Roman" w:eastAsia="新細明體" w:hAnsi="Times New Roman" w:cs="Times New Roman"/>
          <w:i/>
          <w:color w:val="000000" w:themeColor="text1"/>
          <w:szCs w:val="24"/>
        </w:rPr>
        <w:t>BHAR</w:t>
      </w:r>
      <w:r w:rsidR="004F5AE5" w:rsidRPr="00644FC9">
        <w:rPr>
          <w:rFonts w:ascii="Times New Roman" w:eastAsia="新細明體" w:hAnsi="Times New Roman" w:cs="Times New Roman"/>
          <w:i/>
          <w:color w:val="000000" w:themeColor="text1"/>
          <w:szCs w:val="24"/>
        </w:rPr>
        <w:t>5</w:t>
      </w:r>
      <w:r w:rsidR="00336253" w:rsidRPr="00644FC9">
        <w:rPr>
          <w:rFonts w:ascii="Times New Roman" w:eastAsia="新細明體" w:hAnsi="Times New Roman" w:cs="Times New Roman"/>
          <w:color w:val="000000" w:themeColor="text1"/>
          <w:szCs w:val="24"/>
        </w:rPr>
        <w:t xml:space="preserve">), </w:t>
      </w:r>
      <w:r w:rsidR="004F5AE5" w:rsidRPr="00644FC9">
        <w:rPr>
          <w:rFonts w:ascii="Times New Roman" w:eastAsia="新細明體" w:hAnsi="Times New Roman" w:cs="Times New Roman"/>
          <w:color w:val="000000" w:themeColor="text1"/>
          <w:szCs w:val="24"/>
        </w:rPr>
        <w:t>21-day</w:t>
      </w:r>
      <w:r w:rsidR="00336253" w:rsidRPr="00644FC9">
        <w:rPr>
          <w:rFonts w:ascii="Times New Roman" w:eastAsia="新細明體" w:hAnsi="Times New Roman" w:cs="Times New Roman"/>
          <w:color w:val="000000" w:themeColor="text1"/>
          <w:szCs w:val="24"/>
        </w:rPr>
        <w:t xml:space="preserve"> (</w:t>
      </w:r>
      <w:r w:rsidR="00336253" w:rsidRPr="00644FC9">
        <w:rPr>
          <w:rFonts w:ascii="Times New Roman" w:eastAsia="新細明體" w:hAnsi="Times New Roman" w:cs="Times New Roman"/>
          <w:i/>
          <w:color w:val="000000" w:themeColor="text1"/>
          <w:szCs w:val="24"/>
        </w:rPr>
        <w:t>BHAR</w:t>
      </w:r>
      <w:r w:rsidR="004F5AE5" w:rsidRPr="00644FC9">
        <w:rPr>
          <w:rFonts w:ascii="Times New Roman" w:eastAsia="新細明體" w:hAnsi="Times New Roman" w:cs="Times New Roman"/>
          <w:i/>
          <w:color w:val="000000" w:themeColor="text1"/>
          <w:szCs w:val="24"/>
        </w:rPr>
        <w:t>21</w:t>
      </w:r>
      <w:r w:rsidR="00336253" w:rsidRPr="00644FC9">
        <w:rPr>
          <w:rFonts w:ascii="Times New Roman" w:eastAsia="新細明體" w:hAnsi="Times New Roman" w:cs="Times New Roman"/>
          <w:color w:val="000000" w:themeColor="text1"/>
          <w:szCs w:val="24"/>
        </w:rPr>
        <w:t xml:space="preserve">), and </w:t>
      </w:r>
      <w:r w:rsidR="00FC5AD3" w:rsidRPr="00644FC9">
        <w:rPr>
          <w:rFonts w:ascii="Times New Roman" w:eastAsia="新細明體" w:hAnsi="Times New Roman" w:cs="Times New Roman"/>
          <w:color w:val="000000" w:themeColor="text1"/>
          <w:szCs w:val="24"/>
        </w:rPr>
        <w:t>single-</w:t>
      </w:r>
      <w:r w:rsidR="004F5AE5" w:rsidRPr="00644FC9">
        <w:rPr>
          <w:rFonts w:ascii="Times New Roman" w:eastAsia="新細明體" w:hAnsi="Times New Roman" w:cs="Times New Roman"/>
          <w:color w:val="000000" w:themeColor="text1"/>
          <w:szCs w:val="24"/>
        </w:rPr>
        <w:t>quarter</w:t>
      </w:r>
      <w:r w:rsidR="00336253" w:rsidRPr="00644FC9">
        <w:rPr>
          <w:rFonts w:ascii="Times New Roman" w:eastAsia="新細明體" w:hAnsi="Times New Roman" w:cs="Times New Roman"/>
          <w:color w:val="000000" w:themeColor="text1"/>
          <w:szCs w:val="24"/>
        </w:rPr>
        <w:t xml:space="preserve"> (</w:t>
      </w:r>
      <w:r w:rsidR="004F5AE5" w:rsidRPr="00644FC9">
        <w:rPr>
          <w:rFonts w:ascii="Times New Roman" w:eastAsia="新細明體" w:hAnsi="Times New Roman" w:cs="Times New Roman"/>
          <w:i/>
          <w:color w:val="000000" w:themeColor="text1"/>
          <w:szCs w:val="24"/>
        </w:rPr>
        <w:t>BHARQ</w:t>
      </w:r>
      <w:r w:rsidR="00336253" w:rsidRPr="00644FC9">
        <w:rPr>
          <w:rFonts w:ascii="Times New Roman" w:eastAsia="新細明體" w:hAnsi="Times New Roman" w:cs="Times New Roman"/>
          <w:color w:val="000000" w:themeColor="text1"/>
          <w:szCs w:val="24"/>
        </w:rPr>
        <w:t>)</w:t>
      </w:r>
      <w:r w:rsidR="00FC5AD3" w:rsidRPr="00644FC9">
        <w:rPr>
          <w:rFonts w:ascii="Times New Roman" w:eastAsia="新細明體" w:hAnsi="Times New Roman" w:cs="Times New Roman"/>
          <w:color w:val="000000" w:themeColor="text1"/>
          <w:szCs w:val="24"/>
        </w:rPr>
        <w:t>,</w:t>
      </w:r>
      <w:r w:rsidR="00336253" w:rsidRPr="00644FC9">
        <w:rPr>
          <w:rFonts w:ascii="Times New Roman" w:eastAsia="新細明體" w:hAnsi="Times New Roman" w:cs="Times New Roman"/>
          <w:color w:val="000000" w:themeColor="text1"/>
          <w:szCs w:val="24"/>
        </w:rPr>
        <w:t xml:space="preserve"> </w:t>
      </w:r>
      <w:r w:rsidR="00FC5AD3" w:rsidRPr="00644FC9">
        <w:rPr>
          <w:rFonts w:ascii="Times New Roman" w:eastAsia="新細明體" w:hAnsi="Times New Roman" w:cs="Times New Roman"/>
          <w:color w:val="000000" w:themeColor="text1"/>
          <w:szCs w:val="24"/>
        </w:rPr>
        <w:t xml:space="preserve">size-adjusted, </w:t>
      </w:r>
      <w:r w:rsidR="00336253" w:rsidRPr="00644FC9">
        <w:rPr>
          <w:rFonts w:ascii="Times New Roman" w:eastAsia="新細明體" w:hAnsi="Times New Roman" w:cs="Times New Roman"/>
          <w:color w:val="000000" w:themeColor="text1"/>
          <w:szCs w:val="24"/>
        </w:rPr>
        <w:t xml:space="preserve">buy-and-hold returns following the prior </w:t>
      </w:r>
      <w:r w:rsidR="004F5AE5" w:rsidRPr="00644FC9">
        <w:rPr>
          <w:rFonts w:ascii="Times New Roman" w:eastAsia="新細明體" w:hAnsi="Times New Roman" w:cs="Times New Roman"/>
          <w:color w:val="000000" w:themeColor="text1"/>
          <w:szCs w:val="24"/>
        </w:rPr>
        <w:t>quarter’s</w:t>
      </w:r>
      <w:r w:rsidR="00336253" w:rsidRPr="00644FC9">
        <w:rPr>
          <w:rFonts w:ascii="Times New Roman" w:eastAsia="新細明體" w:hAnsi="Times New Roman" w:cs="Times New Roman"/>
          <w:color w:val="000000" w:themeColor="text1"/>
          <w:szCs w:val="24"/>
        </w:rPr>
        <w:t xml:space="preserve"> </w:t>
      </w:r>
      <w:r w:rsidR="0065717A">
        <w:rPr>
          <w:rFonts w:ascii="Times New Roman" w:eastAsia="新細明體" w:hAnsi="Times New Roman" w:cs="Times New Roman"/>
          <w:color w:val="000000" w:themeColor="text1"/>
          <w:szCs w:val="24"/>
        </w:rPr>
        <w:t>earnings-announcement</w:t>
      </w:r>
      <w:r w:rsidR="00336253" w:rsidRPr="00644FC9">
        <w:rPr>
          <w:rFonts w:ascii="Times New Roman" w:eastAsia="新細明體" w:hAnsi="Times New Roman" w:cs="Times New Roman"/>
          <w:color w:val="000000" w:themeColor="text1"/>
          <w:szCs w:val="24"/>
        </w:rPr>
        <w:t xml:space="preserve"> </w:t>
      </w:r>
      <w:r w:rsidR="004F5AE5" w:rsidRPr="00644FC9">
        <w:rPr>
          <w:rFonts w:ascii="Times New Roman" w:eastAsia="新細明體" w:hAnsi="Times New Roman" w:cs="Times New Roman"/>
          <w:color w:val="000000" w:themeColor="text1"/>
          <w:szCs w:val="24"/>
        </w:rPr>
        <w:t>date</w:t>
      </w:r>
      <w:r w:rsidR="00336253" w:rsidRPr="00644FC9">
        <w:rPr>
          <w:rFonts w:ascii="Times New Roman" w:eastAsia="新細明體" w:hAnsi="Times New Roman" w:cs="Times New Roman"/>
          <w:color w:val="000000" w:themeColor="text1"/>
          <w:szCs w:val="24"/>
        </w:rPr>
        <w:t xml:space="preserve">. </w:t>
      </w:r>
      <w:r w:rsidR="00336253" w:rsidRPr="00644FC9">
        <w:rPr>
          <w:rFonts w:ascii="Times New Roman" w:eastAsia="標楷體" w:hAnsi="Times New Roman" w:cs="Times New Roman"/>
          <w:color w:val="000000" w:themeColor="text1"/>
          <w:szCs w:val="24"/>
        </w:rPr>
        <w:t xml:space="preserve">Consistent with the </w:t>
      </w:r>
      <w:r w:rsidR="004F5AE5" w:rsidRPr="00644FC9">
        <w:rPr>
          <w:rFonts w:ascii="Times New Roman" w:eastAsia="標楷體" w:hAnsi="Times New Roman" w:cs="Times New Roman"/>
          <w:color w:val="000000" w:themeColor="text1"/>
          <w:szCs w:val="24"/>
        </w:rPr>
        <w:t>post-</w:t>
      </w:r>
      <w:r w:rsidR="0065717A">
        <w:rPr>
          <w:rFonts w:ascii="Times New Roman" w:eastAsia="標楷體" w:hAnsi="Times New Roman" w:cs="Times New Roman"/>
          <w:color w:val="000000" w:themeColor="text1"/>
          <w:szCs w:val="24"/>
        </w:rPr>
        <w:t>earnings-announcement</w:t>
      </w:r>
      <w:r w:rsidR="004F5AE5" w:rsidRPr="00644FC9">
        <w:rPr>
          <w:rFonts w:ascii="Times New Roman" w:eastAsia="標楷體" w:hAnsi="Times New Roman" w:cs="Times New Roman"/>
          <w:color w:val="000000" w:themeColor="text1"/>
          <w:szCs w:val="24"/>
        </w:rPr>
        <w:t xml:space="preserve"> drift</w:t>
      </w:r>
      <w:r w:rsidR="00336253" w:rsidRPr="00644FC9">
        <w:rPr>
          <w:rFonts w:ascii="Times New Roman" w:eastAsia="標楷體" w:hAnsi="Times New Roman" w:cs="Times New Roman"/>
          <w:color w:val="000000" w:themeColor="text1"/>
          <w:szCs w:val="24"/>
        </w:rPr>
        <w:t xml:space="preserve"> literature, the coefficient</w:t>
      </w:r>
      <w:r w:rsidR="00336253" w:rsidRPr="00644FC9">
        <w:rPr>
          <w:rFonts w:ascii="Times New Roman" w:eastAsia="新細明體" w:hAnsi="Times New Roman" w:cs="Times New Roman"/>
          <w:color w:val="000000" w:themeColor="text1"/>
          <w:szCs w:val="24"/>
        </w:rPr>
        <w:t>s</w:t>
      </w:r>
      <w:r w:rsidR="00336253" w:rsidRPr="00644FC9">
        <w:rPr>
          <w:rFonts w:ascii="Times New Roman" w:eastAsia="標楷體" w:hAnsi="Times New Roman" w:cs="Times New Roman"/>
          <w:color w:val="000000" w:themeColor="text1"/>
          <w:szCs w:val="24"/>
        </w:rPr>
        <w:t xml:space="preserve"> on</w:t>
      </w:r>
      <w:r w:rsidR="00336253" w:rsidRPr="00644FC9">
        <w:rPr>
          <w:rFonts w:ascii="Times New Roman" w:eastAsia="標楷體" w:hAnsi="Times New Roman" w:cs="Times New Roman"/>
          <w:color w:val="000000" w:themeColor="text1"/>
          <w:kern w:val="0"/>
          <w:szCs w:val="24"/>
        </w:rPr>
        <w:t xml:space="preserve"> </w:t>
      </w:r>
      <w:r w:rsidR="004F5AE5" w:rsidRPr="00644FC9">
        <w:rPr>
          <w:rFonts w:ascii="Times New Roman" w:eastAsia="標楷體" w:hAnsi="Times New Roman" w:cs="Times New Roman"/>
          <w:i/>
          <w:color w:val="000000" w:themeColor="text1"/>
          <w:kern w:val="0"/>
          <w:szCs w:val="24"/>
        </w:rPr>
        <w:t>UE</w:t>
      </w:r>
      <w:r w:rsidR="00336253" w:rsidRPr="00644FC9">
        <w:rPr>
          <w:rFonts w:ascii="Times New Roman" w:eastAsia="標楷體" w:hAnsi="Times New Roman" w:cs="Times New Roman"/>
          <w:color w:val="000000" w:themeColor="text1"/>
          <w:szCs w:val="24"/>
        </w:rPr>
        <w:t xml:space="preserve"> are </w:t>
      </w:r>
      <w:r w:rsidR="004F5AE5" w:rsidRPr="00644FC9">
        <w:rPr>
          <w:rFonts w:ascii="Times New Roman" w:eastAsia="標楷體" w:hAnsi="Times New Roman" w:cs="Times New Roman"/>
          <w:color w:val="000000" w:themeColor="text1"/>
          <w:szCs w:val="24"/>
        </w:rPr>
        <w:t>posi</w:t>
      </w:r>
      <w:r w:rsidR="00336253" w:rsidRPr="00644FC9">
        <w:rPr>
          <w:rFonts w:ascii="Times New Roman" w:eastAsia="標楷體" w:hAnsi="Times New Roman" w:cs="Times New Roman"/>
          <w:color w:val="000000" w:themeColor="text1"/>
          <w:szCs w:val="24"/>
        </w:rPr>
        <w:t xml:space="preserve">tive and significant. Investors </w:t>
      </w:r>
      <w:r w:rsidR="004F5AE5" w:rsidRPr="00644FC9">
        <w:rPr>
          <w:rFonts w:ascii="Times New Roman" w:eastAsia="標楷體" w:hAnsi="Times New Roman" w:cs="Times New Roman"/>
          <w:color w:val="000000" w:themeColor="text1"/>
          <w:szCs w:val="24"/>
        </w:rPr>
        <w:t>under</w:t>
      </w:r>
      <w:r w:rsidR="00336253" w:rsidRPr="00644FC9">
        <w:rPr>
          <w:rFonts w:ascii="Times New Roman" w:eastAsia="標楷體" w:hAnsi="Times New Roman" w:cs="Times New Roman"/>
          <w:color w:val="000000" w:themeColor="text1"/>
          <w:szCs w:val="24"/>
        </w:rPr>
        <w:t xml:space="preserve">estimate the </w:t>
      </w:r>
      <w:r w:rsidR="004F5AE5" w:rsidRPr="00644FC9">
        <w:rPr>
          <w:rFonts w:ascii="Times New Roman" w:eastAsia="標楷體" w:hAnsi="Times New Roman" w:cs="Times New Roman"/>
          <w:color w:val="000000" w:themeColor="text1"/>
          <w:szCs w:val="24"/>
        </w:rPr>
        <w:t>standardized earnings surprise</w:t>
      </w:r>
      <w:r w:rsidR="00336253" w:rsidRPr="00644FC9">
        <w:rPr>
          <w:rFonts w:ascii="Times New Roman" w:eastAsia="標楷體" w:hAnsi="Times New Roman" w:cs="Times New Roman"/>
          <w:color w:val="000000" w:themeColor="text1"/>
          <w:szCs w:val="24"/>
        </w:rPr>
        <w:t xml:space="preserve"> for the subsequent </w:t>
      </w:r>
      <w:r w:rsidR="004F5AE5" w:rsidRPr="00644FC9">
        <w:rPr>
          <w:rFonts w:ascii="Times New Roman" w:eastAsia="新細明體" w:hAnsi="Times New Roman" w:cs="Times New Roman"/>
          <w:color w:val="000000" w:themeColor="text1"/>
          <w:szCs w:val="24"/>
        </w:rPr>
        <w:t>quarter’s</w:t>
      </w:r>
      <w:r w:rsidR="00336253" w:rsidRPr="00644FC9">
        <w:rPr>
          <w:rFonts w:ascii="Times New Roman" w:eastAsia="標楷體" w:hAnsi="Times New Roman" w:cs="Times New Roman"/>
          <w:color w:val="000000" w:themeColor="text1"/>
          <w:szCs w:val="24"/>
        </w:rPr>
        <w:t xml:space="preserve"> earnings, resulting in </w:t>
      </w:r>
      <w:r w:rsidR="004F5AE5" w:rsidRPr="00644FC9">
        <w:rPr>
          <w:rFonts w:ascii="Times New Roman" w:eastAsia="標楷體" w:hAnsi="Times New Roman" w:cs="Times New Roman"/>
          <w:color w:val="000000" w:themeColor="text1"/>
          <w:szCs w:val="24"/>
        </w:rPr>
        <w:t>high</w:t>
      </w:r>
      <w:r w:rsidR="00336253" w:rsidRPr="00644FC9">
        <w:rPr>
          <w:rFonts w:ascii="Times New Roman" w:eastAsia="標楷體" w:hAnsi="Times New Roman" w:cs="Times New Roman"/>
          <w:color w:val="000000" w:themeColor="text1"/>
          <w:szCs w:val="24"/>
        </w:rPr>
        <w:t xml:space="preserve">er future returns for firms with higher </w:t>
      </w:r>
      <w:r w:rsidR="004F5AE5" w:rsidRPr="00644FC9">
        <w:rPr>
          <w:rFonts w:ascii="Times New Roman" w:eastAsia="標楷體" w:hAnsi="Times New Roman" w:cs="Times New Roman"/>
          <w:color w:val="000000" w:themeColor="text1"/>
          <w:szCs w:val="24"/>
        </w:rPr>
        <w:t>unexpected earnings</w:t>
      </w:r>
      <w:r w:rsidR="00336253" w:rsidRPr="00644FC9">
        <w:rPr>
          <w:rFonts w:ascii="Times New Roman" w:eastAsia="標楷體" w:hAnsi="Times New Roman" w:cs="Times New Roman"/>
          <w:color w:val="000000" w:themeColor="text1"/>
          <w:szCs w:val="24"/>
        </w:rPr>
        <w:t xml:space="preserve">. </w:t>
      </w:r>
    </w:p>
    <w:p w14:paraId="72EB7874" w14:textId="4D1D5D0A" w:rsidR="00752B60" w:rsidRPr="00644FC9" w:rsidRDefault="008C0A2B" w:rsidP="004C204F">
      <w:pPr>
        <w:spacing w:line="480" w:lineRule="auto"/>
        <w:ind w:firstLineChars="200" w:firstLine="480"/>
        <w:jc w:val="both"/>
        <w:rPr>
          <w:rFonts w:ascii="Times New Roman" w:hAnsi="Times New Roman" w:cs="Times New Roman"/>
          <w:color w:val="000000" w:themeColor="text1"/>
        </w:rPr>
        <w:sectPr w:rsidR="00752B60" w:rsidRPr="00644FC9" w:rsidSect="00A92677">
          <w:pgSz w:w="11906" w:h="16838"/>
          <w:pgMar w:top="1440" w:right="1440" w:bottom="1440" w:left="1440" w:header="851" w:footer="992" w:gutter="0"/>
          <w:cols w:space="425"/>
          <w:docGrid w:type="lines" w:linePitch="360"/>
        </w:sectPr>
      </w:pPr>
      <w:r w:rsidRPr="00644FC9">
        <w:rPr>
          <w:rFonts w:ascii="Times New Roman" w:hAnsi="Times New Roman" w:cs="Times New Roman"/>
          <w:color w:val="000000" w:themeColor="text1"/>
        </w:rPr>
        <w:t xml:space="preserve">Investors may have different reactions to different components of unexpected earnings. </w:t>
      </w:r>
      <w:r w:rsidR="00B00F13" w:rsidRPr="00644FC9">
        <w:rPr>
          <w:rFonts w:ascii="Times New Roman" w:hAnsi="Times New Roman" w:cs="Times New Roman" w:hint="eastAsia"/>
          <w:color w:val="000000" w:themeColor="text1"/>
        </w:rPr>
        <w:t>T</w:t>
      </w:r>
      <w:r w:rsidR="00B00F13" w:rsidRPr="00644FC9">
        <w:rPr>
          <w:rFonts w:ascii="Times New Roman" w:hAnsi="Times New Roman" w:cs="Times New Roman"/>
          <w:color w:val="000000" w:themeColor="text1"/>
        </w:rPr>
        <w:t>hus</w:t>
      </w:r>
      <w:r w:rsidR="00D4465F" w:rsidRPr="00644FC9">
        <w:rPr>
          <w:rFonts w:ascii="Times New Roman" w:hAnsi="Times New Roman" w:cs="Times New Roman"/>
          <w:color w:val="000000" w:themeColor="text1"/>
        </w:rPr>
        <w:t xml:space="preserve">, I </w:t>
      </w:r>
      <w:r w:rsidR="00E26EB8" w:rsidRPr="00644FC9">
        <w:rPr>
          <w:rFonts w:ascii="Times New Roman" w:hAnsi="Times New Roman" w:cs="Times New Roman"/>
          <w:color w:val="000000" w:themeColor="text1"/>
        </w:rPr>
        <w:t>test</w:t>
      </w:r>
      <w:r w:rsidR="00D83E2D" w:rsidRPr="00644FC9">
        <w:rPr>
          <w:rFonts w:ascii="Times New Roman" w:hAnsi="Times New Roman" w:cs="Times New Roman"/>
          <w:color w:val="000000" w:themeColor="text1"/>
        </w:rPr>
        <w:t>ed</w:t>
      </w:r>
      <w:r w:rsidR="00D4465F" w:rsidRPr="00644FC9">
        <w:rPr>
          <w:rFonts w:ascii="Times New Roman" w:hAnsi="Times New Roman" w:cs="Times New Roman"/>
          <w:color w:val="000000" w:themeColor="text1"/>
        </w:rPr>
        <w:t xml:space="preserve"> whether stock prices </w:t>
      </w:r>
      <w:r w:rsidR="00E26EB8" w:rsidRPr="00644FC9">
        <w:rPr>
          <w:rFonts w:ascii="Times New Roman" w:hAnsi="Times New Roman" w:cs="Times New Roman"/>
          <w:color w:val="000000" w:themeColor="text1"/>
        </w:rPr>
        <w:t>equal</w:t>
      </w:r>
      <w:r w:rsidR="00D4465F" w:rsidRPr="00644FC9">
        <w:rPr>
          <w:rFonts w:ascii="Times New Roman" w:hAnsi="Times New Roman" w:cs="Times New Roman"/>
          <w:color w:val="000000" w:themeColor="text1"/>
        </w:rPr>
        <w:t xml:space="preserve">ly reflect both the </w:t>
      </w:r>
      <w:r w:rsidR="00136A69" w:rsidRPr="00644FC9">
        <w:rPr>
          <w:rFonts w:ascii="Times New Roman" w:hAnsi="Times New Roman" w:cs="Times New Roman"/>
          <w:color w:val="000000" w:themeColor="text1"/>
        </w:rPr>
        <w:t xml:space="preserve">unexpected </w:t>
      </w:r>
      <w:r w:rsidR="00E26EB8" w:rsidRPr="00644FC9">
        <w:rPr>
          <w:rFonts w:ascii="Times New Roman" w:hAnsi="Times New Roman" w:cs="Times New Roman"/>
          <w:color w:val="000000" w:themeColor="text1"/>
        </w:rPr>
        <w:t>operating and</w:t>
      </w:r>
      <w:r w:rsidR="00313173" w:rsidRPr="00644FC9">
        <w:rPr>
          <w:rFonts w:ascii="Times New Roman" w:hAnsi="Times New Roman" w:cs="Times New Roman"/>
          <w:color w:val="000000" w:themeColor="text1"/>
        </w:rPr>
        <w:t xml:space="preserve"> non-operating </w:t>
      </w:r>
      <w:r w:rsidR="00D4465F" w:rsidRPr="00644FC9">
        <w:rPr>
          <w:rFonts w:ascii="Times New Roman" w:hAnsi="Times New Roman" w:cs="Times New Roman"/>
          <w:color w:val="000000" w:themeColor="text1"/>
        </w:rPr>
        <w:t xml:space="preserve">components of </w:t>
      </w:r>
      <w:r w:rsidR="00E26EB8" w:rsidRPr="00644FC9">
        <w:rPr>
          <w:rFonts w:ascii="Times New Roman" w:hAnsi="Times New Roman" w:cs="Times New Roman"/>
          <w:color w:val="000000" w:themeColor="text1"/>
        </w:rPr>
        <w:t>the one-quarter-ahead unexpected earnings</w:t>
      </w:r>
      <w:r w:rsidR="00D4465F" w:rsidRPr="00644FC9">
        <w:rPr>
          <w:rFonts w:ascii="Times New Roman" w:hAnsi="Times New Roman" w:cs="Times New Roman"/>
          <w:color w:val="000000" w:themeColor="text1"/>
        </w:rPr>
        <w:t>.</w:t>
      </w:r>
      <w:r w:rsidR="00E26EB8" w:rsidRPr="00644FC9">
        <w:rPr>
          <w:rFonts w:ascii="Times New Roman" w:hAnsi="Times New Roman" w:cs="Times New Roman"/>
          <w:color w:val="000000" w:themeColor="text1"/>
        </w:rPr>
        <w:t xml:space="preserve"> </w:t>
      </w:r>
      <w:r w:rsidR="00336253" w:rsidRPr="00644FC9">
        <w:rPr>
          <w:rFonts w:ascii="Times New Roman" w:hAnsi="Times New Roman" w:cs="Times New Roman"/>
          <w:color w:val="000000" w:themeColor="text1"/>
        </w:rPr>
        <w:t xml:space="preserve">The regression coefficients on both the </w:t>
      </w:r>
      <w:r w:rsidR="004C204F" w:rsidRPr="00644FC9">
        <w:rPr>
          <w:rFonts w:ascii="Times New Roman" w:hAnsi="Times New Roman" w:cs="Times New Roman"/>
          <w:color w:val="000000" w:themeColor="text1"/>
        </w:rPr>
        <w:t>unexpected</w:t>
      </w:r>
      <w:r w:rsidR="00336253" w:rsidRPr="00644FC9">
        <w:rPr>
          <w:rFonts w:ascii="Times New Roman" w:hAnsi="Times New Roman" w:cs="Times New Roman"/>
          <w:color w:val="000000" w:themeColor="text1"/>
        </w:rPr>
        <w:t xml:space="preserve"> </w:t>
      </w:r>
      <w:r w:rsidR="004C204F" w:rsidRPr="00644FC9">
        <w:rPr>
          <w:rFonts w:ascii="Times New Roman" w:hAnsi="Times New Roman" w:cs="Times New Roman"/>
          <w:color w:val="000000" w:themeColor="text1"/>
        </w:rPr>
        <w:t xml:space="preserve">operating income </w:t>
      </w:r>
      <w:r w:rsidR="00336253" w:rsidRPr="00644FC9">
        <w:rPr>
          <w:rFonts w:ascii="Times New Roman" w:hAnsi="Times New Roman" w:cs="Times New Roman"/>
          <w:color w:val="000000" w:themeColor="text1"/>
        </w:rPr>
        <w:t>(</w:t>
      </w:r>
      <w:r w:rsidR="004C204F" w:rsidRPr="00644FC9">
        <w:rPr>
          <w:rFonts w:ascii="Times New Roman" w:hAnsi="Times New Roman" w:cs="Times New Roman"/>
          <w:i/>
          <w:color w:val="000000" w:themeColor="text1"/>
        </w:rPr>
        <w:t>UOI</w:t>
      </w:r>
      <w:r w:rsidR="00336253" w:rsidRPr="00644FC9">
        <w:rPr>
          <w:rFonts w:ascii="Times New Roman" w:hAnsi="Times New Roman" w:cs="Times New Roman"/>
          <w:color w:val="000000" w:themeColor="text1"/>
        </w:rPr>
        <w:t xml:space="preserve">) and </w:t>
      </w:r>
      <w:r w:rsidR="004C204F" w:rsidRPr="00644FC9">
        <w:rPr>
          <w:rFonts w:ascii="Times New Roman" w:hAnsi="Times New Roman" w:cs="Times New Roman"/>
          <w:color w:val="000000" w:themeColor="text1"/>
        </w:rPr>
        <w:t>the unexpected</w:t>
      </w:r>
      <w:r w:rsidR="00313173" w:rsidRPr="00644FC9">
        <w:rPr>
          <w:rFonts w:ascii="Times New Roman" w:hAnsi="Times New Roman" w:cs="Times New Roman"/>
          <w:color w:val="000000" w:themeColor="text1"/>
        </w:rPr>
        <w:t xml:space="preserve"> non-operating </w:t>
      </w:r>
      <w:r w:rsidR="004C204F" w:rsidRPr="00644FC9">
        <w:rPr>
          <w:rFonts w:ascii="Times New Roman" w:hAnsi="Times New Roman" w:cs="Times New Roman"/>
          <w:color w:val="000000" w:themeColor="text1"/>
        </w:rPr>
        <w:t>income</w:t>
      </w:r>
      <w:r w:rsidR="00336253" w:rsidRPr="00644FC9">
        <w:rPr>
          <w:rFonts w:ascii="Times New Roman" w:hAnsi="Times New Roman" w:cs="Times New Roman"/>
          <w:color w:val="000000" w:themeColor="text1"/>
        </w:rPr>
        <w:t xml:space="preserve"> (</w:t>
      </w:r>
      <w:r w:rsidR="004C204F" w:rsidRPr="00644FC9">
        <w:rPr>
          <w:rFonts w:ascii="Times New Roman" w:hAnsi="Times New Roman" w:cs="Times New Roman"/>
          <w:i/>
          <w:color w:val="000000" w:themeColor="text1"/>
        </w:rPr>
        <w:t>UNOI</w:t>
      </w:r>
      <w:r w:rsidR="00336253" w:rsidRPr="00644FC9">
        <w:rPr>
          <w:rFonts w:ascii="Times New Roman" w:eastAsia="標楷體" w:hAnsi="Times New Roman" w:cs="Times New Roman"/>
          <w:color w:val="000000" w:themeColor="text1"/>
        </w:rPr>
        <w:t>)</w:t>
      </w:r>
      <w:r w:rsidR="00336253" w:rsidRPr="00644FC9">
        <w:rPr>
          <w:rFonts w:ascii="Times New Roman" w:hAnsi="Times New Roman" w:cs="Times New Roman"/>
          <w:color w:val="000000" w:themeColor="text1"/>
        </w:rPr>
        <w:t xml:space="preserve"> are </w:t>
      </w:r>
      <w:r w:rsidR="004C204F" w:rsidRPr="00644FC9">
        <w:rPr>
          <w:rFonts w:ascii="Times New Roman" w:hAnsi="Times New Roman" w:cs="Times New Roman"/>
          <w:color w:val="000000" w:themeColor="text1"/>
        </w:rPr>
        <w:t>posi</w:t>
      </w:r>
      <w:r w:rsidR="00336253" w:rsidRPr="00644FC9">
        <w:rPr>
          <w:rFonts w:ascii="Times New Roman" w:hAnsi="Times New Roman" w:cs="Times New Roman"/>
          <w:color w:val="000000" w:themeColor="text1"/>
        </w:rPr>
        <w:t>tive</w:t>
      </w:r>
      <w:r w:rsidR="004C204F" w:rsidRPr="00644FC9">
        <w:rPr>
          <w:rFonts w:ascii="Times New Roman" w:hAnsi="Times New Roman" w:cs="Times New Roman"/>
          <w:color w:val="000000" w:themeColor="text1"/>
        </w:rPr>
        <w:t xml:space="preserve"> and significant</w:t>
      </w:r>
      <w:r w:rsidR="00626E59" w:rsidRPr="00644FC9">
        <w:rPr>
          <w:rFonts w:ascii="Times New Roman" w:hAnsi="Times New Roman" w:cs="Times New Roman"/>
          <w:color w:val="000000" w:themeColor="text1"/>
        </w:rPr>
        <w:t xml:space="preserve">, </w:t>
      </w:r>
      <w:r w:rsidR="00D83E2D" w:rsidRPr="00644FC9">
        <w:rPr>
          <w:rFonts w:ascii="Times New Roman" w:hAnsi="Times New Roman" w:cs="Times New Roman"/>
          <w:color w:val="000000" w:themeColor="text1"/>
        </w:rPr>
        <w:t xml:space="preserve">so </w:t>
      </w:r>
      <w:r w:rsidR="00626E59" w:rsidRPr="00644FC9">
        <w:rPr>
          <w:rFonts w:ascii="Times New Roman" w:hAnsi="Times New Roman" w:cs="Times New Roman"/>
          <w:color w:val="000000" w:themeColor="text1"/>
        </w:rPr>
        <w:t xml:space="preserve">the market underestimates </w:t>
      </w:r>
      <w:r w:rsidR="00D92049" w:rsidRPr="00644FC9">
        <w:rPr>
          <w:rFonts w:ascii="Times New Roman" w:hAnsi="Times New Roman" w:cs="Times New Roman"/>
          <w:color w:val="000000" w:themeColor="text1"/>
        </w:rPr>
        <w:t xml:space="preserve">both </w:t>
      </w:r>
      <w:r w:rsidR="00626E59" w:rsidRPr="00644FC9">
        <w:rPr>
          <w:rFonts w:ascii="Times New Roman" w:hAnsi="Times New Roman" w:cs="Times New Roman"/>
          <w:color w:val="000000" w:themeColor="text1"/>
        </w:rPr>
        <w:t>operating and</w:t>
      </w:r>
      <w:r w:rsidR="00313173" w:rsidRPr="00644FC9">
        <w:rPr>
          <w:rFonts w:ascii="Times New Roman" w:hAnsi="Times New Roman" w:cs="Times New Roman"/>
          <w:color w:val="000000" w:themeColor="text1"/>
        </w:rPr>
        <w:t xml:space="preserve"> non-operating </w:t>
      </w:r>
      <w:r w:rsidR="00626E59" w:rsidRPr="00644FC9">
        <w:rPr>
          <w:rFonts w:ascii="Times New Roman" w:hAnsi="Times New Roman" w:cs="Times New Roman"/>
          <w:color w:val="000000" w:themeColor="text1"/>
        </w:rPr>
        <w:t>income surprise</w:t>
      </w:r>
      <w:r w:rsidR="00D83E2D" w:rsidRPr="00644FC9">
        <w:rPr>
          <w:rFonts w:ascii="Times New Roman" w:hAnsi="Times New Roman" w:cs="Times New Roman"/>
          <w:color w:val="000000" w:themeColor="text1"/>
        </w:rPr>
        <w:t>s</w:t>
      </w:r>
      <w:r w:rsidR="004C204F" w:rsidRPr="00644FC9">
        <w:rPr>
          <w:rFonts w:ascii="Times New Roman" w:hAnsi="Times New Roman" w:cs="Times New Roman"/>
          <w:color w:val="000000" w:themeColor="text1"/>
        </w:rPr>
        <w:t>.</w:t>
      </w:r>
      <w:r w:rsidR="00336253" w:rsidRPr="00644FC9">
        <w:rPr>
          <w:rFonts w:ascii="Times New Roman" w:hAnsi="Times New Roman" w:cs="Times New Roman"/>
          <w:color w:val="000000" w:themeColor="text1"/>
        </w:rPr>
        <w:t xml:space="preserve"> However, the coefficients on </w:t>
      </w:r>
      <w:r w:rsidR="004C204F" w:rsidRPr="00644FC9">
        <w:rPr>
          <w:rFonts w:ascii="Times New Roman" w:hAnsi="Times New Roman" w:cs="Times New Roman"/>
          <w:i/>
          <w:color w:val="000000" w:themeColor="text1"/>
        </w:rPr>
        <w:t>UOI</w:t>
      </w:r>
      <w:r w:rsidR="00336253" w:rsidRPr="00644FC9">
        <w:rPr>
          <w:rFonts w:ascii="Times New Roman" w:hAnsi="Times New Roman" w:cs="Times New Roman"/>
          <w:color w:val="000000" w:themeColor="text1"/>
        </w:rPr>
        <w:t xml:space="preserve"> are much higher than the coefficients on </w:t>
      </w:r>
      <w:r w:rsidR="004C204F" w:rsidRPr="00644FC9">
        <w:rPr>
          <w:rFonts w:ascii="Times New Roman" w:hAnsi="Times New Roman" w:cs="Times New Roman"/>
          <w:i/>
          <w:color w:val="000000" w:themeColor="text1"/>
        </w:rPr>
        <w:t>UNOI</w:t>
      </w:r>
      <w:r w:rsidR="001C2726" w:rsidRPr="00644FC9">
        <w:rPr>
          <w:rFonts w:ascii="Times New Roman" w:hAnsi="Times New Roman" w:cs="Times New Roman"/>
          <w:color w:val="000000" w:themeColor="text1"/>
        </w:rPr>
        <w:t>,</w:t>
      </w:r>
      <w:r w:rsidR="00336253" w:rsidRPr="00644FC9">
        <w:rPr>
          <w:rFonts w:ascii="Times New Roman" w:hAnsi="Times New Roman" w:cs="Times New Roman"/>
          <w:color w:val="000000" w:themeColor="text1"/>
        </w:rPr>
        <w:t xml:space="preserve"> </w:t>
      </w:r>
      <w:r w:rsidR="004C204F" w:rsidRPr="00644FC9">
        <w:rPr>
          <w:rFonts w:ascii="Times New Roman" w:hAnsi="Times New Roman" w:cs="Times New Roman"/>
          <w:color w:val="000000" w:themeColor="text1"/>
        </w:rPr>
        <w:t>suggest</w:t>
      </w:r>
      <w:r w:rsidR="001C2726" w:rsidRPr="00644FC9">
        <w:rPr>
          <w:rFonts w:ascii="Times New Roman" w:hAnsi="Times New Roman" w:cs="Times New Roman"/>
          <w:color w:val="000000" w:themeColor="text1"/>
        </w:rPr>
        <w:t>ing</w:t>
      </w:r>
      <w:r w:rsidR="004C204F" w:rsidRPr="00644FC9">
        <w:rPr>
          <w:rFonts w:ascii="Times New Roman" w:hAnsi="Times New Roman" w:cs="Times New Roman"/>
          <w:color w:val="000000" w:themeColor="text1"/>
        </w:rPr>
        <w:t xml:space="preserve"> </w:t>
      </w:r>
      <w:r w:rsidR="00336253" w:rsidRPr="00644FC9">
        <w:rPr>
          <w:rFonts w:ascii="Times New Roman" w:hAnsi="Times New Roman" w:cs="Times New Roman"/>
          <w:color w:val="000000" w:themeColor="text1"/>
        </w:rPr>
        <w:t xml:space="preserve">that the market appears to </w:t>
      </w:r>
      <w:r w:rsidR="004C204F" w:rsidRPr="00644FC9">
        <w:rPr>
          <w:rFonts w:ascii="Times New Roman" w:hAnsi="Times New Roman" w:cs="Times New Roman"/>
          <w:color w:val="000000" w:themeColor="text1"/>
        </w:rPr>
        <w:t>under</w:t>
      </w:r>
      <w:r w:rsidR="00336253" w:rsidRPr="00644FC9">
        <w:rPr>
          <w:rFonts w:ascii="Times New Roman" w:hAnsi="Times New Roman" w:cs="Times New Roman"/>
          <w:color w:val="000000" w:themeColor="text1"/>
        </w:rPr>
        <w:t xml:space="preserve">price </w:t>
      </w:r>
      <w:r w:rsidR="004C204F" w:rsidRPr="00644FC9">
        <w:rPr>
          <w:rFonts w:ascii="Times New Roman" w:hAnsi="Times New Roman" w:cs="Times New Roman"/>
          <w:color w:val="000000" w:themeColor="text1"/>
        </w:rPr>
        <w:t>unexpected operating income</w:t>
      </w:r>
      <w:r w:rsidR="00336253" w:rsidRPr="00644FC9">
        <w:rPr>
          <w:rFonts w:ascii="Times New Roman" w:hAnsi="Times New Roman" w:cs="Times New Roman"/>
          <w:color w:val="000000" w:themeColor="text1"/>
        </w:rPr>
        <w:t xml:space="preserve"> </w:t>
      </w:r>
      <w:r w:rsidR="004C204F" w:rsidRPr="00644FC9">
        <w:rPr>
          <w:rFonts w:ascii="Times New Roman" w:hAnsi="Times New Roman" w:cs="Times New Roman"/>
          <w:color w:val="000000" w:themeColor="text1"/>
        </w:rPr>
        <w:t>to a greater extent than it under</w:t>
      </w:r>
      <w:r w:rsidR="00336253" w:rsidRPr="00644FC9">
        <w:rPr>
          <w:rFonts w:ascii="Times New Roman" w:hAnsi="Times New Roman" w:cs="Times New Roman"/>
          <w:color w:val="000000" w:themeColor="text1"/>
        </w:rPr>
        <w:t xml:space="preserve">prices </w:t>
      </w:r>
      <w:r w:rsidR="004C204F" w:rsidRPr="00644FC9">
        <w:rPr>
          <w:rFonts w:ascii="Times New Roman" w:hAnsi="Times New Roman" w:cs="Times New Roman"/>
          <w:color w:val="000000" w:themeColor="text1"/>
        </w:rPr>
        <w:t>unexpected</w:t>
      </w:r>
      <w:r w:rsidR="00313173" w:rsidRPr="00644FC9">
        <w:rPr>
          <w:rFonts w:ascii="Times New Roman" w:hAnsi="Times New Roman" w:cs="Times New Roman"/>
          <w:color w:val="000000" w:themeColor="text1"/>
        </w:rPr>
        <w:t xml:space="preserve"> non-operating </w:t>
      </w:r>
      <w:r w:rsidR="004C204F" w:rsidRPr="00644FC9">
        <w:rPr>
          <w:rFonts w:ascii="Times New Roman" w:hAnsi="Times New Roman" w:cs="Times New Roman"/>
          <w:color w:val="000000" w:themeColor="text1"/>
        </w:rPr>
        <w:t>income</w:t>
      </w:r>
      <w:r w:rsidR="00336253" w:rsidRPr="00644FC9">
        <w:rPr>
          <w:rFonts w:ascii="Times New Roman" w:hAnsi="Times New Roman" w:cs="Times New Roman"/>
          <w:color w:val="000000" w:themeColor="text1"/>
        </w:rPr>
        <w:t xml:space="preserve">. </w:t>
      </w:r>
      <w:r w:rsidR="00EA30DB" w:rsidRPr="00644FC9">
        <w:rPr>
          <w:rFonts w:ascii="Times New Roman" w:hAnsi="Times New Roman" w:cs="Times New Roman"/>
          <w:color w:val="000000" w:themeColor="text1"/>
        </w:rPr>
        <w:t>Together</w:t>
      </w:r>
      <w:r w:rsidR="008331D5" w:rsidRPr="00644FC9">
        <w:rPr>
          <w:rFonts w:ascii="Times New Roman" w:hAnsi="Times New Roman" w:cs="Times New Roman"/>
          <w:color w:val="000000" w:themeColor="text1"/>
        </w:rPr>
        <w:t xml:space="preserve">, </w:t>
      </w:r>
      <w:r w:rsidR="007F60D2" w:rsidRPr="00644FC9">
        <w:rPr>
          <w:rFonts w:ascii="Times New Roman" w:hAnsi="Times New Roman" w:cs="Times New Roman"/>
          <w:color w:val="000000" w:themeColor="text1"/>
        </w:rPr>
        <w:t>th</w:t>
      </w:r>
      <w:r w:rsidR="008331D5" w:rsidRPr="00644FC9">
        <w:rPr>
          <w:rFonts w:ascii="Times New Roman" w:hAnsi="Times New Roman" w:cs="Times New Roman"/>
          <w:color w:val="000000" w:themeColor="text1"/>
        </w:rPr>
        <w:t>e</w:t>
      </w:r>
      <w:r w:rsidR="00B66F59" w:rsidRPr="00644FC9">
        <w:rPr>
          <w:rFonts w:ascii="Times New Roman" w:hAnsi="Times New Roman" w:cs="Times New Roman"/>
          <w:color w:val="000000" w:themeColor="text1"/>
        </w:rPr>
        <w:t>se</w:t>
      </w:r>
      <w:r w:rsidR="004C204F" w:rsidRPr="00644FC9">
        <w:rPr>
          <w:rFonts w:ascii="Times New Roman" w:hAnsi="Times New Roman" w:cs="Times New Roman"/>
          <w:color w:val="000000" w:themeColor="text1"/>
        </w:rPr>
        <w:t xml:space="preserve"> results </w:t>
      </w:r>
      <w:r w:rsidR="007F60D2" w:rsidRPr="00644FC9">
        <w:rPr>
          <w:rFonts w:ascii="Times New Roman" w:hAnsi="Times New Roman" w:cs="Times New Roman"/>
          <w:color w:val="000000" w:themeColor="text1"/>
        </w:rPr>
        <w:t>imply</w:t>
      </w:r>
      <w:r w:rsidR="004C204F" w:rsidRPr="00644FC9">
        <w:rPr>
          <w:rFonts w:ascii="Times New Roman" w:hAnsi="Times New Roman" w:cs="Times New Roman"/>
          <w:color w:val="000000" w:themeColor="text1"/>
        </w:rPr>
        <w:t xml:space="preserve"> that </w:t>
      </w:r>
      <w:r w:rsidR="003957D1" w:rsidRPr="00644FC9">
        <w:rPr>
          <w:rFonts w:ascii="Times New Roman" w:hAnsi="Times New Roman" w:cs="Times New Roman"/>
          <w:color w:val="000000" w:themeColor="text1"/>
        </w:rPr>
        <w:t>both the unexpected operating and</w:t>
      </w:r>
      <w:r w:rsidR="00313173" w:rsidRPr="00644FC9">
        <w:rPr>
          <w:rFonts w:ascii="Times New Roman" w:hAnsi="Times New Roman" w:cs="Times New Roman"/>
          <w:color w:val="000000" w:themeColor="text1"/>
        </w:rPr>
        <w:t xml:space="preserve"> non-operating </w:t>
      </w:r>
      <w:r w:rsidR="003957D1" w:rsidRPr="00644FC9">
        <w:rPr>
          <w:rFonts w:ascii="Times New Roman" w:hAnsi="Times New Roman" w:cs="Times New Roman"/>
          <w:color w:val="000000" w:themeColor="text1"/>
        </w:rPr>
        <w:t>income contribute to the post-</w:t>
      </w:r>
      <w:r w:rsidR="0065717A">
        <w:rPr>
          <w:rFonts w:ascii="Times New Roman" w:hAnsi="Times New Roman" w:cs="Times New Roman"/>
          <w:color w:val="000000" w:themeColor="text1"/>
        </w:rPr>
        <w:t>earnings-announcement</w:t>
      </w:r>
      <w:r w:rsidR="003957D1" w:rsidRPr="00644FC9">
        <w:rPr>
          <w:rFonts w:ascii="Times New Roman" w:hAnsi="Times New Roman" w:cs="Times New Roman"/>
          <w:color w:val="000000" w:themeColor="text1"/>
        </w:rPr>
        <w:t xml:space="preserve"> drift and the unexpected operating income plays a more </w:t>
      </w:r>
      <w:r w:rsidR="009C57AC" w:rsidRPr="00644FC9">
        <w:rPr>
          <w:rFonts w:ascii="Times New Roman" w:hAnsi="Times New Roman" w:cs="Times New Roman"/>
          <w:color w:val="000000" w:themeColor="text1"/>
        </w:rPr>
        <w:t>s</w:t>
      </w:r>
      <w:r w:rsidR="003957D1" w:rsidRPr="00644FC9">
        <w:rPr>
          <w:rFonts w:ascii="Times New Roman" w:hAnsi="Times New Roman" w:cs="Times New Roman"/>
          <w:color w:val="000000" w:themeColor="text1"/>
        </w:rPr>
        <w:t>ignificant role in</w:t>
      </w:r>
      <w:r w:rsidR="009C57AC" w:rsidRPr="00644FC9">
        <w:rPr>
          <w:rFonts w:ascii="Times New Roman" w:hAnsi="Times New Roman" w:cs="Times New Roman"/>
          <w:color w:val="000000" w:themeColor="text1"/>
        </w:rPr>
        <w:t xml:space="preserve"> the market anomaly than unexpected</w:t>
      </w:r>
      <w:r w:rsidR="00313173" w:rsidRPr="00644FC9">
        <w:rPr>
          <w:rFonts w:ascii="Times New Roman" w:hAnsi="Times New Roman" w:cs="Times New Roman"/>
          <w:color w:val="000000" w:themeColor="text1"/>
        </w:rPr>
        <w:t xml:space="preserve"> non-operating </w:t>
      </w:r>
      <w:r w:rsidR="009C57AC" w:rsidRPr="00644FC9">
        <w:rPr>
          <w:rFonts w:ascii="Times New Roman" w:hAnsi="Times New Roman" w:cs="Times New Roman"/>
          <w:color w:val="000000" w:themeColor="text1"/>
        </w:rPr>
        <w:t>income</w:t>
      </w:r>
      <w:r w:rsidR="003957D1" w:rsidRPr="00644FC9">
        <w:rPr>
          <w:rFonts w:ascii="Times New Roman" w:hAnsi="Times New Roman" w:cs="Times New Roman"/>
          <w:color w:val="000000" w:themeColor="text1"/>
        </w:rPr>
        <w:t xml:space="preserve">. </w:t>
      </w:r>
    </w:p>
    <w:p w14:paraId="4E78E570" w14:textId="77777777" w:rsidR="00752B60" w:rsidRPr="00644FC9" w:rsidRDefault="00752B60" w:rsidP="00752B60">
      <w:pPr>
        <w:adjustRightInd w:val="0"/>
        <w:snapToGrid w:val="0"/>
        <w:jc w:val="center"/>
        <w:rPr>
          <w:rFonts w:ascii="Times New Roman" w:hAnsi="Times New Roman" w:cs="Times New Roman"/>
          <w:color w:val="000000" w:themeColor="text1"/>
          <w:szCs w:val="24"/>
        </w:rPr>
      </w:pPr>
      <w:r w:rsidRPr="00644FC9">
        <w:rPr>
          <w:rFonts w:ascii="Times New Roman" w:hAnsi="Times New Roman" w:cs="Times New Roman"/>
          <w:color w:val="000000" w:themeColor="text1"/>
          <w:szCs w:val="24"/>
        </w:rPr>
        <w:lastRenderedPageBreak/>
        <w:t>Table 4: Regression results of abnormal returns across various holding periods (N = 21,787)</w:t>
      </w:r>
    </w:p>
    <w:tbl>
      <w:tblPr>
        <w:tblW w:w="13994" w:type="dxa"/>
        <w:tblLayout w:type="fixed"/>
        <w:tblCellMar>
          <w:left w:w="28" w:type="dxa"/>
          <w:right w:w="28" w:type="dxa"/>
        </w:tblCellMar>
        <w:tblLook w:val="04A0" w:firstRow="1" w:lastRow="0" w:firstColumn="1" w:lastColumn="0" w:noHBand="0" w:noVBand="1"/>
      </w:tblPr>
      <w:tblGrid>
        <w:gridCol w:w="914"/>
        <w:gridCol w:w="1030"/>
        <w:gridCol w:w="1030"/>
        <w:gridCol w:w="1030"/>
        <w:gridCol w:w="76"/>
        <w:gridCol w:w="1030"/>
        <w:gridCol w:w="1030"/>
        <w:gridCol w:w="1036"/>
        <w:gridCol w:w="76"/>
        <w:gridCol w:w="1111"/>
        <w:gridCol w:w="1111"/>
        <w:gridCol w:w="1111"/>
        <w:gridCol w:w="76"/>
        <w:gridCol w:w="1111"/>
        <w:gridCol w:w="1111"/>
        <w:gridCol w:w="1111"/>
      </w:tblGrid>
      <w:tr w:rsidR="00CB42CC" w:rsidRPr="00644FC9" w14:paraId="73916D93" w14:textId="77777777" w:rsidTr="003419D8">
        <w:trPr>
          <w:trHeight w:hRule="exact" w:val="284"/>
        </w:trPr>
        <w:tc>
          <w:tcPr>
            <w:tcW w:w="914" w:type="dxa"/>
            <w:tcBorders>
              <w:top w:val="single" w:sz="4" w:space="0" w:color="auto"/>
              <w:left w:val="nil"/>
              <w:bottom w:val="nil"/>
              <w:right w:val="nil"/>
            </w:tcBorders>
            <w:shd w:val="clear" w:color="auto" w:fill="auto"/>
            <w:noWrap/>
            <w:vAlign w:val="center"/>
          </w:tcPr>
          <w:p w14:paraId="0F06D7BA" w14:textId="77777777" w:rsidR="00752B60" w:rsidRPr="00644FC9" w:rsidRDefault="00752B60" w:rsidP="003419D8">
            <w:pPr>
              <w:widowControl/>
              <w:adjustRightInd w:val="0"/>
              <w:snapToGrid w:val="0"/>
              <w:rPr>
                <w:rFonts w:ascii="Times New Roman" w:eastAsia="新細明體" w:hAnsi="Times New Roman" w:cs="Times New Roman"/>
                <w:color w:val="000000" w:themeColor="text1"/>
                <w:kern w:val="0"/>
                <w:szCs w:val="24"/>
              </w:rPr>
            </w:pPr>
          </w:p>
        </w:tc>
        <w:tc>
          <w:tcPr>
            <w:tcW w:w="6262" w:type="dxa"/>
            <w:gridSpan w:val="7"/>
            <w:tcBorders>
              <w:top w:val="single" w:sz="4" w:space="0" w:color="auto"/>
              <w:left w:val="nil"/>
              <w:bottom w:val="single" w:sz="4" w:space="0" w:color="auto"/>
              <w:right w:val="nil"/>
            </w:tcBorders>
            <w:shd w:val="clear" w:color="auto" w:fill="auto"/>
            <w:noWrap/>
            <w:vAlign w:val="center"/>
          </w:tcPr>
          <w:p w14:paraId="148EAC7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Actual values</w:t>
            </w:r>
          </w:p>
        </w:tc>
        <w:tc>
          <w:tcPr>
            <w:tcW w:w="76" w:type="dxa"/>
            <w:tcBorders>
              <w:top w:val="single" w:sz="4" w:space="0" w:color="auto"/>
              <w:left w:val="nil"/>
              <w:right w:val="nil"/>
            </w:tcBorders>
          </w:tcPr>
          <w:p w14:paraId="407B76BF" w14:textId="77777777" w:rsidR="00752B60" w:rsidRPr="00644FC9" w:rsidRDefault="00752B60" w:rsidP="003419D8">
            <w:pPr>
              <w:widowControl/>
              <w:adjustRightInd w:val="0"/>
              <w:snapToGrid w:val="0"/>
              <w:jc w:val="center"/>
              <w:rPr>
                <w:rFonts w:ascii="Times New Roman" w:eastAsia="標楷體" w:hAnsi="Times New Roman" w:cs="Times New Roman"/>
                <w:color w:val="000000" w:themeColor="text1"/>
                <w:szCs w:val="24"/>
              </w:rPr>
            </w:pPr>
          </w:p>
        </w:tc>
        <w:tc>
          <w:tcPr>
            <w:tcW w:w="6742" w:type="dxa"/>
            <w:gridSpan w:val="7"/>
            <w:tcBorders>
              <w:top w:val="single" w:sz="4" w:space="0" w:color="auto"/>
              <w:left w:val="nil"/>
              <w:bottom w:val="single" w:sz="4" w:space="0" w:color="auto"/>
              <w:right w:val="nil"/>
            </w:tcBorders>
            <w:vAlign w:val="center"/>
          </w:tcPr>
          <w:p w14:paraId="5B876097"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Decile ranking values</w:t>
            </w:r>
          </w:p>
        </w:tc>
      </w:tr>
      <w:tr w:rsidR="00CB42CC" w:rsidRPr="00644FC9" w14:paraId="55670A97" w14:textId="77777777" w:rsidTr="003419D8">
        <w:trPr>
          <w:trHeight w:hRule="exact" w:val="284"/>
        </w:trPr>
        <w:tc>
          <w:tcPr>
            <w:tcW w:w="914" w:type="dxa"/>
            <w:tcBorders>
              <w:top w:val="nil"/>
              <w:left w:val="nil"/>
              <w:right w:val="nil"/>
            </w:tcBorders>
            <w:shd w:val="clear" w:color="auto" w:fill="auto"/>
            <w:noWrap/>
            <w:vAlign w:val="center"/>
          </w:tcPr>
          <w:p w14:paraId="2D258FBF" w14:textId="77777777" w:rsidR="00752B60" w:rsidRPr="00644FC9" w:rsidRDefault="00752B60" w:rsidP="003419D8">
            <w:pPr>
              <w:widowControl/>
              <w:adjustRightInd w:val="0"/>
              <w:snapToGrid w:val="0"/>
              <w:rPr>
                <w:rFonts w:ascii="Times New Roman" w:eastAsia="新細明體" w:hAnsi="Times New Roman" w:cs="Times New Roman"/>
                <w:color w:val="000000" w:themeColor="text1"/>
                <w:kern w:val="0"/>
                <w:szCs w:val="24"/>
              </w:rPr>
            </w:pPr>
          </w:p>
        </w:tc>
        <w:tc>
          <w:tcPr>
            <w:tcW w:w="1030" w:type="dxa"/>
            <w:tcBorders>
              <w:top w:val="single" w:sz="4" w:space="0" w:color="auto"/>
              <w:left w:val="nil"/>
              <w:bottom w:val="single" w:sz="4" w:space="0" w:color="auto"/>
              <w:right w:val="nil"/>
            </w:tcBorders>
            <w:shd w:val="clear" w:color="auto" w:fill="auto"/>
            <w:noWrap/>
            <w:vAlign w:val="center"/>
          </w:tcPr>
          <w:p w14:paraId="1508693B"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標楷體" w:hAnsi="Times New Roman" w:cs="Times New Roman"/>
                <w:i/>
                <w:color w:val="000000" w:themeColor="text1"/>
                <w:szCs w:val="24"/>
              </w:rPr>
              <w:t>BHAR</w:t>
            </w:r>
            <w:r w:rsidRPr="00644FC9">
              <w:rPr>
                <w:rFonts w:ascii="Times New Roman" w:eastAsia="新細明體" w:hAnsi="Times New Roman" w:cs="Times New Roman"/>
                <w:i/>
                <w:color w:val="000000" w:themeColor="text1"/>
                <w:szCs w:val="24"/>
              </w:rPr>
              <w:t>5</w:t>
            </w:r>
          </w:p>
        </w:tc>
        <w:tc>
          <w:tcPr>
            <w:tcW w:w="1030" w:type="dxa"/>
            <w:tcBorders>
              <w:top w:val="single" w:sz="4" w:space="0" w:color="auto"/>
              <w:left w:val="nil"/>
              <w:bottom w:val="single" w:sz="4" w:space="0" w:color="auto"/>
              <w:right w:val="nil"/>
            </w:tcBorders>
            <w:shd w:val="clear" w:color="auto" w:fill="auto"/>
            <w:noWrap/>
            <w:vAlign w:val="center"/>
          </w:tcPr>
          <w:p w14:paraId="7EB9C3E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BHAR21</w:t>
            </w:r>
          </w:p>
        </w:tc>
        <w:tc>
          <w:tcPr>
            <w:tcW w:w="1030" w:type="dxa"/>
            <w:tcBorders>
              <w:top w:val="single" w:sz="4" w:space="0" w:color="auto"/>
              <w:left w:val="nil"/>
              <w:bottom w:val="single" w:sz="4" w:space="0" w:color="auto"/>
              <w:right w:val="nil"/>
            </w:tcBorders>
            <w:shd w:val="clear" w:color="auto" w:fill="auto"/>
            <w:noWrap/>
            <w:vAlign w:val="center"/>
          </w:tcPr>
          <w:p w14:paraId="379DCCC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BHARQ</w:t>
            </w:r>
          </w:p>
        </w:tc>
        <w:tc>
          <w:tcPr>
            <w:tcW w:w="76" w:type="dxa"/>
            <w:tcBorders>
              <w:top w:val="single" w:sz="4" w:space="0" w:color="auto"/>
              <w:left w:val="nil"/>
              <w:right w:val="nil"/>
            </w:tcBorders>
          </w:tcPr>
          <w:p w14:paraId="3BC620B3" w14:textId="77777777" w:rsidR="00752B60" w:rsidRPr="00644FC9" w:rsidRDefault="00752B60" w:rsidP="003419D8">
            <w:pPr>
              <w:widowControl/>
              <w:adjustRightInd w:val="0"/>
              <w:snapToGrid w:val="0"/>
              <w:jc w:val="center"/>
              <w:rPr>
                <w:rFonts w:ascii="Times New Roman" w:eastAsia="標楷體" w:hAnsi="Times New Roman" w:cs="Times New Roman"/>
                <w:i/>
                <w:color w:val="000000" w:themeColor="text1"/>
                <w:szCs w:val="24"/>
              </w:rPr>
            </w:pPr>
          </w:p>
        </w:tc>
        <w:tc>
          <w:tcPr>
            <w:tcW w:w="1030" w:type="dxa"/>
            <w:tcBorders>
              <w:top w:val="single" w:sz="4" w:space="0" w:color="auto"/>
              <w:left w:val="nil"/>
              <w:bottom w:val="single" w:sz="4" w:space="0" w:color="auto"/>
              <w:right w:val="nil"/>
            </w:tcBorders>
            <w:shd w:val="clear" w:color="auto" w:fill="auto"/>
            <w:noWrap/>
            <w:vAlign w:val="center"/>
          </w:tcPr>
          <w:p w14:paraId="3AE1392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標楷體" w:hAnsi="Times New Roman" w:cs="Times New Roman"/>
                <w:i/>
                <w:color w:val="000000" w:themeColor="text1"/>
                <w:szCs w:val="24"/>
              </w:rPr>
              <w:t>BHAR</w:t>
            </w:r>
            <w:r w:rsidRPr="00644FC9">
              <w:rPr>
                <w:rFonts w:ascii="Times New Roman" w:eastAsia="新細明體" w:hAnsi="Times New Roman" w:cs="Times New Roman"/>
                <w:i/>
                <w:color w:val="000000" w:themeColor="text1"/>
                <w:szCs w:val="24"/>
              </w:rPr>
              <w:t>5</w:t>
            </w:r>
          </w:p>
        </w:tc>
        <w:tc>
          <w:tcPr>
            <w:tcW w:w="1030" w:type="dxa"/>
            <w:tcBorders>
              <w:top w:val="single" w:sz="4" w:space="0" w:color="auto"/>
              <w:left w:val="nil"/>
              <w:bottom w:val="single" w:sz="4" w:space="0" w:color="auto"/>
              <w:right w:val="nil"/>
            </w:tcBorders>
            <w:shd w:val="clear" w:color="auto" w:fill="auto"/>
            <w:noWrap/>
            <w:vAlign w:val="center"/>
          </w:tcPr>
          <w:p w14:paraId="6D5AB45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BHAR21</w:t>
            </w:r>
          </w:p>
        </w:tc>
        <w:tc>
          <w:tcPr>
            <w:tcW w:w="1036" w:type="dxa"/>
            <w:tcBorders>
              <w:top w:val="single" w:sz="4" w:space="0" w:color="auto"/>
              <w:left w:val="nil"/>
              <w:bottom w:val="single" w:sz="4" w:space="0" w:color="auto"/>
              <w:right w:val="nil"/>
            </w:tcBorders>
            <w:shd w:val="clear" w:color="auto" w:fill="auto"/>
            <w:noWrap/>
            <w:vAlign w:val="center"/>
          </w:tcPr>
          <w:p w14:paraId="4BC503EF"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BHARQ</w:t>
            </w:r>
          </w:p>
        </w:tc>
        <w:tc>
          <w:tcPr>
            <w:tcW w:w="76" w:type="dxa"/>
            <w:tcBorders>
              <w:left w:val="nil"/>
              <w:right w:val="nil"/>
            </w:tcBorders>
          </w:tcPr>
          <w:p w14:paraId="6034C6C2" w14:textId="77777777" w:rsidR="00752B60" w:rsidRPr="00644FC9" w:rsidRDefault="00752B60" w:rsidP="003419D8">
            <w:pPr>
              <w:widowControl/>
              <w:adjustRightInd w:val="0"/>
              <w:snapToGrid w:val="0"/>
              <w:jc w:val="center"/>
              <w:rPr>
                <w:rFonts w:ascii="Times New Roman" w:eastAsia="標楷體" w:hAnsi="Times New Roman" w:cs="Times New Roman"/>
                <w:i/>
                <w:color w:val="000000" w:themeColor="text1"/>
                <w:szCs w:val="24"/>
              </w:rPr>
            </w:pPr>
          </w:p>
        </w:tc>
        <w:tc>
          <w:tcPr>
            <w:tcW w:w="1111" w:type="dxa"/>
            <w:tcBorders>
              <w:top w:val="single" w:sz="4" w:space="0" w:color="auto"/>
              <w:left w:val="nil"/>
              <w:bottom w:val="single" w:sz="4" w:space="0" w:color="auto"/>
              <w:right w:val="nil"/>
            </w:tcBorders>
            <w:vAlign w:val="center"/>
          </w:tcPr>
          <w:p w14:paraId="63B9DFA2"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標楷體" w:hAnsi="Times New Roman" w:cs="Times New Roman"/>
                <w:i/>
                <w:color w:val="000000" w:themeColor="text1"/>
                <w:szCs w:val="24"/>
              </w:rPr>
              <w:t>BHAR</w:t>
            </w:r>
            <w:r w:rsidRPr="00644FC9">
              <w:rPr>
                <w:rFonts w:ascii="Times New Roman" w:eastAsia="新細明體" w:hAnsi="Times New Roman" w:cs="Times New Roman"/>
                <w:i/>
                <w:color w:val="000000" w:themeColor="text1"/>
                <w:szCs w:val="24"/>
              </w:rPr>
              <w:t>5</w:t>
            </w:r>
          </w:p>
        </w:tc>
        <w:tc>
          <w:tcPr>
            <w:tcW w:w="1111" w:type="dxa"/>
            <w:tcBorders>
              <w:top w:val="single" w:sz="4" w:space="0" w:color="auto"/>
              <w:left w:val="nil"/>
              <w:bottom w:val="single" w:sz="4" w:space="0" w:color="auto"/>
              <w:right w:val="nil"/>
            </w:tcBorders>
            <w:vAlign w:val="center"/>
          </w:tcPr>
          <w:p w14:paraId="6CC53DE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BHAR21</w:t>
            </w:r>
          </w:p>
        </w:tc>
        <w:tc>
          <w:tcPr>
            <w:tcW w:w="1111" w:type="dxa"/>
            <w:tcBorders>
              <w:top w:val="single" w:sz="4" w:space="0" w:color="auto"/>
              <w:left w:val="nil"/>
              <w:bottom w:val="single" w:sz="4" w:space="0" w:color="auto"/>
              <w:right w:val="nil"/>
            </w:tcBorders>
            <w:vAlign w:val="center"/>
          </w:tcPr>
          <w:p w14:paraId="65E521B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BHARQ</w:t>
            </w:r>
          </w:p>
        </w:tc>
        <w:tc>
          <w:tcPr>
            <w:tcW w:w="76" w:type="dxa"/>
            <w:tcBorders>
              <w:top w:val="single" w:sz="4" w:space="0" w:color="auto"/>
              <w:left w:val="nil"/>
              <w:right w:val="nil"/>
            </w:tcBorders>
          </w:tcPr>
          <w:p w14:paraId="224B0595" w14:textId="77777777" w:rsidR="00752B60" w:rsidRPr="00644FC9" w:rsidRDefault="00752B60" w:rsidP="003419D8">
            <w:pPr>
              <w:widowControl/>
              <w:adjustRightInd w:val="0"/>
              <w:snapToGrid w:val="0"/>
              <w:jc w:val="center"/>
              <w:rPr>
                <w:rFonts w:ascii="Times New Roman" w:eastAsia="標楷體" w:hAnsi="Times New Roman" w:cs="Times New Roman"/>
                <w:i/>
                <w:color w:val="000000" w:themeColor="text1"/>
                <w:szCs w:val="24"/>
              </w:rPr>
            </w:pPr>
          </w:p>
        </w:tc>
        <w:tc>
          <w:tcPr>
            <w:tcW w:w="1111" w:type="dxa"/>
            <w:tcBorders>
              <w:top w:val="single" w:sz="4" w:space="0" w:color="auto"/>
              <w:left w:val="nil"/>
              <w:bottom w:val="single" w:sz="4" w:space="0" w:color="auto"/>
              <w:right w:val="nil"/>
            </w:tcBorders>
            <w:vAlign w:val="center"/>
          </w:tcPr>
          <w:p w14:paraId="3321DD07"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標楷體" w:hAnsi="Times New Roman" w:cs="Times New Roman"/>
                <w:i/>
                <w:color w:val="000000" w:themeColor="text1"/>
                <w:szCs w:val="24"/>
              </w:rPr>
              <w:t>BHAR</w:t>
            </w:r>
            <w:r w:rsidRPr="00644FC9">
              <w:rPr>
                <w:rFonts w:ascii="Times New Roman" w:eastAsia="新細明體" w:hAnsi="Times New Roman" w:cs="Times New Roman"/>
                <w:i/>
                <w:color w:val="000000" w:themeColor="text1"/>
                <w:szCs w:val="24"/>
              </w:rPr>
              <w:t>5</w:t>
            </w:r>
          </w:p>
        </w:tc>
        <w:tc>
          <w:tcPr>
            <w:tcW w:w="1111" w:type="dxa"/>
            <w:tcBorders>
              <w:top w:val="single" w:sz="4" w:space="0" w:color="auto"/>
              <w:left w:val="nil"/>
              <w:bottom w:val="single" w:sz="4" w:space="0" w:color="auto"/>
              <w:right w:val="nil"/>
            </w:tcBorders>
            <w:vAlign w:val="center"/>
          </w:tcPr>
          <w:p w14:paraId="35291C5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BHAR21</w:t>
            </w:r>
          </w:p>
        </w:tc>
        <w:tc>
          <w:tcPr>
            <w:tcW w:w="1111" w:type="dxa"/>
            <w:tcBorders>
              <w:top w:val="single" w:sz="4" w:space="0" w:color="auto"/>
              <w:left w:val="nil"/>
              <w:bottom w:val="single" w:sz="4" w:space="0" w:color="auto"/>
              <w:right w:val="nil"/>
            </w:tcBorders>
            <w:vAlign w:val="center"/>
          </w:tcPr>
          <w:p w14:paraId="05317520"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i/>
                <w:color w:val="000000" w:themeColor="text1"/>
                <w:kern w:val="0"/>
                <w:szCs w:val="24"/>
              </w:rPr>
              <w:t>BHARQ</w:t>
            </w:r>
          </w:p>
        </w:tc>
      </w:tr>
      <w:tr w:rsidR="00CB42CC" w:rsidRPr="00644FC9" w14:paraId="30A5EB5B" w14:textId="77777777" w:rsidTr="003419D8">
        <w:trPr>
          <w:trHeight w:hRule="exact" w:val="284"/>
        </w:trPr>
        <w:tc>
          <w:tcPr>
            <w:tcW w:w="914" w:type="dxa"/>
            <w:tcBorders>
              <w:top w:val="nil"/>
              <w:left w:val="nil"/>
              <w:bottom w:val="single" w:sz="4" w:space="0" w:color="auto"/>
              <w:right w:val="nil"/>
            </w:tcBorders>
            <w:shd w:val="clear" w:color="auto" w:fill="auto"/>
            <w:noWrap/>
            <w:vAlign w:val="center"/>
            <w:hideMark/>
          </w:tcPr>
          <w:p w14:paraId="6D0E2502" w14:textId="77777777" w:rsidR="00752B60" w:rsidRPr="00644FC9" w:rsidRDefault="00752B60" w:rsidP="003419D8">
            <w:pPr>
              <w:widowControl/>
              <w:adjustRightInd w:val="0"/>
              <w:snapToGrid w:val="0"/>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Variable</w:t>
            </w:r>
          </w:p>
        </w:tc>
        <w:tc>
          <w:tcPr>
            <w:tcW w:w="1030" w:type="dxa"/>
            <w:tcBorders>
              <w:top w:val="single" w:sz="4" w:space="0" w:color="auto"/>
              <w:left w:val="nil"/>
              <w:bottom w:val="single" w:sz="4" w:space="0" w:color="auto"/>
              <w:right w:val="nil"/>
            </w:tcBorders>
            <w:noWrap/>
            <w:vAlign w:val="center"/>
            <w:hideMark/>
          </w:tcPr>
          <w:p w14:paraId="52AEBBFB"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Model1</w:t>
            </w:r>
          </w:p>
        </w:tc>
        <w:tc>
          <w:tcPr>
            <w:tcW w:w="1030" w:type="dxa"/>
            <w:tcBorders>
              <w:top w:val="single" w:sz="4" w:space="0" w:color="auto"/>
              <w:left w:val="nil"/>
              <w:bottom w:val="single" w:sz="4" w:space="0" w:color="auto"/>
              <w:right w:val="nil"/>
            </w:tcBorders>
            <w:noWrap/>
            <w:vAlign w:val="center"/>
            <w:hideMark/>
          </w:tcPr>
          <w:p w14:paraId="146E689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Model2</w:t>
            </w:r>
          </w:p>
        </w:tc>
        <w:tc>
          <w:tcPr>
            <w:tcW w:w="1030" w:type="dxa"/>
            <w:tcBorders>
              <w:top w:val="single" w:sz="4" w:space="0" w:color="auto"/>
              <w:left w:val="nil"/>
              <w:bottom w:val="single" w:sz="4" w:space="0" w:color="auto"/>
              <w:right w:val="nil"/>
            </w:tcBorders>
            <w:noWrap/>
            <w:vAlign w:val="center"/>
            <w:hideMark/>
          </w:tcPr>
          <w:p w14:paraId="6AAE817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Model3</w:t>
            </w:r>
          </w:p>
        </w:tc>
        <w:tc>
          <w:tcPr>
            <w:tcW w:w="76" w:type="dxa"/>
            <w:tcBorders>
              <w:top w:val="nil"/>
              <w:left w:val="nil"/>
              <w:bottom w:val="single" w:sz="4" w:space="0" w:color="auto"/>
              <w:right w:val="nil"/>
            </w:tcBorders>
          </w:tcPr>
          <w:p w14:paraId="43A925DE"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single" w:sz="4" w:space="0" w:color="auto"/>
              <w:left w:val="nil"/>
              <w:bottom w:val="single" w:sz="4" w:space="0" w:color="auto"/>
              <w:right w:val="nil"/>
            </w:tcBorders>
            <w:noWrap/>
            <w:vAlign w:val="center"/>
            <w:hideMark/>
          </w:tcPr>
          <w:p w14:paraId="4B1E909C"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Model4</w:t>
            </w:r>
          </w:p>
        </w:tc>
        <w:tc>
          <w:tcPr>
            <w:tcW w:w="1030" w:type="dxa"/>
            <w:tcBorders>
              <w:top w:val="single" w:sz="4" w:space="0" w:color="auto"/>
              <w:left w:val="nil"/>
              <w:bottom w:val="single" w:sz="4" w:space="0" w:color="auto"/>
              <w:right w:val="nil"/>
            </w:tcBorders>
            <w:noWrap/>
            <w:vAlign w:val="center"/>
            <w:hideMark/>
          </w:tcPr>
          <w:p w14:paraId="6E9E9E2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Model5</w:t>
            </w:r>
          </w:p>
        </w:tc>
        <w:tc>
          <w:tcPr>
            <w:tcW w:w="1036" w:type="dxa"/>
            <w:tcBorders>
              <w:top w:val="single" w:sz="4" w:space="0" w:color="auto"/>
              <w:left w:val="nil"/>
              <w:bottom w:val="single" w:sz="4" w:space="0" w:color="auto"/>
              <w:right w:val="nil"/>
            </w:tcBorders>
            <w:noWrap/>
            <w:vAlign w:val="center"/>
            <w:hideMark/>
          </w:tcPr>
          <w:p w14:paraId="5625B361"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Model6</w:t>
            </w:r>
          </w:p>
        </w:tc>
        <w:tc>
          <w:tcPr>
            <w:tcW w:w="76" w:type="dxa"/>
            <w:tcBorders>
              <w:top w:val="nil"/>
              <w:left w:val="nil"/>
              <w:bottom w:val="single" w:sz="4" w:space="0" w:color="auto"/>
              <w:right w:val="nil"/>
            </w:tcBorders>
          </w:tcPr>
          <w:p w14:paraId="7F5F641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single" w:sz="4" w:space="0" w:color="auto"/>
              <w:left w:val="nil"/>
              <w:bottom w:val="single" w:sz="4" w:space="0" w:color="auto"/>
              <w:right w:val="nil"/>
            </w:tcBorders>
            <w:vAlign w:val="center"/>
          </w:tcPr>
          <w:p w14:paraId="098F5D4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Model7</w:t>
            </w:r>
          </w:p>
        </w:tc>
        <w:tc>
          <w:tcPr>
            <w:tcW w:w="1111" w:type="dxa"/>
            <w:tcBorders>
              <w:top w:val="single" w:sz="4" w:space="0" w:color="auto"/>
              <w:left w:val="nil"/>
              <w:bottom w:val="single" w:sz="4" w:space="0" w:color="auto"/>
              <w:right w:val="nil"/>
            </w:tcBorders>
            <w:vAlign w:val="center"/>
          </w:tcPr>
          <w:p w14:paraId="5BFA837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Model8</w:t>
            </w:r>
          </w:p>
        </w:tc>
        <w:tc>
          <w:tcPr>
            <w:tcW w:w="1111" w:type="dxa"/>
            <w:tcBorders>
              <w:top w:val="single" w:sz="4" w:space="0" w:color="auto"/>
              <w:left w:val="nil"/>
              <w:bottom w:val="single" w:sz="4" w:space="0" w:color="auto"/>
              <w:right w:val="nil"/>
            </w:tcBorders>
            <w:vAlign w:val="center"/>
          </w:tcPr>
          <w:p w14:paraId="34929D8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Model9</w:t>
            </w:r>
          </w:p>
        </w:tc>
        <w:tc>
          <w:tcPr>
            <w:tcW w:w="76" w:type="dxa"/>
            <w:tcBorders>
              <w:top w:val="nil"/>
              <w:left w:val="nil"/>
              <w:bottom w:val="single" w:sz="4" w:space="0" w:color="auto"/>
              <w:right w:val="nil"/>
            </w:tcBorders>
          </w:tcPr>
          <w:p w14:paraId="77B17B4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single" w:sz="4" w:space="0" w:color="auto"/>
              <w:left w:val="nil"/>
              <w:bottom w:val="single" w:sz="4" w:space="0" w:color="auto"/>
              <w:right w:val="nil"/>
            </w:tcBorders>
            <w:vAlign w:val="center"/>
          </w:tcPr>
          <w:p w14:paraId="6ED39168"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Model10</w:t>
            </w:r>
          </w:p>
        </w:tc>
        <w:tc>
          <w:tcPr>
            <w:tcW w:w="1111" w:type="dxa"/>
            <w:tcBorders>
              <w:top w:val="single" w:sz="4" w:space="0" w:color="auto"/>
              <w:left w:val="nil"/>
              <w:bottom w:val="single" w:sz="4" w:space="0" w:color="auto"/>
              <w:right w:val="nil"/>
            </w:tcBorders>
            <w:vAlign w:val="center"/>
          </w:tcPr>
          <w:p w14:paraId="457E469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Model11</w:t>
            </w:r>
          </w:p>
        </w:tc>
        <w:tc>
          <w:tcPr>
            <w:tcW w:w="1111" w:type="dxa"/>
            <w:tcBorders>
              <w:top w:val="single" w:sz="4" w:space="0" w:color="auto"/>
              <w:left w:val="nil"/>
              <w:bottom w:val="single" w:sz="4" w:space="0" w:color="auto"/>
              <w:right w:val="nil"/>
            </w:tcBorders>
            <w:vAlign w:val="center"/>
          </w:tcPr>
          <w:p w14:paraId="18668917"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Model12</w:t>
            </w:r>
          </w:p>
        </w:tc>
      </w:tr>
      <w:tr w:rsidR="00CB42CC" w:rsidRPr="00644FC9" w14:paraId="6317F3D5" w14:textId="77777777" w:rsidTr="003419D8">
        <w:trPr>
          <w:trHeight w:hRule="exact" w:val="284"/>
        </w:trPr>
        <w:tc>
          <w:tcPr>
            <w:tcW w:w="914" w:type="dxa"/>
            <w:tcBorders>
              <w:top w:val="single" w:sz="4" w:space="0" w:color="auto"/>
              <w:left w:val="nil"/>
              <w:bottom w:val="nil"/>
              <w:right w:val="nil"/>
            </w:tcBorders>
            <w:shd w:val="clear" w:color="auto" w:fill="auto"/>
            <w:noWrap/>
            <w:vAlign w:val="center"/>
            <w:hideMark/>
          </w:tcPr>
          <w:p w14:paraId="6842DE25" w14:textId="77777777" w:rsidR="00752B60" w:rsidRPr="00644FC9" w:rsidRDefault="00752B60" w:rsidP="003419D8">
            <w:pPr>
              <w:widowControl/>
              <w:adjustRightInd w:val="0"/>
              <w:snapToGrid w:val="0"/>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Con.</w:t>
            </w:r>
          </w:p>
        </w:tc>
        <w:tc>
          <w:tcPr>
            <w:tcW w:w="1030" w:type="dxa"/>
            <w:tcBorders>
              <w:top w:val="nil"/>
              <w:left w:val="nil"/>
              <w:bottom w:val="nil"/>
              <w:right w:val="nil"/>
            </w:tcBorders>
            <w:shd w:val="clear" w:color="auto" w:fill="auto"/>
            <w:noWrap/>
            <w:vAlign w:val="center"/>
            <w:hideMark/>
          </w:tcPr>
          <w:p w14:paraId="68511458" w14:textId="77777777" w:rsidR="00752B60" w:rsidRPr="00644FC9" w:rsidRDefault="00752B60" w:rsidP="003419D8">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1030" w:type="dxa"/>
            <w:tcBorders>
              <w:top w:val="nil"/>
              <w:left w:val="nil"/>
              <w:bottom w:val="nil"/>
              <w:right w:val="nil"/>
            </w:tcBorders>
            <w:shd w:val="clear" w:color="auto" w:fill="auto"/>
            <w:noWrap/>
            <w:vAlign w:val="center"/>
            <w:hideMark/>
          </w:tcPr>
          <w:p w14:paraId="09866B2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-0.026</w:t>
            </w:r>
          </w:p>
        </w:tc>
        <w:tc>
          <w:tcPr>
            <w:tcW w:w="1030" w:type="dxa"/>
            <w:tcBorders>
              <w:top w:val="nil"/>
              <w:left w:val="nil"/>
              <w:bottom w:val="nil"/>
              <w:right w:val="nil"/>
            </w:tcBorders>
            <w:shd w:val="clear" w:color="auto" w:fill="auto"/>
            <w:noWrap/>
            <w:vAlign w:val="center"/>
            <w:hideMark/>
          </w:tcPr>
          <w:p w14:paraId="04CA9D2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-0.053</w:t>
            </w:r>
          </w:p>
        </w:tc>
        <w:tc>
          <w:tcPr>
            <w:tcW w:w="76" w:type="dxa"/>
            <w:tcBorders>
              <w:top w:val="single" w:sz="4" w:space="0" w:color="auto"/>
              <w:left w:val="nil"/>
              <w:bottom w:val="nil"/>
              <w:right w:val="nil"/>
            </w:tcBorders>
            <w:shd w:val="clear" w:color="auto" w:fill="auto"/>
          </w:tcPr>
          <w:p w14:paraId="6BFC9C8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550E4820" w14:textId="77777777" w:rsidR="00752B60" w:rsidRPr="00644FC9" w:rsidRDefault="00752B60" w:rsidP="003419D8">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p>
        </w:tc>
        <w:tc>
          <w:tcPr>
            <w:tcW w:w="1030" w:type="dxa"/>
            <w:tcBorders>
              <w:top w:val="nil"/>
              <w:left w:val="nil"/>
              <w:bottom w:val="nil"/>
              <w:right w:val="nil"/>
            </w:tcBorders>
            <w:shd w:val="clear" w:color="auto" w:fill="auto"/>
            <w:noWrap/>
            <w:vAlign w:val="center"/>
            <w:hideMark/>
          </w:tcPr>
          <w:p w14:paraId="1FF1E65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-0.027</w:t>
            </w:r>
          </w:p>
        </w:tc>
        <w:tc>
          <w:tcPr>
            <w:tcW w:w="1036" w:type="dxa"/>
            <w:tcBorders>
              <w:top w:val="nil"/>
              <w:left w:val="nil"/>
              <w:bottom w:val="nil"/>
              <w:right w:val="nil"/>
            </w:tcBorders>
            <w:shd w:val="clear" w:color="auto" w:fill="auto"/>
            <w:noWrap/>
            <w:vAlign w:val="center"/>
            <w:hideMark/>
          </w:tcPr>
          <w:p w14:paraId="1E1E74F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-0.054</w:t>
            </w:r>
          </w:p>
        </w:tc>
        <w:tc>
          <w:tcPr>
            <w:tcW w:w="76" w:type="dxa"/>
            <w:tcBorders>
              <w:top w:val="single" w:sz="4" w:space="0" w:color="auto"/>
              <w:left w:val="nil"/>
              <w:bottom w:val="nil"/>
              <w:right w:val="nil"/>
            </w:tcBorders>
            <w:shd w:val="clear" w:color="auto" w:fill="auto"/>
          </w:tcPr>
          <w:p w14:paraId="117A0E0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12783A3F" w14:textId="77777777" w:rsidR="00752B60" w:rsidRPr="00644FC9" w:rsidRDefault="00752B60" w:rsidP="003419D8">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-0.025</w:t>
            </w:r>
          </w:p>
        </w:tc>
        <w:tc>
          <w:tcPr>
            <w:tcW w:w="1111" w:type="dxa"/>
            <w:tcBorders>
              <w:top w:val="nil"/>
              <w:left w:val="nil"/>
              <w:bottom w:val="nil"/>
              <w:right w:val="nil"/>
            </w:tcBorders>
            <w:shd w:val="clear" w:color="auto" w:fill="auto"/>
            <w:vAlign w:val="center"/>
          </w:tcPr>
          <w:p w14:paraId="295F3C5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-0.039</w:t>
            </w:r>
          </w:p>
        </w:tc>
        <w:tc>
          <w:tcPr>
            <w:tcW w:w="1111" w:type="dxa"/>
            <w:tcBorders>
              <w:top w:val="nil"/>
              <w:left w:val="nil"/>
              <w:bottom w:val="nil"/>
              <w:right w:val="nil"/>
            </w:tcBorders>
            <w:shd w:val="clear" w:color="auto" w:fill="auto"/>
            <w:vAlign w:val="center"/>
          </w:tcPr>
          <w:p w14:paraId="459B551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-0.059</w:t>
            </w:r>
          </w:p>
        </w:tc>
        <w:tc>
          <w:tcPr>
            <w:tcW w:w="76" w:type="dxa"/>
            <w:tcBorders>
              <w:top w:val="single" w:sz="4" w:space="0" w:color="auto"/>
              <w:left w:val="nil"/>
              <w:bottom w:val="nil"/>
              <w:right w:val="nil"/>
            </w:tcBorders>
            <w:shd w:val="clear" w:color="auto" w:fill="auto"/>
          </w:tcPr>
          <w:p w14:paraId="731CFC2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3A0203A3" w14:textId="77777777" w:rsidR="00752B60" w:rsidRPr="00644FC9" w:rsidRDefault="00752B60" w:rsidP="003419D8">
            <w:pPr>
              <w:widowControl/>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-0.037</w:t>
            </w:r>
          </w:p>
        </w:tc>
        <w:tc>
          <w:tcPr>
            <w:tcW w:w="1111" w:type="dxa"/>
            <w:tcBorders>
              <w:top w:val="nil"/>
              <w:left w:val="nil"/>
              <w:bottom w:val="nil"/>
              <w:right w:val="nil"/>
            </w:tcBorders>
            <w:shd w:val="clear" w:color="auto" w:fill="auto"/>
            <w:vAlign w:val="center"/>
          </w:tcPr>
          <w:p w14:paraId="7A52692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-0.056</w:t>
            </w:r>
          </w:p>
        </w:tc>
        <w:tc>
          <w:tcPr>
            <w:tcW w:w="1111" w:type="dxa"/>
            <w:tcBorders>
              <w:top w:val="nil"/>
              <w:left w:val="nil"/>
              <w:bottom w:val="nil"/>
              <w:right w:val="nil"/>
            </w:tcBorders>
            <w:shd w:val="clear" w:color="auto" w:fill="auto"/>
            <w:vAlign w:val="center"/>
          </w:tcPr>
          <w:p w14:paraId="46987D9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-0.078</w:t>
            </w:r>
          </w:p>
        </w:tc>
      </w:tr>
      <w:tr w:rsidR="00CB42CC" w:rsidRPr="00644FC9" w14:paraId="7D1A6306" w14:textId="77777777" w:rsidTr="003419D8">
        <w:trPr>
          <w:trHeight w:hRule="exact" w:val="284"/>
        </w:trPr>
        <w:tc>
          <w:tcPr>
            <w:tcW w:w="914" w:type="dxa"/>
            <w:tcBorders>
              <w:top w:val="nil"/>
              <w:left w:val="nil"/>
              <w:bottom w:val="nil"/>
              <w:right w:val="nil"/>
            </w:tcBorders>
            <w:shd w:val="clear" w:color="auto" w:fill="auto"/>
            <w:noWrap/>
            <w:vAlign w:val="center"/>
            <w:hideMark/>
          </w:tcPr>
          <w:p w14:paraId="28F21FA0" w14:textId="77777777" w:rsidR="00752B60" w:rsidRPr="00644FC9" w:rsidRDefault="00752B60" w:rsidP="003419D8">
            <w:pPr>
              <w:widowControl/>
              <w:adjustRightInd w:val="0"/>
              <w:snapToGrid w:val="0"/>
              <w:jc w:val="right"/>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6BB4108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(-2.93)</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75EA9E8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(-3.65)</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44D05D3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(-4.42)</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0894B511"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4BF2F57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(-3.04)</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42C08B9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(-3.74)</w:t>
            </w:r>
            <w:r w:rsidRPr="00644FC9">
              <w:rPr>
                <w:rFonts w:ascii="Times New Roman" w:hAnsi="Times New Roman" w:cs="Times New Roman"/>
                <w:color w:val="000000" w:themeColor="text1"/>
                <w:vertAlign w:val="superscript"/>
              </w:rPr>
              <w:t>***</w:t>
            </w:r>
          </w:p>
        </w:tc>
        <w:tc>
          <w:tcPr>
            <w:tcW w:w="1036" w:type="dxa"/>
            <w:tcBorders>
              <w:top w:val="nil"/>
              <w:left w:val="nil"/>
              <w:bottom w:val="nil"/>
              <w:right w:val="nil"/>
            </w:tcBorders>
            <w:shd w:val="clear" w:color="auto" w:fill="auto"/>
            <w:noWrap/>
            <w:vAlign w:val="center"/>
            <w:hideMark/>
          </w:tcPr>
          <w:p w14:paraId="6FB8B94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(-4.49)</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1CA908A7"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1BBDAE2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(-14.84)</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56CE226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(-12.35)</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3D0B5B6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(-10.50)</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77BF6EC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06092CF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(-18.67)</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290E0E5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(-15.28)</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1B49E67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(-12.19)</w:t>
            </w:r>
            <w:r w:rsidRPr="00644FC9">
              <w:rPr>
                <w:rFonts w:ascii="Times New Roman" w:hAnsi="Times New Roman" w:cs="Times New Roman"/>
                <w:color w:val="000000" w:themeColor="text1"/>
                <w:vertAlign w:val="superscript"/>
              </w:rPr>
              <w:t>***</w:t>
            </w:r>
          </w:p>
        </w:tc>
      </w:tr>
      <w:tr w:rsidR="00CB42CC" w:rsidRPr="00644FC9" w14:paraId="269BECBF" w14:textId="77777777" w:rsidTr="003419D8">
        <w:trPr>
          <w:trHeight w:hRule="exact" w:val="284"/>
        </w:trPr>
        <w:tc>
          <w:tcPr>
            <w:tcW w:w="914" w:type="dxa"/>
            <w:tcBorders>
              <w:top w:val="nil"/>
              <w:left w:val="nil"/>
              <w:bottom w:val="nil"/>
              <w:right w:val="nil"/>
            </w:tcBorders>
            <w:shd w:val="clear" w:color="auto" w:fill="auto"/>
            <w:noWrap/>
            <w:vAlign w:val="center"/>
            <w:hideMark/>
          </w:tcPr>
          <w:p w14:paraId="7855E58C"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UE</w:t>
            </w:r>
          </w:p>
        </w:tc>
        <w:tc>
          <w:tcPr>
            <w:tcW w:w="1030" w:type="dxa"/>
            <w:tcBorders>
              <w:top w:val="nil"/>
              <w:left w:val="nil"/>
              <w:bottom w:val="nil"/>
              <w:right w:val="nil"/>
            </w:tcBorders>
            <w:shd w:val="clear" w:color="auto" w:fill="auto"/>
            <w:noWrap/>
            <w:vAlign w:val="center"/>
            <w:hideMark/>
          </w:tcPr>
          <w:p w14:paraId="12541C2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0.219</w:t>
            </w:r>
          </w:p>
        </w:tc>
        <w:tc>
          <w:tcPr>
            <w:tcW w:w="1030" w:type="dxa"/>
            <w:tcBorders>
              <w:top w:val="nil"/>
              <w:left w:val="nil"/>
              <w:bottom w:val="nil"/>
              <w:right w:val="nil"/>
            </w:tcBorders>
            <w:shd w:val="clear" w:color="auto" w:fill="auto"/>
            <w:noWrap/>
            <w:vAlign w:val="center"/>
            <w:hideMark/>
          </w:tcPr>
          <w:p w14:paraId="3FC9CEF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0.313</w:t>
            </w:r>
          </w:p>
        </w:tc>
        <w:tc>
          <w:tcPr>
            <w:tcW w:w="1030" w:type="dxa"/>
            <w:tcBorders>
              <w:top w:val="nil"/>
              <w:left w:val="nil"/>
              <w:bottom w:val="nil"/>
              <w:right w:val="nil"/>
            </w:tcBorders>
            <w:shd w:val="clear" w:color="auto" w:fill="auto"/>
            <w:noWrap/>
            <w:vAlign w:val="center"/>
            <w:hideMark/>
          </w:tcPr>
          <w:p w14:paraId="3C16247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0.472</w:t>
            </w:r>
          </w:p>
        </w:tc>
        <w:tc>
          <w:tcPr>
            <w:tcW w:w="76" w:type="dxa"/>
            <w:tcBorders>
              <w:top w:val="nil"/>
              <w:left w:val="nil"/>
              <w:bottom w:val="nil"/>
              <w:right w:val="nil"/>
            </w:tcBorders>
            <w:shd w:val="clear" w:color="auto" w:fill="auto"/>
          </w:tcPr>
          <w:p w14:paraId="388296D1"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04E0ADBD"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3A75EF05"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6" w:type="dxa"/>
            <w:tcBorders>
              <w:top w:val="nil"/>
              <w:left w:val="nil"/>
              <w:bottom w:val="nil"/>
              <w:right w:val="nil"/>
            </w:tcBorders>
            <w:shd w:val="clear" w:color="auto" w:fill="auto"/>
            <w:noWrap/>
            <w:vAlign w:val="center"/>
            <w:hideMark/>
          </w:tcPr>
          <w:p w14:paraId="595F77F8"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3E8A472D"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59D95A4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0.039</w:t>
            </w:r>
          </w:p>
        </w:tc>
        <w:tc>
          <w:tcPr>
            <w:tcW w:w="1111" w:type="dxa"/>
            <w:tcBorders>
              <w:top w:val="nil"/>
              <w:left w:val="nil"/>
              <w:bottom w:val="nil"/>
              <w:right w:val="nil"/>
            </w:tcBorders>
            <w:shd w:val="clear" w:color="auto" w:fill="auto"/>
            <w:vAlign w:val="center"/>
          </w:tcPr>
          <w:p w14:paraId="0268E98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0.059</w:t>
            </w:r>
          </w:p>
        </w:tc>
        <w:tc>
          <w:tcPr>
            <w:tcW w:w="1111" w:type="dxa"/>
            <w:tcBorders>
              <w:top w:val="nil"/>
              <w:left w:val="nil"/>
              <w:bottom w:val="nil"/>
              <w:right w:val="nil"/>
            </w:tcBorders>
            <w:shd w:val="clear" w:color="auto" w:fill="auto"/>
            <w:vAlign w:val="center"/>
          </w:tcPr>
          <w:p w14:paraId="0DD2A49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0.088</w:t>
            </w:r>
          </w:p>
        </w:tc>
        <w:tc>
          <w:tcPr>
            <w:tcW w:w="76" w:type="dxa"/>
            <w:tcBorders>
              <w:top w:val="nil"/>
              <w:left w:val="nil"/>
              <w:bottom w:val="nil"/>
              <w:right w:val="nil"/>
            </w:tcBorders>
            <w:shd w:val="clear" w:color="auto" w:fill="auto"/>
          </w:tcPr>
          <w:p w14:paraId="6500636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5AF292FA"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26FD66E0"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626061FC" w14:textId="77777777" w:rsidR="00752B60" w:rsidRPr="00644FC9" w:rsidRDefault="00752B60" w:rsidP="003419D8">
            <w:pPr>
              <w:adjustRightInd w:val="0"/>
              <w:snapToGrid w:val="0"/>
              <w:jc w:val="center"/>
              <w:rPr>
                <w:rFonts w:ascii="Times New Roman" w:hAnsi="Times New Roman" w:cs="Times New Roman"/>
                <w:color w:val="000000" w:themeColor="text1"/>
              </w:rPr>
            </w:pPr>
          </w:p>
        </w:tc>
      </w:tr>
      <w:tr w:rsidR="00CB42CC" w:rsidRPr="00644FC9" w14:paraId="4A406620" w14:textId="77777777" w:rsidTr="003419D8">
        <w:trPr>
          <w:trHeight w:hRule="exact" w:val="284"/>
        </w:trPr>
        <w:tc>
          <w:tcPr>
            <w:tcW w:w="914" w:type="dxa"/>
            <w:tcBorders>
              <w:top w:val="nil"/>
              <w:left w:val="nil"/>
              <w:bottom w:val="nil"/>
              <w:right w:val="nil"/>
            </w:tcBorders>
            <w:shd w:val="clear" w:color="auto" w:fill="auto"/>
            <w:noWrap/>
            <w:vAlign w:val="center"/>
            <w:hideMark/>
          </w:tcPr>
          <w:p w14:paraId="46D619F4" w14:textId="77777777" w:rsidR="00752B60" w:rsidRPr="00644FC9" w:rsidRDefault="00752B60" w:rsidP="003419D8">
            <w:pPr>
              <w:widowControl/>
              <w:adjustRightInd w:val="0"/>
              <w:snapToGrid w:val="0"/>
              <w:rPr>
                <w:rFonts w:ascii="Times New Roman" w:eastAsia="Times New Roman" w:hAnsi="Times New Roman" w:cs="Times New Roman"/>
                <w:i/>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1EAE72D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(25.05)</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25779937"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(19.70)</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783D8BE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(17.67)</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6C2DDEBC"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36C6B1D5"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7FA102A1"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6" w:type="dxa"/>
            <w:tcBorders>
              <w:top w:val="nil"/>
              <w:left w:val="nil"/>
              <w:bottom w:val="nil"/>
              <w:right w:val="nil"/>
            </w:tcBorders>
            <w:shd w:val="clear" w:color="auto" w:fill="auto"/>
            <w:noWrap/>
            <w:vAlign w:val="center"/>
            <w:hideMark/>
          </w:tcPr>
          <w:p w14:paraId="5EEEDAEA"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0C5129BD"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0BAEC4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(29.35)</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3E068D7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(24.06)</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1C6D36B7"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(20.45)</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24D8DE5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ED5F9CF"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61DD4400"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0086B0FC" w14:textId="77777777" w:rsidR="00752B60" w:rsidRPr="00644FC9" w:rsidRDefault="00752B60" w:rsidP="003419D8">
            <w:pPr>
              <w:adjustRightInd w:val="0"/>
              <w:snapToGrid w:val="0"/>
              <w:jc w:val="center"/>
              <w:rPr>
                <w:rFonts w:ascii="Times New Roman" w:hAnsi="Times New Roman" w:cs="Times New Roman"/>
                <w:color w:val="000000" w:themeColor="text1"/>
              </w:rPr>
            </w:pPr>
          </w:p>
        </w:tc>
      </w:tr>
      <w:tr w:rsidR="00CB42CC" w:rsidRPr="00644FC9" w14:paraId="56DC4A8A" w14:textId="77777777" w:rsidTr="003419D8">
        <w:trPr>
          <w:trHeight w:hRule="exact" w:val="284"/>
        </w:trPr>
        <w:tc>
          <w:tcPr>
            <w:tcW w:w="914" w:type="dxa"/>
            <w:tcBorders>
              <w:top w:val="nil"/>
              <w:left w:val="nil"/>
              <w:bottom w:val="nil"/>
              <w:right w:val="nil"/>
            </w:tcBorders>
            <w:shd w:val="clear" w:color="auto" w:fill="auto"/>
            <w:noWrap/>
            <w:vAlign w:val="center"/>
            <w:hideMark/>
          </w:tcPr>
          <w:p w14:paraId="239AA468"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UOI</w:t>
            </w:r>
          </w:p>
        </w:tc>
        <w:tc>
          <w:tcPr>
            <w:tcW w:w="1030" w:type="dxa"/>
            <w:tcBorders>
              <w:top w:val="nil"/>
              <w:left w:val="nil"/>
              <w:bottom w:val="nil"/>
              <w:right w:val="nil"/>
            </w:tcBorders>
            <w:shd w:val="clear" w:color="auto" w:fill="auto"/>
            <w:noWrap/>
            <w:vAlign w:val="center"/>
            <w:hideMark/>
          </w:tcPr>
          <w:p w14:paraId="7EA1F35B"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2601F880"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34A7058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068B699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2D5E175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0.257</w:t>
            </w:r>
          </w:p>
        </w:tc>
        <w:tc>
          <w:tcPr>
            <w:tcW w:w="1030" w:type="dxa"/>
            <w:tcBorders>
              <w:top w:val="nil"/>
              <w:left w:val="nil"/>
              <w:bottom w:val="nil"/>
              <w:right w:val="nil"/>
            </w:tcBorders>
            <w:shd w:val="clear" w:color="auto" w:fill="auto"/>
            <w:noWrap/>
            <w:vAlign w:val="center"/>
            <w:hideMark/>
          </w:tcPr>
          <w:p w14:paraId="0DB1ACB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0.386</w:t>
            </w:r>
          </w:p>
        </w:tc>
        <w:tc>
          <w:tcPr>
            <w:tcW w:w="1036" w:type="dxa"/>
            <w:tcBorders>
              <w:top w:val="nil"/>
              <w:left w:val="nil"/>
              <w:bottom w:val="nil"/>
              <w:right w:val="nil"/>
            </w:tcBorders>
            <w:shd w:val="clear" w:color="auto" w:fill="auto"/>
            <w:noWrap/>
            <w:vAlign w:val="center"/>
            <w:hideMark/>
          </w:tcPr>
          <w:p w14:paraId="743B889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0.593</w:t>
            </w:r>
          </w:p>
        </w:tc>
        <w:tc>
          <w:tcPr>
            <w:tcW w:w="76" w:type="dxa"/>
            <w:tcBorders>
              <w:top w:val="nil"/>
              <w:left w:val="nil"/>
              <w:bottom w:val="nil"/>
              <w:right w:val="nil"/>
            </w:tcBorders>
            <w:shd w:val="clear" w:color="auto" w:fill="auto"/>
          </w:tcPr>
          <w:p w14:paraId="2AF5390B"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1C9A2973"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6134DB12"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43C5278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7D89D4F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BBBAB5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0.035</w:t>
            </w:r>
          </w:p>
        </w:tc>
        <w:tc>
          <w:tcPr>
            <w:tcW w:w="1111" w:type="dxa"/>
            <w:tcBorders>
              <w:top w:val="nil"/>
              <w:left w:val="nil"/>
              <w:bottom w:val="nil"/>
              <w:right w:val="nil"/>
            </w:tcBorders>
            <w:shd w:val="clear" w:color="auto" w:fill="auto"/>
            <w:vAlign w:val="center"/>
          </w:tcPr>
          <w:p w14:paraId="59A84D6B"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0.056</w:t>
            </w:r>
          </w:p>
        </w:tc>
        <w:tc>
          <w:tcPr>
            <w:tcW w:w="1111" w:type="dxa"/>
            <w:tcBorders>
              <w:top w:val="nil"/>
              <w:left w:val="nil"/>
              <w:bottom w:val="nil"/>
              <w:right w:val="nil"/>
            </w:tcBorders>
            <w:shd w:val="clear" w:color="auto" w:fill="auto"/>
            <w:vAlign w:val="center"/>
          </w:tcPr>
          <w:p w14:paraId="28AED98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0.085</w:t>
            </w:r>
          </w:p>
        </w:tc>
      </w:tr>
      <w:tr w:rsidR="00CB42CC" w:rsidRPr="00644FC9" w14:paraId="70EACC2A" w14:textId="77777777" w:rsidTr="003419D8">
        <w:trPr>
          <w:trHeight w:hRule="exact" w:val="284"/>
        </w:trPr>
        <w:tc>
          <w:tcPr>
            <w:tcW w:w="914" w:type="dxa"/>
            <w:tcBorders>
              <w:top w:val="nil"/>
              <w:left w:val="nil"/>
              <w:bottom w:val="nil"/>
              <w:right w:val="nil"/>
            </w:tcBorders>
            <w:shd w:val="clear" w:color="auto" w:fill="auto"/>
            <w:noWrap/>
            <w:vAlign w:val="center"/>
            <w:hideMark/>
          </w:tcPr>
          <w:p w14:paraId="5C246DF1" w14:textId="77777777" w:rsidR="00752B60" w:rsidRPr="00644FC9" w:rsidRDefault="00752B60" w:rsidP="003419D8">
            <w:pPr>
              <w:widowControl/>
              <w:adjustRightInd w:val="0"/>
              <w:snapToGrid w:val="0"/>
              <w:jc w:val="right"/>
              <w:rPr>
                <w:rFonts w:ascii="Times New Roman" w:eastAsia="新細明體" w:hAnsi="Times New Roman" w:cs="Times New Roman"/>
                <w:i/>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7C9AA045"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53038295"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48B5705C"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73A45847"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02DB9A5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(23.12)</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3DBD1A3B"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(19.14)</w:t>
            </w:r>
            <w:r w:rsidRPr="00644FC9">
              <w:rPr>
                <w:rFonts w:ascii="Times New Roman" w:hAnsi="Times New Roman" w:cs="Times New Roman"/>
                <w:color w:val="000000" w:themeColor="text1"/>
                <w:vertAlign w:val="superscript"/>
              </w:rPr>
              <w:t>***</w:t>
            </w:r>
          </w:p>
        </w:tc>
        <w:tc>
          <w:tcPr>
            <w:tcW w:w="1036" w:type="dxa"/>
            <w:tcBorders>
              <w:top w:val="nil"/>
              <w:left w:val="nil"/>
              <w:bottom w:val="nil"/>
              <w:right w:val="nil"/>
            </w:tcBorders>
            <w:shd w:val="clear" w:color="auto" w:fill="auto"/>
            <w:noWrap/>
            <w:vAlign w:val="center"/>
            <w:hideMark/>
          </w:tcPr>
          <w:p w14:paraId="1AA4115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(17.49)</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233B1C04" w14:textId="77777777" w:rsidR="00752B60" w:rsidRPr="00644FC9" w:rsidRDefault="00752B60" w:rsidP="003419D8">
            <w:pPr>
              <w:widowControl/>
              <w:adjustRightInd w:val="0"/>
              <w:snapToGrid w:val="0"/>
              <w:jc w:val="center"/>
              <w:rPr>
                <w:rFonts w:ascii="Times New Roman" w:eastAsia="Times New Roman"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DAE894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1BD4B7F1"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4AA161E8"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2C35D47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824317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(24.65)</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0F89AAF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(21.37)</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2F6FD92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(18.49)</w:t>
            </w:r>
            <w:r w:rsidRPr="00644FC9">
              <w:rPr>
                <w:rFonts w:ascii="Times New Roman" w:hAnsi="Times New Roman" w:cs="Times New Roman"/>
                <w:color w:val="000000" w:themeColor="text1"/>
                <w:vertAlign w:val="superscript"/>
              </w:rPr>
              <w:t>***</w:t>
            </w:r>
          </w:p>
        </w:tc>
      </w:tr>
      <w:tr w:rsidR="00CB42CC" w:rsidRPr="00644FC9" w14:paraId="2FFCAED9" w14:textId="77777777" w:rsidTr="003419D8">
        <w:trPr>
          <w:trHeight w:hRule="exact" w:val="284"/>
        </w:trPr>
        <w:tc>
          <w:tcPr>
            <w:tcW w:w="914" w:type="dxa"/>
            <w:tcBorders>
              <w:top w:val="nil"/>
              <w:left w:val="nil"/>
              <w:bottom w:val="nil"/>
              <w:right w:val="nil"/>
            </w:tcBorders>
            <w:shd w:val="clear" w:color="auto" w:fill="auto"/>
            <w:noWrap/>
            <w:vAlign w:val="center"/>
            <w:hideMark/>
          </w:tcPr>
          <w:p w14:paraId="7AA75207"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UNOI</w:t>
            </w:r>
          </w:p>
        </w:tc>
        <w:tc>
          <w:tcPr>
            <w:tcW w:w="1030" w:type="dxa"/>
            <w:tcBorders>
              <w:top w:val="nil"/>
              <w:left w:val="nil"/>
              <w:bottom w:val="nil"/>
              <w:right w:val="nil"/>
            </w:tcBorders>
            <w:shd w:val="clear" w:color="auto" w:fill="auto"/>
            <w:noWrap/>
            <w:vAlign w:val="center"/>
            <w:hideMark/>
          </w:tcPr>
          <w:p w14:paraId="0002D09B"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070979BE"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119020AE"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61426C6D"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4C4681B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0.214</w:t>
            </w:r>
          </w:p>
        </w:tc>
        <w:tc>
          <w:tcPr>
            <w:tcW w:w="1030" w:type="dxa"/>
            <w:tcBorders>
              <w:top w:val="nil"/>
              <w:left w:val="nil"/>
              <w:bottom w:val="nil"/>
              <w:right w:val="nil"/>
            </w:tcBorders>
            <w:shd w:val="clear" w:color="auto" w:fill="auto"/>
            <w:noWrap/>
            <w:vAlign w:val="center"/>
            <w:hideMark/>
          </w:tcPr>
          <w:p w14:paraId="47EA32F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0.291</w:t>
            </w:r>
          </w:p>
        </w:tc>
        <w:tc>
          <w:tcPr>
            <w:tcW w:w="1036" w:type="dxa"/>
            <w:tcBorders>
              <w:top w:val="nil"/>
              <w:left w:val="nil"/>
              <w:bottom w:val="nil"/>
              <w:right w:val="nil"/>
            </w:tcBorders>
            <w:shd w:val="clear" w:color="auto" w:fill="auto"/>
            <w:noWrap/>
            <w:vAlign w:val="center"/>
            <w:hideMark/>
          </w:tcPr>
          <w:p w14:paraId="7EB1715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0.396</w:t>
            </w:r>
          </w:p>
        </w:tc>
        <w:tc>
          <w:tcPr>
            <w:tcW w:w="76" w:type="dxa"/>
            <w:tcBorders>
              <w:top w:val="nil"/>
              <w:left w:val="nil"/>
              <w:bottom w:val="nil"/>
              <w:right w:val="nil"/>
            </w:tcBorders>
            <w:shd w:val="clear" w:color="auto" w:fill="auto"/>
          </w:tcPr>
          <w:p w14:paraId="7855E102"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11A5F1CE"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263A2ADA"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208ABDD2"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05A0E5D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089E976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0.023</w:t>
            </w:r>
          </w:p>
        </w:tc>
        <w:tc>
          <w:tcPr>
            <w:tcW w:w="1111" w:type="dxa"/>
            <w:tcBorders>
              <w:top w:val="nil"/>
              <w:left w:val="nil"/>
              <w:bottom w:val="nil"/>
              <w:right w:val="nil"/>
            </w:tcBorders>
            <w:shd w:val="clear" w:color="auto" w:fill="auto"/>
            <w:vAlign w:val="center"/>
          </w:tcPr>
          <w:p w14:paraId="47229DD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0.032</w:t>
            </w:r>
          </w:p>
        </w:tc>
        <w:tc>
          <w:tcPr>
            <w:tcW w:w="1111" w:type="dxa"/>
            <w:tcBorders>
              <w:top w:val="nil"/>
              <w:left w:val="nil"/>
              <w:bottom w:val="nil"/>
              <w:right w:val="nil"/>
            </w:tcBorders>
            <w:shd w:val="clear" w:color="auto" w:fill="auto"/>
            <w:vAlign w:val="center"/>
          </w:tcPr>
          <w:p w14:paraId="160DF1A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0.037</w:t>
            </w:r>
          </w:p>
        </w:tc>
      </w:tr>
      <w:tr w:rsidR="00CB42CC" w:rsidRPr="00644FC9" w14:paraId="48885D21" w14:textId="77777777" w:rsidTr="003419D8">
        <w:trPr>
          <w:trHeight w:hRule="exact" w:val="284"/>
        </w:trPr>
        <w:tc>
          <w:tcPr>
            <w:tcW w:w="914" w:type="dxa"/>
            <w:tcBorders>
              <w:top w:val="nil"/>
              <w:left w:val="nil"/>
              <w:bottom w:val="nil"/>
              <w:right w:val="nil"/>
            </w:tcBorders>
            <w:shd w:val="clear" w:color="auto" w:fill="auto"/>
            <w:noWrap/>
            <w:vAlign w:val="center"/>
            <w:hideMark/>
          </w:tcPr>
          <w:p w14:paraId="0BCC7521" w14:textId="77777777" w:rsidR="00752B60" w:rsidRPr="00644FC9" w:rsidRDefault="00752B60" w:rsidP="003419D8">
            <w:pPr>
              <w:widowControl/>
              <w:adjustRightInd w:val="0"/>
              <w:snapToGrid w:val="0"/>
              <w:jc w:val="right"/>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3DB6329A"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11C01FF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tcBorders>
              <w:top w:val="nil"/>
              <w:left w:val="nil"/>
              <w:bottom w:val="nil"/>
              <w:right w:val="nil"/>
            </w:tcBorders>
            <w:shd w:val="clear" w:color="auto" w:fill="auto"/>
            <w:noWrap/>
            <w:vAlign w:val="center"/>
            <w:hideMark/>
          </w:tcPr>
          <w:p w14:paraId="12969D99"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3728B4C6"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2FABE0A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(15.93)</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6FD54C0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(11.95)</w:t>
            </w:r>
            <w:r w:rsidRPr="00644FC9">
              <w:rPr>
                <w:rFonts w:ascii="Times New Roman" w:hAnsi="Times New Roman" w:cs="Times New Roman"/>
                <w:color w:val="000000" w:themeColor="text1"/>
                <w:vertAlign w:val="superscript"/>
              </w:rPr>
              <w:t>***</w:t>
            </w:r>
          </w:p>
        </w:tc>
        <w:tc>
          <w:tcPr>
            <w:tcW w:w="1036" w:type="dxa"/>
            <w:tcBorders>
              <w:top w:val="nil"/>
              <w:left w:val="nil"/>
              <w:bottom w:val="nil"/>
              <w:right w:val="nil"/>
            </w:tcBorders>
            <w:shd w:val="clear" w:color="auto" w:fill="auto"/>
            <w:noWrap/>
            <w:vAlign w:val="center"/>
            <w:hideMark/>
          </w:tcPr>
          <w:p w14:paraId="64D212E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(9.67)</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6A2B7BC8" w14:textId="77777777" w:rsidR="00752B60" w:rsidRPr="00644FC9" w:rsidRDefault="00752B60" w:rsidP="003419D8">
            <w:pPr>
              <w:widowControl/>
              <w:adjustRightInd w:val="0"/>
              <w:snapToGrid w:val="0"/>
              <w:jc w:val="center"/>
              <w:rPr>
                <w:rFonts w:ascii="Times New Roman" w:eastAsia="Times New Roman"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138A863"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15A093B1"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nil"/>
              <w:right w:val="nil"/>
            </w:tcBorders>
            <w:shd w:val="clear" w:color="auto" w:fill="auto"/>
            <w:vAlign w:val="center"/>
          </w:tcPr>
          <w:p w14:paraId="4C4EA9D8"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nil"/>
              <w:right w:val="nil"/>
            </w:tcBorders>
            <w:shd w:val="clear" w:color="auto" w:fill="auto"/>
          </w:tcPr>
          <w:p w14:paraId="00D69452"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4304C0E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(16.77)</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2868C00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(12.52)</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559B794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(8.48)</w:t>
            </w:r>
            <w:r w:rsidRPr="00644FC9">
              <w:rPr>
                <w:rFonts w:ascii="Times New Roman" w:hAnsi="Times New Roman" w:cs="Times New Roman"/>
                <w:color w:val="000000" w:themeColor="text1"/>
                <w:vertAlign w:val="superscript"/>
              </w:rPr>
              <w:t>***</w:t>
            </w:r>
          </w:p>
        </w:tc>
      </w:tr>
      <w:tr w:rsidR="00CB42CC" w:rsidRPr="00644FC9" w14:paraId="23EBC90C" w14:textId="77777777" w:rsidTr="003419D8">
        <w:trPr>
          <w:trHeight w:hRule="exact" w:val="284"/>
        </w:trPr>
        <w:tc>
          <w:tcPr>
            <w:tcW w:w="914" w:type="dxa"/>
            <w:tcBorders>
              <w:top w:val="nil"/>
              <w:left w:val="nil"/>
              <w:bottom w:val="nil"/>
              <w:right w:val="nil"/>
            </w:tcBorders>
            <w:shd w:val="clear" w:color="auto" w:fill="auto"/>
            <w:noWrap/>
            <w:vAlign w:val="center"/>
            <w:hideMark/>
          </w:tcPr>
          <w:p w14:paraId="326987A4"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SIZE</w:t>
            </w:r>
          </w:p>
        </w:tc>
        <w:tc>
          <w:tcPr>
            <w:tcW w:w="1030" w:type="dxa"/>
            <w:tcBorders>
              <w:top w:val="nil"/>
              <w:left w:val="nil"/>
              <w:bottom w:val="nil"/>
              <w:right w:val="nil"/>
            </w:tcBorders>
            <w:shd w:val="clear" w:color="auto" w:fill="auto"/>
            <w:noWrap/>
            <w:vAlign w:val="center"/>
            <w:hideMark/>
          </w:tcPr>
          <w:p w14:paraId="1585717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1030" w:type="dxa"/>
            <w:tcBorders>
              <w:top w:val="nil"/>
              <w:left w:val="nil"/>
              <w:bottom w:val="nil"/>
              <w:right w:val="nil"/>
            </w:tcBorders>
            <w:shd w:val="clear" w:color="auto" w:fill="auto"/>
            <w:noWrap/>
            <w:vAlign w:val="center"/>
            <w:hideMark/>
          </w:tcPr>
          <w:p w14:paraId="3B5E1E9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030" w:type="dxa"/>
            <w:tcBorders>
              <w:top w:val="nil"/>
              <w:left w:val="nil"/>
              <w:bottom w:val="nil"/>
              <w:right w:val="nil"/>
            </w:tcBorders>
            <w:shd w:val="clear" w:color="auto" w:fill="auto"/>
            <w:noWrap/>
            <w:vAlign w:val="center"/>
            <w:hideMark/>
          </w:tcPr>
          <w:p w14:paraId="24C7A00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76" w:type="dxa"/>
            <w:tcBorders>
              <w:top w:val="nil"/>
              <w:left w:val="nil"/>
              <w:bottom w:val="nil"/>
              <w:right w:val="nil"/>
            </w:tcBorders>
            <w:shd w:val="clear" w:color="auto" w:fill="auto"/>
          </w:tcPr>
          <w:p w14:paraId="19540AD6"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48306DB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1030" w:type="dxa"/>
            <w:tcBorders>
              <w:top w:val="nil"/>
              <w:left w:val="nil"/>
              <w:bottom w:val="nil"/>
              <w:right w:val="nil"/>
            </w:tcBorders>
            <w:shd w:val="clear" w:color="auto" w:fill="auto"/>
            <w:noWrap/>
            <w:vAlign w:val="center"/>
            <w:hideMark/>
          </w:tcPr>
          <w:p w14:paraId="04EEB5C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036" w:type="dxa"/>
            <w:tcBorders>
              <w:top w:val="nil"/>
              <w:left w:val="nil"/>
              <w:bottom w:val="nil"/>
              <w:right w:val="nil"/>
            </w:tcBorders>
            <w:shd w:val="clear" w:color="auto" w:fill="auto"/>
            <w:noWrap/>
            <w:vAlign w:val="center"/>
            <w:hideMark/>
          </w:tcPr>
          <w:p w14:paraId="54BFEC5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76" w:type="dxa"/>
            <w:tcBorders>
              <w:top w:val="nil"/>
              <w:left w:val="nil"/>
              <w:bottom w:val="nil"/>
              <w:right w:val="nil"/>
            </w:tcBorders>
            <w:shd w:val="clear" w:color="auto" w:fill="auto"/>
          </w:tcPr>
          <w:p w14:paraId="61DA415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0D094C8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1111" w:type="dxa"/>
            <w:tcBorders>
              <w:top w:val="nil"/>
              <w:left w:val="nil"/>
              <w:bottom w:val="nil"/>
              <w:right w:val="nil"/>
            </w:tcBorders>
            <w:shd w:val="clear" w:color="auto" w:fill="auto"/>
            <w:vAlign w:val="center"/>
          </w:tcPr>
          <w:p w14:paraId="38C960B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1111" w:type="dxa"/>
            <w:tcBorders>
              <w:top w:val="nil"/>
              <w:left w:val="nil"/>
              <w:bottom w:val="nil"/>
              <w:right w:val="nil"/>
            </w:tcBorders>
            <w:shd w:val="clear" w:color="auto" w:fill="auto"/>
            <w:vAlign w:val="center"/>
          </w:tcPr>
          <w:p w14:paraId="208FEA2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76" w:type="dxa"/>
            <w:tcBorders>
              <w:top w:val="nil"/>
              <w:left w:val="nil"/>
              <w:bottom w:val="nil"/>
              <w:right w:val="nil"/>
            </w:tcBorders>
            <w:shd w:val="clear" w:color="auto" w:fill="auto"/>
          </w:tcPr>
          <w:p w14:paraId="4C16B14F"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1D9D070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1111" w:type="dxa"/>
            <w:tcBorders>
              <w:top w:val="nil"/>
              <w:left w:val="nil"/>
              <w:bottom w:val="nil"/>
              <w:right w:val="nil"/>
            </w:tcBorders>
            <w:shd w:val="clear" w:color="auto" w:fill="auto"/>
            <w:vAlign w:val="center"/>
          </w:tcPr>
          <w:p w14:paraId="2C24786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1111" w:type="dxa"/>
            <w:tcBorders>
              <w:top w:val="nil"/>
              <w:left w:val="nil"/>
              <w:bottom w:val="nil"/>
              <w:right w:val="nil"/>
            </w:tcBorders>
            <w:shd w:val="clear" w:color="auto" w:fill="auto"/>
            <w:vAlign w:val="center"/>
          </w:tcPr>
          <w:p w14:paraId="0E2B085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r>
      <w:tr w:rsidR="00CB42CC" w:rsidRPr="00644FC9" w14:paraId="04709346" w14:textId="77777777" w:rsidTr="003419D8">
        <w:trPr>
          <w:trHeight w:hRule="exact" w:val="284"/>
        </w:trPr>
        <w:tc>
          <w:tcPr>
            <w:tcW w:w="914" w:type="dxa"/>
            <w:tcBorders>
              <w:top w:val="nil"/>
              <w:left w:val="nil"/>
              <w:bottom w:val="nil"/>
              <w:right w:val="nil"/>
            </w:tcBorders>
            <w:shd w:val="clear" w:color="auto" w:fill="auto"/>
            <w:noWrap/>
            <w:vAlign w:val="center"/>
            <w:hideMark/>
          </w:tcPr>
          <w:p w14:paraId="278CAA3A" w14:textId="77777777" w:rsidR="00752B60" w:rsidRPr="00644FC9" w:rsidRDefault="00752B60" w:rsidP="003419D8">
            <w:pPr>
              <w:widowControl/>
              <w:adjustRightInd w:val="0"/>
              <w:snapToGrid w:val="0"/>
              <w:jc w:val="right"/>
              <w:rPr>
                <w:rFonts w:ascii="Times New Roman" w:eastAsia="新細明體" w:hAnsi="Times New Roman" w:cs="Times New Roman"/>
                <w:i/>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5A6B36E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(1.96)</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5E253E5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(2.12)</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55D558F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(2.87)</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74C2A88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6AC8816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(2.05)</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291A6E4B"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(2.19)</w:t>
            </w:r>
            <w:r w:rsidRPr="00644FC9">
              <w:rPr>
                <w:rFonts w:ascii="Times New Roman" w:hAnsi="Times New Roman" w:cs="Times New Roman"/>
                <w:color w:val="000000" w:themeColor="text1"/>
                <w:vertAlign w:val="superscript"/>
              </w:rPr>
              <w:t>**</w:t>
            </w:r>
          </w:p>
        </w:tc>
        <w:tc>
          <w:tcPr>
            <w:tcW w:w="1036" w:type="dxa"/>
            <w:tcBorders>
              <w:top w:val="nil"/>
              <w:left w:val="nil"/>
              <w:bottom w:val="nil"/>
              <w:right w:val="nil"/>
            </w:tcBorders>
            <w:shd w:val="clear" w:color="auto" w:fill="auto"/>
            <w:noWrap/>
            <w:vAlign w:val="center"/>
            <w:hideMark/>
          </w:tcPr>
          <w:p w14:paraId="76060D8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(2.93)</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614215E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3F4E8C7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(0.90)</w:t>
            </w:r>
          </w:p>
        </w:tc>
        <w:tc>
          <w:tcPr>
            <w:tcW w:w="1111" w:type="dxa"/>
            <w:tcBorders>
              <w:top w:val="nil"/>
              <w:left w:val="nil"/>
              <w:bottom w:val="nil"/>
              <w:right w:val="nil"/>
            </w:tcBorders>
            <w:shd w:val="clear" w:color="auto" w:fill="auto"/>
            <w:vAlign w:val="center"/>
          </w:tcPr>
          <w:p w14:paraId="43708E3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(1.13)</w:t>
            </w:r>
          </w:p>
        </w:tc>
        <w:tc>
          <w:tcPr>
            <w:tcW w:w="1111" w:type="dxa"/>
            <w:tcBorders>
              <w:top w:val="nil"/>
              <w:left w:val="nil"/>
              <w:bottom w:val="nil"/>
              <w:right w:val="nil"/>
            </w:tcBorders>
            <w:shd w:val="clear" w:color="auto" w:fill="auto"/>
            <w:vAlign w:val="center"/>
          </w:tcPr>
          <w:p w14:paraId="500DE3D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(0.14)</w:t>
            </w:r>
          </w:p>
        </w:tc>
        <w:tc>
          <w:tcPr>
            <w:tcW w:w="76" w:type="dxa"/>
            <w:tcBorders>
              <w:top w:val="nil"/>
              <w:left w:val="nil"/>
              <w:bottom w:val="nil"/>
              <w:right w:val="nil"/>
            </w:tcBorders>
            <w:shd w:val="clear" w:color="auto" w:fill="auto"/>
          </w:tcPr>
          <w:p w14:paraId="3FEBCBD0"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53F6B05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(0.95)</w:t>
            </w:r>
          </w:p>
        </w:tc>
        <w:tc>
          <w:tcPr>
            <w:tcW w:w="1111" w:type="dxa"/>
            <w:tcBorders>
              <w:top w:val="nil"/>
              <w:left w:val="nil"/>
              <w:bottom w:val="nil"/>
              <w:right w:val="nil"/>
            </w:tcBorders>
            <w:shd w:val="clear" w:color="auto" w:fill="auto"/>
            <w:vAlign w:val="center"/>
          </w:tcPr>
          <w:p w14:paraId="39D717C0"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(1.20)</w:t>
            </w:r>
          </w:p>
        </w:tc>
        <w:tc>
          <w:tcPr>
            <w:tcW w:w="1111" w:type="dxa"/>
            <w:tcBorders>
              <w:top w:val="nil"/>
              <w:left w:val="nil"/>
              <w:bottom w:val="nil"/>
              <w:right w:val="nil"/>
            </w:tcBorders>
            <w:shd w:val="clear" w:color="auto" w:fill="auto"/>
            <w:vAlign w:val="center"/>
          </w:tcPr>
          <w:p w14:paraId="0BB6F20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(0.20)</w:t>
            </w:r>
          </w:p>
        </w:tc>
      </w:tr>
      <w:tr w:rsidR="00CB42CC" w:rsidRPr="00644FC9" w14:paraId="2257256C" w14:textId="77777777" w:rsidTr="003419D8">
        <w:trPr>
          <w:trHeight w:hRule="exact" w:val="284"/>
        </w:trPr>
        <w:tc>
          <w:tcPr>
            <w:tcW w:w="914" w:type="dxa"/>
            <w:tcBorders>
              <w:top w:val="nil"/>
              <w:left w:val="nil"/>
              <w:bottom w:val="nil"/>
              <w:right w:val="nil"/>
            </w:tcBorders>
            <w:shd w:val="clear" w:color="auto" w:fill="auto"/>
            <w:noWrap/>
            <w:vAlign w:val="center"/>
            <w:hideMark/>
          </w:tcPr>
          <w:p w14:paraId="6DCEA0E5"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BETA</w:t>
            </w:r>
          </w:p>
        </w:tc>
        <w:tc>
          <w:tcPr>
            <w:tcW w:w="1030" w:type="dxa"/>
            <w:tcBorders>
              <w:top w:val="nil"/>
              <w:left w:val="nil"/>
              <w:bottom w:val="nil"/>
              <w:right w:val="nil"/>
            </w:tcBorders>
            <w:shd w:val="clear" w:color="auto" w:fill="auto"/>
            <w:noWrap/>
            <w:vAlign w:val="center"/>
            <w:hideMark/>
          </w:tcPr>
          <w:p w14:paraId="2AFF6170"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030" w:type="dxa"/>
            <w:tcBorders>
              <w:top w:val="nil"/>
              <w:left w:val="nil"/>
              <w:bottom w:val="nil"/>
              <w:right w:val="nil"/>
            </w:tcBorders>
            <w:shd w:val="clear" w:color="auto" w:fill="auto"/>
            <w:noWrap/>
            <w:vAlign w:val="center"/>
            <w:hideMark/>
          </w:tcPr>
          <w:p w14:paraId="2249BD10"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1030" w:type="dxa"/>
            <w:tcBorders>
              <w:top w:val="nil"/>
              <w:left w:val="nil"/>
              <w:bottom w:val="nil"/>
              <w:right w:val="nil"/>
            </w:tcBorders>
            <w:shd w:val="clear" w:color="auto" w:fill="auto"/>
            <w:noWrap/>
            <w:vAlign w:val="center"/>
            <w:hideMark/>
          </w:tcPr>
          <w:p w14:paraId="01E6CB3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76" w:type="dxa"/>
            <w:tcBorders>
              <w:top w:val="nil"/>
              <w:left w:val="nil"/>
              <w:bottom w:val="nil"/>
              <w:right w:val="nil"/>
            </w:tcBorders>
            <w:shd w:val="clear" w:color="auto" w:fill="auto"/>
          </w:tcPr>
          <w:p w14:paraId="0E0E732B"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5B64F3F7"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030" w:type="dxa"/>
            <w:tcBorders>
              <w:top w:val="nil"/>
              <w:left w:val="nil"/>
              <w:bottom w:val="nil"/>
              <w:right w:val="nil"/>
            </w:tcBorders>
            <w:shd w:val="clear" w:color="auto" w:fill="auto"/>
            <w:noWrap/>
            <w:vAlign w:val="center"/>
            <w:hideMark/>
          </w:tcPr>
          <w:p w14:paraId="4AF0362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1036" w:type="dxa"/>
            <w:tcBorders>
              <w:top w:val="nil"/>
              <w:left w:val="nil"/>
              <w:bottom w:val="nil"/>
              <w:right w:val="nil"/>
            </w:tcBorders>
            <w:shd w:val="clear" w:color="auto" w:fill="auto"/>
            <w:noWrap/>
            <w:vAlign w:val="center"/>
            <w:hideMark/>
          </w:tcPr>
          <w:p w14:paraId="7C5B485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76" w:type="dxa"/>
            <w:tcBorders>
              <w:top w:val="nil"/>
              <w:left w:val="nil"/>
              <w:bottom w:val="nil"/>
              <w:right w:val="nil"/>
            </w:tcBorders>
            <w:shd w:val="clear" w:color="auto" w:fill="auto"/>
          </w:tcPr>
          <w:p w14:paraId="54F241D0"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6CD3A21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111" w:type="dxa"/>
            <w:tcBorders>
              <w:top w:val="nil"/>
              <w:left w:val="nil"/>
              <w:bottom w:val="nil"/>
              <w:right w:val="nil"/>
            </w:tcBorders>
            <w:shd w:val="clear" w:color="auto" w:fill="auto"/>
            <w:vAlign w:val="center"/>
          </w:tcPr>
          <w:p w14:paraId="0DFE9B9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1111" w:type="dxa"/>
            <w:tcBorders>
              <w:top w:val="nil"/>
              <w:left w:val="nil"/>
              <w:bottom w:val="nil"/>
              <w:right w:val="nil"/>
            </w:tcBorders>
            <w:shd w:val="clear" w:color="auto" w:fill="auto"/>
            <w:vAlign w:val="center"/>
          </w:tcPr>
          <w:p w14:paraId="7BA4735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76" w:type="dxa"/>
            <w:tcBorders>
              <w:top w:val="nil"/>
              <w:left w:val="nil"/>
              <w:bottom w:val="nil"/>
              <w:right w:val="nil"/>
            </w:tcBorders>
            <w:shd w:val="clear" w:color="auto" w:fill="auto"/>
          </w:tcPr>
          <w:p w14:paraId="6EE95E8A"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09DCCC3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111" w:type="dxa"/>
            <w:tcBorders>
              <w:top w:val="nil"/>
              <w:left w:val="nil"/>
              <w:bottom w:val="nil"/>
              <w:right w:val="nil"/>
            </w:tcBorders>
            <w:shd w:val="clear" w:color="auto" w:fill="auto"/>
            <w:vAlign w:val="center"/>
          </w:tcPr>
          <w:p w14:paraId="769446F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1111" w:type="dxa"/>
            <w:tcBorders>
              <w:top w:val="nil"/>
              <w:left w:val="nil"/>
              <w:bottom w:val="nil"/>
              <w:right w:val="nil"/>
            </w:tcBorders>
            <w:shd w:val="clear" w:color="auto" w:fill="auto"/>
            <w:vAlign w:val="center"/>
          </w:tcPr>
          <w:p w14:paraId="3172F61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r>
      <w:tr w:rsidR="00CB42CC" w:rsidRPr="00644FC9" w14:paraId="7184F8CD" w14:textId="77777777" w:rsidTr="003419D8">
        <w:trPr>
          <w:trHeight w:hRule="exact" w:val="284"/>
        </w:trPr>
        <w:tc>
          <w:tcPr>
            <w:tcW w:w="914" w:type="dxa"/>
            <w:tcBorders>
              <w:top w:val="nil"/>
              <w:left w:val="nil"/>
              <w:bottom w:val="nil"/>
              <w:right w:val="nil"/>
            </w:tcBorders>
            <w:shd w:val="clear" w:color="auto" w:fill="auto"/>
            <w:noWrap/>
            <w:vAlign w:val="center"/>
            <w:hideMark/>
          </w:tcPr>
          <w:p w14:paraId="04437701" w14:textId="77777777" w:rsidR="00752B60" w:rsidRPr="00644FC9" w:rsidRDefault="00752B60" w:rsidP="003419D8">
            <w:pPr>
              <w:widowControl/>
              <w:adjustRightInd w:val="0"/>
              <w:snapToGrid w:val="0"/>
              <w:jc w:val="right"/>
              <w:rPr>
                <w:rFonts w:ascii="Times New Roman" w:eastAsia="新細明體" w:hAnsi="Times New Roman" w:cs="Times New Roman"/>
                <w:i/>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2B3921E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(-2.32)</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49D5774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(2.82)</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1D4D9DA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(-0.76)</w:t>
            </w:r>
          </w:p>
        </w:tc>
        <w:tc>
          <w:tcPr>
            <w:tcW w:w="76" w:type="dxa"/>
            <w:tcBorders>
              <w:top w:val="nil"/>
              <w:left w:val="nil"/>
              <w:bottom w:val="nil"/>
              <w:right w:val="nil"/>
            </w:tcBorders>
            <w:shd w:val="clear" w:color="auto" w:fill="auto"/>
          </w:tcPr>
          <w:p w14:paraId="45A61F1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1103356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(-2.18)</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43259DC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(2.96)</w:t>
            </w:r>
            <w:r w:rsidRPr="00644FC9">
              <w:rPr>
                <w:rFonts w:ascii="Times New Roman" w:hAnsi="Times New Roman" w:cs="Times New Roman"/>
                <w:color w:val="000000" w:themeColor="text1"/>
                <w:vertAlign w:val="superscript"/>
              </w:rPr>
              <w:t>***</w:t>
            </w:r>
          </w:p>
        </w:tc>
        <w:tc>
          <w:tcPr>
            <w:tcW w:w="1036" w:type="dxa"/>
            <w:tcBorders>
              <w:top w:val="nil"/>
              <w:left w:val="nil"/>
              <w:bottom w:val="nil"/>
              <w:right w:val="nil"/>
            </w:tcBorders>
            <w:shd w:val="clear" w:color="auto" w:fill="auto"/>
            <w:noWrap/>
            <w:vAlign w:val="center"/>
            <w:hideMark/>
          </w:tcPr>
          <w:p w14:paraId="15225C1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(-0.62)</w:t>
            </w:r>
          </w:p>
        </w:tc>
        <w:tc>
          <w:tcPr>
            <w:tcW w:w="76" w:type="dxa"/>
            <w:tcBorders>
              <w:top w:val="nil"/>
              <w:left w:val="nil"/>
              <w:bottom w:val="nil"/>
              <w:right w:val="nil"/>
            </w:tcBorders>
            <w:shd w:val="clear" w:color="auto" w:fill="auto"/>
          </w:tcPr>
          <w:p w14:paraId="6234C4A9"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1D697877"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(-1.53)</w:t>
            </w:r>
          </w:p>
        </w:tc>
        <w:tc>
          <w:tcPr>
            <w:tcW w:w="1111" w:type="dxa"/>
            <w:tcBorders>
              <w:top w:val="nil"/>
              <w:left w:val="nil"/>
              <w:bottom w:val="nil"/>
              <w:right w:val="nil"/>
            </w:tcBorders>
            <w:shd w:val="clear" w:color="auto" w:fill="auto"/>
            <w:vAlign w:val="center"/>
          </w:tcPr>
          <w:p w14:paraId="723F2460"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(2.43)</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7B636B1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(0.22)</w:t>
            </w:r>
          </w:p>
        </w:tc>
        <w:tc>
          <w:tcPr>
            <w:tcW w:w="76" w:type="dxa"/>
            <w:tcBorders>
              <w:top w:val="nil"/>
              <w:left w:val="nil"/>
              <w:bottom w:val="nil"/>
              <w:right w:val="nil"/>
            </w:tcBorders>
            <w:shd w:val="clear" w:color="auto" w:fill="auto"/>
          </w:tcPr>
          <w:p w14:paraId="301020B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75C3810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(-1.43)</w:t>
            </w:r>
          </w:p>
        </w:tc>
        <w:tc>
          <w:tcPr>
            <w:tcW w:w="1111" w:type="dxa"/>
            <w:tcBorders>
              <w:top w:val="nil"/>
              <w:left w:val="nil"/>
              <w:bottom w:val="nil"/>
              <w:right w:val="nil"/>
            </w:tcBorders>
            <w:shd w:val="clear" w:color="auto" w:fill="auto"/>
            <w:vAlign w:val="center"/>
          </w:tcPr>
          <w:p w14:paraId="6839584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(2.47)</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7AFDB13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(0.24)</w:t>
            </w:r>
          </w:p>
        </w:tc>
      </w:tr>
      <w:tr w:rsidR="00CB42CC" w:rsidRPr="00644FC9" w14:paraId="3B60FD1A" w14:textId="77777777" w:rsidTr="003419D8">
        <w:trPr>
          <w:trHeight w:hRule="exact" w:val="284"/>
        </w:trPr>
        <w:tc>
          <w:tcPr>
            <w:tcW w:w="914" w:type="dxa"/>
            <w:tcBorders>
              <w:top w:val="nil"/>
              <w:left w:val="nil"/>
              <w:bottom w:val="nil"/>
              <w:right w:val="nil"/>
            </w:tcBorders>
            <w:shd w:val="clear" w:color="auto" w:fill="auto"/>
            <w:noWrap/>
            <w:vAlign w:val="center"/>
            <w:hideMark/>
          </w:tcPr>
          <w:p w14:paraId="1549BEB2"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BTM</w:t>
            </w:r>
          </w:p>
        </w:tc>
        <w:tc>
          <w:tcPr>
            <w:tcW w:w="1030" w:type="dxa"/>
            <w:tcBorders>
              <w:top w:val="nil"/>
              <w:left w:val="nil"/>
              <w:bottom w:val="nil"/>
              <w:right w:val="nil"/>
            </w:tcBorders>
            <w:shd w:val="clear" w:color="auto" w:fill="auto"/>
            <w:noWrap/>
            <w:vAlign w:val="center"/>
            <w:hideMark/>
          </w:tcPr>
          <w:p w14:paraId="49256DA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1030" w:type="dxa"/>
            <w:tcBorders>
              <w:top w:val="nil"/>
              <w:left w:val="nil"/>
              <w:bottom w:val="nil"/>
              <w:right w:val="nil"/>
            </w:tcBorders>
            <w:shd w:val="clear" w:color="auto" w:fill="auto"/>
            <w:noWrap/>
            <w:vAlign w:val="center"/>
            <w:hideMark/>
          </w:tcPr>
          <w:p w14:paraId="3BEBB7D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1030" w:type="dxa"/>
            <w:tcBorders>
              <w:top w:val="nil"/>
              <w:left w:val="nil"/>
              <w:bottom w:val="nil"/>
              <w:right w:val="nil"/>
            </w:tcBorders>
            <w:shd w:val="clear" w:color="auto" w:fill="auto"/>
            <w:noWrap/>
            <w:vAlign w:val="center"/>
            <w:hideMark/>
          </w:tcPr>
          <w:p w14:paraId="5CF7B03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c>
          <w:tcPr>
            <w:tcW w:w="76" w:type="dxa"/>
            <w:tcBorders>
              <w:top w:val="nil"/>
              <w:left w:val="nil"/>
              <w:bottom w:val="nil"/>
              <w:right w:val="nil"/>
            </w:tcBorders>
            <w:shd w:val="clear" w:color="auto" w:fill="auto"/>
          </w:tcPr>
          <w:p w14:paraId="252FAE9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31494EF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0.005</w:t>
            </w:r>
          </w:p>
        </w:tc>
        <w:tc>
          <w:tcPr>
            <w:tcW w:w="1030" w:type="dxa"/>
            <w:tcBorders>
              <w:top w:val="nil"/>
              <w:left w:val="nil"/>
              <w:bottom w:val="nil"/>
              <w:right w:val="nil"/>
            </w:tcBorders>
            <w:shd w:val="clear" w:color="auto" w:fill="auto"/>
            <w:noWrap/>
            <w:vAlign w:val="center"/>
            <w:hideMark/>
          </w:tcPr>
          <w:p w14:paraId="646816F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1036" w:type="dxa"/>
            <w:tcBorders>
              <w:top w:val="nil"/>
              <w:left w:val="nil"/>
              <w:bottom w:val="nil"/>
              <w:right w:val="nil"/>
            </w:tcBorders>
            <w:shd w:val="clear" w:color="auto" w:fill="auto"/>
            <w:noWrap/>
            <w:vAlign w:val="center"/>
            <w:hideMark/>
          </w:tcPr>
          <w:p w14:paraId="0846513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c>
          <w:tcPr>
            <w:tcW w:w="76" w:type="dxa"/>
            <w:tcBorders>
              <w:top w:val="nil"/>
              <w:left w:val="nil"/>
              <w:bottom w:val="nil"/>
              <w:right w:val="nil"/>
            </w:tcBorders>
            <w:shd w:val="clear" w:color="auto" w:fill="auto"/>
          </w:tcPr>
          <w:p w14:paraId="0CA636AC"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5F8C24D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1111" w:type="dxa"/>
            <w:tcBorders>
              <w:top w:val="nil"/>
              <w:left w:val="nil"/>
              <w:bottom w:val="nil"/>
              <w:right w:val="nil"/>
            </w:tcBorders>
            <w:shd w:val="clear" w:color="auto" w:fill="auto"/>
            <w:vAlign w:val="center"/>
          </w:tcPr>
          <w:p w14:paraId="1E6E73C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1111" w:type="dxa"/>
            <w:tcBorders>
              <w:top w:val="nil"/>
              <w:left w:val="nil"/>
              <w:bottom w:val="nil"/>
              <w:right w:val="nil"/>
            </w:tcBorders>
            <w:shd w:val="clear" w:color="auto" w:fill="auto"/>
            <w:vAlign w:val="center"/>
          </w:tcPr>
          <w:p w14:paraId="0E5D203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c>
          <w:tcPr>
            <w:tcW w:w="76" w:type="dxa"/>
            <w:tcBorders>
              <w:top w:val="nil"/>
              <w:left w:val="nil"/>
              <w:bottom w:val="nil"/>
              <w:right w:val="nil"/>
            </w:tcBorders>
            <w:shd w:val="clear" w:color="auto" w:fill="auto"/>
          </w:tcPr>
          <w:p w14:paraId="25A9C648"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7D288BF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0.007</w:t>
            </w:r>
          </w:p>
        </w:tc>
        <w:tc>
          <w:tcPr>
            <w:tcW w:w="1111" w:type="dxa"/>
            <w:tcBorders>
              <w:top w:val="nil"/>
              <w:left w:val="nil"/>
              <w:bottom w:val="nil"/>
              <w:right w:val="nil"/>
            </w:tcBorders>
            <w:shd w:val="clear" w:color="auto" w:fill="auto"/>
            <w:vAlign w:val="center"/>
          </w:tcPr>
          <w:p w14:paraId="178FBFA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0.006</w:t>
            </w:r>
          </w:p>
        </w:tc>
        <w:tc>
          <w:tcPr>
            <w:tcW w:w="1111" w:type="dxa"/>
            <w:tcBorders>
              <w:top w:val="nil"/>
              <w:left w:val="nil"/>
              <w:bottom w:val="nil"/>
              <w:right w:val="nil"/>
            </w:tcBorders>
            <w:shd w:val="clear" w:color="auto" w:fill="auto"/>
            <w:vAlign w:val="center"/>
          </w:tcPr>
          <w:p w14:paraId="00B859F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r>
      <w:tr w:rsidR="00CB42CC" w:rsidRPr="00644FC9" w14:paraId="10C45A05" w14:textId="77777777" w:rsidTr="003419D8">
        <w:trPr>
          <w:trHeight w:hRule="exact" w:val="284"/>
        </w:trPr>
        <w:tc>
          <w:tcPr>
            <w:tcW w:w="914" w:type="dxa"/>
            <w:tcBorders>
              <w:top w:val="nil"/>
              <w:left w:val="nil"/>
              <w:bottom w:val="nil"/>
              <w:right w:val="nil"/>
            </w:tcBorders>
            <w:shd w:val="clear" w:color="auto" w:fill="auto"/>
            <w:noWrap/>
            <w:vAlign w:val="center"/>
            <w:hideMark/>
          </w:tcPr>
          <w:p w14:paraId="12DA9F26" w14:textId="77777777" w:rsidR="00752B60" w:rsidRPr="00644FC9" w:rsidRDefault="00752B60" w:rsidP="003419D8">
            <w:pPr>
              <w:widowControl/>
              <w:adjustRightInd w:val="0"/>
              <w:snapToGrid w:val="0"/>
              <w:jc w:val="right"/>
              <w:rPr>
                <w:rFonts w:ascii="Times New Roman" w:eastAsia="新細明體" w:hAnsi="Times New Roman" w:cs="Times New Roman"/>
                <w:i/>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6818256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(6.84)</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0160E8B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(5.47)</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7DCD9D8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(9.10)</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54225D4D"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45623CF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(6.88)</w:t>
            </w:r>
            <w:r w:rsidRPr="00644FC9">
              <w:rPr>
                <w:rFonts w:ascii="Times New Roman" w:hAnsi="Times New Roman" w:cs="Times New Roman"/>
                <w:color w:val="000000" w:themeColor="text1"/>
                <w:vertAlign w:val="superscript"/>
              </w:rPr>
              <w:t>***</w:t>
            </w:r>
          </w:p>
        </w:tc>
        <w:tc>
          <w:tcPr>
            <w:tcW w:w="1030" w:type="dxa"/>
            <w:tcBorders>
              <w:top w:val="nil"/>
              <w:left w:val="nil"/>
              <w:bottom w:val="nil"/>
              <w:right w:val="nil"/>
            </w:tcBorders>
            <w:shd w:val="clear" w:color="auto" w:fill="auto"/>
            <w:noWrap/>
            <w:vAlign w:val="center"/>
            <w:hideMark/>
          </w:tcPr>
          <w:p w14:paraId="64CADD4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(5.49)</w:t>
            </w:r>
            <w:r w:rsidRPr="00644FC9">
              <w:rPr>
                <w:rFonts w:ascii="Times New Roman" w:hAnsi="Times New Roman" w:cs="Times New Roman"/>
                <w:color w:val="000000" w:themeColor="text1"/>
                <w:vertAlign w:val="superscript"/>
              </w:rPr>
              <w:t>***</w:t>
            </w:r>
          </w:p>
        </w:tc>
        <w:tc>
          <w:tcPr>
            <w:tcW w:w="1036" w:type="dxa"/>
            <w:tcBorders>
              <w:top w:val="nil"/>
              <w:left w:val="nil"/>
              <w:bottom w:val="nil"/>
              <w:right w:val="nil"/>
            </w:tcBorders>
            <w:shd w:val="clear" w:color="auto" w:fill="auto"/>
            <w:noWrap/>
            <w:vAlign w:val="center"/>
            <w:hideMark/>
          </w:tcPr>
          <w:p w14:paraId="5598A49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(9.13)</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5BEE477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5F384C3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(4.60)</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0DD0A55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(2.46)</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186489EC"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(4.68)</w:t>
            </w:r>
            <w:r w:rsidRPr="00644FC9">
              <w:rPr>
                <w:rFonts w:ascii="Times New Roman" w:hAnsi="Times New Roman" w:cs="Times New Roman"/>
                <w:color w:val="000000" w:themeColor="text1"/>
                <w:vertAlign w:val="superscript"/>
              </w:rPr>
              <w:t>***</w:t>
            </w:r>
          </w:p>
        </w:tc>
        <w:tc>
          <w:tcPr>
            <w:tcW w:w="76" w:type="dxa"/>
            <w:tcBorders>
              <w:top w:val="nil"/>
              <w:left w:val="nil"/>
              <w:bottom w:val="nil"/>
              <w:right w:val="nil"/>
            </w:tcBorders>
            <w:shd w:val="clear" w:color="auto" w:fill="auto"/>
          </w:tcPr>
          <w:p w14:paraId="640BF1DB"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394A579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(4.72)</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740E3CED"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(2.50)</w:t>
            </w:r>
            <w:r w:rsidRPr="00644FC9">
              <w:rPr>
                <w:rFonts w:ascii="Times New Roman" w:hAnsi="Times New Roman" w:cs="Times New Roman"/>
                <w:color w:val="000000" w:themeColor="text1"/>
                <w:vertAlign w:val="superscript"/>
              </w:rPr>
              <w:t>**</w:t>
            </w:r>
          </w:p>
        </w:tc>
        <w:tc>
          <w:tcPr>
            <w:tcW w:w="1111" w:type="dxa"/>
            <w:tcBorders>
              <w:top w:val="nil"/>
              <w:left w:val="nil"/>
              <w:bottom w:val="nil"/>
              <w:right w:val="nil"/>
            </w:tcBorders>
            <w:shd w:val="clear" w:color="auto" w:fill="auto"/>
            <w:vAlign w:val="center"/>
          </w:tcPr>
          <w:p w14:paraId="6144357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(4.67)</w:t>
            </w:r>
            <w:r w:rsidRPr="00644FC9">
              <w:rPr>
                <w:rFonts w:ascii="Times New Roman" w:hAnsi="Times New Roman" w:cs="Times New Roman"/>
                <w:color w:val="000000" w:themeColor="text1"/>
                <w:vertAlign w:val="superscript"/>
              </w:rPr>
              <w:t>***</w:t>
            </w:r>
          </w:p>
        </w:tc>
      </w:tr>
      <w:tr w:rsidR="00CB42CC" w:rsidRPr="00644FC9" w14:paraId="2CFA0600" w14:textId="77777777" w:rsidTr="003419D8">
        <w:trPr>
          <w:trHeight w:hRule="exact" w:val="284"/>
        </w:trPr>
        <w:tc>
          <w:tcPr>
            <w:tcW w:w="914" w:type="dxa"/>
            <w:tcBorders>
              <w:top w:val="nil"/>
              <w:left w:val="nil"/>
              <w:bottom w:val="nil"/>
              <w:right w:val="nil"/>
            </w:tcBorders>
            <w:shd w:val="clear" w:color="auto" w:fill="auto"/>
            <w:noWrap/>
            <w:vAlign w:val="center"/>
            <w:hideMark/>
          </w:tcPr>
          <w:p w14:paraId="57BE3D58" w14:textId="77777777" w:rsidR="00752B60" w:rsidRPr="00644FC9" w:rsidRDefault="00752B60" w:rsidP="003419D8">
            <w:pPr>
              <w:widowControl/>
              <w:adjustRightInd w:val="0"/>
              <w:snapToGrid w:val="0"/>
              <w:rPr>
                <w:rFonts w:ascii="Times New Roman" w:eastAsia="新細明體" w:hAnsi="Times New Roman" w:cs="Times New Roman"/>
                <w:i/>
                <w:color w:val="000000" w:themeColor="text1"/>
                <w:kern w:val="0"/>
                <w:szCs w:val="24"/>
              </w:rPr>
            </w:pPr>
            <w:r w:rsidRPr="00644FC9">
              <w:rPr>
                <w:rFonts w:ascii="Times New Roman" w:eastAsia="新細明體" w:hAnsi="Times New Roman" w:cs="Times New Roman"/>
                <w:i/>
                <w:color w:val="000000" w:themeColor="text1"/>
                <w:kern w:val="0"/>
                <w:szCs w:val="24"/>
              </w:rPr>
              <w:t>MOM</w:t>
            </w:r>
          </w:p>
        </w:tc>
        <w:tc>
          <w:tcPr>
            <w:tcW w:w="1030" w:type="dxa"/>
            <w:tcBorders>
              <w:top w:val="nil"/>
              <w:left w:val="nil"/>
              <w:bottom w:val="nil"/>
              <w:right w:val="nil"/>
            </w:tcBorders>
            <w:shd w:val="clear" w:color="auto" w:fill="auto"/>
            <w:noWrap/>
            <w:vAlign w:val="center"/>
            <w:hideMark/>
          </w:tcPr>
          <w:p w14:paraId="3844366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1030" w:type="dxa"/>
            <w:tcBorders>
              <w:top w:val="nil"/>
              <w:left w:val="nil"/>
              <w:bottom w:val="nil"/>
              <w:right w:val="nil"/>
            </w:tcBorders>
            <w:shd w:val="clear" w:color="auto" w:fill="auto"/>
            <w:noWrap/>
            <w:vAlign w:val="center"/>
            <w:hideMark/>
          </w:tcPr>
          <w:p w14:paraId="2BE7FAA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c>
          <w:tcPr>
            <w:tcW w:w="1030" w:type="dxa"/>
            <w:tcBorders>
              <w:top w:val="nil"/>
              <w:left w:val="nil"/>
              <w:bottom w:val="nil"/>
              <w:right w:val="nil"/>
            </w:tcBorders>
            <w:shd w:val="clear" w:color="auto" w:fill="auto"/>
            <w:noWrap/>
            <w:vAlign w:val="center"/>
            <w:hideMark/>
          </w:tcPr>
          <w:p w14:paraId="7D881F26"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76" w:type="dxa"/>
            <w:tcBorders>
              <w:top w:val="nil"/>
              <w:left w:val="nil"/>
              <w:bottom w:val="nil"/>
              <w:right w:val="nil"/>
            </w:tcBorders>
            <w:shd w:val="clear" w:color="auto" w:fill="auto"/>
          </w:tcPr>
          <w:p w14:paraId="6A1FFB60"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nil"/>
              <w:right w:val="nil"/>
            </w:tcBorders>
            <w:shd w:val="clear" w:color="auto" w:fill="auto"/>
            <w:noWrap/>
            <w:vAlign w:val="center"/>
            <w:hideMark/>
          </w:tcPr>
          <w:p w14:paraId="67FB7467"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1030" w:type="dxa"/>
            <w:tcBorders>
              <w:top w:val="nil"/>
              <w:left w:val="nil"/>
              <w:bottom w:val="nil"/>
              <w:right w:val="nil"/>
            </w:tcBorders>
            <w:shd w:val="clear" w:color="auto" w:fill="auto"/>
            <w:noWrap/>
            <w:vAlign w:val="center"/>
            <w:hideMark/>
          </w:tcPr>
          <w:p w14:paraId="34AD8E27"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0.000</w:t>
            </w:r>
          </w:p>
        </w:tc>
        <w:tc>
          <w:tcPr>
            <w:tcW w:w="1036" w:type="dxa"/>
            <w:tcBorders>
              <w:top w:val="nil"/>
              <w:left w:val="nil"/>
              <w:bottom w:val="nil"/>
              <w:right w:val="nil"/>
            </w:tcBorders>
            <w:shd w:val="clear" w:color="auto" w:fill="auto"/>
            <w:noWrap/>
            <w:vAlign w:val="center"/>
            <w:hideMark/>
          </w:tcPr>
          <w:p w14:paraId="013335E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76" w:type="dxa"/>
            <w:tcBorders>
              <w:top w:val="nil"/>
              <w:left w:val="nil"/>
              <w:bottom w:val="nil"/>
              <w:right w:val="nil"/>
            </w:tcBorders>
            <w:shd w:val="clear" w:color="auto" w:fill="auto"/>
          </w:tcPr>
          <w:p w14:paraId="24A6A5B2"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282F76E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111" w:type="dxa"/>
            <w:tcBorders>
              <w:top w:val="nil"/>
              <w:left w:val="nil"/>
              <w:bottom w:val="nil"/>
              <w:right w:val="nil"/>
            </w:tcBorders>
            <w:shd w:val="clear" w:color="auto" w:fill="auto"/>
            <w:vAlign w:val="center"/>
          </w:tcPr>
          <w:p w14:paraId="3FF16E1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-0.004</w:t>
            </w:r>
          </w:p>
        </w:tc>
        <w:tc>
          <w:tcPr>
            <w:tcW w:w="1111" w:type="dxa"/>
            <w:tcBorders>
              <w:top w:val="nil"/>
              <w:left w:val="nil"/>
              <w:bottom w:val="nil"/>
              <w:right w:val="nil"/>
            </w:tcBorders>
            <w:shd w:val="clear" w:color="auto" w:fill="auto"/>
            <w:vAlign w:val="center"/>
          </w:tcPr>
          <w:p w14:paraId="2C188B2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76" w:type="dxa"/>
            <w:tcBorders>
              <w:top w:val="nil"/>
              <w:left w:val="nil"/>
              <w:bottom w:val="nil"/>
              <w:right w:val="nil"/>
            </w:tcBorders>
            <w:shd w:val="clear" w:color="auto" w:fill="auto"/>
          </w:tcPr>
          <w:p w14:paraId="44A055C0"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nil"/>
              <w:right w:val="nil"/>
            </w:tcBorders>
            <w:shd w:val="clear" w:color="auto" w:fill="auto"/>
            <w:vAlign w:val="center"/>
          </w:tcPr>
          <w:p w14:paraId="5606921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0.003</w:t>
            </w:r>
          </w:p>
        </w:tc>
        <w:tc>
          <w:tcPr>
            <w:tcW w:w="1111" w:type="dxa"/>
            <w:tcBorders>
              <w:top w:val="nil"/>
              <w:left w:val="nil"/>
              <w:bottom w:val="nil"/>
              <w:right w:val="nil"/>
            </w:tcBorders>
            <w:shd w:val="clear" w:color="auto" w:fill="auto"/>
            <w:vAlign w:val="center"/>
          </w:tcPr>
          <w:p w14:paraId="5520944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-0.002</w:t>
            </w:r>
          </w:p>
        </w:tc>
        <w:tc>
          <w:tcPr>
            <w:tcW w:w="1111" w:type="dxa"/>
            <w:tcBorders>
              <w:top w:val="nil"/>
              <w:left w:val="nil"/>
              <w:bottom w:val="nil"/>
              <w:right w:val="nil"/>
            </w:tcBorders>
            <w:shd w:val="clear" w:color="auto" w:fill="auto"/>
            <w:vAlign w:val="center"/>
          </w:tcPr>
          <w:p w14:paraId="5DE4C8D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-0.001</w:t>
            </w:r>
          </w:p>
        </w:tc>
      </w:tr>
      <w:tr w:rsidR="00CB42CC" w:rsidRPr="00644FC9" w14:paraId="214C46DC" w14:textId="77777777" w:rsidTr="003419D8">
        <w:trPr>
          <w:trHeight w:hRule="exact" w:val="284"/>
        </w:trPr>
        <w:tc>
          <w:tcPr>
            <w:tcW w:w="914" w:type="dxa"/>
            <w:tcBorders>
              <w:top w:val="nil"/>
              <w:left w:val="nil"/>
              <w:right w:val="nil"/>
            </w:tcBorders>
            <w:shd w:val="clear" w:color="auto" w:fill="auto"/>
            <w:noWrap/>
            <w:vAlign w:val="center"/>
            <w:hideMark/>
          </w:tcPr>
          <w:p w14:paraId="0EC4E753" w14:textId="77777777" w:rsidR="00752B60" w:rsidRPr="00644FC9" w:rsidRDefault="00752B60" w:rsidP="003419D8">
            <w:pPr>
              <w:widowControl/>
              <w:adjustRightInd w:val="0"/>
              <w:snapToGrid w:val="0"/>
              <w:jc w:val="right"/>
              <w:rPr>
                <w:rFonts w:ascii="Times New Roman" w:eastAsia="新細明體" w:hAnsi="Times New Roman" w:cs="Times New Roman"/>
                <w:color w:val="000000" w:themeColor="text1"/>
                <w:kern w:val="0"/>
                <w:szCs w:val="24"/>
              </w:rPr>
            </w:pPr>
          </w:p>
        </w:tc>
        <w:tc>
          <w:tcPr>
            <w:tcW w:w="1030" w:type="dxa"/>
            <w:tcBorders>
              <w:top w:val="nil"/>
              <w:left w:val="nil"/>
              <w:right w:val="nil"/>
            </w:tcBorders>
            <w:shd w:val="clear" w:color="auto" w:fill="auto"/>
            <w:noWrap/>
            <w:vAlign w:val="center"/>
            <w:hideMark/>
          </w:tcPr>
          <w:p w14:paraId="32EB0CE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(3.34)</w:t>
            </w:r>
            <w:r w:rsidRPr="00644FC9">
              <w:rPr>
                <w:rFonts w:ascii="Times New Roman" w:hAnsi="Times New Roman" w:cs="Times New Roman"/>
                <w:color w:val="000000" w:themeColor="text1"/>
                <w:vertAlign w:val="superscript"/>
              </w:rPr>
              <w:t>***</w:t>
            </w:r>
          </w:p>
        </w:tc>
        <w:tc>
          <w:tcPr>
            <w:tcW w:w="1030" w:type="dxa"/>
            <w:tcBorders>
              <w:top w:val="nil"/>
              <w:left w:val="nil"/>
              <w:right w:val="nil"/>
            </w:tcBorders>
            <w:shd w:val="clear" w:color="auto" w:fill="auto"/>
            <w:noWrap/>
            <w:vAlign w:val="center"/>
            <w:hideMark/>
          </w:tcPr>
          <w:p w14:paraId="7E5AEB2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(0.83)</w:t>
            </w:r>
          </w:p>
        </w:tc>
        <w:tc>
          <w:tcPr>
            <w:tcW w:w="1030" w:type="dxa"/>
            <w:tcBorders>
              <w:top w:val="nil"/>
              <w:left w:val="nil"/>
              <w:right w:val="nil"/>
            </w:tcBorders>
            <w:shd w:val="clear" w:color="auto" w:fill="auto"/>
            <w:noWrap/>
            <w:vAlign w:val="center"/>
            <w:hideMark/>
          </w:tcPr>
          <w:p w14:paraId="00FB62CE"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(1.29)</w:t>
            </w:r>
          </w:p>
        </w:tc>
        <w:tc>
          <w:tcPr>
            <w:tcW w:w="76" w:type="dxa"/>
            <w:tcBorders>
              <w:top w:val="nil"/>
              <w:left w:val="nil"/>
              <w:right w:val="nil"/>
            </w:tcBorders>
            <w:shd w:val="clear" w:color="auto" w:fill="auto"/>
          </w:tcPr>
          <w:p w14:paraId="470A183B"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right w:val="nil"/>
            </w:tcBorders>
            <w:shd w:val="clear" w:color="auto" w:fill="auto"/>
            <w:noWrap/>
            <w:vAlign w:val="center"/>
            <w:hideMark/>
          </w:tcPr>
          <w:p w14:paraId="69506D6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(2.87)</w:t>
            </w:r>
            <w:r w:rsidRPr="00644FC9">
              <w:rPr>
                <w:rFonts w:ascii="Times New Roman" w:hAnsi="Times New Roman" w:cs="Times New Roman"/>
                <w:color w:val="000000" w:themeColor="text1"/>
                <w:vertAlign w:val="superscript"/>
              </w:rPr>
              <w:t>***</w:t>
            </w:r>
          </w:p>
        </w:tc>
        <w:tc>
          <w:tcPr>
            <w:tcW w:w="1030" w:type="dxa"/>
            <w:tcBorders>
              <w:top w:val="nil"/>
              <w:left w:val="nil"/>
              <w:right w:val="nil"/>
            </w:tcBorders>
            <w:shd w:val="clear" w:color="auto" w:fill="auto"/>
            <w:noWrap/>
            <w:vAlign w:val="center"/>
            <w:hideMark/>
          </w:tcPr>
          <w:p w14:paraId="4D81987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(0.28)</w:t>
            </w:r>
          </w:p>
        </w:tc>
        <w:tc>
          <w:tcPr>
            <w:tcW w:w="1036" w:type="dxa"/>
            <w:tcBorders>
              <w:top w:val="nil"/>
              <w:left w:val="nil"/>
              <w:right w:val="nil"/>
            </w:tcBorders>
            <w:shd w:val="clear" w:color="auto" w:fill="auto"/>
            <w:noWrap/>
            <w:vAlign w:val="center"/>
            <w:hideMark/>
          </w:tcPr>
          <w:p w14:paraId="7FC26F08"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(0.73)</w:t>
            </w:r>
          </w:p>
        </w:tc>
        <w:tc>
          <w:tcPr>
            <w:tcW w:w="76" w:type="dxa"/>
            <w:tcBorders>
              <w:top w:val="nil"/>
              <w:left w:val="nil"/>
              <w:right w:val="nil"/>
            </w:tcBorders>
            <w:shd w:val="clear" w:color="auto" w:fill="auto"/>
          </w:tcPr>
          <w:p w14:paraId="612A7E64"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right w:val="nil"/>
            </w:tcBorders>
            <w:shd w:val="clear" w:color="auto" w:fill="auto"/>
            <w:vAlign w:val="center"/>
          </w:tcPr>
          <w:p w14:paraId="363F9F2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(1.27)</w:t>
            </w:r>
          </w:p>
        </w:tc>
        <w:tc>
          <w:tcPr>
            <w:tcW w:w="1111" w:type="dxa"/>
            <w:tcBorders>
              <w:top w:val="nil"/>
              <w:left w:val="nil"/>
              <w:right w:val="nil"/>
            </w:tcBorders>
            <w:shd w:val="clear" w:color="auto" w:fill="auto"/>
            <w:vAlign w:val="center"/>
          </w:tcPr>
          <w:p w14:paraId="41C9EA1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(-1.48)</w:t>
            </w:r>
          </w:p>
        </w:tc>
        <w:tc>
          <w:tcPr>
            <w:tcW w:w="1111" w:type="dxa"/>
            <w:tcBorders>
              <w:top w:val="nil"/>
              <w:left w:val="nil"/>
              <w:right w:val="nil"/>
            </w:tcBorders>
            <w:shd w:val="clear" w:color="auto" w:fill="auto"/>
            <w:vAlign w:val="center"/>
          </w:tcPr>
          <w:p w14:paraId="7A27754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(-0.41)</w:t>
            </w:r>
          </w:p>
        </w:tc>
        <w:tc>
          <w:tcPr>
            <w:tcW w:w="76" w:type="dxa"/>
            <w:tcBorders>
              <w:top w:val="nil"/>
              <w:left w:val="nil"/>
              <w:right w:val="nil"/>
            </w:tcBorders>
            <w:shd w:val="clear" w:color="auto" w:fill="auto"/>
          </w:tcPr>
          <w:p w14:paraId="56CA688D"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right w:val="nil"/>
            </w:tcBorders>
            <w:shd w:val="clear" w:color="auto" w:fill="auto"/>
            <w:vAlign w:val="center"/>
          </w:tcPr>
          <w:p w14:paraId="2E19C19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(2.38)</w:t>
            </w:r>
            <w:r w:rsidRPr="00644FC9">
              <w:rPr>
                <w:rFonts w:ascii="Times New Roman" w:hAnsi="Times New Roman" w:cs="Times New Roman"/>
                <w:color w:val="000000" w:themeColor="text1"/>
                <w:vertAlign w:val="superscript"/>
              </w:rPr>
              <w:t>**</w:t>
            </w:r>
          </w:p>
        </w:tc>
        <w:tc>
          <w:tcPr>
            <w:tcW w:w="1111" w:type="dxa"/>
            <w:tcBorders>
              <w:top w:val="nil"/>
              <w:left w:val="nil"/>
              <w:right w:val="nil"/>
            </w:tcBorders>
            <w:shd w:val="clear" w:color="auto" w:fill="auto"/>
            <w:vAlign w:val="center"/>
          </w:tcPr>
          <w:p w14:paraId="2D23911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(-0.94)</w:t>
            </w:r>
          </w:p>
        </w:tc>
        <w:tc>
          <w:tcPr>
            <w:tcW w:w="1111" w:type="dxa"/>
            <w:tcBorders>
              <w:top w:val="nil"/>
              <w:left w:val="nil"/>
              <w:right w:val="nil"/>
            </w:tcBorders>
            <w:shd w:val="clear" w:color="auto" w:fill="auto"/>
            <w:vAlign w:val="center"/>
          </w:tcPr>
          <w:p w14:paraId="48813E9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(-0.16)</w:t>
            </w:r>
          </w:p>
        </w:tc>
      </w:tr>
      <w:tr w:rsidR="00CB42CC" w:rsidRPr="00644FC9" w14:paraId="75D9F5EC" w14:textId="77777777" w:rsidTr="003419D8">
        <w:trPr>
          <w:trHeight w:hRule="exact" w:val="284"/>
        </w:trPr>
        <w:tc>
          <w:tcPr>
            <w:tcW w:w="914" w:type="dxa"/>
            <w:tcBorders>
              <w:top w:val="nil"/>
              <w:left w:val="nil"/>
              <w:bottom w:val="single" w:sz="4" w:space="0" w:color="auto"/>
              <w:right w:val="nil"/>
            </w:tcBorders>
            <w:shd w:val="clear" w:color="auto" w:fill="auto"/>
            <w:noWrap/>
            <w:vAlign w:val="center"/>
            <w:hideMark/>
          </w:tcPr>
          <w:p w14:paraId="06472B62" w14:textId="77777777" w:rsidR="00752B60" w:rsidRPr="00644FC9" w:rsidRDefault="00752B60" w:rsidP="003419D8">
            <w:pPr>
              <w:widowControl/>
              <w:adjustRightInd w:val="0"/>
              <w:snapToGrid w:val="0"/>
              <w:rPr>
                <w:rFonts w:ascii="Times New Roman" w:eastAsia="新細明體" w:hAnsi="Times New Roman" w:cs="Times New Roman"/>
                <w:color w:val="000000" w:themeColor="text1"/>
                <w:kern w:val="0"/>
                <w:szCs w:val="24"/>
              </w:rPr>
            </w:pPr>
            <w:r w:rsidRPr="00644FC9">
              <w:rPr>
                <w:rFonts w:ascii="Times New Roman" w:eastAsia="新細明體" w:hAnsi="Times New Roman" w:cs="Times New Roman"/>
                <w:color w:val="000000" w:themeColor="text1"/>
                <w:kern w:val="0"/>
                <w:szCs w:val="24"/>
              </w:rPr>
              <w:t xml:space="preserve">Adj. </w:t>
            </w:r>
            <w:r w:rsidRPr="00644FC9">
              <w:rPr>
                <w:rFonts w:ascii="Times New Roman" w:eastAsia="新細明體" w:hAnsi="Times New Roman" w:cs="Times New Roman"/>
                <w:i/>
                <w:color w:val="000000" w:themeColor="text1"/>
                <w:kern w:val="0"/>
                <w:szCs w:val="24"/>
              </w:rPr>
              <w:t>R</w:t>
            </w:r>
            <w:r w:rsidRPr="00644FC9">
              <w:rPr>
                <w:rFonts w:ascii="Times New Roman" w:eastAsia="新細明體" w:hAnsi="Times New Roman" w:cs="Times New Roman"/>
                <w:color w:val="000000" w:themeColor="text1"/>
                <w:kern w:val="0"/>
                <w:szCs w:val="24"/>
                <w:vertAlign w:val="superscript"/>
              </w:rPr>
              <w:t>2</w:t>
            </w:r>
          </w:p>
        </w:tc>
        <w:tc>
          <w:tcPr>
            <w:tcW w:w="1030" w:type="dxa"/>
            <w:tcBorders>
              <w:top w:val="nil"/>
              <w:left w:val="nil"/>
              <w:bottom w:val="single" w:sz="4" w:space="0" w:color="auto"/>
              <w:right w:val="nil"/>
            </w:tcBorders>
            <w:shd w:val="clear" w:color="auto" w:fill="auto"/>
            <w:noWrap/>
            <w:vAlign w:val="center"/>
            <w:hideMark/>
          </w:tcPr>
          <w:p w14:paraId="735810A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0.032</w:t>
            </w:r>
          </w:p>
        </w:tc>
        <w:tc>
          <w:tcPr>
            <w:tcW w:w="1030" w:type="dxa"/>
            <w:tcBorders>
              <w:top w:val="nil"/>
              <w:left w:val="nil"/>
              <w:bottom w:val="single" w:sz="4" w:space="0" w:color="auto"/>
              <w:right w:val="nil"/>
            </w:tcBorders>
            <w:shd w:val="clear" w:color="auto" w:fill="auto"/>
            <w:noWrap/>
            <w:vAlign w:val="center"/>
            <w:hideMark/>
          </w:tcPr>
          <w:p w14:paraId="148511B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0.020</w:t>
            </w:r>
          </w:p>
        </w:tc>
        <w:tc>
          <w:tcPr>
            <w:tcW w:w="1030" w:type="dxa"/>
            <w:tcBorders>
              <w:top w:val="nil"/>
              <w:left w:val="nil"/>
              <w:bottom w:val="single" w:sz="4" w:space="0" w:color="auto"/>
              <w:right w:val="nil"/>
            </w:tcBorders>
            <w:shd w:val="clear" w:color="auto" w:fill="auto"/>
            <w:noWrap/>
            <w:vAlign w:val="center"/>
            <w:hideMark/>
          </w:tcPr>
          <w:p w14:paraId="50059B5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c>
          <w:tcPr>
            <w:tcW w:w="76" w:type="dxa"/>
            <w:tcBorders>
              <w:top w:val="nil"/>
              <w:left w:val="nil"/>
              <w:bottom w:val="single" w:sz="4" w:space="0" w:color="auto"/>
              <w:right w:val="nil"/>
            </w:tcBorders>
            <w:shd w:val="clear" w:color="auto" w:fill="auto"/>
          </w:tcPr>
          <w:p w14:paraId="0224DD68"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tcBorders>
              <w:top w:val="nil"/>
              <w:left w:val="nil"/>
              <w:bottom w:val="single" w:sz="4" w:space="0" w:color="auto"/>
              <w:right w:val="nil"/>
            </w:tcBorders>
            <w:shd w:val="clear" w:color="auto" w:fill="auto"/>
            <w:noWrap/>
            <w:vAlign w:val="center"/>
            <w:hideMark/>
          </w:tcPr>
          <w:p w14:paraId="5B4E83DF"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0.033</w:t>
            </w:r>
          </w:p>
        </w:tc>
        <w:tc>
          <w:tcPr>
            <w:tcW w:w="1030" w:type="dxa"/>
            <w:tcBorders>
              <w:top w:val="nil"/>
              <w:left w:val="nil"/>
              <w:bottom w:val="single" w:sz="4" w:space="0" w:color="auto"/>
              <w:right w:val="nil"/>
            </w:tcBorders>
            <w:shd w:val="clear" w:color="auto" w:fill="auto"/>
            <w:noWrap/>
            <w:vAlign w:val="center"/>
            <w:hideMark/>
          </w:tcPr>
          <w:p w14:paraId="6E25D87B"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c>
          <w:tcPr>
            <w:tcW w:w="1036" w:type="dxa"/>
            <w:tcBorders>
              <w:top w:val="nil"/>
              <w:left w:val="nil"/>
              <w:bottom w:val="single" w:sz="4" w:space="0" w:color="auto"/>
              <w:right w:val="nil"/>
            </w:tcBorders>
            <w:shd w:val="clear" w:color="auto" w:fill="auto"/>
            <w:noWrap/>
            <w:vAlign w:val="center"/>
            <w:hideMark/>
          </w:tcPr>
          <w:p w14:paraId="3CEEC8B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0.020</w:t>
            </w:r>
          </w:p>
        </w:tc>
        <w:tc>
          <w:tcPr>
            <w:tcW w:w="76" w:type="dxa"/>
            <w:tcBorders>
              <w:top w:val="nil"/>
              <w:left w:val="nil"/>
              <w:bottom w:val="single" w:sz="4" w:space="0" w:color="auto"/>
              <w:right w:val="nil"/>
            </w:tcBorders>
            <w:shd w:val="clear" w:color="auto" w:fill="auto"/>
          </w:tcPr>
          <w:p w14:paraId="2F95F842"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single" w:sz="4" w:space="0" w:color="auto"/>
              <w:right w:val="nil"/>
            </w:tcBorders>
            <w:shd w:val="clear" w:color="auto" w:fill="auto"/>
            <w:vAlign w:val="center"/>
          </w:tcPr>
          <w:p w14:paraId="2761BA2B"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0.042</w:t>
            </w:r>
          </w:p>
        </w:tc>
        <w:tc>
          <w:tcPr>
            <w:tcW w:w="1111" w:type="dxa"/>
            <w:tcBorders>
              <w:top w:val="nil"/>
              <w:left w:val="nil"/>
              <w:bottom w:val="single" w:sz="4" w:space="0" w:color="auto"/>
              <w:right w:val="nil"/>
            </w:tcBorders>
            <w:shd w:val="clear" w:color="auto" w:fill="auto"/>
            <w:vAlign w:val="center"/>
          </w:tcPr>
          <w:p w14:paraId="6B2FD451"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0.027</w:t>
            </w:r>
          </w:p>
        </w:tc>
        <w:tc>
          <w:tcPr>
            <w:tcW w:w="1111" w:type="dxa"/>
            <w:tcBorders>
              <w:top w:val="nil"/>
              <w:left w:val="nil"/>
              <w:bottom w:val="single" w:sz="4" w:space="0" w:color="auto"/>
              <w:right w:val="nil"/>
            </w:tcBorders>
            <w:shd w:val="clear" w:color="auto" w:fill="auto"/>
            <w:vAlign w:val="center"/>
          </w:tcPr>
          <w:p w14:paraId="24F11952"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0.021</w:t>
            </w:r>
          </w:p>
        </w:tc>
        <w:tc>
          <w:tcPr>
            <w:tcW w:w="76" w:type="dxa"/>
            <w:tcBorders>
              <w:top w:val="nil"/>
              <w:left w:val="nil"/>
              <w:bottom w:val="single" w:sz="4" w:space="0" w:color="auto"/>
              <w:right w:val="nil"/>
            </w:tcBorders>
            <w:shd w:val="clear" w:color="auto" w:fill="auto"/>
          </w:tcPr>
          <w:p w14:paraId="506515DC"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single" w:sz="4" w:space="0" w:color="auto"/>
              <w:right w:val="nil"/>
            </w:tcBorders>
            <w:shd w:val="clear" w:color="auto" w:fill="auto"/>
            <w:vAlign w:val="center"/>
          </w:tcPr>
          <w:p w14:paraId="5104862B"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0.035</w:t>
            </w:r>
          </w:p>
        </w:tc>
        <w:tc>
          <w:tcPr>
            <w:tcW w:w="1111" w:type="dxa"/>
            <w:tcBorders>
              <w:top w:val="nil"/>
              <w:left w:val="nil"/>
              <w:bottom w:val="single" w:sz="4" w:space="0" w:color="auto"/>
              <w:right w:val="nil"/>
            </w:tcBorders>
            <w:shd w:val="clear" w:color="auto" w:fill="auto"/>
            <w:vAlign w:val="center"/>
          </w:tcPr>
          <w:p w14:paraId="359BF30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0.023</w:t>
            </w:r>
          </w:p>
        </w:tc>
        <w:tc>
          <w:tcPr>
            <w:tcW w:w="1111" w:type="dxa"/>
            <w:tcBorders>
              <w:top w:val="nil"/>
              <w:left w:val="nil"/>
              <w:bottom w:val="single" w:sz="4" w:space="0" w:color="auto"/>
              <w:right w:val="nil"/>
            </w:tcBorders>
            <w:shd w:val="clear" w:color="auto" w:fill="auto"/>
            <w:vAlign w:val="center"/>
          </w:tcPr>
          <w:p w14:paraId="3AC6C0A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0.018</w:t>
            </w:r>
          </w:p>
        </w:tc>
      </w:tr>
      <w:tr w:rsidR="00CB42CC" w:rsidRPr="00644FC9" w14:paraId="7957E7CC" w14:textId="77777777" w:rsidTr="003419D8">
        <w:trPr>
          <w:trHeight w:hRule="exact" w:val="284"/>
        </w:trPr>
        <w:tc>
          <w:tcPr>
            <w:tcW w:w="4004" w:type="dxa"/>
            <w:gridSpan w:val="4"/>
            <w:vMerge w:val="restart"/>
            <w:tcBorders>
              <w:top w:val="single" w:sz="4" w:space="0" w:color="auto"/>
              <w:left w:val="nil"/>
              <w:right w:val="nil"/>
            </w:tcBorders>
            <w:shd w:val="clear" w:color="auto" w:fill="auto"/>
            <w:noWrap/>
            <w:vAlign w:val="center"/>
          </w:tcPr>
          <w:p w14:paraId="45BC5978" w14:textId="77777777" w:rsidR="00752B60" w:rsidRPr="00644FC9" w:rsidRDefault="00752B60" w:rsidP="003419D8">
            <w:pPr>
              <w:adjustRightInd w:val="0"/>
              <w:snapToGrid w:val="0"/>
              <w:ind w:left="240" w:hangingChars="100" w:hanging="240"/>
              <w:rPr>
                <w:rFonts w:ascii="Times New Roman" w:hAnsi="Times New Roman" w:cs="Times New Roman"/>
                <w:color w:val="000000" w:themeColor="text1"/>
              </w:rPr>
            </w:pPr>
            <w:r w:rsidRPr="00644FC9">
              <w:rPr>
                <w:rFonts w:ascii="Times New Roman" w:hAnsi="Times New Roman" w:cs="Times New Roman"/>
                <w:color w:val="000000" w:themeColor="text1"/>
              </w:rPr>
              <w:t xml:space="preserve">Difference in sensitivity between </w:t>
            </w:r>
            <w:r w:rsidRPr="00644FC9">
              <w:rPr>
                <w:rFonts w:ascii="Times New Roman" w:hAnsi="Times New Roman" w:cs="Times New Roman"/>
                <w:i/>
                <w:color w:val="000000" w:themeColor="text1"/>
              </w:rPr>
              <w:t>UOI</w:t>
            </w:r>
            <w:r w:rsidRPr="00644FC9">
              <w:rPr>
                <w:rFonts w:ascii="Times New Roman" w:hAnsi="Times New Roman" w:cs="Times New Roman"/>
                <w:color w:val="000000" w:themeColor="text1"/>
              </w:rPr>
              <w:t xml:space="preserve"> and </w:t>
            </w:r>
            <w:r w:rsidRPr="00644FC9">
              <w:rPr>
                <w:rFonts w:ascii="Times New Roman" w:hAnsi="Times New Roman" w:cs="Times New Roman"/>
                <w:i/>
                <w:color w:val="000000" w:themeColor="text1"/>
              </w:rPr>
              <w:t>UNOI</w:t>
            </w:r>
            <w:r w:rsidRPr="00644FC9">
              <w:rPr>
                <w:rFonts w:ascii="Times New Roman" w:hAnsi="Times New Roman" w:cs="Times New Roman"/>
                <w:color w:val="000000" w:themeColor="text1"/>
              </w:rPr>
              <w:t xml:space="preserve"> (</w:t>
            </w:r>
            <w:r w:rsidRPr="00644FC9">
              <w:rPr>
                <w:rFonts w:ascii="Times New Roman" w:hAnsi="Times New Roman" w:cs="Times New Roman"/>
                <w:i/>
                <w:color w:val="000000" w:themeColor="text1"/>
              </w:rPr>
              <w:t>β</w:t>
            </w:r>
            <w:r w:rsidRPr="00644FC9">
              <w:rPr>
                <w:rFonts w:ascii="Times New Roman" w:hAnsi="Times New Roman" w:cs="Times New Roman"/>
                <w:color w:val="000000" w:themeColor="text1"/>
                <w:vertAlign w:val="subscript"/>
              </w:rPr>
              <w:t>1</w:t>
            </w:r>
            <w:r w:rsidRPr="00644FC9">
              <w:rPr>
                <w:rFonts w:ascii="Times New Roman" w:hAnsi="Times New Roman" w:cs="Times New Roman"/>
                <w:color w:val="000000" w:themeColor="text1"/>
              </w:rPr>
              <w:t xml:space="preserve"> - </w:t>
            </w:r>
            <w:r w:rsidRPr="00644FC9">
              <w:rPr>
                <w:rFonts w:ascii="Times New Roman" w:hAnsi="Times New Roman" w:cs="Times New Roman"/>
                <w:i/>
                <w:color w:val="000000" w:themeColor="text1"/>
              </w:rPr>
              <w:t>β</w:t>
            </w:r>
            <w:r w:rsidRPr="00644FC9">
              <w:rPr>
                <w:rFonts w:ascii="Times New Roman" w:hAnsi="Times New Roman" w:cs="Times New Roman"/>
                <w:color w:val="000000" w:themeColor="text1"/>
                <w:vertAlign w:val="subscript"/>
              </w:rPr>
              <w:t>2</w:t>
            </w:r>
            <w:r w:rsidRPr="00644FC9">
              <w:rPr>
                <w:rFonts w:ascii="Times New Roman" w:hAnsi="Times New Roman" w:cs="Times New Roman"/>
                <w:color w:val="000000" w:themeColor="text1"/>
              </w:rPr>
              <w:t>)</w:t>
            </w:r>
          </w:p>
        </w:tc>
        <w:tc>
          <w:tcPr>
            <w:tcW w:w="76" w:type="dxa"/>
            <w:tcBorders>
              <w:top w:val="single" w:sz="4" w:space="0" w:color="auto"/>
              <w:left w:val="nil"/>
              <w:bottom w:val="nil"/>
              <w:right w:val="nil"/>
            </w:tcBorders>
            <w:shd w:val="clear" w:color="auto" w:fill="auto"/>
          </w:tcPr>
          <w:p w14:paraId="65C1187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vMerge w:val="restart"/>
            <w:tcBorders>
              <w:top w:val="single" w:sz="4" w:space="0" w:color="auto"/>
              <w:left w:val="nil"/>
              <w:right w:val="nil"/>
            </w:tcBorders>
            <w:shd w:val="clear" w:color="auto" w:fill="auto"/>
            <w:noWrap/>
            <w:vAlign w:val="center"/>
          </w:tcPr>
          <w:p w14:paraId="3BD3D509"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0.043</w:t>
            </w:r>
            <w:r w:rsidRPr="00644FC9">
              <w:rPr>
                <w:rFonts w:ascii="Times New Roman" w:hAnsi="Times New Roman" w:cs="Times New Roman"/>
                <w:color w:val="000000" w:themeColor="text1"/>
                <w:vertAlign w:val="superscript"/>
              </w:rPr>
              <w:t>***</w:t>
            </w:r>
          </w:p>
        </w:tc>
        <w:tc>
          <w:tcPr>
            <w:tcW w:w="1030" w:type="dxa"/>
            <w:vMerge w:val="restart"/>
            <w:tcBorders>
              <w:top w:val="single" w:sz="4" w:space="0" w:color="auto"/>
              <w:left w:val="nil"/>
              <w:right w:val="nil"/>
            </w:tcBorders>
            <w:shd w:val="clear" w:color="auto" w:fill="auto"/>
            <w:noWrap/>
            <w:vAlign w:val="center"/>
          </w:tcPr>
          <w:p w14:paraId="48A08B44"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0.095</w:t>
            </w:r>
            <w:r w:rsidRPr="00644FC9">
              <w:rPr>
                <w:rFonts w:ascii="Times New Roman" w:hAnsi="Times New Roman" w:cs="Times New Roman"/>
                <w:color w:val="000000" w:themeColor="text1"/>
                <w:vertAlign w:val="superscript"/>
              </w:rPr>
              <w:t>***</w:t>
            </w:r>
          </w:p>
        </w:tc>
        <w:tc>
          <w:tcPr>
            <w:tcW w:w="1036" w:type="dxa"/>
            <w:vMerge w:val="restart"/>
            <w:tcBorders>
              <w:top w:val="single" w:sz="4" w:space="0" w:color="auto"/>
              <w:left w:val="nil"/>
              <w:right w:val="nil"/>
            </w:tcBorders>
            <w:shd w:val="clear" w:color="auto" w:fill="auto"/>
            <w:noWrap/>
            <w:vAlign w:val="center"/>
          </w:tcPr>
          <w:p w14:paraId="520B971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0.197</w:t>
            </w:r>
            <w:r w:rsidRPr="00644FC9">
              <w:rPr>
                <w:rFonts w:ascii="Times New Roman" w:hAnsi="Times New Roman" w:cs="Times New Roman"/>
                <w:color w:val="000000" w:themeColor="text1"/>
                <w:vertAlign w:val="superscript"/>
              </w:rPr>
              <w:t>***</w:t>
            </w:r>
          </w:p>
        </w:tc>
        <w:tc>
          <w:tcPr>
            <w:tcW w:w="76" w:type="dxa"/>
            <w:tcBorders>
              <w:top w:val="single" w:sz="4" w:space="0" w:color="auto"/>
              <w:left w:val="nil"/>
              <w:bottom w:val="nil"/>
              <w:right w:val="nil"/>
            </w:tcBorders>
            <w:shd w:val="clear" w:color="auto" w:fill="auto"/>
          </w:tcPr>
          <w:p w14:paraId="21B0B3C3"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single" w:sz="4" w:space="0" w:color="auto"/>
              <w:left w:val="nil"/>
              <w:bottom w:val="nil"/>
              <w:right w:val="nil"/>
            </w:tcBorders>
            <w:shd w:val="clear" w:color="auto" w:fill="auto"/>
            <w:vAlign w:val="center"/>
          </w:tcPr>
          <w:p w14:paraId="12ED0839"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single" w:sz="4" w:space="0" w:color="auto"/>
              <w:left w:val="nil"/>
              <w:bottom w:val="nil"/>
              <w:right w:val="nil"/>
            </w:tcBorders>
            <w:shd w:val="clear" w:color="auto" w:fill="auto"/>
            <w:vAlign w:val="center"/>
          </w:tcPr>
          <w:p w14:paraId="2A61380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single" w:sz="4" w:space="0" w:color="auto"/>
              <w:left w:val="nil"/>
              <w:bottom w:val="nil"/>
              <w:right w:val="nil"/>
            </w:tcBorders>
            <w:shd w:val="clear" w:color="auto" w:fill="auto"/>
            <w:vAlign w:val="center"/>
          </w:tcPr>
          <w:p w14:paraId="6EAECBF7"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single" w:sz="4" w:space="0" w:color="auto"/>
              <w:left w:val="nil"/>
              <w:bottom w:val="nil"/>
              <w:right w:val="nil"/>
            </w:tcBorders>
            <w:shd w:val="clear" w:color="auto" w:fill="auto"/>
          </w:tcPr>
          <w:p w14:paraId="42D3ACC1"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vMerge w:val="restart"/>
            <w:tcBorders>
              <w:top w:val="single" w:sz="4" w:space="0" w:color="auto"/>
              <w:left w:val="nil"/>
              <w:right w:val="nil"/>
            </w:tcBorders>
            <w:shd w:val="clear" w:color="auto" w:fill="auto"/>
            <w:vAlign w:val="center"/>
          </w:tcPr>
          <w:p w14:paraId="4D9742DA"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0.012</w:t>
            </w:r>
            <w:r w:rsidRPr="00644FC9">
              <w:rPr>
                <w:rFonts w:ascii="Times New Roman" w:hAnsi="Times New Roman" w:cs="Times New Roman"/>
                <w:color w:val="000000" w:themeColor="text1"/>
                <w:vertAlign w:val="superscript"/>
              </w:rPr>
              <w:t>***</w:t>
            </w:r>
          </w:p>
        </w:tc>
        <w:tc>
          <w:tcPr>
            <w:tcW w:w="1111" w:type="dxa"/>
            <w:vMerge w:val="restart"/>
            <w:tcBorders>
              <w:top w:val="single" w:sz="4" w:space="0" w:color="auto"/>
              <w:left w:val="nil"/>
              <w:right w:val="nil"/>
            </w:tcBorders>
            <w:shd w:val="clear" w:color="auto" w:fill="auto"/>
            <w:vAlign w:val="center"/>
          </w:tcPr>
          <w:p w14:paraId="3EEC7DC3"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0.024</w:t>
            </w:r>
            <w:r w:rsidRPr="00644FC9">
              <w:rPr>
                <w:rFonts w:ascii="Times New Roman" w:hAnsi="Times New Roman" w:cs="Times New Roman"/>
                <w:color w:val="000000" w:themeColor="text1"/>
                <w:vertAlign w:val="superscript"/>
              </w:rPr>
              <w:t>***</w:t>
            </w:r>
          </w:p>
        </w:tc>
        <w:tc>
          <w:tcPr>
            <w:tcW w:w="1111" w:type="dxa"/>
            <w:vMerge w:val="restart"/>
            <w:tcBorders>
              <w:top w:val="single" w:sz="4" w:space="0" w:color="auto"/>
              <w:left w:val="nil"/>
              <w:right w:val="nil"/>
            </w:tcBorders>
            <w:shd w:val="clear" w:color="auto" w:fill="auto"/>
            <w:vAlign w:val="center"/>
          </w:tcPr>
          <w:p w14:paraId="11A17025" w14:textId="77777777" w:rsidR="00752B60" w:rsidRPr="00644FC9" w:rsidRDefault="00752B60" w:rsidP="003419D8">
            <w:pPr>
              <w:adjustRightInd w:val="0"/>
              <w:snapToGrid w:val="0"/>
              <w:jc w:val="center"/>
              <w:rPr>
                <w:rFonts w:ascii="Times New Roman" w:hAnsi="Times New Roman" w:cs="Times New Roman"/>
                <w:color w:val="000000" w:themeColor="text1"/>
              </w:rPr>
            </w:pPr>
            <w:r w:rsidRPr="00644FC9">
              <w:rPr>
                <w:rFonts w:ascii="Times New Roman" w:hAnsi="Times New Roman" w:cs="Times New Roman"/>
                <w:color w:val="000000" w:themeColor="text1"/>
              </w:rPr>
              <w:t>0.048</w:t>
            </w:r>
            <w:r w:rsidRPr="00644FC9">
              <w:rPr>
                <w:rFonts w:ascii="Times New Roman" w:hAnsi="Times New Roman" w:cs="Times New Roman"/>
                <w:color w:val="000000" w:themeColor="text1"/>
                <w:vertAlign w:val="superscript"/>
              </w:rPr>
              <w:t>***</w:t>
            </w:r>
          </w:p>
        </w:tc>
      </w:tr>
      <w:tr w:rsidR="00CB42CC" w:rsidRPr="00644FC9" w14:paraId="0166555E" w14:textId="77777777" w:rsidTr="003419D8">
        <w:trPr>
          <w:trHeight w:hRule="exact" w:val="284"/>
        </w:trPr>
        <w:tc>
          <w:tcPr>
            <w:tcW w:w="4004" w:type="dxa"/>
            <w:gridSpan w:val="4"/>
            <w:vMerge/>
            <w:tcBorders>
              <w:left w:val="nil"/>
              <w:bottom w:val="single" w:sz="4" w:space="0" w:color="auto"/>
              <w:right w:val="nil"/>
            </w:tcBorders>
            <w:shd w:val="clear" w:color="auto" w:fill="auto"/>
            <w:noWrap/>
            <w:vAlign w:val="center"/>
          </w:tcPr>
          <w:p w14:paraId="3C646B5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single" w:sz="4" w:space="0" w:color="auto"/>
              <w:right w:val="nil"/>
            </w:tcBorders>
            <w:shd w:val="clear" w:color="auto" w:fill="auto"/>
          </w:tcPr>
          <w:p w14:paraId="737656D8"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030" w:type="dxa"/>
            <w:vMerge/>
            <w:tcBorders>
              <w:left w:val="nil"/>
              <w:bottom w:val="single" w:sz="4" w:space="0" w:color="auto"/>
              <w:right w:val="nil"/>
            </w:tcBorders>
            <w:shd w:val="clear" w:color="auto" w:fill="auto"/>
            <w:noWrap/>
            <w:vAlign w:val="center"/>
          </w:tcPr>
          <w:p w14:paraId="1DEE9ACD"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0" w:type="dxa"/>
            <w:vMerge/>
            <w:tcBorders>
              <w:left w:val="nil"/>
              <w:bottom w:val="single" w:sz="4" w:space="0" w:color="auto"/>
              <w:right w:val="nil"/>
            </w:tcBorders>
            <w:shd w:val="clear" w:color="auto" w:fill="auto"/>
            <w:noWrap/>
            <w:vAlign w:val="center"/>
          </w:tcPr>
          <w:p w14:paraId="65B5678A"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036" w:type="dxa"/>
            <w:vMerge/>
            <w:tcBorders>
              <w:left w:val="nil"/>
              <w:bottom w:val="single" w:sz="4" w:space="0" w:color="auto"/>
              <w:right w:val="nil"/>
            </w:tcBorders>
            <w:shd w:val="clear" w:color="auto" w:fill="auto"/>
            <w:noWrap/>
            <w:vAlign w:val="center"/>
          </w:tcPr>
          <w:p w14:paraId="7B51F464"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single" w:sz="4" w:space="0" w:color="auto"/>
              <w:right w:val="nil"/>
            </w:tcBorders>
            <w:shd w:val="clear" w:color="auto" w:fill="auto"/>
          </w:tcPr>
          <w:p w14:paraId="1219A9AD"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tcBorders>
              <w:top w:val="nil"/>
              <w:left w:val="nil"/>
              <w:bottom w:val="single" w:sz="4" w:space="0" w:color="auto"/>
              <w:right w:val="nil"/>
            </w:tcBorders>
            <w:shd w:val="clear" w:color="auto" w:fill="auto"/>
            <w:vAlign w:val="center"/>
          </w:tcPr>
          <w:p w14:paraId="7D8F035F"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single" w:sz="4" w:space="0" w:color="auto"/>
              <w:right w:val="nil"/>
            </w:tcBorders>
            <w:shd w:val="clear" w:color="auto" w:fill="auto"/>
            <w:vAlign w:val="center"/>
          </w:tcPr>
          <w:p w14:paraId="7281562F"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tcBorders>
              <w:top w:val="nil"/>
              <w:left w:val="nil"/>
              <w:bottom w:val="single" w:sz="4" w:space="0" w:color="auto"/>
              <w:right w:val="nil"/>
            </w:tcBorders>
            <w:shd w:val="clear" w:color="auto" w:fill="auto"/>
            <w:vAlign w:val="center"/>
          </w:tcPr>
          <w:p w14:paraId="66D440E2"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76" w:type="dxa"/>
            <w:tcBorders>
              <w:top w:val="nil"/>
              <w:left w:val="nil"/>
              <w:bottom w:val="single" w:sz="4" w:space="0" w:color="auto"/>
              <w:right w:val="nil"/>
            </w:tcBorders>
            <w:shd w:val="clear" w:color="auto" w:fill="auto"/>
          </w:tcPr>
          <w:p w14:paraId="77CA0905" w14:textId="77777777" w:rsidR="00752B60" w:rsidRPr="00644FC9" w:rsidRDefault="00752B60" w:rsidP="003419D8">
            <w:pPr>
              <w:widowControl/>
              <w:adjustRightInd w:val="0"/>
              <w:snapToGrid w:val="0"/>
              <w:jc w:val="center"/>
              <w:rPr>
                <w:rFonts w:ascii="Times New Roman" w:eastAsia="新細明體" w:hAnsi="Times New Roman" w:cs="Times New Roman"/>
                <w:color w:val="000000" w:themeColor="text1"/>
                <w:kern w:val="0"/>
                <w:szCs w:val="24"/>
              </w:rPr>
            </w:pPr>
          </w:p>
        </w:tc>
        <w:tc>
          <w:tcPr>
            <w:tcW w:w="1111" w:type="dxa"/>
            <w:vMerge/>
            <w:tcBorders>
              <w:left w:val="nil"/>
              <w:bottom w:val="single" w:sz="4" w:space="0" w:color="auto"/>
              <w:right w:val="nil"/>
            </w:tcBorders>
            <w:shd w:val="clear" w:color="auto" w:fill="auto"/>
            <w:vAlign w:val="center"/>
          </w:tcPr>
          <w:p w14:paraId="1CC90CBD"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vMerge/>
            <w:tcBorders>
              <w:left w:val="nil"/>
              <w:bottom w:val="single" w:sz="4" w:space="0" w:color="auto"/>
              <w:right w:val="nil"/>
            </w:tcBorders>
            <w:shd w:val="clear" w:color="auto" w:fill="auto"/>
            <w:vAlign w:val="center"/>
          </w:tcPr>
          <w:p w14:paraId="67FA7551" w14:textId="77777777" w:rsidR="00752B60" w:rsidRPr="00644FC9" w:rsidRDefault="00752B60" w:rsidP="003419D8">
            <w:pPr>
              <w:adjustRightInd w:val="0"/>
              <w:snapToGrid w:val="0"/>
              <w:jc w:val="center"/>
              <w:rPr>
                <w:rFonts w:ascii="Times New Roman" w:hAnsi="Times New Roman" w:cs="Times New Roman"/>
                <w:color w:val="000000" w:themeColor="text1"/>
              </w:rPr>
            </w:pPr>
          </w:p>
        </w:tc>
        <w:tc>
          <w:tcPr>
            <w:tcW w:w="1111" w:type="dxa"/>
            <w:vMerge/>
            <w:tcBorders>
              <w:left w:val="nil"/>
              <w:bottom w:val="single" w:sz="4" w:space="0" w:color="auto"/>
              <w:right w:val="nil"/>
            </w:tcBorders>
            <w:shd w:val="clear" w:color="auto" w:fill="auto"/>
            <w:vAlign w:val="center"/>
          </w:tcPr>
          <w:p w14:paraId="0E738948" w14:textId="77777777" w:rsidR="00752B60" w:rsidRPr="00644FC9" w:rsidRDefault="00752B60" w:rsidP="003419D8">
            <w:pPr>
              <w:adjustRightInd w:val="0"/>
              <w:snapToGrid w:val="0"/>
              <w:jc w:val="center"/>
              <w:rPr>
                <w:rFonts w:ascii="Times New Roman" w:hAnsi="Times New Roman" w:cs="Times New Roman"/>
                <w:color w:val="000000" w:themeColor="text1"/>
              </w:rPr>
            </w:pPr>
          </w:p>
        </w:tc>
      </w:tr>
    </w:tbl>
    <w:p w14:paraId="4DE5B231" w14:textId="0C8B8E98" w:rsidR="00752B60" w:rsidRPr="00644FC9" w:rsidRDefault="00752B60" w:rsidP="00752B60">
      <w:pPr>
        <w:adjustRightInd w:val="0"/>
        <w:snapToGrid w:val="0"/>
        <w:jc w:val="both"/>
        <w:rPr>
          <w:rFonts w:ascii="Times New Roman" w:hAnsi="Times New Roman" w:cs="Times New Roman"/>
          <w:color w:val="000000" w:themeColor="text1"/>
          <w:szCs w:val="24"/>
        </w:rPr>
      </w:pPr>
      <w:r w:rsidRPr="00644FC9">
        <w:rPr>
          <w:rFonts w:ascii="Times New Roman" w:hAnsi="Times New Roman" w:cs="Times New Roman"/>
          <w:i/>
          <w:color w:val="000000" w:themeColor="text1"/>
          <w:szCs w:val="24"/>
        </w:rPr>
        <w:t>BHAR5</w:t>
      </w:r>
      <w:r w:rsidRPr="00644FC9">
        <w:rPr>
          <w:rFonts w:ascii="Times New Roman" w:hAnsi="Times New Roman" w:cs="Times New Roman"/>
          <w:color w:val="000000" w:themeColor="text1"/>
          <w:szCs w:val="24"/>
        </w:rPr>
        <w:t xml:space="preserve"> (</w:t>
      </w:r>
      <w:r w:rsidRPr="00644FC9">
        <w:rPr>
          <w:rFonts w:ascii="Times New Roman" w:hAnsi="Times New Roman" w:cs="Times New Roman"/>
          <w:i/>
          <w:color w:val="000000" w:themeColor="text1"/>
          <w:szCs w:val="24"/>
        </w:rPr>
        <w:t>BHAR21</w:t>
      </w:r>
      <w:r w:rsidRPr="00644FC9">
        <w:rPr>
          <w:rFonts w:ascii="Times New Roman" w:hAnsi="Times New Roman" w:cs="Times New Roman"/>
          <w:color w:val="000000" w:themeColor="text1"/>
          <w:szCs w:val="24"/>
        </w:rPr>
        <w:t xml:space="preserve">) is </w:t>
      </w:r>
      <w:r w:rsidR="00D83E2D" w:rsidRPr="00644FC9">
        <w:rPr>
          <w:rFonts w:ascii="Times New Roman" w:hAnsi="Times New Roman" w:cs="Times New Roman"/>
          <w:color w:val="000000" w:themeColor="text1"/>
          <w:szCs w:val="24"/>
        </w:rPr>
        <w:t xml:space="preserve">the </w:t>
      </w:r>
      <w:r w:rsidRPr="00644FC9">
        <w:rPr>
          <w:rFonts w:ascii="Times New Roman" w:hAnsi="Times New Roman" w:cs="Times New Roman"/>
          <w:color w:val="000000" w:themeColor="text1"/>
          <w:szCs w:val="24"/>
        </w:rPr>
        <w:t>5-day (21-day)</w:t>
      </w:r>
      <w:r w:rsidR="00D83E2D"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 size-adjusted</w:t>
      </w:r>
      <w:r w:rsidR="00D83E2D"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 buy-and-hold returns after quarter </w:t>
      </w:r>
      <w:r w:rsidRPr="00644FC9">
        <w:rPr>
          <w:rFonts w:ascii="Times New Roman" w:hAnsi="Times New Roman" w:cs="Times New Roman"/>
          <w:i/>
          <w:color w:val="000000" w:themeColor="text1"/>
          <w:szCs w:val="24"/>
        </w:rPr>
        <w:t>t</w:t>
      </w:r>
      <w:r w:rsidRPr="00644FC9">
        <w:rPr>
          <w:rFonts w:ascii="Times New Roman" w:hAnsi="Times New Roman" w:cs="Times New Roman"/>
          <w:color w:val="000000" w:themeColor="text1"/>
          <w:szCs w:val="24"/>
        </w:rPr>
        <w:t xml:space="preserve">’s </w:t>
      </w:r>
      <w:r w:rsidR="0065717A">
        <w:rPr>
          <w:rFonts w:ascii="Times New Roman" w:hAnsi="Times New Roman" w:cs="Times New Roman"/>
          <w:color w:val="000000" w:themeColor="text1"/>
          <w:szCs w:val="24"/>
        </w:rPr>
        <w:t>earnings-announcement</w:t>
      </w:r>
      <w:r w:rsidRPr="00644FC9">
        <w:rPr>
          <w:rFonts w:ascii="Times New Roman" w:hAnsi="Times New Roman" w:cs="Times New Roman"/>
          <w:color w:val="000000" w:themeColor="text1"/>
          <w:szCs w:val="24"/>
        </w:rPr>
        <w:t xml:space="preserve">. </w:t>
      </w:r>
      <w:r w:rsidR="005E6294" w:rsidRPr="00644FC9">
        <w:rPr>
          <w:rFonts w:ascii="Times New Roman" w:hAnsi="Times New Roman" w:cs="Times New Roman"/>
          <w:i/>
          <w:color w:val="000000" w:themeColor="text1"/>
          <w:szCs w:val="24"/>
        </w:rPr>
        <w:t>BHARQ</w:t>
      </w:r>
      <w:r w:rsidR="005E6294" w:rsidRPr="00644FC9">
        <w:rPr>
          <w:rFonts w:ascii="Times New Roman" w:hAnsi="Times New Roman" w:cs="Times New Roman"/>
          <w:color w:val="000000" w:themeColor="text1"/>
          <w:szCs w:val="24"/>
        </w:rPr>
        <w:t xml:space="preserve"> is the size-adjusted buy-and-hold return for the period beginning on the day after quarter </w:t>
      </w:r>
      <w:r w:rsidR="005E6294" w:rsidRPr="00644FC9">
        <w:rPr>
          <w:rFonts w:ascii="Times New Roman" w:hAnsi="Times New Roman" w:cs="Times New Roman"/>
          <w:i/>
          <w:color w:val="000000" w:themeColor="text1"/>
          <w:szCs w:val="24"/>
        </w:rPr>
        <w:t>t</w:t>
      </w:r>
      <w:r w:rsidR="005E6294" w:rsidRPr="00644FC9">
        <w:rPr>
          <w:rFonts w:ascii="Times New Roman" w:hAnsi="Times New Roman" w:cs="Times New Roman"/>
          <w:color w:val="000000" w:themeColor="text1"/>
          <w:szCs w:val="24"/>
        </w:rPr>
        <w:t xml:space="preserve">’s </w:t>
      </w:r>
      <w:r w:rsidR="005E6294">
        <w:rPr>
          <w:rFonts w:ascii="Times New Roman" w:hAnsi="Times New Roman" w:cs="Times New Roman"/>
          <w:color w:val="000000" w:themeColor="text1"/>
          <w:szCs w:val="24"/>
        </w:rPr>
        <w:t>earnings-announcement</w:t>
      </w:r>
      <w:r w:rsidR="005E6294" w:rsidRPr="00644FC9">
        <w:rPr>
          <w:rFonts w:ascii="Times New Roman" w:hAnsi="Times New Roman" w:cs="Times New Roman"/>
          <w:color w:val="000000" w:themeColor="text1"/>
          <w:szCs w:val="24"/>
        </w:rPr>
        <w:t xml:space="preserve"> and ending on the </w:t>
      </w:r>
      <w:r w:rsidR="005E6294" w:rsidRPr="005E6294">
        <w:rPr>
          <w:rFonts w:ascii="Times New Roman" w:hAnsi="Times New Roman" w:cs="Times New Roman"/>
          <w:color w:val="000000" w:themeColor="text1"/>
          <w:szCs w:val="24"/>
        </w:rPr>
        <w:t xml:space="preserve">second day before </w:t>
      </w:r>
      <w:r w:rsidR="005E6294" w:rsidRPr="00644FC9">
        <w:rPr>
          <w:rFonts w:ascii="Times New Roman" w:hAnsi="Times New Roman" w:cs="Times New Roman"/>
          <w:color w:val="000000" w:themeColor="text1"/>
          <w:szCs w:val="24"/>
        </w:rPr>
        <w:t xml:space="preserve">quarter </w:t>
      </w:r>
      <w:r w:rsidR="005E6294" w:rsidRPr="00644FC9">
        <w:rPr>
          <w:rFonts w:ascii="Times New Roman" w:hAnsi="Times New Roman" w:cs="Times New Roman"/>
          <w:i/>
          <w:color w:val="000000" w:themeColor="text1"/>
          <w:szCs w:val="24"/>
        </w:rPr>
        <w:t>t</w:t>
      </w:r>
      <w:r w:rsidR="005E6294" w:rsidRPr="00644FC9">
        <w:rPr>
          <w:rFonts w:ascii="Times New Roman" w:hAnsi="Times New Roman" w:cs="Times New Roman"/>
          <w:color w:val="000000" w:themeColor="text1"/>
          <w:szCs w:val="24"/>
        </w:rPr>
        <w:t xml:space="preserve">+1’s </w:t>
      </w:r>
      <w:r w:rsidR="005E6294">
        <w:rPr>
          <w:rFonts w:ascii="Times New Roman" w:hAnsi="Times New Roman" w:cs="Times New Roman"/>
          <w:color w:val="000000" w:themeColor="text1"/>
          <w:szCs w:val="24"/>
        </w:rPr>
        <w:t>earnings-announcement</w:t>
      </w:r>
      <w:r w:rsidR="005E6294" w:rsidRPr="00644FC9">
        <w:rPr>
          <w:rFonts w:ascii="Times New Roman" w:hAnsi="Times New Roman" w:cs="Times New Roman"/>
          <w:color w:val="000000" w:themeColor="text1"/>
          <w:szCs w:val="24"/>
        </w:rPr>
        <w:t xml:space="preserve"> date.</w:t>
      </w:r>
      <w:r w:rsidRPr="00644FC9">
        <w:rPr>
          <w:rFonts w:ascii="Times New Roman" w:hAnsi="Times New Roman" w:cs="Times New Roman"/>
          <w:color w:val="000000" w:themeColor="text1"/>
          <w:szCs w:val="24"/>
        </w:rPr>
        <w:t xml:space="preserve"> In model</w:t>
      </w:r>
      <w:r w:rsidR="00D83E2D" w:rsidRPr="00644FC9">
        <w:rPr>
          <w:rFonts w:ascii="Times New Roman" w:hAnsi="Times New Roman" w:cs="Times New Roman"/>
          <w:color w:val="000000" w:themeColor="text1"/>
          <w:szCs w:val="24"/>
        </w:rPr>
        <w:t>s</w:t>
      </w:r>
      <w:r w:rsidRPr="00644FC9">
        <w:rPr>
          <w:rFonts w:ascii="Times New Roman" w:hAnsi="Times New Roman" w:cs="Times New Roman"/>
          <w:color w:val="000000" w:themeColor="text1"/>
          <w:szCs w:val="24"/>
        </w:rPr>
        <w:t xml:space="preserve"> 1</w:t>
      </w:r>
      <w:r w:rsidR="00D83E2D" w:rsidRPr="00644FC9">
        <w:rPr>
          <w:rFonts w:ascii="Times New Roman" w:hAnsi="Times New Roman" w:cs="Times New Roman"/>
          <w:color w:val="000000" w:themeColor="text1"/>
          <w:szCs w:val="24"/>
        </w:rPr>
        <w:t>-</w:t>
      </w:r>
      <w:r w:rsidRPr="00644FC9">
        <w:rPr>
          <w:rFonts w:ascii="Times New Roman" w:hAnsi="Times New Roman" w:cs="Times New Roman"/>
          <w:color w:val="000000" w:themeColor="text1"/>
          <w:szCs w:val="24"/>
        </w:rPr>
        <w:t xml:space="preserve">6, all variables are </w:t>
      </w:r>
      <w:proofErr w:type="spellStart"/>
      <w:r w:rsidRPr="00644FC9">
        <w:rPr>
          <w:rFonts w:ascii="Times New Roman" w:hAnsi="Times New Roman" w:cs="Times New Roman"/>
          <w:color w:val="000000" w:themeColor="text1"/>
          <w:szCs w:val="24"/>
        </w:rPr>
        <w:t>winsorized</w:t>
      </w:r>
      <w:proofErr w:type="spellEnd"/>
      <w:r w:rsidRPr="00644FC9">
        <w:rPr>
          <w:rFonts w:ascii="Times New Roman" w:hAnsi="Times New Roman" w:cs="Times New Roman"/>
          <w:color w:val="000000" w:themeColor="text1"/>
          <w:szCs w:val="24"/>
        </w:rPr>
        <w:t xml:space="preserve"> at the 1% and 99% level</w:t>
      </w:r>
      <w:r w:rsidR="00D83E2D" w:rsidRPr="00644FC9">
        <w:rPr>
          <w:rFonts w:ascii="Times New Roman" w:hAnsi="Times New Roman" w:cs="Times New Roman"/>
          <w:color w:val="000000" w:themeColor="text1"/>
          <w:szCs w:val="24"/>
        </w:rPr>
        <w:t>s</w:t>
      </w:r>
      <w:r w:rsidRPr="00644FC9">
        <w:rPr>
          <w:rFonts w:ascii="Times New Roman" w:hAnsi="Times New Roman" w:cs="Times New Roman"/>
          <w:color w:val="000000" w:themeColor="text1"/>
          <w:szCs w:val="24"/>
        </w:rPr>
        <w:t>. In model</w:t>
      </w:r>
      <w:r w:rsidR="00D83E2D" w:rsidRPr="00644FC9">
        <w:rPr>
          <w:rFonts w:ascii="Times New Roman" w:hAnsi="Times New Roman" w:cs="Times New Roman"/>
          <w:color w:val="000000" w:themeColor="text1"/>
          <w:szCs w:val="24"/>
        </w:rPr>
        <w:t>s</w:t>
      </w:r>
      <w:r w:rsidRPr="00644FC9">
        <w:rPr>
          <w:rFonts w:ascii="Times New Roman" w:hAnsi="Times New Roman" w:cs="Times New Roman"/>
          <w:color w:val="000000" w:themeColor="text1"/>
          <w:szCs w:val="24"/>
        </w:rPr>
        <w:t xml:space="preserve"> 7</w:t>
      </w:r>
      <w:r w:rsidR="00D83E2D" w:rsidRPr="00644FC9">
        <w:rPr>
          <w:rFonts w:ascii="Times New Roman" w:hAnsi="Times New Roman" w:cs="Times New Roman"/>
          <w:color w:val="000000" w:themeColor="text1"/>
          <w:szCs w:val="24"/>
        </w:rPr>
        <w:t>-12</w:t>
      </w:r>
      <w:r w:rsidRPr="00644FC9">
        <w:rPr>
          <w:rFonts w:ascii="Times New Roman" w:hAnsi="Times New Roman" w:cs="Times New Roman"/>
          <w:color w:val="000000" w:themeColor="text1"/>
          <w:szCs w:val="24"/>
        </w:rPr>
        <w:t>, the decile ranks for each variable (ranked 1, 2</w:t>
      </w:r>
      <w:proofErr w:type="gramStart"/>
      <w:r w:rsidRPr="00644FC9">
        <w:rPr>
          <w:rFonts w:ascii="Times New Roman" w:hAnsi="Times New Roman" w:cs="Times New Roman"/>
          <w:color w:val="000000" w:themeColor="text1"/>
          <w:szCs w:val="24"/>
        </w:rPr>
        <w:t>,…,</w:t>
      </w:r>
      <w:proofErr w:type="gramEnd"/>
      <w:r w:rsidRPr="00644FC9">
        <w:rPr>
          <w:rFonts w:ascii="Times New Roman" w:hAnsi="Times New Roman" w:cs="Times New Roman"/>
          <w:color w:val="000000" w:themeColor="text1"/>
          <w:szCs w:val="24"/>
        </w:rPr>
        <w:t xml:space="preserve"> 10) are calculated for each sample quarter. </w:t>
      </w:r>
      <w:r w:rsidRPr="00644FC9">
        <w:rPr>
          <w:rFonts w:ascii="Times New Roman" w:hAnsi="Times New Roman" w:cs="Times New Roman"/>
          <w:color w:val="000000" w:themeColor="text1"/>
          <w:szCs w:val="24"/>
          <w:vertAlign w:val="superscript"/>
        </w:rPr>
        <w:t>***</w:t>
      </w:r>
      <w:r w:rsidRPr="00644FC9">
        <w:rPr>
          <w:rFonts w:ascii="Times New Roman" w:hAnsi="Times New Roman" w:cs="Times New Roman"/>
          <w:color w:val="000000" w:themeColor="text1"/>
          <w:szCs w:val="24"/>
        </w:rPr>
        <w:t xml:space="preserve">, </w:t>
      </w:r>
      <w:r w:rsidRPr="00644FC9">
        <w:rPr>
          <w:rFonts w:ascii="Times New Roman" w:hAnsi="Times New Roman" w:cs="Times New Roman"/>
          <w:color w:val="000000" w:themeColor="text1"/>
          <w:szCs w:val="24"/>
          <w:vertAlign w:val="superscript"/>
        </w:rPr>
        <w:t>**</w:t>
      </w:r>
      <w:r w:rsidRPr="00644FC9">
        <w:rPr>
          <w:rFonts w:ascii="Times New Roman" w:hAnsi="Times New Roman" w:cs="Times New Roman"/>
          <w:color w:val="000000" w:themeColor="text1"/>
          <w:szCs w:val="24"/>
        </w:rPr>
        <w:t xml:space="preserve">, </w:t>
      </w:r>
      <w:r w:rsidRPr="00644FC9">
        <w:rPr>
          <w:rFonts w:ascii="Times New Roman" w:hAnsi="Times New Roman" w:cs="Times New Roman"/>
          <w:color w:val="000000" w:themeColor="text1"/>
          <w:szCs w:val="24"/>
          <w:vertAlign w:val="superscript"/>
        </w:rPr>
        <w:t>*</w:t>
      </w:r>
      <w:r w:rsidRPr="00644FC9">
        <w:rPr>
          <w:rFonts w:ascii="Times New Roman" w:hAnsi="Times New Roman" w:cs="Times New Roman"/>
          <w:color w:val="000000" w:themeColor="text1"/>
          <w:szCs w:val="24"/>
        </w:rPr>
        <w:t xml:space="preserve"> represent significance at the 1%, 5%, and 10% levels, respectively. Two-tailed t-values are reported in parentheses.</w:t>
      </w:r>
    </w:p>
    <w:p w14:paraId="7FF1E0BC" w14:textId="77777777" w:rsidR="00752B60" w:rsidRPr="00644FC9" w:rsidRDefault="00752B60" w:rsidP="004C204F">
      <w:pPr>
        <w:spacing w:line="480" w:lineRule="auto"/>
        <w:ind w:firstLineChars="200" w:firstLine="480"/>
        <w:jc w:val="both"/>
        <w:rPr>
          <w:rFonts w:ascii="Times New Roman" w:hAnsi="Times New Roman" w:cs="Times New Roman"/>
          <w:color w:val="000000" w:themeColor="text1"/>
        </w:rPr>
        <w:sectPr w:rsidR="00752B60" w:rsidRPr="00644FC9" w:rsidSect="00752B60">
          <w:pgSz w:w="16838" w:h="11906" w:orient="landscape"/>
          <w:pgMar w:top="1440" w:right="1440" w:bottom="1440" w:left="1440" w:header="851" w:footer="992" w:gutter="0"/>
          <w:cols w:space="425"/>
          <w:docGrid w:type="lines" w:linePitch="360"/>
        </w:sectPr>
      </w:pPr>
    </w:p>
    <w:p w14:paraId="7D4776EB" w14:textId="13E65E81" w:rsidR="003957D1" w:rsidRPr="00644FC9" w:rsidRDefault="00A83E6C" w:rsidP="00A83E6C">
      <w:pPr>
        <w:spacing w:line="480" w:lineRule="auto"/>
        <w:rPr>
          <w:rFonts w:ascii="Times New Roman" w:hAnsi="Times New Roman" w:cs="Times New Roman"/>
          <w:b/>
          <w:color w:val="000000" w:themeColor="text1"/>
        </w:rPr>
      </w:pPr>
      <w:r w:rsidRPr="00644FC9">
        <w:rPr>
          <w:rFonts w:ascii="Times New Roman" w:hAnsi="Times New Roman" w:cs="Times New Roman"/>
          <w:b/>
          <w:color w:val="000000" w:themeColor="text1"/>
        </w:rPr>
        <w:lastRenderedPageBreak/>
        <w:t>5</w:t>
      </w:r>
      <w:bookmarkStart w:id="0" w:name="_GoBack"/>
      <w:bookmarkEnd w:id="0"/>
      <w:r w:rsidRPr="00644FC9">
        <w:rPr>
          <w:rFonts w:ascii="Times New Roman" w:hAnsi="Times New Roman" w:cs="Times New Roman"/>
          <w:b/>
          <w:color w:val="000000" w:themeColor="text1"/>
        </w:rPr>
        <w:t xml:space="preserve"> Conclusions</w:t>
      </w:r>
    </w:p>
    <w:p w14:paraId="39AA017E" w14:textId="6906EB43" w:rsidR="000B5D7E" w:rsidRPr="00644FC9" w:rsidRDefault="002D2529" w:rsidP="009D2446">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 xml:space="preserve">Previous studies argue that the market systematically underestimates the persistence of earnings surprises resulting </w:t>
      </w:r>
      <w:r w:rsidR="00EC65B9" w:rsidRPr="00644FC9">
        <w:rPr>
          <w:rFonts w:ascii="Times New Roman" w:hAnsi="Times New Roman" w:cs="Times New Roman"/>
          <w:color w:val="000000" w:themeColor="text1"/>
        </w:rPr>
        <w:t xml:space="preserve">from </w:t>
      </w:r>
      <w:r w:rsidRPr="00644FC9">
        <w:rPr>
          <w:rFonts w:ascii="Times New Roman" w:hAnsi="Times New Roman" w:cs="Times New Roman"/>
          <w:color w:val="000000" w:themeColor="text1"/>
        </w:rPr>
        <w:t>the post-earnings-announcement drift anomaly (</w:t>
      </w:r>
      <w:r w:rsidR="00644FC9">
        <w:rPr>
          <w:rFonts w:ascii="Times New Roman" w:hAnsi="Times New Roman" w:cs="Times New Roman"/>
          <w:color w:val="000000" w:themeColor="text1"/>
        </w:rPr>
        <w:t xml:space="preserve">e.g., </w:t>
      </w:r>
      <w:r w:rsidRPr="00644FC9">
        <w:rPr>
          <w:rFonts w:ascii="Times New Roman" w:hAnsi="Times New Roman" w:cs="Times New Roman"/>
          <w:color w:val="000000" w:themeColor="text1"/>
        </w:rPr>
        <w:t xml:space="preserve">Ball and </w:t>
      </w:r>
      <w:proofErr w:type="spellStart"/>
      <w:r w:rsidRPr="00644FC9">
        <w:rPr>
          <w:rFonts w:ascii="Times New Roman" w:hAnsi="Times New Roman" w:cs="Times New Roman"/>
          <w:color w:val="000000" w:themeColor="text1"/>
        </w:rPr>
        <w:t>Bartov</w:t>
      </w:r>
      <w:proofErr w:type="spellEnd"/>
      <w:r w:rsidRPr="00644FC9">
        <w:rPr>
          <w:rFonts w:ascii="Times New Roman" w:hAnsi="Times New Roman" w:cs="Times New Roman"/>
          <w:color w:val="000000" w:themeColor="text1"/>
        </w:rPr>
        <w:t xml:space="preserve">, 1996). </w:t>
      </w:r>
      <w:r w:rsidR="0047480B" w:rsidRPr="00644FC9">
        <w:rPr>
          <w:rFonts w:ascii="Times New Roman" w:hAnsi="Times New Roman" w:cs="Times New Roman"/>
          <w:color w:val="000000" w:themeColor="text1"/>
        </w:rPr>
        <w:t>This paper examined the relation</w:t>
      </w:r>
      <w:r w:rsidR="00EC65B9" w:rsidRPr="00644FC9">
        <w:rPr>
          <w:rFonts w:ascii="Times New Roman" w:hAnsi="Times New Roman" w:cs="Times New Roman"/>
          <w:color w:val="000000" w:themeColor="text1"/>
        </w:rPr>
        <w:t>ship</w:t>
      </w:r>
      <w:r w:rsidR="0047480B" w:rsidRPr="00644FC9">
        <w:rPr>
          <w:rFonts w:ascii="Times New Roman" w:hAnsi="Times New Roman" w:cs="Times New Roman"/>
          <w:color w:val="000000" w:themeColor="text1"/>
        </w:rPr>
        <w:t xml:space="preserve"> between </w:t>
      </w:r>
      <w:r w:rsidR="00CB4814" w:rsidRPr="00644FC9">
        <w:rPr>
          <w:rFonts w:ascii="Times New Roman" w:hAnsi="Times New Roman" w:cs="Times New Roman"/>
          <w:color w:val="000000" w:themeColor="text1"/>
        </w:rPr>
        <w:t>unexpected earnings components</w:t>
      </w:r>
      <w:r w:rsidR="00EC65B9" w:rsidRPr="00644FC9">
        <w:rPr>
          <w:rFonts w:ascii="Times New Roman" w:hAnsi="Times New Roman" w:cs="Times New Roman"/>
          <w:color w:val="000000" w:themeColor="text1"/>
        </w:rPr>
        <w:t xml:space="preserve"> (</w:t>
      </w:r>
      <w:r w:rsidR="00B54623" w:rsidRPr="00644FC9">
        <w:rPr>
          <w:rFonts w:ascii="Times New Roman" w:hAnsi="Times New Roman" w:cs="Times New Roman"/>
          <w:color w:val="000000" w:themeColor="text1"/>
        </w:rPr>
        <w:t xml:space="preserve">unexpected </w:t>
      </w:r>
      <w:r w:rsidR="00CB4814" w:rsidRPr="00644FC9">
        <w:rPr>
          <w:rFonts w:ascii="Times New Roman" w:hAnsi="Times New Roman" w:cs="Times New Roman"/>
          <w:color w:val="000000" w:themeColor="text1"/>
        </w:rPr>
        <w:t>operating and</w:t>
      </w:r>
      <w:r w:rsidR="00313173" w:rsidRPr="00644FC9">
        <w:rPr>
          <w:rFonts w:ascii="Times New Roman" w:hAnsi="Times New Roman" w:cs="Times New Roman"/>
          <w:color w:val="000000" w:themeColor="text1"/>
        </w:rPr>
        <w:t xml:space="preserve"> non-operating </w:t>
      </w:r>
      <w:r w:rsidR="00CB4814" w:rsidRPr="00644FC9">
        <w:rPr>
          <w:rFonts w:ascii="Times New Roman" w:hAnsi="Times New Roman" w:cs="Times New Roman"/>
          <w:color w:val="000000" w:themeColor="text1"/>
        </w:rPr>
        <w:t>income</w:t>
      </w:r>
      <w:r w:rsidR="00EC65B9" w:rsidRPr="00644FC9">
        <w:rPr>
          <w:rFonts w:ascii="Times New Roman" w:hAnsi="Times New Roman" w:cs="Times New Roman"/>
          <w:color w:val="000000" w:themeColor="text1"/>
        </w:rPr>
        <w:t xml:space="preserve">) </w:t>
      </w:r>
      <w:r w:rsidR="00CB4814" w:rsidRPr="00644FC9">
        <w:rPr>
          <w:rFonts w:ascii="Times New Roman" w:hAnsi="Times New Roman" w:cs="Times New Roman"/>
          <w:color w:val="000000" w:themeColor="text1"/>
        </w:rPr>
        <w:t xml:space="preserve">and </w:t>
      </w:r>
      <w:r w:rsidR="0047480B" w:rsidRPr="00644FC9">
        <w:rPr>
          <w:rFonts w:ascii="Times New Roman" w:hAnsi="Times New Roman" w:cs="Times New Roman"/>
          <w:color w:val="000000" w:themeColor="text1"/>
        </w:rPr>
        <w:t>post-</w:t>
      </w:r>
      <w:r w:rsidR="0065717A">
        <w:rPr>
          <w:rFonts w:ascii="Times New Roman" w:hAnsi="Times New Roman" w:cs="Times New Roman"/>
          <w:color w:val="000000" w:themeColor="text1"/>
        </w:rPr>
        <w:t>earnings-announcement</w:t>
      </w:r>
      <w:r w:rsidR="0047480B" w:rsidRPr="00644FC9">
        <w:rPr>
          <w:rFonts w:ascii="Times New Roman" w:hAnsi="Times New Roman" w:cs="Times New Roman"/>
          <w:color w:val="000000" w:themeColor="text1"/>
        </w:rPr>
        <w:t xml:space="preserve"> drift to see if </w:t>
      </w:r>
      <w:r w:rsidR="00B253E7" w:rsidRPr="00644FC9">
        <w:rPr>
          <w:rFonts w:ascii="Times New Roman" w:hAnsi="Times New Roman" w:cs="Times New Roman"/>
          <w:color w:val="000000" w:themeColor="text1"/>
        </w:rPr>
        <w:t>both components contribute</w:t>
      </w:r>
      <w:r w:rsidR="0047480B" w:rsidRPr="00644FC9">
        <w:rPr>
          <w:rFonts w:ascii="Times New Roman" w:hAnsi="Times New Roman" w:cs="Times New Roman"/>
          <w:color w:val="000000" w:themeColor="text1"/>
        </w:rPr>
        <w:t xml:space="preserve"> </w:t>
      </w:r>
      <w:r w:rsidR="00B253E7" w:rsidRPr="00644FC9">
        <w:rPr>
          <w:rFonts w:ascii="Times New Roman" w:hAnsi="Times New Roman" w:cs="Times New Roman"/>
          <w:color w:val="000000" w:themeColor="text1"/>
        </w:rPr>
        <w:t xml:space="preserve">to the </w:t>
      </w:r>
      <w:r w:rsidR="0047480B" w:rsidRPr="00644FC9">
        <w:rPr>
          <w:rFonts w:ascii="Times New Roman" w:hAnsi="Times New Roman" w:cs="Times New Roman"/>
          <w:color w:val="000000" w:themeColor="text1"/>
        </w:rPr>
        <w:t xml:space="preserve">mispricing phenomenon. </w:t>
      </w:r>
      <w:r w:rsidR="00B97C2B" w:rsidRPr="00644FC9">
        <w:rPr>
          <w:rFonts w:ascii="Times New Roman" w:hAnsi="Times New Roman" w:cs="Times New Roman"/>
          <w:color w:val="000000" w:themeColor="text1"/>
        </w:rPr>
        <w:t xml:space="preserve">Specifically, </w:t>
      </w:r>
      <w:r w:rsidR="00B10727" w:rsidRPr="00644FC9">
        <w:rPr>
          <w:rFonts w:ascii="Times New Roman" w:hAnsi="Times New Roman" w:cs="Times New Roman"/>
          <w:color w:val="000000" w:themeColor="text1"/>
        </w:rPr>
        <w:t xml:space="preserve">if earnings surprises are associated with </w:t>
      </w:r>
      <w:r w:rsidR="007A4BD5" w:rsidRPr="00644FC9">
        <w:rPr>
          <w:rFonts w:ascii="Times New Roman" w:hAnsi="Times New Roman" w:cs="Times New Roman"/>
          <w:color w:val="000000" w:themeColor="text1"/>
        </w:rPr>
        <w:t xml:space="preserve">the </w:t>
      </w:r>
      <w:r w:rsidR="00B10727" w:rsidRPr="00644FC9">
        <w:rPr>
          <w:rFonts w:ascii="Times New Roman" w:hAnsi="Times New Roman" w:cs="Times New Roman"/>
          <w:color w:val="000000" w:themeColor="text1"/>
        </w:rPr>
        <w:t>permanent component</w:t>
      </w:r>
      <w:r w:rsidR="007A4BD5" w:rsidRPr="00644FC9">
        <w:rPr>
          <w:rFonts w:ascii="Times New Roman" w:hAnsi="Times New Roman" w:cs="Times New Roman"/>
          <w:color w:val="000000" w:themeColor="text1"/>
        </w:rPr>
        <w:t>s</w:t>
      </w:r>
      <w:r w:rsidR="00B10727" w:rsidRPr="00644FC9">
        <w:rPr>
          <w:rFonts w:ascii="Times New Roman" w:hAnsi="Times New Roman" w:cs="Times New Roman"/>
          <w:color w:val="000000" w:themeColor="text1"/>
        </w:rPr>
        <w:t xml:space="preserve"> of </w:t>
      </w:r>
      <w:r w:rsidR="007A4BD5" w:rsidRPr="00644FC9">
        <w:rPr>
          <w:rFonts w:ascii="Times New Roman" w:hAnsi="Times New Roman" w:cs="Times New Roman"/>
          <w:color w:val="000000" w:themeColor="text1"/>
        </w:rPr>
        <w:t xml:space="preserve">earnings, the market may only </w:t>
      </w:r>
      <w:r w:rsidR="00644FC9">
        <w:rPr>
          <w:rFonts w:ascii="Times New Roman" w:hAnsi="Times New Roman" w:cs="Times New Roman"/>
          <w:color w:val="000000" w:themeColor="text1"/>
        </w:rPr>
        <w:t>underr</w:t>
      </w:r>
      <w:r w:rsidR="00D36952" w:rsidRPr="00644FC9">
        <w:rPr>
          <w:rFonts w:ascii="Times New Roman" w:hAnsi="Times New Roman" w:cs="Times New Roman"/>
          <w:color w:val="000000" w:themeColor="text1"/>
        </w:rPr>
        <w:t xml:space="preserve">eact </w:t>
      </w:r>
      <w:r w:rsidR="00EC65B9" w:rsidRPr="00644FC9">
        <w:rPr>
          <w:rFonts w:ascii="Times New Roman" w:hAnsi="Times New Roman" w:cs="Times New Roman"/>
          <w:color w:val="000000" w:themeColor="text1"/>
        </w:rPr>
        <w:t xml:space="preserve">to </w:t>
      </w:r>
      <w:r w:rsidR="00D36952" w:rsidRPr="00644FC9">
        <w:rPr>
          <w:rFonts w:ascii="Times New Roman" w:hAnsi="Times New Roman" w:cs="Times New Roman"/>
          <w:color w:val="000000" w:themeColor="text1"/>
        </w:rPr>
        <w:t>operating income surprises rather than</w:t>
      </w:r>
      <w:r w:rsidR="00313173" w:rsidRPr="00644FC9">
        <w:rPr>
          <w:rFonts w:ascii="Times New Roman" w:hAnsi="Times New Roman" w:cs="Times New Roman"/>
          <w:color w:val="000000" w:themeColor="text1"/>
        </w:rPr>
        <w:t xml:space="preserve"> </w:t>
      </w:r>
      <w:r w:rsidR="00EC65B9" w:rsidRPr="00644FC9">
        <w:rPr>
          <w:rFonts w:ascii="Times New Roman" w:hAnsi="Times New Roman" w:cs="Times New Roman"/>
          <w:color w:val="000000" w:themeColor="text1"/>
        </w:rPr>
        <w:t xml:space="preserve">to </w:t>
      </w:r>
      <w:r w:rsidR="00313173" w:rsidRPr="00644FC9">
        <w:rPr>
          <w:rFonts w:ascii="Times New Roman" w:hAnsi="Times New Roman" w:cs="Times New Roman"/>
          <w:color w:val="000000" w:themeColor="text1"/>
        </w:rPr>
        <w:t xml:space="preserve">non-operating </w:t>
      </w:r>
      <w:r w:rsidR="00D36952" w:rsidRPr="00644FC9">
        <w:rPr>
          <w:rFonts w:ascii="Times New Roman" w:hAnsi="Times New Roman" w:cs="Times New Roman"/>
          <w:color w:val="000000" w:themeColor="text1"/>
        </w:rPr>
        <w:t>income surprises</w:t>
      </w:r>
      <w:r w:rsidR="00BE57EC" w:rsidRPr="00644FC9">
        <w:rPr>
          <w:rFonts w:ascii="Times New Roman" w:hAnsi="Times New Roman" w:cs="Times New Roman"/>
          <w:color w:val="000000" w:themeColor="text1"/>
        </w:rPr>
        <w:t>, the transitory components of earnings</w:t>
      </w:r>
      <w:r w:rsidR="00D36952" w:rsidRPr="00644FC9">
        <w:rPr>
          <w:rFonts w:ascii="Times New Roman" w:hAnsi="Times New Roman" w:cs="Times New Roman"/>
          <w:color w:val="000000" w:themeColor="text1"/>
        </w:rPr>
        <w:t>.</w:t>
      </w:r>
      <w:r w:rsidR="00BE57EC" w:rsidRPr="00644FC9">
        <w:rPr>
          <w:rFonts w:ascii="Times New Roman" w:hAnsi="Times New Roman" w:cs="Times New Roman"/>
          <w:color w:val="000000" w:themeColor="text1"/>
        </w:rPr>
        <w:t xml:space="preserve"> </w:t>
      </w:r>
      <w:r w:rsidR="000B5D7E" w:rsidRPr="00644FC9">
        <w:rPr>
          <w:rFonts w:ascii="Times New Roman" w:hAnsi="Times New Roman" w:cs="Times New Roman"/>
          <w:color w:val="000000" w:themeColor="text1"/>
        </w:rPr>
        <w:t>T</w:t>
      </w:r>
      <w:r w:rsidR="00D36952" w:rsidRPr="00644FC9">
        <w:rPr>
          <w:rFonts w:ascii="Times New Roman" w:hAnsi="Times New Roman" w:cs="Times New Roman"/>
          <w:color w:val="000000" w:themeColor="text1"/>
        </w:rPr>
        <w:t xml:space="preserve">he </w:t>
      </w:r>
      <w:r w:rsidR="000B5D7E" w:rsidRPr="00644FC9">
        <w:rPr>
          <w:rFonts w:ascii="Times New Roman" w:hAnsi="Times New Roman" w:cs="Times New Roman"/>
          <w:color w:val="000000" w:themeColor="text1"/>
        </w:rPr>
        <w:t>evidence provided in this paper shows that both the operating and</w:t>
      </w:r>
      <w:r w:rsidR="00313173" w:rsidRPr="00644FC9">
        <w:rPr>
          <w:rFonts w:ascii="Times New Roman" w:hAnsi="Times New Roman" w:cs="Times New Roman"/>
          <w:color w:val="000000" w:themeColor="text1"/>
        </w:rPr>
        <w:t xml:space="preserve"> non-operating </w:t>
      </w:r>
      <w:r w:rsidR="000B5D7E" w:rsidRPr="00644FC9">
        <w:rPr>
          <w:rFonts w:ascii="Times New Roman" w:hAnsi="Times New Roman" w:cs="Times New Roman"/>
          <w:color w:val="000000" w:themeColor="text1"/>
        </w:rPr>
        <w:t>income surprises are associated with the post-</w:t>
      </w:r>
      <w:r w:rsidR="0065717A">
        <w:rPr>
          <w:rFonts w:ascii="Times New Roman" w:hAnsi="Times New Roman" w:cs="Times New Roman"/>
          <w:color w:val="000000" w:themeColor="text1"/>
        </w:rPr>
        <w:t>earnings-announcement</w:t>
      </w:r>
      <w:r w:rsidR="000B5D7E" w:rsidRPr="00644FC9">
        <w:rPr>
          <w:rFonts w:ascii="Times New Roman" w:hAnsi="Times New Roman" w:cs="Times New Roman"/>
          <w:color w:val="000000" w:themeColor="text1"/>
        </w:rPr>
        <w:t xml:space="preserve"> drift</w:t>
      </w:r>
      <w:r w:rsidR="00644FC9">
        <w:rPr>
          <w:rFonts w:ascii="Times New Roman" w:hAnsi="Times New Roman" w:cs="Times New Roman"/>
          <w:color w:val="000000" w:themeColor="text1"/>
        </w:rPr>
        <w:t>.</w:t>
      </w:r>
      <w:r w:rsidR="00EC65B9" w:rsidRPr="00644FC9">
        <w:rPr>
          <w:rFonts w:ascii="Times New Roman" w:hAnsi="Times New Roman" w:cs="Times New Roman"/>
          <w:color w:val="000000" w:themeColor="text1"/>
        </w:rPr>
        <w:t xml:space="preserve"> H</w:t>
      </w:r>
      <w:r w:rsidR="000B5D7E" w:rsidRPr="00644FC9">
        <w:rPr>
          <w:rFonts w:ascii="Times New Roman" w:hAnsi="Times New Roman" w:cs="Times New Roman"/>
          <w:color w:val="000000" w:themeColor="text1"/>
        </w:rPr>
        <w:t>owever, the contribution of operating income surprises is significant</w:t>
      </w:r>
      <w:r w:rsidR="00EC65B9" w:rsidRPr="00644FC9">
        <w:rPr>
          <w:rFonts w:ascii="Times New Roman" w:hAnsi="Times New Roman" w:cs="Times New Roman"/>
          <w:color w:val="000000" w:themeColor="text1"/>
        </w:rPr>
        <w:t>ly</w:t>
      </w:r>
      <w:r w:rsidR="000B5D7E" w:rsidRPr="00644FC9">
        <w:rPr>
          <w:rFonts w:ascii="Times New Roman" w:hAnsi="Times New Roman" w:cs="Times New Roman"/>
          <w:color w:val="000000" w:themeColor="text1"/>
        </w:rPr>
        <w:t xml:space="preserve"> higher than</w:t>
      </w:r>
      <w:r w:rsidR="00313173" w:rsidRPr="00644FC9">
        <w:rPr>
          <w:rFonts w:ascii="Times New Roman" w:hAnsi="Times New Roman" w:cs="Times New Roman"/>
          <w:color w:val="000000" w:themeColor="text1"/>
        </w:rPr>
        <w:t xml:space="preserve"> non-operating </w:t>
      </w:r>
      <w:r w:rsidR="000B5D7E" w:rsidRPr="00644FC9">
        <w:rPr>
          <w:rFonts w:ascii="Times New Roman" w:hAnsi="Times New Roman" w:cs="Times New Roman"/>
          <w:color w:val="000000" w:themeColor="text1"/>
        </w:rPr>
        <w:t>income surprises.</w:t>
      </w:r>
    </w:p>
    <w:p w14:paraId="4A081CCF" w14:textId="109EA081" w:rsidR="00F8273D" w:rsidRPr="00644FC9" w:rsidRDefault="009D2446" w:rsidP="00F9537F">
      <w:pPr>
        <w:spacing w:line="480" w:lineRule="auto"/>
        <w:ind w:firstLineChars="200" w:firstLine="480"/>
        <w:jc w:val="both"/>
        <w:rPr>
          <w:rFonts w:ascii="Times New Roman" w:hAnsi="Times New Roman" w:cs="Times New Roman"/>
          <w:color w:val="000000" w:themeColor="text1"/>
        </w:rPr>
      </w:pPr>
      <w:r w:rsidRPr="00644FC9">
        <w:rPr>
          <w:rFonts w:ascii="Times New Roman" w:hAnsi="Times New Roman" w:cs="Times New Roman"/>
          <w:color w:val="000000" w:themeColor="text1"/>
        </w:rPr>
        <w:t xml:space="preserve">While the </w:t>
      </w:r>
      <w:r w:rsidR="00E845BA" w:rsidRPr="00644FC9">
        <w:rPr>
          <w:rFonts w:ascii="Times New Roman" w:hAnsi="Times New Roman" w:cs="Times New Roman"/>
          <w:color w:val="000000" w:themeColor="text1"/>
        </w:rPr>
        <w:t>both the operating and</w:t>
      </w:r>
      <w:r w:rsidR="00313173" w:rsidRPr="00644FC9">
        <w:rPr>
          <w:rFonts w:ascii="Times New Roman" w:hAnsi="Times New Roman" w:cs="Times New Roman"/>
          <w:color w:val="000000" w:themeColor="text1"/>
        </w:rPr>
        <w:t xml:space="preserve"> non-operating </w:t>
      </w:r>
      <w:r w:rsidR="00E845BA" w:rsidRPr="00644FC9">
        <w:rPr>
          <w:rFonts w:ascii="Times New Roman" w:hAnsi="Times New Roman" w:cs="Times New Roman"/>
          <w:color w:val="000000" w:themeColor="text1"/>
        </w:rPr>
        <w:t>income surprises</w:t>
      </w:r>
      <w:r w:rsidR="00634E7C" w:rsidRPr="00644FC9">
        <w:rPr>
          <w:rFonts w:ascii="Times New Roman" w:hAnsi="Times New Roman" w:cs="Times New Roman"/>
          <w:color w:val="000000" w:themeColor="text1"/>
        </w:rPr>
        <w:t xml:space="preserve"> explain the market’</w:t>
      </w:r>
      <w:r w:rsidRPr="00644FC9">
        <w:rPr>
          <w:rFonts w:ascii="Times New Roman" w:hAnsi="Times New Roman" w:cs="Times New Roman"/>
          <w:color w:val="000000" w:themeColor="text1"/>
        </w:rPr>
        <w:t>s underweighting of earnings surprises</w:t>
      </w:r>
      <w:r w:rsidR="00E845BA" w:rsidRPr="00644FC9">
        <w:rPr>
          <w:rFonts w:ascii="Times New Roman" w:hAnsi="Times New Roman" w:cs="Times New Roman"/>
          <w:color w:val="000000" w:themeColor="text1"/>
        </w:rPr>
        <w:t xml:space="preserve">, </w:t>
      </w:r>
      <w:r w:rsidR="000B2A8B" w:rsidRPr="00644FC9">
        <w:rPr>
          <w:rFonts w:ascii="Times New Roman" w:hAnsi="Times New Roman" w:cs="Times New Roman"/>
          <w:color w:val="000000" w:themeColor="text1"/>
        </w:rPr>
        <w:t>the speed of price response</w:t>
      </w:r>
      <w:r w:rsidR="00EC65B9" w:rsidRPr="00644FC9">
        <w:rPr>
          <w:rFonts w:ascii="Times New Roman" w:hAnsi="Times New Roman" w:cs="Times New Roman"/>
          <w:color w:val="000000" w:themeColor="text1"/>
        </w:rPr>
        <w:t>s</w:t>
      </w:r>
      <w:r w:rsidR="000B2A8B" w:rsidRPr="00644FC9">
        <w:rPr>
          <w:rFonts w:ascii="Times New Roman" w:hAnsi="Times New Roman" w:cs="Times New Roman"/>
          <w:color w:val="000000" w:themeColor="text1"/>
        </w:rPr>
        <w:t xml:space="preserve"> to</w:t>
      </w:r>
      <w:r w:rsidR="00313173" w:rsidRPr="00644FC9">
        <w:rPr>
          <w:rFonts w:ascii="Times New Roman" w:hAnsi="Times New Roman" w:cs="Times New Roman"/>
          <w:color w:val="000000" w:themeColor="text1"/>
        </w:rPr>
        <w:t xml:space="preserve"> non-operating </w:t>
      </w:r>
      <w:r w:rsidR="000B2A8B" w:rsidRPr="00644FC9">
        <w:rPr>
          <w:rFonts w:ascii="Times New Roman" w:hAnsi="Times New Roman" w:cs="Times New Roman"/>
          <w:color w:val="000000" w:themeColor="text1"/>
        </w:rPr>
        <w:t xml:space="preserve">income is faster than </w:t>
      </w:r>
      <w:r w:rsidR="00EC65B9" w:rsidRPr="00644FC9">
        <w:rPr>
          <w:rFonts w:ascii="Times New Roman" w:hAnsi="Times New Roman" w:cs="Times New Roman"/>
          <w:color w:val="000000" w:themeColor="text1"/>
        </w:rPr>
        <w:t xml:space="preserve">to </w:t>
      </w:r>
      <w:r w:rsidR="000B2A8B" w:rsidRPr="00644FC9">
        <w:rPr>
          <w:rFonts w:ascii="Times New Roman" w:hAnsi="Times New Roman" w:cs="Times New Roman"/>
          <w:color w:val="000000" w:themeColor="text1"/>
        </w:rPr>
        <w:t xml:space="preserve">operating income. </w:t>
      </w:r>
      <w:r w:rsidR="006901EC" w:rsidRPr="00644FC9">
        <w:rPr>
          <w:rFonts w:ascii="Times New Roman" w:hAnsi="Times New Roman" w:cs="Times New Roman"/>
          <w:color w:val="000000" w:themeColor="text1"/>
        </w:rPr>
        <w:t>For instan</w:t>
      </w:r>
      <w:r w:rsidR="00EC65B9" w:rsidRPr="00644FC9">
        <w:rPr>
          <w:rFonts w:ascii="Times New Roman" w:hAnsi="Times New Roman" w:cs="Times New Roman"/>
          <w:color w:val="000000" w:themeColor="text1"/>
        </w:rPr>
        <w:t>ce</w:t>
      </w:r>
      <w:r w:rsidR="006901EC" w:rsidRPr="00644FC9">
        <w:rPr>
          <w:rFonts w:ascii="Times New Roman" w:hAnsi="Times New Roman" w:cs="Times New Roman"/>
          <w:color w:val="000000" w:themeColor="text1"/>
        </w:rPr>
        <w:t>, my results show that the markets reflect 90.6</w:t>
      </w:r>
      <w:r w:rsidR="00AB5009" w:rsidRPr="00644FC9">
        <w:rPr>
          <w:rFonts w:ascii="Times New Roman" w:hAnsi="Times New Roman" w:cs="Times New Roman"/>
          <w:color w:val="000000" w:themeColor="text1"/>
        </w:rPr>
        <w:t xml:space="preserve">% </w:t>
      </w:r>
      <w:r w:rsidR="006901EC" w:rsidRPr="00644FC9">
        <w:rPr>
          <w:rFonts w:ascii="Times New Roman" w:hAnsi="Times New Roman" w:cs="Times New Roman"/>
          <w:color w:val="000000" w:themeColor="text1"/>
        </w:rPr>
        <w:t>(110.3</w:t>
      </w:r>
      <w:r w:rsidR="00AB5009" w:rsidRPr="00644FC9">
        <w:rPr>
          <w:rFonts w:ascii="Times New Roman" w:hAnsi="Times New Roman" w:cs="Times New Roman"/>
          <w:color w:val="000000" w:themeColor="text1"/>
        </w:rPr>
        <w:t>%</w:t>
      </w:r>
      <w:r w:rsidR="006901EC" w:rsidRPr="00644FC9">
        <w:rPr>
          <w:rFonts w:ascii="Times New Roman" w:hAnsi="Times New Roman" w:cs="Times New Roman"/>
          <w:color w:val="000000" w:themeColor="text1"/>
        </w:rPr>
        <w:t xml:space="preserve">) subsequent </w:t>
      </w:r>
      <w:r w:rsidR="00776782" w:rsidRPr="00644FC9">
        <w:rPr>
          <w:rFonts w:ascii="Times New Roman" w:hAnsi="Times New Roman" w:cs="Times New Roman"/>
          <w:color w:val="000000" w:themeColor="text1"/>
        </w:rPr>
        <w:t xml:space="preserve">quarter </w:t>
      </w:r>
      <w:r w:rsidR="006901EC" w:rsidRPr="00644FC9">
        <w:rPr>
          <w:rFonts w:ascii="Times New Roman" w:hAnsi="Times New Roman" w:cs="Times New Roman"/>
          <w:color w:val="000000" w:themeColor="text1"/>
        </w:rPr>
        <w:t xml:space="preserve">abnormal returns in </w:t>
      </w:r>
      <w:r w:rsidR="00EC65B9" w:rsidRPr="00644FC9">
        <w:rPr>
          <w:rFonts w:ascii="Times New Roman" w:hAnsi="Times New Roman" w:cs="Times New Roman"/>
          <w:color w:val="000000" w:themeColor="text1"/>
        </w:rPr>
        <w:t xml:space="preserve">a </w:t>
      </w:r>
      <w:r w:rsidR="006901EC" w:rsidRPr="00644FC9">
        <w:rPr>
          <w:rFonts w:ascii="Times New Roman" w:hAnsi="Times New Roman" w:cs="Times New Roman"/>
          <w:color w:val="000000" w:themeColor="text1"/>
        </w:rPr>
        <w:t xml:space="preserve">5-day (21-day) window for </w:t>
      </w:r>
      <w:r w:rsidR="00953E3E" w:rsidRPr="00644FC9">
        <w:rPr>
          <w:rFonts w:ascii="Times New Roman" w:hAnsi="Times New Roman" w:cs="Times New Roman"/>
          <w:color w:val="000000" w:themeColor="text1"/>
        </w:rPr>
        <w:t>unexpected</w:t>
      </w:r>
      <w:r w:rsidR="00313173" w:rsidRPr="00644FC9">
        <w:rPr>
          <w:rFonts w:ascii="Times New Roman" w:hAnsi="Times New Roman" w:cs="Times New Roman"/>
          <w:color w:val="000000" w:themeColor="text1"/>
        </w:rPr>
        <w:t xml:space="preserve"> non-operating </w:t>
      </w:r>
      <w:r w:rsidR="006901EC" w:rsidRPr="00644FC9">
        <w:rPr>
          <w:rFonts w:ascii="Times New Roman" w:hAnsi="Times New Roman" w:cs="Times New Roman"/>
          <w:color w:val="000000" w:themeColor="text1"/>
        </w:rPr>
        <w:t>income compar</w:t>
      </w:r>
      <w:r w:rsidR="00EC65B9" w:rsidRPr="00644FC9">
        <w:rPr>
          <w:rFonts w:ascii="Times New Roman" w:hAnsi="Times New Roman" w:cs="Times New Roman"/>
          <w:color w:val="000000" w:themeColor="text1"/>
        </w:rPr>
        <w:t>ed to</w:t>
      </w:r>
      <w:r w:rsidR="006901EC" w:rsidRPr="00644FC9">
        <w:rPr>
          <w:rFonts w:ascii="Times New Roman" w:hAnsi="Times New Roman" w:cs="Times New Roman"/>
          <w:color w:val="000000" w:themeColor="text1"/>
        </w:rPr>
        <w:t xml:space="preserve"> </w:t>
      </w:r>
      <w:r w:rsidR="00953E3E" w:rsidRPr="00644FC9">
        <w:rPr>
          <w:rFonts w:ascii="Times New Roman" w:hAnsi="Times New Roman" w:cs="Times New Roman"/>
          <w:color w:val="000000" w:themeColor="text1"/>
        </w:rPr>
        <w:t>43.0</w:t>
      </w:r>
      <w:r w:rsidR="00AB5009" w:rsidRPr="00644FC9">
        <w:rPr>
          <w:rFonts w:ascii="Times New Roman" w:hAnsi="Times New Roman" w:cs="Times New Roman"/>
          <w:color w:val="000000" w:themeColor="text1"/>
        </w:rPr>
        <w:t xml:space="preserve">% </w:t>
      </w:r>
      <w:r w:rsidR="00953E3E" w:rsidRPr="00644FC9">
        <w:rPr>
          <w:rFonts w:ascii="Times New Roman" w:hAnsi="Times New Roman" w:cs="Times New Roman"/>
          <w:color w:val="000000" w:themeColor="text1"/>
        </w:rPr>
        <w:t>(62.3</w:t>
      </w:r>
      <w:r w:rsidR="00AB5009" w:rsidRPr="00644FC9">
        <w:rPr>
          <w:rFonts w:ascii="Times New Roman" w:hAnsi="Times New Roman" w:cs="Times New Roman"/>
          <w:color w:val="000000" w:themeColor="text1"/>
        </w:rPr>
        <w:t>%</w:t>
      </w:r>
      <w:r w:rsidR="00953E3E" w:rsidRPr="00644FC9">
        <w:rPr>
          <w:rFonts w:ascii="Times New Roman" w:hAnsi="Times New Roman" w:cs="Times New Roman"/>
          <w:color w:val="000000" w:themeColor="text1"/>
        </w:rPr>
        <w:t xml:space="preserve">) subsequent </w:t>
      </w:r>
      <w:r w:rsidR="00776782" w:rsidRPr="00644FC9">
        <w:rPr>
          <w:rFonts w:ascii="Times New Roman" w:hAnsi="Times New Roman" w:cs="Times New Roman"/>
          <w:color w:val="000000" w:themeColor="text1"/>
        </w:rPr>
        <w:t xml:space="preserve">quarter </w:t>
      </w:r>
      <w:r w:rsidR="00953E3E" w:rsidRPr="00644FC9">
        <w:rPr>
          <w:rFonts w:ascii="Times New Roman" w:hAnsi="Times New Roman" w:cs="Times New Roman"/>
          <w:color w:val="000000" w:themeColor="text1"/>
        </w:rPr>
        <w:t xml:space="preserve">abnormal returns in </w:t>
      </w:r>
      <w:r w:rsidR="00EC65B9" w:rsidRPr="00644FC9">
        <w:rPr>
          <w:rFonts w:ascii="Times New Roman" w:hAnsi="Times New Roman" w:cs="Times New Roman"/>
          <w:color w:val="000000" w:themeColor="text1"/>
        </w:rPr>
        <w:t xml:space="preserve">a </w:t>
      </w:r>
      <w:r w:rsidR="00953E3E" w:rsidRPr="00644FC9">
        <w:rPr>
          <w:rFonts w:ascii="Times New Roman" w:hAnsi="Times New Roman" w:cs="Times New Roman"/>
          <w:color w:val="000000" w:themeColor="text1"/>
        </w:rPr>
        <w:t>5-day (21-day) window for unexpected operating income. Further</w:t>
      </w:r>
      <w:r w:rsidR="00EC65B9" w:rsidRPr="00644FC9">
        <w:rPr>
          <w:rFonts w:ascii="Times New Roman" w:hAnsi="Times New Roman" w:cs="Times New Roman"/>
          <w:color w:val="000000" w:themeColor="text1"/>
        </w:rPr>
        <w:t>more</w:t>
      </w:r>
      <w:r w:rsidR="00953E3E" w:rsidRPr="00644FC9">
        <w:rPr>
          <w:rFonts w:ascii="Times New Roman" w:hAnsi="Times New Roman" w:cs="Times New Roman"/>
          <w:color w:val="000000" w:themeColor="text1"/>
        </w:rPr>
        <w:t>, this paper provide</w:t>
      </w:r>
      <w:r w:rsidR="003B529F" w:rsidRPr="00644FC9">
        <w:rPr>
          <w:rFonts w:ascii="Times New Roman" w:hAnsi="Times New Roman" w:cs="Times New Roman"/>
          <w:color w:val="000000" w:themeColor="text1"/>
        </w:rPr>
        <w:t>s</w:t>
      </w:r>
      <w:r w:rsidR="00953E3E" w:rsidRPr="00644FC9">
        <w:rPr>
          <w:rFonts w:ascii="Times New Roman" w:hAnsi="Times New Roman" w:cs="Times New Roman"/>
          <w:color w:val="000000" w:themeColor="text1"/>
        </w:rPr>
        <w:t xml:space="preserve"> evidence that unexpected operating and</w:t>
      </w:r>
      <w:r w:rsidR="00313173" w:rsidRPr="00644FC9">
        <w:rPr>
          <w:rFonts w:ascii="Times New Roman" w:hAnsi="Times New Roman" w:cs="Times New Roman"/>
          <w:color w:val="000000" w:themeColor="text1"/>
        </w:rPr>
        <w:t xml:space="preserve"> non-operating </w:t>
      </w:r>
      <w:r w:rsidR="00953E3E" w:rsidRPr="00644FC9">
        <w:rPr>
          <w:rFonts w:ascii="Times New Roman" w:hAnsi="Times New Roman" w:cs="Times New Roman"/>
          <w:color w:val="000000" w:themeColor="text1"/>
        </w:rPr>
        <w:t xml:space="preserve">income appear to capture different mispricing </w:t>
      </w:r>
      <w:r w:rsidR="00953E3E" w:rsidRPr="00644FC9">
        <w:rPr>
          <w:rFonts w:ascii="Times New Roman" w:hAnsi="Times New Roman" w:cs="Times New Roman"/>
          <w:color w:val="000000" w:themeColor="text1"/>
        </w:rPr>
        <w:lastRenderedPageBreak/>
        <w:t xml:space="preserve">phenomenon by combining the operating-based strategy with the </w:t>
      </w:r>
      <w:r w:rsidR="008B1418">
        <w:rPr>
          <w:rFonts w:ascii="Times New Roman" w:hAnsi="Times New Roman" w:cs="Times New Roman"/>
          <w:color w:val="000000" w:themeColor="text1"/>
        </w:rPr>
        <w:t>non-operating</w:t>
      </w:r>
      <w:r w:rsidR="00953E3E" w:rsidRPr="00644FC9">
        <w:rPr>
          <w:rFonts w:ascii="Times New Roman" w:hAnsi="Times New Roman" w:cs="Times New Roman"/>
          <w:color w:val="000000" w:themeColor="text1"/>
        </w:rPr>
        <w:t>-based strategy</w:t>
      </w:r>
      <w:r w:rsidR="00F8273D" w:rsidRPr="00644FC9">
        <w:rPr>
          <w:rFonts w:ascii="Times New Roman" w:hAnsi="Times New Roman" w:cs="Times New Roman"/>
          <w:color w:val="000000" w:themeColor="text1"/>
        </w:rPr>
        <w:t xml:space="preserve">. </w:t>
      </w:r>
      <w:r w:rsidR="00F9537F" w:rsidRPr="00644FC9">
        <w:rPr>
          <w:rFonts w:ascii="Times New Roman" w:hAnsi="Times New Roman" w:cs="Times New Roman"/>
          <w:color w:val="000000" w:themeColor="text1"/>
        </w:rPr>
        <w:t>This joint strategy of operating and</w:t>
      </w:r>
      <w:r w:rsidR="00313173" w:rsidRPr="00644FC9">
        <w:rPr>
          <w:rFonts w:ascii="Times New Roman" w:hAnsi="Times New Roman" w:cs="Times New Roman"/>
          <w:color w:val="000000" w:themeColor="text1"/>
        </w:rPr>
        <w:t xml:space="preserve"> non-operating </w:t>
      </w:r>
      <w:r w:rsidR="00F9537F" w:rsidRPr="00644FC9">
        <w:rPr>
          <w:rFonts w:ascii="Times New Roman" w:hAnsi="Times New Roman" w:cs="Times New Roman"/>
          <w:color w:val="000000" w:themeColor="text1"/>
        </w:rPr>
        <w:t xml:space="preserve">income </w:t>
      </w:r>
      <w:r w:rsidR="00EC65B9" w:rsidRPr="00644FC9">
        <w:rPr>
          <w:rFonts w:ascii="Times New Roman" w:hAnsi="Times New Roman" w:cs="Times New Roman"/>
          <w:color w:val="000000" w:themeColor="text1"/>
        </w:rPr>
        <w:t xml:space="preserve">surprises </w:t>
      </w:r>
      <w:r w:rsidR="00F9537F" w:rsidRPr="00644FC9">
        <w:rPr>
          <w:rFonts w:ascii="Times New Roman" w:hAnsi="Times New Roman" w:cs="Times New Roman"/>
          <w:color w:val="000000" w:themeColor="text1"/>
        </w:rPr>
        <w:t>increases the magnitude of excess returns that can be earned by individual strategies.</w:t>
      </w:r>
    </w:p>
    <w:p w14:paraId="34460977" w14:textId="77777777" w:rsidR="00953E3E" w:rsidRPr="00644FC9" w:rsidRDefault="00953E3E" w:rsidP="009D2446">
      <w:pPr>
        <w:spacing w:line="480" w:lineRule="auto"/>
        <w:ind w:firstLineChars="200" w:firstLine="480"/>
        <w:jc w:val="both"/>
        <w:rPr>
          <w:rFonts w:ascii="Times New Roman" w:hAnsi="Times New Roman" w:cs="Times New Roman"/>
          <w:color w:val="000000" w:themeColor="text1"/>
        </w:rPr>
      </w:pPr>
    </w:p>
    <w:p w14:paraId="7DE5F304" w14:textId="77777777" w:rsidR="00336253" w:rsidRPr="00644FC9" w:rsidRDefault="001E3F04" w:rsidP="001E3F04">
      <w:pPr>
        <w:tabs>
          <w:tab w:val="left" w:pos="3686"/>
        </w:tabs>
        <w:adjustRightInd w:val="0"/>
        <w:spacing w:line="480" w:lineRule="auto"/>
        <w:jc w:val="both"/>
        <w:rPr>
          <w:rFonts w:ascii="Times New Roman" w:eastAsia="新細明體" w:hAnsi="Times New Roman" w:cs="Times New Roman"/>
          <w:color w:val="000000" w:themeColor="text1"/>
          <w:szCs w:val="24"/>
        </w:rPr>
      </w:pPr>
      <w:r w:rsidRPr="00644FC9">
        <w:rPr>
          <w:rFonts w:ascii="Times New Roman" w:hAnsi="Times New Roman" w:cs="Times New Roman"/>
          <w:b/>
          <w:bCs/>
          <w:color w:val="000000" w:themeColor="text1"/>
          <w:kern w:val="0"/>
          <w:szCs w:val="24"/>
        </w:rPr>
        <w:t>References</w:t>
      </w:r>
    </w:p>
    <w:p w14:paraId="79A8EA05" w14:textId="0A194F5C" w:rsidR="00E277E9" w:rsidRPr="004F359E" w:rsidRDefault="002A7447"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Ball, R.</w:t>
      </w:r>
      <w:r w:rsidR="00E277E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and</w:t>
      </w:r>
      <w:r w:rsidR="00E277E9" w:rsidRPr="004F359E">
        <w:rPr>
          <w:rFonts w:ascii="Times New Roman" w:hAnsi="Times New Roman" w:cs="Times New Roman"/>
          <w:color w:val="000000" w:themeColor="text1"/>
        </w:rPr>
        <w:t xml:space="preserve"> </w:t>
      </w:r>
      <w:proofErr w:type="spellStart"/>
      <w:r w:rsidR="00E277E9" w:rsidRPr="004F359E">
        <w:rPr>
          <w:rFonts w:ascii="Times New Roman" w:hAnsi="Times New Roman" w:cs="Times New Roman"/>
          <w:color w:val="000000" w:themeColor="text1"/>
        </w:rPr>
        <w:t>Bartov</w:t>
      </w:r>
      <w:proofErr w:type="spellEnd"/>
      <w:r w:rsidR="00E277E9" w:rsidRPr="004F359E">
        <w:rPr>
          <w:rFonts w:ascii="Times New Roman" w:hAnsi="Times New Roman" w:cs="Times New Roman"/>
          <w:color w:val="000000" w:themeColor="text1"/>
        </w:rPr>
        <w:t>, E</w:t>
      </w:r>
      <w:r w:rsidRPr="004F359E">
        <w:rPr>
          <w:rFonts w:ascii="Times New Roman" w:hAnsi="Times New Roman" w:cs="Times New Roman"/>
          <w:color w:val="000000" w:themeColor="text1"/>
        </w:rPr>
        <w:t xml:space="preserve">., </w:t>
      </w:r>
      <w:r w:rsidR="00E277E9" w:rsidRPr="004F359E">
        <w:rPr>
          <w:rFonts w:ascii="Times New Roman" w:hAnsi="Times New Roman" w:cs="Times New Roman"/>
          <w:color w:val="000000" w:themeColor="text1"/>
        </w:rPr>
        <w:t xml:space="preserve">How </w:t>
      </w:r>
      <w:r w:rsidRPr="004F359E">
        <w:rPr>
          <w:rFonts w:ascii="Times New Roman" w:hAnsi="Times New Roman" w:cs="Times New Roman"/>
          <w:color w:val="000000" w:themeColor="text1"/>
        </w:rPr>
        <w:t>Naiv</w:t>
      </w:r>
      <w:r w:rsidR="00E277E9" w:rsidRPr="004F359E">
        <w:rPr>
          <w:rFonts w:ascii="Times New Roman" w:hAnsi="Times New Roman" w:cs="Times New Roman"/>
          <w:color w:val="000000" w:themeColor="text1"/>
        </w:rPr>
        <w:t>e is the</w:t>
      </w:r>
      <w:r w:rsidRPr="004F359E">
        <w:rPr>
          <w:rFonts w:ascii="Times New Roman" w:hAnsi="Times New Roman" w:cs="Times New Roman"/>
          <w:color w:val="000000" w:themeColor="text1"/>
        </w:rPr>
        <w:t xml:space="preserve"> Stock Market's</w:t>
      </w:r>
      <w:r w:rsidR="00E277E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Us</w:t>
      </w:r>
      <w:r w:rsidR="00E277E9" w:rsidRPr="004F359E">
        <w:rPr>
          <w:rFonts w:ascii="Times New Roman" w:hAnsi="Times New Roman" w:cs="Times New Roman"/>
          <w:color w:val="000000" w:themeColor="text1"/>
        </w:rPr>
        <w:t xml:space="preserve">e of </w:t>
      </w:r>
      <w:r w:rsidRPr="004F359E">
        <w:rPr>
          <w:rFonts w:ascii="Times New Roman" w:hAnsi="Times New Roman" w:cs="Times New Roman"/>
          <w:color w:val="000000" w:themeColor="text1"/>
        </w:rPr>
        <w:t>Earnings Information?</w:t>
      </w:r>
      <w:r w:rsidR="00E277E9" w:rsidRPr="004F359E">
        <w:rPr>
          <w:rFonts w:ascii="Times New Roman" w:hAnsi="Times New Roman" w:cs="Times New Roman"/>
          <w:color w:val="000000" w:themeColor="text1"/>
        </w:rPr>
        <w:t xml:space="preserve"> </w:t>
      </w:r>
      <w:r w:rsidR="00E277E9" w:rsidRPr="004F359E">
        <w:rPr>
          <w:rFonts w:ascii="Times New Roman" w:hAnsi="Times New Roman" w:cs="Times New Roman"/>
          <w:i/>
          <w:color w:val="000000" w:themeColor="text1"/>
        </w:rPr>
        <w:t>Journal of Accounting and Economics</w:t>
      </w:r>
      <w:r w:rsidR="00E277E9" w:rsidRPr="004F359E">
        <w:rPr>
          <w:rFonts w:ascii="Times New Roman" w:hAnsi="Times New Roman" w:cs="Times New Roman"/>
          <w:color w:val="000000" w:themeColor="text1"/>
        </w:rPr>
        <w:t xml:space="preserve">, 21(3), </w:t>
      </w:r>
      <w:r w:rsidR="0017736A">
        <w:rPr>
          <w:rFonts w:ascii="Times New Roman" w:hAnsi="Times New Roman" w:cs="Times New Roman"/>
          <w:color w:val="000000" w:themeColor="text1"/>
        </w:rPr>
        <w:t xml:space="preserve">1996,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319-337.</w:t>
      </w:r>
    </w:p>
    <w:p w14:paraId="6026AE89" w14:textId="6CAA7597" w:rsidR="00E277E9" w:rsidRPr="004F359E" w:rsidRDefault="002A7447"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Ball, R.</w:t>
      </w:r>
      <w:r w:rsidR="00E277E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and</w:t>
      </w:r>
      <w:r w:rsidR="00E277E9" w:rsidRPr="004F359E">
        <w:rPr>
          <w:rFonts w:ascii="Times New Roman" w:hAnsi="Times New Roman" w:cs="Times New Roman"/>
          <w:color w:val="000000" w:themeColor="text1"/>
        </w:rPr>
        <w:t xml:space="preserve"> Brown, P</w:t>
      </w:r>
      <w:r w:rsidRPr="004F359E">
        <w:rPr>
          <w:rFonts w:ascii="Times New Roman" w:hAnsi="Times New Roman" w:cs="Times New Roman"/>
          <w:color w:val="000000" w:themeColor="text1"/>
        </w:rPr>
        <w:t xml:space="preserve">., </w:t>
      </w:r>
      <w:proofErr w:type="gramStart"/>
      <w:r w:rsidR="00E277E9" w:rsidRPr="004F359E">
        <w:rPr>
          <w:rFonts w:ascii="Times New Roman" w:hAnsi="Times New Roman" w:cs="Times New Roman"/>
          <w:color w:val="000000" w:themeColor="text1"/>
        </w:rPr>
        <w:t>An</w:t>
      </w:r>
      <w:proofErr w:type="gramEnd"/>
      <w:r w:rsidRPr="004F359E">
        <w:rPr>
          <w:rFonts w:ascii="Times New Roman" w:hAnsi="Times New Roman" w:cs="Times New Roman"/>
          <w:color w:val="000000" w:themeColor="text1"/>
        </w:rPr>
        <w:t xml:space="preserve"> Empirical Evaluation</w:t>
      </w:r>
      <w:r w:rsidR="00E277E9" w:rsidRPr="004F359E">
        <w:rPr>
          <w:rFonts w:ascii="Times New Roman" w:hAnsi="Times New Roman" w:cs="Times New Roman"/>
          <w:color w:val="000000" w:themeColor="text1"/>
        </w:rPr>
        <w:t xml:space="preserve"> of </w:t>
      </w:r>
      <w:r w:rsidRPr="004F359E">
        <w:rPr>
          <w:rFonts w:ascii="Times New Roman" w:hAnsi="Times New Roman" w:cs="Times New Roman"/>
          <w:color w:val="000000" w:themeColor="text1"/>
        </w:rPr>
        <w:t>Accounting Income Nu</w:t>
      </w:r>
      <w:r w:rsidR="00E277E9" w:rsidRPr="004F359E">
        <w:rPr>
          <w:rFonts w:ascii="Times New Roman" w:hAnsi="Times New Roman" w:cs="Times New Roman"/>
          <w:color w:val="000000" w:themeColor="text1"/>
        </w:rPr>
        <w:t xml:space="preserve">mbers. </w:t>
      </w:r>
      <w:r w:rsidR="00E277E9" w:rsidRPr="004F359E">
        <w:rPr>
          <w:rFonts w:ascii="Times New Roman" w:hAnsi="Times New Roman" w:cs="Times New Roman"/>
          <w:i/>
          <w:color w:val="000000" w:themeColor="text1"/>
        </w:rPr>
        <w:t xml:space="preserve">Journal of </w:t>
      </w:r>
      <w:r w:rsidRPr="004F359E">
        <w:rPr>
          <w:rFonts w:ascii="Times New Roman" w:hAnsi="Times New Roman" w:cs="Times New Roman"/>
          <w:i/>
          <w:color w:val="000000" w:themeColor="text1"/>
        </w:rPr>
        <w:t>Accounting Re</w:t>
      </w:r>
      <w:r w:rsidR="00E277E9" w:rsidRPr="004F359E">
        <w:rPr>
          <w:rFonts w:ascii="Times New Roman" w:hAnsi="Times New Roman" w:cs="Times New Roman"/>
          <w:i/>
          <w:color w:val="000000" w:themeColor="text1"/>
        </w:rPr>
        <w:t>search</w:t>
      </w:r>
      <w:r w:rsidR="00E277E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6(2), </w:t>
      </w:r>
      <w:r w:rsidR="0017736A">
        <w:rPr>
          <w:rFonts w:ascii="Times New Roman" w:hAnsi="Times New Roman" w:cs="Times New Roman"/>
          <w:color w:val="000000" w:themeColor="text1"/>
        </w:rPr>
        <w:t xml:space="preserve">1968,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159-178.</w:t>
      </w:r>
    </w:p>
    <w:p w14:paraId="4702AD30" w14:textId="03565C3C" w:rsidR="00E277E9" w:rsidRPr="004F359E" w:rsidRDefault="00E277E9" w:rsidP="0017736A">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Bao</w:t>
      </w:r>
      <w:proofErr w:type="spellEnd"/>
      <w:r w:rsidRPr="004F359E">
        <w:rPr>
          <w:rFonts w:ascii="Times New Roman" w:hAnsi="Times New Roman" w:cs="Times New Roman"/>
          <w:color w:val="000000" w:themeColor="text1"/>
        </w:rPr>
        <w:t xml:space="preserve">, B.H., </w:t>
      </w:r>
      <w:proofErr w:type="spellStart"/>
      <w:r w:rsidRPr="004F359E">
        <w:rPr>
          <w:rFonts w:ascii="Times New Roman" w:hAnsi="Times New Roman" w:cs="Times New Roman"/>
          <w:color w:val="000000" w:themeColor="text1"/>
        </w:rPr>
        <w:t>Bao</w:t>
      </w:r>
      <w:proofErr w:type="spellEnd"/>
      <w:r w:rsidRPr="004F359E">
        <w:rPr>
          <w:rFonts w:ascii="Times New Roman" w:hAnsi="Times New Roman" w:cs="Times New Roman"/>
          <w:color w:val="000000" w:themeColor="text1"/>
        </w:rPr>
        <w:t xml:space="preserve">, D.H., Value </w:t>
      </w:r>
      <w:r w:rsidR="002A7447" w:rsidRPr="004F359E">
        <w:rPr>
          <w:rFonts w:ascii="Times New Roman" w:hAnsi="Times New Roman" w:cs="Times New Roman"/>
          <w:color w:val="000000" w:themeColor="text1"/>
        </w:rPr>
        <w:t>R</w:t>
      </w:r>
      <w:r w:rsidRPr="004F359E">
        <w:rPr>
          <w:rFonts w:ascii="Times New Roman" w:hAnsi="Times New Roman" w:cs="Times New Roman"/>
          <w:color w:val="000000" w:themeColor="text1"/>
        </w:rPr>
        <w:t xml:space="preserve">elevance of </w:t>
      </w:r>
      <w:r w:rsidR="002A7447" w:rsidRPr="004F359E">
        <w:rPr>
          <w:rFonts w:ascii="Times New Roman" w:hAnsi="Times New Roman" w:cs="Times New Roman"/>
          <w:color w:val="000000" w:themeColor="text1"/>
        </w:rPr>
        <w:t>Operating Inco</w:t>
      </w:r>
      <w:r w:rsidRPr="004F359E">
        <w:rPr>
          <w:rFonts w:ascii="Times New Roman" w:hAnsi="Times New Roman" w:cs="Times New Roman"/>
          <w:color w:val="000000" w:themeColor="text1"/>
        </w:rPr>
        <w:t xml:space="preserve">me versus </w:t>
      </w:r>
      <w:r w:rsidR="00807F94" w:rsidRPr="004F359E">
        <w:rPr>
          <w:rFonts w:ascii="Times New Roman" w:hAnsi="Times New Roman" w:cs="Times New Roman"/>
          <w:color w:val="000000" w:themeColor="text1"/>
        </w:rPr>
        <w:t>Non</w:t>
      </w:r>
      <w:r w:rsidR="00280908" w:rsidRPr="004F359E">
        <w:rPr>
          <w:rFonts w:ascii="Times New Roman" w:hAnsi="Times New Roman" w:cs="Times New Roman" w:hint="eastAsia"/>
          <w:color w:val="000000" w:themeColor="text1"/>
        </w:rPr>
        <w:t>-</w:t>
      </w:r>
      <w:r w:rsidR="00807F94" w:rsidRPr="004F359E">
        <w:rPr>
          <w:rFonts w:ascii="Times New Roman" w:hAnsi="Times New Roman" w:cs="Times New Roman"/>
          <w:color w:val="000000" w:themeColor="text1"/>
        </w:rPr>
        <w:t>operating</w:t>
      </w:r>
      <w:r w:rsidR="002A7447" w:rsidRPr="004F359E">
        <w:rPr>
          <w:rFonts w:ascii="Times New Roman" w:hAnsi="Times New Roman" w:cs="Times New Roman"/>
          <w:color w:val="000000" w:themeColor="text1"/>
        </w:rPr>
        <w:t xml:space="preserve"> Income</w:t>
      </w:r>
      <w:r w:rsidRPr="004F359E">
        <w:rPr>
          <w:rFonts w:ascii="Times New Roman" w:hAnsi="Times New Roman" w:cs="Times New Roman"/>
          <w:color w:val="000000" w:themeColor="text1"/>
        </w:rPr>
        <w:t xml:space="preserve"> in the Taiwan </w:t>
      </w:r>
      <w:r w:rsidR="002A7447" w:rsidRPr="004F359E">
        <w:rPr>
          <w:rFonts w:ascii="Times New Roman" w:hAnsi="Times New Roman" w:cs="Times New Roman"/>
          <w:color w:val="000000" w:themeColor="text1"/>
        </w:rPr>
        <w:t>Stock Exchan</w:t>
      </w:r>
      <w:r w:rsidRPr="004F359E">
        <w:rPr>
          <w:rFonts w:ascii="Times New Roman" w:hAnsi="Times New Roman" w:cs="Times New Roman"/>
          <w:color w:val="000000" w:themeColor="text1"/>
        </w:rPr>
        <w:t xml:space="preserve">ge. </w:t>
      </w:r>
      <w:r w:rsidRPr="004F359E">
        <w:rPr>
          <w:rFonts w:ascii="Times New Roman" w:hAnsi="Times New Roman" w:cs="Times New Roman"/>
          <w:i/>
          <w:color w:val="000000" w:themeColor="text1"/>
        </w:rPr>
        <w:t>Advances in International Accounting</w:t>
      </w:r>
      <w:r w:rsidR="002A7447"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17(1), </w:t>
      </w:r>
      <w:r w:rsidR="0017736A">
        <w:rPr>
          <w:rFonts w:ascii="Times New Roman" w:hAnsi="Times New Roman" w:cs="Times New Roman"/>
          <w:color w:val="000000" w:themeColor="text1"/>
        </w:rPr>
        <w:t xml:space="preserve">2004, </w:t>
      </w:r>
      <w:r w:rsidR="002A7447"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103</w:t>
      </w:r>
      <w:r w:rsidR="00C431AA">
        <w:rPr>
          <w:rFonts w:ascii="Times New Roman" w:hAnsi="Times New Roman" w:cs="Times New Roman"/>
          <w:color w:val="000000" w:themeColor="text1"/>
        </w:rPr>
        <w:t>-</w:t>
      </w:r>
      <w:r w:rsidRPr="004F359E">
        <w:rPr>
          <w:rFonts w:ascii="Times New Roman" w:hAnsi="Times New Roman" w:cs="Times New Roman"/>
          <w:color w:val="000000" w:themeColor="text1"/>
        </w:rPr>
        <w:t>117.</w:t>
      </w:r>
    </w:p>
    <w:p w14:paraId="4CBAE819" w14:textId="49729D0E" w:rsidR="00E277E9" w:rsidRPr="004F359E" w:rsidRDefault="002A7447"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Bernard, V.</w:t>
      </w:r>
      <w:r w:rsidR="00E277E9" w:rsidRPr="004F359E">
        <w:rPr>
          <w:rFonts w:ascii="Times New Roman" w:hAnsi="Times New Roman" w:cs="Times New Roman"/>
          <w:color w:val="000000" w:themeColor="text1"/>
        </w:rPr>
        <w:t xml:space="preserve">L., </w:t>
      </w:r>
      <w:r w:rsidRPr="004F359E">
        <w:rPr>
          <w:rFonts w:ascii="Times New Roman" w:hAnsi="Times New Roman" w:cs="Times New Roman"/>
          <w:color w:val="000000" w:themeColor="text1"/>
        </w:rPr>
        <w:t>and Thomas, J.</w:t>
      </w:r>
      <w:r w:rsidR="00E277E9" w:rsidRPr="004F359E">
        <w:rPr>
          <w:rFonts w:ascii="Times New Roman" w:hAnsi="Times New Roman" w:cs="Times New Roman"/>
          <w:color w:val="000000" w:themeColor="text1"/>
        </w:rPr>
        <w:t>K</w:t>
      </w:r>
      <w:r w:rsidRPr="004F359E">
        <w:rPr>
          <w:rFonts w:ascii="Times New Roman" w:hAnsi="Times New Roman" w:cs="Times New Roman"/>
          <w:color w:val="000000" w:themeColor="text1"/>
        </w:rPr>
        <w:t xml:space="preserve">., </w:t>
      </w:r>
      <w:r w:rsidR="00E277E9" w:rsidRPr="004F359E">
        <w:rPr>
          <w:rFonts w:ascii="Times New Roman" w:hAnsi="Times New Roman" w:cs="Times New Roman"/>
          <w:color w:val="000000" w:themeColor="text1"/>
        </w:rPr>
        <w:t>Post-</w:t>
      </w:r>
      <w:r w:rsidRPr="004F359E">
        <w:rPr>
          <w:rFonts w:ascii="Times New Roman" w:hAnsi="Times New Roman" w:cs="Times New Roman"/>
          <w:color w:val="000000" w:themeColor="text1"/>
        </w:rPr>
        <w:t>Earnings-Announcement Dri</w:t>
      </w:r>
      <w:r w:rsidR="00E277E9" w:rsidRPr="004F359E">
        <w:rPr>
          <w:rFonts w:ascii="Times New Roman" w:hAnsi="Times New Roman" w:cs="Times New Roman"/>
          <w:color w:val="000000" w:themeColor="text1"/>
        </w:rPr>
        <w:t xml:space="preserve">ft: </w:t>
      </w:r>
      <w:r w:rsidRPr="004F359E">
        <w:rPr>
          <w:rFonts w:ascii="Times New Roman" w:hAnsi="Times New Roman" w:cs="Times New Roman"/>
          <w:color w:val="000000" w:themeColor="text1"/>
        </w:rPr>
        <w:t>Delayed Price Response or Risk Premium?</w:t>
      </w:r>
      <w:r w:rsidR="00E277E9" w:rsidRPr="004F359E">
        <w:rPr>
          <w:rFonts w:ascii="Times New Roman" w:hAnsi="Times New Roman" w:cs="Times New Roman"/>
          <w:color w:val="000000" w:themeColor="text1"/>
        </w:rPr>
        <w:t xml:space="preserve"> </w:t>
      </w:r>
      <w:r w:rsidR="00E277E9" w:rsidRPr="004F359E">
        <w:rPr>
          <w:rFonts w:ascii="Times New Roman" w:hAnsi="Times New Roman" w:cs="Times New Roman"/>
          <w:i/>
          <w:color w:val="000000" w:themeColor="text1"/>
        </w:rPr>
        <w:t xml:space="preserve">Journal of Accounting </w:t>
      </w:r>
      <w:r w:rsidRPr="004F359E">
        <w:rPr>
          <w:rFonts w:ascii="Times New Roman" w:hAnsi="Times New Roman" w:cs="Times New Roman"/>
          <w:i/>
          <w:color w:val="000000" w:themeColor="text1"/>
        </w:rPr>
        <w:t>Re</w:t>
      </w:r>
      <w:r w:rsidR="00E277E9" w:rsidRPr="004F359E">
        <w:rPr>
          <w:rFonts w:ascii="Times New Roman" w:hAnsi="Times New Roman" w:cs="Times New Roman"/>
          <w:i/>
          <w:color w:val="000000" w:themeColor="text1"/>
        </w:rPr>
        <w:t>search</w:t>
      </w:r>
      <w:r w:rsidR="00E277E9" w:rsidRPr="004F359E">
        <w:rPr>
          <w:rFonts w:ascii="Times New Roman" w:hAnsi="Times New Roman" w:cs="Times New Roman"/>
          <w:color w:val="000000" w:themeColor="text1"/>
        </w:rPr>
        <w:t xml:space="preserve">, </w:t>
      </w:r>
      <w:r w:rsidR="00E351C9" w:rsidRPr="004F359E">
        <w:rPr>
          <w:rFonts w:ascii="Times New Roman" w:hAnsi="Times New Roman" w:cs="Times New Roman"/>
          <w:color w:val="000000" w:themeColor="text1"/>
        </w:rPr>
        <w:t xml:space="preserve">27, </w:t>
      </w:r>
      <w:r w:rsidR="0017736A">
        <w:rPr>
          <w:rFonts w:ascii="Times New Roman" w:hAnsi="Times New Roman" w:cs="Times New Roman"/>
          <w:color w:val="000000" w:themeColor="text1"/>
        </w:rPr>
        <w:t xml:space="preserve">1989, </w:t>
      </w:r>
      <w:r w:rsidR="00E351C9"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1-36.</w:t>
      </w:r>
    </w:p>
    <w:p w14:paraId="3966E2DF" w14:textId="635AE8C6" w:rsidR="00E277E9" w:rsidRPr="004F359E" w:rsidRDefault="00E277E9"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Bernard, V. L., </w:t>
      </w:r>
      <w:r w:rsidR="002A7447" w:rsidRPr="004F359E">
        <w:rPr>
          <w:rFonts w:ascii="Times New Roman" w:hAnsi="Times New Roman" w:cs="Times New Roman"/>
          <w:color w:val="000000" w:themeColor="text1"/>
        </w:rPr>
        <w:t>and</w:t>
      </w:r>
      <w:r w:rsidRPr="004F359E">
        <w:rPr>
          <w:rFonts w:ascii="Times New Roman" w:hAnsi="Times New Roman" w:cs="Times New Roman"/>
          <w:color w:val="000000" w:themeColor="text1"/>
        </w:rPr>
        <w:t xml:space="preserve"> Thomas, J. K</w:t>
      </w:r>
      <w:r w:rsidR="002A7447"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Evidence that </w:t>
      </w:r>
      <w:r w:rsidR="00E351C9" w:rsidRPr="004F359E">
        <w:rPr>
          <w:rFonts w:ascii="Times New Roman" w:hAnsi="Times New Roman" w:cs="Times New Roman"/>
          <w:color w:val="000000" w:themeColor="text1"/>
        </w:rPr>
        <w:t>Stock Prices Do Not Fully Reflect</w:t>
      </w:r>
      <w:r w:rsidRPr="004F359E">
        <w:rPr>
          <w:rFonts w:ascii="Times New Roman" w:hAnsi="Times New Roman" w:cs="Times New Roman"/>
          <w:color w:val="000000" w:themeColor="text1"/>
        </w:rPr>
        <w:t xml:space="preserve"> the </w:t>
      </w:r>
      <w:r w:rsidR="00E351C9" w:rsidRPr="004F359E">
        <w:rPr>
          <w:rFonts w:ascii="Times New Roman" w:hAnsi="Times New Roman" w:cs="Times New Roman"/>
          <w:color w:val="000000" w:themeColor="text1"/>
        </w:rPr>
        <w:t>Imp</w:t>
      </w:r>
      <w:r w:rsidRPr="004F359E">
        <w:rPr>
          <w:rFonts w:ascii="Times New Roman" w:hAnsi="Times New Roman" w:cs="Times New Roman"/>
          <w:color w:val="000000" w:themeColor="text1"/>
        </w:rPr>
        <w:t xml:space="preserve">lications of </w:t>
      </w:r>
      <w:r w:rsidR="00E351C9" w:rsidRPr="004F359E">
        <w:rPr>
          <w:rFonts w:ascii="Times New Roman" w:hAnsi="Times New Roman" w:cs="Times New Roman"/>
          <w:color w:val="000000" w:themeColor="text1"/>
        </w:rPr>
        <w:t>Current Earnings</w:t>
      </w:r>
      <w:r w:rsidRPr="004F359E">
        <w:rPr>
          <w:rFonts w:ascii="Times New Roman" w:hAnsi="Times New Roman" w:cs="Times New Roman"/>
          <w:color w:val="000000" w:themeColor="text1"/>
        </w:rPr>
        <w:t xml:space="preserve"> for </w:t>
      </w:r>
      <w:r w:rsidR="00E351C9" w:rsidRPr="004F359E">
        <w:rPr>
          <w:rFonts w:ascii="Times New Roman" w:hAnsi="Times New Roman" w:cs="Times New Roman"/>
          <w:color w:val="000000" w:themeColor="text1"/>
        </w:rPr>
        <w:t>Future Earnin</w:t>
      </w:r>
      <w:r w:rsidRPr="004F359E">
        <w:rPr>
          <w:rFonts w:ascii="Times New Roman" w:hAnsi="Times New Roman" w:cs="Times New Roman"/>
          <w:color w:val="000000" w:themeColor="text1"/>
        </w:rPr>
        <w:t xml:space="preserve">gs. </w:t>
      </w:r>
      <w:r w:rsidRPr="004F359E">
        <w:rPr>
          <w:rFonts w:ascii="Times New Roman" w:hAnsi="Times New Roman" w:cs="Times New Roman"/>
          <w:i/>
          <w:color w:val="000000" w:themeColor="text1"/>
        </w:rPr>
        <w:t>Journal of Accounting and Economics</w:t>
      </w:r>
      <w:r w:rsidRPr="004F359E">
        <w:rPr>
          <w:rFonts w:ascii="Times New Roman" w:hAnsi="Times New Roman" w:cs="Times New Roman"/>
          <w:color w:val="000000" w:themeColor="text1"/>
        </w:rPr>
        <w:t xml:space="preserve">, 13(4), </w:t>
      </w:r>
      <w:r w:rsidR="0017736A">
        <w:rPr>
          <w:rFonts w:ascii="Times New Roman" w:hAnsi="Times New Roman" w:cs="Times New Roman"/>
          <w:color w:val="000000" w:themeColor="text1"/>
        </w:rPr>
        <w:t xml:space="preserve">1990, </w:t>
      </w:r>
      <w:r w:rsidR="00E351C9"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305-340.</w:t>
      </w:r>
    </w:p>
    <w:p w14:paraId="3B1A4C0B" w14:textId="4D814DD8" w:rsidR="00E277E9" w:rsidRPr="004F359E" w:rsidRDefault="00E277E9"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Bowen, R.</w:t>
      </w:r>
      <w:r w:rsidR="00E351C9"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w:t>
      </w:r>
      <w:proofErr w:type="gramStart"/>
      <w:r w:rsidRPr="004F359E">
        <w:rPr>
          <w:rFonts w:ascii="Times New Roman" w:hAnsi="Times New Roman" w:cs="Times New Roman"/>
          <w:color w:val="000000" w:themeColor="text1"/>
        </w:rPr>
        <w:t>The</w:t>
      </w:r>
      <w:proofErr w:type="gramEnd"/>
      <w:r w:rsidRPr="004F359E">
        <w:rPr>
          <w:rFonts w:ascii="Times New Roman" w:hAnsi="Times New Roman" w:cs="Times New Roman"/>
          <w:color w:val="000000" w:themeColor="text1"/>
        </w:rPr>
        <w:t xml:space="preserve"> </w:t>
      </w:r>
      <w:r w:rsidR="00E351C9" w:rsidRPr="004F359E">
        <w:rPr>
          <w:rFonts w:ascii="Times New Roman" w:hAnsi="Times New Roman" w:cs="Times New Roman"/>
          <w:color w:val="000000" w:themeColor="text1"/>
        </w:rPr>
        <w:t>Val</w:t>
      </w:r>
      <w:r w:rsidRPr="004F359E">
        <w:rPr>
          <w:rFonts w:ascii="Times New Roman" w:hAnsi="Times New Roman" w:cs="Times New Roman"/>
          <w:color w:val="000000" w:themeColor="text1"/>
        </w:rPr>
        <w:t xml:space="preserve">uation of </w:t>
      </w:r>
      <w:r w:rsidR="00E351C9" w:rsidRPr="004F359E">
        <w:rPr>
          <w:rFonts w:ascii="Times New Roman" w:hAnsi="Times New Roman" w:cs="Times New Roman"/>
          <w:color w:val="000000" w:themeColor="text1"/>
        </w:rPr>
        <w:t>Earnings Components</w:t>
      </w:r>
      <w:r w:rsidRPr="004F359E">
        <w:rPr>
          <w:rFonts w:ascii="Times New Roman" w:hAnsi="Times New Roman" w:cs="Times New Roman"/>
          <w:color w:val="000000" w:themeColor="text1"/>
        </w:rPr>
        <w:t xml:space="preserve"> in the </w:t>
      </w:r>
      <w:r w:rsidR="00E351C9" w:rsidRPr="004F359E">
        <w:rPr>
          <w:rFonts w:ascii="Times New Roman" w:hAnsi="Times New Roman" w:cs="Times New Roman"/>
          <w:color w:val="000000" w:themeColor="text1"/>
        </w:rPr>
        <w:t>Electric Utility In</w:t>
      </w:r>
      <w:r w:rsidRPr="004F359E">
        <w:rPr>
          <w:rFonts w:ascii="Times New Roman" w:hAnsi="Times New Roman" w:cs="Times New Roman"/>
          <w:color w:val="000000" w:themeColor="text1"/>
        </w:rPr>
        <w:t xml:space="preserve">dustry. </w:t>
      </w:r>
      <w:r w:rsidRPr="004F359E">
        <w:rPr>
          <w:rFonts w:ascii="Times New Roman" w:hAnsi="Times New Roman" w:cs="Times New Roman"/>
          <w:i/>
          <w:color w:val="000000" w:themeColor="text1"/>
        </w:rPr>
        <w:t xml:space="preserve">The </w:t>
      </w:r>
      <w:r w:rsidR="00E351C9" w:rsidRPr="004F359E">
        <w:rPr>
          <w:rFonts w:ascii="Times New Roman" w:hAnsi="Times New Roman" w:cs="Times New Roman"/>
          <w:i/>
          <w:color w:val="000000" w:themeColor="text1"/>
        </w:rPr>
        <w:t>Accounting</w:t>
      </w:r>
      <w:r w:rsidRPr="004F359E">
        <w:rPr>
          <w:rFonts w:ascii="Times New Roman" w:hAnsi="Times New Roman" w:cs="Times New Roman"/>
          <w:i/>
          <w:color w:val="000000" w:themeColor="text1"/>
        </w:rPr>
        <w:t xml:space="preserve"> Review</w:t>
      </w:r>
      <w:r w:rsidR="00E351C9"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56 (</w:t>
      </w:r>
      <w:r w:rsidR="00E351C9" w:rsidRPr="004F359E">
        <w:rPr>
          <w:rFonts w:ascii="Times New Roman" w:hAnsi="Times New Roman" w:cs="Times New Roman"/>
          <w:color w:val="000000" w:themeColor="text1"/>
        </w:rPr>
        <w:t>1),</w:t>
      </w:r>
      <w:r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1981, </w:t>
      </w:r>
      <w:r w:rsidR="00E351C9"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1-22.</w:t>
      </w:r>
    </w:p>
    <w:p w14:paraId="7AE42353" w14:textId="3F8078B7" w:rsidR="00E277E9" w:rsidRPr="004F359E" w:rsidRDefault="00E351C9" w:rsidP="0017736A">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Carhart</w:t>
      </w:r>
      <w:proofErr w:type="spellEnd"/>
      <w:r w:rsidRPr="004F359E">
        <w:rPr>
          <w:rFonts w:ascii="Times New Roman" w:hAnsi="Times New Roman" w:cs="Times New Roman"/>
          <w:color w:val="000000" w:themeColor="text1"/>
        </w:rPr>
        <w:t>, M.</w:t>
      </w:r>
      <w:r w:rsidR="00E277E9" w:rsidRPr="004F359E">
        <w:rPr>
          <w:rFonts w:ascii="Times New Roman" w:hAnsi="Times New Roman" w:cs="Times New Roman"/>
          <w:color w:val="000000" w:themeColor="text1"/>
        </w:rPr>
        <w:t>M</w:t>
      </w:r>
      <w:r w:rsidR="002A7447" w:rsidRPr="004F359E">
        <w:rPr>
          <w:rFonts w:ascii="Times New Roman" w:hAnsi="Times New Roman" w:cs="Times New Roman"/>
          <w:color w:val="000000" w:themeColor="text1"/>
        </w:rPr>
        <w:t xml:space="preserve">., </w:t>
      </w:r>
      <w:r w:rsidR="00E277E9" w:rsidRPr="004F359E">
        <w:rPr>
          <w:rFonts w:ascii="Times New Roman" w:hAnsi="Times New Roman" w:cs="Times New Roman"/>
          <w:color w:val="000000" w:themeColor="text1"/>
        </w:rPr>
        <w:t xml:space="preserve">On </w:t>
      </w:r>
      <w:r w:rsidRPr="004F359E">
        <w:rPr>
          <w:rFonts w:ascii="Times New Roman" w:hAnsi="Times New Roman" w:cs="Times New Roman"/>
          <w:color w:val="000000" w:themeColor="text1"/>
        </w:rPr>
        <w:t>Persi</w:t>
      </w:r>
      <w:r w:rsidR="00E277E9" w:rsidRPr="004F359E">
        <w:rPr>
          <w:rFonts w:ascii="Times New Roman" w:hAnsi="Times New Roman" w:cs="Times New Roman"/>
          <w:color w:val="000000" w:themeColor="text1"/>
        </w:rPr>
        <w:t>stence in</w:t>
      </w:r>
      <w:r w:rsidRPr="004F359E">
        <w:rPr>
          <w:rFonts w:ascii="Times New Roman" w:hAnsi="Times New Roman" w:cs="Times New Roman"/>
          <w:color w:val="000000" w:themeColor="text1"/>
        </w:rPr>
        <w:t xml:space="preserve"> Mutual Fund Perfo</w:t>
      </w:r>
      <w:r w:rsidR="00E277E9" w:rsidRPr="004F359E">
        <w:rPr>
          <w:rFonts w:ascii="Times New Roman" w:hAnsi="Times New Roman" w:cs="Times New Roman"/>
          <w:color w:val="000000" w:themeColor="text1"/>
        </w:rPr>
        <w:t xml:space="preserve">rmance. </w:t>
      </w:r>
      <w:r w:rsidR="00E277E9" w:rsidRPr="004F359E">
        <w:rPr>
          <w:rFonts w:ascii="Times New Roman" w:hAnsi="Times New Roman" w:cs="Times New Roman"/>
          <w:i/>
          <w:color w:val="000000" w:themeColor="text1"/>
        </w:rPr>
        <w:t xml:space="preserve">Journal of </w:t>
      </w:r>
      <w:r w:rsidRPr="004F359E">
        <w:rPr>
          <w:rFonts w:ascii="Times New Roman" w:hAnsi="Times New Roman" w:cs="Times New Roman"/>
          <w:i/>
          <w:color w:val="000000" w:themeColor="text1"/>
        </w:rPr>
        <w:t>Fi</w:t>
      </w:r>
      <w:r w:rsidR="00E277E9" w:rsidRPr="004F359E">
        <w:rPr>
          <w:rFonts w:ascii="Times New Roman" w:hAnsi="Times New Roman" w:cs="Times New Roman"/>
          <w:i/>
          <w:color w:val="000000" w:themeColor="text1"/>
        </w:rPr>
        <w:t>nance</w:t>
      </w:r>
      <w:r w:rsidR="00E277E9" w:rsidRPr="004F359E">
        <w:rPr>
          <w:rFonts w:ascii="Times New Roman" w:hAnsi="Times New Roman" w:cs="Times New Roman"/>
          <w:color w:val="000000" w:themeColor="text1"/>
        </w:rPr>
        <w:t xml:space="preserve">, 52(1), </w:t>
      </w:r>
      <w:r w:rsidR="0017736A">
        <w:rPr>
          <w:rFonts w:ascii="Times New Roman" w:hAnsi="Times New Roman" w:cs="Times New Roman"/>
          <w:color w:val="000000" w:themeColor="text1"/>
        </w:rPr>
        <w:t xml:space="preserve">1997,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57-82.</w:t>
      </w:r>
    </w:p>
    <w:p w14:paraId="1D2C257C" w14:textId="65539C31" w:rsidR="00E277E9" w:rsidRPr="004F359E" w:rsidRDefault="00E277E9"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Chordia, T., </w:t>
      </w:r>
      <w:r w:rsidR="002A7447" w:rsidRPr="004F359E">
        <w:rPr>
          <w:rFonts w:ascii="Times New Roman" w:hAnsi="Times New Roman" w:cs="Times New Roman"/>
          <w:color w:val="000000" w:themeColor="text1"/>
        </w:rPr>
        <w:t>and</w:t>
      </w:r>
      <w:r w:rsidRPr="004F359E">
        <w:rPr>
          <w:rFonts w:ascii="Times New Roman" w:hAnsi="Times New Roman" w:cs="Times New Roman"/>
          <w:color w:val="000000" w:themeColor="text1"/>
        </w:rPr>
        <w:t xml:space="preserve"> </w:t>
      </w:r>
      <w:proofErr w:type="spellStart"/>
      <w:r w:rsidRPr="004F359E">
        <w:rPr>
          <w:rFonts w:ascii="Times New Roman" w:hAnsi="Times New Roman" w:cs="Times New Roman"/>
          <w:color w:val="000000" w:themeColor="text1"/>
        </w:rPr>
        <w:t>Shivakumar</w:t>
      </w:r>
      <w:proofErr w:type="spellEnd"/>
      <w:r w:rsidRPr="004F359E">
        <w:rPr>
          <w:rFonts w:ascii="Times New Roman" w:hAnsi="Times New Roman" w:cs="Times New Roman"/>
          <w:color w:val="000000" w:themeColor="text1"/>
        </w:rPr>
        <w:t>, L</w:t>
      </w:r>
      <w:r w:rsidR="002A7447"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Earnings and </w:t>
      </w:r>
      <w:r w:rsidR="00E351C9" w:rsidRPr="004F359E">
        <w:rPr>
          <w:rFonts w:ascii="Times New Roman" w:hAnsi="Times New Roman" w:cs="Times New Roman"/>
          <w:color w:val="000000" w:themeColor="text1"/>
        </w:rPr>
        <w:t>Price Mo</w:t>
      </w:r>
      <w:r w:rsidRPr="004F359E">
        <w:rPr>
          <w:rFonts w:ascii="Times New Roman" w:hAnsi="Times New Roman" w:cs="Times New Roman"/>
          <w:color w:val="000000" w:themeColor="text1"/>
        </w:rPr>
        <w:t xml:space="preserve">mentum. </w:t>
      </w:r>
      <w:r w:rsidRPr="004F359E">
        <w:rPr>
          <w:rFonts w:ascii="Times New Roman" w:hAnsi="Times New Roman" w:cs="Times New Roman"/>
          <w:i/>
          <w:color w:val="000000" w:themeColor="text1"/>
        </w:rPr>
        <w:t xml:space="preserve">Journal of </w:t>
      </w:r>
      <w:r w:rsidR="00E351C9" w:rsidRPr="004F359E">
        <w:rPr>
          <w:rFonts w:ascii="Times New Roman" w:hAnsi="Times New Roman" w:cs="Times New Roman"/>
          <w:i/>
          <w:color w:val="000000" w:themeColor="text1"/>
        </w:rPr>
        <w:t>Financial Economics</w:t>
      </w:r>
      <w:r w:rsidRPr="004F359E">
        <w:rPr>
          <w:rFonts w:ascii="Times New Roman" w:hAnsi="Times New Roman" w:cs="Times New Roman"/>
          <w:color w:val="000000" w:themeColor="text1"/>
        </w:rPr>
        <w:t xml:space="preserve">, 80(3), </w:t>
      </w:r>
      <w:r w:rsidR="0017736A">
        <w:rPr>
          <w:rFonts w:ascii="Times New Roman" w:hAnsi="Times New Roman" w:cs="Times New Roman"/>
          <w:color w:val="000000" w:themeColor="text1"/>
        </w:rPr>
        <w:t xml:space="preserve">2006, </w:t>
      </w:r>
      <w:r w:rsidR="00E351C9"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627-656.</w:t>
      </w:r>
    </w:p>
    <w:p w14:paraId="41A6C31D" w14:textId="5F2979B8" w:rsidR="00E277E9" w:rsidRPr="004F359E" w:rsidRDefault="00E277E9" w:rsidP="0017736A">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Chordia, T., </w:t>
      </w:r>
      <w:proofErr w:type="spellStart"/>
      <w:r w:rsidRPr="004F359E">
        <w:rPr>
          <w:rFonts w:ascii="Times New Roman" w:hAnsi="Times New Roman" w:cs="Times New Roman"/>
          <w:color w:val="000000" w:themeColor="text1"/>
        </w:rPr>
        <w:t>Goyal</w:t>
      </w:r>
      <w:proofErr w:type="spellEnd"/>
      <w:r w:rsidRPr="004F359E">
        <w:rPr>
          <w:rFonts w:ascii="Times New Roman" w:hAnsi="Times New Roman" w:cs="Times New Roman"/>
          <w:color w:val="000000" w:themeColor="text1"/>
        </w:rPr>
        <w:t xml:space="preserve">, A., </w:t>
      </w:r>
      <w:proofErr w:type="spellStart"/>
      <w:r w:rsidRPr="004F359E">
        <w:rPr>
          <w:rFonts w:ascii="Times New Roman" w:hAnsi="Times New Roman" w:cs="Times New Roman"/>
          <w:color w:val="000000" w:themeColor="text1"/>
        </w:rPr>
        <w:t>Sadka</w:t>
      </w:r>
      <w:proofErr w:type="spellEnd"/>
      <w:r w:rsidRPr="004F359E">
        <w:rPr>
          <w:rFonts w:ascii="Times New Roman" w:hAnsi="Times New Roman" w:cs="Times New Roman"/>
          <w:color w:val="000000" w:themeColor="text1"/>
        </w:rPr>
        <w:t xml:space="preserve">, G., </w:t>
      </w:r>
      <w:proofErr w:type="spellStart"/>
      <w:r w:rsidRPr="004F359E">
        <w:rPr>
          <w:rFonts w:ascii="Times New Roman" w:hAnsi="Times New Roman" w:cs="Times New Roman"/>
          <w:color w:val="000000" w:themeColor="text1"/>
        </w:rPr>
        <w:t>Sadka</w:t>
      </w:r>
      <w:proofErr w:type="spellEnd"/>
      <w:r w:rsidRPr="004F359E">
        <w:rPr>
          <w:rFonts w:ascii="Times New Roman" w:hAnsi="Times New Roman" w:cs="Times New Roman"/>
          <w:color w:val="000000" w:themeColor="text1"/>
        </w:rPr>
        <w:t xml:space="preserve">, R., </w:t>
      </w:r>
      <w:r w:rsidR="002A7447" w:rsidRPr="004F359E">
        <w:rPr>
          <w:rFonts w:ascii="Times New Roman" w:hAnsi="Times New Roman" w:cs="Times New Roman"/>
          <w:color w:val="000000" w:themeColor="text1"/>
        </w:rPr>
        <w:t>and</w:t>
      </w:r>
      <w:r w:rsidRPr="004F359E">
        <w:rPr>
          <w:rFonts w:ascii="Times New Roman" w:hAnsi="Times New Roman" w:cs="Times New Roman"/>
          <w:color w:val="000000" w:themeColor="text1"/>
        </w:rPr>
        <w:t xml:space="preserve"> </w:t>
      </w:r>
      <w:proofErr w:type="spellStart"/>
      <w:r w:rsidRPr="004F359E">
        <w:rPr>
          <w:rFonts w:ascii="Times New Roman" w:hAnsi="Times New Roman" w:cs="Times New Roman"/>
          <w:color w:val="000000" w:themeColor="text1"/>
        </w:rPr>
        <w:t>Shivakumar</w:t>
      </w:r>
      <w:proofErr w:type="spellEnd"/>
      <w:r w:rsidRPr="004F359E">
        <w:rPr>
          <w:rFonts w:ascii="Times New Roman" w:hAnsi="Times New Roman" w:cs="Times New Roman"/>
          <w:color w:val="000000" w:themeColor="text1"/>
        </w:rPr>
        <w:t>, L</w:t>
      </w:r>
      <w:r w:rsidR="002A7447"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Liquidity and the </w:t>
      </w:r>
      <w:r w:rsidR="00E351C9" w:rsidRPr="004F359E">
        <w:rPr>
          <w:rFonts w:ascii="Times New Roman" w:hAnsi="Times New Roman" w:cs="Times New Roman"/>
          <w:color w:val="000000" w:themeColor="text1"/>
        </w:rPr>
        <w:t>Post-Earnings-Announcement Drift</w:t>
      </w:r>
      <w:r w:rsidRPr="004F359E">
        <w:rPr>
          <w:rFonts w:ascii="Times New Roman" w:hAnsi="Times New Roman" w:cs="Times New Roman"/>
          <w:color w:val="000000" w:themeColor="text1"/>
        </w:rPr>
        <w:t xml:space="preserve">. </w:t>
      </w:r>
      <w:r w:rsidRPr="004F359E">
        <w:rPr>
          <w:rFonts w:ascii="Times New Roman" w:hAnsi="Times New Roman" w:cs="Times New Roman"/>
          <w:i/>
          <w:color w:val="000000" w:themeColor="text1"/>
        </w:rPr>
        <w:t>Financial Analysts Journal</w:t>
      </w:r>
      <w:r w:rsidRPr="004F359E">
        <w:rPr>
          <w:rFonts w:ascii="Times New Roman" w:hAnsi="Times New Roman" w:cs="Times New Roman"/>
          <w:color w:val="000000" w:themeColor="text1"/>
        </w:rPr>
        <w:t xml:space="preserve">, 65(4), </w:t>
      </w:r>
      <w:r w:rsidR="0017736A">
        <w:rPr>
          <w:rFonts w:ascii="Times New Roman" w:hAnsi="Times New Roman" w:cs="Times New Roman"/>
          <w:color w:val="000000" w:themeColor="text1"/>
        </w:rPr>
        <w:t xml:space="preserve">2009, </w:t>
      </w:r>
      <w:r w:rsidR="00E351C9"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18-32.</w:t>
      </w:r>
    </w:p>
    <w:p w14:paraId="35980ACC" w14:textId="7C928CF2" w:rsidR="00E277E9" w:rsidRPr="004F359E" w:rsidRDefault="00E351C9"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Dechow</w:t>
      </w:r>
      <w:proofErr w:type="spellEnd"/>
      <w:r w:rsidRPr="004F359E">
        <w:rPr>
          <w:rFonts w:ascii="Times New Roman" w:hAnsi="Times New Roman" w:cs="Times New Roman"/>
          <w:color w:val="000000" w:themeColor="text1"/>
        </w:rPr>
        <w:t>, P.M., Ge, W., Larson, C.</w:t>
      </w:r>
      <w:r w:rsidR="00E277E9" w:rsidRPr="004F359E">
        <w:rPr>
          <w:rFonts w:ascii="Times New Roman" w:hAnsi="Times New Roman" w:cs="Times New Roman"/>
          <w:color w:val="000000" w:themeColor="text1"/>
        </w:rPr>
        <w:t xml:space="preserve">R., </w:t>
      </w:r>
      <w:r w:rsidR="002A7447" w:rsidRPr="004F359E">
        <w:rPr>
          <w:rFonts w:ascii="Times New Roman" w:hAnsi="Times New Roman" w:cs="Times New Roman"/>
          <w:color w:val="000000" w:themeColor="text1"/>
        </w:rPr>
        <w:t>and</w:t>
      </w:r>
      <w:r w:rsidRPr="004F359E">
        <w:rPr>
          <w:rFonts w:ascii="Times New Roman" w:hAnsi="Times New Roman" w:cs="Times New Roman"/>
          <w:color w:val="000000" w:themeColor="text1"/>
        </w:rPr>
        <w:t xml:space="preserve"> Sloan, R.</w:t>
      </w:r>
      <w:r w:rsidR="00E277E9" w:rsidRPr="004F359E">
        <w:rPr>
          <w:rFonts w:ascii="Times New Roman" w:hAnsi="Times New Roman" w:cs="Times New Roman"/>
          <w:color w:val="000000" w:themeColor="text1"/>
        </w:rPr>
        <w:t>G</w:t>
      </w:r>
      <w:r w:rsidR="002A7447" w:rsidRPr="004F359E">
        <w:rPr>
          <w:rFonts w:ascii="Times New Roman" w:hAnsi="Times New Roman" w:cs="Times New Roman"/>
          <w:color w:val="000000" w:themeColor="text1"/>
        </w:rPr>
        <w:t xml:space="preserve">., </w:t>
      </w:r>
      <w:r w:rsidR="00E277E9" w:rsidRPr="004F359E">
        <w:rPr>
          <w:rFonts w:ascii="Times New Roman" w:hAnsi="Times New Roman" w:cs="Times New Roman"/>
          <w:color w:val="000000" w:themeColor="text1"/>
        </w:rPr>
        <w:t xml:space="preserve">Predicting </w:t>
      </w:r>
      <w:r w:rsidRPr="004F359E">
        <w:rPr>
          <w:rFonts w:ascii="Times New Roman" w:hAnsi="Times New Roman" w:cs="Times New Roman"/>
          <w:color w:val="000000" w:themeColor="text1"/>
        </w:rPr>
        <w:t>Material Accounting Misstatement</w:t>
      </w:r>
      <w:r w:rsidR="00E277E9" w:rsidRPr="004F359E">
        <w:rPr>
          <w:rFonts w:ascii="Times New Roman" w:hAnsi="Times New Roman" w:cs="Times New Roman"/>
          <w:color w:val="000000" w:themeColor="text1"/>
        </w:rPr>
        <w:t xml:space="preserve">s. </w:t>
      </w:r>
      <w:r w:rsidR="00E277E9" w:rsidRPr="004F359E">
        <w:rPr>
          <w:rFonts w:ascii="Times New Roman" w:hAnsi="Times New Roman" w:cs="Times New Roman"/>
          <w:i/>
          <w:color w:val="000000" w:themeColor="text1"/>
        </w:rPr>
        <w:t>Contemporary</w:t>
      </w:r>
      <w:r w:rsidRPr="004F359E">
        <w:rPr>
          <w:rFonts w:ascii="Times New Roman" w:hAnsi="Times New Roman" w:cs="Times New Roman"/>
          <w:i/>
          <w:color w:val="000000" w:themeColor="text1"/>
        </w:rPr>
        <w:t xml:space="preserve"> Accounting Resea</w:t>
      </w:r>
      <w:r w:rsidR="00E277E9" w:rsidRPr="004F359E">
        <w:rPr>
          <w:rFonts w:ascii="Times New Roman" w:hAnsi="Times New Roman" w:cs="Times New Roman"/>
          <w:i/>
          <w:color w:val="000000" w:themeColor="text1"/>
        </w:rPr>
        <w:t>rch</w:t>
      </w:r>
      <w:r w:rsidR="00E277E9" w:rsidRPr="004F359E">
        <w:rPr>
          <w:rFonts w:ascii="Times New Roman" w:hAnsi="Times New Roman" w:cs="Times New Roman"/>
          <w:color w:val="000000" w:themeColor="text1"/>
        </w:rPr>
        <w:t xml:space="preserve">, 28(1), </w:t>
      </w:r>
      <w:r w:rsidR="0017736A" w:rsidRPr="004F359E">
        <w:rPr>
          <w:rFonts w:ascii="Times New Roman" w:hAnsi="Times New Roman" w:cs="Times New Roman"/>
          <w:color w:val="000000" w:themeColor="text1"/>
        </w:rPr>
        <w:t>2011</w:t>
      </w:r>
      <w:r w:rsidR="0017736A">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17-82.</w:t>
      </w:r>
    </w:p>
    <w:p w14:paraId="24E31717" w14:textId="53A8EA28"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Dechow</w:t>
      </w:r>
      <w:proofErr w:type="spellEnd"/>
      <w:r w:rsidRPr="004F359E">
        <w:rPr>
          <w:rFonts w:ascii="Times New Roman" w:hAnsi="Times New Roman" w:cs="Times New Roman"/>
          <w:color w:val="000000" w:themeColor="text1"/>
        </w:rPr>
        <w:t>,</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P.M.,</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Richardson,</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S.A.,</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Sloan,</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R.G.,</w:t>
      </w:r>
      <w:r w:rsidR="00E351C9" w:rsidRPr="004F359E">
        <w:rPr>
          <w:rFonts w:ascii="Times New Roman" w:hAnsi="Times New Roman" w:cs="Times New Roman"/>
          <w:color w:val="000000" w:themeColor="text1"/>
        </w:rPr>
        <w:t xml:space="preserve"> </w:t>
      </w:r>
      <w:proofErr w:type="gramStart"/>
      <w:r w:rsidRPr="004F359E">
        <w:rPr>
          <w:rFonts w:ascii="Times New Roman" w:hAnsi="Times New Roman" w:cs="Times New Roman"/>
          <w:color w:val="000000" w:themeColor="text1"/>
        </w:rPr>
        <w:t>The</w:t>
      </w:r>
      <w:proofErr w:type="gramEnd"/>
      <w:r w:rsidR="00E351C9" w:rsidRPr="004F359E">
        <w:rPr>
          <w:rFonts w:ascii="Times New Roman" w:hAnsi="Times New Roman" w:cs="Times New Roman"/>
          <w:color w:val="000000" w:themeColor="text1"/>
        </w:rPr>
        <w:t xml:space="preserve"> P</w:t>
      </w:r>
      <w:r w:rsidRPr="004F359E">
        <w:rPr>
          <w:rFonts w:ascii="Times New Roman" w:hAnsi="Times New Roman" w:cs="Times New Roman"/>
          <w:color w:val="000000" w:themeColor="text1"/>
        </w:rPr>
        <w:t>ersistence</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and</w:t>
      </w:r>
      <w:r w:rsidR="00E351C9" w:rsidRPr="004F359E">
        <w:rPr>
          <w:rFonts w:ascii="Times New Roman" w:hAnsi="Times New Roman" w:cs="Times New Roman"/>
          <w:color w:val="000000" w:themeColor="text1"/>
        </w:rPr>
        <w:t xml:space="preserve"> Prici</w:t>
      </w:r>
      <w:r w:rsidRPr="004F359E">
        <w:rPr>
          <w:rFonts w:ascii="Times New Roman" w:hAnsi="Times New Roman" w:cs="Times New Roman"/>
          <w:color w:val="000000" w:themeColor="text1"/>
        </w:rPr>
        <w:t>ng</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of</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the</w:t>
      </w:r>
      <w:r w:rsidR="00E351C9" w:rsidRPr="004F359E">
        <w:rPr>
          <w:rFonts w:ascii="Times New Roman" w:hAnsi="Times New Roman" w:cs="Times New Roman"/>
          <w:color w:val="000000" w:themeColor="text1"/>
        </w:rPr>
        <w:t xml:space="preserve"> Cash Component </w:t>
      </w:r>
      <w:r w:rsidRPr="004F359E">
        <w:rPr>
          <w:rFonts w:ascii="Times New Roman" w:hAnsi="Times New Roman" w:cs="Times New Roman"/>
          <w:color w:val="000000" w:themeColor="text1"/>
        </w:rPr>
        <w:t>of</w:t>
      </w:r>
      <w:r w:rsidR="00E351C9" w:rsidRPr="004F359E">
        <w:rPr>
          <w:rFonts w:ascii="Times New Roman" w:hAnsi="Times New Roman" w:cs="Times New Roman"/>
          <w:color w:val="000000" w:themeColor="text1"/>
        </w:rPr>
        <w:t xml:space="preserve"> Ear</w:t>
      </w:r>
      <w:r w:rsidRPr="004F359E">
        <w:rPr>
          <w:rFonts w:ascii="Times New Roman" w:hAnsi="Times New Roman" w:cs="Times New Roman"/>
          <w:color w:val="000000" w:themeColor="text1"/>
        </w:rPr>
        <w:t>nings.</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i/>
          <w:color w:val="000000" w:themeColor="text1"/>
        </w:rPr>
        <w:t>Journal</w:t>
      </w:r>
      <w:r w:rsidR="00E351C9" w:rsidRPr="004F359E">
        <w:rPr>
          <w:rFonts w:ascii="Times New Roman" w:hAnsi="Times New Roman" w:cs="Times New Roman"/>
          <w:i/>
          <w:color w:val="000000" w:themeColor="text1"/>
        </w:rPr>
        <w:t xml:space="preserve"> </w:t>
      </w:r>
      <w:r w:rsidRPr="004F359E">
        <w:rPr>
          <w:rFonts w:ascii="Times New Roman" w:hAnsi="Times New Roman" w:cs="Times New Roman"/>
          <w:i/>
          <w:color w:val="000000" w:themeColor="text1"/>
        </w:rPr>
        <w:t>of</w:t>
      </w:r>
      <w:r w:rsidR="00E351C9" w:rsidRPr="004F359E">
        <w:rPr>
          <w:rFonts w:ascii="Times New Roman" w:hAnsi="Times New Roman" w:cs="Times New Roman"/>
          <w:i/>
          <w:color w:val="000000" w:themeColor="text1"/>
        </w:rPr>
        <w:t xml:space="preserve"> </w:t>
      </w:r>
      <w:r w:rsidRPr="004F359E">
        <w:rPr>
          <w:rFonts w:ascii="Times New Roman" w:hAnsi="Times New Roman" w:cs="Times New Roman"/>
          <w:i/>
          <w:color w:val="000000" w:themeColor="text1"/>
        </w:rPr>
        <w:t>Accounting</w:t>
      </w:r>
      <w:r w:rsidR="00E351C9" w:rsidRPr="004F359E">
        <w:rPr>
          <w:rFonts w:ascii="Times New Roman" w:hAnsi="Times New Roman" w:cs="Times New Roman"/>
          <w:i/>
          <w:color w:val="000000" w:themeColor="text1"/>
        </w:rPr>
        <w:t xml:space="preserve"> </w:t>
      </w:r>
      <w:r w:rsidRPr="004F359E">
        <w:rPr>
          <w:rFonts w:ascii="Times New Roman" w:hAnsi="Times New Roman" w:cs="Times New Roman"/>
          <w:i/>
          <w:color w:val="000000" w:themeColor="text1"/>
        </w:rPr>
        <w:t>Research</w:t>
      </w:r>
      <w:r w:rsidR="00E351C9"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46</w:t>
      </w:r>
      <w:r w:rsidR="00E351C9" w:rsidRPr="004F359E">
        <w:rPr>
          <w:rFonts w:ascii="Times New Roman" w:hAnsi="Times New Roman" w:cs="Times New Roman"/>
          <w:color w:val="000000" w:themeColor="text1"/>
        </w:rPr>
        <w:t>(3)</w:t>
      </w:r>
      <w:r w:rsidRPr="004F359E">
        <w:rPr>
          <w:rFonts w:ascii="Times New Roman" w:hAnsi="Times New Roman" w:cs="Times New Roman"/>
          <w:color w:val="000000" w:themeColor="text1"/>
        </w:rPr>
        <w:t>,</w:t>
      </w:r>
      <w:r w:rsidR="00E351C9"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2008, </w:t>
      </w:r>
      <w:r w:rsidR="00C431AA">
        <w:rPr>
          <w:rFonts w:ascii="Times New Roman" w:hAnsi="Times New Roman" w:cs="Times New Roman"/>
          <w:color w:val="000000" w:themeColor="text1"/>
        </w:rPr>
        <w:t xml:space="preserve">pp. </w:t>
      </w:r>
      <w:r w:rsidR="00E351C9" w:rsidRPr="004F359E">
        <w:rPr>
          <w:rFonts w:ascii="Times New Roman" w:hAnsi="Times New Roman" w:cs="Times New Roman"/>
          <w:color w:val="000000" w:themeColor="text1"/>
        </w:rPr>
        <w:t>537-</w:t>
      </w:r>
      <w:r w:rsidRPr="004F359E">
        <w:rPr>
          <w:rFonts w:ascii="Times New Roman" w:hAnsi="Times New Roman" w:cs="Times New Roman"/>
          <w:color w:val="000000" w:themeColor="text1"/>
        </w:rPr>
        <w:t>566.</w:t>
      </w:r>
    </w:p>
    <w:p w14:paraId="36F9A52C" w14:textId="139622BC"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Fama</w:t>
      </w:r>
      <w:proofErr w:type="spellEnd"/>
      <w:r w:rsidRPr="004F359E">
        <w:rPr>
          <w:rFonts w:ascii="Times New Roman" w:hAnsi="Times New Roman" w:cs="Times New Roman"/>
          <w:color w:val="000000" w:themeColor="text1"/>
        </w:rPr>
        <w:t xml:space="preserve">, E.F., Market </w:t>
      </w:r>
      <w:r w:rsidR="00E351C9" w:rsidRPr="004F359E">
        <w:rPr>
          <w:rFonts w:ascii="Times New Roman" w:hAnsi="Times New Roman" w:cs="Times New Roman"/>
          <w:color w:val="000000" w:themeColor="text1"/>
        </w:rPr>
        <w:t>Efficiency, Long-Term Returns,</w:t>
      </w:r>
      <w:r w:rsidRPr="004F359E">
        <w:rPr>
          <w:rFonts w:ascii="Times New Roman" w:hAnsi="Times New Roman" w:cs="Times New Roman"/>
          <w:color w:val="000000" w:themeColor="text1"/>
        </w:rPr>
        <w:t xml:space="preserve"> and </w:t>
      </w:r>
      <w:r w:rsidR="00E351C9" w:rsidRPr="004F359E">
        <w:rPr>
          <w:rFonts w:ascii="Times New Roman" w:hAnsi="Times New Roman" w:cs="Times New Roman"/>
          <w:color w:val="000000" w:themeColor="text1"/>
        </w:rPr>
        <w:t>Behavioral Finan</w:t>
      </w:r>
      <w:r w:rsidRPr="004F359E">
        <w:rPr>
          <w:rFonts w:ascii="Times New Roman" w:hAnsi="Times New Roman" w:cs="Times New Roman"/>
          <w:color w:val="000000" w:themeColor="text1"/>
        </w:rPr>
        <w:t xml:space="preserve">ce. </w:t>
      </w:r>
      <w:r w:rsidRPr="004F359E">
        <w:rPr>
          <w:rFonts w:ascii="Times New Roman" w:hAnsi="Times New Roman" w:cs="Times New Roman"/>
          <w:i/>
          <w:color w:val="000000" w:themeColor="text1"/>
        </w:rPr>
        <w:t>Journal of Financial Economics</w:t>
      </w:r>
      <w:r w:rsidR="00E351C9"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49(3), </w:t>
      </w:r>
      <w:r w:rsidR="0017736A">
        <w:rPr>
          <w:rFonts w:ascii="Times New Roman" w:hAnsi="Times New Roman" w:cs="Times New Roman"/>
          <w:color w:val="000000" w:themeColor="text1"/>
        </w:rPr>
        <w:t xml:space="preserve">1998, </w:t>
      </w:r>
      <w:r w:rsidR="00E351C9" w:rsidRPr="004F359E">
        <w:rPr>
          <w:rFonts w:ascii="Times New Roman" w:hAnsi="Times New Roman" w:cs="Times New Roman"/>
          <w:color w:val="000000" w:themeColor="text1"/>
        </w:rPr>
        <w:t>pp. 283-</w:t>
      </w:r>
      <w:r w:rsidRPr="004F359E">
        <w:rPr>
          <w:rFonts w:ascii="Times New Roman" w:hAnsi="Times New Roman" w:cs="Times New Roman"/>
          <w:color w:val="000000" w:themeColor="text1"/>
        </w:rPr>
        <w:t>306.</w:t>
      </w:r>
    </w:p>
    <w:p w14:paraId="22425E54" w14:textId="78D7DFC7"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Finger, C., </w:t>
      </w:r>
      <w:proofErr w:type="gramStart"/>
      <w:r w:rsidRPr="004F359E">
        <w:rPr>
          <w:rFonts w:ascii="Times New Roman" w:hAnsi="Times New Roman" w:cs="Times New Roman"/>
          <w:color w:val="000000" w:themeColor="text1"/>
        </w:rPr>
        <w:t>The</w:t>
      </w:r>
      <w:proofErr w:type="gramEnd"/>
      <w:r w:rsidRPr="004F359E">
        <w:rPr>
          <w:rFonts w:ascii="Times New Roman" w:hAnsi="Times New Roman" w:cs="Times New Roman"/>
          <w:color w:val="000000" w:themeColor="text1"/>
        </w:rPr>
        <w:t xml:space="preserve"> </w:t>
      </w:r>
      <w:r w:rsidR="00E351C9" w:rsidRPr="004F359E">
        <w:rPr>
          <w:rFonts w:ascii="Times New Roman" w:hAnsi="Times New Roman" w:cs="Times New Roman"/>
          <w:color w:val="000000" w:themeColor="text1"/>
        </w:rPr>
        <w:t>Abil</w:t>
      </w:r>
      <w:r w:rsidRPr="004F359E">
        <w:rPr>
          <w:rFonts w:ascii="Times New Roman" w:hAnsi="Times New Roman" w:cs="Times New Roman"/>
          <w:color w:val="000000" w:themeColor="text1"/>
        </w:rPr>
        <w:t xml:space="preserve">ity of </w:t>
      </w:r>
      <w:r w:rsidR="00E351C9" w:rsidRPr="004F359E">
        <w:rPr>
          <w:rFonts w:ascii="Times New Roman" w:hAnsi="Times New Roman" w:cs="Times New Roman"/>
          <w:color w:val="000000" w:themeColor="text1"/>
        </w:rPr>
        <w:t>Ear</w:t>
      </w:r>
      <w:r w:rsidRPr="004F359E">
        <w:rPr>
          <w:rFonts w:ascii="Times New Roman" w:hAnsi="Times New Roman" w:cs="Times New Roman"/>
          <w:color w:val="000000" w:themeColor="text1"/>
        </w:rPr>
        <w:t xml:space="preserve">nings to </w:t>
      </w:r>
      <w:r w:rsidR="00E351C9" w:rsidRPr="004F359E">
        <w:rPr>
          <w:rFonts w:ascii="Times New Roman" w:hAnsi="Times New Roman" w:cs="Times New Roman"/>
          <w:color w:val="000000" w:themeColor="text1"/>
        </w:rPr>
        <w:t>Predict Future Earnings</w:t>
      </w:r>
      <w:r w:rsidRPr="004F359E">
        <w:rPr>
          <w:rFonts w:ascii="Times New Roman" w:hAnsi="Times New Roman" w:cs="Times New Roman"/>
          <w:color w:val="000000" w:themeColor="text1"/>
        </w:rPr>
        <w:t xml:space="preserve"> and </w:t>
      </w:r>
      <w:r w:rsidR="00E351C9" w:rsidRPr="004F359E">
        <w:rPr>
          <w:rFonts w:ascii="Times New Roman" w:hAnsi="Times New Roman" w:cs="Times New Roman"/>
          <w:color w:val="000000" w:themeColor="text1"/>
        </w:rPr>
        <w:t>Cash Flo</w:t>
      </w:r>
      <w:r w:rsidRPr="004F359E">
        <w:rPr>
          <w:rFonts w:ascii="Times New Roman" w:hAnsi="Times New Roman" w:cs="Times New Roman"/>
          <w:color w:val="000000" w:themeColor="text1"/>
        </w:rPr>
        <w:t xml:space="preserve">w. </w:t>
      </w:r>
      <w:r w:rsidRPr="004F359E">
        <w:rPr>
          <w:rFonts w:ascii="Times New Roman" w:hAnsi="Times New Roman" w:cs="Times New Roman"/>
          <w:i/>
          <w:color w:val="000000" w:themeColor="text1"/>
        </w:rPr>
        <w:t>Journal of Accounting Research</w:t>
      </w:r>
      <w:r w:rsidR="00E351C9"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32</w:t>
      </w:r>
      <w:r w:rsidR="00E351C9" w:rsidRPr="004F359E">
        <w:rPr>
          <w:rFonts w:ascii="Times New Roman" w:hAnsi="Times New Roman" w:cs="Times New Roman"/>
          <w:color w:val="000000" w:themeColor="text1"/>
        </w:rPr>
        <w:t>(2)</w:t>
      </w:r>
      <w:r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1994, </w:t>
      </w:r>
      <w:r w:rsidR="00C431AA">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210</w:t>
      </w:r>
      <w:r w:rsidR="00E351C9"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223.</w:t>
      </w:r>
    </w:p>
    <w:p w14:paraId="67299215" w14:textId="3852B763"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lastRenderedPageBreak/>
        <w:t xml:space="preserve">Francis, J., </w:t>
      </w:r>
      <w:proofErr w:type="spellStart"/>
      <w:r w:rsidRPr="004F359E">
        <w:rPr>
          <w:rFonts w:ascii="Times New Roman" w:hAnsi="Times New Roman" w:cs="Times New Roman"/>
          <w:color w:val="000000" w:themeColor="text1"/>
        </w:rPr>
        <w:t>LaFond</w:t>
      </w:r>
      <w:proofErr w:type="spellEnd"/>
      <w:r w:rsidRPr="004F359E">
        <w:rPr>
          <w:rFonts w:ascii="Times New Roman" w:hAnsi="Times New Roman" w:cs="Times New Roman"/>
          <w:color w:val="000000" w:themeColor="text1"/>
        </w:rPr>
        <w:t xml:space="preserve">, R., Olsson, P., </w:t>
      </w:r>
      <w:r w:rsidR="00E351C9" w:rsidRPr="004F359E">
        <w:rPr>
          <w:rFonts w:ascii="Times New Roman" w:hAnsi="Times New Roman" w:cs="Times New Roman"/>
          <w:color w:val="000000" w:themeColor="text1"/>
        </w:rPr>
        <w:t xml:space="preserve">and </w:t>
      </w:r>
      <w:proofErr w:type="spellStart"/>
      <w:r w:rsidRPr="004F359E">
        <w:rPr>
          <w:rFonts w:ascii="Times New Roman" w:hAnsi="Times New Roman" w:cs="Times New Roman"/>
          <w:color w:val="000000" w:themeColor="text1"/>
        </w:rPr>
        <w:t>Schipper</w:t>
      </w:r>
      <w:proofErr w:type="spellEnd"/>
      <w:r w:rsidRPr="004F359E">
        <w:rPr>
          <w:rFonts w:ascii="Times New Roman" w:hAnsi="Times New Roman" w:cs="Times New Roman"/>
          <w:color w:val="000000" w:themeColor="text1"/>
        </w:rPr>
        <w:t>, K., Information Uncertainty and the Post</w:t>
      </w:r>
      <w:r w:rsidR="00E351C9" w:rsidRPr="004F359E">
        <w:rPr>
          <w:rFonts w:ascii="Times New Roman" w:hAnsi="Times New Roman" w:cs="Times New Roman"/>
          <w:color w:val="000000" w:themeColor="text1"/>
        </w:rPr>
        <w:t>-Earnings-Announce</w:t>
      </w:r>
      <w:r w:rsidRPr="004F359E">
        <w:rPr>
          <w:rFonts w:ascii="Times New Roman" w:hAnsi="Times New Roman" w:cs="Times New Roman"/>
          <w:color w:val="000000" w:themeColor="text1"/>
        </w:rPr>
        <w:t xml:space="preserve">ment Drift. </w:t>
      </w:r>
      <w:r w:rsidRPr="004F359E">
        <w:rPr>
          <w:rFonts w:ascii="Times New Roman" w:hAnsi="Times New Roman" w:cs="Times New Roman"/>
          <w:i/>
          <w:color w:val="000000" w:themeColor="text1"/>
        </w:rPr>
        <w:t xml:space="preserve">Journal of Business Finance </w:t>
      </w:r>
      <w:r w:rsidR="002A7447" w:rsidRPr="004F359E">
        <w:rPr>
          <w:rFonts w:ascii="Times New Roman" w:hAnsi="Times New Roman" w:cs="Times New Roman"/>
          <w:i/>
          <w:color w:val="000000" w:themeColor="text1"/>
        </w:rPr>
        <w:t>and</w:t>
      </w:r>
      <w:r w:rsidRPr="004F359E">
        <w:rPr>
          <w:rFonts w:ascii="Times New Roman" w:hAnsi="Times New Roman" w:cs="Times New Roman"/>
          <w:i/>
          <w:color w:val="000000" w:themeColor="text1"/>
        </w:rPr>
        <w:t xml:space="preserve"> Accounting</w:t>
      </w:r>
      <w:r w:rsidR="009B1FDA" w:rsidRPr="004F359E">
        <w:rPr>
          <w:rFonts w:ascii="Times New Roman" w:hAnsi="Times New Roman" w:cs="Times New Roman"/>
          <w:color w:val="000000" w:themeColor="text1"/>
        </w:rPr>
        <w:t>, 34(</w:t>
      </w:r>
      <w:r w:rsidRPr="004F359E">
        <w:rPr>
          <w:rFonts w:ascii="Times New Roman" w:hAnsi="Times New Roman" w:cs="Times New Roman"/>
          <w:color w:val="000000" w:themeColor="text1"/>
        </w:rPr>
        <w:t>3-4</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2007, </w:t>
      </w:r>
      <w:r w:rsidR="009B1FDA"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403-433.</w:t>
      </w:r>
    </w:p>
    <w:p w14:paraId="40D61A1A" w14:textId="31301DBC" w:rsidR="00E277E9" w:rsidRPr="004F359E" w:rsidRDefault="009B1FDA"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Gonedes</w:t>
      </w:r>
      <w:proofErr w:type="spellEnd"/>
      <w:r w:rsidRPr="004F359E">
        <w:rPr>
          <w:rFonts w:ascii="Times New Roman" w:hAnsi="Times New Roman" w:cs="Times New Roman"/>
          <w:color w:val="000000" w:themeColor="text1"/>
        </w:rPr>
        <w:t>, N.</w:t>
      </w:r>
      <w:r w:rsidR="00E277E9" w:rsidRPr="004F359E">
        <w:rPr>
          <w:rFonts w:ascii="Times New Roman" w:hAnsi="Times New Roman" w:cs="Times New Roman"/>
          <w:color w:val="000000" w:themeColor="text1"/>
        </w:rPr>
        <w:t>J</w:t>
      </w:r>
      <w:r w:rsidR="002A7447" w:rsidRPr="004F359E">
        <w:rPr>
          <w:rFonts w:ascii="Times New Roman" w:hAnsi="Times New Roman" w:cs="Times New Roman"/>
          <w:color w:val="000000" w:themeColor="text1"/>
        </w:rPr>
        <w:t xml:space="preserve">., </w:t>
      </w:r>
      <w:r w:rsidR="00E277E9" w:rsidRPr="004F359E">
        <w:rPr>
          <w:rFonts w:ascii="Times New Roman" w:hAnsi="Times New Roman" w:cs="Times New Roman"/>
          <w:color w:val="000000" w:themeColor="text1"/>
        </w:rPr>
        <w:t xml:space="preserve">Efficient </w:t>
      </w:r>
      <w:r w:rsidRPr="004F359E">
        <w:rPr>
          <w:rFonts w:ascii="Times New Roman" w:hAnsi="Times New Roman" w:cs="Times New Roman"/>
          <w:color w:val="000000" w:themeColor="text1"/>
        </w:rPr>
        <w:t>Capital Market</w:t>
      </w:r>
      <w:r w:rsidR="00E277E9" w:rsidRPr="004F359E">
        <w:rPr>
          <w:rFonts w:ascii="Times New Roman" w:hAnsi="Times New Roman" w:cs="Times New Roman"/>
          <w:color w:val="000000" w:themeColor="text1"/>
        </w:rPr>
        <w:t xml:space="preserve">s and </w:t>
      </w:r>
      <w:r w:rsidRPr="004F359E">
        <w:rPr>
          <w:rFonts w:ascii="Times New Roman" w:hAnsi="Times New Roman" w:cs="Times New Roman"/>
          <w:color w:val="000000" w:themeColor="text1"/>
        </w:rPr>
        <w:t>External A</w:t>
      </w:r>
      <w:r w:rsidR="00E277E9" w:rsidRPr="004F359E">
        <w:rPr>
          <w:rFonts w:ascii="Times New Roman" w:hAnsi="Times New Roman" w:cs="Times New Roman"/>
          <w:color w:val="000000" w:themeColor="text1"/>
        </w:rPr>
        <w:t xml:space="preserve">ccounting. </w:t>
      </w:r>
      <w:r w:rsidR="00E277E9" w:rsidRPr="004F359E">
        <w:rPr>
          <w:rFonts w:ascii="Times New Roman" w:hAnsi="Times New Roman" w:cs="Times New Roman"/>
          <w:i/>
          <w:color w:val="000000" w:themeColor="text1"/>
        </w:rPr>
        <w:t>The Accounting Review</w:t>
      </w:r>
      <w:r w:rsidR="00E277E9" w:rsidRPr="004F359E">
        <w:rPr>
          <w:rFonts w:ascii="Times New Roman" w:hAnsi="Times New Roman" w:cs="Times New Roman"/>
          <w:color w:val="000000" w:themeColor="text1"/>
        </w:rPr>
        <w:t xml:space="preserve">, 47(1), </w:t>
      </w:r>
      <w:r w:rsidR="0017736A" w:rsidRPr="004F359E">
        <w:rPr>
          <w:rFonts w:ascii="Times New Roman" w:hAnsi="Times New Roman" w:cs="Times New Roman"/>
          <w:color w:val="000000" w:themeColor="text1"/>
        </w:rPr>
        <w:t>1972</w:t>
      </w:r>
      <w:r w:rsidR="0017736A">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11-21.</w:t>
      </w:r>
    </w:p>
    <w:p w14:paraId="70B4358D" w14:textId="467E6351"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Hui, K.W., Nelson, K.K., </w:t>
      </w:r>
      <w:r w:rsidR="009B1FDA" w:rsidRPr="004F359E">
        <w:rPr>
          <w:rFonts w:ascii="Times New Roman" w:hAnsi="Times New Roman" w:cs="Times New Roman"/>
          <w:color w:val="000000" w:themeColor="text1"/>
        </w:rPr>
        <w:t xml:space="preserve">and </w:t>
      </w:r>
      <w:r w:rsidRPr="004F359E">
        <w:rPr>
          <w:rFonts w:ascii="Times New Roman" w:hAnsi="Times New Roman" w:cs="Times New Roman"/>
          <w:color w:val="000000" w:themeColor="text1"/>
        </w:rPr>
        <w:t xml:space="preserve">Yeung, P.E., On the </w:t>
      </w:r>
      <w:r w:rsidR="009B1FDA" w:rsidRPr="004F359E">
        <w:rPr>
          <w:rFonts w:ascii="Times New Roman" w:hAnsi="Times New Roman" w:cs="Times New Roman"/>
          <w:color w:val="000000" w:themeColor="text1"/>
        </w:rPr>
        <w:t>Persistence</w:t>
      </w:r>
      <w:r w:rsidRPr="004F359E">
        <w:rPr>
          <w:rFonts w:ascii="Times New Roman" w:hAnsi="Times New Roman" w:cs="Times New Roman"/>
          <w:color w:val="000000" w:themeColor="text1"/>
        </w:rPr>
        <w:t xml:space="preserve"> and </w:t>
      </w:r>
      <w:r w:rsidR="009B1FDA" w:rsidRPr="004F359E">
        <w:rPr>
          <w:rFonts w:ascii="Times New Roman" w:hAnsi="Times New Roman" w:cs="Times New Roman"/>
          <w:color w:val="000000" w:themeColor="text1"/>
        </w:rPr>
        <w:t xml:space="preserve">Pricing </w:t>
      </w:r>
      <w:r w:rsidRPr="004F359E">
        <w:rPr>
          <w:rFonts w:ascii="Times New Roman" w:hAnsi="Times New Roman" w:cs="Times New Roman"/>
          <w:color w:val="000000" w:themeColor="text1"/>
        </w:rPr>
        <w:t xml:space="preserve">of </w:t>
      </w:r>
      <w:r w:rsidR="009B1FDA" w:rsidRPr="004F359E">
        <w:rPr>
          <w:rFonts w:ascii="Times New Roman" w:hAnsi="Times New Roman" w:cs="Times New Roman"/>
          <w:color w:val="000000" w:themeColor="text1"/>
        </w:rPr>
        <w:t>Industry-Wid</w:t>
      </w:r>
      <w:r w:rsidRPr="004F359E">
        <w:rPr>
          <w:rFonts w:ascii="Times New Roman" w:hAnsi="Times New Roman" w:cs="Times New Roman"/>
          <w:color w:val="000000" w:themeColor="text1"/>
        </w:rPr>
        <w:t>e</w:t>
      </w:r>
      <w:r w:rsidR="009B1FDA"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and </w:t>
      </w:r>
      <w:r w:rsidR="009B1FDA" w:rsidRPr="004F359E">
        <w:rPr>
          <w:rFonts w:ascii="Times New Roman" w:hAnsi="Times New Roman" w:cs="Times New Roman"/>
          <w:color w:val="000000" w:themeColor="text1"/>
        </w:rPr>
        <w:t>Firm-Specific Ear</w:t>
      </w:r>
      <w:r w:rsidRPr="004F359E">
        <w:rPr>
          <w:rFonts w:ascii="Times New Roman" w:hAnsi="Times New Roman" w:cs="Times New Roman"/>
          <w:color w:val="000000" w:themeColor="text1"/>
        </w:rPr>
        <w:t xml:space="preserve">nings, </w:t>
      </w:r>
      <w:r w:rsidR="009B1FDA" w:rsidRPr="004F359E">
        <w:rPr>
          <w:rFonts w:ascii="Times New Roman" w:hAnsi="Times New Roman" w:cs="Times New Roman"/>
          <w:color w:val="000000" w:themeColor="text1"/>
        </w:rPr>
        <w:t xml:space="preserve">Cash Flows, </w:t>
      </w:r>
      <w:r w:rsidRPr="004F359E">
        <w:rPr>
          <w:rFonts w:ascii="Times New Roman" w:hAnsi="Times New Roman" w:cs="Times New Roman"/>
          <w:color w:val="000000" w:themeColor="text1"/>
        </w:rPr>
        <w:t xml:space="preserve">and </w:t>
      </w:r>
      <w:r w:rsidR="009B1FDA" w:rsidRPr="004F359E">
        <w:rPr>
          <w:rFonts w:ascii="Times New Roman" w:hAnsi="Times New Roman" w:cs="Times New Roman"/>
          <w:color w:val="000000" w:themeColor="text1"/>
        </w:rPr>
        <w:t>Acc</w:t>
      </w:r>
      <w:r w:rsidRPr="004F359E">
        <w:rPr>
          <w:rFonts w:ascii="Times New Roman" w:hAnsi="Times New Roman" w:cs="Times New Roman"/>
          <w:color w:val="000000" w:themeColor="text1"/>
        </w:rPr>
        <w:t xml:space="preserve">ruals. </w:t>
      </w:r>
      <w:r w:rsidR="009B1FDA" w:rsidRPr="004F359E">
        <w:rPr>
          <w:rFonts w:ascii="Times New Roman" w:hAnsi="Times New Roman" w:cs="Times New Roman"/>
          <w:i/>
          <w:color w:val="000000" w:themeColor="text1"/>
        </w:rPr>
        <w:t>Journal of Accounting and Economics</w:t>
      </w:r>
      <w:r w:rsidRPr="004F359E">
        <w:rPr>
          <w:rFonts w:ascii="Times New Roman" w:hAnsi="Times New Roman" w:cs="Times New Roman"/>
          <w:color w:val="000000" w:themeColor="text1"/>
        </w:rPr>
        <w:t>. 61</w:t>
      </w:r>
      <w:r w:rsidR="009B1FDA" w:rsidRPr="004F359E">
        <w:rPr>
          <w:rFonts w:ascii="Times New Roman" w:hAnsi="Times New Roman" w:cs="Times New Roman"/>
          <w:color w:val="000000" w:themeColor="text1"/>
        </w:rPr>
        <w:t>(1)</w:t>
      </w:r>
      <w:r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2016, </w:t>
      </w:r>
      <w:r w:rsidR="009B1FDA" w:rsidRPr="004F359E">
        <w:rPr>
          <w:rFonts w:ascii="Times New Roman" w:hAnsi="Times New Roman" w:cs="Times New Roman"/>
          <w:color w:val="000000" w:themeColor="text1"/>
        </w:rPr>
        <w:t>pp. 185-</w:t>
      </w:r>
      <w:r w:rsidRPr="004F359E">
        <w:rPr>
          <w:rFonts w:ascii="Times New Roman" w:hAnsi="Times New Roman" w:cs="Times New Roman"/>
          <w:color w:val="000000" w:themeColor="text1"/>
        </w:rPr>
        <w:t>202.</w:t>
      </w:r>
    </w:p>
    <w:p w14:paraId="4C7767D2" w14:textId="5776F0E1"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Levi, S., Voluntary </w:t>
      </w:r>
      <w:r w:rsidR="009B1FDA" w:rsidRPr="004F359E">
        <w:rPr>
          <w:rFonts w:ascii="Times New Roman" w:hAnsi="Times New Roman" w:cs="Times New Roman"/>
          <w:color w:val="000000" w:themeColor="text1"/>
        </w:rPr>
        <w:t>Disclo</w:t>
      </w:r>
      <w:r w:rsidRPr="004F359E">
        <w:rPr>
          <w:rFonts w:ascii="Times New Roman" w:hAnsi="Times New Roman" w:cs="Times New Roman"/>
          <w:color w:val="000000" w:themeColor="text1"/>
        </w:rPr>
        <w:t xml:space="preserve">sure of </w:t>
      </w:r>
      <w:r w:rsidR="009B1FDA" w:rsidRPr="004F359E">
        <w:rPr>
          <w:rFonts w:ascii="Times New Roman" w:hAnsi="Times New Roman" w:cs="Times New Roman"/>
          <w:color w:val="000000" w:themeColor="text1"/>
        </w:rPr>
        <w:t>A</w:t>
      </w:r>
      <w:r w:rsidRPr="004F359E">
        <w:rPr>
          <w:rFonts w:ascii="Times New Roman" w:hAnsi="Times New Roman" w:cs="Times New Roman"/>
          <w:color w:val="000000" w:themeColor="text1"/>
        </w:rPr>
        <w:t xml:space="preserve">ccruals in </w:t>
      </w:r>
      <w:r w:rsidR="009B1FDA" w:rsidRPr="004F359E">
        <w:rPr>
          <w:rFonts w:ascii="Times New Roman" w:hAnsi="Times New Roman" w:cs="Times New Roman"/>
          <w:color w:val="000000" w:themeColor="text1"/>
        </w:rPr>
        <w:t>Earnings Press Releases</w:t>
      </w:r>
      <w:r w:rsidRPr="004F359E">
        <w:rPr>
          <w:rFonts w:ascii="Times New Roman" w:hAnsi="Times New Roman" w:cs="Times New Roman"/>
          <w:color w:val="000000" w:themeColor="text1"/>
        </w:rPr>
        <w:t xml:space="preserve"> and the </w:t>
      </w:r>
      <w:r w:rsidR="009B1FDA" w:rsidRPr="004F359E">
        <w:rPr>
          <w:rFonts w:ascii="Times New Roman" w:hAnsi="Times New Roman" w:cs="Times New Roman"/>
          <w:color w:val="000000" w:themeColor="text1"/>
        </w:rPr>
        <w:t>Pri</w:t>
      </w:r>
      <w:r w:rsidRPr="004F359E">
        <w:rPr>
          <w:rFonts w:ascii="Times New Roman" w:hAnsi="Times New Roman" w:cs="Times New Roman"/>
          <w:color w:val="000000" w:themeColor="text1"/>
        </w:rPr>
        <w:t xml:space="preserve">cing of </w:t>
      </w:r>
      <w:r w:rsidR="009B1FDA" w:rsidRPr="004F359E">
        <w:rPr>
          <w:rFonts w:ascii="Times New Roman" w:hAnsi="Times New Roman" w:cs="Times New Roman"/>
          <w:color w:val="000000" w:themeColor="text1"/>
        </w:rPr>
        <w:t>Ac</w:t>
      </w:r>
      <w:r w:rsidRPr="004F359E">
        <w:rPr>
          <w:rFonts w:ascii="Times New Roman" w:hAnsi="Times New Roman" w:cs="Times New Roman"/>
          <w:color w:val="000000" w:themeColor="text1"/>
        </w:rPr>
        <w:t xml:space="preserve">cruals. </w:t>
      </w:r>
      <w:r w:rsidRPr="004F359E">
        <w:rPr>
          <w:rFonts w:ascii="Times New Roman" w:hAnsi="Times New Roman" w:cs="Times New Roman"/>
          <w:i/>
          <w:color w:val="000000" w:themeColor="text1"/>
        </w:rPr>
        <w:t>Review of Accounting Studies</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13(1), </w:t>
      </w:r>
      <w:r w:rsidR="0017736A">
        <w:rPr>
          <w:rFonts w:ascii="Times New Roman" w:hAnsi="Times New Roman" w:cs="Times New Roman"/>
          <w:color w:val="000000" w:themeColor="text1"/>
        </w:rPr>
        <w:t xml:space="preserve">2008, </w:t>
      </w:r>
      <w:r w:rsidR="009B1FDA" w:rsidRPr="004F359E">
        <w:rPr>
          <w:rFonts w:ascii="Times New Roman" w:hAnsi="Times New Roman" w:cs="Times New Roman"/>
          <w:color w:val="000000" w:themeColor="text1"/>
        </w:rPr>
        <w:t>pp. 1-</w:t>
      </w:r>
      <w:r w:rsidRPr="004F359E">
        <w:rPr>
          <w:rFonts w:ascii="Times New Roman" w:hAnsi="Times New Roman" w:cs="Times New Roman"/>
          <w:color w:val="000000" w:themeColor="text1"/>
        </w:rPr>
        <w:t>21.</w:t>
      </w:r>
    </w:p>
    <w:p w14:paraId="1BD6B809" w14:textId="33B90216"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Mendenhall, R., Arbitrage Risk and Post</w:t>
      </w:r>
      <w:r w:rsidR="009B1FDA" w:rsidRPr="004F359E">
        <w:rPr>
          <w:rFonts w:ascii="Times New Roman" w:hAnsi="Times New Roman" w:cs="Times New Roman"/>
          <w:color w:val="000000" w:themeColor="text1"/>
        </w:rPr>
        <w:t>-Earnings-Annou</w:t>
      </w:r>
      <w:r w:rsidRPr="004F359E">
        <w:rPr>
          <w:rFonts w:ascii="Times New Roman" w:hAnsi="Times New Roman" w:cs="Times New Roman"/>
          <w:color w:val="000000" w:themeColor="text1"/>
        </w:rPr>
        <w:t>ncement Drift. Journal of Business</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77</w:t>
      </w:r>
      <w:r w:rsidR="009B1FDA" w:rsidRPr="004F359E">
        <w:rPr>
          <w:rFonts w:ascii="Times New Roman" w:hAnsi="Times New Roman" w:cs="Times New Roman"/>
          <w:color w:val="000000" w:themeColor="text1"/>
        </w:rPr>
        <w:t>(4)</w:t>
      </w:r>
      <w:r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2004, </w:t>
      </w:r>
      <w:r w:rsidR="009B1FDA"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875-894.</w:t>
      </w:r>
    </w:p>
    <w:p w14:paraId="175EF575" w14:textId="01F63579"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Mitchell, M.L., </w:t>
      </w:r>
      <w:r w:rsidR="009B1FDA" w:rsidRPr="004F359E">
        <w:rPr>
          <w:rFonts w:ascii="Times New Roman" w:hAnsi="Times New Roman" w:cs="Times New Roman"/>
          <w:color w:val="000000" w:themeColor="text1"/>
        </w:rPr>
        <w:t xml:space="preserve">and </w:t>
      </w:r>
      <w:r w:rsidRPr="004F359E">
        <w:rPr>
          <w:rFonts w:ascii="Times New Roman" w:hAnsi="Times New Roman" w:cs="Times New Roman"/>
          <w:color w:val="000000" w:themeColor="text1"/>
        </w:rPr>
        <w:t xml:space="preserve">Stafford, E., Managerial </w:t>
      </w:r>
      <w:r w:rsidR="009B1FDA" w:rsidRPr="004F359E">
        <w:rPr>
          <w:rFonts w:ascii="Times New Roman" w:hAnsi="Times New Roman" w:cs="Times New Roman"/>
          <w:color w:val="000000" w:themeColor="text1"/>
        </w:rPr>
        <w:t>Dec</w:t>
      </w:r>
      <w:r w:rsidRPr="004F359E">
        <w:rPr>
          <w:rFonts w:ascii="Times New Roman" w:hAnsi="Times New Roman" w:cs="Times New Roman"/>
          <w:color w:val="000000" w:themeColor="text1"/>
        </w:rPr>
        <w:t xml:space="preserve">isions and </w:t>
      </w:r>
      <w:r w:rsidR="009B1FDA" w:rsidRPr="004F359E">
        <w:rPr>
          <w:rFonts w:ascii="Times New Roman" w:hAnsi="Times New Roman" w:cs="Times New Roman"/>
          <w:color w:val="000000" w:themeColor="text1"/>
        </w:rPr>
        <w:t>Long‐Term Stock Price Perf</w:t>
      </w:r>
      <w:r w:rsidRPr="004F359E">
        <w:rPr>
          <w:rFonts w:ascii="Times New Roman" w:hAnsi="Times New Roman" w:cs="Times New Roman"/>
          <w:color w:val="000000" w:themeColor="text1"/>
        </w:rPr>
        <w:t xml:space="preserve">ormance. </w:t>
      </w:r>
      <w:r w:rsidRPr="004F359E">
        <w:rPr>
          <w:rFonts w:ascii="Times New Roman" w:hAnsi="Times New Roman" w:cs="Times New Roman"/>
          <w:i/>
          <w:color w:val="000000" w:themeColor="text1"/>
        </w:rPr>
        <w:t>Journal of Business</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73(3), </w:t>
      </w:r>
      <w:r w:rsidR="0017736A">
        <w:rPr>
          <w:rFonts w:ascii="Times New Roman" w:hAnsi="Times New Roman" w:cs="Times New Roman"/>
          <w:color w:val="000000" w:themeColor="text1"/>
        </w:rPr>
        <w:t>2000, p</w:t>
      </w:r>
      <w:r w:rsidR="009B1FDA" w:rsidRPr="004F359E">
        <w:rPr>
          <w:rFonts w:ascii="Times New Roman" w:hAnsi="Times New Roman" w:cs="Times New Roman"/>
          <w:color w:val="000000" w:themeColor="text1"/>
        </w:rPr>
        <w:t xml:space="preserve">p. </w:t>
      </w:r>
      <w:r w:rsidR="0017736A">
        <w:rPr>
          <w:rFonts w:ascii="Times New Roman" w:hAnsi="Times New Roman" w:cs="Times New Roman"/>
          <w:color w:val="000000" w:themeColor="text1"/>
        </w:rPr>
        <w:t>287-</w:t>
      </w:r>
      <w:r w:rsidRPr="004F359E">
        <w:rPr>
          <w:rFonts w:ascii="Times New Roman" w:hAnsi="Times New Roman" w:cs="Times New Roman"/>
          <w:color w:val="000000" w:themeColor="text1"/>
        </w:rPr>
        <w:t>329.</w:t>
      </w:r>
    </w:p>
    <w:p w14:paraId="30FB4838" w14:textId="51CFE47E" w:rsidR="00E277E9" w:rsidRPr="004F359E" w:rsidRDefault="009B1FDA"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Ohlson</w:t>
      </w:r>
      <w:proofErr w:type="spellEnd"/>
      <w:r w:rsidRPr="004F359E">
        <w:rPr>
          <w:rFonts w:ascii="Times New Roman" w:hAnsi="Times New Roman" w:cs="Times New Roman"/>
          <w:color w:val="000000" w:themeColor="text1"/>
        </w:rPr>
        <w:t>, J.</w:t>
      </w:r>
      <w:r w:rsidR="00E277E9" w:rsidRPr="004F359E">
        <w:rPr>
          <w:rFonts w:ascii="Times New Roman" w:hAnsi="Times New Roman" w:cs="Times New Roman"/>
          <w:color w:val="000000" w:themeColor="text1"/>
        </w:rPr>
        <w:t xml:space="preserve">A., </w:t>
      </w:r>
      <w:r w:rsidR="002A7447" w:rsidRPr="004F359E">
        <w:rPr>
          <w:rFonts w:ascii="Times New Roman" w:hAnsi="Times New Roman" w:cs="Times New Roman"/>
          <w:color w:val="000000" w:themeColor="text1"/>
        </w:rPr>
        <w:t>and</w:t>
      </w:r>
      <w:r w:rsidRPr="004F359E">
        <w:rPr>
          <w:rFonts w:ascii="Times New Roman" w:hAnsi="Times New Roman" w:cs="Times New Roman"/>
          <w:color w:val="000000" w:themeColor="text1"/>
        </w:rPr>
        <w:t xml:space="preserve"> Penman, S.</w:t>
      </w:r>
      <w:r w:rsidR="00E277E9" w:rsidRPr="004F359E">
        <w:rPr>
          <w:rFonts w:ascii="Times New Roman" w:hAnsi="Times New Roman" w:cs="Times New Roman"/>
          <w:color w:val="000000" w:themeColor="text1"/>
        </w:rPr>
        <w:t>H</w:t>
      </w:r>
      <w:r w:rsidR="002A7447" w:rsidRPr="004F359E">
        <w:rPr>
          <w:rFonts w:ascii="Times New Roman" w:hAnsi="Times New Roman" w:cs="Times New Roman"/>
          <w:color w:val="000000" w:themeColor="text1"/>
        </w:rPr>
        <w:t xml:space="preserve">., </w:t>
      </w:r>
      <w:r w:rsidR="00E277E9" w:rsidRPr="004F359E">
        <w:rPr>
          <w:rFonts w:ascii="Times New Roman" w:hAnsi="Times New Roman" w:cs="Times New Roman"/>
          <w:color w:val="000000" w:themeColor="text1"/>
        </w:rPr>
        <w:t xml:space="preserve">Disaggregated </w:t>
      </w:r>
      <w:r w:rsidRPr="004F359E">
        <w:rPr>
          <w:rFonts w:ascii="Times New Roman" w:hAnsi="Times New Roman" w:cs="Times New Roman"/>
          <w:color w:val="000000" w:themeColor="text1"/>
        </w:rPr>
        <w:t>Accounting Da</w:t>
      </w:r>
      <w:r w:rsidR="00E277E9" w:rsidRPr="004F359E">
        <w:rPr>
          <w:rFonts w:ascii="Times New Roman" w:hAnsi="Times New Roman" w:cs="Times New Roman"/>
          <w:color w:val="000000" w:themeColor="text1"/>
        </w:rPr>
        <w:t>ta as e</w:t>
      </w:r>
      <w:r w:rsidRPr="004F359E">
        <w:rPr>
          <w:rFonts w:ascii="Times New Roman" w:hAnsi="Times New Roman" w:cs="Times New Roman"/>
          <w:color w:val="000000" w:themeColor="text1"/>
        </w:rPr>
        <w:t>xplanatory Variabl</w:t>
      </w:r>
      <w:r w:rsidR="00E277E9" w:rsidRPr="004F359E">
        <w:rPr>
          <w:rFonts w:ascii="Times New Roman" w:hAnsi="Times New Roman" w:cs="Times New Roman"/>
          <w:color w:val="000000" w:themeColor="text1"/>
        </w:rPr>
        <w:t>es for</w:t>
      </w:r>
      <w:r w:rsidRPr="004F359E">
        <w:rPr>
          <w:rFonts w:ascii="Times New Roman" w:hAnsi="Times New Roman" w:cs="Times New Roman"/>
          <w:color w:val="000000" w:themeColor="text1"/>
        </w:rPr>
        <w:t xml:space="preserve"> Ret</w:t>
      </w:r>
      <w:r w:rsidR="00E277E9" w:rsidRPr="004F359E">
        <w:rPr>
          <w:rFonts w:ascii="Times New Roman" w:hAnsi="Times New Roman" w:cs="Times New Roman"/>
          <w:color w:val="000000" w:themeColor="text1"/>
        </w:rPr>
        <w:t xml:space="preserve">urns. </w:t>
      </w:r>
      <w:r w:rsidR="00E277E9" w:rsidRPr="004F359E">
        <w:rPr>
          <w:rFonts w:ascii="Times New Roman" w:hAnsi="Times New Roman" w:cs="Times New Roman"/>
          <w:i/>
          <w:color w:val="000000" w:themeColor="text1"/>
        </w:rPr>
        <w:t xml:space="preserve">Journal of Accounting, Auditing </w:t>
      </w:r>
      <w:r w:rsidR="002A7447" w:rsidRPr="004F359E">
        <w:rPr>
          <w:rFonts w:ascii="Times New Roman" w:hAnsi="Times New Roman" w:cs="Times New Roman"/>
          <w:i/>
          <w:color w:val="000000" w:themeColor="text1"/>
        </w:rPr>
        <w:t>and</w:t>
      </w:r>
      <w:r w:rsidR="00E277E9" w:rsidRPr="004F359E">
        <w:rPr>
          <w:rFonts w:ascii="Times New Roman" w:hAnsi="Times New Roman" w:cs="Times New Roman"/>
          <w:i/>
          <w:color w:val="000000" w:themeColor="text1"/>
        </w:rPr>
        <w:t xml:space="preserve"> Finance</w:t>
      </w:r>
      <w:r w:rsidR="00E277E9" w:rsidRPr="004F359E">
        <w:rPr>
          <w:rFonts w:ascii="Times New Roman" w:hAnsi="Times New Roman" w:cs="Times New Roman"/>
          <w:color w:val="000000" w:themeColor="text1"/>
        </w:rPr>
        <w:t xml:space="preserve">, 7(4), </w:t>
      </w:r>
      <w:r w:rsidR="0017736A" w:rsidRPr="004F359E">
        <w:rPr>
          <w:rFonts w:ascii="Times New Roman" w:hAnsi="Times New Roman" w:cs="Times New Roman"/>
          <w:color w:val="000000" w:themeColor="text1"/>
        </w:rPr>
        <w:t>1992</w:t>
      </w:r>
      <w:r w:rsidR="0017736A">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553-573.</w:t>
      </w:r>
    </w:p>
    <w:p w14:paraId="330E6775" w14:textId="77C8A853" w:rsidR="00E277E9" w:rsidRPr="004F359E" w:rsidRDefault="009B1FDA"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Shin, H.</w:t>
      </w:r>
      <w:r w:rsidR="00E277E9" w:rsidRPr="004F359E">
        <w:rPr>
          <w:rFonts w:ascii="Times New Roman" w:hAnsi="Times New Roman" w:cs="Times New Roman"/>
          <w:color w:val="000000" w:themeColor="text1"/>
        </w:rPr>
        <w:t xml:space="preserve">S., Disclosure Risk and Price Drift. </w:t>
      </w:r>
      <w:r w:rsidR="00E277E9" w:rsidRPr="004F359E">
        <w:rPr>
          <w:rFonts w:ascii="Times New Roman" w:hAnsi="Times New Roman" w:cs="Times New Roman"/>
          <w:i/>
          <w:color w:val="000000" w:themeColor="text1"/>
        </w:rPr>
        <w:t>Journal of Accounting Research</w:t>
      </w:r>
      <w:r w:rsidRPr="004F359E">
        <w:rPr>
          <w:rFonts w:ascii="Times New Roman" w:hAnsi="Times New Roman" w:cs="Times New Roman"/>
          <w:color w:val="000000" w:themeColor="text1"/>
        </w:rPr>
        <w:t>, 44(</w:t>
      </w:r>
      <w:r w:rsidR="00E277E9" w:rsidRPr="004F359E">
        <w:rPr>
          <w:rFonts w:ascii="Times New Roman" w:hAnsi="Times New Roman" w:cs="Times New Roman"/>
          <w:color w:val="000000" w:themeColor="text1"/>
        </w:rPr>
        <w:t>2</w:t>
      </w:r>
      <w:r w:rsidRPr="004F359E">
        <w:rPr>
          <w:rFonts w:ascii="Times New Roman" w:hAnsi="Times New Roman" w:cs="Times New Roman"/>
          <w:color w:val="000000" w:themeColor="text1"/>
        </w:rPr>
        <w:t>)</w:t>
      </w:r>
      <w:r w:rsidR="00E277E9"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2005, </w:t>
      </w:r>
      <w:r w:rsidRPr="004F359E">
        <w:rPr>
          <w:rFonts w:ascii="Times New Roman" w:hAnsi="Times New Roman" w:cs="Times New Roman"/>
          <w:color w:val="000000" w:themeColor="text1"/>
        </w:rPr>
        <w:t xml:space="preserve">pp. </w:t>
      </w:r>
      <w:r w:rsidR="00E277E9" w:rsidRPr="004F359E">
        <w:rPr>
          <w:rFonts w:ascii="Times New Roman" w:hAnsi="Times New Roman" w:cs="Times New Roman"/>
          <w:color w:val="000000" w:themeColor="text1"/>
        </w:rPr>
        <w:t>351-379.</w:t>
      </w:r>
    </w:p>
    <w:p w14:paraId="4AA3C88C" w14:textId="26A129AA"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Shivakumar</w:t>
      </w:r>
      <w:proofErr w:type="spellEnd"/>
      <w:r w:rsidRPr="004F359E">
        <w:rPr>
          <w:rFonts w:ascii="Times New Roman" w:hAnsi="Times New Roman" w:cs="Times New Roman"/>
          <w:color w:val="000000" w:themeColor="text1"/>
        </w:rPr>
        <w:t>, L</w:t>
      </w:r>
      <w:r w:rsidR="002A7447" w:rsidRPr="004F359E">
        <w:rPr>
          <w:rFonts w:ascii="Times New Roman" w:hAnsi="Times New Roman" w:cs="Times New Roman"/>
          <w:color w:val="000000" w:themeColor="text1"/>
        </w:rPr>
        <w:t xml:space="preserve">., </w:t>
      </w:r>
      <w:r w:rsidRPr="004F359E">
        <w:rPr>
          <w:rFonts w:ascii="Times New Roman" w:hAnsi="Times New Roman" w:cs="Times New Roman"/>
          <w:color w:val="000000" w:themeColor="text1"/>
        </w:rPr>
        <w:t xml:space="preserve">Accruals, Cash Flows and the Post‐Earnings‐Announcement Drift. </w:t>
      </w:r>
      <w:r w:rsidRPr="004F359E">
        <w:rPr>
          <w:rFonts w:ascii="Times New Roman" w:hAnsi="Times New Roman" w:cs="Times New Roman"/>
          <w:i/>
          <w:color w:val="000000" w:themeColor="text1"/>
        </w:rPr>
        <w:t xml:space="preserve">Journal of Business Finance </w:t>
      </w:r>
      <w:r w:rsidR="002A7447" w:rsidRPr="004F359E">
        <w:rPr>
          <w:rFonts w:ascii="Times New Roman" w:hAnsi="Times New Roman" w:cs="Times New Roman"/>
          <w:i/>
          <w:color w:val="000000" w:themeColor="text1"/>
        </w:rPr>
        <w:t>and</w:t>
      </w:r>
      <w:r w:rsidRPr="004F359E">
        <w:rPr>
          <w:rFonts w:ascii="Times New Roman" w:hAnsi="Times New Roman" w:cs="Times New Roman"/>
          <w:i/>
          <w:color w:val="000000" w:themeColor="text1"/>
        </w:rPr>
        <w:t xml:space="preserve"> Accounting</w:t>
      </w:r>
      <w:r w:rsidRPr="004F359E">
        <w:rPr>
          <w:rFonts w:ascii="Times New Roman" w:hAnsi="Times New Roman" w:cs="Times New Roman"/>
          <w:color w:val="000000" w:themeColor="text1"/>
        </w:rPr>
        <w:t xml:space="preserve">, 33(1‐2), </w:t>
      </w:r>
      <w:r w:rsidR="0017736A" w:rsidRPr="004F359E">
        <w:rPr>
          <w:rFonts w:ascii="Times New Roman" w:hAnsi="Times New Roman" w:cs="Times New Roman"/>
          <w:color w:val="000000" w:themeColor="text1"/>
        </w:rPr>
        <w:t>2006</w:t>
      </w:r>
      <w:r w:rsidR="0017736A">
        <w:rPr>
          <w:rFonts w:ascii="Times New Roman" w:hAnsi="Times New Roman" w:cs="Times New Roman"/>
          <w:color w:val="000000" w:themeColor="text1"/>
        </w:rPr>
        <w:t xml:space="preserve">, </w:t>
      </w:r>
      <w:r w:rsidR="009B1FDA"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1-25.</w:t>
      </w:r>
    </w:p>
    <w:p w14:paraId="085182EC" w14:textId="10046866"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 xml:space="preserve">Sloan, R.G., Do </w:t>
      </w:r>
      <w:r w:rsidR="009B1FDA" w:rsidRPr="004F359E">
        <w:rPr>
          <w:rFonts w:ascii="Times New Roman" w:hAnsi="Times New Roman" w:cs="Times New Roman"/>
          <w:color w:val="000000" w:themeColor="text1"/>
        </w:rPr>
        <w:t>Stock Prices Fully Reflect Information</w:t>
      </w:r>
      <w:r w:rsidRPr="004F359E">
        <w:rPr>
          <w:rFonts w:ascii="Times New Roman" w:hAnsi="Times New Roman" w:cs="Times New Roman"/>
          <w:color w:val="000000" w:themeColor="text1"/>
        </w:rPr>
        <w:t xml:space="preserve"> in </w:t>
      </w:r>
      <w:r w:rsidR="009B1FDA" w:rsidRPr="004F359E">
        <w:rPr>
          <w:rFonts w:ascii="Times New Roman" w:hAnsi="Times New Roman" w:cs="Times New Roman"/>
          <w:color w:val="000000" w:themeColor="text1"/>
        </w:rPr>
        <w:t>Ac</w:t>
      </w:r>
      <w:r w:rsidRPr="004F359E">
        <w:rPr>
          <w:rFonts w:ascii="Times New Roman" w:hAnsi="Times New Roman" w:cs="Times New Roman"/>
          <w:color w:val="000000" w:themeColor="text1"/>
        </w:rPr>
        <w:t xml:space="preserve">cruals and </w:t>
      </w:r>
      <w:r w:rsidR="009B1FDA" w:rsidRPr="004F359E">
        <w:rPr>
          <w:rFonts w:ascii="Times New Roman" w:hAnsi="Times New Roman" w:cs="Times New Roman"/>
          <w:color w:val="000000" w:themeColor="text1"/>
        </w:rPr>
        <w:t>Cash Flows About Future Earnings</w:t>
      </w:r>
      <w:r w:rsidRPr="004F359E">
        <w:rPr>
          <w:rFonts w:ascii="Times New Roman" w:hAnsi="Times New Roman" w:cs="Times New Roman"/>
          <w:color w:val="000000" w:themeColor="text1"/>
        </w:rPr>
        <w:t xml:space="preserve">? </w:t>
      </w:r>
      <w:r w:rsidR="009B1FDA" w:rsidRPr="004F359E">
        <w:rPr>
          <w:rFonts w:ascii="Times New Roman" w:hAnsi="Times New Roman" w:cs="Times New Roman"/>
          <w:i/>
          <w:color w:val="000000" w:themeColor="text1"/>
        </w:rPr>
        <w:t>The Accounting Review</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71</w:t>
      </w:r>
      <w:r w:rsidR="009B1FDA" w:rsidRPr="004F359E">
        <w:rPr>
          <w:rFonts w:ascii="Times New Roman" w:hAnsi="Times New Roman" w:cs="Times New Roman"/>
          <w:color w:val="000000" w:themeColor="text1"/>
        </w:rPr>
        <w:t>(3)</w:t>
      </w:r>
      <w:r w:rsidRPr="004F359E">
        <w:rPr>
          <w:rFonts w:ascii="Times New Roman" w:hAnsi="Times New Roman" w:cs="Times New Roman"/>
          <w:color w:val="000000" w:themeColor="text1"/>
        </w:rPr>
        <w:t xml:space="preserve">, </w:t>
      </w:r>
      <w:r w:rsidR="0017736A" w:rsidRPr="004F359E">
        <w:rPr>
          <w:rFonts w:ascii="Times New Roman" w:hAnsi="Times New Roman" w:cs="Times New Roman"/>
          <w:color w:val="000000" w:themeColor="text1"/>
        </w:rPr>
        <w:t>19</w:t>
      </w:r>
      <w:r w:rsidR="0017736A">
        <w:rPr>
          <w:rFonts w:ascii="Times New Roman" w:hAnsi="Times New Roman" w:cs="Times New Roman"/>
          <w:color w:val="000000" w:themeColor="text1"/>
        </w:rPr>
        <w:t xml:space="preserve">96, </w:t>
      </w:r>
      <w:r w:rsidR="009B1FDA" w:rsidRPr="004F359E">
        <w:rPr>
          <w:rFonts w:ascii="Times New Roman" w:hAnsi="Times New Roman" w:cs="Times New Roman"/>
          <w:color w:val="000000" w:themeColor="text1"/>
        </w:rPr>
        <w:t xml:space="preserve">pp. </w:t>
      </w:r>
      <w:r w:rsidRPr="004F359E">
        <w:rPr>
          <w:rFonts w:ascii="Times New Roman" w:hAnsi="Times New Roman" w:cs="Times New Roman"/>
          <w:color w:val="000000" w:themeColor="text1"/>
        </w:rPr>
        <w:t>289–315.</w:t>
      </w:r>
    </w:p>
    <w:p w14:paraId="3A1845F7" w14:textId="43FCBC83" w:rsidR="00E277E9" w:rsidRPr="004F359E" w:rsidRDefault="00E277E9" w:rsidP="004F359E">
      <w:pPr>
        <w:pStyle w:val="a3"/>
        <w:numPr>
          <w:ilvl w:val="0"/>
          <w:numId w:val="1"/>
        </w:numPr>
        <w:ind w:leftChars="0"/>
        <w:jc w:val="both"/>
        <w:rPr>
          <w:rFonts w:ascii="Times New Roman" w:hAnsi="Times New Roman" w:cs="Times New Roman"/>
          <w:color w:val="000000" w:themeColor="text1"/>
        </w:rPr>
      </w:pPr>
      <w:r w:rsidRPr="004F359E">
        <w:rPr>
          <w:rFonts w:ascii="Times New Roman" w:hAnsi="Times New Roman" w:cs="Times New Roman"/>
          <w:color w:val="000000" w:themeColor="text1"/>
        </w:rPr>
        <w:t>Strong, N., and M. Walker.</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w:t>
      </w:r>
      <w:proofErr w:type="gramStart"/>
      <w:r w:rsidRPr="004F359E">
        <w:rPr>
          <w:rFonts w:ascii="Times New Roman" w:hAnsi="Times New Roman" w:cs="Times New Roman"/>
          <w:color w:val="000000" w:themeColor="text1"/>
        </w:rPr>
        <w:t>The</w:t>
      </w:r>
      <w:proofErr w:type="gramEnd"/>
      <w:r w:rsidR="009B1FDA" w:rsidRPr="004F359E">
        <w:rPr>
          <w:rFonts w:ascii="Times New Roman" w:hAnsi="Times New Roman" w:cs="Times New Roman"/>
          <w:color w:val="000000" w:themeColor="text1"/>
        </w:rPr>
        <w:t xml:space="preserve"> Explanatory Power</w:t>
      </w:r>
      <w:r w:rsidRPr="004F359E">
        <w:rPr>
          <w:rFonts w:ascii="Times New Roman" w:hAnsi="Times New Roman" w:cs="Times New Roman"/>
          <w:color w:val="000000" w:themeColor="text1"/>
        </w:rPr>
        <w:t xml:space="preserve"> of </w:t>
      </w:r>
      <w:r w:rsidR="009B1FDA" w:rsidRPr="004F359E">
        <w:rPr>
          <w:rFonts w:ascii="Times New Roman" w:hAnsi="Times New Roman" w:cs="Times New Roman"/>
          <w:color w:val="000000" w:themeColor="text1"/>
        </w:rPr>
        <w:t>Earnin</w:t>
      </w:r>
      <w:r w:rsidRPr="004F359E">
        <w:rPr>
          <w:rFonts w:ascii="Times New Roman" w:hAnsi="Times New Roman" w:cs="Times New Roman"/>
          <w:color w:val="000000" w:themeColor="text1"/>
        </w:rPr>
        <w:t>gs for</w:t>
      </w:r>
      <w:r w:rsidR="009B1FDA" w:rsidRPr="004F359E">
        <w:rPr>
          <w:rFonts w:ascii="Times New Roman" w:hAnsi="Times New Roman" w:cs="Times New Roman"/>
          <w:color w:val="000000" w:themeColor="text1"/>
        </w:rPr>
        <w:t xml:space="preserve"> Stock Return</w:t>
      </w:r>
      <w:r w:rsidRPr="004F359E">
        <w:rPr>
          <w:rFonts w:ascii="Times New Roman" w:hAnsi="Times New Roman" w:cs="Times New Roman"/>
          <w:color w:val="000000" w:themeColor="text1"/>
        </w:rPr>
        <w:t xml:space="preserve">s. </w:t>
      </w:r>
      <w:r w:rsidRPr="004F359E">
        <w:rPr>
          <w:rFonts w:ascii="Times New Roman" w:hAnsi="Times New Roman" w:cs="Times New Roman"/>
          <w:i/>
          <w:color w:val="000000" w:themeColor="text1"/>
        </w:rPr>
        <w:t>The Accounting Review</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68 (</w:t>
      </w:r>
      <w:r w:rsidR="009B1FDA" w:rsidRPr="004F359E">
        <w:rPr>
          <w:rFonts w:ascii="Times New Roman" w:hAnsi="Times New Roman" w:cs="Times New Roman"/>
          <w:color w:val="000000" w:themeColor="text1"/>
        </w:rPr>
        <w:t xml:space="preserve">2), </w:t>
      </w:r>
      <w:r w:rsidR="0017736A">
        <w:rPr>
          <w:rFonts w:ascii="Times New Roman" w:hAnsi="Times New Roman" w:cs="Times New Roman"/>
          <w:color w:val="000000" w:themeColor="text1"/>
        </w:rPr>
        <w:t xml:space="preserve">1993, </w:t>
      </w:r>
      <w:r w:rsidR="009B1FDA" w:rsidRPr="004F359E">
        <w:rPr>
          <w:rFonts w:ascii="Times New Roman" w:hAnsi="Times New Roman" w:cs="Times New Roman"/>
          <w:color w:val="000000" w:themeColor="text1"/>
        </w:rPr>
        <w:t>pp.</w:t>
      </w:r>
      <w:r w:rsidRPr="004F359E">
        <w:rPr>
          <w:rFonts w:ascii="Times New Roman" w:hAnsi="Times New Roman" w:cs="Times New Roman"/>
          <w:color w:val="000000" w:themeColor="text1"/>
        </w:rPr>
        <w:t xml:space="preserve"> 385-399.</w:t>
      </w:r>
    </w:p>
    <w:p w14:paraId="5040F157" w14:textId="14982F33" w:rsidR="00A016F6" w:rsidRPr="004F359E" w:rsidRDefault="00E277E9" w:rsidP="004F359E">
      <w:pPr>
        <w:pStyle w:val="a3"/>
        <w:numPr>
          <w:ilvl w:val="0"/>
          <w:numId w:val="1"/>
        </w:numPr>
        <w:ind w:leftChars="0"/>
        <w:jc w:val="both"/>
        <w:rPr>
          <w:rFonts w:ascii="Times New Roman" w:hAnsi="Times New Roman" w:cs="Times New Roman"/>
          <w:color w:val="000000" w:themeColor="text1"/>
        </w:rPr>
      </w:pPr>
      <w:proofErr w:type="spellStart"/>
      <w:r w:rsidRPr="004F359E">
        <w:rPr>
          <w:rFonts w:ascii="Times New Roman" w:hAnsi="Times New Roman" w:cs="Times New Roman"/>
          <w:color w:val="000000" w:themeColor="text1"/>
        </w:rPr>
        <w:t>Xie</w:t>
      </w:r>
      <w:proofErr w:type="spellEnd"/>
      <w:r w:rsidRPr="004F359E">
        <w:rPr>
          <w:rFonts w:ascii="Times New Roman" w:hAnsi="Times New Roman" w:cs="Times New Roman"/>
          <w:color w:val="000000" w:themeColor="text1"/>
        </w:rPr>
        <w:t xml:space="preserve">, H., </w:t>
      </w:r>
      <w:proofErr w:type="gramStart"/>
      <w:r w:rsidRPr="004F359E">
        <w:rPr>
          <w:rFonts w:ascii="Times New Roman" w:hAnsi="Times New Roman" w:cs="Times New Roman"/>
          <w:color w:val="000000" w:themeColor="text1"/>
        </w:rPr>
        <w:t>The</w:t>
      </w:r>
      <w:proofErr w:type="gramEnd"/>
      <w:r w:rsidRPr="004F359E">
        <w:rPr>
          <w:rFonts w:ascii="Times New Roman" w:hAnsi="Times New Roman" w:cs="Times New Roman"/>
          <w:color w:val="000000" w:themeColor="text1"/>
        </w:rPr>
        <w:t xml:space="preserve"> </w:t>
      </w:r>
      <w:r w:rsidR="009B1FDA" w:rsidRPr="004F359E">
        <w:rPr>
          <w:rFonts w:ascii="Times New Roman" w:hAnsi="Times New Roman" w:cs="Times New Roman"/>
          <w:color w:val="000000" w:themeColor="text1"/>
        </w:rPr>
        <w:t>Mispri</w:t>
      </w:r>
      <w:r w:rsidRPr="004F359E">
        <w:rPr>
          <w:rFonts w:ascii="Times New Roman" w:hAnsi="Times New Roman" w:cs="Times New Roman"/>
          <w:color w:val="000000" w:themeColor="text1"/>
        </w:rPr>
        <w:t xml:space="preserve">cing of </w:t>
      </w:r>
      <w:r w:rsidR="009B1FDA" w:rsidRPr="004F359E">
        <w:rPr>
          <w:rFonts w:ascii="Times New Roman" w:hAnsi="Times New Roman" w:cs="Times New Roman"/>
          <w:color w:val="000000" w:themeColor="text1"/>
        </w:rPr>
        <w:t>Abnormal Accru</w:t>
      </w:r>
      <w:r w:rsidRPr="004F359E">
        <w:rPr>
          <w:rFonts w:ascii="Times New Roman" w:hAnsi="Times New Roman" w:cs="Times New Roman"/>
          <w:color w:val="000000" w:themeColor="text1"/>
        </w:rPr>
        <w:t xml:space="preserve">als. </w:t>
      </w:r>
      <w:r w:rsidR="009B1FDA" w:rsidRPr="004F359E">
        <w:rPr>
          <w:rFonts w:ascii="Times New Roman" w:hAnsi="Times New Roman" w:cs="Times New Roman"/>
          <w:i/>
          <w:color w:val="000000" w:themeColor="text1"/>
        </w:rPr>
        <w:t>The Accounting Review</w:t>
      </w:r>
      <w:r w:rsidR="009B1FDA" w:rsidRPr="004F359E">
        <w:rPr>
          <w:rFonts w:ascii="Times New Roman" w:hAnsi="Times New Roman" w:cs="Times New Roman"/>
          <w:color w:val="000000" w:themeColor="text1"/>
        </w:rPr>
        <w:t>,</w:t>
      </w:r>
      <w:r w:rsidRPr="004F359E">
        <w:rPr>
          <w:rFonts w:ascii="Times New Roman" w:hAnsi="Times New Roman" w:cs="Times New Roman"/>
          <w:color w:val="000000" w:themeColor="text1"/>
        </w:rPr>
        <w:t xml:space="preserve"> 76</w:t>
      </w:r>
      <w:r w:rsidR="009B1FDA" w:rsidRPr="004F359E">
        <w:rPr>
          <w:rFonts w:ascii="Times New Roman" w:hAnsi="Times New Roman" w:cs="Times New Roman"/>
          <w:color w:val="000000" w:themeColor="text1"/>
        </w:rPr>
        <w:t>(3)</w:t>
      </w:r>
      <w:r w:rsidRPr="004F359E">
        <w:rPr>
          <w:rFonts w:ascii="Times New Roman" w:hAnsi="Times New Roman" w:cs="Times New Roman"/>
          <w:color w:val="000000" w:themeColor="text1"/>
        </w:rPr>
        <w:t xml:space="preserve">, </w:t>
      </w:r>
      <w:r w:rsidR="0017736A">
        <w:rPr>
          <w:rFonts w:ascii="Times New Roman" w:hAnsi="Times New Roman" w:cs="Times New Roman"/>
          <w:color w:val="000000" w:themeColor="text1"/>
        </w:rPr>
        <w:t xml:space="preserve">2001, </w:t>
      </w:r>
      <w:r w:rsidR="009B1FDA" w:rsidRPr="004F359E">
        <w:rPr>
          <w:rFonts w:ascii="Times New Roman" w:hAnsi="Times New Roman" w:cs="Times New Roman"/>
          <w:color w:val="000000" w:themeColor="text1"/>
        </w:rPr>
        <w:t>pp. 357-</w:t>
      </w:r>
      <w:r w:rsidRPr="004F359E">
        <w:rPr>
          <w:rFonts w:ascii="Times New Roman" w:hAnsi="Times New Roman" w:cs="Times New Roman"/>
          <w:color w:val="000000" w:themeColor="text1"/>
        </w:rPr>
        <w:t>373.</w:t>
      </w:r>
    </w:p>
    <w:sectPr w:rsidR="00A016F6" w:rsidRPr="004F359E" w:rsidSect="00A92677">
      <w:pgSz w:w="11906" w:h="16838"/>
      <w:pgMar w:top="1440" w:right="1440" w:bottom="1440"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83197" w16cid:durableId="200BD642"/>
  <w16cid:commentId w16cid:paraId="4EBD52AC" w16cid:durableId="200BD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858A" w14:textId="77777777" w:rsidR="00A1367E" w:rsidRDefault="00A1367E" w:rsidP="00CD4B1C">
      <w:r>
        <w:separator/>
      </w:r>
    </w:p>
  </w:endnote>
  <w:endnote w:type="continuationSeparator" w:id="0">
    <w:p w14:paraId="636A7B08" w14:textId="77777777" w:rsidR="00A1367E" w:rsidRDefault="00A1367E" w:rsidP="00C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AdvTimes-Integra">
    <w:altName w:val="MS Gothic"/>
    <w:panose1 w:val="00000000000000000000"/>
    <w:charset w:val="80"/>
    <w:family w:val="auto"/>
    <w:notTrueType/>
    <w:pitch w:val="default"/>
    <w:sig w:usb0="00000000" w:usb1="08070000" w:usb2="00000010" w:usb3="00000000" w:csb0="00020000" w:csb1="00000000"/>
  </w:font>
  <w:font w:name="AdvTimes-i-Integra">
    <w:altName w:val="微軟正黑體"/>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0167"/>
      <w:docPartObj>
        <w:docPartGallery w:val="Page Numbers (Bottom of Page)"/>
        <w:docPartUnique/>
      </w:docPartObj>
    </w:sdtPr>
    <w:sdtEndPr/>
    <w:sdtContent>
      <w:p w14:paraId="026812D4" w14:textId="6A25BA04" w:rsidR="007E47B1" w:rsidRDefault="007E47B1">
        <w:pPr>
          <w:pStyle w:val="a6"/>
          <w:jc w:val="center"/>
        </w:pPr>
        <w:r>
          <w:fldChar w:fldCharType="begin"/>
        </w:r>
        <w:r>
          <w:instrText>PAGE   \* MERGEFORMAT</w:instrText>
        </w:r>
        <w:r>
          <w:fldChar w:fldCharType="separate"/>
        </w:r>
        <w:r w:rsidR="00F267BD" w:rsidRPr="00F267BD">
          <w:rPr>
            <w:noProof/>
            <w:lang w:val="zh-TW"/>
          </w:rPr>
          <w:t>21</w:t>
        </w:r>
        <w:r>
          <w:fldChar w:fldCharType="end"/>
        </w:r>
      </w:p>
    </w:sdtContent>
  </w:sdt>
  <w:p w14:paraId="6DA6FD65" w14:textId="77777777" w:rsidR="007E47B1" w:rsidRDefault="007E47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AD61" w14:textId="77777777" w:rsidR="00A1367E" w:rsidRDefault="00A1367E" w:rsidP="00CD4B1C">
      <w:r>
        <w:separator/>
      </w:r>
    </w:p>
  </w:footnote>
  <w:footnote w:type="continuationSeparator" w:id="0">
    <w:p w14:paraId="406208B5" w14:textId="77777777" w:rsidR="00A1367E" w:rsidRDefault="00A1367E" w:rsidP="00CD4B1C">
      <w:r>
        <w:continuationSeparator/>
      </w:r>
    </w:p>
  </w:footnote>
  <w:footnote w:id="1">
    <w:p w14:paraId="0D6CC272" w14:textId="77777777" w:rsidR="007E47B1" w:rsidRPr="00920AAC" w:rsidRDefault="007E47B1" w:rsidP="00D872FB">
      <w:pPr>
        <w:pStyle w:val="a8"/>
        <w:jc w:val="both"/>
        <w:rPr>
          <w:rFonts w:ascii="Times New Roman" w:hAnsi="Times New Roman" w:cs="Times New Roman"/>
          <w:color w:val="000000" w:themeColor="text1"/>
        </w:rPr>
      </w:pPr>
      <w:r w:rsidRPr="00920AAC">
        <w:rPr>
          <w:rStyle w:val="aa"/>
          <w:rFonts w:ascii="Times New Roman" w:hAnsi="Times New Roman" w:cs="Times New Roman"/>
          <w:color w:val="000000" w:themeColor="text1"/>
        </w:rPr>
        <w:footnoteRef/>
      </w:r>
      <w:r w:rsidRPr="00920AAC">
        <w:rPr>
          <w:rFonts w:ascii="Times New Roman" w:hAnsi="Times New Roman" w:cs="Times New Roman"/>
          <w:color w:val="000000" w:themeColor="text1"/>
        </w:rPr>
        <w:t xml:space="preserve"> </w:t>
      </w:r>
      <w:r w:rsidRPr="00DF7E4A">
        <w:rPr>
          <w:rFonts w:ascii="Times New Roman" w:hAnsi="Times New Roman" w:cs="Times New Roman"/>
          <w:color w:val="000000" w:themeColor="text1"/>
        </w:rPr>
        <w:t>Textbook</w:t>
      </w:r>
      <w:r>
        <w:rPr>
          <w:rFonts w:ascii="Times New Roman" w:hAnsi="Times New Roman" w:cs="Times New Roman"/>
          <w:color w:val="000000" w:themeColor="text1"/>
        </w:rPr>
        <w:t>s,</w:t>
      </w:r>
      <w:r w:rsidRPr="00DF7E4A">
        <w:rPr>
          <w:rFonts w:ascii="Times New Roman" w:hAnsi="Times New Roman" w:cs="Times New Roman"/>
          <w:color w:val="000000" w:themeColor="text1"/>
        </w:rPr>
        <w:t xml:space="preserve"> </w:t>
      </w:r>
      <w:r w:rsidRPr="00920AAC">
        <w:rPr>
          <w:rFonts w:ascii="Times New Roman" w:hAnsi="Times New Roman" w:cs="Times New Roman"/>
          <w:color w:val="000000" w:themeColor="text1"/>
        </w:rPr>
        <w:t xml:space="preserve">practicing </w:t>
      </w:r>
      <w:r>
        <w:rPr>
          <w:rFonts w:ascii="Times New Roman" w:hAnsi="Times New Roman" w:cs="Times New Roman"/>
          <w:color w:val="000000" w:themeColor="text1"/>
        </w:rPr>
        <w:t>CPA</w:t>
      </w:r>
      <w:r w:rsidRPr="00920AAC">
        <w:rPr>
          <w:rFonts w:ascii="Times New Roman" w:hAnsi="Times New Roman" w:cs="Times New Roman"/>
          <w:color w:val="000000" w:themeColor="text1"/>
        </w:rPr>
        <w:t>s and financial analysts often suggest that certain components or subtotals on the income statement provide more information than others regarding firm profitability.</w:t>
      </w:r>
    </w:p>
  </w:footnote>
  <w:footnote w:id="2">
    <w:p w14:paraId="206C3ACD" w14:textId="23D05172" w:rsidR="007E47B1" w:rsidRPr="00920AAC" w:rsidRDefault="007E47B1" w:rsidP="00D872FB">
      <w:pPr>
        <w:pStyle w:val="a8"/>
        <w:jc w:val="both"/>
        <w:rPr>
          <w:rFonts w:ascii="Times New Roman" w:hAnsi="Times New Roman" w:cs="Times New Roman"/>
          <w:color w:val="000000" w:themeColor="text1"/>
        </w:rPr>
      </w:pPr>
      <w:r w:rsidRPr="00920AAC">
        <w:rPr>
          <w:rStyle w:val="aa"/>
          <w:rFonts w:ascii="Times New Roman" w:hAnsi="Times New Roman" w:cs="Times New Roman"/>
          <w:color w:val="000000" w:themeColor="text1"/>
        </w:rPr>
        <w:footnoteRef/>
      </w:r>
      <w:r w:rsidRPr="00920AAC">
        <w:rPr>
          <w:rFonts w:ascii="Times New Roman" w:hAnsi="Times New Roman" w:cs="Times New Roman"/>
          <w:color w:val="000000" w:themeColor="text1"/>
        </w:rPr>
        <w:t xml:space="preserve"> A large </w:t>
      </w:r>
      <w:r>
        <w:rPr>
          <w:rFonts w:ascii="Times New Roman" w:hAnsi="Times New Roman" w:cs="Times New Roman"/>
          <w:color w:val="000000" w:themeColor="text1"/>
        </w:rPr>
        <w:t xml:space="preserve">body of </w:t>
      </w:r>
      <w:r w:rsidRPr="00920AAC">
        <w:rPr>
          <w:rFonts w:ascii="Times New Roman" w:hAnsi="Times New Roman" w:cs="Times New Roman"/>
          <w:color w:val="000000" w:themeColor="text1"/>
        </w:rPr>
        <w:t>literature attempt</w:t>
      </w:r>
      <w:r>
        <w:rPr>
          <w:rFonts w:ascii="Times New Roman" w:hAnsi="Times New Roman" w:cs="Times New Roman"/>
          <w:color w:val="000000" w:themeColor="text1"/>
        </w:rPr>
        <w:t>s</w:t>
      </w:r>
      <w:r w:rsidRPr="00920AAC">
        <w:rPr>
          <w:rFonts w:ascii="Times New Roman" w:hAnsi="Times New Roman" w:cs="Times New Roman"/>
          <w:color w:val="000000" w:themeColor="text1"/>
        </w:rPr>
        <w:t xml:space="preserve"> to explain the drift</w:t>
      </w:r>
      <w:r>
        <w:rPr>
          <w:rFonts w:ascii="Times New Roman" w:hAnsi="Times New Roman" w:cs="Times New Roman"/>
          <w:color w:val="000000" w:themeColor="text1"/>
        </w:rPr>
        <w:t>; some</w:t>
      </w:r>
      <w:r w:rsidRPr="00920AAC">
        <w:rPr>
          <w:rFonts w:ascii="Times New Roman" w:hAnsi="Times New Roman" w:cs="Times New Roman"/>
          <w:color w:val="000000" w:themeColor="text1"/>
        </w:rPr>
        <w:t xml:space="preserve"> explanations </w:t>
      </w:r>
      <w:r w:rsidRPr="000307F9">
        <w:rPr>
          <w:rFonts w:ascii="Times New Roman" w:hAnsi="Times New Roman" w:cs="Times New Roman"/>
          <w:color w:val="000000" w:themeColor="text1"/>
        </w:rPr>
        <w:t>involve</w:t>
      </w:r>
      <w:r w:rsidRPr="00920AAC">
        <w:rPr>
          <w:rFonts w:ascii="Times New Roman" w:hAnsi="Times New Roman" w:cs="Times New Roman"/>
          <w:color w:val="000000" w:themeColor="text1"/>
        </w:rPr>
        <w:t xml:space="preserve"> </w:t>
      </w:r>
      <w:r w:rsidRPr="00A90566">
        <w:rPr>
          <w:rFonts w:ascii="Times New Roman" w:hAnsi="Times New Roman" w:cs="Times New Roman"/>
          <w:color w:val="000000" w:themeColor="text1"/>
        </w:rPr>
        <w:t>price momentum</w:t>
      </w:r>
      <w:r w:rsidRPr="00920AAC">
        <w:rPr>
          <w:rFonts w:ascii="Times New Roman" w:hAnsi="Times New Roman" w:cs="Times New Roman"/>
          <w:color w:val="000000" w:themeColor="text1"/>
        </w:rPr>
        <w:t xml:space="preserve"> (Chordia and </w:t>
      </w:r>
      <w:proofErr w:type="spellStart"/>
      <w:r w:rsidRPr="00920AAC">
        <w:rPr>
          <w:rFonts w:ascii="Times New Roman" w:hAnsi="Times New Roman" w:cs="Times New Roman"/>
          <w:color w:val="000000" w:themeColor="text1"/>
        </w:rPr>
        <w:t>Shivakumar</w:t>
      </w:r>
      <w:proofErr w:type="spellEnd"/>
      <w:r w:rsidRPr="00920AAC">
        <w:rPr>
          <w:rFonts w:ascii="Times New Roman" w:hAnsi="Times New Roman" w:cs="Times New Roman"/>
          <w:color w:val="000000" w:themeColor="text1"/>
        </w:rPr>
        <w:t xml:space="preserve">, 2006), </w:t>
      </w:r>
      <w:r w:rsidRPr="00A90566">
        <w:rPr>
          <w:rFonts w:ascii="Times New Roman" w:hAnsi="Times New Roman" w:cs="Times New Roman"/>
          <w:color w:val="000000" w:themeColor="text1"/>
        </w:rPr>
        <w:t>disclosure risk</w:t>
      </w:r>
      <w:r w:rsidRPr="00920AAC">
        <w:rPr>
          <w:rFonts w:ascii="Times New Roman" w:hAnsi="Times New Roman" w:cs="Times New Roman"/>
          <w:color w:val="000000" w:themeColor="text1"/>
        </w:rPr>
        <w:t xml:space="preserve"> (Shin, 2005), </w:t>
      </w:r>
      <w:r w:rsidRPr="00225C4C">
        <w:rPr>
          <w:rFonts w:ascii="Times New Roman" w:hAnsi="Times New Roman" w:cs="Times New Roman"/>
          <w:color w:val="000000" w:themeColor="text1"/>
        </w:rPr>
        <w:t>arbitrage risk</w:t>
      </w:r>
      <w:r w:rsidRPr="00920AAC">
        <w:rPr>
          <w:rFonts w:ascii="Times New Roman" w:hAnsi="Times New Roman" w:cs="Times New Roman"/>
          <w:color w:val="000000" w:themeColor="text1"/>
        </w:rPr>
        <w:t xml:space="preserve"> (Mendenhall, 2004), information uncertainty (Francis et al., 2007), liquidity (Chordia</w:t>
      </w:r>
      <w:r>
        <w:rPr>
          <w:rFonts w:ascii="Times New Roman" w:hAnsi="Times New Roman" w:cs="Times New Roman"/>
          <w:color w:val="000000" w:themeColor="text1"/>
        </w:rPr>
        <w:t xml:space="preserve">, et al., 2009), </w:t>
      </w:r>
      <w:r w:rsidR="0065717A">
        <w:rPr>
          <w:rFonts w:ascii="Times New Roman" w:hAnsi="Times New Roman" w:cs="Times New Roman"/>
          <w:color w:val="000000" w:themeColor="text1"/>
        </w:rPr>
        <w:t>etc</w:t>
      </w:r>
      <w:r w:rsidRPr="00920AAC">
        <w:rPr>
          <w:rFonts w:ascii="Times New Roman" w:hAnsi="Times New Roman" w:cs="Times New Roman"/>
          <w:color w:val="000000" w:themeColor="text1"/>
        </w:rPr>
        <w:t>.</w:t>
      </w:r>
    </w:p>
  </w:footnote>
  <w:footnote w:id="3">
    <w:p w14:paraId="73188477" w14:textId="646FBA78" w:rsidR="007E47B1" w:rsidRPr="00920AAC" w:rsidRDefault="007E47B1" w:rsidP="00D872FB">
      <w:pPr>
        <w:pStyle w:val="a8"/>
        <w:jc w:val="both"/>
        <w:rPr>
          <w:rFonts w:ascii="Times New Roman" w:hAnsi="Times New Roman" w:cs="Times New Roman"/>
          <w:color w:val="000000" w:themeColor="text1"/>
        </w:rPr>
      </w:pPr>
      <w:r w:rsidRPr="00920AAC">
        <w:rPr>
          <w:rStyle w:val="aa"/>
          <w:rFonts w:ascii="Times New Roman" w:hAnsi="Times New Roman" w:cs="Times New Roman"/>
          <w:color w:val="000000" w:themeColor="text1"/>
        </w:rPr>
        <w:footnoteRef/>
      </w:r>
      <w:r w:rsidRPr="00920AAC">
        <w:rPr>
          <w:rFonts w:ascii="Times New Roman" w:hAnsi="Times New Roman" w:cs="Times New Roman"/>
          <w:color w:val="000000" w:themeColor="text1"/>
        </w:rPr>
        <w:t xml:space="preserve"> Sloan (1996) studies the market mispricing on different levels of persistence between accruals and cash flows. Hui et al. (2016) focus </w:t>
      </w:r>
      <w:r>
        <w:rPr>
          <w:rFonts w:ascii="Times New Roman" w:hAnsi="Times New Roman" w:cs="Times New Roman"/>
          <w:color w:val="000000" w:themeColor="text1"/>
        </w:rPr>
        <w:t xml:space="preserve">on </w:t>
      </w:r>
      <w:r w:rsidRPr="00920AAC">
        <w:rPr>
          <w:rFonts w:ascii="Times New Roman" w:hAnsi="Times New Roman" w:cs="Times New Roman"/>
          <w:color w:val="000000" w:themeColor="text1"/>
        </w:rPr>
        <w:t xml:space="preserve">pricing </w:t>
      </w:r>
      <w:r>
        <w:rPr>
          <w:rFonts w:ascii="Times New Roman" w:hAnsi="Times New Roman" w:cs="Times New Roman"/>
          <w:color w:val="000000" w:themeColor="text1"/>
        </w:rPr>
        <w:t xml:space="preserve">based </w:t>
      </w:r>
      <w:r w:rsidRPr="00920AAC">
        <w:rPr>
          <w:rFonts w:ascii="Times New Roman" w:hAnsi="Times New Roman" w:cs="Times New Roman"/>
          <w:color w:val="000000" w:themeColor="text1"/>
        </w:rPr>
        <w:t>on the persistence of industry-wide and firm-specific earnings, cash flows, and accruals.</w:t>
      </w:r>
    </w:p>
  </w:footnote>
  <w:footnote w:id="4">
    <w:p w14:paraId="0E9EB9B4" w14:textId="33C6FD66" w:rsidR="007E47B1" w:rsidRPr="00920AAC" w:rsidRDefault="007E47B1" w:rsidP="00D872FB">
      <w:pPr>
        <w:pStyle w:val="a8"/>
        <w:jc w:val="both"/>
        <w:rPr>
          <w:rFonts w:ascii="Times New Roman" w:hAnsi="Times New Roman" w:cs="Times New Roman"/>
          <w:color w:val="000000" w:themeColor="text1"/>
        </w:rPr>
      </w:pPr>
      <w:r w:rsidRPr="00920AAC">
        <w:rPr>
          <w:rStyle w:val="aa"/>
          <w:rFonts w:ascii="Times New Roman" w:hAnsi="Times New Roman" w:cs="Times New Roman"/>
          <w:color w:val="000000" w:themeColor="text1"/>
        </w:rPr>
        <w:footnoteRef/>
      </w:r>
      <w:r w:rsidRPr="00920AA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accordance with </w:t>
      </w:r>
      <w:r w:rsidRPr="00920AAC">
        <w:rPr>
          <w:rFonts w:ascii="Times New Roman" w:hAnsi="Times New Roman" w:cs="Times New Roman"/>
          <w:color w:val="000000" w:themeColor="text1"/>
        </w:rPr>
        <w:t>prior research</w:t>
      </w:r>
      <w:r>
        <w:rPr>
          <w:rFonts w:ascii="Times New Roman" w:hAnsi="Times New Roman" w:cs="Times New Roman"/>
          <w:color w:val="000000" w:themeColor="text1"/>
        </w:rPr>
        <w:t xml:space="preserve"> </w:t>
      </w:r>
      <w:r w:rsidRPr="00E9728A">
        <w:rPr>
          <w:rFonts w:ascii="Times New Roman" w:hAnsi="Times New Roman" w:cs="Times New Roman"/>
          <w:color w:val="000000" w:themeColor="text1"/>
        </w:rPr>
        <w:t>(e.g. Bernard and Thomas 1990; Sloan 1996)</w:t>
      </w:r>
      <w:r>
        <w:rPr>
          <w:rFonts w:ascii="Times New Roman" w:hAnsi="Times New Roman" w:cs="Times New Roman"/>
          <w:color w:val="000000" w:themeColor="text1"/>
        </w:rPr>
        <w:t>,</w:t>
      </w:r>
      <w:r w:rsidRPr="00920AAC">
        <w:rPr>
          <w:rFonts w:ascii="Times New Roman" w:hAnsi="Times New Roman" w:cs="Times New Roman"/>
          <w:color w:val="000000" w:themeColor="text1"/>
        </w:rPr>
        <w:t xml:space="preserve"> I </w:t>
      </w:r>
      <w:r>
        <w:rPr>
          <w:rFonts w:ascii="Times New Roman" w:hAnsi="Times New Roman" w:cs="Times New Roman"/>
          <w:color w:val="000000" w:themeColor="text1"/>
        </w:rPr>
        <w:t>used</w:t>
      </w:r>
      <w:r w:rsidRPr="00920AAC">
        <w:rPr>
          <w:rFonts w:ascii="Times New Roman" w:hAnsi="Times New Roman" w:cs="Times New Roman"/>
          <w:color w:val="000000" w:themeColor="text1"/>
        </w:rPr>
        <w:t xml:space="preserve"> size</w:t>
      </w:r>
      <w:r>
        <w:rPr>
          <w:rFonts w:ascii="Times New Roman" w:hAnsi="Times New Roman" w:cs="Times New Roman"/>
          <w:color w:val="000000" w:themeColor="text1"/>
        </w:rPr>
        <w:t>-</w:t>
      </w:r>
      <w:r w:rsidRPr="00920AAC">
        <w:rPr>
          <w:rFonts w:ascii="Times New Roman" w:hAnsi="Times New Roman" w:cs="Times New Roman"/>
          <w:color w:val="000000" w:themeColor="text1"/>
        </w:rPr>
        <w:t>adjust</w:t>
      </w:r>
      <w:r>
        <w:rPr>
          <w:rFonts w:ascii="Times New Roman" w:hAnsi="Times New Roman" w:cs="Times New Roman"/>
          <w:color w:val="000000" w:themeColor="text1"/>
        </w:rPr>
        <w:t>ed</w:t>
      </w:r>
      <w:r w:rsidRPr="00920AAC">
        <w:rPr>
          <w:rFonts w:ascii="Times New Roman" w:hAnsi="Times New Roman" w:cs="Times New Roman"/>
          <w:color w:val="000000" w:themeColor="text1"/>
        </w:rPr>
        <w:t xml:space="preserve"> returns</w:t>
      </w:r>
      <w:r>
        <w:rPr>
          <w:rFonts w:ascii="Times New Roman" w:hAnsi="Times New Roman" w:cs="Times New Roman"/>
          <w:color w:val="000000" w:themeColor="text1"/>
        </w:rPr>
        <w:t>.</w:t>
      </w:r>
      <w:r w:rsidRPr="00920AAC">
        <w:rPr>
          <w:rFonts w:ascii="Times New Roman" w:hAnsi="Times New Roman" w:cs="Times New Roman"/>
          <w:color w:val="000000" w:themeColor="text1"/>
        </w:rPr>
        <w:t xml:space="preserve"> In this paper, size-adjusted buy-and-hold return is the raw</w:t>
      </w:r>
      <w:r>
        <w:rPr>
          <w:rFonts w:ascii="Times New Roman" w:hAnsi="Times New Roman" w:cs="Times New Roman"/>
          <w:color w:val="000000" w:themeColor="text1"/>
        </w:rPr>
        <w:t>,</w:t>
      </w:r>
      <w:r w:rsidRPr="00920AAC">
        <w:rPr>
          <w:rFonts w:ascii="Times New Roman" w:hAnsi="Times New Roman" w:cs="Times New Roman"/>
          <w:color w:val="000000" w:themeColor="text1"/>
        </w:rPr>
        <w:t xml:space="preserve"> buy-and-hold return of the firm minus the mean buy-and-hold return of an equally weighted portfolio of firms listed </w:t>
      </w:r>
      <w:r>
        <w:rPr>
          <w:rFonts w:ascii="Times New Roman" w:hAnsi="Times New Roman" w:cs="Times New Roman"/>
          <w:color w:val="000000" w:themeColor="text1"/>
        </w:rPr>
        <w:t>on the Taiwan Stock Exchange or</w:t>
      </w:r>
      <w:r w:rsidRPr="00920AAC">
        <w:rPr>
          <w:rFonts w:ascii="Times New Roman" w:hAnsi="Times New Roman" w:cs="Times New Roman"/>
          <w:color w:val="000000" w:themeColor="text1"/>
        </w:rPr>
        <w:t xml:space="preserve"> Taipei Exchange in the same size decile over the same holding period.</w:t>
      </w:r>
    </w:p>
  </w:footnote>
  <w:footnote w:id="5">
    <w:p w14:paraId="7A46D43A" w14:textId="77777777" w:rsidR="007E47B1" w:rsidRPr="00920AAC" w:rsidRDefault="007E47B1" w:rsidP="004A5DD0">
      <w:pPr>
        <w:pStyle w:val="a8"/>
        <w:keepLines/>
        <w:jc w:val="both"/>
        <w:rPr>
          <w:rFonts w:ascii="Times New Roman" w:hAnsi="Times New Roman" w:cs="Times New Roman"/>
          <w:color w:val="000000" w:themeColor="text1"/>
        </w:rPr>
      </w:pPr>
      <w:r w:rsidRPr="00920AAC">
        <w:rPr>
          <w:rStyle w:val="aa"/>
          <w:rFonts w:ascii="Times New Roman" w:hAnsi="Times New Roman" w:cs="Times New Roman"/>
          <w:color w:val="000000" w:themeColor="text1"/>
        </w:rPr>
        <w:footnoteRef/>
      </w:r>
      <w:r w:rsidRPr="00920AAC">
        <w:rPr>
          <w:rFonts w:ascii="Times New Roman" w:hAnsi="Times New Roman" w:cs="Times New Roman"/>
          <w:color w:val="000000" w:themeColor="text1"/>
        </w:rPr>
        <w:t xml:space="preserve"> Decile rank regression alleviates problems associated with extreme values that are not representative of the population or are measured with error.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3AE5"/>
    <w:multiLevelType w:val="hybridMultilevel"/>
    <w:tmpl w:val="5394B04C"/>
    <w:lvl w:ilvl="0" w:tplc="3E9A2C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207|197|205|203|197|204|205|197|205|205|197|198|198|197|187|190|"/>
    <w:docVar w:name="Username" w:val="Quality Control Editor"/>
  </w:docVars>
  <w:rsids>
    <w:rsidRoot w:val="00BB5D58"/>
    <w:rsid w:val="000025C7"/>
    <w:rsid w:val="00003402"/>
    <w:rsid w:val="000173B7"/>
    <w:rsid w:val="00022E6A"/>
    <w:rsid w:val="0002456F"/>
    <w:rsid w:val="000307F9"/>
    <w:rsid w:val="0004059A"/>
    <w:rsid w:val="0005285D"/>
    <w:rsid w:val="00052FBC"/>
    <w:rsid w:val="00055CBB"/>
    <w:rsid w:val="00062831"/>
    <w:rsid w:val="00063BB7"/>
    <w:rsid w:val="00063F20"/>
    <w:rsid w:val="00064CA7"/>
    <w:rsid w:val="00067C27"/>
    <w:rsid w:val="00073F4B"/>
    <w:rsid w:val="000748EE"/>
    <w:rsid w:val="00076808"/>
    <w:rsid w:val="000A7715"/>
    <w:rsid w:val="000A7FC5"/>
    <w:rsid w:val="000B2A8B"/>
    <w:rsid w:val="000B5D7E"/>
    <w:rsid w:val="000C0C57"/>
    <w:rsid w:val="000C24E0"/>
    <w:rsid w:val="000C2FDF"/>
    <w:rsid w:val="000C3BB6"/>
    <w:rsid w:val="000C439F"/>
    <w:rsid w:val="000C6FAE"/>
    <w:rsid w:val="000D154A"/>
    <w:rsid w:val="000D27B5"/>
    <w:rsid w:val="000D2868"/>
    <w:rsid w:val="000D505B"/>
    <w:rsid w:val="000D653C"/>
    <w:rsid w:val="000E0E01"/>
    <w:rsid w:val="000E5543"/>
    <w:rsid w:val="000E697F"/>
    <w:rsid w:val="000E7C5C"/>
    <w:rsid w:val="000F3E01"/>
    <w:rsid w:val="000F43A3"/>
    <w:rsid w:val="000F54BC"/>
    <w:rsid w:val="001079A4"/>
    <w:rsid w:val="001158F8"/>
    <w:rsid w:val="00121B9E"/>
    <w:rsid w:val="001226B4"/>
    <w:rsid w:val="001311AE"/>
    <w:rsid w:val="0013212A"/>
    <w:rsid w:val="00132B0A"/>
    <w:rsid w:val="00134F7F"/>
    <w:rsid w:val="00136A69"/>
    <w:rsid w:val="00140CD0"/>
    <w:rsid w:val="00145236"/>
    <w:rsid w:val="00151035"/>
    <w:rsid w:val="00151F0E"/>
    <w:rsid w:val="00163684"/>
    <w:rsid w:val="0016598B"/>
    <w:rsid w:val="00166F21"/>
    <w:rsid w:val="00170B94"/>
    <w:rsid w:val="00170C8A"/>
    <w:rsid w:val="00173BC4"/>
    <w:rsid w:val="00173F56"/>
    <w:rsid w:val="00175804"/>
    <w:rsid w:val="0017736A"/>
    <w:rsid w:val="001837D2"/>
    <w:rsid w:val="00184727"/>
    <w:rsid w:val="00185748"/>
    <w:rsid w:val="0018618B"/>
    <w:rsid w:val="001921D5"/>
    <w:rsid w:val="00195144"/>
    <w:rsid w:val="00195BCA"/>
    <w:rsid w:val="00197A6B"/>
    <w:rsid w:val="001A1CD9"/>
    <w:rsid w:val="001A7789"/>
    <w:rsid w:val="001B1062"/>
    <w:rsid w:val="001B3ED5"/>
    <w:rsid w:val="001C2726"/>
    <w:rsid w:val="001C285D"/>
    <w:rsid w:val="001C2A57"/>
    <w:rsid w:val="001C5B6E"/>
    <w:rsid w:val="001E2F31"/>
    <w:rsid w:val="001E3F04"/>
    <w:rsid w:val="001E7235"/>
    <w:rsid w:val="001F2CFE"/>
    <w:rsid w:val="001F34C5"/>
    <w:rsid w:val="001F5ED9"/>
    <w:rsid w:val="002076AE"/>
    <w:rsid w:val="00211B3F"/>
    <w:rsid w:val="00212453"/>
    <w:rsid w:val="00220043"/>
    <w:rsid w:val="00222EBB"/>
    <w:rsid w:val="00225C4C"/>
    <w:rsid w:val="002332D2"/>
    <w:rsid w:val="00233FAE"/>
    <w:rsid w:val="0023436D"/>
    <w:rsid w:val="00236614"/>
    <w:rsid w:val="0024249F"/>
    <w:rsid w:val="0024341B"/>
    <w:rsid w:val="00247994"/>
    <w:rsid w:val="00250F53"/>
    <w:rsid w:val="00260647"/>
    <w:rsid w:val="0027190A"/>
    <w:rsid w:val="00280908"/>
    <w:rsid w:val="00283297"/>
    <w:rsid w:val="002921E4"/>
    <w:rsid w:val="00293D3E"/>
    <w:rsid w:val="00294DD9"/>
    <w:rsid w:val="002A3513"/>
    <w:rsid w:val="002A7447"/>
    <w:rsid w:val="002A74FE"/>
    <w:rsid w:val="002A7952"/>
    <w:rsid w:val="002C01E3"/>
    <w:rsid w:val="002D2529"/>
    <w:rsid w:val="002D6A48"/>
    <w:rsid w:val="002D70FB"/>
    <w:rsid w:val="002E05C9"/>
    <w:rsid w:val="002F500F"/>
    <w:rsid w:val="002F55C1"/>
    <w:rsid w:val="002F73DD"/>
    <w:rsid w:val="00311294"/>
    <w:rsid w:val="00313173"/>
    <w:rsid w:val="00314652"/>
    <w:rsid w:val="003222B7"/>
    <w:rsid w:val="00323406"/>
    <w:rsid w:val="00325F82"/>
    <w:rsid w:val="003308F4"/>
    <w:rsid w:val="00334B4C"/>
    <w:rsid w:val="0033624C"/>
    <w:rsid w:val="00336253"/>
    <w:rsid w:val="003419D8"/>
    <w:rsid w:val="003429A0"/>
    <w:rsid w:val="00343106"/>
    <w:rsid w:val="00343524"/>
    <w:rsid w:val="003448E2"/>
    <w:rsid w:val="003513E5"/>
    <w:rsid w:val="00353A4A"/>
    <w:rsid w:val="00355FD8"/>
    <w:rsid w:val="003655A7"/>
    <w:rsid w:val="0036716C"/>
    <w:rsid w:val="0037487A"/>
    <w:rsid w:val="00387430"/>
    <w:rsid w:val="00390B8A"/>
    <w:rsid w:val="003957D1"/>
    <w:rsid w:val="00396EF8"/>
    <w:rsid w:val="0039737B"/>
    <w:rsid w:val="003A00CB"/>
    <w:rsid w:val="003A707F"/>
    <w:rsid w:val="003B21A8"/>
    <w:rsid w:val="003B3C70"/>
    <w:rsid w:val="003B529F"/>
    <w:rsid w:val="003B6D15"/>
    <w:rsid w:val="003C08D3"/>
    <w:rsid w:val="003C2506"/>
    <w:rsid w:val="003C33AB"/>
    <w:rsid w:val="003C7296"/>
    <w:rsid w:val="003E0270"/>
    <w:rsid w:val="003E1346"/>
    <w:rsid w:val="003E384D"/>
    <w:rsid w:val="003E47CA"/>
    <w:rsid w:val="003F1FF4"/>
    <w:rsid w:val="003F7E1E"/>
    <w:rsid w:val="00404DB1"/>
    <w:rsid w:val="0040658B"/>
    <w:rsid w:val="004136CC"/>
    <w:rsid w:val="004138C7"/>
    <w:rsid w:val="00416BA3"/>
    <w:rsid w:val="004315BA"/>
    <w:rsid w:val="004339E7"/>
    <w:rsid w:val="0045069A"/>
    <w:rsid w:val="0046772E"/>
    <w:rsid w:val="00471C34"/>
    <w:rsid w:val="004743C7"/>
    <w:rsid w:val="0047480B"/>
    <w:rsid w:val="00474F2A"/>
    <w:rsid w:val="00475B47"/>
    <w:rsid w:val="00483780"/>
    <w:rsid w:val="0049766F"/>
    <w:rsid w:val="004A577C"/>
    <w:rsid w:val="004A5C30"/>
    <w:rsid w:val="004A5DD0"/>
    <w:rsid w:val="004A694B"/>
    <w:rsid w:val="004C204F"/>
    <w:rsid w:val="004E0C58"/>
    <w:rsid w:val="004F1E5D"/>
    <w:rsid w:val="004F2BF0"/>
    <w:rsid w:val="004F359E"/>
    <w:rsid w:val="004F5AE5"/>
    <w:rsid w:val="004F6BA0"/>
    <w:rsid w:val="00500ECA"/>
    <w:rsid w:val="00501D2C"/>
    <w:rsid w:val="0050375F"/>
    <w:rsid w:val="00512C1D"/>
    <w:rsid w:val="00522EC5"/>
    <w:rsid w:val="00527B94"/>
    <w:rsid w:val="00527FB5"/>
    <w:rsid w:val="00530123"/>
    <w:rsid w:val="00534C77"/>
    <w:rsid w:val="005375CD"/>
    <w:rsid w:val="00541C52"/>
    <w:rsid w:val="00542157"/>
    <w:rsid w:val="00543338"/>
    <w:rsid w:val="00545155"/>
    <w:rsid w:val="0055006A"/>
    <w:rsid w:val="00553347"/>
    <w:rsid w:val="0055578E"/>
    <w:rsid w:val="00555AC4"/>
    <w:rsid w:val="005669BE"/>
    <w:rsid w:val="00570694"/>
    <w:rsid w:val="005719A7"/>
    <w:rsid w:val="005770DA"/>
    <w:rsid w:val="00577F98"/>
    <w:rsid w:val="00592485"/>
    <w:rsid w:val="005952F3"/>
    <w:rsid w:val="005955AA"/>
    <w:rsid w:val="00595D5F"/>
    <w:rsid w:val="00597504"/>
    <w:rsid w:val="005B6A85"/>
    <w:rsid w:val="005C193D"/>
    <w:rsid w:val="005C7020"/>
    <w:rsid w:val="005D01D1"/>
    <w:rsid w:val="005D23B8"/>
    <w:rsid w:val="005E46AD"/>
    <w:rsid w:val="005E5F68"/>
    <w:rsid w:val="005E6294"/>
    <w:rsid w:val="005E69EE"/>
    <w:rsid w:val="005F10D1"/>
    <w:rsid w:val="005F6A2E"/>
    <w:rsid w:val="00612003"/>
    <w:rsid w:val="0061361C"/>
    <w:rsid w:val="00614D83"/>
    <w:rsid w:val="00626E59"/>
    <w:rsid w:val="00631AF1"/>
    <w:rsid w:val="00634E7C"/>
    <w:rsid w:val="00641E8B"/>
    <w:rsid w:val="00642D11"/>
    <w:rsid w:val="006434C6"/>
    <w:rsid w:val="00644FC9"/>
    <w:rsid w:val="0064704B"/>
    <w:rsid w:val="0065482E"/>
    <w:rsid w:val="0065717A"/>
    <w:rsid w:val="00662527"/>
    <w:rsid w:val="006627D1"/>
    <w:rsid w:val="00663DAB"/>
    <w:rsid w:val="006666A5"/>
    <w:rsid w:val="006669F1"/>
    <w:rsid w:val="00667E8F"/>
    <w:rsid w:val="00673843"/>
    <w:rsid w:val="006901EC"/>
    <w:rsid w:val="006924B5"/>
    <w:rsid w:val="0069489D"/>
    <w:rsid w:val="006A1150"/>
    <w:rsid w:val="006A1C73"/>
    <w:rsid w:val="006B1066"/>
    <w:rsid w:val="006B2A97"/>
    <w:rsid w:val="006B3D8C"/>
    <w:rsid w:val="006C7EA2"/>
    <w:rsid w:val="006D53A1"/>
    <w:rsid w:val="006D56E6"/>
    <w:rsid w:val="006E2DA3"/>
    <w:rsid w:val="006E3CE6"/>
    <w:rsid w:val="006F1047"/>
    <w:rsid w:val="006F3E10"/>
    <w:rsid w:val="006F512F"/>
    <w:rsid w:val="006F77C6"/>
    <w:rsid w:val="00702650"/>
    <w:rsid w:val="00710EAF"/>
    <w:rsid w:val="00711375"/>
    <w:rsid w:val="007136DD"/>
    <w:rsid w:val="00714459"/>
    <w:rsid w:val="00720288"/>
    <w:rsid w:val="007307BB"/>
    <w:rsid w:val="00735401"/>
    <w:rsid w:val="007518B5"/>
    <w:rsid w:val="00752B60"/>
    <w:rsid w:val="007564C1"/>
    <w:rsid w:val="00757598"/>
    <w:rsid w:val="00762C87"/>
    <w:rsid w:val="00762F00"/>
    <w:rsid w:val="00767B9A"/>
    <w:rsid w:val="007754D2"/>
    <w:rsid w:val="00776782"/>
    <w:rsid w:val="0077775A"/>
    <w:rsid w:val="00777CAB"/>
    <w:rsid w:val="0078165E"/>
    <w:rsid w:val="00783AD1"/>
    <w:rsid w:val="007A0241"/>
    <w:rsid w:val="007A4BD5"/>
    <w:rsid w:val="007A5D8B"/>
    <w:rsid w:val="007B5914"/>
    <w:rsid w:val="007C661A"/>
    <w:rsid w:val="007C72BA"/>
    <w:rsid w:val="007D06DD"/>
    <w:rsid w:val="007D0E84"/>
    <w:rsid w:val="007D370D"/>
    <w:rsid w:val="007D3923"/>
    <w:rsid w:val="007D3A5F"/>
    <w:rsid w:val="007D4AF8"/>
    <w:rsid w:val="007E3FB3"/>
    <w:rsid w:val="007E450C"/>
    <w:rsid w:val="007E47B1"/>
    <w:rsid w:val="007E7A5B"/>
    <w:rsid w:val="007E7BF9"/>
    <w:rsid w:val="007E7FAB"/>
    <w:rsid w:val="007F4156"/>
    <w:rsid w:val="007F60D2"/>
    <w:rsid w:val="0080210D"/>
    <w:rsid w:val="008034B7"/>
    <w:rsid w:val="00804FAF"/>
    <w:rsid w:val="00807F94"/>
    <w:rsid w:val="00816179"/>
    <w:rsid w:val="00821947"/>
    <w:rsid w:val="00822616"/>
    <w:rsid w:val="00825A49"/>
    <w:rsid w:val="00832B57"/>
    <w:rsid w:val="008331D5"/>
    <w:rsid w:val="00836237"/>
    <w:rsid w:val="008410A1"/>
    <w:rsid w:val="0084299A"/>
    <w:rsid w:val="0085198B"/>
    <w:rsid w:val="008559A5"/>
    <w:rsid w:val="00856A76"/>
    <w:rsid w:val="008722E5"/>
    <w:rsid w:val="00874E2C"/>
    <w:rsid w:val="00874FB7"/>
    <w:rsid w:val="0088070C"/>
    <w:rsid w:val="00880995"/>
    <w:rsid w:val="00882536"/>
    <w:rsid w:val="00884981"/>
    <w:rsid w:val="00886633"/>
    <w:rsid w:val="0089113E"/>
    <w:rsid w:val="0089269F"/>
    <w:rsid w:val="00892E53"/>
    <w:rsid w:val="00893D4C"/>
    <w:rsid w:val="0089462F"/>
    <w:rsid w:val="00894C71"/>
    <w:rsid w:val="0089751F"/>
    <w:rsid w:val="008A5F34"/>
    <w:rsid w:val="008B1418"/>
    <w:rsid w:val="008B228B"/>
    <w:rsid w:val="008B38F9"/>
    <w:rsid w:val="008C0A2B"/>
    <w:rsid w:val="008C2647"/>
    <w:rsid w:val="008D6FE0"/>
    <w:rsid w:val="008E2289"/>
    <w:rsid w:val="008E307F"/>
    <w:rsid w:val="008E3628"/>
    <w:rsid w:val="008E468F"/>
    <w:rsid w:val="008E51B5"/>
    <w:rsid w:val="008E74E5"/>
    <w:rsid w:val="008F0333"/>
    <w:rsid w:val="008F2170"/>
    <w:rsid w:val="008F5092"/>
    <w:rsid w:val="00900BBA"/>
    <w:rsid w:val="00901E05"/>
    <w:rsid w:val="00920AAC"/>
    <w:rsid w:val="00921AFD"/>
    <w:rsid w:val="00922018"/>
    <w:rsid w:val="009245CF"/>
    <w:rsid w:val="00931AAD"/>
    <w:rsid w:val="00934A10"/>
    <w:rsid w:val="009357C9"/>
    <w:rsid w:val="0094002F"/>
    <w:rsid w:val="00944F6D"/>
    <w:rsid w:val="00953E3E"/>
    <w:rsid w:val="00955465"/>
    <w:rsid w:val="00961DF8"/>
    <w:rsid w:val="00967230"/>
    <w:rsid w:val="009753E9"/>
    <w:rsid w:val="00980551"/>
    <w:rsid w:val="00980E4E"/>
    <w:rsid w:val="00980FBC"/>
    <w:rsid w:val="00986F52"/>
    <w:rsid w:val="00987CC3"/>
    <w:rsid w:val="009919EC"/>
    <w:rsid w:val="00995B53"/>
    <w:rsid w:val="009A5A55"/>
    <w:rsid w:val="009B0378"/>
    <w:rsid w:val="009B1FDA"/>
    <w:rsid w:val="009B28B4"/>
    <w:rsid w:val="009C0D81"/>
    <w:rsid w:val="009C168B"/>
    <w:rsid w:val="009C3A2F"/>
    <w:rsid w:val="009C57AC"/>
    <w:rsid w:val="009C61B8"/>
    <w:rsid w:val="009C71C1"/>
    <w:rsid w:val="009D07CE"/>
    <w:rsid w:val="009D2446"/>
    <w:rsid w:val="009E1158"/>
    <w:rsid w:val="009E45C0"/>
    <w:rsid w:val="00A016F6"/>
    <w:rsid w:val="00A1367E"/>
    <w:rsid w:val="00A14F30"/>
    <w:rsid w:val="00A15BB1"/>
    <w:rsid w:val="00A20A11"/>
    <w:rsid w:val="00A24ACD"/>
    <w:rsid w:val="00A31DBE"/>
    <w:rsid w:val="00A34D67"/>
    <w:rsid w:val="00A40093"/>
    <w:rsid w:val="00A43E1C"/>
    <w:rsid w:val="00A449D7"/>
    <w:rsid w:val="00A50963"/>
    <w:rsid w:val="00A60B63"/>
    <w:rsid w:val="00A776DD"/>
    <w:rsid w:val="00A807EC"/>
    <w:rsid w:val="00A80B87"/>
    <w:rsid w:val="00A82043"/>
    <w:rsid w:val="00A83E6C"/>
    <w:rsid w:val="00A856B0"/>
    <w:rsid w:val="00A86369"/>
    <w:rsid w:val="00A90566"/>
    <w:rsid w:val="00A91F73"/>
    <w:rsid w:val="00A92677"/>
    <w:rsid w:val="00A95A49"/>
    <w:rsid w:val="00AA414A"/>
    <w:rsid w:val="00AB3E07"/>
    <w:rsid w:val="00AB5009"/>
    <w:rsid w:val="00AD3E24"/>
    <w:rsid w:val="00AF0801"/>
    <w:rsid w:val="00AF1F64"/>
    <w:rsid w:val="00AF286A"/>
    <w:rsid w:val="00AF3B89"/>
    <w:rsid w:val="00AF41C9"/>
    <w:rsid w:val="00B00702"/>
    <w:rsid w:val="00B00F13"/>
    <w:rsid w:val="00B058CD"/>
    <w:rsid w:val="00B07E00"/>
    <w:rsid w:val="00B10727"/>
    <w:rsid w:val="00B11E54"/>
    <w:rsid w:val="00B13AE4"/>
    <w:rsid w:val="00B14F1C"/>
    <w:rsid w:val="00B22356"/>
    <w:rsid w:val="00B253E7"/>
    <w:rsid w:val="00B333E6"/>
    <w:rsid w:val="00B44B95"/>
    <w:rsid w:val="00B466D7"/>
    <w:rsid w:val="00B47E44"/>
    <w:rsid w:val="00B5165B"/>
    <w:rsid w:val="00B54623"/>
    <w:rsid w:val="00B54664"/>
    <w:rsid w:val="00B558C1"/>
    <w:rsid w:val="00B653B0"/>
    <w:rsid w:val="00B66F59"/>
    <w:rsid w:val="00B730B1"/>
    <w:rsid w:val="00B735F2"/>
    <w:rsid w:val="00B74499"/>
    <w:rsid w:val="00B93FCC"/>
    <w:rsid w:val="00B9599E"/>
    <w:rsid w:val="00B97C2B"/>
    <w:rsid w:val="00BB03BB"/>
    <w:rsid w:val="00BB5D58"/>
    <w:rsid w:val="00BB6205"/>
    <w:rsid w:val="00BB6B6D"/>
    <w:rsid w:val="00BC07EE"/>
    <w:rsid w:val="00BC2B05"/>
    <w:rsid w:val="00BC6D86"/>
    <w:rsid w:val="00BC776E"/>
    <w:rsid w:val="00BD162B"/>
    <w:rsid w:val="00BD26A1"/>
    <w:rsid w:val="00BD305A"/>
    <w:rsid w:val="00BE4869"/>
    <w:rsid w:val="00BE57EC"/>
    <w:rsid w:val="00C0284B"/>
    <w:rsid w:val="00C14836"/>
    <w:rsid w:val="00C148B8"/>
    <w:rsid w:val="00C232B3"/>
    <w:rsid w:val="00C25C86"/>
    <w:rsid w:val="00C266C3"/>
    <w:rsid w:val="00C3488B"/>
    <w:rsid w:val="00C36384"/>
    <w:rsid w:val="00C4299A"/>
    <w:rsid w:val="00C431AA"/>
    <w:rsid w:val="00C4384B"/>
    <w:rsid w:val="00C45A4A"/>
    <w:rsid w:val="00C50016"/>
    <w:rsid w:val="00C53B89"/>
    <w:rsid w:val="00C546AD"/>
    <w:rsid w:val="00C653A8"/>
    <w:rsid w:val="00C65612"/>
    <w:rsid w:val="00C65992"/>
    <w:rsid w:val="00C7224C"/>
    <w:rsid w:val="00C73FE3"/>
    <w:rsid w:val="00C75228"/>
    <w:rsid w:val="00C75BDD"/>
    <w:rsid w:val="00C86382"/>
    <w:rsid w:val="00C865A1"/>
    <w:rsid w:val="00C903D4"/>
    <w:rsid w:val="00C94802"/>
    <w:rsid w:val="00C97696"/>
    <w:rsid w:val="00CA2D16"/>
    <w:rsid w:val="00CB026C"/>
    <w:rsid w:val="00CB42CC"/>
    <w:rsid w:val="00CB4814"/>
    <w:rsid w:val="00CB7243"/>
    <w:rsid w:val="00CC12D7"/>
    <w:rsid w:val="00CC47A8"/>
    <w:rsid w:val="00CD0D6B"/>
    <w:rsid w:val="00CD13B9"/>
    <w:rsid w:val="00CD4B1C"/>
    <w:rsid w:val="00CD7CA0"/>
    <w:rsid w:val="00CE4353"/>
    <w:rsid w:val="00CE490B"/>
    <w:rsid w:val="00D0253A"/>
    <w:rsid w:val="00D15B91"/>
    <w:rsid w:val="00D222FF"/>
    <w:rsid w:val="00D2440D"/>
    <w:rsid w:val="00D24EDF"/>
    <w:rsid w:val="00D31220"/>
    <w:rsid w:val="00D3261E"/>
    <w:rsid w:val="00D36952"/>
    <w:rsid w:val="00D37C5A"/>
    <w:rsid w:val="00D4465F"/>
    <w:rsid w:val="00D476AE"/>
    <w:rsid w:val="00D50A27"/>
    <w:rsid w:val="00D55322"/>
    <w:rsid w:val="00D56E9D"/>
    <w:rsid w:val="00D56F4B"/>
    <w:rsid w:val="00D65A92"/>
    <w:rsid w:val="00D6627F"/>
    <w:rsid w:val="00D66F5B"/>
    <w:rsid w:val="00D737FD"/>
    <w:rsid w:val="00D75970"/>
    <w:rsid w:val="00D83E2D"/>
    <w:rsid w:val="00D8568C"/>
    <w:rsid w:val="00D872FB"/>
    <w:rsid w:val="00D87B38"/>
    <w:rsid w:val="00D905F8"/>
    <w:rsid w:val="00D92049"/>
    <w:rsid w:val="00D92C93"/>
    <w:rsid w:val="00DC0502"/>
    <w:rsid w:val="00DC7BE3"/>
    <w:rsid w:val="00DD12BB"/>
    <w:rsid w:val="00DD55EE"/>
    <w:rsid w:val="00DD6167"/>
    <w:rsid w:val="00DD6256"/>
    <w:rsid w:val="00DE110B"/>
    <w:rsid w:val="00DE5030"/>
    <w:rsid w:val="00DF4A3D"/>
    <w:rsid w:val="00DF7E4A"/>
    <w:rsid w:val="00E0787D"/>
    <w:rsid w:val="00E10A53"/>
    <w:rsid w:val="00E23FBB"/>
    <w:rsid w:val="00E24C53"/>
    <w:rsid w:val="00E2691F"/>
    <w:rsid w:val="00E26EB8"/>
    <w:rsid w:val="00E277E9"/>
    <w:rsid w:val="00E351C9"/>
    <w:rsid w:val="00E378E1"/>
    <w:rsid w:val="00E414D9"/>
    <w:rsid w:val="00E53BFA"/>
    <w:rsid w:val="00E54445"/>
    <w:rsid w:val="00E64FFF"/>
    <w:rsid w:val="00E731B9"/>
    <w:rsid w:val="00E7545E"/>
    <w:rsid w:val="00E845BA"/>
    <w:rsid w:val="00E94886"/>
    <w:rsid w:val="00E9728A"/>
    <w:rsid w:val="00EA30DB"/>
    <w:rsid w:val="00EA41F2"/>
    <w:rsid w:val="00EA684B"/>
    <w:rsid w:val="00EA6C62"/>
    <w:rsid w:val="00EB52AA"/>
    <w:rsid w:val="00EC0D6E"/>
    <w:rsid w:val="00EC108A"/>
    <w:rsid w:val="00EC5C42"/>
    <w:rsid w:val="00EC65B9"/>
    <w:rsid w:val="00EE4007"/>
    <w:rsid w:val="00EE4E9E"/>
    <w:rsid w:val="00EF6B4C"/>
    <w:rsid w:val="00F014D8"/>
    <w:rsid w:val="00F02767"/>
    <w:rsid w:val="00F1520F"/>
    <w:rsid w:val="00F24376"/>
    <w:rsid w:val="00F25873"/>
    <w:rsid w:val="00F267BD"/>
    <w:rsid w:val="00F343C6"/>
    <w:rsid w:val="00F34FBE"/>
    <w:rsid w:val="00F44ACB"/>
    <w:rsid w:val="00F5550E"/>
    <w:rsid w:val="00F614EF"/>
    <w:rsid w:val="00F7348A"/>
    <w:rsid w:val="00F77BF9"/>
    <w:rsid w:val="00F8273D"/>
    <w:rsid w:val="00F82E21"/>
    <w:rsid w:val="00F8321B"/>
    <w:rsid w:val="00F9537F"/>
    <w:rsid w:val="00F95584"/>
    <w:rsid w:val="00F97A91"/>
    <w:rsid w:val="00FA3CE8"/>
    <w:rsid w:val="00FA69E1"/>
    <w:rsid w:val="00FB540F"/>
    <w:rsid w:val="00FB691D"/>
    <w:rsid w:val="00FC52FD"/>
    <w:rsid w:val="00FC5AD3"/>
    <w:rsid w:val="00FC605E"/>
    <w:rsid w:val="00FC6618"/>
    <w:rsid w:val="00FD0BB1"/>
    <w:rsid w:val="00FD1198"/>
    <w:rsid w:val="00FD3656"/>
    <w:rsid w:val="00FE2EA1"/>
    <w:rsid w:val="00FE5BD5"/>
    <w:rsid w:val="00FE703A"/>
    <w:rsid w:val="00FF07ED"/>
    <w:rsid w:val="00FF3EE1"/>
    <w:rsid w:val="00FF71F1"/>
    <w:rsid w:val="00FF7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844F"/>
  <w15:chartTrackingRefBased/>
  <w15:docId w15:val="{88FBF502-A9C0-464B-9B67-E5AC6A57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6D7"/>
    <w:pPr>
      <w:ind w:leftChars="200" w:left="480"/>
    </w:pPr>
  </w:style>
  <w:style w:type="paragraph" w:styleId="a4">
    <w:name w:val="header"/>
    <w:basedOn w:val="a"/>
    <w:link w:val="a5"/>
    <w:uiPriority w:val="99"/>
    <w:unhideWhenUsed/>
    <w:rsid w:val="00CD4B1C"/>
    <w:pPr>
      <w:tabs>
        <w:tab w:val="center" w:pos="4153"/>
        <w:tab w:val="right" w:pos="8306"/>
      </w:tabs>
      <w:snapToGrid w:val="0"/>
    </w:pPr>
    <w:rPr>
      <w:sz w:val="20"/>
      <w:szCs w:val="20"/>
    </w:rPr>
  </w:style>
  <w:style w:type="character" w:customStyle="1" w:styleId="a5">
    <w:name w:val="頁首 字元"/>
    <w:basedOn w:val="a0"/>
    <w:link w:val="a4"/>
    <w:uiPriority w:val="99"/>
    <w:rsid w:val="00CD4B1C"/>
    <w:rPr>
      <w:sz w:val="20"/>
      <w:szCs w:val="20"/>
    </w:rPr>
  </w:style>
  <w:style w:type="paragraph" w:styleId="a6">
    <w:name w:val="footer"/>
    <w:basedOn w:val="a"/>
    <w:link w:val="a7"/>
    <w:uiPriority w:val="99"/>
    <w:unhideWhenUsed/>
    <w:rsid w:val="00CD4B1C"/>
    <w:pPr>
      <w:tabs>
        <w:tab w:val="center" w:pos="4153"/>
        <w:tab w:val="right" w:pos="8306"/>
      </w:tabs>
      <w:snapToGrid w:val="0"/>
    </w:pPr>
    <w:rPr>
      <w:sz w:val="20"/>
      <w:szCs w:val="20"/>
    </w:rPr>
  </w:style>
  <w:style w:type="character" w:customStyle="1" w:styleId="a7">
    <w:name w:val="頁尾 字元"/>
    <w:basedOn w:val="a0"/>
    <w:link w:val="a6"/>
    <w:uiPriority w:val="99"/>
    <w:rsid w:val="00CD4B1C"/>
    <w:rPr>
      <w:sz w:val="20"/>
      <w:szCs w:val="20"/>
    </w:rPr>
  </w:style>
  <w:style w:type="paragraph" w:styleId="a8">
    <w:name w:val="footnote text"/>
    <w:basedOn w:val="a"/>
    <w:link w:val="a9"/>
    <w:semiHidden/>
    <w:unhideWhenUsed/>
    <w:rsid w:val="006D56E6"/>
    <w:pPr>
      <w:snapToGrid w:val="0"/>
    </w:pPr>
    <w:rPr>
      <w:sz w:val="20"/>
      <w:szCs w:val="20"/>
    </w:rPr>
  </w:style>
  <w:style w:type="character" w:customStyle="1" w:styleId="a9">
    <w:name w:val="註腳文字 字元"/>
    <w:basedOn w:val="a0"/>
    <w:link w:val="a8"/>
    <w:semiHidden/>
    <w:rsid w:val="006D56E6"/>
    <w:rPr>
      <w:sz w:val="20"/>
      <w:szCs w:val="20"/>
    </w:rPr>
  </w:style>
  <w:style w:type="character" w:styleId="aa">
    <w:name w:val="footnote reference"/>
    <w:basedOn w:val="a0"/>
    <w:semiHidden/>
    <w:unhideWhenUsed/>
    <w:rsid w:val="006D56E6"/>
    <w:rPr>
      <w:vertAlign w:val="superscript"/>
    </w:rPr>
  </w:style>
  <w:style w:type="character" w:styleId="ab">
    <w:name w:val="Emphasis"/>
    <w:basedOn w:val="a0"/>
    <w:uiPriority w:val="20"/>
    <w:qFormat/>
    <w:rsid w:val="00B14F1C"/>
    <w:rPr>
      <w:b w:val="0"/>
      <w:bCs w:val="0"/>
      <w:i w:val="0"/>
      <w:iCs w:val="0"/>
      <w:color w:val="DD4B39"/>
    </w:rPr>
  </w:style>
  <w:style w:type="character" w:customStyle="1" w:styleId="shorttext">
    <w:name w:val="short_text"/>
    <w:basedOn w:val="a0"/>
    <w:rsid w:val="00B14F1C"/>
  </w:style>
  <w:style w:type="character" w:styleId="ac">
    <w:name w:val="annotation reference"/>
    <w:basedOn w:val="a0"/>
    <w:uiPriority w:val="99"/>
    <w:semiHidden/>
    <w:unhideWhenUsed/>
    <w:rsid w:val="007E450C"/>
    <w:rPr>
      <w:rFonts w:ascii="Tahoma" w:hAnsi="Tahoma" w:cs="Tahoma"/>
      <w:b w:val="0"/>
      <w:i w:val="0"/>
      <w:caps w:val="0"/>
      <w:strike w:val="0"/>
      <w:sz w:val="16"/>
      <w:szCs w:val="16"/>
      <w:u w:val="none"/>
    </w:rPr>
  </w:style>
  <w:style w:type="paragraph" w:styleId="ad">
    <w:name w:val="annotation text"/>
    <w:basedOn w:val="a"/>
    <w:link w:val="ae"/>
    <w:uiPriority w:val="99"/>
    <w:semiHidden/>
    <w:unhideWhenUsed/>
    <w:rsid w:val="007E450C"/>
    <w:rPr>
      <w:rFonts w:ascii="Tahoma" w:hAnsi="Tahoma" w:cs="Tahoma"/>
      <w:sz w:val="16"/>
      <w:szCs w:val="20"/>
    </w:rPr>
  </w:style>
  <w:style w:type="character" w:customStyle="1" w:styleId="ae">
    <w:name w:val="註解文字 字元"/>
    <w:basedOn w:val="a0"/>
    <w:link w:val="ad"/>
    <w:uiPriority w:val="99"/>
    <w:semiHidden/>
    <w:rsid w:val="007E450C"/>
    <w:rPr>
      <w:rFonts w:ascii="Tahoma" w:hAnsi="Tahoma" w:cs="Tahoma"/>
      <w:sz w:val="16"/>
      <w:szCs w:val="20"/>
    </w:rPr>
  </w:style>
  <w:style w:type="paragraph" w:styleId="af">
    <w:name w:val="annotation subject"/>
    <w:basedOn w:val="ad"/>
    <w:next w:val="ad"/>
    <w:link w:val="af0"/>
    <w:uiPriority w:val="99"/>
    <w:semiHidden/>
    <w:unhideWhenUsed/>
    <w:rsid w:val="007E450C"/>
    <w:rPr>
      <w:b/>
      <w:bCs/>
    </w:rPr>
  </w:style>
  <w:style w:type="character" w:customStyle="1" w:styleId="af0">
    <w:name w:val="註解主旨 字元"/>
    <w:basedOn w:val="ae"/>
    <w:link w:val="af"/>
    <w:uiPriority w:val="99"/>
    <w:semiHidden/>
    <w:rsid w:val="007E450C"/>
    <w:rPr>
      <w:rFonts w:ascii="Tahoma" w:hAnsi="Tahoma" w:cs="Tahoma"/>
      <w:b/>
      <w:bCs/>
      <w:sz w:val="16"/>
      <w:szCs w:val="20"/>
    </w:rPr>
  </w:style>
  <w:style w:type="paragraph" w:styleId="af1">
    <w:name w:val="Balloon Text"/>
    <w:basedOn w:val="a"/>
    <w:link w:val="af2"/>
    <w:uiPriority w:val="99"/>
    <w:semiHidden/>
    <w:unhideWhenUsed/>
    <w:rsid w:val="007E450C"/>
    <w:rPr>
      <w:rFonts w:ascii="Segoe UI" w:hAnsi="Segoe UI" w:cs="Segoe UI"/>
      <w:sz w:val="18"/>
      <w:szCs w:val="18"/>
    </w:rPr>
  </w:style>
  <w:style w:type="character" w:customStyle="1" w:styleId="af2">
    <w:name w:val="註解方塊文字 字元"/>
    <w:basedOn w:val="a0"/>
    <w:link w:val="af1"/>
    <w:uiPriority w:val="99"/>
    <w:semiHidden/>
    <w:rsid w:val="007E450C"/>
    <w:rPr>
      <w:rFonts w:ascii="Segoe UI" w:hAnsi="Segoe UI" w:cs="Segoe UI"/>
      <w:sz w:val="18"/>
      <w:szCs w:val="18"/>
    </w:rPr>
  </w:style>
  <w:style w:type="paragraph" w:styleId="af3">
    <w:name w:val="Revision"/>
    <w:hidden/>
    <w:uiPriority w:val="99"/>
    <w:semiHidden/>
    <w:rsid w:val="0064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6451-1C5F-4446-B64D-70247E71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5253</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學典 呂</dc:creator>
  <cp:lastModifiedBy>學典 呂</cp:lastModifiedBy>
  <cp:revision>42</cp:revision>
  <cp:lastPrinted>2019-02-12T01:34:00Z</cp:lastPrinted>
  <dcterms:created xsi:type="dcterms:W3CDTF">2019-02-03T19:15:00Z</dcterms:created>
  <dcterms:modified xsi:type="dcterms:W3CDTF">2019-02-12T03:48:00Z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43507.4649189815</vt:r8>
  </property>
  <property fmtid="{D5CDD505-2E9C-101B-9397-08002B2CF9AE}" pid="4" name="EditTimer">
    <vt:i4>1055</vt:i4>
  </property>
</Properties>
</file>