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54">
        <w:rPr>
          <w:rFonts w:ascii="Times New Roman" w:hAnsi="Times New Roman" w:cs="Times New Roman"/>
          <w:b/>
          <w:bCs/>
          <w:sz w:val="24"/>
          <w:szCs w:val="24"/>
        </w:rPr>
        <w:t>HISTOPATHOLOGICAL DETERMINATION OF PLACENTAL MALARIA AND ITS</w:t>
      </w: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54">
        <w:rPr>
          <w:rFonts w:ascii="Times New Roman" w:hAnsi="Times New Roman" w:cs="Times New Roman"/>
          <w:b/>
          <w:bCs/>
          <w:sz w:val="24"/>
          <w:szCs w:val="24"/>
        </w:rPr>
        <w:t>RELATION TO FETAL BIRTH WEIGHT</w:t>
      </w: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54">
        <w:rPr>
          <w:rFonts w:ascii="Times New Roman" w:hAnsi="Times New Roman" w:cs="Times New Roman"/>
          <w:b/>
          <w:bCs/>
          <w:sz w:val="24"/>
          <w:szCs w:val="24"/>
        </w:rPr>
        <w:t>By</w:t>
      </w: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F54">
        <w:rPr>
          <w:rFonts w:ascii="Times New Roman" w:hAnsi="Times New Roman" w:cs="Times New Roman"/>
          <w:sz w:val="24"/>
          <w:szCs w:val="24"/>
        </w:rPr>
        <w:t>James O. Adisa</w:t>
      </w:r>
      <w:r w:rsidRPr="004A4F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4F54">
        <w:rPr>
          <w:rFonts w:ascii="Times New Roman" w:hAnsi="Times New Roman" w:cs="Times New Roman"/>
          <w:sz w:val="24"/>
          <w:szCs w:val="24"/>
        </w:rPr>
        <w:t>, Fatima Salaudeen</w:t>
      </w:r>
      <w:r w:rsidRPr="004A4F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A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Ejike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C. Egbujo</w:t>
      </w:r>
      <w:r w:rsidR="00F33C8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A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Gye</w:t>
      </w:r>
      <w:r w:rsidR="00F33C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Jugu</w:t>
      </w:r>
      <w:r w:rsidR="00F33C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A4F54">
        <w:rPr>
          <w:rFonts w:ascii="Times New Roman" w:hAnsi="Times New Roman" w:cs="Times New Roman"/>
          <w:sz w:val="24"/>
          <w:szCs w:val="24"/>
        </w:rPr>
        <w:t>,Daniel Onotu</w:t>
      </w:r>
      <w:r w:rsidR="00F33C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A4F54">
        <w:rPr>
          <w:rFonts w:ascii="Times New Roman" w:hAnsi="Times New Roman" w:cs="Times New Roman"/>
          <w:sz w:val="24"/>
          <w:szCs w:val="24"/>
        </w:rPr>
        <w:t>, Mark Akindigh</w:t>
      </w:r>
      <w:r w:rsidR="00F33C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5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Azizat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Adetokun</w:t>
      </w:r>
      <w:r w:rsidRPr="004A4F5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F54">
        <w:rPr>
          <w:rFonts w:ascii="Times New Roman" w:hAnsi="Times New Roman" w:cs="Times New Roman"/>
          <w:sz w:val="24"/>
          <w:szCs w:val="24"/>
        </w:rPr>
        <w:t xml:space="preserve">1.Medical Laboratory Science, University of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>, Plateau state, Nigeria</w:t>
      </w:r>
    </w:p>
    <w:p w:rsidR="00F33C89" w:rsidRPr="004A4F54" w:rsidRDefault="00F33C89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Histopathology and Cytology Laboratory</w:t>
      </w:r>
    </w:p>
    <w:p w:rsidR="004A4F54" w:rsidRPr="004A4F54" w:rsidRDefault="00F33C89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4F54" w:rsidRPr="004A4F54">
        <w:rPr>
          <w:rFonts w:ascii="Times New Roman" w:hAnsi="Times New Roman" w:cs="Times New Roman"/>
          <w:sz w:val="24"/>
          <w:szCs w:val="24"/>
        </w:rPr>
        <w:t xml:space="preserve">. Histopathology Department, </w:t>
      </w:r>
      <w:proofErr w:type="spellStart"/>
      <w:r w:rsidR="004A4F54" w:rsidRPr="004A4F5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4A4F54" w:rsidRPr="004A4F54">
        <w:rPr>
          <w:rFonts w:ascii="Times New Roman" w:hAnsi="Times New Roman" w:cs="Times New Roman"/>
          <w:sz w:val="24"/>
          <w:szCs w:val="24"/>
        </w:rPr>
        <w:t xml:space="preserve"> University Teaching Hospital, Plateau State, Nigeria</w:t>
      </w:r>
    </w:p>
    <w:p w:rsidR="004A4F54" w:rsidRPr="004A4F54" w:rsidRDefault="00F33C89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4F54" w:rsidRPr="004A4F54">
        <w:rPr>
          <w:rFonts w:ascii="Times New Roman" w:hAnsi="Times New Roman" w:cs="Times New Roman"/>
          <w:sz w:val="24"/>
          <w:szCs w:val="24"/>
        </w:rPr>
        <w:t>. Dee Medical centre, Plateau State, Nigeria</w:t>
      </w:r>
    </w:p>
    <w:p w:rsidR="004A4F54" w:rsidRPr="004A4F54" w:rsidRDefault="00F33C89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F54" w:rsidRPr="004A4F54">
        <w:rPr>
          <w:rFonts w:ascii="Times New Roman" w:hAnsi="Times New Roman" w:cs="Times New Roman"/>
          <w:sz w:val="24"/>
          <w:szCs w:val="24"/>
        </w:rPr>
        <w:t xml:space="preserve">. APIN LAB, </w:t>
      </w:r>
      <w:proofErr w:type="spellStart"/>
      <w:r w:rsidR="004A4F54" w:rsidRPr="004A4F54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4A4F54" w:rsidRPr="004A4F54">
        <w:rPr>
          <w:rFonts w:ascii="Times New Roman" w:hAnsi="Times New Roman" w:cs="Times New Roman"/>
          <w:sz w:val="24"/>
          <w:szCs w:val="24"/>
        </w:rPr>
        <w:t xml:space="preserve"> University Teaching Hospital, Plateau State, Nigeria</w:t>
      </w: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A4F54">
        <w:rPr>
          <w:rFonts w:ascii="Times New Roman" w:hAnsi="Times New Roman" w:cs="Times New Roman"/>
          <w:b/>
          <w:bCs/>
        </w:rPr>
        <w:t>Corresponding Author: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4A4F54">
        <w:rPr>
          <w:rFonts w:ascii="Times New Roman" w:hAnsi="Times New Roman" w:cs="Times New Roman"/>
          <w:b/>
          <w:bCs/>
          <w:i/>
          <w:iCs/>
        </w:rPr>
        <w:t>Ejike</w:t>
      </w:r>
      <w:proofErr w:type="spellEnd"/>
      <w:r w:rsidRPr="004A4F54">
        <w:rPr>
          <w:rFonts w:ascii="Times New Roman" w:hAnsi="Times New Roman" w:cs="Times New Roman"/>
          <w:b/>
          <w:bCs/>
          <w:i/>
          <w:iCs/>
        </w:rPr>
        <w:t xml:space="preserve"> C. Egbujo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4F54">
        <w:rPr>
          <w:rFonts w:ascii="Times New Roman" w:hAnsi="Times New Roman" w:cs="Times New Roman"/>
        </w:rPr>
        <w:t>Department of Medical Laboratory Science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4F54">
        <w:rPr>
          <w:rFonts w:ascii="Times New Roman" w:hAnsi="Times New Roman" w:cs="Times New Roman"/>
        </w:rPr>
        <w:t xml:space="preserve">University of </w:t>
      </w:r>
      <w:proofErr w:type="spellStart"/>
      <w:r w:rsidRPr="004A4F54">
        <w:rPr>
          <w:rFonts w:ascii="Times New Roman" w:hAnsi="Times New Roman" w:cs="Times New Roman"/>
        </w:rPr>
        <w:t>Jos</w:t>
      </w:r>
      <w:proofErr w:type="spellEnd"/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4F54">
        <w:rPr>
          <w:rFonts w:ascii="Times New Roman" w:hAnsi="Times New Roman" w:cs="Times New Roman"/>
        </w:rPr>
        <w:t>PMB 2084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4F54">
        <w:rPr>
          <w:rFonts w:ascii="Times New Roman" w:hAnsi="Times New Roman" w:cs="Times New Roman"/>
        </w:rPr>
        <w:t>Nigeria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54">
        <w:rPr>
          <w:rFonts w:ascii="Times New Roman" w:hAnsi="Times New Roman" w:cs="Times New Roman"/>
        </w:rPr>
        <w:t>+2348091555722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4F54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54">
        <w:rPr>
          <w:rFonts w:ascii="Times New Roman" w:hAnsi="Times New Roman" w:cs="Times New Roman"/>
          <w:sz w:val="24"/>
          <w:szCs w:val="24"/>
        </w:rPr>
        <w:t xml:space="preserve">Background: Placental malaria(PM) is a serious public health concern especially in endemic areas among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primigravidae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. This form of malaria does not just affect the woman but the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foetus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>. It has been identified as the leading cause of complications and high morbidity during delivery in the tropics. Methods: This is a cross-sectional study involving 181 randomly selected pregnant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54">
        <w:rPr>
          <w:rFonts w:ascii="Times New Roman" w:hAnsi="Times New Roman" w:cs="Times New Roman"/>
          <w:sz w:val="24"/>
          <w:szCs w:val="24"/>
        </w:rPr>
        <w:t xml:space="preserve">women at the point of delivery. Placental samples were collected from a healthy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pericentic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area, fixed in 10% neutral buffered formal saline, processed into paraffin wax and 5u thin sections stained by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Haematoxylin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&amp;Eosin (H&amp;E) and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Giemsa's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method and then viewed microscopically. A standard questionnaire was also administered at the point of delivery and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. Other information collected at point of delivery include vital status at birth, birth weight, sex, malformation(if any) and placental weight. Results: Placental malaria was recorded in 30(16.6%) of the subjects, while only 13.3% of those with PM had babies with low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birthweight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>. 97.8% of the women were on prophylactic drugs and about the same percentage attend Antenatal care(ANC). Conclusion: Our study shows that if pregnant women attend ANC and are placed on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4F54">
        <w:rPr>
          <w:rFonts w:ascii="Times New Roman" w:hAnsi="Times New Roman" w:cs="Times New Roman"/>
          <w:sz w:val="24"/>
          <w:szCs w:val="24"/>
        </w:rPr>
        <w:t xml:space="preserve">prophylactic drugs, placental malaria may not lead to low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birthweight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 xml:space="preserve"> and other complications associated with the infection.</w:t>
      </w: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4F54" w:rsidRPr="004A4F54" w:rsidRDefault="004A4F54" w:rsidP="004A4F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4F54">
        <w:rPr>
          <w:rFonts w:ascii="Times New Roman" w:hAnsi="Times New Roman" w:cs="Times New Roman"/>
          <w:b/>
          <w:sz w:val="24"/>
          <w:szCs w:val="24"/>
        </w:rPr>
        <w:t>Keywords:</w:t>
      </w:r>
      <w:r w:rsidRPr="004A4F54">
        <w:rPr>
          <w:rFonts w:ascii="Times New Roman" w:hAnsi="Times New Roman" w:cs="Times New Roman"/>
          <w:sz w:val="24"/>
          <w:szCs w:val="24"/>
        </w:rPr>
        <w:t xml:space="preserve"> Placental malaria, </w:t>
      </w:r>
      <w:proofErr w:type="spellStart"/>
      <w:r w:rsidRPr="004A4F54">
        <w:rPr>
          <w:rFonts w:ascii="Times New Roman" w:hAnsi="Times New Roman" w:cs="Times New Roman"/>
          <w:sz w:val="24"/>
          <w:szCs w:val="24"/>
        </w:rPr>
        <w:t>birthweight</w:t>
      </w:r>
      <w:proofErr w:type="spellEnd"/>
      <w:r w:rsidRPr="004A4F54">
        <w:rPr>
          <w:rFonts w:ascii="Times New Roman" w:hAnsi="Times New Roman" w:cs="Times New Roman"/>
          <w:sz w:val="24"/>
          <w:szCs w:val="24"/>
        </w:rPr>
        <w:t>, pregnant women</w:t>
      </w: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4F54" w:rsidRDefault="004A4F5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INTRODUCTION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Malaria is a vector-borne infectious disease caused by protozoan parasites. It is widespread in tropical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and subtropical regions, including parts of the Americas, Asia, and Africa. Each year, there are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approximately 515 million cases of malaria, killing between one and three million people, the majority of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whom are young children in Sub-Saharan Africa. 90% of malaria related deaths occur in Sub-Saharan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Africa. Malaria is commonly associated with poverty, but is also a cause of poverty and a major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hindrance to economic development</w:t>
      </w:r>
      <w:r w:rsidR="006A42D3">
        <w:rPr>
          <w:rFonts w:ascii="Times New Roman" w:hAnsi="Times New Roman" w:cs="Times New Roman"/>
          <w:sz w:val="24"/>
          <w:szCs w:val="24"/>
        </w:rPr>
        <w:t>[1]</w:t>
      </w:r>
      <w:r w:rsidRPr="003A6D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Breman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A6DC0">
        <w:rPr>
          <w:rFonts w:ascii="Times New Roman" w:hAnsi="Times New Roman" w:cs="Times New Roman"/>
          <w:sz w:val="24"/>
          <w:szCs w:val="24"/>
        </w:rPr>
        <w:t>, 2001).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It has been shown that greater percentage of women in the tropics present with malaria during or</w:t>
      </w:r>
    </w:p>
    <w:p w:rsid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immediately after delivery</w:t>
      </w:r>
      <w:r w:rsidR="006A42D3">
        <w:rPr>
          <w:rFonts w:ascii="Times New Roman" w:hAnsi="Times New Roman" w:cs="Times New Roman"/>
          <w:sz w:val="24"/>
          <w:szCs w:val="24"/>
        </w:rPr>
        <w:t>[2]</w:t>
      </w:r>
      <w:r w:rsidRPr="003A6DC0">
        <w:rPr>
          <w:rFonts w:ascii="Times New Roman" w:hAnsi="Times New Roman" w:cs="Times New Roman"/>
          <w:sz w:val="24"/>
          <w:szCs w:val="24"/>
        </w:rPr>
        <w:t xml:space="preserve"> (Ernest </w:t>
      </w:r>
      <w:r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r w:rsidRPr="003A6DC0">
        <w:rPr>
          <w:rFonts w:ascii="Times New Roman" w:hAnsi="Times New Roman" w:cs="Times New Roman"/>
          <w:sz w:val="24"/>
          <w:szCs w:val="24"/>
        </w:rPr>
        <w:t>al, 1994). The mortality rate among pregnant women in this region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is 5-10 times greater than it is among non pregnant women. Placental malaria (Maternal malaria) on the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other hand is malaria infection in pregnancy with the parasite spreading all over the system especially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 placenta. The placenta is found within the uterus during pregnancy and is a means by which embryo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is attached to the uterus. Placental malaria is a serious public health concern especially in endemic areas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among the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primigravidae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. This form of malaria does not just affect the woman but also the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foetus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>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Placental malaria has been identified as the leading cause of complication and high morbidity during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delivery in the tropics. It has been shown that in addition to death, maternal malaria is implicated in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premature delivery, intra uterine growth retardation(IUGR), prenatal mortality in the infants,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in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the mother and reduction in weight of the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foetus</w:t>
      </w:r>
      <w:proofErr w:type="spellEnd"/>
      <w:r w:rsidR="006A42D3">
        <w:rPr>
          <w:rFonts w:ascii="Times New Roman" w:hAnsi="Times New Roman" w:cs="Times New Roman"/>
          <w:sz w:val="24"/>
          <w:szCs w:val="24"/>
        </w:rPr>
        <w:t>[3]</w:t>
      </w:r>
      <w:r w:rsidRPr="003A6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Mendis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A6DC0">
        <w:rPr>
          <w:rFonts w:ascii="Times New Roman" w:hAnsi="Times New Roman" w:cs="Times New Roman"/>
          <w:sz w:val="24"/>
          <w:szCs w:val="24"/>
        </w:rPr>
        <w:t>, 2001). Placental malaria is a common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complication where malaria is endemic. Placental histology is considered the “gold standard” of malaria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diagnosis in pregnancy for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epidermiological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studies. However, due to limited technical expertise, it is</w:t>
      </w:r>
      <w:r w:rsidR="006A42D3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rarely available in endemic areas. Examination of thick film of blood sample obtain by placenta incision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is comparatively easier as compared to histology, sensitivity and specificity of this method to be 76%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and 99% respectively</w:t>
      </w:r>
      <w:r w:rsidR="006A42D3">
        <w:rPr>
          <w:rFonts w:ascii="Times New Roman" w:hAnsi="Times New Roman" w:cs="Times New Roman"/>
          <w:sz w:val="24"/>
          <w:szCs w:val="24"/>
        </w:rPr>
        <w:t>[4]</w:t>
      </w:r>
      <w:r w:rsidRPr="003A6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3A6DC0">
        <w:rPr>
          <w:rFonts w:ascii="Times New Roman" w:hAnsi="Times New Roman" w:cs="Times New Roman"/>
          <w:sz w:val="24"/>
          <w:szCs w:val="24"/>
        </w:rPr>
        <w:t>, 2005).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 lower birth weight and a higher risk of delivering low birth weight babies were associated with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parasitisation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of the placenta in the Gambian population. Four folds increases in the risk of delivering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low birth weight babies among the infected groups were observed. A similar occasion was observed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elsewhere in sub-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Africa endemic for malaria. There , the incidence of low birth weight range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from 6% to 8% and was important contributor to 3.1 million low birth(320g).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C0" w:rsidRDefault="003A6DC0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6DC0" w:rsidRDefault="003A6DC0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6DC0">
        <w:rPr>
          <w:rFonts w:ascii="Times New Roman" w:hAnsi="Times New Roman" w:cs="Times New Roman"/>
          <w:b/>
          <w:sz w:val="24"/>
          <w:szCs w:val="24"/>
        </w:rPr>
        <w:lastRenderedPageBreak/>
        <w:t>Materials and Method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Study Area: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 xml:space="preserve">The study area is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metropolis.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is the capital city of plateau state which has over 30 different ethnic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groups. The 2006 Nigerian Provisional census put the population of the state at 3,128,712 with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1,585,679 females</w:t>
      </w:r>
      <w:r w:rsidR="006A42D3">
        <w:rPr>
          <w:rFonts w:ascii="Times New Roman" w:hAnsi="Times New Roman" w:cs="Times New Roman"/>
          <w:sz w:val="24"/>
          <w:szCs w:val="24"/>
        </w:rPr>
        <w:t>[5]</w:t>
      </w:r>
      <w:r w:rsidRPr="003A6D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and Reilly., 2002).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Plateau State lies on latitude 7o and 11o North and Longitude 70o and 250o East. The city capital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stretches for approximately 104km from North to South and 80Km from east to west, covering an area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of about 8,600Km with a height of 1,200sqm above sea level.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>Ethics statement: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 xml:space="preserve">The hospitals used include Plateau State specialist Hospital,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Matanmi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Hospital and Maternity and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Jama’a</w:t>
      </w:r>
      <w:proofErr w:type="spellEnd"/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Nursing Home, all located in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North Local Government of Plateau State. Ethical clearance could only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be obtained from the Plateau State Specialist Hospital which had a properly constituted ethical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committee (IRB). The Medical Directors of the other two private hospitals gave approval for the research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on the condition that we must obtain an informed consent from each subject. The written informed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consents were obtained after the entire study was explained to the subjects and each participant was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thereafter allowed to decide if they wanted to participate in the research or not. The consent of each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subject was recorded and the consent forms duly filed for record purposes. This procedure was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approved by the ethical committee of the Plateau State Specialist Hospital and the Medical Directors of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 clinics used as part of the ethical clearance process.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>Study Population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This is a cross sectional study involving one hundred and eighty one(181) pregnant women at point of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delivery that were randomly selected. The major inclusion criterion for selection of the subjects was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term pregnant women undergoing normal delivery while the exclusion criteria were pregnant women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undergoing Caesarian section; pregnant women with complications in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pregnancy and pregnant women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who are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immunocompromised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>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 standard questionnaire was used to obtain data from the participants such as socio-demographic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factors(age, residence, educational level, marital status) history of past pregnancy(gravidity, parity),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malaria preventive measures(chemoprophylaxis, use of bed nets, etc) and data regarding the new born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at delivery(vital status at birth, birth weight, sex, presence of twins, malformation and placental weight).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lastRenderedPageBreak/>
        <w:t>Maternal peripheral blood was collected within an hour of delivery, to assess anemia(if present), and 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full thickness of placental biopsy was collected from a healthy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pericentric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area and placed in 10% neutral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buffered formal saline. A Sample of the placenta was randomly taken from the fixed placental tissue and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processed into paraffin wax. The processed tissue was sectioned at 5μm and subsequently stained with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Haematoxylin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and Eosin</w:t>
      </w:r>
      <w:r w:rsidR="006A42D3">
        <w:rPr>
          <w:rFonts w:ascii="Times New Roman" w:hAnsi="Times New Roman" w:cs="Times New Roman"/>
          <w:sz w:val="24"/>
          <w:szCs w:val="24"/>
        </w:rPr>
        <w:t>[6]</w:t>
      </w:r>
      <w:r w:rsidRPr="003A6DC0">
        <w:rPr>
          <w:rFonts w:ascii="Times New Roman" w:hAnsi="Times New Roman" w:cs="Times New Roman"/>
          <w:sz w:val="24"/>
          <w:szCs w:val="24"/>
        </w:rPr>
        <w:t xml:space="preserve"> (Baker and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Siverton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., 1998) and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Giemsa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stain</w:t>
      </w:r>
      <w:r w:rsidR="006A42D3">
        <w:rPr>
          <w:rFonts w:ascii="Times New Roman" w:hAnsi="Times New Roman" w:cs="Times New Roman"/>
          <w:sz w:val="24"/>
          <w:szCs w:val="24"/>
        </w:rPr>
        <w:t>[7]</w:t>
      </w:r>
      <w:r w:rsidRPr="003A6DC0">
        <w:rPr>
          <w:rFonts w:ascii="Times New Roman" w:hAnsi="Times New Roman" w:cs="Times New Roman"/>
          <w:sz w:val="24"/>
          <w:szCs w:val="24"/>
        </w:rPr>
        <w:t>(Drury et al., 1967) then viewed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under the microscope for the presence of malaria pigment or parasite in intact red blood cells . Babies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2.4kg or below (≤2.4) were considered Low birth weights while 2.5kg and above (≥ 2.5) were considered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normal birth weight. The result is presented as tables and analyzed using statistic Package for Social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Science (S.P.S.S) and photo micrographs taken.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>RESULT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From the total of 181 samples of placental tissue collected from women at the point of delivery</w:t>
      </w:r>
    </w:p>
    <w:p w:rsid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30(16.6%) were positive of placental malaria while 151(83.4%) were negative. Out of the 30 that were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positive for Placental Malaria, 26(14.4%) had normal birth weight while 4(2.2%) had low birth weight.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177(97.8%) of the women took prophylaxis during pregnancy while 4(2.2%) did not. 176(97.2%) went for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antenatal care while 5(2.8%) did not. 124(68.5%) had normal PCV while 57(31.5%) had low PCV.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A9D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 xml:space="preserve">Table 1: </w:t>
      </w:r>
      <w:r w:rsidRPr="003A6DC0">
        <w:rPr>
          <w:rFonts w:ascii="Times New Roman" w:hAnsi="Times New Roman" w:cs="Times New Roman"/>
          <w:sz w:val="24"/>
          <w:szCs w:val="24"/>
        </w:rPr>
        <w:t>Shows the relationship between Placental Malaria and birth weight of Babies</w:t>
      </w:r>
    </w:p>
    <w:tbl>
      <w:tblPr>
        <w:tblStyle w:val="TableGrid"/>
        <w:tblW w:w="0" w:type="auto"/>
        <w:tblLook w:val="04A0"/>
      </w:tblPr>
      <w:tblGrid>
        <w:gridCol w:w="2146"/>
        <w:gridCol w:w="2678"/>
        <w:gridCol w:w="2723"/>
        <w:gridCol w:w="2029"/>
      </w:tblGrid>
      <w:tr w:rsidR="00D41DD4" w:rsidTr="00D41DD4">
        <w:tc>
          <w:tcPr>
            <w:tcW w:w="2146" w:type="dxa"/>
            <w:tcBorders>
              <w:left w:val="nil"/>
              <w:right w:val="single" w:sz="4" w:space="0" w:color="auto"/>
            </w:tcBorders>
          </w:tcPr>
          <w:p w:rsidR="00D41DD4" w:rsidRDefault="00D41DD4" w:rsidP="009769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Birth weight(Kg)</w:t>
            </w:r>
          </w:p>
          <w:p w:rsidR="00D41DD4" w:rsidRDefault="00D41DD4" w:rsidP="003A6D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D41DD4" w:rsidRDefault="00D41DD4" w:rsidP="009769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Non infected placenta</w:t>
            </w:r>
          </w:p>
          <w:p w:rsidR="00D41DD4" w:rsidRDefault="00D41DD4" w:rsidP="003A6D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No.(%)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</w:tcPr>
          <w:p w:rsidR="00D41DD4" w:rsidRDefault="00D41DD4" w:rsidP="00D41DD4">
            <w:pPr>
              <w:autoSpaceDE w:val="0"/>
              <w:autoSpaceDN w:val="0"/>
              <w:adjustRightInd w:val="0"/>
              <w:spacing w:line="360" w:lineRule="auto"/>
              <w:ind w:left="627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Infected placenta</w:t>
            </w:r>
          </w:p>
          <w:p w:rsidR="00D41DD4" w:rsidRDefault="00D41DD4" w:rsidP="00D41DD4">
            <w:pPr>
              <w:autoSpaceDE w:val="0"/>
              <w:autoSpaceDN w:val="0"/>
              <w:adjustRightInd w:val="0"/>
              <w:spacing w:line="360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No.(%)</w:t>
            </w:r>
          </w:p>
        </w:tc>
        <w:tc>
          <w:tcPr>
            <w:tcW w:w="2029" w:type="dxa"/>
            <w:tcBorders>
              <w:left w:val="single" w:sz="4" w:space="0" w:color="auto"/>
              <w:right w:val="nil"/>
            </w:tcBorders>
          </w:tcPr>
          <w:p w:rsidR="00D41DD4" w:rsidRPr="003A6DC0" w:rsidRDefault="00D41DD4" w:rsidP="00D41DD4">
            <w:pPr>
              <w:autoSpaceDE w:val="0"/>
              <w:autoSpaceDN w:val="0"/>
              <w:adjustRightInd w:val="0"/>
              <w:spacing w:line="360" w:lineRule="auto"/>
              <w:ind w:lef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D41DD4" w:rsidRDefault="00D41DD4" w:rsidP="00D41DD4">
            <w:pPr>
              <w:autoSpaceDE w:val="0"/>
              <w:autoSpaceDN w:val="0"/>
              <w:adjustRightInd w:val="0"/>
              <w:spacing w:line="360" w:lineRule="auto"/>
              <w:ind w:left="1099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No.(%)</w:t>
            </w:r>
          </w:p>
        </w:tc>
      </w:tr>
      <w:tr w:rsidR="0097693A" w:rsidTr="00D41DD4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D41DD4" w:rsidRDefault="00D41DD4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D4" w:rsidRDefault="00D41DD4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Low Birth 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11(6.1)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4(2.2)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15(8.3)</w:t>
            </w:r>
          </w:p>
          <w:p w:rsidR="00D41DD4" w:rsidRPr="003A6DC0" w:rsidRDefault="00D41DD4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93A" w:rsidRDefault="00D41DD4" w:rsidP="003A6D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Normal Birth 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140(77.3)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26(14.4)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166(91.7)</w:t>
            </w:r>
          </w:p>
        </w:tc>
      </w:tr>
      <w:tr w:rsidR="0097693A" w:rsidTr="00D41DD4"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97693A" w:rsidRDefault="00D41DD4" w:rsidP="003A6D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151(83.4)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30(16.6)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181(100)</w:t>
            </w:r>
          </w:p>
        </w:tc>
      </w:tr>
    </w:tbl>
    <w:p w:rsidR="0097693A" w:rsidRPr="003A6DC0" w:rsidRDefault="0097693A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DD4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4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4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4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DD4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4A9D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2: </w:t>
      </w:r>
      <w:r w:rsidRPr="003A6DC0">
        <w:rPr>
          <w:rFonts w:ascii="Times New Roman" w:hAnsi="Times New Roman" w:cs="Times New Roman"/>
          <w:sz w:val="24"/>
          <w:szCs w:val="24"/>
        </w:rPr>
        <w:t>Shows relationship between Placental Malaria, Birth weight and use of Prophylaxis</w:t>
      </w:r>
    </w:p>
    <w:tbl>
      <w:tblPr>
        <w:tblStyle w:val="TableGrid"/>
        <w:tblW w:w="0" w:type="auto"/>
        <w:tblLook w:val="04A0"/>
      </w:tblPr>
      <w:tblGrid>
        <w:gridCol w:w="1377"/>
        <w:gridCol w:w="1284"/>
        <w:gridCol w:w="5259"/>
        <w:gridCol w:w="1656"/>
      </w:tblGrid>
      <w:tr w:rsidR="000351E3" w:rsidTr="000351E3">
        <w:trPr>
          <w:trHeight w:val="365"/>
        </w:trPr>
        <w:tc>
          <w:tcPr>
            <w:tcW w:w="1377" w:type="dxa"/>
            <w:vMerge w:val="restart"/>
            <w:tcBorders>
              <w:left w:val="nil"/>
              <w:right w:val="single" w:sz="4" w:space="0" w:color="auto"/>
            </w:tcBorders>
          </w:tcPr>
          <w:p w:rsidR="000351E3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Prophylaxis</w:t>
            </w:r>
          </w:p>
          <w:p w:rsidR="000351E3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</w:tcPr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Placental</w:t>
            </w:r>
          </w:p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  <w:p w:rsidR="000351E3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bottom w:val="single" w:sz="4" w:space="0" w:color="auto"/>
              <w:right w:val="single" w:sz="4" w:space="0" w:color="auto"/>
            </w:tcBorders>
          </w:tcPr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1394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Birth weight(Kg)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nil"/>
            </w:tcBorders>
          </w:tcPr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0351E3" w:rsidRDefault="00035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No(%)</w:t>
            </w:r>
          </w:p>
        </w:tc>
      </w:tr>
      <w:tr w:rsidR="000351E3" w:rsidTr="000351E3">
        <w:trPr>
          <w:trHeight w:val="407"/>
        </w:trPr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</w:tcPr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Low Birth 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Normal Birth weight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nil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3" w:rsidTr="000351E3">
        <w:trPr>
          <w:trHeight w:val="438"/>
        </w:trPr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No.(%)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No.(%)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51E3" w:rsidRPr="003A6DC0" w:rsidRDefault="000351E3" w:rsidP="000351E3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3" w:rsidTr="000351E3">
        <w:trPr>
          <w:trHeight w:val="2692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4(2.2)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25(13.8)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29(16)</w:t>
            </w:r>
          </w:p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11(6.1)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137(75.6)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148(81.7)</w:t>
            </w:r>
          </w:p>
          <w:p w:rsidR="000351E3" w:rsidRPr="003A6DC0" w:rsidRDefault="000351E3" w:rsidP="00D41D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0(0)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1(0.6)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1(0.6)</w:t>
            </w:r>
          </w:p>
          <w:p w:rsidR="000351E3" w:rsidRPr="003A6DC0" w:rsidRDefault="000351E3" w:rsidP="003A6DC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0(0)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3(1.7)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3(1.7)</w:t>
            </w:r>
          </w:p>
        </w:tc>
      </w:tr>
    </w:tbl>
    <w:p w:rsidR="00D41DD4" w:rsidRPr="003A6DC0" w:rsidRDefault="00D41DD4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A9D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 xml:space="preserve">Table 3: </w:t>
      </w:r>
      <w:r w:rsidRPr="003A6DC0">
        <w:rPr>
          <w:rFonts w:ascii="Times New Roman" w:hAnsi="Times New Roman" w:cs="Times New Roman"/>
          <w:sz w:val="24"/>
          <w:szCs w:val="24"/>
        </w:rPr>
        <w:t>Shows relationship between Placental Malaria, Birth weight and Antenatal care</w:t>
      </w:r>
    </w:p>
    <w:tbl>
      <w:tblPr>
        <w:tblStyle w:val="TableGrid"/>
        <w:tblW w:w="0" w:type="auto"/>
        <w:tblLook w:val="04A0"/>
      </w:tblPr>
      <w:tblGrid>
        <w:gridCol w:w="1377"/>
        <w:gridCol w:w="1284"/>
        <w:gridCol w:w="5259"/>
        <w:gridCol w:w="1656"/>
      </w:tblGrid>
      <w:tr w:rsidR="000351E3" w:rsidTr="0086338D">
        <w:trPr>
          <w:trHeight w:val="365"/>
        </w:trPr>
        <w:tc>
          <w:tcPr>
            <w:tcW w:w="1377" w:type="dxa"/>
            <w:vMerge w:val="restart"/>
            <w:tcBorders>
              <w:left w:val="nil"/>
              <w:right w:val="single" w:sz="4" w:space="0" w:color="auto"/>
            </w:tcBorders>
          </w:tcPr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Antenatal Care </w:t>
            </w: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</w:tcPr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Placental</w:t>
            </w: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Malaria</w:t>
            </w: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bottom w:val="single" w:sz="4" w:space="0" w:color="auto"/>
              <w:right w:val="single" w:sz="4" w:space="0" w:color="auto"/>
            </w:tcBorders>
          </w:tcPr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1394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Birth weight(Kg)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nil"/>
            </w:tcBorders>
          </w:tcPr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:rsidR="000351E3" w:rsidRDefault="000351E3" w:rsidP="0086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628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No(%)</w:t>
            </w:r>
          </w:p>
        </w:tc>
      </w:tr>
      <w:tr w:rsidR="000351E3" w:rsidTr="0086338D">
        <w:trPr>
          <w:trHeight w:val="407"/>
        </w:trPr>
        <w:tc>
          <w:tcPr>
            <w:tcW w:w="1377" w:type="dxa"/>
            <w:vMerge/>
            <w:tcBorders>
              <w:left w:val="nil"/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Low Birth weight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Normal Birth weight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right w:val="nil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3" w:rsidTr="0086338D">
        <w:trPr>
          <w:trHeight w:val="438"/>
        </w:trPr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862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No.(%)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No.(%)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51E3" w:rsidRPr="003A6DC0" w:rsidRDefault="000351E3" w:rsidP="0086338D">
            <w:pPr>
              <w:autoSpaceDE w:val="0"/>
              <w:autoSpaceDN w:val="0"/>
              <w:adjustRightInd w:val="0"/>
              <w:spacing w:line="360" w:lineRule="auto"/>
              <w:ind w:left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3" w:rsidTr="0086338D">
        <w:trPr>
          <w:trHeight w:val="2692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4(2.2)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26(14.4)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30(16.6)</w:t>
            </w:r>
          </w:p>
          <w:p w:rsidR="004A4F54" w:rsidRPr="003A6DC0" w:rsidRDefault="004A4F54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10(5.5)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137(75.6)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146(80.6)</w:t>
            </w:r>
          </w:p>
          <w:p w:rsidR="004A4F54" w:rsidRPr="003A6DC0" w:rsidRDefault="004A4F54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Default="000351E3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0(0)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 xml:space="preserve"> 0(0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0(0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4F54" w:rsidRPr="003A6DC0" w:rsidRDefault="004A4F54" w:rsidP="008633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3" w:rsidRPr="003A6DC0" w:rsidRDefault="000351E3" w:rsidP="004A4F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F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6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351E3" w:rsidRPr="003A6DC0" w:rsidRDefault="000351E3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The placenta malaria prevalence of 16.6% obtained in this study is much lower than 64.4% re</w:t>
      </w:r>
      <w:r w:rsidR="006A42D3">
        <w:rPr>
          <w:rFonts w:ascii="Times New Roman" w:hAnsi="Times New Roman" w:cs="Times New Roman"/>
          <w:sz w:val="24"/>
          <w:szCs w:val="24"/>
        </w:rPr>
        <w:t>ported</w:t>
      </w:r>
      <w:r w:rsidRPr="003A6DC0">
        <w:rPr>
          <w:rFonts w:ascii="Times New Roman" w:hAnsi="Times New Roman" w:cs="Times New Roman"/>
          <w:sz w:val="24"/>
          <w:szCs w:val="24"/>
        </w:rPr>
        <w:t xml:space="preserve"> in South Eastern Nigeria</w:t>
      </w:r>
      <w:r w:rsidR="006A42D3">
        <w:rPr>
          <w:rFonts w:ascii="Times New Roman" w:hAnsi="Times New Roman" w:cs="Times New Roman"/>
          <w:sz w:val="24"/>
          <w:szCs w:val="24"/>
        </w:rPr>
        <w:t>[8]</w:t>
      </w:r>
      <w:r w:rsidRPr="003A6DC0">
        <w:rPr>
          <w:rFonts w:ascii="Times New Roman" w:hAnsi="Times New Roman" w:cs="Times New Roman"/>
          <w:sz w:val="24"/>
          <w:szCs w:val="24"/>
        </w:rPr>
        <w:t>, and higher than 3.6% reported in Yemen</w:t>
      </w:r>
      <w:r w:rsidR="006A42D3">
        <w:rPr>
          <w:rFonts w:ascii="Times New Roman" w:hAnsi="Times New Roman" w:cs="Times New Roman"/>
          <w:sz w:val="24"/>
          <w:szCs w:val="24"/>
        </w:rPr>
        <w:t>[9]</w:t>
      </w:r>
      <w:r w:rsidRPr="003A6DC0">
        <w:rPr>
          <w:rFonts w:ascii="Times New Roman" w:hAnsi="Times New Roman" w:cs="Times New Roman"/>
          <w:sz w:val="24"/>
          <w:szCs w:val="24"/>
        </w:rPr>
        <w:t>. The reasons for the varied prevalence are hard to proffer but maybe majorly associated with the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amount of rainfall/vegetation. The amount of rain/vegetation on the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Plateau is lower than that in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the South Eastern Nigeria and higher than what obtains in Yemen. A longitudinal decline in the </w:t>
      </w:r>
      <w:r w:rsidRPr="003A6DC0">
        <w:rPr>
          <w:rFonts w:ascii="Times New Roman" w:hAnsi="Times New Roman" w:cs="Times New Roman"/>
          <w:sz w:val="24"/>
          <w:szCs w:val="24"/>
        </w:rPr>
        <w:lastRenderedPageBreak/>
        <w:t>density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of malaria mosquito vectors has been associated with changes in the pattern of monthly rainfall</w:t>
      </w:r>
      <w:r w:rsidR="006A42D3">
        <w:rPr>
          <w:rFonts w:ascii="Times New Roman" w:hAnsi="Times New Roman" w:cs="Times New Roman"/>
          <w:sz w:val="24"/>
          <w:szCs w:val="24"/>
        </w:rPr>
        <w:t>[10]</w:t>
      </w:r>
      <w:r w:rsidRPr="003A6DC0">
        <w:rPr>
          <w:rFonts w:ascii="Times New Roman" w:hAnsi="Times New Roman" w:cs="Times New Roman"/>
          <w:sz w:val="24"/>
          <w:szCs w:val="24"/>
        </w:rPr>
        <w:t>. The relatively much lower levels reported in Yemen was attributed to the use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of peripheral blood films for the study instead of placental histology, which is the Gold standard for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estimating malaria in pregnancy. The reasons for the very high prevalence reported in South Eastern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Nigeria include poor quality antenatal care received by pregnant women and possibly drug resistance.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In this study area, progress has been made in showing that the average pregnant woman can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access good antenatal care with affordable prophylactic drugs provided and distribution of treated bed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nets. However, the larger population of women in rural areas have not been reached with these services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and some of them still depend on poorly trained traditional birth attendants.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 association of placental malaria and birth weight of babies as shown in Table 1 reveals that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low birth weight was reported in only 8.3% of the babies born to mothers with placental malaria.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Birthweights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below 2.5kg was considered low in this study. Out of the 30 babies with placental malaria,</w:t>
      </w:r>
      <w:r w:rsidR="006A42D3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26(86.7%) had normal birth weight. This does not support the assertion by several authors that</w:t>
      </w:r>
      <w:r w:rsidR="006A42D3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placental malaria is associated with low birth weight</w:t>
      </w:r>
      <w:r w:rsidR="006A42D3">
        <w:rPr>
          <w:rFonts w:ascii="Times New Roman" w:hAnsi="Times New Roman" w:cs="Times New Roman"/>
          <w:sz w:val="24"/>
          <w:szCs w:val="24"/>
        </w:rPr>
        <w:t>[11]</w:t>
      </w:r>
      <w:r w:rsidRPr="003A6DC0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8E412F">
        <w:rPr>
          <w:rFonts w:ascii="Times New Roman" w:hAnsi="Times New Roman" w:cs="Times New Roman"/>
          <w:sz w:val="24"/>
          <w:szCs w:val="24"/>
        </w:rPr>
        <w:t>some authors have</w:t>
      </w:r>
      <w:r w:rsidRPr="003A6DC0">
        <w:rPr>
          <w:rFonts w:ascii="Times New Roman" w:hAnsi="Times New Roman" w:cs="Times New Roman"/>
          <w:sz w:val="24"/>
          <w:szCs w:val="24"/>
        </w:rPr>
        <w:t xml:space="preserve"> reported that there is an association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between low birth weight and placental malaria</w:t>
      </w:r>
      <w:r w:rsidR="008E412F">
        <w:rPr>
          <w:rFonts w:ascii="Times New Roman" w:hAnsi="Times New Roman" w:cs="Times New Roman"/>
          <w:sz w:val="24"/>
          <w:szCs w:val="24"/>
        </w:rPr>
        <w:t>[7,8]</w:t>
      </w:r>
      <w:r w:rsidRPr="003A6DC0">
        <w:rPr>
          <w:rFonts w:ascii="Times New Roman" w:hAnsi="Times New Roman" w:cs="Times New Roman"/>
          <w:sz w:val="24"/>
          <w:szCs w:val="24"/>
        </w:rPr>
        <w:t>. No conclusive evidence of this has been provided.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Generally, placental malaria has been associated a variety of prenatal outcomes which include preterm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delivery, intrauterine growth retardation, low birth weight, fetal anemia, congenital anemia, reduced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fetal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anthropomeric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parameters and several others.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 role of prophylaxis and antenatal care in improving pregnancy outcome is clearly shown in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Tables 2 and 4. The number of babies with normal birth weights compared to those with low birth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weights shows that prophylaxis minimizes malaria infection and promotes child and maternal health. It</w:t>
      </w:r>
      <w:r w:rsidR="008E412F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is however noteworthy that 13.8% of women had prophylaxis and still showed placental malaria. This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may be due to resistance or fake drugs which are still major challenges in malaria control in Nigeria</w:t>
      </w:r>
      <w:r w:rsidR="008E412F">
        <w:rPr>
          <w:rFonts w:ascii="Times New Roman" w:hAnsi="Times New Roman" w:cs="Times New Roman"/>
          <w:sz w:val="24"/>
          <w:szCs w:val="24"/>
        </w:rPr>
        <w:t>[7]</w:t>
      </w:r>
      <w:r w:rsidRPr="003A6DC0">
        <w:rPr>
          <w:rFonts w:ascii="Times New Roman" w:hAnsi="Times New Roman" w:cs="Times New Roman"/>
          <w:sz w:val="24"/>
          <w:szCs w:val="24"/>
        </w:rPr>
        <w:t>.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The contribution of maternal packed cell volume (PCV) to low birth weight was also observed. It</w:t>
      </w:r>
    </w:p>
    <w:p w:rsidR="008C4A9D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DC0">
        <w:rPr>
          <w:rFonts w:ascii="Times New Roman" w:hAnsi="Times New Roman" w:cs="Times New Roman"/>
          <w:sz w:val="24"/>
          <w:szCs w:val="24"/>
        </w:rPr>
        <w:t>was observed that when maternal PCV is normal, most of the babies are born with normal birth weight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compared to when maternal PCV is low. This underscores the need for prophylaxis to prevent anemia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due to malaria infection and the use of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haematinics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for all pregnant women. The causes of anemia have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been identified as nutritional (iron,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folate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 xml:space="preserve"> and protein deficiency) and non-nutritional factors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(hookworm or HIV infection and </w:t>
      </w:r>
      <w:proofErr w:type="spellStart"/>
      <w:r w:rsidRPr="003A6DC0">
        <w:rPr>
          <w:rFonts w:ascii="Times New Roman" w:hAnsi="Times New Roman" w:cs="Times New Roman"/>
          <w:sz w:val="24"/>
          <w:szCs w:val="24"/>
        </w:rPr>
        <w:t>hemoglobinopathies</w:t>
      </w:r>
      <w:proofErr w:type="spellEnd"/>
      <w:r w:rsidRPr="003A6DC0">
        <w:rPr>
          <w:rFonts w:ascii="Times New Roman" w:hAnsi="Times New Roman" w:cs="Times New Roman"/>
          <w:sz w:val="24"/>
          <w:szCs w:val="24"/>
        </w:rPr>
        <w:t>)</w:t>
      </w:r>
      <w:r w:rsidR="008E412F">
        <w:rPr>
          <w:rFonts w:ascii="Times New Roman" w:hAnsi="Times New Roman" w:cs="Times New Roman"/>
          <w:sz w:val="24"/>
          <w:szCs w:val="24"/>
        </w:rPr>
        <w:t>[12,13]</w:t>
      </w:r>
      <w:r w:rsidRPr="003A6DC0">
        <w:rPr>
          <w:rFonts w:ascii="Times New Roman" w:hAnsi="Times New Roman" w:cs="Times New Roman"/>
          <w:sz w:val="24"/>
          <w:szCs w:val="24"/>
        </w:rPr>
        <w:t>. Since many of these causes of anemia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 xml:space="preserve">occur concurrently in pregnancy, it is difficult to evaluate the </w:t>
      </w:r>
      <w:r w:rsidRPr="003A6DC0">
        <w:rPr>
          <w:rFonts w:ascii="Times New Roman" w:hAnsi="Times New Roman" w:cs="Times New Roman"/>
          <w:sz w:val="24"/>
          <w:szCs w:val="24"/>
        </w:rPr>
        <w:lastRenderedPageBreak/>
        <w:t>contribution made to anemia in pregnancy</w:t>
      </w:r>
      <w:r w:rsidR="003A6DC0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by placental malaria</w:t>
      </w:r>
      <w:r w:rsidR="008E412F">
        <w:rPr>
          <w:rFonts w:ascii="Times New Roman" w:hAnsi="Times New Roman" w:cs="Times New Roman"/>
          <w:sz w:val="24"/>
          <w:szCs w:val="24"/>
        </w:rPr>
        <w:t>[12,1314and 15].</w:t>
      </w:r>
      <w:r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="008E412F" w:rsidRPr="003A6DC0">
        <w:rPr>
          <w:rFonts w:ascii="Times New Roman" w:hAnsi="Times New Roman" w:cs="Times New Roman"/>
          <w:sz w:val="24"/>
          <w:szCs w:val="24"/>
        </w:rPr>
        <w:t xml:space="preserve">maternal anemia </w:t>
      </w:r>
      <w:r w:rsidR="008E412F">
        <w:rPr>
          <w:rFonts w:ascii="Times New Roman" w:hAnsi="Times New Roman" w:cs="Times New Roman"/>
          <w:sz w:val="24"/>
          <w:szCs w:val="24"/>
        </w:rPr>
        <w:t>is</w:t>
      </w:r>
      <w:r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reported that to contribute to population at risk (PAR) ranging from 7% to 18% and less than 48% for intra Uterine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Pr="003A6DC0">
        <w:rPr>
          <w:rFonts w:ascii="Times New Roman" w:hAnsi="Times New Roman" w:cs="Times New Roman"/>
          <w:sz w:val="24"/>
          <w:szCs w:val="24"/>
        </w:rPr>
        <w:t>Growth Retardation-low birth weight</w:t>
      </w:r>
      <w:r w:rsidR="008E412F">
        <w:rPr>
          <w:rFonts w:ascii="Times New Roman" w:hAnsi="Times New Roman" w:cs="Times New Roman"/>
          <w:sz w:val="24"/>
          <w:szCs w:val="24"/>
        </w:rPr>
        <w:t>[16]</w:t>
      </w:r>
      <w:r w:rsidRPr="003A6DC0">
        <w:rPr>
          <w:rFonts w:ascii="Times New Roman" w:hAnsi="Times New Roman" w:cs="Times New Roman"/>
          <w:sz w:val="24"/>
          <w:szCs w:val="24"/>
        </w:rPr>
        <w:t>.</w:t>
      </w:r>
    </w:p>
    <w:p w:rsidR="00445A6E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A9D" w:rsidRPr="003A6DC0" w:rsidRDefault="008C4A9D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6DC0">
        <w:rPr>
          <w:rFonts w:ascii="Times New Roman" w:hAnsi="Times New Roman" w:cs="Times New Roman"/>
          <w:b/>
          <w:bCs/>
          <w:sz w:val="24"/>
          <w:szCs w:val="24"/>
        </w:rPr>
        <w:t>REFERENCE</w:t>
      </w:r>
    </w:p>
    <w:p w:rsidR="008C4A9D" w:rsidRPr="003A6DC0" w:rsidRDefault="008E412F" w:rsidP="008E412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Breman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.J.(2000).The ear of hippopotamus; manifestation determinant and estimation of malaria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burden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Trop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Hyg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64;(1-2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>):1-11</w:t>
      </w:r>
    </w:p>
    <w:p w:rsidR="008C4A9D" w:rsidRPr="008E412F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Ernest,N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. and Edwards, C. (1994) Maternal Stress and Pregnancy Outcomes in a Prenatal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Clinic</w:t>
      </w:r>
      <w:r w:rsidR="008C4A9D" w:rsidRPr="008E412F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8C4A9D" w:rsidRPr="008E412F">
        <w:rPr>
          <w:rFonts w:ascii="Times New Roman" w:hAnsi="Times New Roman" w:cs="Times New Roman"/>
          <w:sz w:val="24"/>
          <w:szCs w:val="24"/>
        </w:rPr>
        <w:t xml:space="preserve">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  <w:lang w:val="fr-FR"/>
        </w:rPr>
        <w:t>J of Nutrition</w:t>
      </w:r>
      <w:r w:rsidR="008C4A9D" w:rsidRPr="003A6DC0">
        <w:rPr>
          <w:rFonts w:ascii="Times New Roman" w:hAnsi="Times New Roman" w:cs="Times New Roman"/>
          <w:sz w:val="24"/>
          <w:szCs w:val="24"/>
          <w:lang w:val="fr-FR"/>
        </w:rPr>
        <w:t>,124; 1006-1021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[3]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  <w:lang w:val="fr-FR"/>
        </w:rPr>
        <w:t>Mendis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  <w:lang w:val="fr-FR"/>
        </w:rPr>
        <w:t xml:space="preserve"> K., Sina B., Marchnesini P, Carter R.(2001).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The neglected burden of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plasmodium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vivax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malaria.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Am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Trop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Hy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,. </w:t>
      </w:r>
      <w:r w:rsidR="008C4A9D" w:rsidRPr="003A6DC0">
        <w:rPr>
          <w:rFonts w:ascii="Times New Roman" w:hAnsi="Times New Roman" w:cs="Times New Roman"/>
          <w:sz w:val="24"/>
          <w:szCs w:val="24"/>
        </w:rPr>
        <w:t>64(1-2Suppl) 76-93.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E.A., Zhou, A.,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Lohoue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Leke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, R. and Taylor, D.W(2005). Risk of placental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malaria and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its effect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onpregnancy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outcome in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Yaounde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, Cameroon.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Am J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Trop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Med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Hy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>, 7, 236-243.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[5]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J and Reilly J.J (2002). Breastfeeding and lowering the risk of Childhood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Obesity.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Lancet</w:t>
      </w:r>
      <w:r w:rsidR="008C4A9D" w:rsidRPr="003A6DC0">
        <w:rPr>
          <w:rFonts w:ascii="Times New Roman" w:hAnsi="Times New Roman" w:cs="Times New Roman"/>
          <w:sz w:val="24"/>
          <w:szCs w:val="24"/>
        </w:rPr>
        <w:t>;359:2003-2004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Baker FJ, Silverstone RE and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Pallister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CJ (1998). Introduction to Medical Laboratory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Technology. 5thedition.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Bounty Press Limited</w:t>
      </w:r>
      <w:r w:rsidR="008C4A9D" w:rsidRPr="003A6DC0">
        <w:rPr>
          <w:rFonts w:ascii="Times New Roman" w:hAnsi="Times New Roman" w:cs="Times New Roman"/>
          <w:sz w:val="24"/>
          <w:szCs w:val="24"/>
        </w:rPr>
        <w:t>; 230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Drury RAB, Wallington EA, Cameron R (1967). Carlton’s Histological Technique. 4th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edition. New York: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Oxford University Press</w:t>
      </w:r>
      <w:r w:rsidR="008C4A9D" w:rsidRPr="003A6DC0">
        <w:rPr>
          <w:rFonts w:ascii="Times New Roman" w:hAnsi="Times New Roman" w:cs="Times New Roman"/>
          <w:sz w:val="24"/>
          <w:szCs w:val="24"/>
        </w:rPr>
        <w:t>; 360-362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Dennis NA,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Obioma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CN, Christine IE,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Ikechukwu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O, Reed P, Harrison OE. (2009).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of low birth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weight and placental malarial infection in Nigeria.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J Infect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Dev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Ctries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>; 3(8):620-623.</w:t>
      </w:r>
    </w:p>
    <w:p w:rsidR="008C4A9D" w:rsidRPr="003A6DC0" w:rsidRDefault="008E412F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412F">
        <w:rPr>
          <w:rFonts w:ascii="Times New Roman" w:hAnsi="Times New Roman" w:cs="Times New Roman"/>
          <w:sz w:val="24"/>
          <w:szCs w:val="24"/>
          <w:lang w:val="fr-FR"/>
        </w:rPr>
        <w:t>[9]</w:t>
      </w:r>
      <w:r w:rsidRPr="008E412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C4A9D" w:rsidRPr="008E412F">
        <w:rPr>
          <w:rFonts w:ascii="Times New Roman" w:hAnsi="Times New Roman" w:cs="Times New Roman"/>
          <w:sz w:val="24"/>
          <w:szCs w:val="24"/>
          <w:lang w:val="fr-FR"/>
        </w:rPr>
        <w:t xml:space="preserve">Anisa H.A, Adam I., </w:t>
      </w:r>
      <w:proofErr w:type="spellStart"/>
      <w:r w:rsidR="008C4A9D" w:rsidRPr="008E412F">
        <w:rPr>
          <w:rFonts w:ascii="Times New Roman" w:hAnsi="Times New Roman" w:cs="Times New Roman"/>
          <w:sz w:val="24"/>
          <w:szCs w:val="24"/>
          <w:lang w:val="fr-FR"/>
        </w:rPr>
        <w:t>Abdulla</w:t>
      </w:r>
      <w:proofErr w:type="spellEnd"/>
      <w:r w:rsidR="008C4A9D" w:rsidRPr="008E412F">
        <w:rPr>
          <w:rFonts w:ascii="Times New Roman" w:hAnsi="Times New Roman" w:cs="Times New Roman"/>
          <w:sz w:val="24"/>
          <w:szCs w:val="24"/>
          <w:lang w:val="fr-FR"/>
        </w:rPr>
        <w:t xml:space="preserve"> S.G.(2010).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Placental malaria,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and low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birthweight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in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Yemen.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Transactions of the Royal Society of Tropical Medicine and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Hygiene 104</w:t>
      </w:r>
      <w:r w:rsidR="008C4A9D" w:rsidRPr="003A6DC0">
        <w:rPr>
          <w:rFonts w:ascii="Times New Roman" w:hAnsi="Times New Roman" w:cs="Times New Roman"/>
          <w:sz w:val="24"/>
          <w:szCs w:val="24"/>
        </w:rPr>
        <w:t>:191–194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[10]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Meyrowitsch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DW,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Erling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MP, Michael A, Thomas HS,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Mwelecele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NM, Stephen MM,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</w:t>
      </w:r>
      <w:r w:rsidR="0097693A"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AD,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Rwehumbiza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TR, Edwin M and Paul ES. Is the current decline in malaria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burden in sub-Saharan Africa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due to a decrease in vector population?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Malaria Journal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10:188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[11]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Adam I,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Khamis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AH,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Elbashir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MI. Prevalence and risk factors for malaria in pregnant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women of eastern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Sudan.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Malar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J </w:t>
      </w:r>
      <w:r w:rsidR="008C4A9D" w:rsidRPr="003A6DC0">
        <w:rPr>
          <w:rFonts w:ascii="Times New Roman" w:hAnsi="Times New Roman" w:cs="Times New Roman"/>
          <w:sz w:val="24"/>
          <w:szCs w:val="24"/>
        </w:rPr>
        <w:t>2005;</w:t>
      </w:r>
      <w:r w:rsidR="008C4A9D" w:rsidRPr="0097693A">
        <w:rPr>
          <w:rFonts w:ascii="Times New Roman" w:hAnsi="Times New Roman" w:cs="Times New Roman"/>
          <w:bCs/>
          <w:sz w:val="24"/>
          <w:szCs w:val="24"/>
        </w:rPr>
        <w:t>4</w:t>
      </w:r>
      <w:r w:rsidR="008C4A9D" w:rsidRPr="003A6DC0">
        <w:rPr>
          <w:rFonts w:ascii="Times New Roman" w:hAnsi="Times New Roman" w:cs="Times New Roman"/>
          <w:sz w:val="24"/>
          <w:szCs w:val="24"/>
        </w:rPr>
        <w:t>:8.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[12]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Fleming AF. The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of severe malaria in pregnancy in Ndola, Zambia. </w:t>
      </w:r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Ann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Trop</w:t>
      </w:r>
      <w:proofErr w:type="spellEnd"/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Med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Parasitol</w:t>
      </w:r>
      <w:proofErr w:type="spellEnd"/>
      <w:r w:rsidR="008C4A9D" w:rsidRPr="0097693A">
        <w:rPr>
          <w:rFonts w:ascii="Times New Roman" w:hAnsi="Times New Roman" w:cs="Times New Roman"/>
          <w:i/>
          <w:sz w:val="24"/>
          <w:szCs w:val="24"/>
        </w:rPr>
        <w:t>.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>1989;83:37–49.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A6E">
        <w:rPr>
          <w:rFonts w:ascii="Times New Roman" w:hAnsi="Times New Roman" w:cs="Times New Roman"/>
          <w:sz w:val="24"/>
          <w:szCs w:val="24"/>
          <w:lang w:val="fr-FR"/>
        </w:rPr>
        <w:t>[13]</w:t>
      </w:r>
      <w:r w:rsidRPr="00445A6E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>Antelman</w:t>
      </w:r>
      <w:proofErr w:type="spellEnd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 xml:space="preserve"> G, </w:t>
      </w:r>
      <w:proofErr w:type="spellStart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>Msamanga</w:t>
      </w:r>
      <w:proofErr w:type="spellEnd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 xml:space="preserve"> GI, </w:t>
      </w:r>
      <w:proofErr w:type="spellStart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>Spiegelman</w:t>
      </w:r>
      <w:proofErr w:type="spellEnd"/>
      <w:r w:rsidR="008C4A9D" w:rsidRPr="00445A6E">
        <w:rPr>
          <w:rFonts w:ascii="Times New Roman" w:hAnsi="Times New Roman" w:cs="Times New Roman"/>
          <w:sz w:val="24"/>
          <w:szCs w:val="24"/>
          <w:lang w:val="fr-FR"/>
        </w:rPr>
        <w:t xml:space="preserve"> D, et al.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Nutritional factors and infectious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disease contribute to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anemia among pregnant women with human immunodeficiency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virus in Tanzania. </w:t>
      </w:r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J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Nutr</w:t>
      </w:r>
      <w:proofErr w:type="spellEnd"/>
      <w:r w:rsidR="008C4A9D" w:rsidRPr="0097693A">
        <w:rPr>
          <w:rFonts w:ascii="Times New Roman" w:hAnsi="Times New Roman" w:cs="Times New Roman"/>
          <w:i/>
          <w:sz w:val="24"/>
          <w:szCs w:val="24"/>
        </w:rPr>
        <w:t>.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>2000;130:1950–1957.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[14]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Chigozie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J.U (2007). Impact of Placental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Plasmodium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falciparum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Malaria on Pregnancy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PerinatalOutcome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in Sub-Saharan Africa. </w:t>
      </w:r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Yale J </w:t>
      </w:r>
      <w:proofErr w:type="spellStart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>Biol</w:t>
      </w:r>
      <w:proofErr w:type="spellEnd"/>
      <w:r w:rsidR="008C4A9D" w:rsidRPr="003A6DC0">
        <w:rPr>
          <w:rFonts w:ascii="Times New Roman" w:hAnsi="Times New Roman" w:cs="Times New Roman"/>
          <w:i/>
          <w:iCs/>
          <w:sz w:val="24"/>
          <w:szCs w:val="24"/>
        </w:rPr>
        <w:t xml:space="preserve"> Med. </w:t>
      </w:r>
      <w:r w:rsidR="008C4A9D" w:rsidRPr="003A6DC0">
        <w:rPr>
          <w:rFonts w:ascii="Times New Roman" w:hAnsi="Times New Roman" w:cs="Times New Roman"/>
          <w:sz w:val="24"/>
          <w:szCs w:val="24"/>
        </w:rPr>
        <w:t>2007; 80(2): 39–50.</w:t>
      </w:r>
    </w:p>
    <w:p w:rsidR="008C4A9D" w:rsidRPr="003A6DC0" w:rsidRDefault="00445A6E" w:rsidP="003A6D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[15]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Matteelli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Donato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Shein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 A, et al. Malaria and anemia in pregnant women in urban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4A9D" w:rsidRPr="003A6DC0">
        <w:rPr>
          <w:rFonts w:ascii="Times New Roman" w:hAnsi="Times New Roman" w:cs="Times New Roman"/>
          <w:sz w:val="24"/>
          <w:szCs w:val="24"/>
        </w:rPr>
        <w:t>Zanzibar,Tanzania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 xml:space="preserve">. </w:t>
      </w:r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Ann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Trop</w:t>
      </w:r>
      <w:proofErr w:type="spellEnd"/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 Med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Parasitol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>. 1994;88:475–483.</w:t>
      </w:r>
    </w:p>
    <w:p w:rsidR="00273F76" w:rsidRPr="003A6DC0" w:rsidRDefault="00445A6E" w:rsidP="009769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[16]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Richard W.S, Bernard L.N, Monica E.P, and Menendez C.(2001). The Burden of Malaria </w:t>
      </w:r>
      <w:r>
        <w:rPr>
          <w:rFonts w:ascii="Times New Roman" w:hAnsi="Times New Roman" w:cs="Times New Roman"/>
          <w:sz w:val="24"/>
          <w:szCs w:val="24"/>
        </w:rPr>
        <w:tab/>
      </w:r>
      <w:r w:rsidR="008C4A9D" w:rsidRPr="003A6DC0">
        <w:rPr>
          <w:rFonts w:ascii="Times New Roman" w:hAnsi="Times New Roman" w:cs="Times New Roman"/>
          <w:sz w:val="24"/>
          <w:szCs w:val="24"/>
        </w:rPr>
        <w:t>in Pregnancy in</w:t>
      </w:r>
      <w:r w:rsidR="0097693A">
        <w:rPr>
          <w:rFonts w:ascii="Times New Roman" w:hAnsi="Times New Roman" w:cs="Times New Roman"/>
          <w:sz w:val="24"/>
          <w:szCs w:val="24"/>
        </w:rPr>
        <w:t xml:space="preserve"> </w:t>
      </w:r>
      <w:r w:rsidR="008C4A9D" w:rsidRPr="003A6DC0">
        <w:rPr>
          <w:rFonts w:ascii="Times New Roman" w:hAnsi="Times New Roman" w:cs="Times New Roman"/>
          <w:sz w:val="24"/>
          <w:szCs w:val="24"/>
        </w:rPr>
        <w:t xml:space="preserve">Malaria-Endemic Areas. </w:t>
      </w:r>
      <w:r w:rsidR="008C4A9D" w:rsidRPr="0097693A">
        <w:rPr>
          <w:rFonts w:ascii="Times New Roman" w:hAnsi="Times New Roman" w:cs="Times New Roman"/>
          <w:i/>
          <w:sz w:val="24"/>
          <w:szCs w:val="24"/>
        </w:rPr>
        <w:t xml:space="preserve">Am J. Trop. Med. </w:t>
      </w:r>
      <w:proofErr w:type="spellStart"/>
      <w:r w:rsidR="008C4A9D" w:rsidRPr="0097693A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="008C4A9D" w:rsidRPr="003A6DC0">
        <w:rPr>
          <w:rFonts w:ascii="Times New Roman" w:hAnsi="Times New Roman" w:cs="Times New Roman"/>
          <w:sz w:val="24"/>
          <w:szCs w:val="24"/>
        </w:rPr>
        <w:t>. 64(1,2)S: 28-35</w:t>
      </w:r>
    </w:p>
    <w:sectPr w:rsidR="00273F76" w:rsidRPr="003A6DC0" w:rsidSect="00273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C4A9D"/>
    <w:rsid w:val="000251DF"/>
    <w:rsid w:val="000351E3"/>
    <w:rsid w:val="000A665D"/>
    <w:rsid w:val="000D4C47"/>
    <w:rsid w:val="00273F76"/>
    <w:rsid w:val="003A6DC0"/>
    <w:rsid w:val="003E2DFC"/>
    <w:rsid w:val="003F5DF2"/>
    <w:rsid w:val="00445A6E"/>
    <w:rsid w:val="004A4F54"/>
    <w:rsid w:val="006A42D3"/>
    <w:rsid w:val="006C2DA0"/>
    <w:rsid w:val="00857053"/>
    <w:rsid w:val="008C4A9D"/>
    <w:rsid w:val="008E412F"/>
    <w:rsid w:val="00963054"/>
    <w:rsid w:val="0097693A"/>
    <w:rsid w:val="009E507C"/>
    <w:rsid w:val="00B63946"/>
    <w:rsid w:val="00BE0760"/>
    <w:rsid w:val="00D41DD4"/>
    <w:rsid w:val="00DD716F"/>
    <w:rsid w:val="00E4028B"/>
    <w:rsid w:val="00F33C89"/>
    <w:rsid w:val="00FB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2014-04-05T11:46:00Z</dcterms:created>
  <dcterms:modified xsi:type="dcterms:W3CDTF">2014-04-05T11:46:00Z</dcterms:modified>
</cp:coreProperties>
</file>