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85" w:rsidRPr="006F386A" w:rsidRDefault="00B72280">
      <w:pPr>
        <w:pStyle w:val="Body"/>
        <w:spacing w:line="360" w:lineRule="auto"/>
        <w:jc w:val="center"/>
        <w:rPr>
          <w:rFonts w:hAnsi="Times New Roman" w:cs="Times New Roman"/>
          <w:b/>
          <w:bCs/>
          <w:sz w:val="36"/>
          <w:szCs w:val="36"/>
        </w:rPr>
      </w:pPr>
      <w:r w:rsidRPr="006F386A">
        <w:rPr>
          <w:rFonts w:hAnsi="Times New Roman" w:cs="Times New Roman"/>
          <w:b/>
          <w:bCs/>
          <w:sz w:val="36"/>
          <w:szCs w:val="36"/>
        </w:rPr>
        <w:t>Systematic risk determinants of stock returns after financial crisis: Evidence from United Kingdom</w:t>
      </w:r>
    </w:p>
    <w:p w:rsidR="00F43885" w:rsidRPr="006F386A" w:rsidRDefault="00F43885">
      <w:pPr>
        <w:pStyle w:val="Body"/>
        <w:spacing w:line="360" w:lineRule="auto"/>
        <w:jc w:val="center"/>
        <w:rPr>
          <w:rFonts w:hAnsi="Times New Roman" w:cs="Times New Roman"/>
          <w:b/>
          <w:bCs/>
          <w:sz w:val="32"/>
          <w:szCs w:val="32"/>
        </w:rPr>
      </w:pPr>
    </w:p>
    <w:p w:rsidR="00DB6D9D" w:rsidRPr="006F386A" w:rsidRDefault="00DB6D9D" w:rsidP="00DB6D9D">
      <w:pPr>
        <w:pStyle w:val="Body"/>
        <w:rPr>
          <w:rFonts w:hAnsi="Times New Roman" w:cs="Times New Roman"/>
          <w:lang w:val="fr-FR"/>
        </w:rPr>
      </w:pPr>
      <w:r w:rsidRPr="006F386A">
        <w:rPr>
          <w:rFonts w:hAnsi="Times New Roman" w:cs="Times New Roman"/>
          <w:lang w:val="fr-FR"/>
        </w:rPr>
        <w:t>Quang Vu Trinh</w:t>
      </w:r>
    </w:p>
    <w:p w:rsidR="00DB6D9D" w:rsidRPr="006F386A" w:rsidRDefault="00DB6D9D" w:rsidP="00DB6D9D">
      <w:pPr>
        <w:pStyle w:val="Body"/>
        <w:rPr>
          <w:rFonts w:hAnsi="Times New Roman" w:cs="Times New Roman"/>
          <w:lang w:val="fr-FR"/>
        </w:rPr>
      </w:pPr>
    </w:p>
    <w:p w:rsidR="00DB6D9D" w:rsidRPr="006F386A" w:rsidRDefault="00DB6D9D" w:rsidP="00DB6D9D">
      <w:pPr>
        <w:pStyle w:val="Body"/>
        <w:rPr>
          <w:rFonts w:hAnsi="Times New Roman" w:cs="Times New Roman"/>
          <w:lang w:val="fr-FR"/>
        </w:rPr>
      </w:pPr>
      <w:r w:rsidRPr="006F386A">
        <w:rPr>
          <w:rFonts w:hAnsi="Times New Roman" w:cs="Times New Roman"/>
          <w:lang w:val="fr-FR"/>
        </w:rPr>
        <w:t>*Dipesh Karki</w:t>
      </w:r>
    </w:p>
    <w:p w:rsidR="00DB6D9D" w:rsidRPr="006F386A" w:rsidRDefault="00DB6D9D" w:rsidP="00DB6D9D">
      <w:pPr>
        <w:pStyle w:val="Body"/>
        <w:rPr>
          <w:rFonts w:hAnsi="Times New Roman" w:cs="Times New Roman"/>
          <w:lang w:val="fr-FR"/>
        </w:rPr>
      </w:pPr>
    </w:p>
    <w:p w:rsidR="00DB6D9D" w:rsidRPr="006F386A" w:rsidRDefault="00DB6D9D" w:rsidP="00DB6D9D">
      <w:pPr>
        <w:pStyle w:val="Body"/>
        <w:rPr>
          <w:rFonts w:hAnsi="Times New Roman" w:cs="Times New Roman"/>
          <w:lang w:val="fr-FR"/>
        </w:rPr>
      </w:pPr>
      <w:r w:rsidRPr="006F386A">
        <w:rPr>
          <w:rFonts w:hAnsi="Times New Roman" w:cs="Times New Roman"/>
          <w:lang w:val="fr-FR"/>
        </w:rPr>
        <w:t>Binam Ghimire</w:t>
      </w:r>
    </w:p>
    <w:p w:rsidR="00615208" w:rsidRPr="006F386A" w:rsidRDefault="00615208">
      <w:pPr>
        <w:pStyle w:val="Body"/>
        <w:rPr>
          <w:rFonts w:hAnsi="Times New Roman" w:cs="Times New Roman"/>
          <w:sz w:val="28"/>
          <w:szCs w:val="28"/>
        </w:rPr>
      </w:pPr>
    </w:p>
    <w:p w:rsidR="00F43885" w:rsidRPr="006F386A" w:rsidRDefault="00B72280">
      <w:pPr>
        <w:pStyle w:val="Body"/>
        <w:rPr>
          <w:rFonts w:hAnsi="Times New Roman" w:cs="Times New Roman"/>
          <w:color w:val="222222"/>
          <w:u w:color="222222"/>
        </w:rPr>
      </w:pPr>
      <w:r w:rsidRPr="006F386A">
        <w:rPr>
          <w:rFonts w:hAnsi="Times New Roman" w:cs="Times New Roman"/>
        </w:rPr>
        <w:t xml:space="preserve">Newcastle Business School, Northumbria University, </w:t>
      </w:r>
      <w:r w:rsidRPr="006F386A">
        <w:rPr>
          <w:rFonts w:hAnsi="Times New Roman" w:cs="Times New Roman"/>
          <w:color w:val="222222"/>
          <w:u w:color="222222"/>
        </w:rPr>
        <w:t>City Campus East, Newcastle upon Tyne NE1 8ST</w:t>
      </w:r>
    </w:p>
    <w:p w:rsidR="00F43885" w:rsidRPr="006F386A" w:rsidRDefault="00F43885">
      <w:pPr>
        <w:pStyle w:val="Body"/>
        <w:rPr>
          <w:rFonts w:hAnsi="Times New Roman" w:cs="Times New Roman"/>
          <w:color w:val="222222"/>
          <w:u w:color="222222"/>
        </w:rPr>
      </w:pPr>
    </w:p>
    <w:p w:rsidR="00F43885" w:rsidRPr="006F386A" w:rsidRDefault="00705095">
      <w:pPr>
        <w:pStyle w:val="Body"/>
        <w:spacing w:line="480" w:lineRule="auto"/>
        <w:rPr>
          <w:rFonts w:hAnsi="Times New Roman" w:cs="Times New Roman"/>
          <w:b/>
          <w:bCs/>
        </w:rPr>
      </w:pPr>
      <w:r w:rsidRPr="006F386A">
        <w:rPr>
          <w:rFonts w:hAnsi="Times New Roman" w:cs="Times New Roman"/>
        </w:rPr>
        <w:pict>
          <v:line id="_x0000_s1026" style="position:absolute;z-index:251659264;visibility:visible;mso-wrap-distance-left:0;mso-wrap-distance-right:0;mso-position-vertical-relative:line" from=".4pt,2pt" to="448.9pt,2pt" strokeweight=".8pt"/>
        </w:pict>
      </w:r>
    </w:p>
    <w:p w:rsidR="00F43885" w:rsidRPr="006F386A" w:rsidRDefault="00B72280">
      <w:pPr>
        <w:pStyle w:val="Body"/>
        <w:spacing w:line="480" w:lineRule="auto"/>
        <w:jc w:val="center"/>
        <w:rPr>
          <w:rFonts w:hAnsi="Times New Roman" w:cs="Times New Roman"/>
          <w:b/>
          <w:bCs/>
          <w:sz w:val="28"/>
          <w:szCs w:val="28"/>
        </w:rPr>
      </w:pPr>
      <w:r w:rsidRPr="006F386A">
        <w:rPr>
          <w:rFonts w:hAnsi="Times New Roman" w:cs="Times New Roman"/>
          <w:b/>
          <w:bCs/>
          <w:sz w:val="28"/>
          <w:szCs w:val="28"/>
          <w:lang w:val="de-DE"/>
        </w:rPr>
        <w:t>Abstract</w:t>
      </w:r>
    </w:p>
    <w:p w:rsidR="00466490" w:rsidRPr="006F386A" w:rsidRDefault="00466490">
      <w:pPr>
        <w:pStyle w:val="Body"/>
        <w:jc w:val="both"/>
        <w:rPr>
          <w:rFonts w:hAnsi="Times New Roman" w:cs="Times New Roman"/>
          <w:b/>
          <w:bCs/>
          <w:i/>
          <w:iCs/>
          <w:lang w:val="en-GB"/>
        </w:rPr>
      </w:pPr>
    </w:p>
    <w:p w:rsidR="00F43885" w:rsidRPr="006F386A" w:rsidRDefault="00465E16">
      <w:pPr>
        <w:pStyle w:val="Body"/>
        <w:jc w:val="both"/>
        <w:rPr>
          <w:rFonts w:hAnsi="Times New Roman" w:cs="Times New Roman"/>
        </w:rPr>
      </w:pPr>
      <w:r w:rsidRPr="006F386A">
        <w:rPr>
          <w:rFonts w:hAnsi="Times New Roman" w:cs="Times New Roman"/>
          <w:cs/>
          <w:lang w:val="en-GB"/>
        </w:rPr>
        <w:t xml:space="preserve">This paper provides an </w:t>
      </w:r>
      <w:r w:rsidR="006F386A" w:rsidRPr="006F386A">
        <w:rPr>
          <w:rFonts w:hAnsi="Times New Roman" w:cs="Times New Roman"/>
          <w:lang w:val="en-GB"/>
        </w:rPr>
        <w:t xml:space="preserve">empirical </w:t>
      </w:r>
      <w:r w:rsidR="00466490" w:rsidRPr="006F386A">
        <w:rPr>
          <w:rFonts w:hAnsi="Times New Roman" w:cs="Times New Roman"/>
          <w:cs/>
          <w:lang w:val="en-GB"/>
        </w:rPr>
        <w:t>analysis of FTSE100 stock returns during the period of 2009 to 2013 with</w:t>
      </w:r>
      <w:r w:rsidR="003A0138" w:rsidRPr="006F386A">
        <w:rPr>
          <w:rFonts w:hAnsi="Times New Roman" w:cs="Times New Roman"/>
          <w:lang w:val="en-GB"/>
        </w:rPr>
        <w:t xml:space="preserve"> an</w:t>
      </w:r>
      <w:r w:rsidR="00466490" w:rsidRPr="006F386A">
        <w:rPr>
          <w:rFonts w:hAnsi="Times New Roman" w:cs="Times New Roman"/>
          <w:cs/>
          <w:lang w:val="en-GB"/>
        </w:rPr>
        <w:t xml:space="preserve"> aim to assess the relevancy of Fama- French three factor model post financial crisis of 2008. FTSE100 index was chosen in particular as it  is benchmark of the prosperity </w:t>
      </w:r>
      <w:r w:rsidR="006505BE" w:rsidRPr="006F386A">
        <w:rPr>
          <w:rFonts w:hAnsi="Times New Roman" w:cs="Times New Roman"/>
          <w:cs/>
          <w:lang w:val="en-GB"/>
        </w:rPr>
        <w:t>among UK stocks. Assortment of s</w:t>
      </w:r>
      <w:r w:rsidR="00B72280" w:rsidRPr="006F386A">
        <w:rPr>
          <w:rFonts w:hAnsi="Times New Roman" w:cs="Times New Roman"/>
        </w:rPr>
        <w:t xml:space="preserve">ix portfolios </w:t>
      </w:r>
      <w:r w:rsidR="005D2777" w:rsidRPr="006F386A">
        <w:rPr>
          <w:rFonts w:hAnsi="Times New Roman" w:cs="Times New Roman"/>
          <w:cs/>
        </w:rPr>
        <w:t>S/L, S/M, S/H, B/L, B/M and B/H</w:t>
      </w:r>
      <w:r w:rsidR="006505BE" w:rsidRPr="006F386A">
        <w:rPr>
          <w:rFonts w:hAnsi="Times New Roman" w:cs="Times New Roman"/>
          <w:cs/>
        </w:rPr>
        <w:t xml:space="preserve"> </w:t>
      </w:r>
      <w:r w:rsidR="00B72280" w:rsidRPr="006F386A">
        <w:rPr>
          <w:rFonts w:hAnsi="Times New Roman" w:cs="Times New Roman"/>
        </w:rPr>
        <w:t>based on firm</w:t>
      </w:r>
      <w:r w:rsidR="00B72280" w:rsidRPr="006F386A">
        <w:rPr>
          <w:rFonts w:hAnsi="Times New Roman" w:cs="Times New Roman"/>
          <w:lang w:val="fr-FR"/>
        </w:rPr>
        <w:t>’</w:t>
      </w:r>
      <w:r w:rsidR="00B72280" w:rsidRPr="006F386A">
        <w:rPr>
          <w:rFonts w:hAnsi="Times New Roman" w:cs="Times New Roman"/>
        </w:rPr>
        <w:t>s size and book-to-market ratio</w:t>
      </w:r>
      <w:r w:rsidR="005D2777" w:rsidRPr="006F386A">
        <w:rPr>
          <w:rFonts w:hAnsi="Times New Roman" w:cs="Times New Roman"/>
          <w:cs/>
        </w:rPr>
        <w:t xml:space="preserve"> was constructed as per gudielines of Fama- Fre</w:t>
      </w:r>
      <w:r w:rsidR="00D056E3" w:rsidRPr="006F386A">
        <w:rPr>
          <w:rFonts w:hAnsi="Times New Roman" w:cs="Times New Roman"/>
        </w:rPr>
        <w:t>n</w:t>
      </w:r>
      <w:r w:rsidR="005D2777" w:rsidRPr="006F386A">
        <w:rPr>
          <w:rFonts w:hAnsi="Times New Roman" w:cs="Times New Roman"/>
          <w:cs/>
        </w:rPr>
        <w:t>ch model</w:t>
      </w:r>
      <w:r w:rsidR="00B72280" w:rsidRPr="006F386A">
        <w:rPr>
          <w:rFonts w:hAnsi="Times New Roman" w:cs="Times New Roman"/>
        </w:rPr>
        <w:t xml:space="preserve">. </w:t>
      </w:r>
      <w:r w:rsidR="005D2777" w:rsidRPr="006F386A">
        <w:rPr>
          <w:rFonts w:hAnsi="Times New Roman" w:cs="Times New Roman"/>
          <w:cs/>
        </w:rPr>
        <w:t xml:space="preserve"> The ordinary</w:t>
      </w:r>
      <w:r w:rsidR="003A0138" w:rsidRPr="006F386A">
        <w:rPr>
          <w:rFonts w:hAnsi="Times New Roman" w:cs="Times New Roman"/>
          <w:cs/>
        </w:rPr>
        <w:t xml:space="preserve"> least sq</w:t>
      </w:r>
      <w:r w:rsidR="00D056E3" w:rsidRPr="006F386A">
        <w:rPr>
          <w:rFonts w:hAnsi="Times New Roman" w:cs="Times New Roman"/>
        </w:rPr>
        <w:t>u</w:t>
      </w:r>
      <w:r w:rsidR="003A0138" w:rsidRPr="006F386A">
        <w:rPr>
          <w:rFonts w:hAnsi="Times New Roman" w:cs="Times New Roman"/>
          <w:cs/>
        </w:rPr>
        <w:t xml:space="preserve">are estimation showed </w:t>
      </w:r>
      <w:r w:rsidR="003A0138" w:rsidRPr="006F386A">
        <w:rPr>
          <w:rFonts w:hAnsi="Times New Roman" w:cs="Times New Roman"/>
        </w:rPr>
        <w:t>consistently</w:t>
      </w:r>
      <w:r w:rsidR="00B72280" w:rsidRPr="006F386A">
        <w:rPr>
          <w:rFonts w:hAnsi="Times New Roman" w:cs="Times New Roman"/>
        </w:rPr>
        <w:t xml:space="preserve"> positive and signifi</w:t>
      </w:r>
      <w:r w:rsidR="003A0138" w:rsidRPr="006F386A">
        <w:rPr>
          <w:rFonts w:hAnsi="Times New Roman" w:cs="Times New Roman"/>
        </w:rPr>
        <w:t>cant in all observed portfolios.</w:t>
      </w:r>
      <w:r w:rsidR="00B72280" w:rsidRPr="006F386A">
        <w:rPr>
          <w:rFonts w:hAnsi="Times New Roman" w:cs="Times New Roman"/>
        </w:rPr>
        <w:t xml:space="preserve"> </w:t>
      </w:r>
      <w:r w:rsidR="003A0138" w:rsidRPr="006F386A">
        <w:rPr>
          <w:rFonts w:hAnsi="Times New Roman" w:cs="Times New Roman"/>
          <w:lang w:val="en-GB"/>
        </w:rPr>
        <w:t xml:space="preserve">However </w:t>
      </w:r>
      <w:r w:rsidR="00B72280" w:rsidRPr="006F386A">
        <w:rPr>
          <w:rFonts w:hAnsi="Times New Roman" w:cs="Times New Roman"/>
        </w:rPr>
        <w:t xml:space="preserve">the results indicated that </w:t>
      </w:r>
      <w:r w:rsidR="00B72280" w:rsidRPr="006F386A">
        <w:rPr>
          <w:rFonts w:hAnsi="Times New Roman" w:cs="Times New Roman"/>
          <w:i/>
          <w:iCs/>
        </w:rPr>
        <w:t xml:space="preserve">excess market return </w:t>
      </w:r>
      <w:r w:rsidR="00B72280" w:rsidRPr="006F386A">
        <w:rPr>
          <w:rFonts w:hAnsi="Times New Roman" w:cs="Times New Roman"/>
        </w:rPr>
        <w:t>is</w:t>
      </w:r>
      <w:r w:rsidR="006505BE" w:rsidRPr="006F386A">
        <w:rPr>
          <w:rFonts w:hAnsi="Times New Roman" w:cs="Times New Roman"/>
          <w:cs/>
        </w:rPr>
        <w:t xml:space="preserve"> </w:t>
      </w:r>
      <w:r w:rsidR="00B72280" w:rsidRPr="006F386A">
        <w:rPr>
          <w:rFonts w:hAnsi="Times New Roman" w:cs="Times New Roman"/>
        </w:rPr>
        <w:t xml:space="preserve">the dominant variable </w:t>
      </w:r>
      <w:r w:rsidR="003A0138" w:rsidRPr="006F386A">
        <w:rPr>
          <w:rFonts w:hAnsi="Times New Roman" w:cs="Times New Roman"/>
        </w:rPr>
        <w:t xml:space="preserve"> among three risk factors meanwhile size factor (SMB) was significant while </w:t>
      </w:r>
      <w:r w:rsidR="00B72280" w:rsidRPr="006F386A">
        <w:rPr>
          <w:rFonts w:hAnsi="Times New Roman" w:cs="Times New Roman"/>
        </w:rPr>
        <w:t>explaining</w:t>
      </w:r>
      <w:r w:rsidR="003A0138" w:rsidRPr="006F386A">
        <w:rPr>
          <w:rFonts w:hAnsi="Times New Roman" w:cs="Times New Roman"/>
        </w:rPr>
        <w:t xml:space="preserve"> only</w:t>
      </w:r>
      <w:r w:rsidR="00B72280" w:rsidRPr="006F386A">
        <w:rPr>
          <w:rFonts w:hAnsi="Times New Roman" w:cs="Times New Roman"/>
        </w:rPr>
        <w:t xml:space="preserve"> small-sca</w:t>
      </w:r>
      <w:r w:rsidR="003A0138" w:rsidRPr="006F386A">
        <w:rPr>
          <w:rFonts w:hAnsi="Times New Roman" w:cs="Times New Roman"/>
        </w:rPr>
        <w:t>le portfolios returns but had</w:t>
      </w:r>
      <w:r w:rsidR="00B72280" w:rsidRPr="006F386A">
        <w:rPr>
          <w:rFonts w:hAnsi="Times New Roman" w:cs="Times New Roman"/>
        </w:rPr>
        <w:t xml:space="preserve"> no effect on the average returns of large-scale portfolio. </w:t>
      </w:r>
      <w:r w:rsidR="003A0138" w:rsidRPr="006F386A">
        <w:rPr>
          <w:rFonts w:hAnsi="Times New Roman" w:cs="Times New Roman"/>
        </w:rPr>
        <w:t xml:space="preserve">Likewise </w:t>
      </w:r>
      <w:r w:rsidR="00B72280" w:rsidRPr="006F386A">
        <w:rPr>
          <w:rFonts w:hAnsi="Times New Roman" w:cs="Times New Roman"/>
        </w:rPr>
        <w:t>value</w:t>
      </w:r>
      <w:r w:rsidR="003A0138" w:rsidRPr="006F386A">
        <w:rPr>
          <w:rFonts w:hAnsi="Times New Roman" w:cs="Times New Roman"/>
        </w:rPr>
        <w:t xml:space="preserve"> factor (HML) appeared to be somewhat </w:t>
      </w:r>
      <w:r w:rsidR="00B72280" w:rsidRPr="006F386A">
        <w:rPr>
          <w:rFonts w:hAnsi="Times New Roman" w:cs="Times New Roman"/>
        </w:rPr>
        <w:t>effective</w:t>
      </w:r>
      <w:r w:rsidR="003A0138" w:rsidRPr="006F386A">
        <w:rPr>
          <w:rFonts w:hAnsi="Times New Roman" w:cs="Times New Roman"/>
        </w:rPr>
        <w:t xml:space="preserve"> only in case of</w:t>
      </w:r>
      <w:r w:rsidR="00B72280" w:rsidRPr="006F386A">
        <w:rPr>
          <w:rFonts w:hAnsi="Times New Roman" w:cs="Times New Roman"/>
        </w:rPr>
        <w:t xml:space="preserve"> high book-to-market stock portfolios. </w:t>
      </w:r>
      <w:r w:rsidR="003A0138" w:rsidRPr="006F386A">
        <w:rPr>
          <w:rFonts w:hAnsi="Times New Roman" w:cs="Times New Roman"/>
        </w:rPr>
        <w:t xml:space="preserve">Thus </w:t>
      </w:r>
      <w:r w:rsidR="00B72280" w:rsidRPr="006F386A">
        <w:rPr>
          <w:rFonts w:hAnsi="Times New Roman" w:cs="Times New Roman"/>
        </w:rPr>
        <w:t>the impact of book-to-market value on the average excess returns of these observed portfolios behave in an un-systematic manner.</w:t>
      </w:r>
    </w:p>
    <w:p w:rsidR="00F43885" w:rsidRPr="006F386A" w:rsidRDefault="00F43885">
      <w:pPr>
        <w:pStyle w:val="Body"/>
        <w:jc w:val="both"/>
        <w:rPr>
          <w:rFonts w:hAnsi="Times New Roman" w:cs="Times New Roman"/>
        </w:rPr>
      </w:pPr>
    </w:p>
    <w:p w:rsidR="00F43885" w:rsidRPr="006F386A" w:rsidRDefault="00B72280">
      <w:pPr>
        <w:pStyle w:val="Body"/>
        <w:spacing w:line="480" w:lineRule="auto"/>
        <w:rPr>
          <w:rFonts w:hAnsi="Times New Roman" w:cs="Times New Roman"/>
          <w:sz w:val="20"/>
          <w:szCs w:val="20"/>
        </w:rPr>
      </w:pPr>
      <w:r w:rsidRPr="006F386A">
        <w:rPr>
          <w:rFonts w:hAnsi="Times New Roman" w:cs="Times New Roman"/>
          <w:b/>
          <w:bCs/>
          <w:sz w:val="20"/>
          <w:szCs w:val="20"/>
        </w:rPr>
        <w:t>Key words</w:t>
      </w:r>
      <w:r w:rsidRPr="006F386A">
        <w:rPr>
          <w:rFonts w:hAnsi="Times New Roman" w:cs="Times New Roman"/>
          <w:sz w:val="20"/>
          <w:szCs w:val="20"/>
        </w:rPr>
        <w:t>: Stock market returns, stock exchanges, Fama and French, CAPM</w:t>
      </w:r>
    </w:p>
    <w:p w:rsidR="00F43885" w:rsidRPr="006F386A" w:rsidRDefault="00705095">
      <w:pPr>
        <w:pStyle w:val="Body"/>
        <w:spacing w:line="480" w:lineRule="auto"/>
        <w:rPr>
          <w:rFonts w:hAnsi="Times New Roman" w:cs="Times New Roman"/>
          <w:sz w:val="20"/>
          <w:szCs w:val="20"/>
        </w:rPr>
      </w:pPr>
      <w:r w:rsidRPr="006F386A">
        <w:rPr>
          <w:rFonts w:hAnsi="Times New Roman" w:cs="Times New Roman"/>
          <w:sz w:val="20"/>
          <w:szCs w:val="20"/>
        </w:rPr>
        <w:pict>
          <v:line id="_x0000_s1027" style="position:absolute;z-index:251660288;visibility:visible;mso-wrap-distance-left:0;mso-wrap-distance-right:0;mso-position-vertical-relative:line" from=".4pt,10.6pt" to="241.9pt,10.6pt" strokeweight=".8pt"/>
        </w:pict>
      </w:r>
    </w:p>
    <w:p w:rsidR="00F43885" w:rsidRPr="006F386A" w:rsidRDefault="00DB6D9D">
      <w:pPr>
        <w:pStyle w:val="Body"/>
        <w:rPr>
          <w:rFonts w:hAnsi="Times New Roman" w:cs="Times New Roman"/>
          <w:sz w:val="20"/>
          <w:szCs w:val="20"/>
        </w:rPr>
      </w:pPr>
      <w:r w:rsidRPr="006F386A">
        <w:rPr>
          <w:rFonts w:hAnsi="Times New Roman" w:cs="Times New Roman"/>
          <w:sz w:val="20"/>
          <w:szCs w:val="20"/>
        </w:rPr>
        <w:t>Corresponding author: Dipesh Karki ; email: dipeshkarki510@gmail.com  , tel:</w:t>
      </w:r>
      <w:r w:rsidR="00600725" w:rsidRPr="006F386A">
        <w:rPr>
          <w:rFonts w:hAnsi="Times New Roman" w:cs="Times New Roman"/>
          <w:sz w:val="20"/>
          <w:szCs w:val="20"/>
        </w:rPr>
        <w:t xml:space="preserve"> </w:t>
      </w:r>
      <w:r w:rsidRPr="006F386A">
        <w:rPr>
          <w:rFonts w:hAnsi="Times New Roman" w:cs="Times New Roman"/>
          <w:sz w:val="20"/>
          <w:szCs w:val="20"/>
        </w:rPr>
        <w:t>01912274962</w:t>
      </w:r>
    </w:p>
    <w:p w:rsidR="00F43885" w:rsidRPr="006F386A" w:rsidRDefault="00F43885">
      <w:pPr>
        <w:pStyle w:val="Body"/>
        <w:rPr>
          <w:rFonts w:hAnsi="Times New Roman" w:cs="Times New Roman"/>
          <w:sz w:val="20"/>
          <w:szCs w:val="20"/>
        </w:rPr>
      </w:pPr>
    </w:p>
    <w:p w:rsidR="00F43885" w:rsidRPr="006F386A" w:rsidRDefault="00F43885">
      <w:pPr>
        <w:pStyle w:val="Body"/>
        <w:rPr>
          <w:rFonts w:hAnsi="Times New Roman" w:cs="Times New Roman"/>
          <w:sz w:val="20"/>
          <w:szCs w:val="20"/>
        </w:rPr>
      </w:pPr>
    </w:p>
    <w:p w:rsidR="00F43885" w:rsidRPr="006F386A" w:rsidRDefault="00B72280">
      <w:pPr>
        <w:pStyle w:val="Body"/>
        <w:spacing w:after="200" w:line="276" w:lineRule="auto"/>
        <w:rPr>
          <w:rFonts w:hAnsi="Times New Roman" w:cs="Times New Roman"/>
        </w:rPr>
      </w:pPr>
      <w:r w:rsidRPr="006F386A">
        <w:rPr>
          <w:rFonts w:hAnsi="Times New Roman" w:cs="Times New Roman"/>
          <w:sz w:val="20"/>
          <w:szCs w:val="20"/>
        </w:rPr>
        <w:br w:type="page"/>
      </w:r>
    </w:p>
    <w:p w:rsidR="00F43885" w:rsidRPr="006F386A" w:rsidRDefault="00B72280">
      <w:pPr>
        <w:pStyle w:val="Body"/>
        <w:spacing w:line="480" w:lineRule="auto"/>
        <w:rPr>
          <w:rFonts w:hAnsi="Times New Roman" w:cs="Times New Roman"/>
          <w:b/>
          <w:bCs/>
        </w:rPr>
      </w:pPr>
      <w:r w:rsidRPr="006F386A">
        <w:rPr>
          <w:rFonts w:hAnsi="Times New Roman" w:cs="Times New Roman"/>
          <w:b/>
          <w:bCs/>
          <w:lang w:val="fr-FR"/>
        </w:rPr>
        <w:lastRenderedPageBreak/>
        <w:t>1. Introduction</w:t>
      </w:r>
    </w:p>
    <w:p w:rsidR="00A335D9" w:rsidRPr="006F386A" w:rsidRDefault="00DD6EF1" w:rsidP="00A335D9">
      <w:pPr>
        <w:pStyle w:val="Body"/>
        <w:spacing w:before="240"/>
        <w:jc w:val="both"/>
        <w:rPr>
          <w:rFonts w:hAnsi="Times New Roman" w:cs="Times New Roman"/>
          <w:b/>
          <w:bCs/>
        </w:rPr>
      </w:pPr>
      <w:r w:rsidRPr="006F386A">
        <w:rPr>
          <w:rFonts w:hAnsi="Times New Roman" w:cs="Times New Roman"/>
        </w:rPr>
        <w:t>In the aftermath of global financial crisis investors are weary regarding the expectation</w:t>
      </w:r>
      <w:r w:rsidR="000C4574" w:rsidRPr="006F386A">
        <w:rPr>
          <w:rFonts w:hAnsi="Times New Roman" w:cs="Times New Roman"/>
        </w:rPr>
        <w:t xml:space="preserve"> of pay off</w:t>
      </w:r>
      <w:r w:rsidRPr="006F386A">
        <w:rPr>
          <w:rFonts w:hAnsi="Times New Roman" w:cs="Times New Roman"/>
        </w:rPr>
        <w:t xml:space="preserve"> that investment in financial markets can</w:t>
      </w:r>
      <w:r w:rsidR="0029536A" w:rsidRPr="006F386A">
        <w:rPr>
          <w:rFonts w:hAnsi="Times New Roman" w:cs="Times New Roman"/>
        </w:rPr>
        <w:t xml:space="preserve"> eventually</w:t>
      </w:r>
      <w:r w:rsidRPr="006F386A">
        <w:rPr>
          <w:rFonts w:hAnsi="Times New Roman" w:cs="Times New Roman"/>
        </w:rPr>
        <w:t xml:space="preserve"> yield.  Despite the heightened cautiousness towards investment, the basic tenet</w:t>
      </w:r>
      <w:r w:rsidR="00225FD7" w:rsidRPr="006F386A">
        <w:rPr>
          <w:rFonts w:hAnsi="Times New Roman" w:cs="Times New Roman"/>
        </w:rPr>
        <w:t xml:space="preserve"> for success in stock market </w:t>
      </w:r>
      <w:r w:rsidRPr="006F386A">
        <w:rPr>
          <w:rFonts w:hAnsi="Times New Roman" w:cs="Times New Roman"/>
        </w:rPr>
        <w:t xml:space="preserve">still remains same - </w:t>
      </w:r>
      <w:r w:rsidR="00EB1367" w:rsidRPr="006F386A">
        <w:rPr>
          <w:rFonts w:hAnsi="Times New Roman" w:cs="Times New Roman"/>
        </w:rPr>
        <w:t>maximize return and minimize risk</w:t>
      </w:r>
      <w:r w:rsidR="00B72280" w:rsidRPr="006F386A">
        <w:rPr>
          <w:rFonts w:hAnsi="Times New Roman" w:cs="Times New Roman"/>
        </w:rPr>
        <w:t xml:space="preserve">. </w:t>
      </w:r>
      <w:r w:rsidR="00EB1367" w:rsidRPr="006F386A">
        <w:rPr>
          <w:rFonts w:hAnsi="Times New Roman" w:cs="Times New Roman"/>
        </w:rPr>
        <w:t xml:space="preserve"> The apparent risk return tradeoff which entails higher return for lower risk or lower uncertainty and vice versa</w:t>
      </w:r>
      <w:r w:rsidR="00E17B75" w:rsidRPr="006F386A">
        <w:rPr>
          <w:rFonts w:hAnsi="Times New Roman" w:cs="Times New Roman"/>
        </w:rPr>
        <w:t xml:space="preserve"> is fundamental concept of financial economics  [1].  </w:t>
      </w:r>
      <w:r w:rsidR="00EB1367" w:rsidRPr="006F386A">
        <w:rPr>
          <w:rFonts w:hAnsi="Times New Roman" w:cs="Times New Roman"/>
        </w:rPr>
        <w:t xml:space="preserve"> </w:t>
      </w:r>
      <w:r w:rsidR="00E17B75" w:rsidRPr="006F386A">
        <w:rPr>
          <w:rFonts w:hAnsi="Times New Roman" w:cs="Times New Roman"/>
        </w:rPr>
        <w:t>As a result</w:t>
      </w:r>
      <w:r w:rsidR="00B72280" w:rsidRPr="006F386A">
        <w:rPr>
          <w:rFonts w:hAnsi="Times New Roman" w:cs="Times New Roman"/>
        </w:rPr>
        <w:t>, the investors should make their investment decisions</w:t>
      </w:r>
      <w:r w:rsidR="00E17B75" w:rsidRPr="006F386A">
        <w:rPr>
          <w:rFonts w:hAnsi="Times New Roman" w:cs="Times New Roman"/>
        </w:rPr>
        <w:t xml:space="preserve"> based</w:t>
      </w:r>
      <w:r w:rsidR="00B72280" w:rsidRPr="006F386A">
        <w:rPr>
          <w:rFonts w:hAnsi="Times New Roman" w:cs="Times New Roman"/>
        </w:rPr>
        <w:t xml:space="preserve"> on their risk-taking capabilities</w:t>
      </w:r>
      <w:r w:rsidR="00E17B75" w:rsidRPr="006F386A">
        <w:rPr>
          <w:rFonts w:hAnsi="Times New Roman" w:cs="Times New Roman"/>
        </w:rPr>
        <w:t xml:space="preserve"> or risk tolerance. </w:t>
      </w:r>
      <w:r w:rsidR="0029536A" w:rsidRPr="006F386A">
        <w:rPr>
          <w:rFonts w:hAnsi="Times New Roman" w:cs="Times New Roman"/>
        </w:rPr>
        <w:t>Seminal work by</w:t>
      </w:r>
      <w:r w:rsidR="00E90431" w:rsidRPr="006F386A">
        <w:rPr>
          <w:rFonts w:hAnsi="Times New Roman" w:cs="Times New Roman"/>
        </w:rPr>
        <w:t xml:space="preserve"> Markowitz [2]</w:t>
      </w:r>
      <w:r w:rsidR="007822E0" w:rsidRPr="006F386A">
        <w:rPr>
          <w:rFonts w:hAnsi="Times New Roman" w:cs="Times New Roman"/>
        </w:rPr>
        <w:t xml:space="preserve"> </w:t>
      </w:r>
      <w:r w:rsidR="0029536A" w:rsidRPr="006F386A">
        <w:rPr>
          <w:rFonts w:hAnsi="Times New Roman" w:cs="Times New Roman"/>
        </w:rPr>
        <w:t>introduced</w:t>
      </w:r>
      <w:r w:rsidR="007822E0" w:rsidRPr="006F386A">
        <w:rPr>
          <w:rFonts w:hAnsi="Times New Roman" w:cs="Times New Roman"/>
        </w:rPr>
        <w:t xml:space="preserve"> mean variance model which assumes all investors are risk-averse, and the portfolios selection which is efficient in diversification of investments must meet two main conditions: “</w:t>
      </w:r>
      <w:r w:rsidR="007822E0" w:rsidRPr="006F386A">
        <w:rPr>
          <w:rFonts w:hAnsi="Times New Roman" w:cs="Times New Roman"/>
          <w:i/>
          <w:iCs/>
        </w:rPr>
        <w:t>(1) minimize the variance of portfolio return, given expected return, and (2) maximize expected return, given variance</w:t>
      </w:r>
      <w:r w:rsidR="007822E0" w:rsidRPr="006F386A">
        <w:rPr>
          <w:rFonts w:hAnsi="Times New Roman" w:cs="Times New Roman"/>
        </w:rPr>
        <w:t>”</w:t>
      </w:r>
      <w:r w:rsidR="00904795" w:rsidRPr="006F386A">
        <w:rPr>
          <w:rFonts w:hAnsi="Times New Roman" w:cs="Times New Roman"/>
        </w:rPr>
        <w:t xml:space="preserve"> (Markowitz [2]</w:t>
      </w:r>
      <w:r w:rsidR="007822E0" w:rsidRPr="006F386A">
        <w:rPr>
          <w:rFonts w:hAnsi="Times New Roman" w:cs="Times New Roman"/>
        </w:rPr>
        <w:t>).</w:t>
      </w:r>
      <w:r w:rsidR="0029536A" w:rsidRPr="006F386A">
        <w:rPr>
          <w:rFonts w:hAnsi="Times New Roman" w:cs="Times New Roman"/>
        </w:rPr>
        <w:t xml:space="preserve">  La</w:t>
      </w:r>
      <w:r w:rsidR="00392D89" w:rsidRPr="006F386A">
        <w:rPr>
          <w:rFonts w:hAnsi="Times New Roman" w:cs="Times New Roman"/>
        </w:rPr>
        <w:t>ter Capital Asset Pricing Model (Sharpe [3] and Lintner [4]</w:t>
      </w:r>
      <w:r w:rsidR="0029536A" w:rsidRPr="006F386A">
        <w:rPr>
          <w:rFonts w:hAnsi="Times New Roman" w:cs="Times New Roman"/>
        </w:rPr>
        <w:t xml:space="preserve">) further built upon Markowitz and suggested that excess average returns of particular assets are only impacted by excess average returns of the market portfolio or the non-diversified risk (β - beta) that is explained by the correlation between its return to market average return. In other words, investors will be compensated by time values that are represented by returns of risk-free assets and returns required for any additional risks from excess average returns of the market portfolio </w:t>
      </w:r>
      <w:r w:rsidR="00CD24D0" w:rsidRPr="006F386A">
        <w:rPr>
          <w:rFonts w:hAnsi="Times New Roman" w:cs="Times New Roman"/>
        </w:rPr>
        <w:t>. Initially in accordance to CAPM model studies  Fama and MacBeth</w:t>
      </w:r>
      <w:r w:rsidR="00904795" w:rsidRPr="006F386A">
        <w:rPr>
          <w:rFonts w:hAnsi="Times New Roman" w:cs="Times New Roman"/>
        </w:rPr>
        <w:t xml:space="preserve"> [5]</w:t>
      </w:r>
      <w:r w:rsidR="00CD24D0" w:rsidRPr="006F386A">
        <w:rPr>
          <w:rFonts w:hAnsi="Times New Roman" w:cs="Times New Roman"/>
        </w:rPr>
        <w:t xml:space="preserve"> suggested that the market risk  was the sole factor explaining cross-sectional expected returns of stocks. However later studies </w:t>
      </w:r>
      <w:r w:rsidR="00432910" w:rsidRPr="006F386A">
        <w:rPr>
          <w:rFonts w:hAnsi="Times New Roman" w:cs="Times New Roman"/>
        </w:rPr>
        <w:t>suggested that besides Market risk</w:t>
      </w:r>
      <w:r w:rsidR="00CD24D0" w:rsidRPr="006F386A">
        <w:rPr>
          <w:rFonts w:hAnsi="Times New Roman" w:cs="Times New Roman"/>
        </w:rPr>
        <w:t xml:space="preserve"> </w:t>
      </w:r>
      <w:r w:rsidR="00432910" w:rsidRPr="006F386A">
        <w:rPr>
          <w:rFonts w:hAnsi="Times New Roman" w:cs="Times New Roman"/>
        </w:rPr>
        <w:t>other explanatory variable such as such</w:t>
      </w:r>
      <w:r w:rsidR="00402D04" w:rsidRPr="006F386A">
        <w:rPr>
          <w:rFonts w:hAnsi="Times New Roman" w:cs="Times New Roman"/>
        </w:rPr>
        <w:t xml:space="preserve"> as size effect (Reinganum [6] and Banz [7]</w:t>
      </w:r>
      <w:r w:rsidR="00432910" w:rsidRPr="006F386A">
        <w:rPr>
          <w:rFonts w:hAnsi="Times New Roman" w:cs="Times New Roman"/>
        </w:rPr>
        <w:t>)</w:t>
      </w:r>
      <w:r w:rsidR="000331FE" w:rsidRPr="006F386A">
        <w:rPr>
          <w:rFonts w:hAnsi="Times New Roman" w:cs="Times New Roman"/>
        </w:rPr>
        <w:t xml:space="preserve">, value effect (Fama and French [8] </w:t>
      </w:r>
      <w:r w:rsidR="00432910" w:rsidRPr="006F386A">
        <w:rPr>
          <w:rFonts w:hAnsi="Times New Roman" w:cs="Times New Roman"/>
        </w:rPr>
        <w:t>) and liquidity (Amihud and Mendelson,</w:t>
      </w:r>
      <w:r w:rsidR="000331FE" w:rsidRPr="006F386A">
        <w:rPr>
          <w:rFonts w:hAnsi="Times New Roman" w:cs="Times New Roman"/>
        </w:rPr>
        <w:t>[9]; [10]</w:t>
      </w:r>
      <w:r w:rsidR="00432910" w:rsidRPr="006F386A">
        <w:rPr>
          <w:rFonts w:hAnsi="Times New Roman" w:cs="Times New Roman"/>
        </w:rPr>
        <w:t xml:space="preserve">)  exist to explain the expected market return </w:t>
      </w:r>
      <w:r w:rsidR="00A335D9" w:rsidRPr="006F386A">
        <w:rPr>
          <w:rFonts w:hAnsi="Times New Roman" w:cs="Times New Roman"/>
        </w:rPr>
        <w:t xml:space="preserve">. In particular </w:t>
      </w:r>
      <w:r w:rsidR="000331FE" w:rsidRPr="006F386A">
        <w:rPr>
          <w:rFonts w:hAnsi="Times New Roman" w:cs="Times New Roman"/>
        </w:rPr>
        <w:t>Fama and French [8</w:t>
      </w:r>
      <w:r w:rsidR="00A335D9" w:rsidRPr="006F386A">
        <w:rPr>
          <w:rFonts w:hAnsi="Times New Roman" w:cs="Times New Roman"/>
        </w:rPr>
        <w:t>] showed that CAPM failed to explain the cross section of average return in US stock from 1962- 1990 As a result Fama French three factor model</w:t>
      </w:r>
      <w:r w:rsidR="000331FE" w:rsidRPr="006F386A">
        <w:rPr>
          <w:rFonts w:hAnsi="Times New Roman" w:cs="Times New Roman"/>
        </w:rPr>
        <w:t>([8], [11]</w:t>
      </w:r>
      <w:r w:rsidR="00A335D9" w:rsidRPr="006F386A">
        <w:rPr>
          <w:rFonts w:hAnsi="Times New Roman" w:cs="Times New Roman"/>
        </w:rPr>
        <w:t xml:space="preserve">) was introduced </w:t>
      </w:r>
      <w:r w:rsidR="008D58C7" w:rsidRPr="006F386A">
        <w:rPr>
          <w:rFonts w:hAnsi="Times New Roman" w:cs="Times New Roman"/>
        </w:rPr>
        <w:t xml:space="preserve">that established </w:t>
      </w:r>
      <w:r w:rsidR="00AD1E4A" w:rsidRPr="006F386A">
        <w:rPr>
          <w:rFonts w:hAnsi="Times New Roman" w:cs="Times New Roman"/>
        </w:rPr>
        <w:t>empirical</w:t>
      </w:r>
      <w:r w:rsidR="008D58C7" w:rsidRPr="006F386A">
        <w:rPr>
          <w:rFonts w:hAnsi="Times New Roman" w:cs="Times New Roman"/>
        </w:rPr>
        <w:t xml:space="preserve"> relationship between excess return with market risk, size factor and value factor. Its  three central findings are f</w:t>
      </w:r>
      <w:r w:rsidR="00A335D9" w:rsidRPr="006F386A">
        <w:rPr>
          <w:rFonts w:hAnsi="Times New Roman" w:cs="Times New Roman"/>
        </w:rPr>
        <w:t>irst</w:t>
      </w:r>
      <w:r w:rsidR="008D58C7" w:rsidRPr="006F386A">
        <w:rPr>
          <w:rFonts w:hAnsi="Times New Roman" w:cs="Times New Roman"/>
        </w:rPr>
        <w:t>ly</w:t>
      </w:r>
      <w:r w:rsidR="00A335D9" w:rsidRPr="006F386A">
        <w:rPr>
          <w:rFonts w:hAnsi="Times New Roman" w:cs="Times New Roman"/>
        </w:rPr>
        <w:t xml:space="preserve"> there are pervasive market-based, size-based and value-based risk factors in the United States stocks average earnings. Second</w:t>
      </w:r>
      <w:r w:rsidR="00030654" w:rsidRPr="006F386A">
        <w:rPr>
          <w:rFonts w:hAnsi="Times New Roman" w:cs="Times New Roman"/>
        </w:rPr>
        <w:t>ly</w:t>
      </w:r>
      <w:r w:rsidR="00A335D9" w:rsidRPr="006F386A">
        <w:rPr>
          <w:rFonts w:hAnsi="Times New Roman" w:cs="Times New Roman"/>
        </w:rPr>
        <w:t>, there exists a linear correlation between these factors and cross-sectional expected ave</w:t>
      </w:r>
      <w:r w:rsidR="008D58C7" w:rsidRPr="006F386A">
        <w:rPr>
          <w:rFonts w:hAnsi="Times New Roman" w:cs="Times New Roman"/>
        </w:rPr>
        <w:t>rage returns. And finally</w:t>
      </w:r>
      <w:r w:rsidR="00A335D9" w:rsidRPr="006F386A">
        <w:rPr>
          <w:rFonts w:hAnsi="Times New Roman" w:cs="Times New Roman"/>
        </w:rPr>
        <w:t xml:space="preserve">, these three risk factors are pervasive in United States earnings growth rates, and these earnings factors can be connected closely to the stocks return factors. </w:t>
      </w:r>
    </w:p>
    <w:p w:rsidR="00A10DEA" w:rsidRPr="006F386A" w:rsidRDefault="00A10DEA">
      <w:pPr>
        <w:pStyle w:val="Body"/>
        <w:jc w:val="both"/>
        <w:rPr>
          <w:rFonts w:hAnsi="Times New Roman" w:cs="Times New Roman"/>
        </w:rPr>
      </w:pPr>
    </w:p>
    <w:p w:rsidR="0029536A" w:rsidRPr="006F386A" w:rsidRDefault="0029536A">
      <w:pPr>
        <w:pStyle w:val="Body"/>
        <w:jc w:val="both"/>
        <w:rPr>
          <w:rFonts w:hAnsi="Times New Roman" w:cs="Times New Roman"/>
        </w:rPr>
      </w:pPr>
    </w:p>
    <w:p w:rsidR="00A335D9" w:rsidRPr="006F386A" w:rsidRDefault="00A42FA8" w:rsidP="00A335D9">
      <w:pPr>
        <w:pStyle w:val="Body"/>
        <w:jc w:val="both"/>
        <w:rPr>
          <w:rFonts w:hAnsi="Times New Roman" w:cs="Times New Roman"/>
        </w:rPr>
      </w:pPr>
      <w:r w:rsidRPr="006F386A">
        <w:rPr>
          <w:rFonts w:hAnsi="Times New Roman" w:cs="Times New Roman"/>
        </w:rPr>
        <w:t>It is imperative that b</w:t>
      </w:r>
      <w:r w:rsidR="00A335D9" w:rsidRPr="006F386A">
        <w:rPr>
          <w:rFonts w:hAnsi="Times New Roman" w:cs="Times New Roman"/>
        </w:rPr>
        <w:t>efore ma</w:t>
      </w:r>
      <w:r w:rsidRPr="006F386A">
        <w:rPr>
          <w:rFonts w:hAnsi="Times New Roman" w:cs="Times New Roman"/>
        </w:rPr>
        <w:t xml:space="preserve">king </w:t>
      </w:r>
      <w:r w:rsidR="000C4574" w:rsidRPr="006F386A">
        <w:rPr>
          <w:rFonts w:hAnsi="Times New Roman" w:cs="Times New Roman"/>
        </w:rPr>
        <w:t xml:space="preserve">any </w:t>
      </w:r>
      <w:r w:rsidRPr="006F386A">
        <w:rPr>
          <w:rFonts w:hAnsi="Times New Roman" w:cs="Times New Roman"/>
        </w:rPr>
        <w:t>investment decisions</w:t>
      </w:r>
      <w:r w:rsidR="00A335D9" w:rsidRPr="006F386A">
        <w:rPr>
          <w:rFonts w:hAnsi="Times New Roman" w:cs="Times New Roman"/>
        </w:rPr>
        <w:t>, investors should know what factors can affect expected average returns of stocks so that they can build an optimal portfolio (Amanda and Husodo,</w:t>
      </w:r>
      <w:r w:rsidR="007B4F95" w:rsidRPr="006F386A">
        <w:rPr>
          <w:rFonts w:hAnsi="Times New Roman" w:cs="Times New Roman"/>
        </w:rPr>
        <w:t xml:space="preserve">[12] </w:t>
      </w:r>
      <w:r w:rsidR="00A335D9" w:rsidRPr="006F386A">
        <w:rPr>
          <w:rFonts w:hAnsi="Times New Roman" w:cs="Times New Roman"/>
        </w:rPr>
        <w:t xml:space="preserve">). </w:t>
      </w:r>
      <w:r w:rsidR="00B72280" w:rsidRPr="006F386A">
        <w:rPr>
          <w:rFonts w:hAnsi="Times New Roman" w:cs="Times New Roman"/>
        </w:rPr>
        <w:t>Yet employing the wrong theory or model can result in serious inaccuracies in capital budgeting, investment evaluations, and r</w:t>
      </w:r>
      <w:r w:rsidR="00615208" w:rsidRPr="006F386A">
        <w:rPr>
          <w:rFonts w:hAnsi="Times New Roman" w:cs="Times New Roman"/>
        </w:rPr>
        <w:t>isk analysis decisions (Griffin [13]</w:t>
      </w:r>
      <w:r w:rsidR="00B72280" w:rsidRPr="006F386A">
        <w:rPr>
          <w:rFonts w:hAnsi="Times New Roman" w:cs="Times New Roman"/>
        </w:rPr>
        <w:t xml:space="preserve">) and not all these theories created can work effectively in different financial markets and period of times. In other words, many anomalies or problems could arise when applying them in different international market conditions which have motivated academics to investigate these theories or models more occasionally in order to prove that they are still available and reliable up to date. </w:t>
      </w:r>
    </w:p>
    <w:p w:rsidR="00082ECE" w:rsidRPr="006F386A" w:rsidRDefault="00082ECE">
      <w:pPr>
        <w:pStyle w:val="Body"/>
        <w:spacing w:after="240"/>
        <w:jc w:val="both"/>
        <w:rPr>
          <w:rFonts w:hAnsi="Times New Roman" w:cs="Times New Roman"/>
          <w:b/>
          <w:bCs/>
        </w:rPr>
      </w:pPr>
    </w:p>
    <w:p w:rsidR="00A335D9" w:rsidRPr="006F386A" w:rsidRDefault="00B72280">
      <w:pPr>
        <w:pStyle w:val="Body"/>
        <w:spacing w:after="240"/>
        <w:jc w:val="both"/>
        <w:rPr>
          <w:rFonts w:hAnsi="Times New Roman" w:cs="Times New Roman"/>
          <w:b/>
          <w:bCs/>
          <w:i/>
          <w:iCs/>
          <w:lang w:val="en-GB"/>
        </w:rPr>
      </w:pPr>
      <w:r w:rsidRPr="006F386A">
        <w:rPr>
          <w:rFonts w:hAnsi="Times New Roman" w:cs="Times New Roman"/>
        </w:rPr>
        <w:t>This research attempt</w:t>
      </w:r>
      <w:r w:rsidR="00082ECE" w:rsidRPr="006F386A">
        <w:rPr>
          <w:rFonts w:hAnsi="Times New Roman" w:cs="Times New Roman"/>
        </w:rPr>
        <w:t>s</w:t>
      </w:r>
      <w:r w:rsidRPr="006F386A">
        <w:rPr>
          <w:rFonts w:hAnsi="Times New Roman" w:cs="Times New Roman"/>
        </w:rPr>
        <w:t xml:space="preserve"> to investigate the </w:t>
      </w:r>
      <w:r w:rsidR="00082ECE" w:rsidRPr="006F386A">
        <w:rPr>
          <w:rFonts w:hAnsi="Times New Roman" w:cs="Times New Roman"/>
        </w:rPr>
        <w:t xml:space="preserve">relevancy of </w:t>
      </w:r>
      <w:r w:rsidRPr="006F386A">
        <w:rPr>
          <w:rFonts w:hAnsi="Times New Roman" w:cs="Times New Roman"/>
        </w:rPr>
        <w:t>predicting power of</w:t>
      </w:r>
      <w:r w:rsidR="00082ECE" w:rsidRPr="006F386A">
        <w:rPr>
          <w:rFonts w:hAnsi="Times New Roman" w:cs="Times New Roman"/>
        </w:rPr>
        <w:t xml:space="preserve"> single factor and multi-factor </w:t>
      </w:r>
      <w:r w:rsidRPr="006F386A">
        <w:rPr>
          <w:rFonts w:hAnsi="Times New Roman" w:cs="Times New Roman"/>
        </w:rPr>
        <w:t>models in case of United Kingdom stock market</w:t>
      </w:r>
      <w:r w:rsidR="00082ECE" w:rsidRPr="006F386A">
        <w:rPr>
          <w:rFonts w:hAnsi="Times New Roman" w:cs="Times New Roman"/>
        </w:rPr>
        <w:t xml:space="preserve"> post global financial crisis</w:t>
      </w:r>
      <w:r w:rsidRPr="006F386A">
        <w:rPr>
          <w:rFonts w:hAnsi="Times New Roman" w:cs="Times New Roman"/>
        </w:rPr>
        <w:t xml:space="preserve">. In other words, this study will test and compare the robustness of the single-factor (CAPM) and multi-factor model (Fama and French three-factor model) in asset pricing for FTSE100 </w:t>
      </w:r>
      <w:r w:rsidRPr="006F386A">
        <w:rPr>
          <w:rFonts w:hAnsi="Times New Roman" w:cs="Times New Roman"/>
        </w:rPr>
        <w:lastRenderedPageBreak/>
        <w:t xml:space="preserve">securities listed in London Stock </w:t>
      </w:r>
      <w:r w:rsidR="00A1774B" w:rsidRPr="006F386A">
        <w:rPr>
          <w:rFonts w:hAnsi="Times New Roman" w:cs="Times New Roman"/>
        </w:rPr>
        <w:t>Exchange (LSE) period 2009-2013 post global financial crisis.</w:t>
      </w:r>
    </w:p>
    <w:p w:rsidR="00F43885" w:rsidRPr="006F386A" w:rsidRDefault="00A1774B">
      <w:pPr>
        <w:pStyle w:val="Body"/>
        <w:spacing w:after="240"/>
        <w:jc w:val="both"/>
        <w:rPr>
          <w:rFonts w:hAnsi="Times New Roman" w:cs="Times New Roman"/>
        </w:rPr>
      </w:pPr>
      <w:r w:rsidRPr="006F386A">
        <w:rPr>
          <w:rFonts w:hAnsi="Times New Roman" w:cs="Times New Roman"/>
        </w:rPr>
        <w:t>The study constructed six cross sectional portfolios</w:t>
      </w:r>
      <w:r w:rsidR="00821C62" w:rsidRPr="006F386A">
        <w:rPr>
          <w:rFonts w:hAnsi="Times New Roman" w:cs="Times New Roman"/>
        </w:rPr>
        <w:t xml:space="preserve"> namely Small Cap Low Value (S/L), Small Cap Medium Value (S/M), Small Cap High Value( S/H), Big Cap Low Value (B/L), Big Cap Medium Value(B/M) and Big Cap High Value (B/H)</w:t>
      </w:r>
      <w:r w:rsidR="00FB79A5" w:rsidRPr="006F386A">
        <w:rPr>
          <w:rFonts w:hAnsi="Times New Roman" w:cs="Times New Roman"/>
        </w:rPr>
        <w:t xml:space="preserve"> </w:t>
      </w:r>
      <w:r w:rsidR="00821C62" w:rsidRPr="006F386A">
        <w:rPr>
          <w:rFonts w:hAnsi="Times New Roman" w:cs="Times New Roman"/>
        </w:rPr>
        <w:t xml:space="preserve">. </w:t>
      </w:r>
      <w:r w:rsidR="00B72280" w:rsidRPr="006F386A">
        <w:rPr>
          <w:rFonts w:hAnsi="Times New Roman" w:cs="Times New Roman"/>
        </w:rPr>
        <w:t xml:space="preserve"> </w:t>
      </w:r>
      <w:r w:rsidR="00821C62" w:rsidRPr="006F386A">
        <w:rPr>
          <w:rFonts w:hAnsi="Times New Roman" w:cs="Times New Roman"/>
        </w:rPr>
        <w:t xml:space="preserve">Upon  testing all six portfolios </w:t>
      </w:r>
      <w:r w:rsidR="00FB79A5" w:rsidRPr="006F386A">
        <w:rPr>
          <w:rFonts w:hAnsi="Times New Roman" w:cs="Times New Roman"/>
        </w:rPr>
        <w:t xml:space="preserve">it </w:t>
      </w:r>
      <w:r w:rsidR="00821C62" w:rsidRPr="006F386A">
        <w:rPr>
          <w:rFonts w:hAnsi="Times New Roman" w:cs="Times New Roman"/>
        </w:rPr>
        <w:t xml:space="preserve">was found that </w:t>
      </w:r>
      <w:r w:rsidR="00FB79A5" w:rsidRPr="006F386A">
        <w:rPr>
          <w:rFonts w:hAnsi="Times New Roman" w:cs="Times New Roman"/>
        </w:rPr>
        <w:t xml:space="preserve">all three risk factors </w:t>
      </w:r>
      <w:r w:rsidR="00B72280" w:rsidRPr="006F386A">
        <w:rPr>
          <w:rFonts w:hAnsi="Times New Roman" w:cs="Times New Roman"/>
        </w:rPr>
        <w:t>market</w:t>
      </w:r>
      <w:r w:rsidR="00FB79A5" w:rsidRPr="006F386A">
        <w:rPr>
          <w:rFonts w:hAnsi="Times New Roman" w:cs="Times New Roman"/>
        </w:rPr>
        <w:t>,</w:t>
      </w:r>
      <w:r w:rsidR="00B72280" w:rsidRPr="006F386A">
        <w:rPr>
          <w:rFonts w:hAnsi="Times New Roman" w:cs="Times New Roman"/>
        </w:rPr>
        <w:t xml:space="preserve"> </w:t>
      </w:r>
      <w:r w:rsidR="00FB79A5" w:rsidRPr="006F386A">
        <w:rPr>
          <w:rFonts w:hAnsi="Times New Roman" w:cs="Times New Roman"/>
        </w:rPr>
        <w:t>size (SMB) and value (HML)</w:t>
      </w:r>
      <w:r w:rsidR="00B72280" w:rsidRPr="006F386A">
        <w:rPr>
          <w:rFonts w:hAnsi="Times New Roman" w:cs="Times New Roman"/>
        </w:rPr>
        <w:t xml:space="preserve"> are important </w:t>
      </w:r>
      <w:r w:rsidR="00FB79A5" w:rsidRPr="006F386A">
        <w:rPr>
          <w:rFonts w:hAnsi="Times New Roman" w:cs="Times New Roman"/>
        </w:rPr>
        <w:t xml:space="preserve">in </w:t>
      </w:r>
      <w:r w:rsidR="00B72280" w:rsidRPr="006F386A">
        <w:rPr>
          <w:rFonts w:hAnsi="Times New Roman" w:cs="Times New Roman"/>
        </w:rPr>
        <w:t>explaining the variations in excess returns of portfolios</w:t>
      </w:r>
      <w:r w:rsidR="00FB79A5" w:rsidRPr="006F386A">
        <w:rPr>
          <w:rFonts w:hAnsi="Times New Roman" w:cs="Times New Roman"/>
        </w:rPr>
        <w:t xml:space="preserve"> which is consistent with </w:t>
      </w:r>
      <w:r w:rsidRPr="006F386A">
        <w:rPr>
          <w:rFonts w:hAnsi="Times New Roman" w:cs="Times New Roman"/>
        </w:rPr>
        <w:t xml:space="preserve"> </w:t>
      </w:r>
      <w:r w:rsidR="00615208" w:rsidRPr="006F386A">
        <w:rPr>
          <w:rFonts w:hAnsi="Times New Roman" w:cs="Times New Roman"/>
        </w:rPr>
        <w:t xml:space="preserve">Fama and French [11] </w:t>
      </w:r>
      <w:r w:rsidR="00B72280" w:rsidRPr="006F386A">
        <w:rPr>
          <w:rFonts w:hAnsi="Times New Roman" w:cs="Times New Roman"/>
        </w:rPr>
        <w:t>result. However, the market</w:t>
      </w:r>
      <w:r w:rsidR="00FB79A5" w:rsidRPr="006F386A">
        <w:rPr>
          <w:rFonts w:hAnsi="Times New Roman" w:cs="Times New Roman"/>
        </w:rPr>
        <w:t xml:space="preserve"> factor was shown more</w:t>
      </w:r>
      <w:r w:rsidR="00196ED8" w:rsidRPr="006F386A">
        <w:rPr>
          <w:rFonts w:hAnsi="Times New Roman" w:cs="Times New Roman"/>
        </w:rPr>
        <w:t xml:space="preserve"> to be</w:t>
      </w:r>
      <w:r w:rsidR="00B72280" w:rsidRPr="006F386A">
        <w:rPr>
          <w:rFonts w:hAnsi="Times New Roman" w:cs="Times New Roman"/>
          <w:lang w:val="en-GB"/>
        </w:rPr>
        <w:t xml:space="preserve"> more</w:t>
      </w:r>
      <w:r w:rsidR="00B72280" w:rsidRPr="006F386A">
        <w:rPr>
          <w:rFonts w:hAnsi="Times New Roman" w:cs="Times New Roman"/>
        </w:rPr>
        <w:t xml:space="preserve"> significant than other two</w:t>
      </w:r>
      <w:r w:rsidR="00FB79A5" w:rsidRPr="006F386A">
        <w:rPr>
          <w:rFonts w:hAnsi="Times New Roman" w:cs="Times New Roman"/>
        </w:rPr>
        <w:t>.</w:t>
      </w:r>
      <w:r w:rsidR="00B72280" w:rsidRPr="006F386A">
        <w:rPr>
          <w:rFonts w:hAnsi="Times New Roman" w:cs="Times New Roman"/>
        </w:rPr>
        <w:t xml:space="preserve">  For instance, the size risk factor (SMB) only play</w:t>
      </w:r>
      <w:r w:rsidR="00196ED8" w:rsidRPr="006F386A">
        <w:rPr>
          <w:rFonts w:hAnsi="Times New Roman" w:cs="Times New Roman"/>
        </w:rPr>
        <w:t>ed</w:t>
      </w:r>
      <w:r w:rsidR="00B72280" w:rsidRPr="006F386A">
        <w:rPr>
          <w:rFonts w:hAnsi="Times New Roman" w:cs="Times New Roman"/>
        </w:rPr>
        <w:t xml:space="preserve"> an important role in explaining small si</w:t>
      </w:r>
      <w:r w:rsidR="00196ED8" w:rsidRPr="006F386A">
        <w:rPr>
          <w:rFonts w:hAnsi="Times New Roman" w:cs="Times New Roman"/>
        </w:rPr>
        <w:t>ze portfolios returns but it had</w:t>
      </w:r>
      <w:r w:rsidR="00B72280" w:rsidRPr="006F386A">
        <w:rPr>
          <w:rFonts w:hAnsi="Times New Roman" w:cs="Times New Roman"/>
        </w:rPr>
        <w:t xml:space="preserve"> no effect on the average returns</w:t>
      </w:r>
      <w:r w:rsidR="00196ED8" w:rsidRPr="006F386A">
        <w:rPr>
          <w:rFonts w:hAnsi="Times New Roman" w:cs="Times New Roman"/>
        </w:rPr>
        <w:t xml:space="preserve"> of large-scale portfolio. Further, </w:t>
      </w:r>
      <w:r w:rsidR="00B72280" w:rsidRPr="006F386A">
        <w:rPr>
          <w:rFonts w:hAnsi="Times New Roman" w:cs="Times New Roman"/>
        </w:rPr>
        <w:t xml:space="preserve">three factors (market, size and value risk factor) together in Fama-French three-factor model and market risk factor in traditional CAPM model has explanatory power the considerable part of the variation on excess portfolio monthly returns for each portfolio at the significant level of 1%.  </w:t>
      </w:r>
      <w:r w:rsidR="00196ED8" w:rsidRPr="006F386A">
        <w:rPr>
          <w:rFonts w:hAnsi="Times New Roman" w:cs="Times New Roman"/>
        </w:rPr>
        <w:t xml:space="preserve">Finally </w:t>
      </w:r>
      <w:r w:rsidR="00B72280" w:rsidRPr="006F386A">
        <w:rPr>
          <w:rFonts w:hAnsi="Times New Roman" w:cs="Times New Roman"/>
        </w:rPr>
        <w:t>the performance of Fama-French three-factor model</w:t>
      </w:r>
      <w:r w:rsidR="00196ED8" w:rsidRPr="006F386A">
        <w:rPr>
          <w:rFonts w:hAnsi="Times New Roman" w:cs="Times New Roman"/>
        </w:rPr>
        <w:t xml:space="preserve"> in terms of adjusted R-square values</w:t>
      </w:r>
      <w:r w:rsidR="00B72280" w:rsidRPr="006F386A">
        <w:rPr>
          <w:rFonts w:hAnsi="Times New Roman" w:cs="Times New Roman"/>
        </w:rPr>
        <w:t xml:space="preserve"> is</w:t>
      </w:r>
      <w:r w:rsidR="00196ED8" w:rsidRPr="006F386A">
        <w:rPr>
          <w:rFonts w:hAnsi="Times New Roman" w:cs="Times New Roman"/>
        </w:rPr>
        <w:t xml:space="preserve"> better than that of CAPM model,</w:t>
      </w:r>
      <w:r w:rsidR="00B72280" w:rsidRPr="006F386A">
        <w:rPr>
          <w:rFonts w:hAnsi="Times New Roman" w:cs="Times New Roman"/>
        </w:rPr>
        <w:t xml:space="preserve"> particularly in high book-to-market value portfolios (S/H, B/H). This finding is consistent study of Al-Mwalla and Karasneh </w:t>
      </w:r>
      <w:r w:rsidR="00F059F6" w:rsidRPr="006F386A">
        <w:rPr>
          <w:rFonts w:hAnsi="Times New Roman" w:cs="Times New Roman"/>
        </w:rPr>
        <w:t>[14]</w:t>
      </w:r>
    </w:p>
    <w:p w:rsidR="00F43885" w:rsidRPr="006F386A" w:rsidRDefault="00B72280">
      <w:pPr>
        <w:pStyle w:val="Body"/>
        <w:jc w:val="both"/>
        <w:rPr>
          <w:rFonts w:hAnsi="Times New Roman" w:cs="Times New Roman"/>
        </w:rPr>
      </w:pPr>
      <w:r w:rsidRPr="006F386A">
        <w:rPr>
          <w:rFonts w:hAnsi="Times New Roman" w:cs="Times New Roman"/>
        </w:rPr>
        <w:t>The paper is organized as follows: ‘Literature Review</w:t>
      </w:r>
      <w:r w:rsidRPr="006F386A">
        <w:rPr>
          <w:rFonts w:hAnsi="Times New Roman" w:cs="Times New Roman"/>
          <w:lang w:val="fr-FR"/>
        </w:rPr>
        <w:t xml:space="preserve">’ </w:t>
      </w:r>
      <w:r w:rsidRPr="006F386A">
        <w:rPr>
          <w:rFonts w:hAnsi="Times New Roman" w:cs="Times New Roman"/>
        </w:rPr>
        <w:t>section provides a review of the relevant literature, ‘Data and Methodology</w:t>
      </w:r>
      <w:r w:rsidRPr="006F386A">
        <w:rPr>
          <w:rFonts w:hAnsi="Times New Roman" w:cs="Times New Roman"/>
          <w:lang w:val="fr-FR"/>
        </w:rPr>
        <w:t xml:space="preserve">’ </w:t>
      </w:r>
      <w:r w:rsidRPr="006F386A">
        <w:rPr>
          <w:rFonts w:hAnsi="Times New Roman" w:cs="Times New Roman"/>
        </w:rPr>
        <w:t>section discusses the data and describes the methodology, ‘Empirical Results and Discussion</w:t>
      </w:r>
      <w:r w:rsidRPr="006F386A">
        <w:rPr>
          <w:rFonts w:hAnsi="Times New Roman" w:cs="Times New Roman"/>
          <w:lang w:val="fr-FR"/>
        </w:rPr>
        <w:t xml:space="preserve">’ </w:t>
      </w:r>
      <w:r w:rsidRPr="006F386A">
        <w:rPr>
          <w:rFonts w:hAnsi="Times New Roman" w:cs="Times New Roman"/>
        </w:rPr>
        <w:t>section presents empirical results and discussion of the main findings and the last section concludes</w:t>
      </w:r>
    </w:p>
    <w:p w:rsidR="00F43885" w:rsidRPr="006F386A" w:rsidRDefault="00F43885">
      <w:pPr>
        <w:pStyle w:val="Body"/>
        <w:jc w:val="both"/>
        <w:rPr>
          <w:rFonts w:hAnsi="Times New Roman" w:cs="Times New Roman"/>
        </w:rPr>
      </w:pPr>
    </w:p>
    <w:p w:rsidR="008D58C7" w:rsidRPr="006F386A" w:rsidRDefault="008D58C7">
      <w:pPr>
        <w:pStyle w:val="Body"/>
        <w:jc w:val="both"/>
        <w:rPr>
          <w:rFonts w:hAnsi="Times New Roman" w:cs="Times New Roman"/>
        </w:rPr>
      </w:pPr>
    </w:p>
    <w:p w:rsidR="00F43885" w:rsidRPr="006F386A" w:rsidRDefault="00F43885">
      <w:pPr>
        <w:pStyle w:val="Body"/>
        <w:spacing w:line="276" w:lineRule="auto"/>
        <w:jc w:val="both"/>
        <w:rPr>
          <w:rFonts w:hAnsi="Times New Roman" w:cs="Times New Roman"/>
        </w:rPr>
      </w:pPr>
    </w:p>
    <w:p w:rsidR="00F43885" w:rsidRPr="006F386A" w:rsidRDefault="00B72280">
      <w:pPr>
        <w:pStyle w:val="Body"/>
        <w:spacing w:line="480" w:lineRule="auto"/>
        <w:rPr>
          <w:rFonts w:hAnsi="Times New Roman" w:cs="Times New Roman"/>
          <w:b/>
          <w:bCs/>
        </w:rPr>
      </w:pPr>
      <w:r w:rsidRPr="006F386A">
        <w:rPr>
          <w:rFonts w:hAnsi="Times New Roman" w:cs="Times New Roman"/>
          <w:b/>
          <w:bCs/>
        </w:rPr>
        <w:t>2. Literature Review</w:t>
      </w:r>
    </w:p>
    <w:p w:rsidR="00F43885" w:rsidRPr="006F386A" w:rsidRDefault="00B72280" w:rsidP="00B66799">
      <w:pPr>
        <w:pStyle w:val="Body"/>
        <w:spacing w:after="240"/>
        <w:jc w:val="both"/>
        <w:rPr>
          <w:rFonts w:hAnsi="Times New Roman" w:cs="Times New Roman"/>
          <w:b/>
          <w:bCs/>
        </w:rPr>
      </w:pPr>
      <w:r w:rsidRPr="006F386A">
        <w:rPr>
          <w:rFonts w:hAnsi="Times New Roman" w:cs="Times New Roman"/>
        </w:rPr>
        <w:t>Capital Asset Pricing Model (CAPM), proposed by Sharp</w:t>
      </w:r>
      <w:r w:rsidR="000A0A2B" w:rsidRPr="006F386A">
        <w:rPr>
          <w:rFonts w:hAnsi="Times New Roman" w:cs="Times New Roman"/>
        </w:rPr>
        <w:t>e [3], Lintner [4] and Black [15]</w:t>
      </w:r>
      <w:r w:rsidR="000C4574" w:rsidRPr="006F386A">
        <w:rPr>
          <w:rFonts w:hAnsi="Times New Roman" w:cs="Times New Roman"/>
        </w:rPr>
        <w:t xml:space="preserve">, has been considered as the fundamental </w:t>
      </w:r>
      <w:r w:rsidRPr="006F386A">
        <w:rPr>
          <w:rFonts w:hAnsi="Times New Roman" w:cs="Times New Roman"/>
        </w:rPr>
        <w:t xml:space="preserve"> </w:t>
      </w:r>
      <w:r w:rsidR="00FA4E7A" w:rsidRPr="006F386A">
        <w:rPr>
          <w:rFonts w:hAnsi="Times New Roman" w:cs="Times New Roman"/>
        </w:rPr>
        <w:t xml:space="preserve">empirical relationship </w:t>
      </w:r>
      <w:r w:rsidRPr="006F386A">
        <w:rPr>
          <w:rFonts w:hAnsi="Times New Roman" w:cs="Times New Roman"/>
        </w:rPr>
        <w:t>between the average return on the individual risky assets or securities and their m</w:t>
      </w:r>
      <w:r w:rsidR="003B51A7" w:rsidRPr="006F386A">
        <w:rPr>
          <w:rFonts w:hAnsi="Times New Roman" w:cs="Times New Roman"/>
        </w:rPr>
        <w:t>arket beta (Bartholdy and Peare [16]</w:t>
      </w:r>
      <w:r w:rsidRPr="006F386A">
        <w:rPr>
          <w:rFonts w:hAnsi="Times New Roman" w:cs="Times New Roman"/>
        </w:rPr>
        <w:t>). This relationship is linear, and the Beta coefficient can be considered as index</w:t>
      </w:r>
      <w:r w:rsidR="00B66799" w:rsidRPr="006F386A">
        <w:rPr>
          <w:rFonts w:hAnsi="Times New Roman" w:cs="Times New Roman"/>
        </w:rPr>
        <w:t xml:space="preserve"> of</w:t>
      </w:r>
      <w:r w:rsidRPr="006F386A">
        <w:rPr>
          <w:rFonts w:hAnsi="Times New Roman" w:cs="Times New Roman"/>
        </w:rPr>
        <w:t xml:space="preserve"> the security</w:t>
      </w:r>
      <w:r w:rsidRPr="006F386A">
        <w:rPr>
          <w:rFonts w:hAnsi="Times New Roman" w:cs="Times New Roman"/>
          <w:lang w:val="fr-FR"/>
        </w:rPr>
        <w:t>’</w:t>
      </w:r>
      <w:r w:rsidRPr="006F386A">
        <w:rPr>
          <w:rFonts w:hAnsi="Times New Roman" w:cs="Times New Roman"/>
        </w:rPr>
        <w:t>s systematic risk to the market portfolio (Sh</w:t>
      </w:r>
      <w:r w:rsidR="00AA78C8" w:rsidRPr="006F386A">
        <w:rPr>
          <w:rFonts w:hAnsi="Times New Roman" w:cs="Times New Roman"/>
        </w:rPr>
        <w:t>arpe</w:t>
      </w:r>
      <w:r w:rsidR="00591D1B" w:rsidRPr="006F386A">
        <w:rPr>
          <w:rFonts w:hAnsi="Times New Roman" w:cs="Times New Roman"/>
        </w:rPr>
        <w:t xml:space="preserve"> [3] and Lintner, [4]</w:t>
      </w:r>
      <w:r w:rsidR="00AA78C8" w:rsidRPr="006F386A">
        <w:rPr>
          <w:rFonts w:hAnsi="Times New Roman" w:cs="Times New Roman"/>
        </w:rPr>
        <w:t xml:space="preserve">). </w:t>
      </w:r>
      <w:r w:rsidRPr="006F386A">
        <w:rPr>
          <w:rFonts w:hAnsi="Times New Roman" w:cs="Times New Roman"/>
        </w:rPr>
        <w:t>Black, Jensen and Sc</w:t>
      </w:r>
      <w:r w:rsidR="00BE3042" w:rsidRPr="006F386A">
        <w:rPr>
          <w:rFonts w:hAnsi="Times New Roman" w:cs="Times New Roman"/>
        </w:rPr>
        <w:t xml:space="preserve">holes </w:t>
      </w:r>
      <w:r w:rsidR="00591D1B" w:rsidRPr="006F386A">
        <w:rPr>
          <w:rFonts w:hAnsi="Times New Roman" w:cs="Times New Roman"/>
        </w:rPr>
        <w:t xml:space="preserve">[15] </w:t>
      </w:r>
      <w:r w:rsidR="00BE3042" w:rsidRPr="006F386A">
        <w:rPr>
          <w:rFonts w:hAnsi="Times New Roman" w:cs="Times New Roman"/>
        </w:rPr>
        <w:t>study</w:t>
      </w:r>
      <w:r w:rsidRPr="006F386A">
        <w:rPr>
          <w:rFonts w:hAnsi="Times New Roman" w:cs="Times New Roman"/>
        </w:rPr>
        <w:t xml:space="preserve"> on New York Stock Exchange from 1926 to 1966</w:t>
      </w:r>
      <w:r w:rsidR="00BE3042" w:rsidRPr="006F386A">
        <w:rPr>
          <w:rFonts w:hAnsi="Times New Roman" w:cs="Times New Roman"/>
        </w:rPr>
        <w:t xml:space="preserve"> using</w:t>
      </w:r>
      <w:r w:rsidRPr="006F386A">
        <w:rPr>
          <w:rFonts w:hAnsi="Times New Roman" w:cs="Times New Roman"/>
        </w:rPr>
        <w:t xml:space="preserve"> time series method </w:t>
      </w:r>
      <w:r w:rsidR="00BE3042" w:rsidRPr="006F386A">
        <w:rPr>
          <w:rFonts w:hAnsi="Times New Roman" w:cs="Times New Roman"/>
        </w:rPr>
        <w:t xml:space="preserve">further corroborated </w:t>
      </w:r>
      <w:r w:rsidRPr="006F386A">
        <w:rPr>
          <w:rFonts w:hAnsi="Times New Roman" w:cs="Times New Roman"/>
        </w:rPr>
        <w:t>the model</w:t>
      </w:r>
      <w:r w:rsidR="00BE3042" w:rsidRPr="006F386A">
        <w:rPr>
          <w:rFonts w:hAnsi="Times New Roman" w:cs="Times New Roman"/>
        </w:rPr>
        <w:t>'s</w:t>
      </w:r>
      <w:r w:rsidRPr="006F386A">
        <w:rPr>
          <w:rFonts w:hAnsi="Times New Roman" w:cs="Times New Roman"/>
        </w:rPr>
        <w:t xml:space="preserve"> validity. They concluded that the variations in expected average return across stocks can be explained by variations in market bet</w:t>
      </w:r>
      <w:r w:rsidR="00591D1B" w:rsidRPr="006F386A">
        <w:rPr>
          <w:rFonts w:hAnsi="Times New Roman" w:cs="Times New Roman"/>
        </w:rPr>
        <w:t>a. Then, Fama and MacBeth [5]</w:t>
      </w:r>
      <w:r w:rsidRPr="006F386A">
        <w:rPr>
          <w:rFonts w:hAnsi="Times New Roman" w:cs="Times New Roman"/>
        </w:rPr>
        <w:t xml:space="preserve"> added squared market beta and residual variances as two new variables from the regression of returns on the market. </w:t>
      </w:r>
    </w:p>
    <w:p w:rsidR="00F43885" w:rsidRPr="006F386A" w:rsidRDefault="005A1558" w:rsidP="00B86594">
      <w:pPr>
        <w:pStyle w:val="Body"/>
        <w:spacing w:before="240" w:after="240"/>
        <w:jc w:val="both"/>
        <w:rPr>
          <w:rFonts w:hAnsi="Times New Roman" w:cs="Times New Roman"/>
        </w:rPr>
      </w:pPr>
      <w:r w:rsidRPr="006F386A">
        <w:rPr>
          <w:rFonts w:hAnsi="Times New Roman" w:cs="Times New Roman"/>
        </w:rPr>
        <w:t xml:space="preserve">Nonetheless, </w:t>
      </w:r>
      <w:r w:rsidR="00776808" w:rsidRPr="006F386A">
        <w:rPr>
          <w:rFonts w:hAnsi="Times New Roman" w:cs="Times New Roman"/>
        </w:rPr>
        <w:t xml:space="preserve">several </w:t>
      </w:r>
      <w:r w:rsidRPr="006F386A">
        <w:rPr>
          <w:rFonts w:hAnsi="Times New Roman" w:cs="Times New Roman"/>
        </w:rPr>
        <w:t>papers since</w:t>
      </w:r>
      <w:r w:rsidR="00B72280" w:rsidRPr="006F386A">
        <w:rPr>
          <w:rFonts w:hAnsi="Times New Roman" w:cs="Times New Roman"/>
        </w:rPr>
        <w:t xml:space="preserve"> 1980 have </w:t>
      </w:r>
      <w:r w:rsidR="00467EDC" w:rsidRPr="006F386A">
        <w:rPr>
          <w:rFonts w:hAnsi="Times New Roman" w:cs="Times New Roman"/>
        </w:rPr>
        <w:t xml:space="preserve">impugned </w:t>
      </w:r>
      <w:r w:rsidR="00B72280" w:rsidRPr="006F386A">
        <w:rPr>
          <w:rFonts w:hAnsi="Times New Roman" w:cs="Times New Roman"/>
        </w:rPr>
        <w:t>t</w:t>
      </w:r>
      <w:r w:rsidR="00467EDC" w:rsidRPr="006F386A">
        <w:rPr>
          <w:rFonts w:hAnsi="Times New Roman" w:cs="Times New Roman"/>
        </w:rPr>
        <w:t>he usefulness of the CAPM model</w:t>
      </w:r>
      <w:r w:rsidR="00B72280" w:rsidRPr="006F386A">
        <w:rPr>
          <w:rFonts w:hAnsi="Times New Roman" w:cs="Times New Roman"/>
        </w:rPr>
        <w:t>.. For instance,</w:t>
      </w:r>
      <w:r w:rsidR="00591D1B" w:rsidRPr="006F386A">
        <w:rPr>
          <w:rFonts w:hAnsi="Times New Roman" w:cs="Times New Roman"/>
        </w:rPr>
        <w:t xml:space="preserve"> Banz [7]</w:t>
      </w:r>
      <w:r w:rsidR="00291A7D" w:rsidRPr="006F386A">
        <w:rPr>
          <w:rFonts w:hAnsi="Times New Roman" w:cs="Times New Roman"/>
        </w:rPr>
        <w:t xml:space="preserve"> found </w:t>
      </w:r>
      <w:r w:rsidR="00B72280" w:rsidRPr="006F386A">
        <w:rPr>
          <w:rFonts w:hAnsi="Times New Roman" w:cs="Times New Roman"/>
        </w:rPr>
        <w:t>that small stocks have a higher return than</w:t>
      </w:r>
      <w:r w:rsidR="00291A7D" w:rsidRPr="006F386A">
        <w:rPr>
          <w:rFonts w:hAnsi="Times New Roman" w:cs="Times New Roman"/>
        </w:rPr>
        <w:t xml:space="preserve"> expected </w:t>
      </w:r>
      <w:r w:rsidR="00B72280" w:rsidRPr="006F386A">
        <w:rPr>
          <w:rFonts w:hAnsi="Times New Roman" w:cs="Times New Roman"/>
        </w:rPr>
        <w:t xml:space="preserve">while </w:t>
      </w:r>
      <w:r w:rsidR="00591D1B" w:rsidRPr="006F386A">
        <w:rPr>
          <w:rFonts w:hAnsi="Times New Roman" w:cs="Times New Roman"/>
        </w:rPr>
        <w:t>Bhandari [17]</w:t>
      </w:r>
      <w:r w:rsidR="00291A7D" w:rsidRPr="006F386A">
        <w:rPr>
          <w:rFonts w:hAnsi="Times New Roman" w:cs="Times New Roman"/>
        </w:rPr>
        <w:t xml:space="preserve"> showed that</w:t>
      </w:r>
      <w:r w:rsidR="00B72280" w:rsidRPr="006F386A">
        <w:rPr>
          <w:rFonts w:hAnsi="Times New Roman" w:cs="Times New Roman"/>
        </w:rPr>
        <w:t xml:space="preserve"> leverage stocks earned greater returns relative to t</w:t>
      </w:r>
      <w:r w:rsidR="00591D1B" w:rsidRPr="006F386A">
        <w:rPr>
          <w:rFonts w:hAnsi="Times New Roman" w:cs="Times New Roman"/>
        </w:rPr>
        <w:t>heir market betas (Bhandari [17]</w:t>
      </w:r>
      <w:r w:rsidR="00B72280" w:rsidRPr="006F386A">
        <w:rPr>
          <w:rFonts w:hAnsi="Times New Roman" w:cs="Times New Roman"/>
        </w:rPr>
        <w:t xml:space="preserve">). This adverse correlation between company size and expected average returns and a positive correlation between book-to-market value and expected average returns are considered as CAPM anomalies. These pricing anomalies can be explained by two competing sets of financial theories </w:t>
      </w:r>
      <w:r w:rsidRPr="006F386A">
        <w:rPr>
          <w:rFonts w:hAnsi="Times New Roman" w:cs="Times New Roman"/>
        </w:rPr>
        <w:t xml:space="preserve">namely </w:t>
      </w:r>
      <w:r w:rsidR="004715D1" w:rsidRPr="006F386A">
        <w:rPr>
          <w:rFonts w:hAnsi="Times New Roman" w:cs="Times New Roman"/>
        </w:rPr>
        <w:t>risk-based and non-risk-based (Tai [18]</w:t>
      </w:r>
      <w:r w:rsidR="00B72280" w:rsidRPr="006F386A">
        <w:rPr>
          <w:rFonts w:hAnsi="Times New Roman" w:cs="Times New Roman"/>
        </w:rPr>
        <w:t xml:space="preserve">). </w:t>
      </w:r>
      <w:r w:rsidRPr="006F386A">
        <w:rPr>
          <w:rFonts w:hAnsi="Times New Roman" w:cs="Times New Roman"/>
        </w:rPr>
        <w:t xml:space="preserve">According to </w:t>
      </w:r>
      <w:r w:rsidR="00B72280" w:rsidRPr="006F386A">
        <w:rPr>
          <w:rFonts w:hAnsi="Times New Roman" w:cs="Times New Roman"/>
        </w:rPr>
        <w:t xml:space="preserve">the non-risk-based explanations stocks mispricing </w:t>
      </w:r>
      <w:r w:rsidRPr="006F386A">
        <w:rPr>
          <w:rFonts w:hAnsi="Times New Roman" w:cs="Times New Roman"/>
        </w:rPr>
        <w:t>is caused by</w:t>
      </w:r>
      <w:r w:rsidR="00B72280" w:rsidRPr="006F386A">
        <w:rPr>
          <w:rFonts w:hAnsi="Times New Roman" w:cs="Times New Roman"/>
        </w:rPr>
        <w:t xml:space="preserve"> over-react</w:t>
      </w:r>
      <w:r w:rsidRPr="006F386A">
        <w:rPr>
          <w:rFonts w:hAnsi="Times New Roman" w:cs="Times New Roman"/>
        </w:rPr>
        <w:t>ion of investors</w:t>
      </w:r>
      <w:r w:rsidR="00B72280" w:rsidRPr="006F386A">
        <w:rPr>
          <w:rFonts w:hAnsi="Times New Roman" w:cs="Times New Roman"/>
        </w:rPr>
        <w:t xml:space="preserve"> to the news of co</w:t>
      </w:r>
      <w:r w:rsidRPr="006F386A">
        <w:rPr>
          <w:rFonts w:hAnsi="Times New Roman" w:cs="Times New Roman"/>
        </w:rPr>
        <w:t xml:space="preserve">mpanies or by their naive evaluation </w:t>
      </w:r>
      <w:r w:rsidR="00B72280" w:rsidRPr="006F386A">
        <w:rPr>
          <w:rFonts w:hAnsi="Times New Roman" w:cs="Times New Roman"/>
        </w:rPr>
        <w:t xml:space="preserve">of the company </w:t>
      </w:r>
      <w:r w:rsidRPr="006F386A">
        <w:rPr>
          <w:rFonts w:hAnsi="Times New Roman" w:cs="Times New Roman"/>
        </w:rPr>
        <w:t xml:space="preserve">based on </w:t>
      </w:r>
      <w:r w:rsidR="00B72280" w:rsidRPr="006F386A">
        <w:rPr>
          <w:rFonts w:hAnsi="Times New Roman" w:cs="Times New Roman"/>
        </w:rPr>
        <w:t xml:space="preserve">past performances such as earnings growth. </w:t>
      </w:r>
      <w:r w:rsidR="00776808" w:rsidRPr="006F386A">
        <w:rPr>
          <w:rFonts w:hAnsi="Times New Roman" w:cs="Times New Roman"/>
        </w:rPr>
        <w:t>Further o</w:t>
      </w:r>
      <w:r w:rsidR="00B72280" w:rsidRPr="006F386A">
        <w:rPr>
          <w:rFonts w:hAnsi="Times New Roman" w:cs="Times New Roman"/>
        </w:rPr>
        <w:t>ver-price or under-price the company</w:t>
      </w:r>
      <w:r w:rsidR="00B72280" w:rsidRPr="006F386A">
        <w:rPr>
          <w:rFonts w:hAnsi="Times New Roman" w:cs="Times New Roman"/>
          <w:lang w:val="fr-FR"/>
        </w:rPr>
        <w:t>’</w:t>
      </w:r>
      <w:r w:rsidR="00B72280" w:rsidRPr="006F386A">
        <w:rPr>
          <w:rFonts w:hAnsi="Times New Roman" w:cs="Times New Roman"/>
        </w:rPr>
        <w:t xml:space="preserve">s growth </w:t>
      </w:r>
      <w:r w:rsidR="00776808" w:rsidRPr="006F386A">
        <w:rPr>
          <w:rFonts w:hAnsi="Times New Roman" w:cs="Times New Roman"/>
        </w:rPr>
        <w:t xml:space="preserve">leads to </w:t>
      </w:r>
      <w:r w:rsidR="00B72280" w:rsidRPr="006F386A">
        <w:rPr>
          <w:rFonts w:hAnsi="Times New Roman" w:cs="Times New Roman"/>
        </w:rPr>
        <w:t xml:space="preserve">low or high book-to-market value of stocks </w:t>
      </w:r>
      <w:r w:rsidR="00776808" w:rsidRPr="006F386A">
        <w:rPr>
          <w:rFonts w:hAnsi="Times New Roman" w:cs="Times New Roman"/>
        </w:rPr>
        <w:t xml:space="preserve"> resulting in </w:t>
      </w:r>
      <w:r w:rsidR="00B72280" w:rsidRPr="006F386A">
        <w:rPr>
          <w:rFonts w:hAnsi="Times New Roman" w:cs="Times New Roman"/>
        </w:rPr>
        <w:t xml:space="preserve">value effect </w:t>
      </w:r>
      <w:r w:rsidR="00776808" w:rsidRPr="006F386A">
        <w:rPr>
          <w:rFonts w:hAnsi="Times New Roman" w:cs="Times New Roman"/>
        </w:rPr>
        <w:t xml:space="preserve"> that </w:t>
      </w:r>
      <w:r w:rsidR="00B72280" w:rsidRPr="006F386A">
        <w:rPr>
          <w:rFonts w:hAnsi="Times New Roman" w:cs="Times New Roman"/>
        </w:rPr>
        <w:lastRenderedPageBreak/>
        <w:t>captures b</w:t>
      </w:r>
      <w:r w:rsidR="00776808" w:rsidRPr="006F386A">
        <w:rPr>
          <w:rFonts w:hAnsi="Times New Roman" w:cs="Times New Roman"/>
        </w:rPr>
        <w:t xml:space="preserve">iases in investor expectations </w:t>
      </w:r>
      <w:r w:rsidR="00B72280" w:rsidRPr="006F386A">
        <w:rPr>
          <w:rFonts w:hAnsi="Times New Roman" w:cs="Times New Roman"/>
        </w:rPr>
        <w:t>Lakonishok et a</w:t>
      </w:r>
      <w:r w:rsidR="0021349A" w:rsidRPr="006F386A">
        <w:rPr>
          <w:rFonts w:hAnsi="Times New Roman" w:cs="Times New Roman"/>
        </w:rPr>
        <w:t>l</w:t>
      </w:r>
      <w:r w:rsidR="00B72280" w:rsidRPr="006F386A">
        <w:rPr>
          <w:rFonts w:hAnsi="Times New Roman" w:cs="Times New Roman"/>
        </w:rPr>
        <w:t>,</w:t>
      </w:r>
      <w:r w:rsidR="0021349A" w:rsidRPr="006F386A">
        <w:rPr>
          <w:rFonts w:hAnsi="Times New Roman" w:cs="Times New Roman"/>
        </w:rPr>
        <w:t>[19]</w:t>
      </w:r>
      <w:r w:rsidR="00B72280" w:rsidRPr="006F386A">
        <w:rPr>
          <w:rFonts w:hAnsi="Times New Roman" w:cs="Times New Roman"/>
        </w:rPr>
        <w:t>. On the other hand, the risk-based explanations contend that CAPM model cannot capture all of systematic risk of the economy or financial markets (Tai,</w:t>
      </w:r>
      <w:r w:rsidR="0021349A" w:rsidRPr="006F386A">
        <w:rPr>
          <w:rFonts w:hAnsi="Times New Roman" w:cs="Times New Roman"/>
        </w:rPr>
        <w:t>[18]</w:t>
      </w:r>
      <w:r w:rsidR="00B72280" w:rsidRPr="006F386A">
        <w:rPr>
          <w:rFonts w:hAnsi="Times New Roman" w:cs="Times New Roman"/>
        </w:rPr>
        <w:t xml:space="preserve">). Additionally, Schwert and Seguin </w:t>
      </w:r>
      <w:r w:rsidR="0021349A" w:rsidRPr="006F386A">
        <w:rPr>
          <w:rFonts w:hAnsi="Times New Roman" w:cs="Times New Roman"/>
        </w:rPr>
        <w:t xml:space="preserve">[20] </w:t>
      </w:r>
      <w:r w:rsidR="00B72280" w:rsidRPr="006F386A">
        <w:rPr>
          <w:rFonts w:hAnsi="Times New Roman" w:cs="Times New Roman"/>
        </w:rPr>
        <w:t xml:space="preserve">indicated that the systematic beta of small-size companies increase at a quicker rate than the beta of big-size companies when the market volatility increases.These findings above imply that some other asset characteristics besides market risk can have explanatory power on assets expected return. This was reported by Banz </w:t>
      </w:r>
      <w:r w:rsidR="0021349A" w:rsidRPr="006F386A">
        <w:rPr>
          <w:rFonts w:hAnsi="Times New Roman" w:cs="Times New Roman"/>
        </w:rPr>
        <w:t xml:space="preserve">[7], </w:t>
      </w:r>
      <w:r w:rsidR="00B72280" w:rsidRPr="006F386A">
        <w:rPr>
          <w:rFonts w:hAnsi="Times New Roman" w:cs="Times New Roman"/>
        </w:rPr>
        <w:t>and Fama and French</w:t>
      </w:r>
      <w:r w:rsidR="0021349A" w:rsidRPr="006F386A">
        <w:rPr>
          <w:rFonts w:hAnsi="Times New Roman" w:cs="Times New Roman"/>
        </w:rPr>
        <w:t>[8]</w:t>
      </w:r>
      <w:r w:rsidR="00B72280" w:rsidRPr="006F386A">
        <w:rPr>
          <w:rFonts w:hAnsi="Times New Roman" w:cs="Times New Roman"/>
        </w:rPr>
        <w:t xml:space="preserve"> for the CAPM model </w:t>
      </w:r>
      <w:r w:rsidR="0021349A" w:rsidRPr="006F386A">
        <w:rPr>
          <w:rFonts w:hAnsi="Times New Roman" w:cs="Times New Roman"/>
        </w:rPr>
        <w:t>and by Mankiw and Shapiro [21]</w:t>
      </w:r>
      <w:r w:rsidR="00B72280" w:rsidRPr="006F386A">
        <w:rPr>
          <w:rFonts w:hAnsi="Times New Roman" w:cs="Times New Roman"/>
        </w:rPr>
        <w:t xml:space="preserve"> and Breeden, Gibbons and Litzenberger</w:t>
      </w:r>
      <w:r w:rsidR="0021349A" w:rsidRPr="006F386A">
        <w:rPr>
          <w:rFonts w:hAnsi="Times New Roman" w:cs="Times New Roman"/>
        </w:rPr>
        <w:t xml:space="preserve"> [22]</w:t>
      </w:r>
      <w:r w:rsidR="00B72280" w:rsidRPr="006F386A">
        <w:rPr>
          <w:rFonts w:hAnsi="Times New Roman" w:cs="Times New Roman"/>
        </w:rPr>
        <w:t xml:space="preserve"> for the consumption-based CAPM model or standard C-CAPM model with a power utility framework.</w:t>
      </w:r>
    </w:p>
    <w:p w:rsidR="00F43885" w:rsidRPr="006F386A" w:rsidRDefault="00F165F4" w:rsidP="00364D41">
      <w:pPr>
        <w:pStyle w:val="Body"/>
        <w:spacing w:after="240"/>
        <w:jc w:val="both"/>
        <w:rPr>
          <w:rFonts w:hAnsi="Times New Roman" w:cs="Times New Roman"/>
          <w:b/>
          <w:bCs/>
          <w:i/>
          <w:iCs/>
        </w:rPr>
      </w:pPr>
      <w:r w:rsidRPr="006F386A">
        <w:rPr>
          <w:rFonts w:hAnsi="Times New Roman" w:cs="Times New Roman"/>
        </w:rPr>
        <w:t>On this circumstances</w:t>
      </w:r>
      <w:r w:rsidR="00B72280" w:rsidRPr="006F386A">
        <w:rPr>
          <w:rFonts w:hAnsi="Times New Roman" w:cs="Times New Roman"/>
        </w:rPr>
        <w:t xml:space="preserve"> Fama and French </w:t>
      </w:r>
      <w:r w:rsidR="0021349A" w:rsidRPr="006F386A">
        <w:rPr>
          <w:rFonts w:hAnsi="Times New Roman" w:cs="Times New Roman"/>
        </w:rPr>
        <w:t xml:space="preserve"> [8] </w:t>
      </w:r>
      <w:r w:rsidRPr="006F386A">
        <w:rPr>
          <w:rFonts w:hAnsi="Times New Roman" w:cs="Times New Roman"/>
        </w:rPr>
        <w:t>while investigating average returns of stocks on the US market period 1963-1990</w:t>
      </w:r>
      <w:r w:rsidR="00B72280" w:rsidRPr="006F386A">
        <w:rPr>
          <w:rFonts w:hAnsi="Times New Roman" w:cs="Times New Roman"/>
        </w:rPr>
        <w:t xml:space="preserve"> argued the market beta alone does not have power suffice to explain fully expected average returns of securities</w:t>
      </w:r>
      <w:r w:rsidRPr="006F386A">
        <w:rPr>
          <w:rFonts w:hAnsi="Times New Roman" w:cs="Times New Roman"/>
        </w:rPr>
        <w:t xml:space="preserve"> which is corroborated by other academics</w:t>
      </w:r>
      <w:r w:rsidR="00B72280" w:rsidRPr="006F386A">
        <w:rPr>
          <w:rFonts w:hAnsi="Times New Roman" w:cs="Times New Roman"/>
        </w:rPr>
        <w:t xml:space="preserve"> during a thirty-year </w:t>
      </w:r>
      <w:r w:rsidRPr="006F386A">
        <w:rPr>
          <w:rFonts w:hAnsi="Times New Roman" w:cs="Times New Roman"/>
        </w:rPr>
        <w:t>of intensive</w:t>
      </w:r>
      <w:r w:rsidR="00B72280" w:rsidRPr="006F386A">
        <w:rPr>
          <w:rFonts w:hAnsi="Times New Roman" w:cs="Times New Roman"/>
        </w:rPr>
        <w:t xml:space="preserve"> investigation (Miller</w:t>
      </w:r>
      <w:r w:rsidR="0021349A" w:rsidRPr="006F386A">
        <w:rPr>
          <w:rFonts w:hAnsi="Times New Roman" w:cs="Times New Roman"/>
        </w:rPr>
        <w:t xml:space="preserve"> [23] </w:t>
      </w:r>
      <w:r w:rsidR="00B72280" w:rsidRPr="006F386A">
        <w:rPr>
          <w:rFonts w:hAnsi="Times New Roman" w:cs="Times New Roman"/>
        </w:rPr>
        <w:t xml:space="preserve">). Actually, by employing the cross-sectional regression method of Fama and MacBeth </w:t>
      </w:r>
      <w:r w:rsidR="00385427" w:rsidRPr="006F386A">
        <w:rPr>
          <w:rFonts w:hAnsi="Times New Roman" w:cs="Times New Roman"/>
        </w:rPr>
        <w:t xml:space="preserve">[5], </w:t>
      </w:r>
      <w:r w:rsidR="00B72280" w:rsidRPr="006F386A">
        <w:rPr>
          <w:rFonts w:hAnsi="Times New Roman" w:cs="Times New Roman"/>
        </w:rPr>
        <w:t xml:space="preserve">Fama and French </w:t>
      </w:r>
      <w:r w:rsidR="00385427" w:rsidRPr="006F386A">
        <w:rPr>
          <w:rFonts w:hAnsi="Times New Roman" w:cs="Times New Roman"/>
        </w:rPr>
        <w:t xml:space="preserve">[8] </w:t>
      </w:r>
      <w:r w:rsidR="00B72280" w:rsidRPr="006F386A">
        <w:rPr>
          <w:rFonts w:hAnsi="Times New Roman" w:cs="Times New Roman"/>
        </w:rPr>
        <w:t xml:space="preserve">found that the earnings-price ratio, </w:t>
      </w:r>
      <w:r w:rsidR="00B72280" w:rsidRPr="006F386A">
        <w:rPr>
          <w:rFonts w:hAnsi="Times New Roman" w:cs="Times New Roman"/>
          <w:color w:val="080000"/>
          <w:u w:color="080000"/>
        </w:rPr>
        <w:t>the stock</w:t>
      </w:r>
      <w:r w:rsidR="00B72280" w:rsidRPr="006F386A">
        <w:rPr>
          <w:rFonts w:hAnsi="Times New Roman" w:cs="Times New Roman"/>
          <w:color w:val="080000"/>
          <w:u w:color="080000"/>
          <w:lang w:val="fr-FR"/>
        </w:rPr>
        <w:t>’</w:t>
      </w:r>
      <w:r w:rsidR="00B72280" w:rsidRPr="006F386A">
        <w:rPr>
          <w:rFonts w:hAnsi="Times New Roman" w:cs="Times New Roman"/>
          <w:color w:val="080000"/>
          <w:u w:color="080000"/>
        </w:rPr>
        <w:t>s underlying company size</w:t>
      </w:r>
      <w:r w:rsidR="00B72280" w:rsidRPr="006F386A">
        <w:rPr>
          <w:rFonts w:hAnsi="Times New Roman" w:cs="Times New Roman"/>
        </w:rPr>
        <w:t>, financial leverage and book-to-market value also have a high level of appreciation in describing securities</w:t>
      </w:r>
      <w:r w:rsidR="00B72280" w:rsidRPr="006F386A">
        <w:rPr>
          <w:rFonts w:hAnsi="Times New Roman" w:cs="Times New Roman"/>
          <w:lang w:val="fr-FR"/>
        </w:rPr>
        <w:t xml:space="preserve">’ </w:t>
      </w:r>
      <w:r w:rsidR="00B72280" w:rsidRPr="006F386A">
        <w:rPr>
          <w:rFonts w:hAnsi="Times New Roman" w:cs="Times New Roman"/>
        </w:rPr>
        <w:t xml:space="preserve">expected returns. Therefore, the market-based, size-based and value-based exposures should represent the sensitivity to pervasive risk factors in expected average returns. </w:t>
      </w:r>
      <w:r w:rsidR="00B95132" w:rsidRPr="006F386A">
        <w:rPr>
          <w:rFonts w:hAnsi="Times New Roman" w:cs="Times New Roman"/>
        </w:rPr>
        <w:t>Further Fama and French [11]</w:t>
      </w:r>
      <w:r w:rsidR="00BC3EFC" w:rsidRPr="006F386A">
        <w:rPr>
          <w:rFonts w:hAnsi="Times New Roman" w:cs="Times New Roman"/>
        </w:rPr>
        <w:t xml:space="preserve"> constructed a useful asset pricing model for both stocks and bonds which is made up of market risk factor and the addition of two other risk factors related to firm-scale and firm value. </w:t>
      </w:r>
      <w:r w:rsidR="00B72280" w:rsidRPr="006F386A">
        <w:rPr>
          <w:rFonts w:hAnsi="Times New Roman" w:cs="Times New Roman"/>
        </w:rPr>
        <w:t>The result show</w:t>
      </w:r>
      <w:r w:rsidR="00BC3EFC" w:rsidRPr="006F386A">
        <w:rPr>
          <w:rFonts w:hAnsi="Times New Roman" w:cs="Times New Roman"/>
        </w:rPr>
        <w:t>ed</w:t>
      </w:r>
      <w:r w:rsidR="00B72280" w:rsidRPr="006F386A">
        <w:rPr>
          <w:rFonts w:hAnsi="Times New Roman" w:cs="Times New Roman"/>
        </w:rPr>
        <w:t xml:space="preserve"> that </w:t>
      </w:r>
      <w:r w:rsidR="00BC3EFC" w:rsidRPr="006F386A">
        <w:rPr>
          <w:rFonts w:hAnsi="Times New Roman" w:cs="Times New Roman"/>
        </w:rPr>
        <w:t>bond and stock returns variations</w:t>
      </w:r>
      <w:r w:rsidR="00364D41" w:rsidRPr="006F386A">
        <w:rPr>
          <w:rFonts w:hAnsi="Times New Roman" w:cs="Times New Roman"/>
        </w:rPr>
        <w:t xml:space="preserve"> and the cross-sectional average returns</w:t>
      </w:r>
      <w:r w:rsidR="00BC3EFC" w:rsidRPr="006F386A">
        <w:rPr>
          <w:rFonts w:hAnsi="Times New Roman" w:cs="Times New Roman"/>
        </w:rPr>
        <w:t xml:space="preserve">  is explained by </w:t>
      </w:r>
      <w:r w:rsidR="00B72280" w:rsidRPr="006F386A">
        <w:rPr>
          <w:rFonts w:hAnsi="Times New Roman" w:cs="Times New Roman"/>
        </w:rPr>
        <w:t>all factors explain</w:t>
      </w:r>
      <w:r w:rsidR="00BC3EFC" w:rsidRPr="006F386A">
        <w:rPr>
          <w:rFonts w:hAnsi="Times New Roman" w:cs="Times New Roman"/>
        </w:rPr>
        <w:t>s</w:t>
      </w:r>
      <w:r w:rsidR="00364D41" w:rsidRPr="006F386A">
        <w:rPr>
          <w:rFonts w:hAnsi="Times New Roman" w:cs="Times New Roman"/>
        </w:rPr>
        <w:t xml:space="preserve"> with</w:t>
      </w:r>
      <w:r w:rsidR="00B72280" w:rsidRPr="006F386A">
        <w:rPr>
          <w:rFonts w:hAnsi="Times New Roman" w:cs="Times New Roman"/>
        </w:rPr>
        <w:t xml:space="preserve"> value-based risk </w:t>
      </w:r>
      <w:r w:rsidR="00364D41" w:rsidRPr="006F386A">
        <w:rPr>
          <w:rFonts w:hAnsi="Times New Roman" w:cs="Times New Roman"/>
        </w:rPr>
        <w:t xml:space="preserve"> being </w:t>
      </w:r>
      <w:r w:rsidR="00B72280" w:rsidRPr="006F386A">
        <w:rPr>
          <w:rFonts w:hAnsi="Times New Roman" w:cs="Times New Roman"/>
        </w:rPr>
        <w:t>most important factor</w:t>
      </w:r>
      <w:r w:rsidR="00364D41" w:rsidRPr="006F386A">
        <w:rPr>
          <w:rFonts w:hAnsi="Times New Roman" w:cs="Times New Roman"/>
        </w:rPr>
        <w:t xml:space="preserve">. Fama and French </w:t>
      </w:r>
      <w:r w:rsidR="00B95132" w:rsidRPr="006F386A">
        <w:rPr>
          <w:rFonts w:hAnsi="Times New Roman" w:cs="Times New Roman"/>
        </w:rPr>
        <w:t>[24]</w:t>
      </w:r>
      <w:r w:rsidR="00364D41" w:rsidRPr="006F386A">
        <w:rPr>
          <w:rFonts w:hAnsi="Times New Roman" w:cs="Times New Roman"/>
        </w:rPr>
        <w:t xml:space="preserve"> applied the three factor model </w:t>
      </w:r>
      <w:r w:rsidR="00B72280" w:rsidRPr="006F386A">
        <w:rPr>
          <w:rFonts w:hAnsi="Times New Roman" w:cs="Times New Roman"/>
        </w:rPr>
        <w:t>on three different stock markets (NYSE, AME</w:t>
      </w:r>
      <w:r w:rsidR="00364D41" w:rsidRPr="006F386A">
        <w:rPr>
          <w:rFonts w:hAnsi="Times New Roman" w:cs="Times New Roman"/>
        </w:rPr>
        <w:t xml:space="preserve">X and NASDAQ) and </w:t>
      </w:r>
      <w:r w:rsidR="00B72280" w:rsidRPr="006F386A">
        <w:rPr>
          <w:rFonts w:hAnsi="Times New Roman" w:cs="Times New Roman"/>
        </w:rPr>
        <w:t xml:space="preserve"> found the returns are explained by ma</w:t>
      </w:r>
      <w:r w:rsidR="00364D41" w:rsidRPr="006F386A">
        <w:rPr>
          <w:rFonts w:hAnsi="Times New Roman" w:cs="Times New Roman"/>
        </w:rPr>
        <w:t>rket factor and size factor. Meanwhile</w:t>
      </w:r>
      <w:r w:rsidR="00B72280" w:rsidRPr="006F386A">
        <w:rPr>
          <w:rFonts w:hAnsi="Times New Roman" w:cs="Times New Roman"/>
        </w:rPr>
        <w:t xml:space="preserve"> the value factor could not describe the variations in expected returns of stocks. </w:t>
      </w:r>
    </w:p>
    <w:p w:rsidR="00B95132" w:rsidRPr="006F386A" w:rsidRDefault="00C328A6">
      <w:pPr>
        <w:pStyle w:val="Body"/>
        <w:spacing w:before="240"/>
        <w:jc w:val="both"/>
        <w:rPr>
          <w:rFonts w:hAnsi="Times New Roman" w:cs="Times New Roman"/>
          <w:b/>
          <w:bCs/>
          <w:i/>
          <w:iCs/>
          <w:lang w:val="en-GB"/>
        </w:rPr>
      </w:pPr>
      <w:r w:rsidRPr="006F386A">
        <w:rPr>
          <w:rFonts w:hAnsi="Times New Roman" w:cs="Times New Roman"/>
        </w:rPr>
        <w:t xml:space="preserve">Over the years </w:t>
      </w:r>
      <w:r w:rsidR="00B72280" w:rsidRPr="006F386A">
        <w:rPr>
          <w:rFonts w:hAnsi="Times New Roman" w:cs="Times New Roman"/>
        </w:rPr>
        <w:t xml:space="preserve">Fama and </w:t>
      </w:r>
      <w:r w:rsidR="00E85608" w:rsidRPr="006F386A">
        <w:rPr>
          <w:rFonts w:hAnsi="Times New Roman" w:cs="Times New Roman"/>
        </w:rPr>
        <w:t>Fr</w:t>
      </w:r>
      <w:r w:rsidRPr="006F386A">
        <w:rPr>
          <w:rFonts w:hAnsi="Times New Roman" w:cs="Times New Roman"/>
        </w:rPr>
        <w:t>e</w:t>
      </w:r>
      <w:r w:rsidR="00E85608" w:rsidRPr="006F386A">
        <w:rPr>
          <w:rFonts w:hAnsi="Times New Roman" w:cs="Times New Roman"/>
        </w:rPr>
        <w:t>n</w:t>
      </w:r>
      <w:r w:rsidRPr="006F386A">
        <w:rPr>
          <w:rFonts w:hAnsi="Times New Roman" w:cs="Times New Roman"/>
        </w:rPr>
        <w:t xml:space="preserve">ch model have </w:t>
      </w:r>
      <w:r w:rsidR="00B72280" w:rsidRPr="006F386A">
        <w:rPr>
          <w:rFonts w:hAnsi="Times New Roman" w:cs="Times New Roman"/>
        </w:rPr>
        <w:t xml:space="preserve">contributed to create the </w:t>
      </w:r>
      <w:r w:rsidR="00B72280" w:rsidRPr="006F386A">
        <w:rPr>
          <w:rFonts w:hAnsi="Times New Roman" w:cs="Times New Roman"/>
          <w:lang w:val="en-GB"/>
        </w:rPr>
        <w:t>a large body of</w:t>
      </w:r>
      <w:r w:rsidR="00B72280" w:rsidRPr="006F386A">
        <w:rPr>
          <w:rFonts w:hAnsi="Times New Roman" w:cs="Times New Roman"/>
          <w:b/>
          <w:bCs/>
          <w:i/>
          <w:iCs/>
          <w:lang w:val="en-GB"/>
        </w:rPr>
        <w:t xml:space="preserve"> </w:t>
      </w:r>
      <w:r w:rsidR="00B72280" w:rsidRPr="006F386A">
        <w:rPr>
          <w:rFonts w:hAnsi="Times New Roman" w:cs="Times New Roman"/>
        </w:rPr>
        <w:t>new empirical researches investigating the relationship between characteristics of securities and the cross-sectional average returns in many different countries as well as markets (Moez, Mahdavikhou and Khotanloz,</w:t>
      </w:r>
      <w:r w:rsidR="00B95132" w:rsidRPr="006F386A">
        <w:rPr>
          <w:rFonts w:hAnsi="Times New Roman" w:cs="Times New Roman"/>
        </w:rPr>
        <w:t xml:space="preserve"> [25] </w:t>
      </w:r>
      <w:r w:rsidR="00B72280" w:rsidRPr="006F386A">
        <w:rPr>
          <w:rFonts w:hAnsi="Times New Roman" w:cs="Times New Roman"/>
        </w:rPr>
        <w:t>).</w:t>
      </w:r>
      <w:r w:rsidR="00EF0A7F" w:rsidRPr="006F386A">
        <w:rPr>
          <w:rFonts w:hAnsi="Times New Roman" w:cs="Times New Roman"/>
        </w:rPr>
        <w:t>Some of which</w:t>
      </w:r>
      <w:r w:rsidR="00E85608" w:rsidRPr="006F386A">
        <w:rPr>
          <w:rFonts w:hAnsi="Times New Roman" w:cs="Times New Roman"/>
        </w:rPr>
        <w:t xml:space="preserve"> that have corroborated with Fama-French model in some degree  </w:t>
      </w:r>
      <w:r w:rsidR="00EF0A7F" w:rsidRPr="006F386A">
        <w:rPr>
          <w:rFonts w:hAnsi="Times New Roman" w:cs="Times New Roman"/>
        </w:rPr>
        <w:t xml:space="preserve"> are illustrated in table below.</w:t>
      </w:r>
      <w:r w:rsidR="00B72280" w:rsidRPr="006F386A">
        <w:rPr>
          <w:rFonts w:hAnsi="Times New Roman" w:cs="Times New Roman"/>
          <w:b/>
          <w:bCs/>
          <w:i/>
          <w:iCs/>
          <w:lang w:val="en-GB"/>
        </w:rPr>
        <w:t>.</w:t>
      </w:r>
    </w:p>
    <w:p w:rsidR="00221149" w:rsidRPr="006F386A" w:rsidRDefault="00221149" w:rsidP="00221149">
      <w:pPr>
        <w:pStyle w:val="Body"/>
        <w:spacing w:after="240"/>
        <w:rPr>
          <w:rFonts w:hAnsi="Times New Roman" w:cs="Times New Roman"/>
          <w:i/>
          <w:iCs/>
          <w:sz w:val="20"/>
          <w:szCs w:val="20"/>
        </w:rPr>
      </w:pPr>
    </w:p>
    <w:p w:rsidR="00221149" w:rsidRPr="006F386A" w:rsidRDefault="00221149" w:rsidP="00221149">
      <w:pPr>
        <w:pStyle w:val="Caption"/>
        <w:keepNext/>
        <w:rPr>
          <w:color w:val="000000" w:themeColor="text1"/>
          <w:sz w:val="22"/>
          <w:szCs w:val="22"/>
        </w:rPr>
      </w:pPr>
      <w:r w:rsidRPr="006F386A">
        <w:rPr>
          <w:color w:val="000000" w:themeColor="text1"/>
          <w:sz w:val="22"/>
          <w:szCs w:val="22"/>
        </w:rPr>
        <w:t xml:space="preserve">Table </w:t>
      </w:r>
      <w:r w:rsidRPr="006F386A">
        <w:rPr>
          <w:color w:val="000000" w:themeColor="text1"/>
          <w:sz w:val="22"/>
          <w:szCs w:val="22"/>
        </w:rPr>
        <w:fldChar w:fldCharType="begin"/>
      </w:r>
      <w:r w:rsidRPr="006F386A">
        <w:rPr>
          <w:color w:val="000000" w:themeColor="text1"/>
          <w:sz w:val="22"/>
          <w:szCs w:val="22"/>
        </w:rPr>
        <w:instrText xml:space="preserve"> SEQ Table \* ARABIC </w:instrText>
      </w:r>
      <w:r w:rsidRPr="006F386A">
        <w:rPr>
          <w:color w:val="000000" w:themeColor="text1"/>
          <w:sz w:val="22"/>
          <w:szCs w:val="22"/>
        </w:rPr>
        <w:fldChar w:fldCharType="separate"/>
      </w:r>
      <w:r w:rsidRPr="006F386A">
        <w:rPr>
          <w:noProof/>
          <w:color w:val="000000" w:themeColor="text1"/>
          <w:sz w:val="22"/>
          <w:szCs w:val="22"/>
        </w:rPr>
        <w:t>1</w:t>
      </w:r>
      <w:r w:rsidRPr="006F386A">
        <w:rPr>
          <w:color w:val="000000" w:themeColor="text1"/>
          <w:sz w:val="22"/>
          <w:szCs w:val="22"/>
        </w:rPr>
        <w:fldChar w:fldCharType="end"/>
      </w:r>
      <w:r w:rsidRPr="006F386A">
        <w:rPr>
          <w:color w:val="000000" w:themeColor="text1"/>
          <w:sz w:val="22"/>
          <w:szCs w:val="22"/>
        </w:rPr>
        <w:t xml:space="preserve"> Brief overview of Fama and French literature</w:t>
      </w:r>
    </w:p>
    <w:tbl>
      <w:tblPr>
        <w:tblStyle w:val="TableGrid"/>
        <w:tblW w:w="0" w:type="auto"/>
        <w:tblLook w:val="04A0"/>
      </w:tblPr>
      <w:tblGrid>
        <w:gridCol w:w="2309"/>
        <w:gridCol w:w="2309"/>
        <w:gridCol w:w="2309"/>
        <w:gridCol w:w="2309"/>
      </w:tblGrid>
      <w:tr w:rsidR="00221149" w:rsidRPr="006F386A" w:rsidTr="00DE27FF">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Study</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Country</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Data and Methodology</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Finding</w:t>
            </w:r>
          </w:p>
        </w:tc>
      </w:tr>
      <w:tr w:rsidR="00221149" w:rsidRPr="006F386A" w:rsidTr="00DE27FF">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Maroney and Protopapadakis [26]</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Germany, Canada,  France, Japan, the Britain, Australia, and the United States</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Results showed a scale effect and value premium, both are international in character, for all the observed markets</w:t>
            </w:r>
          </w:p>
        </w:tc>
      </w:tr>
      <w:tr w:rsidR="00221149" w:rsidRPr="006F386A" w:rsidTr="00DE27FF">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eastAsiaTheme="minorEastAsia" w:hAnsi="Times New Roman" w:cs="Times New Roman"/>
              </w:rPr>
              <w:t>Connor and Sehgal [27]</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India</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 xml:space="preserve">Monthly data of the share prices </w:t>
            </w:r>
            <w:r w:rsidRPr="006F386A">
              <w:rPr>
                <w:rFonts w:hAnsi="Times New Roman" w:cs="Times New Roman"/>
              </w:rPr>
              <w:lastRenderedPageBreak/>
              <w:t>including dividends and splits of 364 securities over ten years from June 1989 to March 1999</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eastAsiaTheme="minorEastAsia" w:hAnsi="Times New Roman" w:cs="Times New Roman"/>
              </w:rPr>
              <w:lastRenderedPageBreak/>
              <w:t xml:space="preserve">Market, size and value have pervasive </w:t>
            </w:r>
            <w:r w:rsidRPr="006F386A">
              <w:rPr>
                <w:rFonts w:eastAsiaTheme="minorEastAsia" w:hAnsi="Times New Roman" w:cs="Times New Roman"/>
              </w:rPr>
              <w:lastRenderedPageBreak/>
              <w:t>returns in Indian Stock market.</w:t>
            </w:r>
          </w:p>
        </w:tc>
      </w:tr>
      <w:tr w:rsidR="00221149" w:rsidRPr="006F386A" w:rsidTr="00DE27FF">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lastRenderedPageBreak/>
              <w:t>Faff [28]</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Australia</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 xml:space="preserve">Stock return on Australia stock 1991 to 1999 </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Fand F better than CAPM</w:t>
            </w:r>
          </w:p>
        </w:tc>
      </w:tr>
      <w:tr w:rsidR="00221149" w:rsidRPr="006F386A" w:rsidTr="00DE27FF">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Gaunt [29]</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Australia</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stock returns on Australia Stock Exchange from 1993 to 2001</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eastAsiaTheme="minorEastAsia" w:hAnsi="Times New Roman" w:cs="Times New Roman"/>
              </w:rPr>
              <w:t>Beta to be less than one and HML factor playing significant role in asset pricing</w:t>
            </w:r>
          </w:p>
        </w:tc>
      </w:tr>
      <w:tr w:rsidR="00221149" w:rsidRPr="006F386A" w:rsidTr="00DE27FF">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Faff [30]</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Australia</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Used Method of Moments</w:t>
            </w:r>
          </w:p>
        </w:tc>
        <w:tc>
          <w:tcPr>
            <w:tcW w:w="2309" w:type="dxa"/>
          </w:tcPr>
          <w:p w:rsidR="00221149" w:rsidRPr="006F386A" w:rsidRDefault="00221149" w:rsidP="00DE27FF">
            <w:pPr>
              <w:pStyle w:val="Body"/>
              <w:spacing w:before="240" w:after="240"/>
              <w:jc w:val="both"/>
              <w:rPr>
                <w:rFonts w:hAnsi="Times New Roman" w:cs="Times New Roman"/>
              </w:rPr>
            </w:pPr>
            <w:r w:rsidRPr="006F386A">
              <w:rPr>
                <w:rFonts w:hAnsi="Times New Roman" w:cs="Times New Roman"/>
              </w:rPr>
              <w:t>the Fama and French three-factor better but less powerful while considering risk premium</w:t>
            </w:r>
          </w:p>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p>
        </w:tc>
      </w:tr>
      <w:tr w:rsidR="00221149" w:rsidRPr="006F386A" w:rsidTr="00DE27FF">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Drew and Veeraraghavan [31]</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Stock Exchange of Korea, Malaysia, Hong Kong, and Philippines</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Companies with small-scale and high book-to-market ratio produce greater average earnings than companies with large-scale and low book-to-market ratio</w:t>
            </w:r>
          </w:p>
        </w:tc>
      </w:tr>
      <w:tr w:rsidR="00221149" w:rsidRPr="006F386A" w:rsidTr="00DE27FF">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Al-Mwalla and Karasneh [14]</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Jordan</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Return on the Amman security market over 11 years from 1999 to 2010</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Fama and French three-factor model outperformed the traditional CAPM model</w:t>
            </w:r>
          </w:p>
        </w:tc>
      </w:tr>
      <w:tr w:rsidR="00221149" w:rsidRPr="006F386A" w:rsidTr="00DE27FF">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Griffin [13]</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 xml:space="preserve">Integrated Data from United States, Canada, Japan and United Kingdom </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Monthly returns from January 1981 to December 1995 that includes 1521 firms in Japan, 1234 firms in UK, and 631 Canadian firms</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Country-specific models provide a better security valuing than the Fama-French three-factor models which consistent for both individual returns and stock portfolios.</w:t>
            </w:r>
          </w:p>
        </w:tc>
      </w:tr>
      <w:tr w:rsidR="00221149" w:rsidRPr="006F386A" w:rsidTr="00DE27FF">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Lin, Wang and Cai [32]</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China</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 xml:space="preserve">100 portfolios were constructed from the intersection of ten </w:t>
            </w:r>
            <w:r w:rsidRPr="006F386A">
              <w:rPr>
                <w:rFonts w:hAnsi="Times New Roman" w:cs="Times New Roman"/>
              </w:rPr>
              <w:lastRenderedPageBreak/>
              <w:t>portfolios forming upon on firm scale and ten portfolios forming upon on firm value for 237 stocks in China</w:t>
            </w:r>
            <w:r w:rsidRPr="006F386A">
              <w:rPr>
                <w:rFonts w:hAnsi="Times New Roman" w:cs="Times New Roman"/>
                <w:lang w:val="fr-FR"/>
              </w:rPr>
              <w:t>’</w:t>
            </w:r>
            <w:r w:rsidRPr="006F386A">
              <w:rPr>
                <w:rFonts w:hAnsi="Times New Roman" w:cs="Times New Roman"/>
              </w:rPr>
              <w:t>s stock market from January, 2000 to December, 2009</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lastRenderedPageBreak/>
              <w:t xml:space="preserve">Fama and French factors are better proxies for portfolio </w:t>
            </w:r>
            <w:r w:rsidRPr="006F386A">
              <w:rPr>
                <w:rFonts w:hAnsi="Times New Roman" w:cs="Times New Roman"/>
              </w:rPr>
              <w:lastRenderedPageBreak/>
              <w:t>risks in China</w:t>
            </w:r>
            <w:r w:rsidRPr="006F386A">
              <w:rPr>
                <w:rFonts w:hAnsi="Times New Roman" w:cs="Times New Roman"/>
                <w:lang w:val="fr-FR"/>
              </w:rPr>
              <w:t>’</w:t>
            </w:r>
            <w:r w:rsidRPr="006F386A">
              <w:rPr>
                <w:rFonts w:hAnsi="Times New Roman" w:cs="Times New Roman"/>
              </w:rPr>
              <w:t>s stock market</w:t>
            </w:r>
          </w:p>
        </w:tc>
      </w:tr>
      <w:tr w:rsidR="00221149" w:rsidRPr="006F386A" w:rsidTr="00DE27FF">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lastRenderedPageBreak/>
              <w:t>Eraslan [33]</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Turkey</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Returns from Instanbul Stock Exchange 2003 to 2010.</w:t>
            </w:r>
          </w:p>
        </w:tc>
        <w:tc>
          <w:tcPr>
            <w:tcW w:w="2309" w:type="dxa"/>
          </w:tcPr>
          <w:p w:rsidR="00221149" w:rsidRPr="006F386A" w:rsidRDefault="00221149" w:rsidP="00DE27FF">
            <w:pPr>
              <w:pStyle w:val="Body"/>
              <w:spacing w:before="240"/>
              <w:jc w:val="both"/>
              <w:rPr>
                <w:rFonts w:hAnsi="Times New Roman" w:cs="Times New Roman"/>
              </w:rPr>
            </w:pPr>
            <w:r w:rsidRPr="006F386A">
              <w:rPr>
                <w:rFonts w:hAnsi="Times New Roman" w:cs="Times New Roman"/>
              </w:rPr>
              <w:t xml:space="preserve">Size factor impacts on the portfolios with small and medium-size stocks. Meanwhile value factor has a significant impact on high-value stock portfolios. </w:t>
            </w:r>
          </w:p>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p>
        </w:tc>
      </w:tr>
      <w:tr w:rsidR="00221149" w:rsidRPr="006F386A" w:rsidTr="00DE27FF">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Cakici, Fabozzi, and Tan [34]</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 xml:space="preserve">Asia, Latin America, and Eastern Europe </w:t>
            </w:r>
          </w:p>
        </w:tc>
        <w:tc>
          <w:tcPr>
            <w:tcW w:w="2309" w:type="dxa"/>
          </w:tcPr>
          <w:p w:rsidR="00221149" w:rsidRPr="006F386A" w:rsidRDefault="00221149" w:rsidP="00DE27F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hAnsi="Times New Roman" w:cs="Times New Roman"/>
              </w:rPr>
            </w:pPr>
            <w:r w:rsidRPr="006F386A">
              <w:rPr>
                <w:rFonts w:hAnsi="Times New Roman" w:cs="Times New Roman"/>
              </w:rPr>
              <w:t>18 different markets 1990- 2011</w:t>
            </w:r>
          </w:p>
        </w:tc>
        <w:tc>
          <w:tcPr>
            <w:tcW w:w="2309" w:type="dxa"/>
          </w:tcPr>
          <w:p w:rsidR="00221149" w:rsidRPr="006F386A" w:rsidRDefault="00221149" w:rsidP="00DE27FF">
            <w:pPr>
              <w:pStyle w:val="Body"/>
              <w:spacing w:before="240"/>
              <w:jc w:val="both"/>
              <w:rPr>
                <w:rFonts w:hAnsi="Times New Roman" w:cs="Times New Roman"/>
              </w:rPr>
            </w:pPr>
            <w:r w:rsidRPr="006F386A">
              <w:rPr>
                <w:rFonts w:hAnsi="Times New Roman" w:cs="Times New Roman"/>
              </w:rPr>
              <w:t>Value effect is significant in these observed markets.</w:t>
            </w:r>
          </w:p>
        </w:tc>
      </w:tr>
    </w:tbl>
    <w:p w:rsidR="00221149" w:rsidRPr="006F386A" w:rsidRDefault="00221149">
      <w:pPr>
        <w:pStyle w:val="Body"/>
        <w:spacing w:before="240"/>
        <w:jc w:val="both"/>
        <w:rPr>
          <w:rFonts w:hAnsi="Times New Roman" w:cs="Times New Roman"/>
        </w:rPr>
      </w:pPr>
    </w:p>
    <w:p w:rsidR="00030019" w:rsidRPr="006F386A" w:rsidRDefault="00030019" w:rsidP="00030019">
      <w:pPr>
        <w:pStyle w:val="Caption"/>
        <w:keepNext/>
        <w:jc w:val="center"/>
      </w:pPr>
    </w:p>
    <w:p w:rsidR="00F43885" w:rsidRPr="006F386A" w:rsidRDefault="00B72280" w:rsidP="008F0BF4">
      <w:pPr>
        <w:pStyle w:val="Body"/>
        <w:spacing w:before="240"/>
        <w:jc w:val="both"/>
        <w:rPr>
          <w:rFonts w:eastAsia="Times New Roman" w:hAnsi="Times New Roman" w:cs="Times New Roman"/>
        </w:rPr>
      </w:pPr>
      <w:r w:rsidRPr="006F386A">
        <w:rPr>
          <w:rFonts w:hAnsi="Times New Roman" w:cs="Times New Roman"/>
        </w:rPr>
        <w:t>However,</w:t>
      </w:r>
      <w:r w:rsidR="00E85608" w:rsidRPr="006F386A">
        <w:rPr>
          <w:rFonts w:hAnsi="Times New Roman" w:cs="Times New Roman"/>
        </w:rPr>
        <w:t xml:space="preserve"> </w:t>
      </w:r>
      <w:r w:rsidRPr="006F386A">
        <w:rPr>
          <w:rFonts w:hAnsi="Times New Roman" w:cs="Times New Roman"/>
        </w:rPr>
        <w:t>considerable</w:t>
      </w:r>
      <w:r w:rsidR="00E85608" w:rsidRPr="006F386A">
        <w:rPr>
          <w:rFonts w:hAnsi="Times New Roman" w:cs="Times New Roman"/>
        </w:rPr>
        <w:t xml:space="preserve"> volume of work </w:t>
      </w:r>
      <w:r w:rsidR="00B55324" w:rsidRPr="006F386A">
        <w:rPr>
          <w:rFonts w:hAnsi="Times New Roman" w:cs="Times New Roman"/>
        </w:rPr>
        <w:t xml:space="preserve">has questioned </w:t>
      </w:r>
      <w:r w:rsidRPr="006F386A">
        <w:rPr>
          <w:rFonts w:hAnsi="Times New Roman" w:cs="Times New Roman"/>
        </w:rPr>
        <w:t>the robustness of Fama and</w:t>
      </w:r>
      <w:r w:rsidR="00F67A7D" w:rsidRPr="006F386A">
        <w:rPr>
          <w:rFonts w:hAnsi="Times New Roman" w:cs="Times New Roman"/>
        </w:rPr>
        <w:t xml:space="preserve"> French three-factor model (Lam [35]</w:t>
      </w:r>
      <w:r w:rsidRPr="006F386A">
        <w:rPr>
          <w:rFonts w:hAnsi="Times New Roman" w:cs="Times New Roman"/>
        </w:rPr>
        <w:t xml:space="preserve">). </w:t>
      </w:r>
      <w:r w:rsidR="00E85608" w:rsidRPr="006F386A">
        <w:rPr>
          <w:rFonts w:hAnsi="Times New Roman" w:cs="Times New Roman"/>
        </w:rPr>
        <w:t xml:space="preserve"> For instance while examining irrational pricing </w:t>
      </w:r>
      <w:r w:rsidRPr="006F386A">
        <w:rPr>
          <w:rFonts w:hAnsi="Times New Roman" w:cs="Times New Roman"/>
        </w:rPr>
        <w:t>Daniel and Ti</w:t>
      </w:r>
      <w:r w:rsidR="00E85608" w:rsidRPr="006F386A">
        <w:rPr>
          <w:rFonts w:hAnsi="Times New Roman" w:cs="Times New Roman"/>
        </w:rPr>
        <w:t xml:space="preserve">tman </w:t>
      </w:r>
      <w:r w:rsidR="00F67A7D" w:rsidRPr="006F386A">
        <w:rPr>
          <w:rFonts w:hAnsi="Times New Roman" w:cs="Times New Roman"/>
        </w:rPr>
        <w:t xml:space="preserve">[36]. </w:t>
      </w:r>
      <w:r w:rsidR="00E85608" w:rsidRPr="006F386A">
        <w:rPr>
          <w:rFonts w:hAnsi="Times New Roman" w:cs="Times New Roman"/>
        </w:rPr>
        <w:t>showed</w:t>
      </w:r>
      <w:r w:rsidRPr="006F386A">
        <w:rPr>
          <w:rFonts w:hAnsi="Times New Roman" w:cs="Times New Roman"/>
        </w:rPr>
        <w:t xml:space="preserve"> that expected return is only related to the companies</w:t>
      </w:r>
      <w:r w:rsidRPr="006F386A">
        <w:rPr>
          <w:rFonts w:hAnsi="Times New Roman" w:cs="Times New Roman"/>
          <w:lang w:val="fr-FR"/>
        </w:rPr>
        <w:t xml:space="preserve">’ </w:t>
      </w:r>
      <w:r w:rsidRPr="006F386A">
        <w:rPr>
          <w:rFonts w:hAnsi="Times New Roman" w:cs="Times New Roman"/>
        </w:rPr>
        <w:t xml:space="preserve">specific characteristics but not linked to any economic risk factors as mentioned by three-factor model. </w:t>
      </w:r>
      <w:r w:rsidR="00B55324" w:rsidRPr="006F386A">
        <w:rPr>
          <w:rFonts w:hAnsi="Times New Roman" w:cs="Times New Roman"/>
        </w:rPr>
        <w:t xml:space="preserve">However Davis et al. </w:t>
      </w:r>
      <w:r w:rsidR="00F67A7D" w:rsidRPr="006F386A">
        <w:rPr>
          <w:rFonts w:hAnsi="Times New Roman" w:cs="Times New Roman"/>
        </w:rPr>
        <w:t xml:space="preserve">[37] </w:t>
      </w:r>
      <w:r w:rsidRPr="006F386A">
        <w:rPr>
          <w:rFonts w:hAnsi="Times New Roman" w:cs="Times New Roman"/>
        </w:rPr>
        <w:t xml:space="preserve">argued the sample study period of is too short to conclude concisely. </w:t>
      </w:r>
      <w:r w:rsidR="00B55324" w:rsidRPr="006F386A">
        <w:rPr>
          <w:rFonts w:hAnsi="Times New Roman" w:cs="Times New Roman"/>
        </w:rPr>
        <w:t xml:space="preserve">Later Daniel and Titman </w:t>
      </w:r>
      <w:r w:rsidR="00F67A7D" w:rsidRPr="006F386A">
        <w:rPr>
          <w:rFonts w:hAnsi="Times New Roman" w:cs="Times New Roman"/>
        </w:rPr>
        <w:t xml:space="preserve">[36] </w:t>
      </w:r>
      <w:r w:rsidRPr="006F386A">
        <w:rPr>
          <w:rFonts w:hAnsi="Times New Roman" w:cs="Times New Roman"/>
        </w:rPr>
        <w:t>indicated a stronger explanation power of this model for the value effect th</w:t>
      </w:r>
      <w:r w:rsidR="00F67A7D" w:rsidRPr="006F386A">
        <w:rPr>
          <w:rFonts w:hAnsi="Times New Roman" w:cs="Times New Roman"/>
        </w:rPr>
        <w:t>an that of characteristic model</w:t>
      </w:r>
      <w:r w:rsidRPr="006F386A">
        <w:rPr>
          <w:rFonts w:hAnsi="Times New Roman" w:cs="Times New Roman"/>
        </w:rPr>
        <w:t>.</w:t>
      </w:r>
      <w:r w:rsidR="00F67A7D" w:rsidRPr="006F386A">
        <w:rPr>
          <w:rFonts w:hAnsi="Times New Roman" w:cs="Times New Roman"/>
        </w:rPr>
        <w:t xml:space="preserve"> </w:t>
      </w:r>
      <w:r w:rsidR="00B55324" w:rsidRPr="006F386A">
        <w:rPr>
          <w:rFonts w:hAnsi="Times New Roman" w:cs="Times New Roman"/>
        </w:rPr>
        <w:t xml:space="preserve">Similarly, </w:t>
      </w:r>
      <w:r w:rsidR="00F67A7D" w:rsidRPr="006F386A">
        <w:rPr>
          <w:rFonts w:hAnsi="Times New Roman" w:cs="Times New Roman"/>
        </w:rPr>
        <w:t>Malin and Veeraraghavan [38]</w:t>
      </w:r>
      <w:r w:rsidRPr="006F386A">
        <w:rPr>
          <w:rFonts w:hAnsi="Times New Roman" w:cs="Times New Roman"/>
        </w:rPr>
        <w:t xml:space="preserve"> did not identify the value effect on three major European markets </w:t>
      </w:r>
      <w:r w:rsidR="008F0BF4" w:rsidRPr="006F386A">
        <w:rPr>
          <w:rFonts w:hAnsi="Times New Roman" w:cs="Times New Roman"/>
        </w:rPr>
        <w:t xml:space="preserve">while testing </w:t>
      </w:r>
      <w:r w:rsidRPr="006F386A">
        <w:rPr>
          <w:rFonts w:hAnsi="Times New Roman" w:cs="Times New Roman"/>
        </w:rPr>
        <w:t>Fama-French three-factor model. This finding supports the results of Al-Horani, Pop</w:t>
      </w:r>
      <w:r w:rsidR="008F0BF4" w:rsidRPr="006F386A">
        <w:rPr>
          <w:rFonts w:hAnsi="Times New Roman" w:cs="Times New Roman"/>
        </w:rPr>
        <w:t xml:space="preserve">e and Stark </w:t>
      </w:r>
      <w:r w:rsidR="00F67A7D" w:rsidRPr="006F386A">
        <w:rPr>
          <w:rFonts w:hAnsi="Times New Roman" w:cs="Times New Roman"/>
        </w:rPr>
        <w:t xml:space="preserve">[39] </w:t>
      </w:r>
      <w:r w:rsidR="008F0BF4" w:rsidRPr="006F386A">
        <w:rPr>
          <w:rFonts w:hAnsi="Times New Roman" w:cs="Times New Roman"/>
        </w:rPr>
        <w:t>who indicated</w:t>
      </w:r>
      <w:r w:rsidRPr="006F386A">
        <w:rPr>
          <w:rFonts w:hAnsi="Times New Roman" w:cs="Times New Roman"/>
        </w:rPr>
        <w:t xml:space="preserve"> that the CAPM model’</w:t>
      </w:r>
      <w:r w:rsidR="008F0BF4" w:rsidRPr="006F386A">
        <w:rPr>
          <w:rFonts w:hAnsi="Times New Roman" w:cs="Times New Roman"/>
        </w:rPr>
        <w:t>s market risk do</w:t>
      </w:r>
      <w:r w:rsidRPr="006F386A">
        <w:rPr>
          <w:rFonts w:hAnsi="Times New Roman" w:cs="Times New Roman"/>
        </w:rPr>
        <w:t xml:space="preserve"> </w:t>
      </w:r>
      <w:r w:rsidR="008F0BF4" w:rsidRPr="006F386A">
        <w:rPr>
          <w:rFonts w:hAnsi="Times New Roman" w:cs="Times New Roman"/>
        </w:rPr>
        <w:t xml:space="preserve">not explain </w:t>
      </w:r>
      <w:r w:rsidRPr="006F386A">
        <w:rPr>
          <w:rFonts w:hAnsi="Times New Roman" w:cs="Times New Roman"/>
        </w:rPr>
        <w:t>United Kingdom stock expected returns</w:t>
      </w:r>
      <w:r w:rsidR="008F0BF4" w:rsidRPr="006F386A">
        <w:rPr>
          <w:rFonts w:hAnsi="Times New Roman" w:cs="Times New Roman"/>
        </w:rPr>
        <w:t xml:space="preserve"> properly</w:t>
      </w:r>
      <w:r w:rsidRPr="006F386A">
        <w:rPr>
          <w:rFonts w:hAnsi="Times New Roman" w:cs="Times New Roman"/>
        </w:rPr>
        <w:t xml:space="preserve">. </w:t>
      </w:r>
      <w:r w:rsidR="008F0BF4" w:rsidRPr="006F386A">
        <w:rPr>
          <w:rFonts w:hAnsi="Times New Roman" w:cs="Times New Roman"/>
        </w:rPr>
        <w:t xml:space="preserve">Also, they argued that even though </w:t>
      </w:r>
      <w:r w:rsidRPr="006F386A">
        <w:rPr>
          <w:rFonts w:hAnsi="Times New Roman" w:cs="Times New Roman"/>
        </w:rPr>
        <w:t xml:space="preserve"> </w:t>
      </w:r>
      <w:r w:rsidR="00F67A7D" w:rsidRPr="006F386A">
        <w:rPr>
          <w:rFonts w:hAnsi="Times New Roman" w:cs="Times New Roman"/>
        </w:rPr>
        <w:t>findings of Chan and Chui [40]</w:t>
      </w:r>
      <w:r w:rsidRPr="006F386A">
        <w:rPr>
          <w:rFonts w:hAnsi="Times New Roman" w:cs="Times New Roman"/>
        </w:rPr>
        <w:t xml:space="preserve"> as well as the</w:t>
      </w:r>
      <w:r w:rsidR="00F67A7D" w:rsidRPr="006F386A">
        <w:rPr>
          <w:rFonts w:hAnsi="Times New Roman" w:cs="Times New Roman"/>
        </w:rPr>
        <w:t xml:space="preserve"> results of Strong and Xu [41]</w:t>
      </w:r>
      <w:r w:rsidRPr="006F386A">
        <w:rPr>
          <w:rFonts w:hAnsi="Times New Roman" w:cs="Times New Roman"/>
        </w:rPr>
        <w:t xml:space="preserve"> in the UK market support the </w:t>
      </w:r>
      <w:r w:rsidR="00F67A7D" w:rsidRPr="006F386A">
        <w:rPr>
          <w:rFonts w:hAnsi="Times New Roman" w:cs="Times New Roman"/>
        </w:rPr>
        <w:t xml:space="preserve">findings of the Fama and French [11], </w:t>
      </w:r>
      <w:r w:rsidRPr="006F386A">
        <w:rPr>
          <w:rFonts w:hAnsi="Times New Roman" w:cs="Times New Roman"/>
        </w:rPr>
        <w:t xml:space="preserve">the nonappearance of the significant company-scale effect is inconsistent with the findings on United States market. In addition, Shum and Tang </w:t>
      </w:r>
      <w:r w:rsidR="00F67A7D" w:rsidRPr="006F386A">
        <w:rPr>
          <w:rFonts w:hAnsi="Times New Roman" w:cs="Times New Roman"/>
        </w:rPr>
        <w:t xml:space="preserve">[42] </w:t>
      </w:r>
      <w:r w:rsidR="00884ECC" w:rsidRPr="006F386A">
        <w:rPr>
          <w:rFonts w:hAnsi="Times New Roman" w:cs="Times New Roman"/>
        </w:rPr>
        <w:t xml:space="preserve">while investigating three factor model in </w:t>
      </w:r>
      <w:r w:rsidRPr="006F386A">
        <w:rPr>
          <w:rFonts w:hAnsi="Times New Roman" w:cs="Times New Roman"/>
        </w:rPr>
        <w:t xml:space="preserve">Singapore, Hong Kong, and Taiwan - </w:t>
      </w:r>
      <w:r w:rsidR="00884ECC" w:rsidRPr="006F386A">
        <w:rPr>
          <w:rFonts w:hAnsi="Times New Roman" w:cs="Times New Roman"/>
        </w:rPr>
        <w:t xml:space="preserve">three emerging markets in Asia found </w:t>
      </w:r>
      <w:r w:rsidRPr="006F386A">
        <w:rPr>
          <w:rFonts w:hAnsi="Times New Roman" w:cs="Times New Roman"/>
        </w:rPr>
        <w:t xml:space="preserve">that the market risk is the dominant contributing factor whilst the size and value factor do not have the significant impact in several cases. Later, Liu and Yang </w:t>
      </w:r>
      <w:r w:rsidR="00F67A7D" w:rsidRPr="006F386A">
        <w:rPr>
          <w:rFonts w:hAnsi="Times New Roman" w:cs="Times New Roman"/>
        </w:rPr>
        <w:t xml:space="preserve">[43] </w:t>
      </w:r>
      <w:r w:rsidRPr="006F386A">
        <w:rPr>
          <w:rFonts w:hAnsi="Times New Roman" w:cs="Times New Roman"/>
        </w:rPr>
        <w:t xml:space="preserve">found that Size value factor both did not contribute significantly to explain average expected returns of bonds in China. </w:t>
      </w:r>
    </w:p>
    <w:p w:rsidR="00567F8C" w:rsidRPr="006F386A" w:rsidRDefault="00567F8C">
      <w:pPr>
        <w:pStyle w:val="Default"/>
        <w:spacing w:before="240" w:after="240"/>
        <w:jc w:val="both"/>
        <w:rPr>
          <w:rFonts w:ascii="Times New Roman" w:hAnsi="Times New Roman" w:cs="Times New Roman"/>
        </w:rPr>
      </w:pPr>
    </w:p>
    <w:p w:rsidR="00F43885" w:rsidRPr="006F386A" w:rsidRDefault="00B72280">
      <w:pPr>
        <w:pStyle w:val="Default"/>
        <w:spacing w:before="240" w:after="240"/>
        <w:jc w:val="both"/>
        <w:rPr>
          <w:rFonts w:ascii="Times New Roman" w:eastAsia="Times New Roman" w:hAnsi="Times New Roman" w:cs="Times New Roman"/>
          <w:sz w:val="20"/>
          <w:szCs w:val="20"/>
        </w:rPr>
      </w:pPr>
      <w:r w:rsidRPr="006F386A">
        <w:rPr>
          <w:rFonts w:ascii="Times New Roman" w:hAnsi="Times New Roman" w:cs="Times New Roman"/>
        </w:rPr>
        <w:lastRenderedPageBreak/>
        <w:t>With regard to the UK stock market</w:t>
      </w:r>
      <w:r w:rsidR="00567F8C" w:rsidRPr="006F386A">
        <w:rPr>
          <w:rFonts w:ascii="Times New Roman" w:hAnsi="Times New Roman" w:cs="Times New Roman"/>
        </w:rPr>
        <w:t xml:space="preserve"> </w:t>
      </w:r>
      <w:r w:rsidRPr="006F386A">
        <w:rPr>
          <w:rFonts w:ascii="Times New Roman" w:hAnsi="Times New Roman" w:cs="Times New Roman"/>
        </w:rPr>
        <w:t xml:space="preserve">, </w:t>
      </w:r>
      <w:r w:rsidR="00567F8C" w:rsidRPr="006F386A">
        <w:rPr>
          <w:rFonts w:ascii="Times New Roman" w:hAnsi="Times New Roman" w:cs="Times New Roman"/>
        </w:rPr>
        <w:t xml:space="preserve">Bhatnagar and Ramlogan, </w:t>
      </w:r>
      <w:r w:rsidR="00F67A7D" w:rsidRPr="006F386A">
        <w:rPr>
          <w:rFonts w:ascii="Times New Roman" w:hAnsi="Times New Roman" w:cs="Times New Roman"/>
        </w:rPr>
        <w:t xml:space="preserve">[44] </w:t>
      </w:r>
      <w:r w:rsidR="00567F8C" w:rsidRPr="006F386A">
        <w:rPr>
          <w:rFonts w:ascii="Times New Roman" w:hAnsi="Times New Roman" w:cs="Times New Roman"/>
        </w:rPr>
        <w:t xml:space="preserve">showed </w:t>
      </w:r>
      <w:r w:rsidRPr="006F386A">
        <w:rPr>
          <w:rFonts w:ascii="Times New Roman" w:hAnsi="Times New Roman" w:cs="Times New Roman"/>
        </w:rPr>
        <w:t xml:space="preserve">that book-to-market value is considered as a key factor in explaining the differences of cross-sectional average returns </w:t>
      </w:r>
      <w:r w:rsidR="00567F8C" w:rsidRPr="006F386A">
        <w:rPr>
          <w:rFonts w:ascii="Times New Roman" w:hAnsi="Times New Roman" w:cs="Times New Roman"/>
        </w:rPr>
        <w:t>.</w:t>
      </w:r>
      <w:r w:rsidRPr="006F386A">
        <w:rPr>
          <w:rFonts w:ascii="Times New Roman" w:hAnsi="Times New Roman" w:cs="Times New Roman"/>
        </w:rPr>
        <w:t xml:space="preserve">Strong and Xu </w:t>
      </w:r>
      <w:r w:rsidR="00F67A7D" w:rsidRPr="006F386A">
        <w:rPr>
          <w:rFonts w:ascii="Times New Roman" w:hAnsi="Times New Roman" w:cs="Times New Roman"/>
        </w:rPr>
        <w:t xml:space="preserve">[41] </w:t>
      </w:r>
      <w:r w:rsidRPr="006F386A">
        <w:rPr>
          <w:rFonts w:ascii="Times New Roman" w:hAnsi="Times New Roman" w:cs="Times New Roman"/>
        </w:rPr>
        <w:t xml:space="preserve">found a positive linear correlation between three variables mentioned in Fama and French model </w:t>
      </w:r>
      <w:r w:rsidR="00F67A7D" w:rsidRPr="006F386A">
        <w:rPr>
          <w:rFonts w:ascii="Times New Roman" w:hAnsi="Times New Roman" w:cs="Times New Roman"/>
        </w:rPr>
        <w:t xml:space="preserve">[11] </w:t>
      </w:r>
      <w:r w:rsidRPr="006F386A">
        <w:rPr>
          <w:rFonts w:ascii="Times New Roman" w:hAnsi="Times New Roman" w:cs="Times New Roman"/>
        </w:rPr>
        <w:t>and expected returns and an adverse correlation between book leverage, market value and expected average returns in UK. However, they only employed the simple regression to measure; thus, the accurate of findings may be not strong enou</w:t>
      </w:r>
      <w:r w:rsidR="00F67A7D" w:rsidRPr="006F386A">
        <w:rPr>
          <w:rFonts w:ascii="Times New Roman" w:hAnsi="Times New Roman" w:cs="Times New Roman"/>
        </w:rPr>
        <w:t xml:space="preserve">gh (Bhatnagar and Ramlogan, [44] </w:t>
      </w:r>
      <w:r w:rsidRPr="006F386A">
        <w:rPr>
          <w:rFonts w:ascii="Times New Roman" w:hAnsi="Times New Roman" w:cs="Times New Roman"/>
        </w:rPr>
        <w:t xml:space="preserve">). </w:t>
      </w:r>
      <w:r w:rsidR="00D10E60" w:rsidRPr="006F386A">
        <w:rPr>
          <w:rFonts w:ascii="Times New Roman" w:hAnsi="Times New Roman" w:cs="Times New Roman"/>
        </w:rPr>
        <w:t>Likewise,</w:t>
      </w:r>
      <w:r w:rsidR="00F67A7D" w:rsidRPr="006F386A">
        <w:rPr>
          <w:rFonts w:ascii="Times New Roman" w:hAnsi="Times New Roman" w:cs="Times New Roman"/>
        </w:rPr>
        <w:t xml:space="preserve"> Dimson, Nagel and Quigley [45]</w:t>
      </w:r>
      <w:r w:rsidRPr="006F386A">
        <w:rPr>
          <w:rFonts w:ascii="Times New Roman" w:hAnsi="Times New Roman" w:cs="Times New Roman"/>
        </w:rPr>
        <w:t xml:space="preserve"> carried out the test for a value effect in the United Kingdom and realized a significant effect for securities within the small-cap and big-cap universe. Morelli </w:t>
      </w:r>
      <w:r w:rsidR="00F67A7D" w:rsidRPr="006F386A">
        <w:rPr>
          <w:rFonts w:ascii="Times New Roman" w:hAnsi="Times New Roman" w:cs="Times New Roman"/>
        </w:rPr>
        <w:t xml:space="preserve">[46] </w:t>
      </w:r>
      <w:r w:rsidRPr="006F386A">
        <w:rPr>
          <w:rFonts w:ascii="Times New Roman" w:hAnsi="Times New Roman" w:cs="Times New Roman"/>
        </w:rPr>
        <w:t>also indicated a significant effect of Book-to-Market value and insignificant effect of firm size wh</w:t>
      </w:r>
      <w:r w:rsidR="00D10E60" w:rsidRPr="006F386A">
        <w:rPr>
          <w:rFonts w:ascii="Times New Roman" w:hAnsi="Times New Roman" w:cs="Times New Roman"/>
        </w:rPr>
        <w:t>ile</w:t>
      </w:r>
      <w:r w:rsidRPr="006F386A">
        <w:rPr>
          <w:rFonts w:ascii="Times New Roman" w:hAnsi="Times New Roman" w:cs="Times New Roman"/>
        </w:rPr>
        <w:t xml:space="preserve"> examining expected earnings in LSE market from July 1980 to June 2000</w:t>
      </w:r>
      <w:r w:rsidR="00D10E60" w:rsidRPr="006F386A">
        <w:rPr>
          <w:rFonts w:ascii="Times New Roman" w:hAnsi="Times New Roman" w:cs="Times New Roman"/>
        </w:rPr>
        <w:t xml:space="preserve">. </w:t>
      </w:r>
      <w:r w:rsidRPr="006F386A">
        <w:rPr>
          <w:rFonts w:ascii="Times New Roman" w:hAnsi="Times New Roman" w:cs="Times New Roman"/>
        </w:rPr>
        <w:t>More recentl</w:t>
      </w:r>
      <w:r w:rsidR="00D4045C" w:rsidRPr="006F386A">
        <w:rPr>
          <w:rFonts w:ascii="Times New Roman" w:hAnsi="Times New Roman" w:cs="Times New Roman"/>
        </w:rPr>
        <w:t>y, Bhatnagar and Ramlogan [44]</w:t>
      </w:r>
      <w:r w:rsidRPr="006F386A">
        <w:rPr>
          <w:rFonts w:ascii="Times New Roman" w:hAnsi="Times New Roman" w:cs="Times New Roman"/>
        </w:rPr>
        <w:t xml:space="preserve"> used procedure of Fama and French </w:t>
      </w:r>
      <w:r w:rsidR="00D4045C" w:rsidRPr="006F386A">
        <w:rPr>
          <w:rFonts w:ascii="Times New Roman" w:hAnsi="Times New Roman" w:cs="Times New Roman"/>
        </w:rPr>
        <w:t xml:space="preserve">[47] </w:t>
      </w:r>
      <w:r w:rsidRPr="006F386A">
        <w:rPr>
          <w:rFonts w:ascii="Times New Roman" w:hAnsi="Times New Roman" w:cs="Times New Roman"/>
        </w:rPr>
        <w:t>as their foundation by applying the multiple regression to test and compare CAPM model</w:t>
      </w:r>
      <w:r w:rsidR="00D10E60" w:rsidRPr="006F386A">
        <w:rPr>
          <w:rFonts w:ascii="Times New Roman" w:hAnsi="Times New Roman" w:cs="Times New Roman"/>
        </w:rPr>
        <w:t xml:space="preserve">. </w:t>
      </w:r>
      <w:r w:rsidRPr="006F386A">
        <w:rPr>
          <w:rFonts w:ascii="Times New Roman" w:hAnsi="Times New Roman" w:cs="Times New Roman"/>
        </w:rPr>
        <w:t xml:space="preserve">The results indicated that the Fama-French model outperformed the remaining models in describing both returns of securities and value premium effects. </w:t>
      </w:r>
      <w:r w:rsidR="00D10E60" w:rsidRPr="006F386A">
        <w:rPr>
          <w:rFonts w:ascii="Times New Roman" w:hAnsi="Times New Roman" w:cs="Times New Roman"/>
        </w:rPr>
        <w:t xml:space="preserve"> Meanwhile </w:t>
      </w:r>
      <w:r w:rsidRPr="006F386A">
        <w:rPr>
          <w:rFonts w:ascii="Times New Roman" w:hAnsi="Times New Roman" w:cs="Times New Roman"/>
        </w:rPr>
        <w:t xml:space="preserve">Brzeszczyński and McIntosh </w:t>
      </w:r>
      <w:r w:rsidR="00D4045C" w:rsidRPr="006F386A">
        <w:rPr>
          <w:rFonts w:ascii="Times New Roman" w:hAnsi="Times New Roman" w:cs="Times New Roman"/>
        </w:rPr>
        <w:t xml:space="preserve">[48] </w:t>
      </w:r>
      <w:r w:rsidR="00D10E60" w:rsidRPr="006F386A">
        <w:rPr>
          <w:rFonts w:ascii="Times New Roman" w:hAnsi="Times New Roman" w:cs="Times New Roman"/>
        </w:rPr>
        <w:t xml:space="preserve">while </w:t>
      </w:r>
      <w:r w:rsidRPr="006F386A">
        <w:rPr>
          <w:rFonts w:ascii="Times New Roman" w:hAnsi="Times New Roman" w:cs="Times New Roman"/>
        </w:rPr>
        <w:t>comparing performances of the British Social Responsible Investment (SRI) stocks portfolio and two benchmarks which are FTSE100 and FTSE4GOOD from 2000 to 2010</w:t>
      </w:r>
      <w:r w:rsidR="00D10E60" w:rsidRPr="006F386A">
        <w:rPr>
          <w:rFonts w:ascii="Times New Roman" w:hAnsi="Times New Roman" w:cs="Times New Roman"/>
        </w:rPr>
        <w:t xml:space="preserve"> found </w:t>
      </w:r>
      <w:r w:rsidRPr="006F386A">
        <w:rPr>
          <w:rFonts w:ascii="Times New Roman" w:hAnsi="Times New Roman" w:cs="Times New Roman"/>
        </w:rPr>
        <w:t xml:space="preserve"> that only market risk plays an important role in describing expected returns of the SRI portfolios whilst other factors (Size and Value factor) do not.</w:t>
      </w:r>
    </w:p>
    <w:p w:rsidR="00030019" w:rsidRPr="006F386A" w:rsidRDefault="00030019">
      <w:pPr>
        <w:pStyle w:val="Body"/>
        <w:spacing w:line="480" w:lineRule="auto"/>
        <w:rPr>
          <w:rFonts w:hAnsi="Times New Roman" w:cs="Times New Roman"/>
          <w:b/>
          <w:bCs/>
        </w:rPr>
      </w:pPr>
    </w:p>
    <w:p w:rsidR="00F43885" w:rsidRPr="006F386A" w:rsidRDefault="00B72280">
      <w:pPr>
        <w:pStyle w:val="Body"/>
        <w:spacing w:line="480" w:lineRule="auto"/>
        <w:rPr>
          <w:rFonts w:hAnsi="Times New Roman" w:cs="Times New Roman"/>
          <w:b/>
          <w:bCs/>
        </w:rPr>
      </w:pPr>
      <w:r w:rsidRPr="006F386A">
        <w:rPr>
          <w:rFonts w:hAnsi="Times New Roman" w:cs="Times New Roman"/>
          <w:b/>
          <w:bCs/>
        </w:rPr>
        <w:t>3. Data and Methodology</w:t>
      </w:r>
    </w:p>
    <w:p w:rsidR="00F43885" w:rsidRPr="006F386A" w:rsidRDefault="00A727CF">
      <w:pPr>
        <w:pStyle w:val="Body"/>
        <w:jc w:val="both"/>
        <w:rPr>
          <w:rFonts w:hAnsi="Times New Roman" w:cs="Times New Roman"/>
        </w:rPr>
      </w:pPr>
      <w:r w:rsidRPr="006F386A">
        <w:rPr>
          <w:rFonts w:hAnsi="Times New Roman" w:cs="Times New Roman"/>
        </w:rPr>
        <w:t>The data for s</w:t>
      </w:r>
      <w:r w:rsidR="00BB3354" w:rsidRPr="006F386A">
        <w:rPr>
          <w:rFonts w:hAnsi="Times New Roman" w:cs="Times New Roman"/>
        </w:rPr>
        <w:t>t</w:t>
      </w:r>
      <w:r w:rsidRPr="006F386A">
        <w:rPr>
          <w:rFonts w:hAnsi="Times New Roman" w:cs="Times New Roman"/>
        </w:rPr>
        <w:t>u</w:t>
      </w:r>
      <w:r w:rsidR="00BB3354" w:rsidRPr="006F386A">
        <w:rPr>
          <w:rFonts w:hAnsi="Times New Roman" w:cs="Times New Roman"/>
        </w:rPr>
        <w:t xml:space="preserve">dy pertaining to </w:t>
      </w:r>
      <w:r w:rsidR="00B72280" w:rsidRPr="006F386A">
        <w:rPr>
          <w:rFonts w:hAnsi="Times New Roman" w:cs="Times New Roman"/>
        </w:rPr>
        <w:t xml:space="preserve">UK market all were collected from Bloomberg database. These variables consist of the risk free rate, market-to-book value, market capitalization, stock price, market return (FTSE100). In particular, the risk-free rate employed was the yield of one-month UK Treasury Bill complying with the study of Fama and French </w:t>
      </w:r>
      <w:r w:rsidR="00FD44A0" w:rsidRPr="006F386A">
        <w:rPr>
          <w:rFonts w:hAnsi="Times New Roman" w:cs="Times New Roman"/>
        </w:rPr>
        <w:t xml:space="preserve">[11] </w:t>
      </w:r>
      <w:r w:rsidR="00B72280" w:rsidRPr="006F386A">
        <w:rPr>
          <w:rFonts w:hAnsi="Times New Roman" w:cs="Times New Roman"/>
        </w:rPr>
        <w:t xml:space="preserve">Lam </w:t>
      </w:r>
      <w:r w:rsidR="00FD44A0" w:rsidRPr="006F386A">
        <w:rPr>
          <w:rFonts w:hAnsi="Times New Roman" w:cs="Times New Roman"/>
        </w:rPr>
        <w:t>[35] and Hung [49]</w:t>
      </w:r>
      <w:r w:rsidR="00B72280" w:rsidRPr="006F386A">
        <w:rPr>
          <w:rFonts w:hAnsi="Times New Roman" w:cs="Times New Roman"/>
        </w:rPr>
        <w:t xml:space="preserve"> whilst Stock price data is the monthly closing price including dividend.</w:t>
      </w:r>
    </w:p>
    <w:p w:rsidR="00030019" w:rsidRPr="006F386A" w:rsidRDefault="00030019">
      <w:pPr>
        <w:pStyle w:val="Body"/>
        <w:jc w:val="both"/>
        <w:rPr>
          <w:rFonts w:hAnsi="Times New Roman" w:cs="Times New Roman"/>
        </w:rPr>
      </w:pPr>
    </w:p>
    <w:p w:rsidR="00F43885" w:rsidRPr="006F386A" w:rsidRDefault="00F43885" w:rsidP="00BB3354">
      <w:pPr>
        <w:pStyle w:val="Body"/>
        <w:jc w:val="both"/>
        <w:rPr>
          <w:rFonts w:hAnsi="Times New Roman" w:cs="Times New Roman"/>
        </w:rPr>
      </w:pPr>
    </w:p>
    <w:p w:rsidR="00F43885" w:rsidRPr="006F386A" w:rsidRDefault="00F43885" w:rsidP="00BB3354">
      <w:pPr>
        <w:pStyle w:val="Body"/>
        <w:jc w:val="both"/>
        <w:rPr>
          <w:rFonts w:hAnsi="Times New Roman" w:cs="Times New Roman"/>
        </w:rPr>
      </w:pPr>
    </w:p>
    <w:p w:rsidR="00221149" w:rsidRPr="006F386A" w:rsidRDefault="00221149" w:rsidP="00BB3354">
      <w:pPr>
        <w:pStyle w:val="Body"/>
        <w:jc w:val="both"/>
        <w:rPr>
          <w:rFonts w:hAnsi="Times New Roman" w:cs="Times New Roman"/>
        </w:rPr>
      </w:pPr>
    </w:p>
    <w:p w:rsidR="00221149" w:rsidRPr="006F386A" w:rsidRDefault="00221149" w:rsidP="00221149">
      <w:pPr>
        <w:pStyle w:val="Caption"/>
        <w:keepNext/>
        <w:rPr>
          <w:color w:val="000000" w:themeColor="text1"/>
          <w:sz w:val="20"/>
          <w:szCs w:val="20"/>
        </w:rPr>
      </w:pPr>
      <w:r w:rsidRPr="006F386A">
        <w:rPr>
          <w:color w:val="000000" w:themeColor="text1"/>
          <w:sz w:val="20"/>
          <w:szCs w:val="20"/>
        </w:rPr>
        <w:t xml:space="preserve">Table </w:t>
      </w:r>
      <w:r w:rsidRPr="006F386A">
        <w:rPr>
          <w:color w:val="000000" w:themeColor="text1"/>
          <w:sz w:val="20"/>
          <w:szCs w:val="20"/>
        </w:rPr>
        <w:fldChar w:fldCharType="begin"/>
      </w:r>
      <w:r w:rsidRPr="006F386A">
        <w:rPr>
          <w:color w:val="000000" w:themeColor="text1"/>
          <w:sz w:val="20"/>
          <w:szCs w:val="20"/>
        </w:rPr>
        <w:instrText xml:space="preserve"> SEQ Table \* ARABIC </w:instrText>
      </w:r>
      <w:r w:rsidRPr="006F386A">
        <w:rPr>
          <w:color w:val="000000" w:themeColor="text1"/>
          <w:sz w:val="20"/>
          <w:szCs w:val="20"/>
        </w:rPr>
        <w:fldChar w:fldCharType="separate"/>
      </w:r>
      <w:r w:rsidRPr="006F386A">
        <w:rPr>
          <w:noProof/>
          <w:color w:val="000000" w:themeColor="text1"/>
          <w:sz w:val="20"/>
          <w:szCs w:val="20"/>
        </w:rPr>
        <w:t>2</w:t>
      </w:r>
      <w:r w:rsidRPr="006F386A">
        <w:rPr>
          <w:color w:val="000000" w:themeColor="text1"/>
          <w:sz w:val="20"/>
          <w:szCs w:val="20"/>
        </w:rPr>
        <w:fldChar w:fldCharType="end"/>
      </w:r>
      <w:r w:rsidRPr="006F386A">
        <w:rPr>
          <w:color w:val="000000" w:themeColor="text1"/>
          <w:sz w:val="20"/>
          <w:szCs w:val="20"/>
        </w:rPr>
        <w:t>: The sources of1 variables of Fama-French three-factor model</w:t>
      </w:r>
    </w:p>
    <w:tbl>
      <w:tblPr>
        <w:tblW w:w="87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222"/>
        <w:gridCol w:w="5130"/>
        <w:gridCol w:w="1440"/>
      </w:tblGrid>
      <w:tr w:rsidR="00221149" w:rsidRPr="006F386A" w:rsidTr="00DE27FF">
        <w:trPr>
          <w:trHeight w:val="300"/>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149" w:rsidRPr="006F386A" w:rsidRDefault="00221149" w:rsidP="00DE27FF">
            <w:pPr>
              <w:pStyle w:val="Body"/>
              <w:jc w:val="center"/>
              <w:rPr>
                <w:rFonts w:hAnsi="Times New Roman" w:cs="Times New Roman"/>
              </w:rPr>
            </w:pPr>
            <w:r w:rsidRPr="006F386A">
              <w:rPr>
                <w:rFonts w:hAnsi="Times New Roman" w:cs="Times New Roman"/>
                <w:b/>
                <w:bCs/>
              </w:rPr>
              <w:t>Variable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149" w:rsidRPr="006F386A" w:rsidRDefault="00221149" w:rsidP="00DE27FF">
            <w:pPr>
              <w:pStyle w:val="Body"/>
              <w:jc w:val="center"/>
              <w:rPr>
                <w:rFonts w:hAnsi="Times New Roman" w:cs="Times New Roman"/>
              </w:rPr>
            </w:pPr>
            <w:r w:rsidRPr="006F386A">
              <w:rPr>
                <w:rFonts w:hAnsi="Times New Roman" w:cs="Times New Roman"/>
                <w:b/>
                <w:bCs/>
              </w:rPr>
              <w:t>Content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149" w:rsidRPr="006F386A" w:rsidRDefault="00221149" w:rsidP="00DE27FF">
            <w:pPr>
              <w:pStyle w:val="Body"/>
              <w:jc w:val="center"/>
              <w:rPr>
                <w:rFonts w:hAnsi="Times New Roman" w:cs="Times New Roman"/>
              </w:rPr>
            </w:pPr>
            <w:r w:rsidRPr="006F386A">
              <w:rPr>
                <w:rFonts w:hAnsi="Times New Roman" w:cs="Times New Roman"/>
                <w:b/>
                <w:bCs/>
              </w:rPr>
              <w:t>Sources</w:t>
            </w:r>
          </w:p>
        </w:tc>
      </w:tr>
      <w:tr w:rsidR="00221149" w:rsidRPr="006F386A" w:rsidTr="00DE27FF">
        <w:trPr>
          <w:trHeight w:val="300"/>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149" w:rsidRPr="006F386A" w:rsidRDefault="00221149" w:rsidP="00DE27FF">
            <w:pPr>
              <w:pStyle w:val="Body"/>
              <w:jc w:val="both"/>
              <w:rPr>
                <w:rFonts w:hAnsi="Times New Roman" w:cs="Times New Roman"/>
              </w:rPr>
            </w:pPr>
            <w:r w:rsidRPr="006F386A">
              <w:rPr>
                <w:rFonts w:hAnsi="Times New Roman" w:cs="Times New Roman"/>
              </w:rPr>
              <w:t>Risk free rate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149" w:rsidRPr="006F386A" w:rsidRDefault="00221149" w:rsidP="00DE27FF">
            <w:pPr>
              <w:pStyle w:val="Body"/>
              <w:jc w:val="both"/>
              <w:rPr>
                <w:rFonts w:hAnsi="Times New Roman" w:cs="Times New Roman"/>
              </w:rPr>
            </w:pPr>
            <w:r w:rsidRPr="006F386A">
              <w:rPr>
                <w:rFonts w:hAnsi="Times New Roman" w:cs="Times New Roman"/>
              </w:rPr>
              <w:t>The yield of one-month UK Treasury Bill</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1149" w:rsidRPr="006F386A" w:rsidRDefault="00221149" w:rsidP="00DE27FF">
            <w:pPr>
              <w:pStyle w:val="Body"/>
              <w:jc w:val="center"/>
              <w:rPr>
                <w:rFonts w:hAnsi="Times New Roman" w:cs="Times New Roman"/>
              </w:rPr>
            </w:pPr>
            <w:r w:rsidRPr="006F386A">
              <w:rPr>
                <w:rFonts w:hAnsi="Times New Roman" w:cs="Times New Roman"/>
                <w:b/>
                <w:bCs/>
              </w:rPr>
              <w:t xml:space="preserve">Bloomberg                      </w:t>
            </w:r>
            <w:r w:rsidRPr="006F386A">
              <w:rPr>
                <w:rFonts w:hAnsi="Times New Roman" w:cs="Times New Roman"/>
                <w:i/>
                <w:iCs/>
              </w:rPr>
              <w:t>access date: 12/7/2014</w:t>
            </w:r>
          </w:p>
        </w:tc>
      </w:tr>
      <w:tr w:rsidR="00221149" w:rsidRPr="006F386A" w:rsidTr="00DE27FF">
        <w:trPr>
          <w:trHeight w:val="300"/>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149" w:rsidRPr="006F386A" w:rsidRDefault="00221149" w:rsidP="00DE27FF">
            <w:pPr>
              <w:pStyle w:val="Body"/>
              <w:jc w:val="both"/>
              <w:rPr>
                <w:rFonts w:hAnsi="Times New Roman" w:cs="Times New Roman"/>
              </w:rPr>
            </w:pPr>
            <w:r w:rsidRPr="006F386A">
              <w:rPr>
                <w:rFonts w:hAnsi="Times New Roman" w:cs="Times New Roman"/>
              </w:rPr>
              <w:t>Market-to-book ratio</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149" w:rsidRPr="006F386A" w:rsidRDefault="00221149" w:rsidP="00DE27FF"/>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rsidR="00221149" w:rsidRPr="006F386A" w:rsidRDefault="00221149" w:rsidP="00DE27FF"/>
        </w:tc>
      </w:tr>
      <w:tr w:rsidR="00221149" w:rsidRPr="006F386A" w:rsidTr="00DE27FF">
        <w:trPr>
          <w:trHeight w:val="600"/>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149" w:rsidRPr="006F386A" w:rsidRDefault="00221149" w:rsidP="00DE27FF">
            <w:pPr>
              <w:pStyle w:val="Body"/>
              <w:jc w:val="both"/>
              <w:rPr>
                <w:rFonts w:hAnsi="Times New Roman" w:cs="Times New Roman"/>
              </w:rPr>
            </w:pPr>
            <w:r w:rsidRPr="006F386A">
              <w:rPr>
                <w:rFonts w:hAnsi="Times New Roman" w:cs="Times New Roman"/>
              </w:rPr>
              <w:t>Market Capitalization</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149" w:rsidRPr="006F386A" w:rsidRDefault="00221149" w:rsidP="00DE27FF">
            <w:pPr>
              <w:pStyle w:val="Body"/>
              <w:jc w:val="both"/>
              <w:rPr>
                <w:rFonts w:hAnsi="Times New Roman" w:cs="Times New Roman"/>
              </w:rPr>
            </w:pPr>
            <w:r w:rsidRPr="006F386A">
              <w:rPr>
                <w:rFonts w:hAnsi="Times New Roman" w:cs="Times New Roman"/>
              </w:rPr>
              <w:t>Simply multiplying the number of issued shares with the market share price (Morelli [47] )</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rsidR="00221149" w:rsidRPr="006F386A" w:rsidRDefault="00221149" w:rsidP="00DE27FF"/>
        </w:tc>
      </w:tr>
      <w:tr w:rsidR="00221149" w:rsidRPr="006F386A" w:rsidTr="00DE27FF">
        <w:trPr>
          <w:trHeight w:val="300"/>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149" w:rsidRPr="006F386A" w:rsidRDefault="00221149" w:rsidP="00DE27FF">
            <w:pPr>
              <w:pStyle w:val="Body"/>
              <w:jc w:val="both"/>
              <w:rPr>
                <w:rFonts w:hAnsi="Times New Roman" w:cs="Times New Roman"/>
              </w:rPr>
            </w:pPr>
            <w:r w:rsidRPr="006F386A">
              <w:rPr>
                <w:rFonts w:hAnsi="Times New Roman" w:cs="Times New Roman"/>
              </w:rPr>
              <w:t>Stock price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149" w:rsidRPr="006F386A" w:rsidRDefault="00221149" w:rsidP="00DE27FF">
            <w:pPr>
              <w:pStyle w:val="Body"/>
              <w:jc w:val="both"/>
              <w:rPr>
                <w:rFonts w:hAnsi="Times New Roman" w:cs="Times New Roman"/>
              </w:rPr>
            </w:pPr>
            <w:r w:rsidRPr="006F386A">
              <w:rPr>
                <w:rFonts w:hAnsi="Times New Roman" w:cs="Times New Roman"/>
              </w:rPr>
              <w:t>The monthly closing price including dividend</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rsidR="00221149" w:rsidRPr="006F386A" w:rsidRDefault="00221149" w:rsidP="00DE27FF"/>
        </w:tc>
      </w:tr>
      <w:tr w:rsidR="00221149" w:rsidRPr="006F386A" w:rsidTr="00DE27FF">
        <w:trPr>
          <w:trHeight w:val="300"/>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149" w:rsidRPr="006F386A" w:rsidRDefault="00221149" w:rsidP="00DE27FF">
            <w:pPr>
              <w:pStyle w:val="Body"/>
              <w:spacing w:before="240"/>
              <w:jc w:val="both"/>
              <w:rPr>
                <w:rFonts w:hAnsi="Times New Roman" w:cs="Times New Roman"/>
              </w:rPr>
            </w:pPr>
            <w:r w:rsidRPr="006F386A">
              <w:rPr>
                <w:rFonts w:hAnsi="Times New Roman" w:cs="Times New Roman"/>
              </w:rPr>
              <w:t>Market return</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1149" w:rsidRPr="006F386A" w:rsidRDefault="00221149" w:rsidP="00DE27FF">
            <w:pPr>
              <w:pStyle w:val="Body"/>
              <w:spacing w:before="240"/>
              <w:jc w:val="both"/>
              <w:rPr>
                <w:rFonts w:hAnsi="Times New Roman" w:cs="Times New Roman"/>
              </w:rPr>
            </w:pPr>
            <w:r w:rsidRPr="006F386A">
              <w:rPr>
                <w:rFonts w:hAnsi="Times New Roman" w:cs="Times New Roman"/>
              </w:rPr>
              <w:t>The return of FTSE100 index</w:t>
            </w: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Pr>
          <w:p w:rsidR="00221149" w:rsidRPr="006F386A" w:rsidRDefault="00221149" w:rsidP="00DE27FF"/>
        </w:tc>
      </w:tr>
    </w:tbl>
    <w:p w:rsidR="00221149" w:rsidRDefault="00221149" w:rsidP="00BB3354">
      <w:pPr>
        <w:pStyle w:val="Body"/>
        <w:jc w:val="both"/>
        <w:rPr>
          <w:rFonts w:hAnsi="Times New Roman" w:cs="Times New Roman"/>
          <w:b/>
          <w:bCs/>
        </w:rPr>
      </w:pPr>
    </w:p>
    <w:p w:rsidR="00A704CB" w:rsidRDefault="00A704CB" w:rsidP="00BB3354">
      <w:pPr>
        <w:pStyle w:val="Body"/>
        <w:jc w:val="both"/>
        <w:rPr>
          <w:rFonts w:hAnsi="Times New Roman" w:cs="Times New Roman"/>
          <w:b/>
          <w:bCs/>
        </w:rPr>
      </w:pPr>
    </w:p>
    <w:p w:rsidR="00A704CB" w:rsidRPr="006F386A" w:rsidRDefault="00A704CB" w:rsidP="00BB3354">
      <w:pPr>
        <w:pStyle w:val="Body"/>
        <w:jc w:val="both"/>
        <w:rPr>
          <w:rFonts w:hAnsi="Times New Roman" w:cs="Times New Roman"/>
          <w:b/>
          <w:bCs/>
        </w:rPr>
      </w:pPr>
    </w:p>
    <w:p w:rsidR="00221149" w:rsidRPr="006F386A" w:rsidRDefault="00221149" w:rsidP="00BB3354">
      <w:pPr>
        <w:pStyle w:val="Body"/>
        <w:jc w:val="both"/>
        <w:rPr>
          <w:rFonts w:hAnsi="Times New Roman" w:cs="Times New Roman"/>
          <w:b/>
          <w:bCs/>
        </w:rPr>
      </w:pPr>
    </w:p>
    <w:p w:rsidR="00F43885" w:rsidRPr="006F386A" w:rsidRDefault="00B72280" w:rsidP="00BB3354">
      <w:pPr>
        <w:pStyle w:val="Body"/>
        <w:jc w:val="both"/>
        <w:rPr>
          <w:rFonts w:hAnsi="Times New Roman" w:cs="Times New Roman"/>
          <w:b/>
          <w:bCs/>
        </w:rPr>
      </w:pPr>
      <w:r w:rsidRPr="006F386A">
        <w:rPr>
          <w:rFonts w:hAnsi="Times New Roman" w:cs="Times New Roman"/>
          <w:b/>
          <w:bCs/>
        </w:rPr>
        <w:lastRenderedPageBreak/>
        <w:t>Methodology</w:t>
      </w:r>
    </w:p>
    <w:p w:rsidR="00F43885" w:rsidRPr="006F386A" w:rsidRDefault="00F43885" w:rsidP="00BB3354">
      <w:pPr>
        <w:pStyle w:val="Body"/>
        <w:jc w:val="both"/>
        <w:rPr>
          <w:rFonts w:hAnsi="Times New Roman" w:cs="Times New Roman"/>
          <w:b/>
          <w:bCs/>
        </w:rPr>
      </w:pPr>
    </w:p>
    <w:p w:rsidR="00F43885" w:rsidRPr="006F386A" w:rsidRDefault="00B72280" w:rsidP="00BB3354">
      <w:pPr>
        <w:pStyle w:val="Body"/>
        <w:jc w:val="both"/>
        <w:rPr>
          <w:rFonts w:hAnsi="Times New Roman" w:cs="Times New Roman"/>
        </w:rPr>
      </w:pPr>
      <w:r w:rsidRPr="006F386A">
        <w:rPr>
          <w:rFonts w:hAnsi="Times New Roman" w:cs="Times New Roman"/>
        </w:rPr>
        <w:t>The sample includes the securities w</w:t>
      </w:r>
      <w:r w:rsidR="00E9180E" w:rsidRPr="006F386A">
        <w:rPr>
          <w:rFonts w:hAnsi="Times New Roman" w:cs="Times New Roman"/>
        </w:rPr>
        <w:t xml:space="preserve">hich </w:t>
      </w:r>
      <w:r w:rsidR="009823C1" w:rsidRPr="006F386A">
        <w:rPr>
          <w:rFonts w:hAnsi="Times New Roman" w:cs="Times New Roman"/>
        </w:rPr>
        <w:t xml:space="preserve">were </w:t>
      </w:r>
      <w:r w:rsidRPr="006F386A">
        <w:rPr>
          <w:rFonts w:hAnsi="Times New Roman" w:cs="Times New Roman"/>
        </w:rPr>
        <w:t>listed on Financial Times Stock Exchange FTSE 100</w:t>
      </w:r>
      <w:r w:rsidR="00BD14C0" w:rsidRPr="006F386A">
        <w:rPr>
          <w:rFonts w:hAnsi="Times New Roman" w:cs="Times New Roman"/>
        </w:rPr>
        <w:t xml:space="preserve"> from January 2009 to December 2013</w:t>
      </w:r>
      <w:r w:rsidRPr="006F386A">
        <w:rPr>
          <w:rFonts w:hAnsi="Times New Roman" w:cs="Times New Roman"/>
        </w:rPr>
        <w:t>.</w:t>
      </w:r>
      <w:r w:rsidR="00593AF0" w:rsidRPr="006F386A">
        <w:rPr>
          <w:rFonts w:hAnsi="Times New Roman" w:cs="Times New Roman"/>
        </w:rPr>
        <w:t xml:space="preserve"> 60 months analysis period was restricted to only those companies that were  listed on LSE for at least 5 years prior to the portfolio formation and had at least 5 years of accounting data available.</w:t>
      </w:r>
      <w:r w:rsidRPr="006F386A">
        <w:rPr>
          <w:rFonts w:hAnsi="Times New Roman" w:cs="Times New Roman"/>
        </w:rPr>
        <w:t xml:space="preserve"> </w:t>
      </w:r>
      <w:r w:rsidR="009823C1" w:rsidRPr="006F386A">
        <w:rPr>
          <w:rFonts w:hAnsi="Times New Roman" w:cs="Times New Roman"/>
        </w:rPr>
        <w:t xml:space="preserve">These restrictions was placed to increase data reliability thus filtering 94 stocks for analysis. </w:t>
      </w:r>
      <w:r w:rsidRPr="006F386A">
        <w:rPr>
          <w:rFonts w:hAnsi="Times New Roman" w:cs="Times New Roman"/>
        </w:rPr>
        <w:t xml:space="preserve">The monthly-base test is applied, and monthly-end data is collected on Bloomberg database </w:t>
      </w:r>
      <w:r w:rsidR="00E9180E" w:rsidRPr="006F386A">
        <w:rPr>
          <w:rFonts w:hAnsi="Times New Roman" w:cs="Times New Roman"/>
        </w:rPr>
        <w:t xml:space="preserve">together with </w:t>
      </w:r>
      <w:r w:rsidRPr="006F386A">
        <w:rPr>
          <w:rFonts w:hAnsi="Times New Roman" w:cs="Times New Roman"/>
        </w:rPr>
        <w:t>audited financial statements. This period is selected to avoid the effect of crisis 2008 which may lead to reduce the validity and efficiency of the model</w:t>
      </w:r>
    </w:p>
    <w:p w:rsidR="009823C1" w:rsidRPr="006F386A" w:rsidRDefault="009823C1" w:rsidP="00BB3354">
      <w:pPr>
        <w:pStyle w:val="Body"/>
        <w:jc w:val="both"/>
        <w:rPr>
          <w:rFonts w:hAnsi="Times New Roman" w:cs="Times New Roman"/>
          <w:b/>
          <w:bCs/>
        </w:rPr>
      </w:pPr>
    </w:p>
    <w:p w:rsidR="00F43885" w:rsidRPr="006F386A" w:rsidRDefault="003225B6" w:rsidP="00BB3354">
      <w:pPr>
        <w:pStyle w:val="Body"/>
        <w:spacing w:after="240"/>
        <w:jc w:val="both"/>
        <w:rPr>
          <w:rFonts w:hAnsi="Times New Roman" w:cs="Times New Roman"/>
          <w:b/>
          <w:bCs/>
        </w:rPr>
      </w:pPr>
      <w:r w:rsidRPr="006F386A">
        <w:rPr>
          <w:rFonts w:hAnsi="Times New Roman" w:cs="Times New Roman"/>
        </w:rPr>
        <w:t xml:space="preserve"> Fama and French [7] and Fama and French [47]</w:t>
      </w:r>
      <w:r w:rsidR="00B72280" w:rsidRPr="006F386A">
        <w:rPr>
          <w:rFonts w:hAnsi="Times New Roman" w:cs="Times New Roman"/>
        </w:rPr>
        <w:t xml:space="preserve"> </w:t>
      </w:r>
      <w:r w:rsidR="00DC7DA1" w:rsidRPr="006F386A">
        <w:rPr>
          <w:rFonts w:hAnsi="Times New Roman" w:cs="Times New Roman"/>
        </w:rPr>
        <w:t xml:space="preserve"> is </w:t>
      </w:r>
      <w:r w:rsidR="00B72280" w:rsidRPr="006F386A">
        <w:rPr>
          <w:rFonts w:hAnsi="Times New Roman" w:cs="Times New Roman"/>
        </w:rPr>
        <w:t xml:space="preserve">employed </w:t>
      </w:r>
      <w:r w:rsidR="00DC7DA1" w:rsidRPr="006F386A">
        <w:rPr>
          <w:rFonts w:hAnsi="Times New Roman" w:cs="Times New Roman"/>
        </w:rPr>
        <w:t xml:space="preserve"> for the study  that considers risk factor viz-</w:t>
      </w:r>
      <w:r w:rsidR="00B72280" w:rsidRPr="006F386A">
        <w:rPr>
          <w:rFonts w:hAnsi="Times New Roman" w:cs="Times New Roman"/>
        </w:rPr>
        <w:t xml:space="preserve"> Market risk, company size and book-to-market </w:t>
      </w:r>
      <w:r w:rsidR="00DC7DA1" w:rsidRPr="006F386A">
        <w:rPr>
          <w:rFonts w:hAnsi="Times New Roman" w:cs="Times New Roman"/>
        </w:rPr>
        <w:t xml:space="preserve"> as  </w:t>
      </w:r>
      <w:r w:rsidR="00B72280" w:rsidRPr="006F386A">
        <w:rPr>
          <w:rFonts w:hAnsi="Times New Roman" w:cs="Times New Roman"/>
          <w:b/>
          <w:bCs/>
          <w:i/>
          <w:iCs/>
          <w:lang w:val="es-ES_tradnl"/>
        </w:rPr>
        <w:t>predictor variables,</w:t>
      </w:r>
      <w:r w:rsidR="00B72280" w:rsidRPr="006F386A">
        <w:rPr>
          <w:rFonts w:hAnsi="Times New Roman" w:cs="Times New Roman"/>
        </w:rPr>
        <w:t xml:space="preserve"> an</w:t>
      </w:r>
      <w:r w:rsidR="00DC7DA1" w:rsidRPr="006F386A">
        <w:rPr>
          <w:rFonts w:hAnsi="Times New Roman" w:cs="Times New Roman"/>
        </w:rPr>
        <w:t>d excess return of portfolios as</w:t>
      </w:r>
      <w:r w:rsidR="00B72280" w:rsidRPr="006F386A">
        <w:rPr>
          <w:rFonts w:hAnsi="Times New Roman" w:cs="Times New Roman"/>
        </w:rPr>
        <w:t xml:space="preserve"> </w:t>
      </w:r>
      <w:r w:rsidR="00B72280" w:rsidRPr="006F386A">
        <w:rPr>
          <w:rFonts w:hAnsi="Times New Roman" w:cs="Times New Roman"/>
          <w:b/>
          <w:bCs/>
          <w:i/>
          <w:iCs/>
          <w:lang w:val="es-ES_tradnl"/>
        </w:rPr>
        <w:t>criterion variable</w:t>
      </w:r>
      <w:r w:rsidR="00B72280" w:rsidRPr="006F386A">
        <w:rPr>
          <w:rFonts w:hAnsi="Times New Roman" w:cs="Times New Roman"/>
        </w:rPr>
        <w:t xml:space="preserve">. </w:t>
      </w:r>
      <w:r w:rsidR="00DC7DA1" w:rsidRPr="006F386A">
        <w:rPr>
          <w:rFonts w:hAnsi="Times New Roman" w:cs="Times New Roman"/>
        </w:rPr>
        <w:t xml:space="preserve"> Mathematically it is given by following </w:t>
      </w:r>
    </w:p>
    <w:p w:rsidR="00F43885" w:rsidRPr="006F386A" w:rsidRDefault="00B72280">
      <w:pPr>
        <w:pStyle w:val="Body"/>
        <w:spacing w:after="240"/>
        <w:jc w:val="both"/>
        <w:rPr>
          <w:rFonts w:hAnsi="Times New Roman" w:cs="Times New Roman"/>
        </w:rPr>
      </w:pPr>
      <w:r w:rsidRPr="006F386A">
        <w:rPr>
          <w:rFonts w:hAnsi="Times New Roman" w:cs="Times New Roman"/>
          <w:b/>
          <w:bCs/>
        </w:rPr>
        <w:t xml:space="preserve">     The Fama and French three factor model </w:t>
      </w:r>
      <w:r w:rsidR="003225B6" w:rsidRPr="006F386A">
        <w:rPr>
          <w:rFonts w:hAnsi="Times New Roman" w:cs="Times New Roman"/>
        </w:rPr>
        <w:t>(Fama and French [11]</w:t>
      </w:r>
      <w:r w:rsidRPr="006F386A">
        <w:rPr>
          <w:rFonts w:hAnsi="Times New Roman" w:cs="Times New Roman"/>
        </w:rPr>
        <w:t>):</w:t>
      </w:r>
    </w:p>
    <w:p w:rsidR="00F43885" w:rsidRPr="006F386A" w:rsidRDefault="00705095">
      <w:pPr>
        <w:pStyle w:val="Body"/>
        <w:spacing w:after="240"/>
        <w:jc w:val="both"/>
        <w:rPr>
          <w:rFonts w:hAnsi="Times New Roman" w:cs="Times New Roman"/>
          <w:b/>
          <w:bCs/>
        </w:rPr>
      </w:pPr>
      <w:r w:rsidRPr="006F386A">
        <w:rPr>
          <w:rFonts w:hAnsi="Times New Roman" w:cs="Times New Roman"/>
          <w:b/>
          <w:bCs/>
        </w:rPr>
        <w:pict>
          <v:group id="_x0000_s1028" style="position:absolute;left:0;text-align:left;margin-left:37.4pt;margin-top:5.3pt;width:5in;height:30.5pt;z-index:251661312;mso-wrap-distance-left:12pt;mso-wrap-distance-top:12pt;mso-wrap-distance-right:12pt;mso-wrap-distance-bottom:12pt;mso-position-vertical-relative:line" coordsize="4572000,387350">
            <v:rect id="_x0000_s1029" style="position:absolute;width:4572000;height:387350" strokeweight="2pt">
              <v:stroke joinstyle="bevel"/>
            </v:rect>
            <v:rect id="_x0000_s1030" style="position:absolute;width:4572000;height:387350" filled="f" stroked="f" strokeweight="1pt">
              <v:stroke miterlimit="4"/>
              <v:textbox>
                <w:txbxContent>
                  <w:p w:rsidR="00600725" w:rsidRDefault="00600725">
                    <w:pPr>
                      <w:pStyle w:val="Body"/>
                      <w:spacing w:line="360" w:lineRule="auto"/>
                      <w:jc w:val="center"/>
                    </w:pPr>
                    <w:r>
                      <w:rPr>
                        <w:rFonts w:ascii="Arial"/>
                      </w:rPr>
                      <w:t>R</w:t>
                    </w:r>
                    <w:r>
                      <w:rPr>
                        <w:rFonts w:ascii="Arial"/>
                        <w:vertAlign w:val="subscript"/>
                      </w:rPr>
                      <w:t>it</w:t>
                    </w:r>
                    <w:r>
                      <w:t xml:space="preserve"> </w:t>
                    </w:r>
                    <w:r>
                      <w:t>–</w:t>
                    </w:r>
                    <w:r>
                      <w:t xml:space="preserve"> </w:t>
                    </w:r>
                    <w:r>
                      <w:rPr>
                        <w:rFonts w:ascii="Arial"/>
                      </w:rPr>
                      <w:t>R</w:t>
                    </w:r>
                    <w:r>
                      <w:rPr>
                        <w:rFonts w:ascii="Arial"/>
                        <w:vertAlign w:val="subscript"/>
                      </w:rPr>
                      <w:t>ft</w:t>
                    </w:r>
                    <w:r>
                      <w:rPr>
                        <w:rFonts w:ascii="Arial"/>
                      </w:rPr>
                      <w:t xml:space="preserve"> = </w:t>
                    </w:r>
                    <w:r>
                      <w:t>α</w:t>
                    </w:r>
                    <w:r>
                      <w:rPr>
                        <w:rFonts w:ascii="Arial"/>
                        <w:vertAlign w:val="subscript"/>
                      </w:rPr>
                      <w:t xml:space="preserve">it </w:t>
                    </w:r>
                    <w:r>
                      <w:rPr>
                        <w:rFonts w:ascii="Arial"/>
                      </w:rPr>
                      <w:t xml:space="preserve">+ </w:t>
                    </w:r>
                    <w:r>
                      <w:t>β</w:t>
                    </w:r>
                    <w:r>
                      <w:rPr>
                        <w:rFonts w:ascii="Arial"/>
                        <w:vertAlign w:val="subscript"/>
                      </w:rPr>
                      <w:t>iM</w:t>
                    </w:r>
                    <w:r>
                      <w:rPr>
                        <w:rFonts w:ascii="Arial"/>
                      </w:rPr>
                      <w:t>(R</w:t>
                    </w:r>
                    <w:r>
                      <w:rPr>
                        <w:rFonts w:ascii="Arial"/>
                        <w:vertAlign w:val="subscript"/>
                      </w:rPr>
                      <w:t>Mt</w:t>
                    </w:r>
                    <w:r>
                      <w:rPr>
                        <w:rFonts w:ascii="Arial"/>
                      </w:rPr>
                      <w:t xml:space="preserve"> - R</w:t>
                    </w:r>
                    <w:r>
                      <w:rPr>
                        <w:rFonts w:ascii="Arial"/>
                        <w:vertAlign w:val="subscript"/>
                      </w:rPr>
                      <w:t>ft</w:t>
                    </w:r>
                    <w:r>
                      <w:rPr>
                        <w:rFonts w:ascii="Arial"/>
                      </w:rPr>
                      <w:t xml:space="preserve">) + </w:t>
                    </w:r>
                    <w:r>
                      <w:t>β</w:t>
                    </w:r>
                    <w:r>
                      <w:rPr>
                        <w:rFonts w:ascii="Arial"/>
                        <w:vertAlign w:val="subscript"/>
                      </w:rPr>
                      <w:t>is</w:t>
                    </w:r>
                    <w:r>
                      <w:rPr>
                        <w:rFonts w:ascii="Arial"/>
                      </w:rPr>
                      <w:t>SMB</w:t>
                    </w:r>
                    <w:r>
                      <w:rPr>
                        <w:rFonts w:ascii="Arial"/>
                        <w:vertAlign w:val="subscript"/>
                      </w:rPr>
                      <w:t>t</w:t>
                    </w:r>
                    <w:r>
                      <w:rPr>
                        <w:rFonts w:ascii="Arial"/>
                      </w:rPr>
                      <w:t xml:space="preserve"> +</w:t>
                    </w:r>
                    <w:r>
                      <w:t>β</w:t>
                    </w:r>
                    <w:r>
                      <w:rPr>
                        <w:rFonts w:ascii="Arial"/>
                        <w:vertAlign w:val="subscript"/>
                      </w:rPr>
                      <w:t>ih</w:t>
                    </w:r>
                    <w:r>
                      <w:rPr>
                        <w:rFonts w:ascii="Arial"/>
                      </w:rPr>
                      <w:t>HML</w:t>
                    </w:r>
                    <w:r>
                      <w:rPr>
                        <w:rFonts w:ascii="Arial"/>
                        <w:vertAlign w:val="subscript"/>
                      </w:rPr>
                      <w:t>t</w:t>
                    </w:r>
                    <w:r>
                      <w:rPr>
                        <w:rFonts w:ascii="Arial"/>
                      </w:rPr>
                      <w:t xml:space="preserve"> + </w:t>
                    </w:r>
                    <w:r>
                      <w:t>ε</w:t>
                    </w:r>
                    <w:r>
                      <w:rPr>
                        <w:rFonts w:ascii="Arial"/>
                        <w:vertAlign w:val="subscript"/>
                      </w:rPr>
                      <w:t>it</w:t>
                    </w:r>
                  </w:p>
                </w:txbxContent>
              </v:textbox>
            </v:rect>
          </v:group>
        </w:pict>
      </w:r>
    </w:p>
    <w:p w:rsidR="00F43885" w:rsidRPr="006F386A" w:rsidRDefault="00F43885">
      <w:pPr>
        <w:pStyle w:val="Body"/>
        <w:spacing w:before="240"/>
        <w:jc w:val="both"/>
        <w:rPr>
          <w:rFonts w:hAnsi="Times New Roman" w:cs="Times New Roman"/>
          <w:b/>
          <w:bCs/>
        </w:rPr>
      </w:pPr>
    </w:p>
    <w:p w:rsidR="00F43885" w:rsidRPr="006F386A" w:rsidRDefault="001261CC" w:rsidP="001261CC">
      <w:pPr>
        <w:pStyle w:val="Body"/>
        <w:spacing w:before="240" w:after="240"/>
        <w:jc w:val="both"/>
        <w:rPr>
          <w:rFonts w:hAnsi="Times New Roman" w:cs="Times New Roman"/>
        </w:rPr>
      </w:pPr>
      <w:r w:rsidRPr="006F386A">
        <w:rPr>
          <w:rFonts w:hAnsi="Times New Roman" w:cs="Times New Roman"/>
        </w:rPr>
        <w:t>The dependent variable of m</w:t>
      </w:r>
      <w:r w:rsidR="00B72280" w:rsidRPr="006F386A">
        <w:rPr>
          <w:rFonts w:hAnsi="Times New Roman" w:cs="Times New Roman"/>
        </w:rPr>
        <w:t>onthly excess average return</w:t>
      </w:r>
      <w:r w:rsidRPr="006F386A">
        <w:rPr>
          <w:rFonts w:hAnsi="Times New Roman" w:cs="Times New Roman"/>
        </w:rPr>
        <w:t xml:space="preserve"> (R</w:t>
      </w:r>
      <w:r w:rsidRPr="006F386A">
        <w:rPr>
          <w:rFonts w:hAnsi="Times New Roman" w:cs="Times New Roman"/>
          <w:vertAlign w:val="subscript"/>
        </w:rPr>
        <w:t>it</w:t>
      </w:r>
      <w:r w:rsidRPr="006F386A">
        <w:rPr>
          <w:rFonts w:hAnsi="Times New Roman" w:cs="Times New Roman"/>
        </w:rPr>
        <w:t xml:space="preserve"> – R</w:t>
      </w:r>
      <w:r w:rsidRPr="006F386A">
        <w:rPr>
          <w:rFonts w:hAnsi="Times New Roman" w:cs="Times New Roman"/>
          <w:vertAlign w:val="subscript"/>
        </w:rPr>
        <w:t>ft)</w:t>
      </w:r>
      <w:r w:rsidR="00B72280" w:rsidRPr="006F386A">
        <w:rPr>
          <w:rFonts w:hAnsi="Times New Roman" w:cs="Times New Roman"/>
        </w:rPr>
        <w:t xml:space="preserve"> of the portfolios </w:t>
      </w:r>
      <w:r w:rsidR="00236423" w:rsidRPr="006F386A">
        <w:rPr>
          <w:rFonts w:hAnsi="Times New Roman" w:cs="Times New Roman"/>
        </w:rPr>
        <w:t xml:space="preserve"> i</w:t>
      </w:r>
      <w:r w:rsidR="00E028F3" w:rsidRPr="006F386A">
        <w:rPr>
          <w:rFonts w:hAnsi="Times New Roman" w:cs="Times New Roman"/>
        </w:rPr>
        <w:t xml:space="preserve">s </w:t>
      </w:r>
      <w:r w:rsidR="00B72280" w:rsidRPr="006F386A">
        <w:rPr>
          <w:rFonts w:hAnsi="Times New Roman" w:cs="Times New Roman"/>
        </w:rPr>
        <w:t>computed by subtracting the risk-free rate of return</w:t>
      </w:r>
      <w:r w:rsidRPr="006F386A">
        <w:rPr>
          <w:rFonts w:hAnsi="Times New Roman" w:cs="Times New Roman"/>
        </w:rPr>
        <w:t xml:space="preserve"> that constitute one-month UK Tr</w:t>
      </w:r>
      <w:r w:rsidR="003225B6" w:rsidRPr="006F386A">
        <w:rPr>
          <w:rFonts w:hAnsi="Times New Roman" w:cs="Times New Roman"/>
        </w:rPr>
        <w:t>easury bill rates (Petkova [50]</w:t>
      </w:r>
      <w:r w:rsidRPr="006F386A">
        <w:rPr>
          <w:rFonts w:hAnsi="Times New Roman" w:cs="Times New Roman"/>
        </w:rPr>
        <w:t xml:space="preserve">), </w:t>
      </w:r>
      <w:r w:rsidR="00B72280" w:rsidRPr="006F386A">
        <w:rPr>
          <w:rFonts w:hAnsi="Times New Roman" w:cs="Times New Roman"/>
        </w:rPr>
        <w:t xml:space="preserve"> from the average of the total monthly excess average returns of the individual assets in</w:t>
      </w:r>
      <w:r w:rsidR="003225B6" w:rsidRPr="006F386A">
        <w:rPr>
          <w:rFonts w:hAnsi="Times New Roman" w:cs="Times New Roman"/>
        </w:rPr>
        <w:t xml:space="preserve"> these portfolios (Eraslan</w:t>
      </w:r>
      <w:r w:rsidR="0024342E" w:rsidRPr="006F386A">
        <w:rPr>
          <w:rFonts w:hAnsi="Times New Roman" w:cs="Times New Roman"/>
        </w:rPr>
        <w:t xml:space="preserve"> [33</w:t>
      </w:r>
      <w:r w:rsidR="003225B6" w:rsidRPr="006F386A">
        <w:rPr>
          <w:rFonts w:hAnsi="Times New Roman" w:cs="Times New Roman"/>
        </w:rPr>
        <w:t>]</w:t>
      </w:r>
      <w:r w:rsidR="00B72280" w:rsidRPr="006F386A">
        <w:rPr>
          <w:rFonts w:hAnsi="Times New Roman" w:cs="Times New Roman"/>
        </w:rPr>
        <w:t>).</w:t>
      </w:r>
      <w:r w:rsidR="00E028F3" w:rsidRPr="006F386A">
        <w:rPr>
          <w:rFonts w:hAnsi="Times New Roman" w:cs="Times New Roman"/>
        </w:rPr>
        <w:t xml:space="preserve"> </w:t>
      </w:r>
      <w:r w:rsidRPr="006F386A">
        <w:rPr>
          <w:rFonts w:hAnsi="Times New Roman" w:cs="Times New Roman"/>
        </w:rPr>
        <w:t>The first independent variable market risk factor (R</w:t>
      </w:r>
      <w:r w:rsidRPr="006F386A">
        <w:rPr>
          <w:rFonts w:hAnsi="Times New Roman" w:cs="Times New Roman"/>
          <w:vertAlign w:val="subscript"/>
        </w:rPr>
        <w:t>Mt</w:t>
      </w:r>
      <w:r w:rsidRPr="006F386A">
        <w:rPr>
          <w:rFonts w:hAnsi="Times New Roman" w:cs="Times New Roman"/>
        </w:rPr>
        <w:t xml:space="preserve"> - R</w:t>
      </w:r>
      <w:r w:rsidRPr="006F386A">
        <w:rPr>
          <w:rFonts w:hAnsi="Times New Roman" w:cs="Times New Roman"/>
          <w:vertAlign w:val="subscript"/>
        </w:rPr>
        <w:t>ft</w:t>
      </w:r>
      <w:r w:rsidRPr="006F386A">
        <w:rPr>
          <w:rFonts w:hAnsi="Times New Roman" w:cs="Times New Roman"/>
        </w:rPr>
        <w:t xml:space="preserve">) </w:t>
      </w:r>
      <w:r w:rsidR="00236423" w:rsidRPr="006F386A">
        <w:rPr>
          <w:rFonts w:hAnsi="Times New Roman" w:cs="Times New Roman"/>
        </w:rPr>
        <w:t xml:space="preserve">   i</w:t>
      </w:r>
      <w:r w:rsidRPr="006F386A">
        <w:rPr>
          <w:rFonts w:hAnsi="Times New Roman" w:cs="Times New Roman"/>
        </w:rPr>
        <w:t xml:space="preserve">s computed as difference return of market and risk free rate. Its coefficient yields market beta .Meanwhile the size based risk factor was </w:t>
      </w:r>
      <w:r w:rsidR="002E2AD3" w:rsidRPr="006F386A">
        <w:rPr>
          <w:rFonts w:hAnsi="Times New Roman" w:cs="Times New Roman"/>
        </w:rPr>
        <w:t>represented</w:t>
      </w:r>
      <w:r w:rsidRPr="006F386A">
        <w:rPr>
          <w:rFonts w:hAnsi="Times New Roman" w:cs="Times New Roman"/>
        </w:rPr>
        <w:t xml:space="preserve"> by Small Minus Big (SMB) that constitutes average return on the portfolio consisting of small-size securities over the portfolio consisting of big-size securities (</w:t>
      </w:r>
      <w:r w:rsidRPr="006F386A">
        <w:rPr>
          <w:rFonts w:hAnsi="Times New Roman" w:cs="Times New Roman"/>
          <w:color w:val="2E2E2E"/>
          <w:u w:color="2E2E2E"/>
        </w:rPr>
        <w:t>Burghof and Prothmann,</w:t>
      </w:r>
      <w:r w:rsidR="0024342E" w:rsidRPr="006F386A">
        <w:rPr>
          <w:rFonts w:hAnsi="Times New Roman" w:cs="Times New Roman"/>
          <w:color w:val="2E2E2E"/>
          <w:u w:color="2E2E2E"/>
        </w:rPr>
        <w:t>[51]</w:t>
      </w:r>
      <w:r w:rsidRPr="006F386A">
        <w:rPr>
          <w:rFonts w:hAnsi="Times New Roman" w:cs="Times New Roman"/>
          <w:color w:val="2E2E2E"/>
          <w:u w:color="2E2E2E"/>
        </w:rPr>
        <w:t>)</w:t>
      </w:r>
      <w:r w:rsidR="00B72280" w:rsidRPr="006F386A">
        <w:rPr>
          <w:rFonts w:hAnsi="Times New Roman" w:cs="Times New Roman"/>
        </w:rPr>
        <w:t xml:space="preserve"> </w:t>
      </w:r>
      <w:r w:rsidRPr="006F386A">
        <w:rPr>
          <w:rFonts w:hAnsi="Times New Roman" w:cs="Times New Roman"/>
        </w:rPr>
        <w:t>.It is given by relation</w:t>
      </w:r>
    </w:p>
    <w:p w:rsidR="00CE7923" w:rsidRPr="006F386A" w:rsidRDefault="001261CC" w:rsidP="00CE7923">
      <w:pPr>
        <w:pStyle w:val="Body"/>
        <w:spacing w:after="240"/>
        <w:jc w:val="center"/>
        <w:rPr>
          <w:rFonts w:hAnsi="Times New Roman" w:cs="Times New Roman"/>
        </w:rPr>
      </w:pPr>
      <w:r w:rsidRPr="006F386A">
        <w:rPr>
          <w:rFonts w:hAnsi="Times New Roman" w:cs="Times New Roman"/>
          <w:b/>
          <w:bCs/>
          <w:i/>
          <w:iCs/>
        </w:rPr>
        <w:t>SMB= 1/3(Small Low + Small Medium + Small High)                                                                                           – 1/3(Big Low + Big Medium + Big High)</w:t>
      </w:r>
      <w:r w:rsidRPr="006F386A">
        <w:rPr>
          <w:rFonts w:hAnsi="Times New Roman" w:cs="Times New Roman"/>
          <w:b/>
          <w:bCs/>
          <w:i/>
          <w:iCs/>
        </w:rPr>
        <w:br/>
      </w:r>
    </w:p>
    <w:p w:rsidR="00F43885" w:rsidRPr="006F386A" w:rsidRDefault="00B72280" w:rsidP="00CE7923">
      <w:pPr>
        <w:pStyle w:val="Body"/>
        <w:spacing w:after="240"/>
        <w:rPr>
          <w:rFonts w:hAnsi="Times New Roman" w:cs="Times New Roman"/>
          <w:b/>
          <w:bCs/>
          <w:i/>
          <w:iCs/>
        </w:rPr>
      </w:pPr>
      <w:r w:rsidRPr="006F386A">
        <w:rPr>
          <w:rFonts w:hAnsi="Times New Roman" w:cs="Times New Roman"/>
        </w:rPr>
        <w:t>It is</w:t>
      </w:r>
      <w:r w:rsidR="00E63FFF" w:rsidRPr="006F386A">
        <w:rPr>
          <w:rFonts w:hAnsi="Times New Roman" w:cs="Times New Roman"/>
        </w:rPr>
        <w:t xml:space="preserve"> also</w:t>
      </w:r>
      <w:r w:rsidRPr="006F386A">
        <w:rPr>
          <w:rFonts w:hAnsi="Times New Roman" w:cs="Times New Roman"/>
        </w:rPr>
        <w:t xml:space="preserve"> referred as the “size premium” since it measures the additional average returns of the investors received from stock investment with relatively small market capitali</w:t>
      </w:r>
      <w:r w:rsidR="0024342E" w:rsidRPr="006F386A">
        <w:rPr>
          <w:rFonts w:hAnsi="Times New Roman" w:cs="Times New Roman"/>
        </w:rPr>
        <w:t>zation (Allen, Singh and Powell [52]</w:t>
      </w:r>
      <w:r w:rsidRPr="006F386A">
        <w:rPr>
          <w:rFonts w:hAnsi="Times New Roman" w:cs="Times New Roman"/>
        </w:rPr>
        <w:t>).</w:t>
      </w:r>
    </w:p>
    <w:p w:rsidR="00F43885" w:rsidRPr="006F386A" w:rsidRDefault="00E63FFF" w:rsidP="00CE7923">
      <w:pPr>
        <w:pStyle w:val="Default"/>
        <w:spacing w:after="240"/>
        <w:rPr>
          <w:rFonts w:ascii="Times New Roman" w:eastAsia="Times New Roman" w:hAnsi="Times New Roman" w:cs="Times New Roman"/>
        </w:rPr>
      </w:pPr>
      <w:r w:rsidRPr="006F386A">
        <w:rPr>
          <w:rFonts w:ascii="Times New Roman" w:hAnsi="Times New Roman" w:cs="Times New Roman"/>
        </w:rPr>
        <w:t xml:space="preserve">Finally </w:t>
      </w:r>
      <w:r w:rsidR="002E2AD3" w:rsidRPr="006F386A">
        <w:rPr>
          <w:rFonts w:ascii="Times New Roman" w:hAnsi="Times New Roman" w:cs="Times New Roman"/>
        </w:rPr>
        <w:t xml:space="preserve"> value factor represented by </w:t>
      </w:r>
      <w:r w:rsidRPr="006F386A">
        <w:rPr>
          <w:rFonts w:ascii="Times New Roman" w:hAnsi="Times New Roman" w:cs="Times New Roman"/>
        </w:rPr>
        <w:t>High Minus Low (</w:t>
      </w:r>
      <w:r w:rsidR="00B72280" w:rsidRPr="006F386A">
        <w:rPr>
          <w:rFonts w:ascii="Times New Roman" w:hAnsi="Times New Roman" w:cs="Times New Roman"/>
        </w:rPr>
        <w:t>HML</w:t>
      </w:r>
      <w:r w:rsidR="00B72280" w:rsidRPr="006F386A">
        <w:rPr>
          <w:rFonts w:ascii="Times New Roman" w:hAnsi="Times New Roman" w:cs="Times New Roman"/>
          <w:vertAlign w:val="subscript"/>
        </w:rPr>
        <w:t>t</w:t>
      </w:r>
      <w:r w:rsidRPr="006F386A">
        <w:rPr>
          <w:rFonts w:ascii="Times New Roman" w:hAnsi="Times New Roman" w:cs="Times New Roman"/>
        </w:rPr>
        <w:t>)</w:t>
      </w:r>
      <w:r w:rsidR="002E2AD3" w:rsidRPr="006F386A">
        <w:rPr>
          <w:rFonts w:ascii="Times New Roman" w:hAnsi="Times New Roman" w:cs="Times New Roman"/>
        </w:rPr>
        <w:t xml:space="preserve"> which is </w:t>
      </w:r>
      <w:r w:rsidR="00B72280" w:rsidRPr="006F386A">
        <w:rPr>
          <w:rFonts w:ascii="Times New Roman" w:hAnsi="Times New Roman" w:cs="Times New Roman"/>
        </w:rPr>
        <w:t>the difference between the average rate of return of the portfolio including high book-to-market assets and the portfolio including low book-to-market assets. Book value of stock is defined as the net asset worth of the company obtaining from its accounting balance sheet (Ruppert</w:t>
      </w:r>
      <w:r w:rsidR="00C74EF2" w:rsidRPr="006F386A">
        <w:rPr>
          <w:rFonts w:ascii="Times New Roman" w:hAnsi="Times New Roman" w:cs="Times New Roman"/>
        </w:rPr>
        <w:t xml:space="preserve"> [53]</w:t>
      </w:r>
      <w:r w:rsidR="002E2AD3" w:rsidRPr="006F386A">
        <w:rPr>
          <w:rFonts w:ascii="Times New Roman" w:hAnsi="Times New Roman" w:cs="Times New Roman"/>
        </w:rPr>
        <w:t>). It is given by</w:t>
      </w:r>
    </w:p>
    <w:p w:rsidR="00F43885" w:rsidRPr="006F386A" w:rsidRDefault="00B72280">
      <w:pPr>
        <w:pStyle w:val="Body"/>
        <w:spacing w:before="240" w:after="240"/>
        <w:jc w:val="center"/>
        <w:rPr>
          <w:rFonts w:hAnsi="Times New Roman" w:cs="Times New Roman"/>
          <w:b/>
          <w:bCs/>
          <w:i/>
          <w:iCs/>
        </w:rPr>
      </w:pPr>
      <w:r w:rsidRPr="006F386A">
        <w:rPr>
          <w:rFonts w:hAnsi="Times New Roman" w:cs="Times New Roman"/>
          <w:b/>
          <w:bCs/>
          <w:i/>
          <w:iCs/>
        </w:rPr>
        <w:t>HML= ½(Small High + Big High)                                                                                                                           – ½ (Small Low + Big Low)</w:t>
      </w:r>
    </w:p>
    <w:p w:rsidR="00C638BE" w:rsidRPr="006F386A" w:rsidRDefault="00B72280" w:rsidP="00AD2144">
      <w:pPr>
        <w:pStyle w:val="Default"/>
        <w:widowControl w:val="0"/>
        <w:spacing w:after="240"/>
        <w:jc w:val="both"/>
        <w:rPr>
          <w:rFonts w:ascii="Times New Roman" w:hAnsi="Times New Roman" w:cs="Times New Roman"/>
        </w:rPr>
      </w:pPr>
      <w:r w:rsidRPr="006F386A">
        <w:rPr>
          <w:rFonts w:ascii="Times New Roman" w:hAnsi="Times New Roman" w:cs="Times New Roman"/>
        </w:rPr>
        <w:t>Evidences show that there are different methods to form SMB and HML factors in the United Kin</w:t>
      </w:r>
      <w:r w:rsidR="00EE4ADF" w:rsidRPr="006F386A">
        <w:rPr>
          <w:rFonts w:ascii="Times New Roman" w:hAnsi="Times New Roman" w:cs="Times New Roman"/>
        </w:rPr>
        <w:t>gdom market (Lui, Strong and Xu [54]</w:t>
      </w:r>
      <w:r w:rsidR="00087EB0" w:rsidRPr="006F386A">
        <w:rPr>
          <w:rFonts w:ascii="Times New Roman" w:hAnsi="Times New Roman" w:cs="Times New Roman"/>
        </w:rPr>
        <w:t>; Miles and Timmermann [55]</w:t>
      </w:r>
      <w:r w:rsidRPr="006F386A">
        <w:rPr>
          <w:rFonts w:ascii="Times New Roman" w:hAnsi="Times New Roman" w:cs="Times New Roman"/>
        </w:rPr>
        <w:t xml:space="preserve">; </w:t>
      </w:r>
      <w:r w:rsidR="00087EB0" w:rsidRPr="006F386A">
        <w:rPr>
          <w:rFonts w:ascii="Times New Roman" w:hAnsi="Times New Roman" w:cs="Times New Roman"/>
        </w:rPr>
        <w:t>Gregory, Harris and Michou [56]</w:t>
      </w:r>
      <w:r w:rsidRPr="006F386A">
        <w:rPr>
          <w:rFonts w:ascii="Times New Roman" w:hAnsi="Times New Roman" w:cs="Times New Roman"/>
        </w:rPr>
        <w:t xml:space="preserve">). </w:t>
      </w:r>
      <w:r w:rsidR="002E2AD3" w:rsidRPr="006F386A">
        <w:rPr>
          <w:rFonts w:ascii="Times New Roman" w:hAnsi="Times New Roman" w:cs="Times New Roman"/>
        </w:rPr>
        <w:t xml:space="preserve">On this regard </w:t>
      </w:r>
      <w:r w:rsidRPr="006F386A">
        <w:rPr>
          <w:rFonts w:ascii="Times New Roman" w:hAnsi="Times New Roman" w:cs="Times New Roman"/>
        </w:rPr>
        <w:t xml:space="preserve">January </w:t>
      </w:r>
      <w:r w:rsidR="002E2AD3" w:rsidRPr="006F386A">
        <w:rPr>
          <w:rFonts w:ascii="Times New Roman" w:hAnsi="Times New Roman" w:cs="Times New Roman"/>
        </w:rPr>
        <w:t xml:space="preserve"> was selected as </w:t>
      </w:r>
      <w:r w:rsidRPr="006F386A">
        <w:rPr>
          <w:rFonts w:ascii="Times New Roman" w:hAnsi="Times New Roman" w:cs="Times New Roman"/>
        </w:rPr>
        <w:t xml:space="preserve">start date of the estimated period </w:t>
      </w:r>
      <w:r w:rsidRPr="006F386A">
        <w:rPr>
          <w:rFonts w:ascii="Times New Roman" w:hAnsi="Times New Roman" w:cs="Times New Roman"/>
        </w:rPr>
        <w:lastRenderedPageBreak/>
        <w:t xml:space="preserve">as </w:t>
      </w:r>
      <w:r w:rsidR="002E2AD3" w:rsidRPr="006F386A">
        <w:rPr>
          <w:rFonts w:ascii="Times New Roman" w:hAnsi="Times New Roman" w:cs="Times New Roman"/>
        </w:rPr>
        <w:t xml:space="preserve">per </w:t>
      </w:r>
      <w:r w:rsidRPr="006F386A">
        <w:rPr>
          <w:rFonts w:ascii="Times New Roman" w:hAnsi="Times New Roman" w:cs="Times New Roman"/>
        </w:rPr>
        <w:t>the study of Lui, Strong and Xu</w:t>
      </w:r>
      <w:r w:rsidR="00087EB0" w:rsidRPr="006F386A">
        <w:rPr>
          <w:rFonts w:ascii="Times New Roman" w:hAnsi="Times New Roman" w:cs="Times New Roman"/>
        </w:rPr>
        <w:t xml:space="preserve"> [54] </w:t>
      </w:r>
      <w:r w:rsidRPr="006F386A">
        <w:rPr>
          <w:rFonts w:ascii="Times New Roman" w:hAnsi="Times New Roman" w:cs="Times New Roman"/>
        </w:rPr>
        <w:t>. The breakpo</w:t>
      </w:r>
      <w:r w:rsidR="002E2AD3" w:rsidRPr="006F386A">
        <w:rPr>
          <w:rFonts w:ascii="Times New Roman" w:hAnsi="Times New Roman" w:cs="Times New Roman"/>
        </w:rPr>
        <w:t>int of Book-to-market value were selected to</w:t>
      </w:r>
      <w:r w:rsidRPr="006F386A">
        <w:rPr>
          <w:rFonts w:ascii="Times New Roman" w:hAnsi="Times New Roman" w:cs="Times New Roman"/>
        </w:rPr>
        <w:t xml:space="preserve"> be bottom 30 percent, middle 40 percent and top 30 perce</w:t>
      </w:r>
      <w:r w:rsidR="00087EB0" w:rsidRPr="006F386A">
        <w:rPr>
          <w:rFonts w:ascii="Times New Roman" w:hAnsi="Times New Roman" w:cs="Times New Roman"/>
        </w:rPr>
        <w:t>nt (Gregory, Harris and Michou [56]</w:t>
      </w:r>
      <w:r w:rsidRPr="006F386A">
        <w:rPr>
          <w:rFonts w:ascii="Times New Roman" w:hAnsi="Times New Roman" w:cs="Times New Roman"/>
        </w:rPr>
        <w:t>) whilst the breakpoint of Size will be 50</w:t>
      </w:r>
      <w:r w:rsidRPr="006F386A">
        <w:rPr>
          <w:rFonts w:ascii="Times New Roman" w:hAnsi="Times New Roman" w:cs="Times New Roman"/>
          <w:vertAlign w:val="superscript"/>
        </w:rPr>
        <w:t>th</w:t>
      </w:r>
      <w:r w:rsidRPr="006F386A">
        <w:rPr>
          <w:rFonts w:ascii="Times New Roman" w:hAnsi="Times New Roman" w:cs="Times New Roman"/>
        </w:rPr>
        <w:t xml:space="preserve"> percentile according to sample median (Fama and French</w:t>
      </w:r>
      <w:r w:rsidR="00087EB0" w:rsidRPr="006F386A">
        <w:rPr>
          <w:rFonts w:ascii="Times New Roman" w:hAnsi="Times New Roman" w:cs="Times New Roman"/>
        </w:rPr>
        <w:t xml:space="preserve"> [11] </w:t>
      </w:r>
      <w:r w:rsidRPr="006F386A">
        <w:rPr>
          <w:rFonts w:ascii="Times New Roman" w:hAnsi="Times New Roman" w:cs="Times New Roman"/>
        </w:rPr>
        <w:t>). In addition, the equally-weigh</w:t>
      </w:r>
      <w:r w:rsidR="002E2AD3" w:rsidRPr="006F386A">
        <w:rPr>
          <w:rFonts w:ascii="Times New Roman" w:hAnsi="Times New Roman" w:cs="Times New Roman"/>
        </w:rPr>
        <w:t xml:space="preserve">ted method of Fletcher </w:t>
      </w:r>
      <w:r w:rsidR="00AC7635" w:rsidRPr="006F386A">
        <w:rPr>
          <w:rFonts w:ascii="Times New Roman" w:hAnsi="Times New Roman" w:cs="Times New Roman"/>
        </w:rPr>
        <w:t xml:space="preserve">[57] </w:t>
      </w:r>
      <w:r w:rsidR="002E2AD3" w:rsidRPr="006F386A">
        <w:rPr>
          <w:rFonts w:ascii="Times New Roman" w:hAnsi="Times New Roman" w:cs="Times New Roman"/>
        </w:rPr>
        <w:t>was</w:t>
      </w:r>
      <w:r w:rsidRPr="006F386A">
        <w:rPr>
          <w:rFonts w:ascii="Times New Roman" w:hAnsi="Times New Roman" w:cs="Times New Roman"/>
        </w:rPr>
        <w:t xml:space="preserve"> employed to calculate the average ret</w:t>
      </w:r>
      <w:r w:rsidR="00AD2144" w:rsidRPr="006F386A">
        <w:rPr>
          <w:rFonts w:ascii="Times New Roman" w:hAnsi="Times New Roman" w:cs="Times New Roman"/>
        </w:rPr>
        <w:t>urns of the observed portfolios, whilst</w:t>
      </w:r>
      <w:r w:rsidRPr="006F386A">
        <w:rPr>
          <w:rFonts w:ascii="Times New Roman" w:hAnsi="Times New Roman" w:cs="Times New Roman"/>
        </w:rPr>
        <w:t xml:space="preserve"> Independent sort of Fama and French (</w:t>
      </w:r>
      <w:r w:rsidR="00C91314" w:rsidRPr="006F386A">
        <w:rPr>
          <w:rFonts w:ascii="Times New Roman" w:hAnsi="Times New Roman" w:cs="Times New Roman"/>
        </w:rPr>
        <w:t>[8], [24]</w:t>
      </w:r>
      <w:r w:rsidRPr="006F386A">
        <w:rPr>
          <w:rFonts w:ascii="Times New Roman" w:hAnsi="Times New Roman" w:cs="Times New Roman"/>
        </w:rPr>
        <w:t>, and</w:t>
      </w:r>
      <w:r w:rsidR="00C91314" w:rsidRPr="006F386A">
        <w:rPr>
          <w:rFonts w:ascii="Times New Roman" w:hAnsi="Times New Roman" w:cs="Times New Roman"/>
        </w:rPr>
        <w:t xml:space="preserve"> [47]</w:t>
      </w:r>
      <w:r w:rsidRPr="006F386A">
        <w:rPr>
          <w:rFonts w:ascii="Times New Roman" w:hAnsi="Times New Roman" w:cs="Times New Roman"/>
        </w:rPr>
        <w:t xml:space="preserve">) </w:t>
      </w:r>
      <w:r w:rsidR="00AD2144" w:rsidRPr="006F386A">
        <w:rPr>
          <w:rFonts w:ascii="Times New Roman" w:hAnsi="Times New Roman" w:cs="Times New Roman"/>
        </w:rPr>
        <w:t xml:space="preserve"> was used as </w:t>
      </w:r>
      <w:r w:rsidRPr="006F386A">
        <w:rPr>
          <w:rFonts w:ascii="Times New Roman" w:hAnsi="Times New Roman" w:cs="Times New Roman"/>
        </w:rPr>
        <w:t>sorting method of this study</w:t>
      </w:r>
      <w:r w:rsidR="00AD2144" w:rsidRPr="006F386A">
        <w:rPr>
          <w:rFonts w:ascii="Times New Roman" w:hAnsi="Times New Roman" w:cs="Times New Roman"/>
        </w:rPr>
        <w:t>.</w:t>
      </w:r>
    </w:p>
    <w:p w:rsidR="00F43885" w:rsidRPr="006F386A" w:rsidRDefault="00AD2144">
      <w:pPr>
        <w:pStyle w:val="Default"/>
        <w:spacing w:after="240"/>
        <w:jc w:val="both"/>
        <w:rPr>
          <w:rFonts w:ascii="Times New Roman" w:eastAsia="Times New Roman" w:hAnsi="Times New Roman" w:cs="Times New Roman"/>
        </w:rPr>
      </w:pPr>
      <w:r w:rsidRPr="006F386A">
        <w:rPr>
          <w:rFonts w:ascii="Times New Roman" w:hAnsi="Times New Roman" w:cs="Times New Roman"/>
        </w:rPr>
        <w:t>Six portfolios constructed from two firm scale groups and three value groups</w:t>
      </w:r>
      <w:r w:rsidR="00CE7923" w:rsidRPr="006F386A">
        <w:rPr>
          <w:rFonts w:ascii="Times New Roman" w:hAnsi="Times New Roman" w:cs="Times New Roman"/>
        </w:rPr>
        <w:t xml:space="preserve"> </w:t>
      </w:r>
      <w:r w:rsidRPr="006F386A">
        <w:rPr>
          <w:rFonts w:ascii="Times New Roman" w:hAnsi="Times New Roman" w:cs="Times New Roman"/>
        </w:rPr>
        <w:t xml:space="preserve">in accordance </w:t>
      </w:r>
      <w:r w:rsidR="00C91314" w:rsidRPr="006F386A">
        <w:rPr>
          <w:rFonts w:ascii="Times New Roman" w:hAnsi="Times New Roman" w:cs="Times New Roman"/>
        </w:rPr>
        <w:t>to Fama and French [11]; Lui, Strong and Xu [54]</w:t>
      </w:r>
      <w:r w:rsidR="00CE7923" w:rsidRPr="006F386A">
        <w:rPr>
          <w:rFonts w:ascii="Times New Roman" w:hAnsi="Times New Roman" w:cs="Times New Roman"/>
        </w:rPr>
        <w:t>; Al-Horani, Pope and Stark</w:t>
      </w:r>
      <w:r w:rsidR="00C91314" w:rsidRPr="006F386A">
        <w:rPr>
          <w:rFonts w:ascii="Times New Roman" w:hAnsi="Times New Roman" w:cs="Times New Roman"/>
        </w:rPr>
        <w:t xml:space="preserve"> [39]</w:t>
      </w:r>
      <w:r w:rsidR="00CE7923" w:rsidRPr="006F386A">
        <w:rPr>
          <w:rFonts w:ascii="Times New Roman" w:hAnsi="Times New Roman" w:cs="Times New Roman"/>
        </w:rPr>
        <w:t xml:space="preserve">. </w:t>
      </w:r>
      <w:r w:rsidR="00B72280" w:rsidRPr="006F386A">
        <w:rPr>
          <w:rFonts w:ascii="Times New Roman" w:hAnsi="Times New Roman" w:cs="Times New Roman"/>
        </w:rPr>
        <w:t>From 2009 to 2013, FTSE 100 (includes 94 firms) are allocated to two different groups, one consists of small-size (S) stocks and another consists of big-size (B) stocks, upon on whether the market capitalization of these stocks is smaller or greater the median market capitalization for FTSE100 stocks. These stocks are sorted in three independent book-to-market equity groups named: value (high book-to-market or H), neutral (medium book-to-market or M) and growth (low book-to-market or L). This classification is based on the breakpoints for the bottom 30 percent, middle 40 percent and top 30 percent of the values of Book-to-market equity for FTSE100 stocks (Fama and French,</w:t>
      </w:r>
      <w:r w:rsidR="00C91314" w:rsidRPr="006F386A">
        <w:rPr>
          <w:rFonts w:ascii="Times New Roman" w:hAnsi="Times New Roman" w:cs="Times New Roman"/>
        </w:rPr>
        <w:t>[24]</w:t>
      </w:r>
      <w:r w:rsidR="00B72280" w:rsidRPr="006F386A">
        <w:rPr>
          <w:rFonts w:ascii="Times New Roman" w:hAnsi="Times New Roman" w:cs="Times New Roman"/>
        </w:rPr>
        <w:t xml:space="preserve">). The term "growth" is just a label given to assets with low book-to-market value, without regard to whether or not they were actually growing. </w:t>
      </w:r>
    </w:p>
    <w:p w:rsidR="00F43885" w:rsidRPr="006F386A" w:rsidRDefault="00B72280">
      <w:pPr>
        <w:pStyle w:val="Default"/>
        <w:spacing w:after="240"/>
        <w:jc w:val="both"/>
        <w:rPr>
          <w:rFonts w:ascii="Times New Roman" w:eastAsia="Times New Roman" w:hAnsi="Times New Roman" w:cs="Times New Roman"/>
        </w:rPr>
      </w:pPr>
      <w:r w:rsidRPr="006F386A">
        <w:rPr>
          <w:rFonts w:ascii="Times New Roman" w:hAnsi="Times New Roman" w:cs="Times New Roman"/>
        </w:rPr>
        <w:t>The final six portfolios (S/L</w:t>
      </w:r>
      <w:r w:rsidR="00A727CF" w:rsidRPr="006F386A">
        <w:rPr>
          <w:rFonts w:ascii="Times New Roman" w:hAnsi="Times New Roman" w:cs="Times New Roman"/>
        </w:rPr>
        <w:t>, S/M, S/H, B/L, B/M and B/H) w</w:t>
      </w:r>
      <w:r w:rsidRPr="006F386A">
        <w:rPr>
          <w:rFonts w:ascii="Times New Roman" w:hAnsi="Times New Roman" w:cs="Times New Roman"/>
        </w:rPr>
        <w:t>e</w:t>
      </w:r>
      <w:r w:rsidR="00A727CF" w:rsidRPr="006F386A">
        <w:rPr>
          <w:rFonts w:ascii="Times New Roman" w:hAnsi="Times New Roman" w:cs="Times New Roman"/>
        </w:rPr>
        <w:t>re</w:t>
      </w:r>
      <w:r w:rsidRPr="006F386A">
        <w:rPr>
          <w:rFonts w:ascii="Times New Roman" w:hAnsi="Times New Roman" w:cs="Times New Roman"/>
        </w:rPr>
        <w:t xml:space="preserve"> constructed as the intersection of the two market capitalization groups and the three book-to-market value groups. </w:t>
      </w:r>
    </w:p>
    <w:p w:rsidR="00AD2144" w:rsidRPr="006F386A" w:rsidRDefault="00AD2144">
      <w:pPr>
        <w:pStyle w:val="Body"/>
        <w:spacing w:after="240"/>
        <w:jc w:val="both"/>
        <w:rPr>
          <w:rFonts w:hAnsi="Times New Roman" w:cs="Times New Roman"/>
        </w:rPr>
      </w:pPr>
    </w:p>
    <w:p w:rsidR="00AD2144" w:rsidRPr="006F386A" w:rsidRDefault="00A727CF">
      <w:pPr>
        <w:pStyle w:val="Body"/>
        <w:spacing w:after="240"/>
        <w:jc w:val="both"/>
        <w:rPr>
          <w:rFonts w:hAnsi="Times New Roman" w:cs="Times New Roman"/>
        </w:rPr>
      </w:pPr>
      <w:r w:rsidRPr="006F386A">
        <w:rPr>
          <w:rFonts w:hAnsi="Times New Roman" w:cs="Times New Roman"/>
        </w:rPr>
        <w:t>Finally, d</w:t>
      </w:r>
      <w:r w:rsidR="00AD2144" w:rsidRPr="006F386A">
        <w:rPr>
          <w:rFonts w:hAnsi="Times New Roman" w:cs="Times New Roman"/>
        </w:rPr>
        <w:t>espite both time seri</w:t>
      </w:r>
      <w:r w:rsidR="00AC7635" w:rsidRPr="006F386A">
        <w:rPr>
          <w:rFonts w:hAnsi="Times New Roman" w:cs="Times New Roman"/>
        </w:rPr>
        <w:t>es regression (Fama and French [11]</w:t>
      </w:r>
      <w:r w:rsidR="00AD2144" w:rsidRPr="006F386A">
        <w:rPr>
          <w:rFonts w:hAnsi="Times New Roman" w:cs="Times New Roman"/>
        </w:rPr>
        <w:t>) and cross-sectio</w:t>
      </w:r>
      <w:r w:rsidR="00AC7635" w:rsidRPr="006F386A">
        <w:rPr>
          <w:rFonts w:hAnsi="Times New Roman" w:cs="Times New Roman"/>
        </w:rPr>
        <w:t>nal regression (Fama and French [8]</w:t>
      </w:r>
      <w:r w:rsidR="00AD2144" w:rsidRPr="006F386A">
        <w:rPr>
          <w:rFonts w:hAnsi="Times New Roman" w:cs="Times New Roman"/>
        </w:rPr>
        <w:t xml:space="preserve">) has been accepted for three factor model, </w:t>
      </w:r>
      <w:r w:rsidRPr="006F386A">
        <w:rPr>
          <w:rFonts w:hAnsi="Times New Roman" w:cs="Times New Roman"/>
        </w:rPr>
        <w:t xml:space="preserve">time series regression was chosen for the study </w:t>
      </w:r>
      <w:r w:rsidR="00AD2144" w:rsidRPr="006F386A">
        <w:rPr>
          <w:rFonts w:hAnsi="Times New Roman" w:cs="Times New Roman"/>
        </w:rPr>
        <w:t>as it considered as more powerful test of model validity</w:t>
      </w:r>
      <w:r w:rsidR="00EA2358" w:rsidRPr="006F386A">
        <w:rPr>
          <w:rFonts w:hAnsi="Times New Roman" w:cs="Times New Roman"/>
        </w:rPr>
        <w:t xml:space="preserve"> (Lam</w:t>
      </w:r>
      <w:r w:rsidR="00AC7635" w:rsidRPr="006F386A">
        <w:rPr>
          <w:rFonts w:hAnsi="Times New Roman" w:cs="Times New Roman"/>
        </w:rPr>
        <w:t xml:space="preserve"> [35]</w:t>
      </w:r>
      <w:r w:rsidR="00EA2358" w:rsidRPr="006F386A">
        <w:rPr>
          <w:rFonts w:hAnsi="Times New Roman" w:cs="Times New Roman"/>
        </w:rPr>
        <w:t>)</w:t>
      </w:r>
    </w:p>
    <w:p w:rsidR="00733E0E" w:rsidRPr="006F386A" w:rsidRDefault="00733E0E">
      <w:pPr>
        <w:pStyle w:val="Body"/>
        <w:tabs>
          <w:tab w:val="left" w:pos="1335"/>
        </w:tabs>
        <w:rPr>
          <w:rFonts w:hAnsi="Times New Roman" w:cs="Times New Roman"/>
          <w:i/>
          <w:iCs/>
          <w:sz w:val="20"/>
          <w:szCs w:val="20"/>
        </w:rPr>
      </w:pPr>
    </w:p>
    <w:p w:rsidR="0024342E" w:rsidRPr="006F386A" w:rsidRDefault="0024342E">
      <w:pPr>
        <w:pStyle w:val="Body"/>
        <w:tabs>
          <w:tab w:val="left" w:pos="1335"/>
        </w:tabs>
        <w:rPr>
          <w:rFonts w:hAnsi="Times New Roman" w:cs="Times New Roman"/>
          <w:i/>
          <w:iCs/>
          <w:sz w:val="20"/>
          <w:szCs w:val="20"/>
        </w:rPr>
      </w:pPr>
    </w:p>
    <w:p w:rsidR="00AC7635" w:rsidRPr="006F386A" w:rsidRDefault="00AC7635">
      <w:pPr>
        <w:pStyle w:val="Body"/>
        <w:tabs>
          <w:tab w:val="left" w:pos="1335"/>
        </w:tabs>
        <w:rPr>
          <w:rFonts w:hAnsi="Times New Roman" w:cs="Times New Roman"/>
          <w:i/>
          <w:iCs/>
          <w:sz w:val="20"/>
          <w:szCs w:val="20"/>
        </w:rPr>
      </w:pPr>
    </w:p>
    <w:p w:rsidR="0024342E" w:rsidRPr="006F386A" w:rsidRDefault="0024342E">
      <w:pPr>
        <w:pStyle w:val="Body"/>
        <w:tabs>
          <w:tab w:val="left" w:pos="1335"/>
        </w:tabs>
        <w:rPr>
          <w:rFonts w:hAnsi="Times New Roman" w:cs="Times New Roman"/>
          <w:i/>
          <w:iCs/>
          <w:sz w:val="20"/>
          <w:szCs w:val="20"/>
        </w:rPr>
      </w:pPr>
    </w:p>
    <w:p w:rsidR="00F43885" w:rsidRPr="006F386A" w:rsidRDefault="00B72280">
      <w:pPr>
        <w:pStyle w:val="Body"/>
        <w:tabs>
          <w:tab w:val="left" w:pos="1335"/>
        </w:tabs>
        <w:rPr>
          <w:rFonts w:hAnsi="Times New Roman" w:cs="Times New Roman"/>
          <w:i/>
          <w:iCs/>
          <w:sz w:val="20"/>
          <w:szCs w:val="20"/>
        </w:rPr>
      </w:pPr>
      <w:r w:rsidRPr="006F386A">
        <w:rPr>
          <w:rFonts w:hAnsi="Times New Roman" w:cs="Times New Roman"/>
          <w:i/>
          <w:iCs/>
          <w:sz w:val="20"/>
          <w:szCs w:val="20"/>
        </w:rPr>
        <w:tab/>
      </w:r>
    </w:p>
    <w:p w:rsidR="00F43885" w:rsidRPr="006F386A" w:rsidRDefault="00B72280">
      <w:pPr>
        <w:pStyle w:val="Heading2"/>
        <w:ind w:left="0" w:firstLine="0"/>
        <w:rPr>
          <w:rFonts w:hAnsi="Times New Roman" w:cs="Times New Roman"/>
        </w:rPr>
      </w:pPr>
      <w:r w:rsidRPr="006F386A">
        <w:rPr>
          <w:rFonts w:hAnsi="Times New Roman" w:cs="Times New Roman"/>
        </w:rPr>
        <w:t>4. Empirical Results and Discussion</w:t>
      </w:r>
    </w:p>
    <w:p w:rsidR="009C2F08" w:rsidRPr="006F386A" w:rsidRDefault="009C2F08" w:rsidP="009C2F08">
      <w:pPr>
        <w:pStyle w:val="Body"/>
        <w:rPr>
          <w:rFonts w:hAnsi="Times New Roman" w:cs="Times New Roman"/>
          <w:u w:val="single"/>
        </w:rPr>
      </w:pPr>
      <w:r w:rsidRPr="006F386A">
        <w:rPr>
          <w:rFonts w:hAnsi="Times New Roman" w:cs="Times New Roman"/>
          <w:u w:val="single"/>
        </w:rPr>
        <w:t>a. Descriptive statisitics</w:t>
      </w:r>
    </w:p>
    <w:p w:rsidR="00F43885" w:rsidRPr="006F386A" w:rsidRDefault="00B72280">
      <w:pPr>
        <w:pStyle w:val="Body"/>
        <w:widowControl w:val="0"/>
        <w:spacing w:before="240" w:after="240"/>
        <w:jc w:val="both"/>
        <w:rPr>
          <w:rFonts w:hAnsi="Times New Roman" w:cs="Times New Roman"/>
        </w:rPr>
      </w:pPr>
      <w:r w:rsidRPr="006F386A">
        <w:rPr>
          <w:rFonts w:hAnsi="Times New Roman" w:cs="Times New Roman"/>
        </w:rPr>
        <w:t xml:space="preserve">Table </w:t>
      </w:r>
      <w:r w:rsidR="00030019" w:rsidRPr="006F386A">
        <w:rPr>
          <w:rFonts w:hAnsi="Times New Roman" w:cs="Times New Roman"/>
        </w:rPr>
        <w:t>3</w:t>
      </w:r>
      <w:r w:rsidRPr="006F386A">
        <w:rPr>
          <w:rFonts w:hAnsi="Times New Roman" w:cs="Times New Roman"/>
        </w:rPr>
        <w:t xml:space="preserve"> </w:t>
      </w:r>
      <w:r w:rsidR="00A222C7" w:rsidRPr="006F386A">
        <w:rPr>
          <w:rFonts w:hAnsi="Times New Roman" w:cs="Times New Roman"/>
        </w:rPr>
        <w:t>illustrate</w:t>
      </w:r>
      <w:r w:rsidRPr="006F386A">
        <w:rPr>
          <w:rFonts w:hAnsi="Times New Roman" w:cs="Times New Roman"/>
        </w:rPr>
        <w:t>s the number of securities in each of the six observed portfolios</w:t>
      </w:r>
      <w:r w:rsidR="00A222C7" w:rsidRPr="006F386A">
        <w:rPr>
          <w:rFonts w:hAnsi="Times New Roman" w:cs="Times New Roman"/>
        </w:rPr>
        <w:t xml:space="preserve"> for given year.</w:t>
      </w:r>
      <w:r w:rsidRPr="006F386A">
        <w:rPr>
          <w:rFonts w:hAnsi="Times New Roman" w:cs="Times New Roman"/>
        </w:rPr>
        <w:t xml:space="preserve"> </w:t>
      </w:r>
      <w:r w:rsidR="00A222C7" w:rsidRPr="006F386A">
        <w:rPr>
          <w:rFonts w:hAnsi="Times New Roman" w:cs="Times New Roman"/>
        </w:rPr>
        <w:t>It shows large-size</w:t>
      </w:r>
      <w:r w:rsidRPr="006F386A">
        <w:rPr>
          <w:rFonts w:hAnsi="Times New Roman" w:cs="Times New Roman"/>
        </w:rPr>
        <w:t xml:space="preserve"> and medium book-to-market value stocks (</w:t>
      </w:r>
      <w:r w:rsidR="00A222C7" w:rsidRPr="006F386A">
        <w:rPr>
          <w:rFonts w:hAnsi="Times New Roman" w:cs="Times New Roman"/>
        </w:rPr>
        <w:t>B/M) and small-size</w:t>
      </w:r>
      <w:r w:rsidRPr="006F386A">
        <w:rPr>
          <w:rFonts w:hAnsi="Times New Roman" w:cs="Times New Roman"/>
        </w:rPr>
        <w:t xml:space="preserve"> and medium book-to-market value stocks (S/L) account for the largest po</w:t>
      </w:r>
      <w:r w:rsidR="00A222C7" w:rsidRPr="006F386A">
        <w:rPr>
          <w:rFonts w:hAnsi="Times New Roman" w:cs="Times New Roman"/>
        </w:rPr>
        <w:t>rtions over five years thus</w:t>
      </w:r>
      <w:r w:rsidRPr="006F386A">
        <w:rPr>
          <w:rFonts w:hAnsi="Times New Roman" w:cs="Times New Roman"/>
        </w:rPr>
        <w:t xml:space="preserve"> implies that the companies, both small and large ones, listed in UK market – FTSE100 tend to have the medium book-to-market value. </w:t>
      </w:r>
    </w:p>
    <w:p w:rsidR="00A704CB" w:rsidRDefault="00A704CB" w:rsidP="007504CB">
      <w:pPr>
        <w:pStyle w:val="Caption"/>
        <w:keepNext/>
        <w:rPr>
          <w:color w:val="000000" w:themeColor="text1"/>
        </w:rPr>
      </w:pPr>
    </w:p>
    <w:p w:rsidR="007504CB" w:rsidRPr="00A704CB" w:rsidRDefault="007504CB" w:rsidP="007504CB">
      <w:pPr>
        <w:pStyle w:val="Caption"/>
        <w:keepNext/>
        <w:rPr>
          <w:color w:val="000000" w:themeColor="text1"/>
          <w:sz w:val="22"/>
          <w:szCs w:val="22"/>
        </w:rPr>
      </w:pPr>
      <w:r w:rsidRPr="00A704CB">
        <w:rPr>
          <w:color w:val="000000" w:themeColor="text1"/>
          <w:sz w:val="22"/>
          <w:szCs w:val="22"/>
        </w:rPr>
        <w:t xml:space="preserve">Table </w:t>
      </w:r>
      <w:r w:rsidRPr="00A704CB">
        <w:rPr>
          <w:color w:val="000000" w:themeColor="text1"/>
          <w:sz w:val="22"/>
          <w:szCs w:val="22"/>
        </w:rPr>
        <w:fldChar w:fldCharType="begin"/>
      </w:r>
      <w:r w:rsidRPr="00A704CB">
        <w:rPr>
          <w:color w:val="000000" w:themeColor="text1"/>
          <w:sz w:val="22"/>
          <w:szCs w:val="22"/>
        </w:rPr>
        <w:instrText xml:space="preserve"> SEQ Table \* ARABIC </w:instrText>
      </w:r>
      <w:r w:rsidRPr="00A704CB">
        <w:rPr>
          <w:color w:val="000000" w:themeColor="text1"/>
          <w:sz w:val="22"/>
          <w:szCs w:val="22"/>
        </w:rPr>
        <w:fldChar w:fldCharType="separate"/>
      </w:r>
      <w:r w:rsidRPr="00A704CB">
        <w:rPr>
          <w:noProof/>
          <w:color w:val="000000" w:themeColor="text1"/>
          <w:sz w:val="22"/>
          <w:szCs w:val="22"/>
        </w:rPr>
        <w:t>3</w:t>
      </w:r>
      <w:r w:rsidRPr="00A704CB">
        <w:rPr>
          <w:color w:val="000000" w:themeColor="text1"/>
          <w:sz w:val="22"/>
          <w:szCs w:val="22"/>
        </w:rPr>
        <w:fldChar w:fldCharType="end"/>
      </w:r>
      <w:r w:rsidR="004846A8" w:rsidRPr="00A704CB">
        <w:rPr>
          <w:color w:val="000000" w:themeColor="text1"/>
          <w:sz w:val="22"/>
          <w:szCs w:val="22"/>
        </w:rPr>
        <w:t>:</w:t>
      </w:r>
      <w:r w:rsidRPr="00A704CB">
        <w:rPr>
          <w:color w:val="000000" w:themeColor="text1"/>
          <w:sz w:val="22"/>
          <w:szCs w:val="22"/>
        </w:rPr>
        <w:t xml:space="preserve"> Number of stocks in each of the six portfolios</w:t>
      </w:r>
    </w:p>
    <w:tbl>
      <w:tblPr>
        <w:tblW w:w="90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40"/>
        <w:gridCol w:w="1112"/>
        <w:gridCol w:w="1112"/>
        <w:gridCol w:w="1111"/>
        <w:gridCol w:w="1111"/>
        <w:gridCol w:w="1111"/>
        <w:gridCol w:w="1111"/>
        <w:gridCol w:w="1111"/>
      </w:tblGrid>
      <w:tr w:rsidR="007504CB" w:rsidRPr="006F386A" w:rsidTr="00DE27FF">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spacing w:after="240"/>
              <w:rPr>
                <w:rFonts w:hAnsi="Times New Roman" w:cs="Times New Roman"/>
              </w:rPr>
            </w:pPr>
            <w:r w:rsidRPr="006F386A">
              <w:rPr>
                <w:rFonts w:hAnsi="Times New Roman" w:cs="Times New Roman"/>
                <w:b/>
                <w:bCs/>
              </w:rPr>
              <w:t>Year</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spacing w:after="240"/>
              <w:rPr>
                <w:rFonts w:hAnsi="Times New Roman" w:cs="Times New Roman"/>
              </w:rPr>
            </w:pPr>
            <w:r w:rsidRPr="006F386A">
              <w:rPr>
                <w:rFonts w:hAnsi="Times New Roman" w:cs="Times New Roman"/>
                <w:b/>
                <w:bCs/>
              </w:rPr>
              <w:t>S/L</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spacing w:after="240"/>
              <w:rPr>
                <w:rFonts w:hAnsi="Times New Roman" w:cs="Times New Roman"/>
              </w:rPr>
            </w:pPr>
            <w:r w:rsidRPr="006F386A">
              <w:rPr>
                <w:rFonts w:hAnsi="Times New Roman" w:cs="Times New Roman"/>
                <w:b/>
                <w:bCs/>
              </w:rPr>
              <w:t>S/M</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spacing w:after="240"/>
              <w:rPr>
                <w:rFonts w:hAnsi="Times New Roman" w:cs="Times New Roman"/>
              </w:rPr>
            </w:pPr>
            <w:r w:rsidRPr="006F386A">
              <w:rPr>
                <w:rFonts w:hAnsi="Times New Roman" w:cs="Times New Roman"/>
                <w:b/>
                <w:bCs/>
              </w:rPr>
              <w:t>S/H</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spacing w:after="240"/>
              <w:rPr>
                <w:rFonts w:hAnsi="Times New Roman" w:cs="Times New Roman"/>
              </w:rPr>
            </w:pPr>
            <w:r w:rsidRPr="006F386A">
              <w:rPr>
                <w:rFonts w:hAnsi="Times New Roman" w:cs="Times New Roman"/>
                <w:b/>
                <w:bCs/>
              </w:rPr>
              <w:t>B/L</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spacing w:after="240"/>
              <w:rPr>
                <w:rFonts w:hAnsi="Times New Roman" w:cs="Times New Roman"/>
              </w:rPr>
            </w:pPr>
            <w:r w:rsidRPr="006F386A">
              <w:rPr>
                <w:rFonts w:hAnsi="Times New Roman" w:cs="Times New Roman"/>
                <w:b/>
                <w:bCs/>
              </w:rPr>
              <w:t>B/M</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spacing w:after="240"/>
              <w:rPr>
                <w:rFonts w:hAnsi="Times New Roman" w:cs="Times New Roman"/>
              </w:rPr>
            </w:pPr>
            <w:r w:rsidRPr="006F386A">
              <w:rPr>
                <w:rFonts w:hAnsi="Times New Roman" w:cs="Times New Roman"/>
                <w:b/>
                <w:bCs/>
              </w:rPr>
              <w:t>B/H</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spacing w:after="240"/>
              <w:rPr>
                <w:rFonts w:hAnsi="Times New Roman" w:cs="Times New Roman"/>
              </w:rPr>
            </w:pPr>
            <w:r w:rsidRPr="006F386A">
              <w:rPr>
                <w:rFonts w:hAnsi="Times New Roman" w:cs="Times New Roman"/>
                <w:b/>
                <w:bCs/>
              </w:rPr>
              <w:t>Total</w:t>
            </w:r>
          </w:p>
        </w:tc>
      </w:tr>
      <w:tr w:rsidR="007504CB" w:rsidRPr="006F386A" w:rsidTr="00DE27FF">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b/>
                <w:bCs/>
              </w:rPr>
              <w:t>2009</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17</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18</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16</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21</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10</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94</w:t>
            </w:r>
          </w:p>
        </w:tc>
      </w:tr>
      <w:tr w:rsidR="007504CB" w:rsidRPr="006F386A" w:rsidTr="00DE27FF">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b/>
                <w:bCs/>
              </w:rPr>
              <w:t>2010</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15</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17</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15</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13</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21</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13</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94</w:t>
            </w:r>
          </w:p>
        </w:tc>
      </w:tr>
      <w:tr w:rsidR="007504CB" w:rsidRPr="006F386A" w:rsidTr="00DE27FF">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b/>
                <w:bCs/>
              </w:rPr>
              <w:t>2011</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15</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18</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14</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13</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20</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14</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94</w:t>
            </w:r>
          </w:p>
        </w:tc>
      </w:tr>
      <w:tr w:rsidR="007504CB" w:rsidRPr="006F386A" w:rsidTr="00DE27FF">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b/>
                <w:bCs/>
              </w:rPr>
              <w:t>2012</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14</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18</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15</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14</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20</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13</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94</w:t>
            </w:r>
          </w:p>
        </w:tc>
      </w:tr>
      <w:tr w:rsidR="007504CB" w:rsidRPr="006F386A" w:rsidTr="00DE27FF">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b/>
                <w:bCs/>
              </w:rPr>
              <w:t>2013</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16</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18</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13</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12</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20</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15</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94</w:t>
            </w:r>
          </w:p>
        </w:tc>
      </w:tr>
      <w:tr w:rsidR="007504CB" w:rsidRPr="006F386A" w:rsidTr="00DE27FF">
        <w:trPr>
          <w:trHeight w:val="3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b/>
                <w:bCs/>
              </w:rPr>
              <w:t>Average</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14.4</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b/>
                <w:bCs/>
              </w:rPr>
              <w:t>17.6</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15</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13.6</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b/>
                <w:bCs/>
              </w:rPr>
              <w:t>20.4</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pPr>
              <w:pStyle w:val="Body"/>
              <w:jc w:val="center"/>
              <w:rPr>
                <w:rFonts w:hAnsi="Times New Roman" w:cs="Times New Roman"/>
              </w:rPr>
            </w:pPr>
            <w:r w:rsidRPr="006F386A">
              <w:rPr>
                <w:rFonts w:hAnsi="Times New Roman" w:cs="Times New Roman"/>
              </w:rPr>
              <w:t>13</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04CB" w:rsidRPr="006F386A" w:rsidRDefault="007504CB" w:rsidP="00DE27FF"/>
        </w:tc>
      </w:tr>
    </w:tbl>
    <w:p w:rsidR="007504CB" w:rsidRPr="006F386A" w:rsidRDefault="007504CB" w:rsidP="002E2CD0">
      <w:pPr>
        <w:pStyle w:val="Body"/>
        <w:jc w:val="both"/>
        <w:rPr>
          <w:rFonts w:hAnsi="Times New Roman" w:cs="Times New Roman"/>
        </w:rPr>
      </w:pPr>
    </w:p>
    <w:p w:rsidR="002E2CD0" w:rsidRPr="006F386A" w:rsidRDefault="002E2CD0" w:rsidP="002E2CD0">
      <w:pPr>
        <w:pStyle w:val="Body"/>
        <w:jc w:val="both"/>
        <w:rPr>
          <w:rFonts w:hAnsi="Times New Roman" w:cs="Times New Roman"/>
        </w:rPr>
      </w:pPr>
      <w:r w:rsidRPr="006F386A">
        <w:rPr>
          <w:rFonts w:hAnsi="Times New Roman" w:cs="Times New Roman"/>
        </w:rPr>
        <w:t>Table</w:t>
      </w:r>
      <w:r w:rsidR="00030019" w:rsidRPr="006F386A">
        <w:rPr>
          <w:rFonts w:hAnsi="Times New Roman" w:cs="Times New Roman"/>
        </w:rPr>
        <w:t xml:space="preserve"> 4</w:t>
      </w:r>
      <w:r w:rsidR="00A222C7" w:rsidRPr="006F386A">
        <w:rPr>
          <w:rFonts w:hAnsi="Times New Roman" w:cs="Times New Roman"/>
        </w:rPr>
        <w:t xml:space="preserve"> reports</w:t>
      </w:r>
      <w:r w:rsidR="00B72280" w:rsidRPr="006F386A">
        <w:rPr>
          <w:rFonts w:hAnsi="Times New Roman" w:cs="Times New Roman"/>
        </w:rPr>
        <w:t xml:space="preserve"> the </w:t>
      </w:r>
      <w:r w:rsidR="00A222C7" w:rsidRPr="006F386A">
        <w:rPr>
          <w:rFonts w:hAnsi="Times New Roman" w:cs="Times New Roman"/>
        </w:rPr>
        <w:t>descriptive</w:t>
      </w:r>
      <w:r w:rsidR="00B72280" w:rsidRPr="006F386A">
        <w:rPr>
          <w:rFonts w:hAnsi="Times New Roman" w:cs="Times New Roman"/>
        </w:rPr>
        <w:t xml:space="preserve"> statistics of the ave</w:t>
      </w:r>
      <w:r w:rsidRPr="006F386A">
        <w:rPr>
          <w:rFonts w:hAnsi="Times New Roman" w:cs="Times New Roman"/>
        </w:rPr>
        <w:t xml:space="preserve">rage returns of six portfolios along </w:t>
      </w:r>
      <w:r w:rsidR="00B72280" w:rsidRPr="006F386A">
        <w:rPr>
          <w:rFonts w:hAnsi="Times New Roman" w:cs="Times New Roman"/>
        </w:rPr>
        <w:t>Rm-Rf, SMB and HML. As can be seen, the average returns of all these portfolios and three independent variables (market risk, SMB and HML) are quite small and positive. In addition, the standard deviations, which show the difference of these variables from the mean value fall within the range of 0.041% - 0.08%, are small and almost the same for all of the portfolios implying the low volatility of the portfolio average returns. The small expected returns indicate</w:t>
      </w:r>
      <w:r w:rsidR="00535501" w:rsidRPr="006F386A">
        <w:rPr>
          <w:rFonts w:hAnsi="Times New Roman" w:cs="Times New Roman"/>
        </w:rPr>
        <w:t>s</w:t>
      </w:r>
      <w:r w:rsidR="00B72280" w:rsidRPr="006F386A">
        <w:rPr>
          <w:rFonts w:hAnsi="Times New Roman" w:cs="Times New Roman"/>
        </w:rPr>
        <w:t xml:space="preserve"> that the investors, in general, have the same rational on every</w:t>
      </w:r>
      <w:r w:rsidR="00535501" w:rsidRPr="006F386A">
        <w:rPr>
          <w:rFonts w:hAnsi="Times New Roman" w:cs="Times New Roman"/>
        </w:rPr>
        <w:t xml:space="preserve"> portfolio</w:t>
      </w:r>
      <w:r w:rsidR="00B72280" w:rsidRPr="006F386A">
        <w:rPr>
          <w:rFonts w:hAnsi="Times New Roman" w:cs="Times New Roman"/>
        </w:rPr>
        <w:t>. Furthermore, the expected average returns of all observed portfolios are normal</w:t>
      </w:r>
      <w:r w:rsidR="00535501" w:rsidRPr="006F386A">
        <w:rPr>
          <w:rFonts w:hAnsi="Times New Roman" w:cs="Times New Roman"/>
        </w:rPr>
        <w:t>ly</w:t>
      </w:r>
      <w:r w:rsidR="00B72280" w:rsidRPr="006F386A">
        <w:rPr>
          <w:rFonts w:hAnsi="Times New Roman" w:cs="Times New Roman"/>
        </w:rPr>
        <w:t xml:space="preserve"> distributed since their mean and median are quite similar. </w:t>
      </w:r>
    </w:p>
    <w:p w:rsidR="00030019" w:rsidRPr="006F386A" w:rsidRDefault="00030019">
      <w:pPr>
        <w:pStyle w:val="Body"/>
        <w:spacing w:after="240"/>
        <w:jc w:val="both"/>
        <w:rPr>
          <w:rFonts w:hAnsi="Times New Roman" w:cs="Times New Roman"/>
        </w:rPr>
      </w:pPr>
    </w:p>
    <w:p w:rsidR="007504CB" w:rsidRPr="00A704CB" w:rsidRDefault="007504CB" w:rsidP="007504CB">
      <w:pPr>
        <w:pStyle w:val="Caption"/>
        <w:keepNext/>
        <w:jc w:val="both"/>
        <w:rPr>
          <w:color w:val="000000" w:themeColor="text1"/>
          <w:sz w:val="22"/>
          <w:szCs w:val="22"/>
        </w:rPr>
      </w:pPr>
      <w:r w:rsidRPr="00A704CB">
        <w:rPr>
          <w:color w:val="000000" w:themeColor="text1"/>
          <w:sz w:val="22"/>
          <w:szCs w:val="22"/>
        </w:rPr>
        <w:t xml:space="preserve">Table </w:t>
      </w:r>
      <w:r w:rsidRPr="00A704CB">
        <w:rPr>
          <w:color w:val="000000" w:themeColor="text1"/>
          <w:sz w:val="22"/>
          <w:szCs w:val="22"/>
        </w:rPr>
        <w:fldChar w:fldCharType="begin"/>
      </w:r>
      <w:r w:rsidRPr="00A704CB">
        <w:rPr>
          <w:color w:val="000000" w:themeColor="text1"/>
          <w:sz w:val="22"/>
          <w:szCs w:val="22"/>
        </w:rPr>
        <w:instrText xml:space="preserve"> SEQ Table \* ARABIC </w:instrText>
      </w:r>
      <w:r w:rsidRPr="00A704CB">
        <w:rPr>
          <w:color w:val="000000" w:themeColor="text1"/>
          <w:sz w:val="22"/>
          <w:szCs w:val="22"/>
        </w:rPr>
        <w:fldChar w:fldCharType="separate"/>
      </w:r>
      <w:r w:rsidRPr="00A704CB">
        <w:rPr>
          <w:noProof/>
          <w:color w:val="000000" w:themeColor="text1"/>
          <w:sz w:val="22"/>
          <w:szCs w:val="22"/>
        </w:rPr>
        <w:t>4</w:t>
      </w:r>
      <w:r w:rsidRPr="00A704CB">
        <w:rPr>
          <w:color w:val="000000" w:themeColor="text1"/>
          <w:sz w:val="22"/>
          <w:szCs w:val="22"/>
        </w:rPr>
        <w:fldChar w:fldCharType="end"/>
      </w:r>
      <w:r w:rsidR="004846A8" w:rsidRPr="00A704CB">
        <w:rPr>
          <w:color w:val="000000" w:themeColor="text1"/>
          <w:sz w:val="22"/>
          <w:szCs w:val="22"/>
        </w:rPr>
        <w:t>:</w:t>
      </w:r>
      <w:r w:rsidRPr="00A704CB">
        <w:rPr>
          <w:color w:val="000000" w:themeColor="text1"/>
          <w:sz w:val="22"/>
          <w:szCs w:val="22"/>
        </w:rPr>
        <w:t xml:space="preserve"> Summary statisitics for six portfolios, excess market return, SMB and HML</w:t>
      </w:r>
    </w:p>
    <w:p w:rsidR="007504CB" w:rsidRPr="006F386A" w:rsidRDefault="007504CB" w:rsidP="007504CB">
      <w:pPr>
        <w:pStyle w:val="Body"/>
        <w:jc w:val="both"/>
        <w:rPr>
          <w:rFonts w:hAnsi="Times New Roman" w:cs="Times New Roman"/>
          <w:b/>
          <w:bCs/>
        </w:rPr>
      </w:pPr>
      <w:r w:rsidRPr="006F386A">
        <w:rPr>
          <w:rFonts w:hAnsi="Times New Roman" w:cs="Times New Roman"/>
          <w:b/>
          <w:bCs/>
          <w:noProof/>
        </w:rPr>
        <w:drawing>
          <wp:inline distT="0" distB="0" distL="0" distR="0">
            <wp:extent cx="5441640" cy="3072810"/>
            <wp:effectExtent l="19050" t="0" r="66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43855" cy="3074061"/>
                    </a:xfrm>
                    <a:prstGeom prst="rect">
                      <a:avLst/>
                    </a:prstGeom>
                    <a:noFill/>
                    <a:ln w="9525">
                      <a:noFill/>
                      <a:miter lim="800000"/>
                      <a:headEnd/>
                      <a:tailEnd/>
                    </a:ln>
                  </pic:spPr>
                </pic:pic>
              </a:graphicData>
            </a:graphic>
          </wp:inline>
        </w:drawing>
      </w:r>
    </w:p>
    <w:p w:rsidR="007504CB" w:rsidRPr="006F386A" w:rsidRDefault="007504CB">
      <w:pPr>
        <w:pStyle w:val="Body"/>
        <w:spacing w:after="240"/>
        <w:jc w:val="both"/>
        <w:rPr>
          <w:rFonts w:hAnsi="Times New Roman" w:cs="Times New Roman"/>
          <w:b/>
          <w:bCs/>
        </w:rPr>
      </w:pPr>
    </w:p>
    <w:p w:rsidR="00F43885" w:rsidRPr="006F386A" w:rsidRDefault="004A54DE">
      <w:pPr>
        <w:pStyle w:val="Body"/>
        <w:spacing w:after="240"/>
        <w:jc w:val="both"/>
        <w:rPr>
          <w:rFonts w:hAnsi="Times New Roman" w:cs="Times New Roman"/>
        </w:rPr>
      </w:pPr>
      <w:r w:rsidRPr="006F386A">
        <w:rPr>
          <w:rFonts w:hAnsi="Times New Roman" w:cs="Times New Roman"/>
          <w:b/>
          <w:bCs/>
        </w:rPr>
        <w:lastRenderedPageBreak/>
        <w:t>T</w:t>
      </w:r>
      <w:r w:rsidRPr="006F386A">
        <w:rPr>
          <w:rFonts w:hAnsi="Times New Roman" w:cs="Times New Roman"/>
        </w:rPr>
        <w:t xml:space="preserve">able 3 further shows based on standard deviations market risk and </w:t>
      </w:r>
      <w:r w:rsidR="00B72280" w:rsidRPr="006F386A">
        <w:rPr>
          <w:rFonts w:hAnsi="Times New Roman" w:cs="Times New Roman"/>
        </w:rPr>
        <w:t>value</w:t>
      </w:r>
      <w:r w:rsidRPr="006F386A">
        <w:rPr>
          <w:rFonts w:hAnsi="Times New Roman" w:cs="Times New Roman"/>
        </w:rPr>
        <w:t xml:space="preserve"> based risk</w:t>
      </w:r>
      <w:r w:rsidR="00B72280" w:rsidRPr="006F386A">
        <w:rPr>
          <w:rFonts w:hAnsi="Times New Roman" w:cs="Times New Roman"/>
        </w:rPr>
        <w:t xml:space="preserve"> to be more volatile than size-based risk. All these three factors have positive mean returns, meaning that they all have a value premium to compensate risks. </w:t>
      </w:r>
      <w:r w:rsidRPr="006F386A">
        <w:rPr>
          <w:rFonts w:hAnsi="Times New Roman" w:cs="Times New Roman"/>
        </w:rPr>
        <w:t xml:space="preserve">Moreover small scale portfolios (S/L, S/M and S/H) has higher yield than large </w:t>
      </w:r>
      <w:r w:rsidR="00B72280" w:rsidRPr="006F386A">
        <w:rPr>
          <w:rFonts w:hAnsi="Times New Roman" w:cs="Times New Roman"/>
        </w:rPr>
        <w:t xml:space="preserve">portfolios (B/L, B/M, and B/H). This is reasonable </w:t>
      </w:r>
      <w:r w:rsidRPr="006F386A">
        <w:rPr>
          <w:rFonts w:hAnsi="Times New Roman" w:cs="Times New Roman"/>
        </w:rPr>
        <w:t xml:space="preserve">since </w:t>
      </w:r>
      <w:r w:rsidR="00B72280" w:rsidRPr="006F386A">
        <w:rPr>
          <w:rFonts w:hAnsi="Times New Roman" w:cs="Times New Roman"/>
        </w:rPr>
        <w:t xml:space="preserve">small companies </w:t>
      </w:r>
      <w:r w:rsidRPr="006F386A">
        <w:rPr>
          <w:rFonts w:hAnsi="Times New Roman" w:cs="Times New Roman"/>
        </w:rPr>
        <w:t xml:space="preserve">entails greater </w:t>
      </w:r>
      <w:r w:rsidR="00B72280" w:rsidRPr="006F386A">
        <w:rPr>
          <w:rFonts w:hAnsi="Times New Roman" w:cs="Times New Roman"/>
        </w:rPr>
        <w:t>risk than larger</w:t>
      </w:r>
      <w:r w:rsidRPr="006F386A">
        <w:rPr>
          <w:rFonts w:hAnsi="Times New Roman" w:cs="Times New Roman"/>
        </w:rPr>
        <w:t xml:space="preserve"> ones; thus requiring</w:t>
      </w:r>
      <w:r w:rsidR="00B72280" w:rsidRPr="006F386A">
        <w:rPr>
          <w:rFonts w:hAnsi="Times New Roman" w:cs="Times New Roman"/>
        </w:rPr>
        <w:t xml:space="preserve"> greater returns for small stocks. </w:t>
      </w:r>
    </w:p>
    <w:p w:rsidR="00F43885" w:rsidRPr="006F386A" w:rsidRDefault="00EB70D8">
      <w:pPr>
        <w:pStyle w:val="Body"/>
        <w:spacing w:after="240"/>
        <w:jc w:val="both"/>
        <w:rPr>
          <w:rFonts w:hAnsi="Times New Roman" w:cs="Times New Roman"/>
          <w:u w:val="single"/>
        </w:rPr>
      </w:pPr>
      <w:r w:rsidRPr="006F386A">
        <w:rPr>
          <w:rFonts w:hAnsi="Times New Roman" w:cs="Times New Roman"/>
          <w:u w:val="single"/>
        </w:rPr>
        <w:t xml:space="preserve">b) </w:t>
      </w:r>
      <w:r w:rsidR="00B72280" w:rsidRPr="006F386A">
        <w:rPr>
          <w:rFonts w:hAnsi="Times New Roman" w:cs="Times New Roman"/>
          <w:u w:val="single"/>
        </w:rPr>
        <w:t>Diagnostic tests</w:t>
      </w:r>
    </w:p>
    <w:p w:rsidR="00F43885" w:rsidRPr="006F386A" w:rsidRDefault="00F25CFF">
      <w:pPr>
        <w:pStyle w:val="Body"/>
        <w:spacing w:after="240"/>
        <w:jc w:val="both"/>
        <w:rPr>
          <w:rFonts w:hAnsi="Times New Roman" w:cs="Times New Roman"/>
        </w:rPr>
      </w:pPr>
      <w:r w:rsidRPr="006F386A">
        <w:rPr>
          <w:rFonts w:hAnsi="Times New Roman" w:cs="Times New Roman"/>
        </w:rPr>
        <w:t xml:space="preserve">For application of ordinary least square (OLS) multiple regression for estimating </w:t>
      </w:r>
      <w:r w:rsidR="00B72280" w:rsidRPr="006F386A">
        <w:rPr>
          <w:rFonts w:hAnsi="Times New Roman" w:cs="Times New Roman"/>
        </w:rPr>
        <w:t>time-series</w:t>
      </w:r>
      <w:r w:rsidRPr="006F386A">
        <w:rPr>
          <w:rFonts w:hAnsi="Times New Roman" w:cs="Times New Roman"/>
        </w:rPr>
        <w:t xml:space="preserve"> requires that data should not suffer from Nonstationarity</w:t>
      </w:r>
      <w:r w:rsidR="00B72280" w:rsidRPr="006F386A">
        <w:rPr>
          <w:rFonts w:hAnsi="Times New Roman" w:cs="Times New Roman"/>
        </w:rPr>
        <w:t>, Autocorrelation, Heteroscedasticity and Multicollinearity</w:t>
      </w:r>
      <w:r w:rsidRPr="006F386A">
        <w:rPr>
          <w:rFonts w:hAnsi="Times New Roman" w:cs="Times New Roman"/>
        </w:rPr>
        <w:t>. If any of this pathology exist then assumption of OLS will be violated</w:t>
      </w:r>
      <w:r w:rsidR="00062655" w:rsidRPr="006F386A">
        <w:rPr>
          <w:rFonts w:hAnsi="Times New Roman" w:cs="Times New Roman"/>
        </w:rPr>
        <w:t xml:space="preserve"> making its estimates biased and inefficient</w:t>
      </w:r>
      <w:r w:rsidRPr="006F386A">
        <w:rPr>
          <w:rFonts w:hAnsi="Times New Roman" w:cs="Times New Roman"/>
        </w:rPr>
        <w:t>. Hence diagnostic test was done to test the suitability</w:t>
      </w:r>
      <w:r w:rsidR="00B72280" w:rsidRPr="006F386A">
        <w:rPr>
          <w:rFonts w:hAnsi="Times New Roman" w:cs="Times New Roman"/>
        </w:rPr>
        <w:t xml:space="preserve"> of the data</w:t>
      </w:r>
      <w:r w:rsidRPr="006F386A">
        <w:rPr>
          <w:rFonts w:hAnsi="Times New Roman" w:cs="Times New Roman"/>
        </w:rPr>
        <w:t xml:space="preserve"> </w:t>
      </w:r>
      <w:r w:rsidR="008B6FA6" w:rsidRPr="006F386A">
        <w:rPr>
          <w:rFonts w:hAnsi="Times New Roman" w:cs="Times New Roman"/>
        </w:rPr>
        <w:t>for OLS</w:t>
      </w:r>
      <w:r w:rsidR="00B72280" w:rsidRPr="006F386A">
        <w:rPr>
          <w:rFonts w:hAnsi="Times New Roman" w:cs="Times New Roman"/>
        </w:rPr>
        <w:t xml:space="preserve"> (Cochrane</w:t>
      </w:r>
      <w:r w:rsidR="0047078D" w:rsidRPr="006F386A">
        <w:rPr>
          <w:rFonts w:hAnsi="Times New Roman" w:cs="Times New Roman"/>
        </w:rPr>
        <w:t xml:space="preserve"> [58]</w:t>
      </w:r>
      <w:r w:rsidR="00B72280" w:rsidRPr="006F386A">
        <w:rPr>
          <w:rFonts w:hAnsi="Times New Roman" w:cs="Times New Roman"/>
        </w:rPr>
        <w:t xml:space="preserve">). </w:t>
      </w:r>
    </w:p>
    <w:p w:rsidR="00F43885" w:rsidRPr="006F386A" w:rsidRDefault="008B6FA6">
      <w:pPr>
        <w:pStyle w:val="Body"/>
        <w:spacing w:after="240"/>
        <w:jc w:val="both"/>
        <w:rPr>
          <w:rFonts w:hAnsi="Times New Roman" w:cs="Times New Roman"/>
          <w:b/>
          <w:bCs/>
        </w:rPr>
      </w:pPr>
      <w:r w:rsidRPr="006F386A">
        <w:rPr>
          <w:rFonts w:hAnsi="Times New Roman" w:cs="Times New Roman"/>
        </w:rPr>
        <w:t xml:space="preserve">i) </w:t>
      </w:r>
      <w:r w:rsidR="00062655" w:rsidRPr="006F386A">
        <w:rPr>
          <w:rFonts w:hAnsi="Times New Roman" w:cs="Times New Roman"/>
        </w:rPr>
        <w:t>Nonstationary test</w:t>
      </w:r>
    </w:p>
    <w:p w:rsidR="00F43885" w:rsidRPr="006F386A" w:rsidRDefault="008B6FA6" w:rsidP="008B6FA6">
      <w:pPr>
        <w:pStyle w:val="Body"/>
        <w:spacing w:after="240"/>
        <w:jc w:val="both"/>
        <w:rPr>
          <w:rFonts w:hAnsi="Times New Roman" w:cs="Times New Roman"/>
        </w:rPr>
      </w:pPr>
      <w:r w:rsidRPr="006F386A">
        <w:rPr>
          <w:rFonts w:hAnsi="Times New Roman" w:cs="Times New Roman"/>
        </w:rPr>
        <w:t>N</w:t>
      </w:r>
      <w:r w:rsidR="00B72280" w:rsidRPr="006F386A">
        <w:rPr>
          <w:rFonts w:hAnsi="Times New Roman" w:cs="Times New Roman"/>
        </w:rPr>
        <w:t>on-stationar</w:t>
      </w:r>
      <w:r w:rsidRPr="006F386A">
        <w:rPr>
          <w:rFonts w:hAnsi="Times New Roman" w:cs="Times New Roman"/>
        </w:rPr>
        <w:t xml:space="preserve">ity in </w:t>
      </w:r>
      <w:r w:rsidR="00B72280" w:rsidRPr="006F386A">
        <w:rPr>
          <w:rFonts w:hAnsi="Times New Roman" w:cs="Times New Roman"/>
        </w:rPr>
        <w:t xml:space="preserve"> time series </w:t>
      </w:r>
      <w:r w:rsidRPr="006F386A">
        <w:rPr>
          <w:rFonts w:hAnsi="Times New Roman" w:cs="Times New Roman"/>
        </w:rPr>
        <w:t xml:space="preserve">implies </w:t>
      </w:r>
      <w:r w:rsidR="00B72280" w:rsidRPr="006F386A">
        <w:rPr>
          <w:rFonts w:hAnsi="Times New Roman" w:cs="Times New Roman"/>
        </w:rPr>
        <w:t>mean or variance or both v</w:t>
      </w:r>
      <w:r w:rsidR="00873643" w:rsidRPr="006F386A">
        <w:rPr>
          <w:rFonts w:hAnsi="Times New Roman" w:cs="Times New Roman"/>
        </w:rPr>
        <w:t>arying over time (Gujarati, [59]</w:t>
      </w:r>
      <w:r w:rsidR="00B72280" w:rsidRPr="006F386A">
        <w:rPr>
          <w:rFonts w:hAnsi="Times New Roman" w:cs="Times New Roman"/>
        </w:rPr>
        <w:t xml:space="preserve">). </w:t>
      </w:r>
      <w:r w:rsidRPr="006F386A">
        <w:rPr>
          <w:rFonts w:hAnsi="Times New Roman" w:cs="Times New Roman"/>
        </w:rPr>
        <w:t xml:space="preserve">Augmented Dickey-Fuller (ADF) Unit root test was used in </w:t>
      </w:r>
      <w:r w:rsidR="00B72280" w:rsidRPr="006F386A">
        <w:rPr>
          <w:rFonts w:hAnsi="Times New Roman" w:cs="Times New Roman"/>
        </w:rPr>
        <w:t>Eviews</w:t>
      </w:r>
      <w:r w:rsidR="00EE4ADF" w:rsidRPr="006F386A">
        <w:rPr>
          <w:rFonts w:hAnsi="Times New Roman" w:cs="Times New Roman"/>
        </w:rPr>
        <w:t xml:space="preserve"> </w:t>
      </w:r>
      <w:r w:rsidRPr="006F386A">
        <w:rPr>
          <w:rFonts w:hAnsi="Times New Roman" w:cs="Times New Roman"/>
        </w:rPr>
        <w:t>was used to test the nonstationarity with following hypothesis and</w:t>
      </w:r>
      <w:r w:rsidR="00ED2950" w:rsidRPr="006F386A">
        <w:rPr>
          <w:rFonts w:hAnsi="Times New Roman" w:cs="Times New Roman"/>
        </w:rPr>
        <w:t xml:space="preserve"> outcome as indicated in table 5</w:t>
      </w:r>
    </w:p>
    <w:p w:rsidR="00F43885" w:rsidRPr="006F386A" w:rsidRDefault="00B72280">
      <w:pPr>
        <w:pStyle w:val="Body"/>
        <w:spacing w:before="240"/>
        <w:jc w:val="both"/>
        <w:rPr>
          <w:rFonts w:hAnsi="Times New Roman" w:cs="Times New Roman"/>
          <w:i/>
          <w:iCs/>
        </w:rPr>
      </w:pPr>
      <w:r w:rsidRPr="006F386A">
        <w:rPr>
          <w:rFonts w:hAnsi="Times New Roman" w:cs="Times New Roman"/>
        </w:rPr>
        <w:t>Null hypothesis:</w:t>
      </w:r>
      <w:r w:rsidR="008B6FA6" w:rsidRPr="006F386A">
        <w:rPr>
          <w:rFonts w:hAnsi="Times New Roman" w:cs="Times New Roman"/>
          <w:i/>
          <w:iCs/>
        </w:rPr>
        <w:t xml:space="preserve"> The times series variable </w:t>
      </w:r>
      <w:r w:rsidRPr="006F386A">
        <w:rPr>
          <w:rFonts w:hAnsi="Times New Roman" w:cs="Times New Roman"/>
          <w:i/>
          <w:iCs/>
        </w:rPr>
        <w:t xml:space="preserve"> under consideration is nonstationary</w:t>
      </w:r>
    </w:p>
    <w:p w:rsidR="009D1A56" w:rsidRPr="006F386A" w:rsidRDefault="00B72280" w:rsidP="009D1A56">
      <w:pPr>
        <w:pStyle w:val="Body"/>
        <w:spacing w:before="240"/>
        <w:jc w:val="both"/>
        <w:rPr>
          <w:rFonts w:hAnsi="Times New Roman" w:cs="Times New Roman"/>
          <w:i/>
          <w:iCs/>
        </w:rPr>
      </w:pPr>
      <w:r w:rsidRPr="006F386A">
        <w:rPr>
          <w:rFonts w:hAnsi="Times New Roman" w:cs="Times New Roman"/>
        </w:rPr>
        <w:t>Alternative hypothesis:</w:t>
      </w:r>
      <w:r w:rsidR="008B6FA6" w:rsidRPr="006F386A">
        <w:rPr>
          <w:rFonts w:hAnsi="Times New Roman" w:cs="Times New Roman"/>
          <w:i/>
          <w:iCs/>
        </w:rPr>
        <w:t xml:space="preserve"> The times series variable </w:t>
      </w:r>
      <w:r w:rsidRPr="006F386A">
        <w:rPr>
          <w:rFonts w:hAnsi="Times New Roman" w:cs="Times New Roman"/>
          <w:i/>
          <w:iCs/>
        </w:rPr>
        <w:t xml:space="preserve">under consideration is stationary </w:t>
      </w:r>
    </w:p>
    <w:p w:rsidR="00F43885" w:rsidRPr="006F386A" w:rsidRDefault="00B72280">
      <w:pPr>
        <w:pStyle w:val="Body"/>
        <w:spacing w:line="360" w:lineRule="auto"/>
        <w:jc w:val="center"/>
        <w:rPr>
          <w:rFonts w:hAnsi="Times New Roman" w:cs="Times New Roman"/>
          <w:b/>
          <w:bCs/>
        </w:rPr>
      </w:pPr>
      <w:r w:rsidRPr="006F386A">
        <w:rPr>
          <w:rFonts w:hAnsi="Times New Roman" w:cs="Times New Roman"/>
          <w:b/>
          <w:bCs/>
        </w:rPr>
        <w:t xml:space="preserve">                                                                                            </w:t>
      </w:r>
    </w:p>
    <w:p w:rsidR="007504CB" w:rsidRPr="00A704CB" w:rsidRDefault="007504CB" w:rsidP="007504CB">
      <w:pPr>
        <w:pStyle w:val="Caption"/>
        <w:keepNext/>
        <w:jc w:val="both"/>
        <w:rPr>
          <w:color w:val="000000" w:themeColor="text1"/>
          <w:sz w:val="22"/>
          <w:szCs w:val="22"/>
        </w:rPr>
      </w:pPr>
      <w:r w:rsidRPr="00A704CB">
        <w:rPr>
          <w:color w:val="000000" w:themeColor="text1"/>
          <w:sz w:val="22"/>
          <w:szCs w:val="22"/>
        </w:rPr>
        <w:t xml:space="preserve">Table </w:t>
      </w:r>
      <w:r w:rsidRPr="00A704CB">
        <w:rPr>
          <w:color w:val="000000" w:themeColor="text1"/>
          <w:sz w:val="22"/>
          <w:szCs w:val="22"/>
        </w:rPr>
        <w:fldChar w:fldCharType="begin"/>
      </w:r>
      <w:r w:rsidRPr="00A704CB">
        <w:rPr>
          <w:color w:val="000000" w:themeColor="text1"/>
          <w:sz w:val="22"/>
          <w:szCs w:val="22"/>
        </w:rPr>
        <w:instrText xml:space="preserve"> SEQ Table \* ARABIC </w:instrText>
      </w:r>
      <w:r w:rsidRPr="00A704CB">
        <w:rPr>
          <w:color w:val="000000" w:themeColor="text1"/>
          <w:sz w:val="22"/>
          <w:szCs w:val="22"/>
        </w:rPr>
        <w:fldChar w:fldCharType="separate"/>
      </w:r>
      <w:r w:rsidRPr="00A704CB">
        <w:rPr>
          <w:noProof/>
          <w:color w:val="000000" w:themeColor="text1"/>
          <w:sz w:val="22"/>
          <w:szCs w:val="22"/>
        </w:rPr>
        <w:t>5</w:t>
      </w:r>
      <w:r w:rsidRPr="00A704CB">
        <w:rPr>
          <w:color w:val="000000" w:themeColor="text1"/>
          <w:sz w:val="22"/>
          <w:szCs w:val="22"/>
        </w:rPr>
        <w:fldChar w:fldCharType="end"/>
      </w:r>
      <w:r w:rsidR="004846A8" w:rsidRPr="00A704CB">
        <w:rPr>
          <w:color w:val="000000" w:themeColor="text1"/>
          <w:sz w:val="22"/>
          <w:szCs w:val="22"/>
        </w:rPr>
        <w:t xml:space="preserve">: </w:t>
      </w:r>
      <w:r w:rsidRPr="00A704CB">
        <w:rPr>
          <w:color w:val="000000" w:themeColor="text1"/>
          <w:sz w:val="22"/>
          <w:szCs w:val="22"/>
        </w:rPr>
        <w:t>Augmented Dickey-Fuller Test</w:t>
      </w:r>
    </w:p>
    <w:p w:rsidR="007504CB" w:rsidRPr="006F386A" w:rsidRDefault="007504CB" w:rsidP="007504CB">
      <w:pPr>
        <w:pStyle w:val="Body"/>
        <w:spacing w:after="240"/>
        <w:jc w:val="both"/>
        <w:rPr>
          <w:rFonts w:hAnsi="Times New Roman" w:cs="Times New Roman"/>
        </w:rPr>
      </w:pPr>
      <w:r w:rsidRPr="006F386A">
        <w:rPr>
          <w:rFonts w:hAnsi="Times New Roman" w:cs="Times New Roman"/>
          <w:noProof/>
        </w:rPr>
        <w:drawing>
          <wp:inline distT="0" distB="0" distL="0" distR="0">
            <wp:extent cx="3923665" cy="2466975"/>
            <wp:effectExtent l="19050" t="0" r="63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923665" cy="2466975"/>
                    </a:xfrm>
                    <a:prstGeom prst="rect">
                      <a:avLst/>
                    </a:prstGeom>
                    <a:noFill/>
                    <a:ln w="9525">
                      <a:noFill/>
                      <a:miter lim="800000"/>
                      <a:headEnd/>
                      <a:tailEnd/>
                    </a:ln>
                  </pic:spPr>
                </pic:pic>
              </a:graphicData>
            </a:graphic>
          </wp:inline>
        </w:drawing>
      </w:r>
    </w:p>
    <w:p w:rsidR="009D1A56" w:rsidRPr="006F386A" w:rsidRDefault="009D1A56">
      <w:pPr>
        <w:pStyle w:val="Body"/>
        <w:spacing w:after="240" w:line="360" w:lineRule="auto"/>
        <w:jc w:val="both"/>
        <w:rPr>
          <w:rFonts w:hAnsi="Times New Roman" w:cs="Times New Roman"/>
        </w:rPr>
      </w:pPr>
      <w:r w:rsidRPr="006F386A">
        <w:rPr>
          <w:rFonts w:hAnsi="Times New Roman" w:cs="Times New Roman"/>
        </w:rPr>
        <w:t>The result shows for all variables being significant (p-value &lt; 0.05) thus rejecting null hypothesis of existence of nonstationarity.</w:t>
      </w:r>
    </w:p>
    <w:p w:rsidR="00F43885" w:rsidRPr="006F386A" w:rsidRDefault="00062655">
      <w:pPr>
        <w:pStyle w:val="Body"/>
        <w:spacing w:after="240" w:line="360" w:lineRule="auto"/>
        <w:jc w:val="both"/>
        <w:rPr>
          <w:rFonts w:hAnsi="Times New Roman" w:cs="Times New Roman"/>
        </w:rPr>
      </w:pPr>
      <w:r w:rsidRPr="006F386A">
        <w:rPr>
          <w:rFonts w:hAnsi="Times New Roman" w:cs="Times New Roman"/>
          <w:lang w:val="pt-PT"/>
        </w:rPr>
        <w:t xml:space="preserve">ii) </w:t>
      </w:r>
      <w:r w:rsidR="00B72280" w:rsidRPr="006F386A">
        <w:rPr>
          <w:rFonts w:hAnsi="Times New Roman" w:cs="Times New Roman"/>
          <w:lang w:val="pt-PT"/>
        </w:rPr>
        <w:t>Autocorrelation</w:t>
      </w:r>
      <w:r w:rsidRPr="006F386A">
        <w:rPr>
          <w:rFonts w:hAnsi="Times New Roman" w:cs="Times New Roman"/>
        </w:rPr>
        <w:t xml:space="preserve"> test</w:t>
      </w:r>
      <w:r w:rsidR="00B72280" w:rsidRPr="006F386A">
        <w:rPr>
          <w:rFonts w:hAnsi="Times New Roman" w:cs="Times New Roman"/>
        </w:rPr>
        <w:t xml:space="preserve"> </w:t>
      </w:r>
    </w:p>
    <w:p w:rsidR="00F43885" w:rsidRPr="006F386A" w:rsidRDefault="00062655">
      <w:pPr>
        <w:pStyle w:val="Body"/>
        <w:spacing w:after="240"/>
        <w:jc w:val="both"/>
        <w:rPr>
          <w:rFonts w:hAnsi="Times New Roman" w:cs="Times New Roman"/>
        </w:rPr>
      </w:pPr>
      <w:r w:rsidRPr="006F386A">
        <w:rPr>
          <w:rFonts w:hAnsi="Times New Roman" w:cs="Times New Roman"/>
        </w:rPr>
        <w:t>A</w:t>
      </w:r>
      <w:r w:rsidR="00B72280" w:rsidRPr="006F386A">
        <w:rPr>
          <w:rFonts w:hAnsi="Times New Roman" w:cs="Times New Roman"/>
          <w:lang w:val="pt-PT"/>
        </w:rPr>
        <w:t>utocorrelation</w:t>
      </w:r>
      <w:r w:rsidRPr="006F386A">
        <w:rPr>
          <w:rFonts w:hAnsi="Times New Roman" w:cs="Times New Roman"/>
          <w:b/>
          <w:bCs/>
          <w:lang w:val="pt-PT"/>
        </w:rPr>
        <w:t xml:space="preserve"> </w:t>
      </w:r>
      <w:r w:rsidRPr="006F386A">
        <w:rPr>
          <w:rFonts w:hAnsi="Times New Roman" w:cs="Times New Roman"/>
          <w:lang w:val="pt-PT"/>
        </w:rPr>
        <w:t>implies</w:t>
      </w:r>
      <w:r w:rsidR="00B72280" w:rsidRPr="006F386A">
        <w:rPr>
          <w:rFonts w:hAnsi="Times New Roman" w:cs="Times New Roman"/>
        </w:rPr>
        <w:t xml:space="preserve"> </w:t>
      </w:r>
      <w:r w:rsidRPr="006F386A">
        <w:rPr>
          <w:rFonts w:hAnsi="Times New Roman" w:cs="Times New Roman"/>
        </w:rPr>
        <w:t xml:space="preserve">existence of </w:t>
      </w:r>
      <w:r w:rsidR="00B72280" w:rsidRPr="006F386A">
        <w:rPr>
          <w:rFonts w:hAnsi="Times New Roman" w:cs="Times New Roman"/>
        </w:rPr>
        <w:t>correlation between members of series of observations ordered in time  or space</w:t>
      </w:r>
      <w:r w:rsidR="00B72280" w:rsidRPr="006F386A">
        <w:rPr>
          <w:rFonts w:hAnsi="Times New Roman" w:cs="Times New Roman"/>
          <w:lang w:val="fr-FR"/>
        </w:rPr>
        <w:t xml:space="preserve"> </w:t>
      </w:r>
      <w:r w:rsidRPr="006F386A">
        <w:rPr>
          <w:rFonts w:hAnsi="Times New Roman" w:cs="Times New Roman"/>
          <w:lang w:val="fr-FR"/>
        </w:rPr>
        <w:t xml:space="preserve"> </w:t>
      </w:r>
      <w:r w:rsidRPr="006F386A">
        <w:rPr>
          <w:rFonts w:hAnsi="Times New Roman" w:cs="Times New Roman"/>
        </w:rPr>
        <w:t>Gujarati</w:t>
      </w:r>
      <w:r w:rsidR="00873643" w:rsidRPr="006F386A">
        <w:rPr>
          <w:rFonts w:hAnsi="Times New Roman" w:cs="Times New Roman"/>
        </w:rPr>
        <w:t xml:space="preserve"> [59]</w:t>
      </w:r>
      <w:r w:rsidRPr="006F386A">
        <w:rPr>
          <w:rFonts w:hAnsi="Times New Roman" w:cs="Times New Roman"/>
        </w:rPr>
        <w:t>.</w:t>
      </w:r>
      <w:r w:rsidR="00B72280" w:rsidRPr="006F386A">
        <w:rPr>
          <w:rFonts w:hAnsi="Times New Roman" w:cs="Times New Roman"/>
        </w:rPr>
        <w:t xml:space="preserve"> </w:t>
      </w:r>
      <w:r w:rsidRPr="006F386A">
        <w:rPr>
          <w:rFonts w:hAnsi="Times New Roman" w:cs="Times New Roman"/>
        </w:rPr>
        <w:t xml:space="preserve">Since </w:t>
      </w:r>
      <w:r w:rsidR="00B72280" w:rsidRPr="006F386A">
        <w:rPr>
          <w:rFonts w:hAnsi="Times New Roman" w:cs="Times New Roman"/>
        </w:rPr>
        <w:t>Breusch-Godfrey Serial Correlation LM Test</w:t>
      </w:r>
      <w:r w:rsidRPr="006F386A">
        <w:rPr>
          <w:rFonts w:hAnsi="Times New Roman" w:cs="Times New Roman"/>
        </w:rPr>
        <w:t xml:space="preserve"> is </w:t>
      </w:r>
      <w:r w:rsidRPr="006F386A">
        <w:rPr>
          <w:rFonts w:hAnsi="Times New Roman" w:cs="Times New Roman"/>
        </w:rPr>
        <w:lastRenderedPageBreak/>
        <w:t>considered to be superior to Durbin-watson test Gujarati</w:t>
      </w:r>
      <w:r w:rsidR="00873643" w:rsidRPr="006F386A">
        <w:rPr>
          <w:rFonts w:hAnsi="Times New Roman" w:cs="Times New Roman"/>
        </w:rPr>
        <w:t xml:space="preserve"> [59]</w:t>
      </w:r>
      <w:r w:rsidR="0036325E" w:rsidRPr="006F386A">
        <w:rPr>
          <w:rFonts w:hAnsi="Times New Roman" w:cs="Times New Roman"/>
        </w:rPr>
        <w:t>, the test was chosen and performed in</w:t>
      </w:r>
      <w:r w:rsidR="00B72280" w:rsidRPr="006F386A">
        <w:rPr>
          <w:rFonts w:hAnsi="Times New Roman" w:cs="Times New Roman"/>
        </w:rPr>
        <w:t xml:space="preserve"> Eviews </w:t>
      </w:r>
      <w:r w:rsidR="0036325E" w:rsidRPr="006F386A">
        <w:rPr>
          <w:rFonts w:hAnsi="Times New Roman" w:cs="Times New Roman"/>
        </w:rPr>
        <w:t>.</w:t>
      </w:r>
    </w:p>
    <w:p w:rsidR="00F43885" w:rsidRPr="006F386A" w:rsidRDefault="00B72280">
      <w:pPr>
        <w:pStyle w:val="Body"/>
        <w:spacing w:after="240"/>
        <w:rPr>
          <w:rFonts w:hAnsi="Times New Roman" w:cs="Times New Roman"/>
          <w:i/>
          <w:iCs/>
        </w:rPr>
      </w:pPr>
      <w:r w:rsidRPr="006F386A">
        <w:rPr>
          <w:rFonts w:hAnsi="Times New Roman" w:cs="Times New Roman"/>
          <w:i/>
          <w:iCs/>
        </w:rPr>
        <w:t>Null hypothesis: there is no autocorrelation in the residual                                                          Alternative hypothesis: there is autocorrelation in the residual</w:t>
      </w:r>
    </w:p>
    <w:p w:rsidR="00F43885" w:rsidRPr="006F386A" w:rsidRDefault="00B72280">
      <w:pPr>
        <w:pStyle w:val="Body"/>
        <w:spacing w:after="240"/>
        <w:jc w:val="both"/>
        <w:rPr>
          <w:rFonts w:hAnsi="Times New Roman" w:cs="Times New Roman"/>
        </w:rPr>
      </w:pPr>
      <w:r w:rsidRPr="006F386A">
        <w:rPr>
          <w:rFonts w:hAnsi="Times New Roman" w:cs="Times New Roman"/>
        </w:rPr>
        <w:t>The results show that Prob. Chi-Square (p) at p = 1, 2, 3, 4 of all observed portfolios are greater than 0.05 of significant level (appendix 5). Thus, there is not enough evidenc</w:t>
      </w:r>
      <w:r w:rsidR="0036325E" w:rsidRPr="006F386A">
        <w:rPr>
          <w:rFonts w:hAnsi="Times New Roman" w:cs="Times New Roman"/>
        </w:rPr>
        <w:t>e to reject the null hypothesis thus autocorrelation didn't exist.</w:t>
      </w:r>
      <w:r w:rsidRPr="006F386A">
        <w:rPr>
          <w:rFonts w:hAnsi="Times New Roman" w:cs="Times New Roman"/>
        </w:rPr>
        <w:t xml:space="preserve">  </w:t>
      </w:r>
    </w:p>
    <w:p w:rsidR="00F43885" w:rsidRPr="006F386A" w:rsidRDefault="00937280">
      <w:pPr>
        <w:pStyle w:val="Body"/>
        <w:spacing w:line="360" w:lineRule="auto"/>
        <w:rPr>
          <w:rFonts w:hAnsi="Times New Roman" w:cs="Times New Roman"/>
        </w:rPr>
      </w:pPr>
      <w:r w:rsidRPr="006F386A">
        <w:rPr>
          <w:rFonts w:hAnsi="Times New Roman" w:cs="Times New Roman"/>
          <w:lang w:val="nl-NL"/>
        </w:rPr>
        <w:t>iii) Heteroscedasticity test</w:t>
      </w:r>
    </w:p>
    <w:p w:rsidR="00F43885" w:rsidRPr="006F386A" w:rsidRDefault="00B72280">
      <w:pPr>
        <w:pStyle w:val="Body"/>
        <w:spacing w:before="240"/>
        <w:jc w:val="both"/>
        <w:rPr>
          <w:rFonts w:hAnsi="Times New Roman" w:cs="Times New Roman"/>
          <w:b/>
          <w:bCs/>
        </w:rPr>
      </w:pPr>
      <w:r w:rsidRPr="006F386A">
        <w:rPr>
          <w:rFonts w:hAnsi="Times New Roman" w:cs="Times New Roman"/>
          <w:lang w:val="nl-NL"/>
        </w:rPr>
        <w:t>Heteroscedasticity</w:t>
      </w:r>
      <w:r w:rsidRPr="006F386A">
        <w:rPr>
          <w:rFonts w:hAnsi="Times New Roman" w:cs="Times New Roman"/>
          <w:color w:val="111111"/>
          <w:u w:color="111111"/>
        </w:rPr>
        <w:t xml:space="preserve"> arises if the standard deviations of a variable are no</w:t>
      </w:r>
      <w:r w:rsidR="0036325E" w:rsidRPr="006F386A">
        <w:rPr>
          <w:rFonts w:hAnsi="Times New Roman" w:cs="Times New Roman"/>
          <w:color w:val="111111"/>
          <w:u w:color="111111"/>
        </w:rPr>
        <w:t xml:space="preserve">t </w:t>
      </w:r>
      <w:r w:rsidRPr="006F386A">
        <w:rPr>
          <w:rFonts w:hAnsi="Times New Roman" w:cs="Times New Roman"/>
          <w:color w:val="111111"/>
          <w:u w:color="111111"/>
        </w:rPr>
        <w:t xml:space="preserve">constant over time. </w:t>
      </w:r>
      <w:r w:rsidRPr="006F386A">
        <w:rPr>
          <w:rFonts w:hAnsi="Times New Roman" w:cs="Times New Roman"/>
        </w:rPr>
        <w:t>The White Heteroscedasticity</w:t>
      </w:r>
      <w:r w:rsidR="0036325E" w:rsidRPr="006F386A">
        <w:rPr>
          <w:rFonts w:hAnsi="Times New Roman" w:cs="Times New Roman"/>
        </w:rPr>
        <w:t xml:space="preserve"> test</w:t>
      </w:r>
      <w:r w:rsidRPr="006F386A">
        <w:rPr>
          <w:rFonts w:hAnsi="Times New Roman" w:cs="Times New Roman"/>
        </w:rPr>
        <w:t xml:space="preserve"> is used through Eviews Software with the following hypothesis. </w:t>
      </w:r>
    </w:p>
    <w:p w:rsidR="00F43885" w:rsidRPr="006F386A" w:rsidRDefault="00B72280">
      <w:pPr>
        <w:pStyle w:val="Body"/>
        <w:spacing w:before="240"/>
        <w:rPr>
          <w:rFonts w:hAnsi="Times New Roman" w:cs="Times New Roman"/>
          <w:i/>
          <w:iCs/>
        </w:rPr>
      </w:pPr>
      <w:r w:rsidRPr="006F386A">
        <w:rPr>
          <w:rFonts w:hAnsi="Times New Roman" w:cs="Times New Roman"/>
          <w:i/>
          <w:iCs/>
        </w:rPr>
        <w:t xml:space="preserve">Null hypothesis: Time series data is </w:t>
      </w:r>
      <w:r w:rsidRPr="006F386A">
        <w:rPr>
          <w:rFonts w:hAnsi="Times New Roman" w:cs="Times New Roman"/>
        </w:rPr>
        <w:t>Homoscedasticity</w:t>
      </w:r>
      <w:r w:rsidRPr="006F386A">
        <w:rPr>
          <w:rFonts w:hAnsi="Times New Roman" w:cs="Times New Roman"/>
          <w:i/>
          <w:iCs/>
          <w:lang w:val="nl-NL"/>
        </w:rPr>
        <w:t xml:space="preserve">                                                        Alternative hypothesis: Time series data is Heteroscedasticity</w:t>
      </w:r>
    </w:p>
    <w:p w:rsidR="00F43885" w:rsidRPr="006F386A" w:rsidRDefault="00B72280">
      <w:pPr>
        <w:pStyle w:val="Body"/>
        <w:spacing w:before="240" w:after="240"/>
        <w:jc w:val="both"/>
        <w:rPr>
          <w:rFonts w:hAnsi="Times New Roman" w:cs="Times New Roman"/>
        </w:rPr>
      </w:pPr>
      <w:r w:rsidRPr="006F386A">
        <w:rPr>
          <w:rFonts w:hAnsi="Times New Roman" w:cs="Times New Roman"/>
        </w:rPr>
        <w:t xml:space="preserve">The results show </w:t>
      </w:r>
      <w:r w:rsidR="0036325E" w:rsidRPr="006F386A">
        <w:rPr>
          <w:rFonts w:hAnsi="Times New Roman" w:cs="Times New Roman"/>
        </w:rPr>
        <w:t>p-value not significant (p&gt; 0.05) thus we could not reject null hypothesis that data were homoscedastic.</w:t>
      </w:r>
    </w:p>
    <w:p w:rsidR="0036325E" w:rsidRPr="006F386A" w:rsidRDefault="0036325E">
      <w:pPr>
        <w:pStyle w:val="Body"/>
        <w:spacing w:before="240" w:after="240"/>
        <w:jc w:val="both"/>
        <w:rPr>
          <w:rFonts w:hAnsi="Times New Roman" w:cs="Times New Roman"/>
        </w:rPr>
      </w:pPr>
    </w:p>
    <w:p w:rsidR="00F43885" w:rsidRPr="006F386A" w:rsidRDefault="00937280">
      <w:pPr>
        <w:pStyle w:val="Body"/>
        <w:spacing w:after="240" w:line="360" w:lineRule="auto"/>
        <w:jc w:val="both"/>
        <w:rPr>
          <w:rFonts w:hAnsi="Times New Roman" w:cs="Times New Roman"/>
        </w:rPr>
      </w:pPr>
      <w:r w:rsidRPr="006F386A">
        <w:rPr>
          <w:rFonts w:hAnsi="Times New Roman" w:cs="Times New Roman"/>
          <w:lang w:val="it-IT"/>
        </w:rPr>
        <w:t xml:space="preserve">iv. </w:t>
      </w:r>
      <w:r w:rsidR="00B72280" w:rsidRPr="006F386A">
        <w:rPr>
          <w:rFonts w:hAnsi="Times New Roman" w:cs="Times New Roman"/>
          <w:lang w:val="it-IT"/>
        </w:rPr>
        <w:t>Multicollinearity</w:t>
      </w:r>
      <w:r w:rsidRPr="006F386A">
        <w:rPr>
          <w:rFonts w:hAnsi="Times New Roman" w:cs="Times New Roman"/>
          <w:lang w:val="it-IT"/>
        </w:rPr>
        <w:t xml:space="preserve"> test</w:t>
      </w:r>
      <w:r w:rsidRPr="006F386A">
        <w:rPr>
          <w:rFonts w:hAnsi="Times New Roman" w:cs="Times New Roman"/>
          <w:b/>
          <w:bCs/>
          <w:lang w:val="it-IT"/>
        </w:rPr>
        <w:t>:</w:t>
      </w:r>
    </w:p>
    <w:p w:rsidR="00F43885" w:rsidRPr="006F386A" w:rsidRDefault="00B72280">
      <w:pPr>
        <w:pStyle w:val="Body"/>
        <w:spacing w:after="240"/>
        <w:jc w:val="both"/>
        <w:rPr>
          <w:rFonts w:hAnsi="Times New Roman" w:cs="Times New Roman"/>
        </w:rPr>
      </w:pPr>
      <w:r w:rsidRPr="006F386A">
        <w:rPr>
          <w:rFonts w:hAnsi="Times New Roman" w:cs="Times New Roman"/>
          <w:lang w:val="it-IT"/>
        </w:rPr>
        <w:t>Multicollinearity</w:t>
      </w:r>
      <w:r w:rsidRPr="006F386A">
        <w:rPr>
          <w:rFonts w:hAnsi="Times New Roman" w:cs="Times New Roman"/>
          <w:color w:val="111111"/>
          <w:u w:color="111111"/>
        </w:rPr>
        <w:t xml:space="preserve"> suggested that some independent variables in a multiple regression model are closely linked to one another in some ways. Multicollinearity </w:t>
      </w:r>
      <w:r w:rsidRPr="006F386A">
        <w:rPr>
          <w:rFonts w:hAnsi="Times New Roman" w:cs="Times New Roman"/>
        </w:rPr>
        <w:t xml:space="preserve">can be detected by two main methods: correlation test or variance inflation factor (VIF). The result of </w:t>
      </w:r>
      <w:r w:rsidR="00ED2950" w:rsidRPr="006F386A">
        <w:rPr>
          <w:rFonts w:hAnsi="Times New Roman" w:cs="Times New Roman"/>
        </w:rPr>
        <w:t>correlationtest in Table 6</w:t>
      </w:r>
      <w:r w:rsidRPr="006F386A">
        <w:rPr>
          <w:rFonts w:hAnsi="Times New Roman" w:cs="Times New Roman"/>
        </w:rPr>
        <w:t xml:space="preserve"> shows that the model coefficients</w:t>
      </w:r>
      <w:r w:rsidR="009F4B9E" w:rsidRPr="006F386A">
        <w:rPr>
          <w:rFonts w:hAnsi="Times New Roman" w:cs="Times New Roman"/>
        </w:rPr>
        <w:t xml:space="preserve"> is less than</w:t>
      </w:r>
      <w:r w:rsidRPr="006F386A">
        <w:rPr>
          <w:rFonts w:hAnsi="Times New Roman" w:cs="Times New Roman"/>
        </w:rPr>
        <w:t xml:space="preserve"> 0.8</w:t>
      </w:r>
      <w:r w:rsidR="009F4B9E" w:rsidRPr="006F386A">
        <w:rPr>
          <w:rFonts w:hAnsi="Times New Roman" w:cs="Times New Roman"/>
        </w:rPr>
        <w:t xml:space="preserve"> thus eliminating possibility</w:t>
      </w:r>
      <w:r w:rsidRPr="006F386A">
        <w:rPr>
          <w:rFonts w:hAnsi="Times New Roman" w:cs="Times New Roman"/>
        </w:rPr>
        <w:t xml:space="preserve"> Multicollinearity is eliminated. </w:t>
      </w:r>
      <w:r w:rsidR="009F4B9E" w:rsidRPr="006F386A">
        <w:rPr>
          <w:rFonts w:hAnsi="Times New Roman" w:cs="Times New Roman"/>
        </w:rPr>
        <w:t>Same</w:t>
      </w:r>
      <w:r w:rsidRPr="006F386A">
        <w:rPr>
          <w:rFonts w:hAnsi="Times New Roman" w:cs="Times New Roman"/>
        </w:rPr>
        <w:t xml:space="preserve"> conclusion is also supported by the VIF coefficients </w:t>
      </w:r>
      <w:r w:rsidR="009F4B9E" w:rsidRPr="006F386A">
        <w:rPr>
          <w:rFonts w:hAnsi="Times New Roman" w:cs="Times New Roman"/>
        </w:rPr>
        <w:t>as VIF for all three independent risk factor is less than 2 as shown in table 6.</w:t>
      </w:r>
    </w:p>
    <w:p w:rsidR="007504CB" w:rsidRPr="006F386A" w:rsidRDefault="007504CB" w:rsidP="007504CB">
      <w:pPr>
        <w:pStyle w:val="Caption"/>
        <w:keepNext/>
        <w:rPr>
          <w:color w:val="000000" w:themeColor="text1"/>
          <w:sz w:val="22"/>
          <w:szCs w:val="22"/>
        </w:rPr>
      </w:pPr>
      <w:r w:rsidRPr="006F386A">
        <w:rPr>
          <w:color w:val="000000" w:themeColor="text1"/>
          <w:sz w:val="22"/>
          <w:szCs w:val="22"/>
        </w:rPr>
        <w:t xml:space="preserve">Table </w:t>
      </w:r>
      <w:r w:rsidRPr="006F386A">
        <w:rPr>
          <w:color w:val="000000" w:themeColor="text1"/>
          <w:sz w:val="22"/>
          <w:szCs w:val="22"/>
        </w:rPr>
        <w:fldChar w:fldCharType="begin"/>
      </w:r>
      <w:r w:rsidRPr="006F386A">
        <w:rPr>
          <w:color w:val="000000" w:themeColor="text1"/>
          <w:sz w:val="22"/>
          <w:szCs w:val="22"/>
        </w:rPr>
        <w:instrText xml:space="preserve"> SEQ Table \* ARABIC </w:instrText>
      </w:r>
      <w:r w:rsidRPr="006F386A">
        <w:rPr>
          <w:color w:val="000000" w:themeColor="text1"/>
          <w:sz w:val="22"/>
          <w:szCs w:val="22"/>
        </w:rPr>
        <w:fldChar w:fldCharType="separate"/>
      </w:r>
      <w:r w:rsidRPr="006F386A">
        <w:rPr>
          <w:noProof/>
          <w:color w:val="000000" w:themeColor="text1"/>
          <w:sz w:val="22"/>
          <w:szCs w:val="22"/>
        </w:rPr>
        <w:t>6</w:t>
      </w:r>
      <w:r w:rsidRPr="006F386A">
        <w:rPr>
          <w:color w:val="000000" w:themeColor="text1"/>
          <w:sz w:val="22"/>
          <w:szCs w:val="22"/>
        </w:rPr>
        <w:fldChar w:fldCharType="end"/>
      </w:r>
      <w:r w:rsidR="004846A8" w:rsidRPr="006F386A">
        <w:rPr>
          <w:color w:val="000000" w:themeColor="text1"/>
          <w:sz w:val="22"/>
          <w:szCs w:val="22"/>
        </w:rPr>
        <w:t>:</w:t>
      </w:r>
      <w:r w:rsidRPr="006F386A">
        <w:rPr>
          <w:color w:val="000000" w:themeColor="text1"/>
          <w:sz w:val="22"/>
          <w:szCs w:val="22"/>
        </w:rPr>
        <w:t xml:space="preserve">  Multicollinearity test</w:t>
      </w:r>
    </w:p>
    <w:tbl>
      <w:tblPr>
        <w:tblW w:w="4908" w:type="dxa"/>
        <w:tblInd w:w="91" w:type="dxa"/>
        <w:tblLook w:val="04A0"/>
      </w:tblPr>
      <w:tblGrid>
        <w:gridCol w:w="960"/>
        <w:gridCol w:w="996"/>
        <w:gridCol w:w="996"/>
        <w:gridCol w:w="996"/>
        <w:gridCol w:w="960"/>
      </w:tblGrid>
      <w:tr w:rsidR="007504CB" w:rsidRPr="006F386A" w:rsidTr="00DE27FF">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bidi="ne-NP"/>
              </w:rPr>
            </w:pPr>
            <w:r w:rsidRPr="006F386A">
              <w:rPr>
                <w:rFonts w:eastAsia="Times New Roman"/>
                <w:color w:val="000000"/>
                <w:sz w:val="22"/>
                <w:szCs w:val="22"/>
                <w:bdr w:val="none" w:sz="0" w:space="0" w:color="auto"/>
                <w:lang w:bidi="ne-NP"/>
              </w:rPr>
              <w:t> </w:t>
            </w:r>
          </w:p>
        </w:tc>
        <w:tc>
          <w:tcPr>
            <w:tcW w:w="2988" w:type="dxa"/>
            <w:gridSpan w:val="3"/>
            <w:tcBorders>
              <w:top w:val="single" w:sz="4" w:space="0" w:color="auto"/>
              <w:left w:val="nil"/>
              <w:bottom w:val="nil"/>
              <w:right w:val="single" w:sz="4" w:space="0" w:color="000000"/>
            </w:tcBorders>
            <w:shd w:val="clear" w:color="auto" w:fill="auto"/>
            <w:noWrap/>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bidi="ne-NP"/>
              </w:rPr>
            </w:pPr>
            <w:r w:rsidRPr="006F386A">
              <w:rPr>
                <w:rFonts w:eastAsia="Times New Roman"/>
                <w:color w:val="000000"/>
                <w:sz w:val="22"/>
                <w:szCs w:val="22"/>
                <w:bdr w:val="none" w:sz="0" w:space="0" w:color="auto"/>
                <w:lang w:bidi="ne-NP"/>
              </w:rPr>
              <w:t>Correlation Test</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bidi="ne-NP"/>
              </w:rPr>
            </w:pPr>
            <w:r w:rsidRPr="006F386A">
              <w:rPr>
                <w:rFonts w:eastAsia="Times New Roman"/>
                <w:color w:val="000000"/>
                <w:sz w:val="22"/>
                <w:szCs w:val="22"/>
                <w:bdr w:val="none" w:sz="0" w:space="0" w:color="auto"/>
                <w:lang w:bidi="ne-NP"/>
              </w:rPr>
              <w:t>VIF Test</w:t>
            </w:r>
          </w:p>
        </w:tc>
      </w:tr>
      <w:tr w:rsidR="007504CB" w:rsidRPr="006F386A" w:rsidTr="00DE27FF">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bidi="ne-NP"/>
              </w:rPr>
            </w:pPr>
            <w:r w:rsidRPr="006F386A">
              <w:rPr>
                <w:rFonts w:eastAsia="Times New Roman"/>
                <w:color w:val="000000"/>
                <w:sz w:val="22"/>
                <w:szCs w:val="22"/>
                <w:bdr w:val="none" w:sz="0" w:space="0" w:color="auto"/>
                <w:lang w:bidi="ne-NP"/>
              </w:rPr>
              <w:t> </w:t>
            </w:r>
          </w:p>
        </w:tc>
        <w:tc>
          <w:tcPr>
            <w:tcW w:w="996" w:type="dxa"/>
            <w:tcBorders>
              <w:top w:val="nil"/>
              <w:left w:val="nil"/>
              <w:bottom w:val="single" w:sz="4" w:space="0" w:color="auto"/>
              <w:right w:val="nil"/>
            </w:tcBorders>
            <w:shd w:val="clear" w:color="auto" w:fill="auto"/>
            <w:noWrap/>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bidi="ne-NP"/>
              </w:rPr>
            </w:pPr>
            <w:r w:rsidRPr="006F386A">
              <w:rPr>
                <w:rFonts w:eastAsia="Times New Roman"/>
                <w:color w:val="000000"/>
                <w:sz w:val="22"/>
                <w:szCs w:val="22"/>
                <w:bdr w:val="none" w:sz="0" w:space="0" w:color="auto"/>
                <w:lang w:bidi="ne-NP"/>
              </w:rPr>
              <w:t>Rm-Rf</w:t>
            </w:r>
          </w:p>
        </w:tc>
        <w:tc>
          <w:tcPr>
            <w:tcW w:w="996" w:type="dxa"/>
            <w:tcBorders>
              <w:top w:val="nil"/>
              <w:left w:val="nil"/>
              <w:bottom w:val="single" w:sz="4" w:space="0" w:color="auto"/>
              <w:right w:val="nil"/>
            </w:tcBorders>
            <w:shd w:val="clear" w:color="auto" w:fill="auto"/>
            <w:noWrap/>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bidi="ne-NP"/>
              </w:rPr>
            </w:pPr>
            <w:r w:rsidRPr="006F386A">
              <w:rPr>
                <w:rFonts w:eastAsia="Times New Roman"/>
                <w:color w:val="000000"/>
                <w:sz w:val="22"/>
                <w:szCs w:val="22"/>
                <w:bdr w:val="none" w:sz="0" w:space="0" w:color="auto"/>
                <w:lang w:bidi="ne-NP"/>
              </w:rPr>
              <w:t>SMB</w:t>
            </w:r>
          </w:p>
        </w:tc>
        <w:tc>
          <w:tcPr>
            <w:tcW w:w="996" w:type="dxa"/>
            <w:tcBorders>
              <w:top w:val="nil"/>
              <w:left w:val="nil"/>
              <w:bottom w:val="single" w:sz="4" w:space="0" w:color="auto"/>
              <w:right w:val="single" w:sz="4" w:space="0" w:color="auto"/>
            </w:tcBorders>
            <w:shd w:val="clear" w:color="auto" w:fill="auto"/>
            <w:noWrap/>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bidi="ne-NP"/>
              </w:rPr>
            </w:pPr>
            <w:r w:rsidRPr="006F386A">
              <w:rPr>
                <w:rFonts w:eastAsia="Times New Roman"/>
                <w:color w:val="000000"/>
                <w:sz w:val="22"/>
                <w:szCs w:val="22"/>
                <w:bdr w:val="none" w:sz="0" w:space="0" w:color="auto"/>
                <w:lang w:bidi="ne-NP"/>
              </w:rPr>
              <w:t>HML</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bidi="ne-NP"/>
              </w:rPr>
            </w:pPr>
          </w:p>
        </w:tc>
      </w:tr>
      <w:tr w:rsidR="007504CB" w:rsidRPr="006F386A" w:rsidTr="00DE27FF">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bidi="ne-NP"/>
              </w:rPr>
            </w:pPr>
            <w:r w:rsidRPr="006F386A">
              <w:rPr>
                <w:rFonts w:eastAsia="Times New Roman"/>
                <w:color w:val="000000"/>
                <w:sz w:val="22"/>
                <w:szCs w:val="22"/>
                <w:bdr w:val="none" w:sz="0" w:space="0" w:color="auto"/>
                <w:lang w:bidi="ne-NP"/>
              </w:rPr>
              <w:t>Rm-Rf</w:t>
            </w:r>
          </w:p>
        </w:tc>
        <w:tc>
          <w:tcPr>
            <w:tcW w:w="996" w:type="dxa"/>
            <w:tcBorders>
              <w:top w:val="nil"/>
              <w:left w:val="nil"/>
              <w:bottom w:val="nil"/>
              <w:right w:val="nil"/>
            </w:tcBorders>
            <w:shd w:val="clear" w:color="auto" w:fill="auto"/>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bidi="ne-NP"/>
              </w:rPr>
            </w:pPr>
            <w:r w:rsidRPr="006F386A">
              <w:rPr>
                <w:rFonts w:eastAsia="Times New Roman"/>
                <w:color w:val="000000"/>
                <w:bdr w:val="none" w:sz="0" w:space="0" w:color="auto"/>
                <w:lang w:bidi="ne-NP"/>
              </w:rPr>
              <w:t>1</w:t>
            </w:r>
          </w:p>
        </w:tc>
        <w:tc>
          <w:tcPr>
            <w:tcW w:w="996" w:type="dxa"/>
            <w:tcBorders>
              <w:top w:val="nil"/>
              <w:left w:val="nil"/>
              <w:bottom w:val="nil"/>
              <w:right w:val="nil"/>
            </w:tcBorders>
            <w:shd w:val="clear" w:color="auto" w:fill="auto"/>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bidi="ne-NP"/>
              </w:rPr>
            </w:pPr>
            <w:r w:rsidRPr="006F386A">
              <w:rPr>
                <w:rFonts w:eastAsia="Times New Roman"/>
                <w:color w:val="000000"/>
                <w:bdr w:val="none" w:sz="0" w:space="0" w:color="auto"/>
                <w:lang w:bidi="ne-NP"/>
              </w:rPr>
              <w:t>0.05252</w:t>
            </w:r>
          </w:p>
        </w:tc>
        <w:tc>
          <w:tcPr>
            <w:tcW w:w="996" w:type="dxa"/>
            <w:tcBorders>
              <w:top w:val="nil"/>
              <w:left w:val="nil"/>
              <w:bottom w:val="nil"/>
              <w:right w:val="single" w:sz="4" w:space="0" w:color="auto"/>
            </w:tcBorders>
            <w:shd w:val="clear" w:color="auto" w:fill="auto"/>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bidi="ne-NP"/>
              </w:rPr>
            </w:pPr>
            <w:r w:rsidRPr="006F386A">
              <w:rPr>
                <w:rFonts w:eastAsia="Times New Roman"/>
                <w:color w:val="000000"/>
                <w:bdr w:val="none" w:sz="0" w:space="0" w:color="auto"/>
                <w:lang w:bidi="ne-NP"/>
              </w:rPr>
              <w:t>0.50408</w:t>
            </w:r>
          </w:p>
        </w:tc>
        <w:tc>
          <w:tcPr>
            <w:tcW w:w="960" w:type="dxa"/>
            <w:tcBorders>
              <w:top w:val="nil"/>
              <w:left w:val="nil"/>
              <w:bottom w:val="nil"/>
              <w:right w:val="single" w:sz="4" w:space="0" w:color="auto"/>
            </w:tcBorders>
            <w:shd w:val="clear" w:color="000000" w:fill="FFFFFF"/>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bdr w:val="none" w:sz="0" w:space="0" w:color="auto"/>
                <w:lang w:bidi="ne-NP"/>
              </w:rPr>
            </w:pPr>
            <w:r w:rsidRPr="006F386A">
              <w:rPr>
                <w:rFonts w:eastAsia="Times New Roman"/>
                <w:color w:val="000000"/>
                <w:sz w:val="18"/>
                <w:szCs w:val="18"/>
                <w:bdr w:val="none" w:sz="0" w:space="0" w:color="auto"/>
                <w:lang w:bidi="ne-NP"/>
              </w:rPr>
              <w:t>1.341</w:t>
            </w:r>
          </w:p>
        </w:tc>
      </w:tr>
      <w:tr w:rsidR="007504CB" w:rsidRPr="006F386A" w:rsidTr="00DE27FF">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bidi="ne-NP"/>
              </w:rPr>
            </w:pPr>
            <w:r w:rsidRPr="006F386A">
              <w:rPr>
                <w:rFonts w:eastAsia="Times New Roman"/>
                <w:color w:val="000000"/>
                <w:sz w:val="22"/>
                <w:szCs w:val="22"/>
                <w:bdr w:val="none" w:sz="0" w:space="0" w:color="auto"/>
                <w:lang w:bidi="ne-NP"/>
              </w:rPr>
              <w:t>SMB</w:t>
            </w:r>
          </w:p>
        </w:tc>
        <w:tc>
          <w:tcPr>
            <w:tcW w:w="996" w:type="dxa"/>
            <w:tcBorders>
              <w:top w:val="nil"/>
              <w:left w:val="nil"/>
              <w:bottom w:val="nil"/>
              <w:right w:val="nil"/>
            </w:tcBorders>
            <w:shd w:val="clear" w:color="auto" w:fill="auto"/>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bidi="ne-NP"/>
              </w:rPr>
            </w:pPr>
            <w:r w:rsidRPr="006F386A">
              <w:rPr>
                <w:rFonts w:eastAsia="Times New Roman"/>
                <w:color w:val="000000"/>
                <w:bdr w:val="none" w:sz="0" w:space="0" w:color="auto"/>
                <w:lang w:bidi="ne-NP"/>
              </w:rPr>
              <w:t>0.05252</w:t>
            </w:r>
          </w:p>
        </w:tc>
        <w:tc>
          <w:tcPr>
            <w:tcW w:w="996" w:type="dxa"/>
            <w:tcBorders>
              <w:top w:val="nil"/>
              <w:left w:val="nil"/>
              <w:bottom w:val="nil"/>
              <w:right w:val="nil"/>
            </w:tcBorders>
            <w:shd w:val="clear" w:color="auto" w:fill="auto"/>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bidi="ne-NP"/>
              </w:rPr>
            </w:pPr>
            <w:r w:rsidRPr="006F386A">
              <w:rPr>
                <w:rFonts w:eastAsia="Times New Roman"/>
                <w:color w:val="000000"/>
                <w:bdr w:val="none" w:sz="0" w:space="0" w:color="auto"/>
                <w:lang w:bidi="ne-NP"/>
              </w:rPr>
              <w:t>1</w:t>
            </w:r>
          </w:p>
        </w:tc>
        <w:tc>
          <w:tcPr>
            <w:tcW w:w="996" w:type="dxa"/>
            <w:tcBorders>
              <w:top w:val="nil"/>
              <w:left w:val="nil"/>
              <w:bottom w:val="nil"/>
              <w:right w:val="single" w:sz="4" w:space="0" w:color="auto"/>
            </w:tcBorders>
            <w:shd w:val="clear" w:color="auto" w:fill="auto"/>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bidi="ne-NP"/>
              </w:rPr>
            </w:pPr>
            <w:r w:rsidRPr="006F386A">
              <w:rPr>
                <w:rFonts w:eastAsia="Times New Roman"/>
                <w:color w:val="000000"/>
                <w:bdr w:val="none" w:sz="0" w:space="0" w:color="auto"/>
                <w:lang w:bidi="ne-NP"/>
              </w:rPr>
              <w:t>0.12078</w:t>
            </w:r>
          </w:p>
        </w:tc>
        <w:tc>
          <w:tcPr>
            <w:tcW w:w="960" w:type="dxa"/>
            <w:tcBorders>
              <w:top w:val="nil"/>
              <w:left w:val="nil"/>
              <w:bottom w:val="nil"/>
              <w:right w:val="single" w:sz="4" w:space="0" w:color="auto"/>
            </w:tcBorders>
            <w:shd w:val="clear" w:color="000000" w:fill="FFFFFF"/>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bdr w:val="none" w:sz="0" w:space="0" w:color="auto"/>
                <w:lang w:bidi="ne-NP"/>
              </w:rPr>
            </w:pPr>
            <w:r w:rsidRPr="006F386A">
              <w:rPr>
                <w:rFonts w:eastAsia="Times New Roman"/>
                <w:color w:val="000000"/>
                <w:sz w:val="18"/>
                <w:szCs w:val="18"/>
                <w:bdr w:val="none" w:sz="0" w:space="0" w:color="auto"/>
                <w:lang w:bidi="ne-NP"/>
              </w:rPr>
              <w:t>1.015</w:t>
            </w:r>
          </w:p>
        </w:tc>
      </w:tr>
      <w:tr w:rsidR="007504CB" w:rsidRPr="006F386A" w:rsidTr="00DE27F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bidi="ne-NP"/>
              </w:rPr>
            </w:pPr>
            <w:r w:rsidRPr="006F386A">
              <w:rPr>
                <w:rFonts w:eastAsia="Times New Roman"/>
                <w:color w:val="000000"/>
                <w:sz w:val="22"/>
                <w:szCs w:val="22"/>
                <w:bdr w:val="none" w:sz="0" w:space="0" w:color="auto"/>
                <w:lang w:bidi="ne-NP"/>
              </w:rPr>
              <w:t>HML</w:t>
            </w:r>
          </w:p>
        </w:tc>
        <w:tc>
          <w:tcPr>
            <w:tcW w:w="996" w:type="dxa"/>
            <w:tcBorders>
              <w:top w:val="nil"/>
              <w:left w:val="nil"/>
              <w:bottom w:val="single" w:sz="4" w:space="0" w:color="auto"/>
              <w:right w:val="nil"/>
            </w:tcBorders>
            <w:shd w:val="clear" w:color="auto" w:fill="auto"/>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bidi="ne-NP"/>
              </w:rPr>
            </w:pPr>
            <w:r w:rsidRPr="006F386A">
              <w:rPr>
                <w:rFonts w:eastAsia="Times New Roman"/>
                <w:color w:val="000000"/>
                <w:bdr w:val="none" w:sz="0" w:space="0" w:color="auto"/>
                <w:lang w:bidi="ne-NP"/>
              </w:rPr>
              <w:t>0.50408</w:t>
            </w:r>
          </w:p>
        </w:tc>
        <w:tc>
          <w:tcPr>
            <w:tcW w:w="996" w:type="dxa"/>
            <w:tcBorders>
              <w:top w:val="nil"/>
              <w:left w:val="nil"/>
              <w:bottom w:val="single" w:sz="4" w:space="0" w:color="auto"/>
              <w:right w:val="nil"/>
            </w:tcBorders>
            <w:shd w:val="clear" w:color="auto" w:fill="auto"/>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bidi="ne-NP"/>
              </w:rPr>
            </w:pPr>
            <w:r w:rsidRPr="006F386A">
              <w:rPr>
                <w:rFonts w:eastAsia="Times New Roman"/>
                <w:color w:val="000000"/>
                <w:bdr w:val="none" w:sz="0" w:space="0" w:color="auto"/>
                <w:lang w:bidi="ne-NP"/>
              </w:rPr>
              <w:t>0.12078</w:t>
            </w:r>
          </w:p>
        </w:tc>
        <w:tc>
          <w:tcPr>
            <w:tcW w:w="996" w:type="dxa"/>
            <w:tcBorders>
              <w:top w:val="nil"/>
              <w:left w:val="nil"/>
              <w:bottom w:val="single" w:sz="4" w:space="0" w:color="auto"/>
              <w:right w:val="single" w:sz="4" w:space="0" w:color="auto"/>
            </w:tcBorders>
            <w:shd w:val="clear" w:color="auto" w:fill="auto"/>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bdr w:val="none" w:sz="0" w:space="0" w:color="auto"/>
                <w:lang w:bidi="ne-NP"/>
              </w:rPr>
            </w:pPr>
            <w:r w:rsidRPr="006F386A">
              <w:rPr>
                <w:rFonts w:eastAsia="Times New Roman"/>
                <w:color w:val="000000"/>
                <w:bdr w:val="none" w:sz="0" w:space="0" w:color="auto"/>
                <w:lang w:bidi="ne-NP"/>
              </w:rPr>
              <w:t>1</w:t>
            </w:r>
          </w:p>
        </w:tc>
        <w:tc>
          <w:tcPr>
            <w:tcW w:w="960" w:type="dxa"/>
            <w:tcBorders>
              <w:top w:val="nil"/>
              <w:left w:val="nil"/>
              <w:bottom w:val="single" w:sz="4" w:space="0" w:color="auto"/>
              <w:right w:val="single" w:sz="4" w:space="0" w:color="auto"/>
            </w:tcBorders>
            <w:shd w:val="clear" w:color="000000" w:fill="FFFFFF"/>
            <w:vAlign w:val="bottom"/>
            <w:hideMark/>
          </w:tcPr>
          <w:p w:rsidR="007504CB" w:rsidRPr="006F386A" w:rsidRDefault="007504CB" w:rsidP="00DE27FF">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8"/>
                <w:szCs w:val="18"/>
                <w:bdr w:val="none" w:sz="0" w:space="0" w:color="auto"/>
                <w:lang w:bidi="ne-NP"/>
              </w:rPr>
            </w:pPr>
            <w:r w:rsidRPr="006F386A">
              <w:rPr>
                <w:rFonts w:eastAsia="Times New Roman"/>
                <w:color w:val="000000"/>
                <w:sz w:val="18"/>
                <w:szCs w:val="18"/>
                <w:bdr w:val="none" w:sz="0" w:space="0" w:color="auto"/>
                <w:lang w:bidi="ne-NP"/>
              </w:rPr>
              <w:t>1.357</w:t>
            </w:r>
          </w:p>
        </w:tc>
      </w:tr>
    </w:tbl>
    <w:p w:rsidR="00ED2950" w:rsidRPr="006F386A" w:rsidRDefault="00ED2950">
      <w:pPr>
        <w:pStyle w:val="Body"/>
        <w:spacing w:after="240"/>
        <w:jc w:val="both"/>
        <w:rPr>
          <w:rFonts w:hAnsi="Times New Roman" w:cs="Times New Roman"/>
        </w:rPr>
      </w:pPr>
    </w:p>
    <w:p w:rsidR="00F43885" w:rsidRPr="006F386A" w:rsidRDefault="00F43885">
      <w:pPr>
        <w:pStyle w:val="Default"/>
        <w:widowControl w:val="0"/>
        <w:jc w:val="both"/>
        <w:rPr>
          <w:rFonts w:ascii="Times New Roman" w:eastAsia="Times New Roman" w:hAnsi="Times New Roman" w:cs="Times New Roman"/>
        </w:rPr>
      </w:pPr>
    </w:p>
    <w:p w:rsidR="00F43885" w:rsidRPr="006F386A" w:rsidRDefault="00F43885">
      <w:pPr>
        <w:pStyle w:val="Body"/>
        <w:rPr>
          <w:rFonts w:hAnsi="Times New Roman" w:cs="Times New Roman"/>
          <w:b/>
          <w:bCs/>
        </w:rPr>
      </w:pPr>
    </w:p>
    <w:p w:rsidR="00A704CB" w:rsidRDefault="00A704CB" w:rsidP="00940434">
      <w:pPr>
        <w:pStyle w:val="Body"/>
        <w:spacing w:after="240"/>
        <w:rPr>
          <w:rFonts w:hAnsi="Times New Roman" w:cs="Times New Roman"/>
          <w:b/>
          <w:bCs/>
          <w:lang w:val="de-DE"/>
        </w:rPr>
      </w:pPr>
    </w:p>
    <w:p w:rsidR="00A704CB" w:rsidRDefault="00A704CB" w:rsidP="00940434">
      <w:pPr>
        <w:pStyle w:val="Body"/>
        <w:spacing w:after="240"/>
        <w:rPr>
          <w:rFonts w:hAnsi="Times New Roman" w:cs="Times New Roman"/>
          <w:b/>
          <w:bCs/>
          <w:lang w:val="de-DE"/>
        </w:rPr>
      </w:pPr>
    </w:p>
    <w:p w:rsidR="00A704CB" w:rsidRDefault="00A704CB" w:rsidP="00940434">
      <w:pPr>
        <w:pStyle w:val="Body"/>
        <w:spacing w:after="240"/>
        <w:rPr>
          <w:rFonts w:hAnsi="Times New Roman" w:cs="Times New Roman"/>
          <w:b/>
          <w:bCs/>
          <w:lang w:val="de-DE"/>
        </w:rPr>
      </w:pPr>
    </w:p>
    <w:p w:rsidR="00A704CB" w:rsidRDefault="00A704CB" w:rsidP="00940434">
      <w:pPr>
        <w:pStyle w:val="Body"/>
        <w:spacing w:after="240"/>
        <w:rPr>
          <w:rFonts w:hAnsi="Times New Roman" w:cs="Times New Roman"/>
          <w:b/>
          <w:bCs/>
          <w:lang w:val="de-DE"/>
        </w:rPr>
      </w:pPr>
    </w:p>
    <w:p w:rsidR="00940434" w:rsidRPr="006F386A" w:rsidRDefault="00B72280" w:rsidP="00940434">
      <w:pPr>
        <w:pStyle w:val="Body"/>
        <w:spacing w:after="240"/>
        <w:rPr>
          <w:rFonts w:hAnsi="Times New Roman" w:cs="Times New Roman"/>
          <w:b/>
          <w:bCs/>
        </w:rPr>
      </w:pPr>
      <w:r w:rsidRPr="006F386A">
        <w:rPr>
          <w:rFonts w:hAnsi="Times New Roman" w:cs="Times New Roman"/>
          <w:b/>
          <w:bCs/>
          <w:lang w:val="de-DE"/>
        </w:rPr>
        <w:lastRenderedPageBreak/>
        <w:t>Estimation Results</w:t>
      </w:r>
    </w:p>
    <w:p w:rsidR="00F43885" w:rsidRPr="006F386A" w:rsidRDefault="00940434" w:rsidP="00940434">
      <w:pPr>
        <w:pStyle w:val="Body"/>
        <w:spacing w:after="240"/>
        <w:rPr>
          <w:rFonts w:hAnsi="Times New Roman" w:cs="Times New Roman"/>
          <w:b/>
          <w:bCs/>
        </w:rPr>
      </w:pPr>
      <w:r w:rsidRPr="006F386A">
        <w:rPr>
          <w:rFonts w:hAnsi="Times New Roman" w:cs="Times New Roman"/>
        </w:rPr>
        <w:t>Findings in table 7 illustrates the significance of factor  coefficient while regressing excess portfolio return against three factors.</w:t>
      </w:r>
      <w:r w:rsidR="00B72280" w:rsidRPr="006F386A">
        <w:rPr>
          <w:rFonts w:hAnsi="Times New Roman" w:cs="Times New Roman"/>
        </w:rPr>
        <w:t>R</w:t>
      </w:r>
      <w:r w:rsidR="00B72280" w:rsidRPr="006F386A">
        <w:rPr>
          <w:rFonts w:hAnsi="Times New Roman" w:cs="Times New Roman"/>
          <w:vertAlign w:val="subscript"/>
        </w:rPr>
        <w:t>it</w:t>
      </w:r>
      <w:r w:rsidR="00B72280" w:rsidRPr="006F386A">
        <w:rPr>
          <w:rFonts w:hAnsi="Times New Roman" w:cs="Times New Roman"/>
        </w:rPr>
        <w:t xml:space="preserve"> – R</w:t>
      </w:r>
      <w:r w:rsidR="00B72280" w:rsidRPr="006F386A">
        <w:rPr>
          <w:rFonts w:hAnsi="Times New Roman" w:cs="Times New Roman"/>
          <w:vertAlign w:val="subscript"/>
        </w:rPr>
        <w:t>ft</w:t>
      </w:r>
      <w:r w:rsidR="00B72280" w:rsidRPr="006F386A">
        <w:rPr>
          <w:rFonts w:hAnsi="Times New Roman" w:cs="Times New Roman"/>
        </w:rPr>
        <w:t xml:space="preserve"> = α</w:t>
      </w:r>
      <w:r w:rsidR="00B72280" w:rsidRPr="006F386A">
        <w:rPr>
          <w:rFonts w:hAnsi="Times New Roman" w:cs="Times New Roman"/>
          <w:vertAlign w:val="subscript"/>
        </w:rPr>
        <w:t xml:space="preserve">it </w:t>
      </w:r>
      <w:r w:rsidR="00B72280" w:rsidRPr="006F386A">
        <w:rPr>
          <w:rFonts w:hAnsi="Times New Roman" w:cs="Times New Roman"/>
        </w:rPr>
        <w:t>+ β</w:t>
      </w:r>
      <w:r w:rsidR="00B72280" w:rsidRPr="006F386A">
        <w:rPr>
          <w:rFonts w:hAnsi="Times New Roman" w:cs="Times New Roman"/>
          <w:vertAlign w:val="subscript"/>
        </w:rPr>
        <w:t>iM</w:t>
      </w:r>
      <w:r w:rsidR="00B72280" w:rsidRPr="006F386A">
        <w:rPr>
          <w:rFonts w:hAnsi="Times New Roman" w:cs="Times New Roman"/>
        </w:rPr>
        <w:t>(R</w:t>
      </w:r>
      <w:r w:rsidR="00B72280" w:rsidRPr="006F386A">
        <w:rPr>
          <w:rFonts w:hAnsi="Times New Roman" w:cs="Times New Roman"/>
          <w:vertAlign w:val="subscript"/>
        </w:rPr>
        <w:t>Mt</w:t>
      </w:r>
      <w:r w:rsidR="00B72280" w:rsidRPr="006F386A">
        <w:rPr>
          <w:rFonts w:hAnsi="Times New Roman" w:cs="Times New Roman"/>
        </w:rPr>
        <w:t xml:space="preserve"> - R</w:t>
      </w:r>
      <w:r w:rsidR="00B72280" w:rsidRPr="006F386A">
        <w:rPr>
          <w:rFonts w:hAnsi="Times New Roman" w:cs="Times New Roman"/>
          <w:vertAlign w:val="subscript"/>
        </w:rPr>
        <w:t>ft</w:t>
      </w:r>
      <w:r w:rsidR="00B72280" w:rsidRPr="006F386A">
        <w:rPr>
          <w:rFonts w:hAnsi="Times New Roman" w:cs="Times New Roman"/>
        </w:rPr>
        <w:t>) + β</w:t>
      </w:r>
      <w:r w:rsidR="00B72280" w:rsidRPr="006F386A">
        <w:rPr>
          <w:rFonts w:hAnsi="Times New Roman" w:cs="Times New Roman"/>
          <w:vertAlign w:val="subscript"/>
        </w:rPr>
        <w:t>is</w:t>
      </w:r>
      <w:r w:rsidR="00B72280" w:rsidRPr="006F386A">
        <w:rPr>
          <w:rFonts w:hAnsi="Times New Roman" w:cs="Times New Roman"/>
        </w:rPr>
        <w:t>SMB</w:t>
      </w:r>
      <w:r w:rsidR="00B72280" w:rsidRPr="006F386A">
        <w:rPr>
          <w:rFonts w:hAnsi="Times New Roman" w:cs="Times New Roman"/>
          <w:vertAlign w:val="subscript"/>
        </w:rPr>
        <w:t>t</w:t>
      </w:r>
      <w:r w:rsidR="00B72280" w:rsidRPr="006F386A">
        <w:rPr>
          <w:rFonts w:hAnsi="Times New Roman" w:cs="Times New Roman"/>
        </w:rPr>
        <w:t xml:space="preserve"> +β</w:t>
      </w:r>
      <w:r w:rsidR="00B72280" w:rsidRPr="006F386A">
        <w:rPr>
          <w:rFonts w:hAnsi="Times New Roman" w:cs="Times New Roman"/>
          <w:vertAlign w:val="subscript"/>
        </w:rPr>
        <w:t>ih</w:t>
      </w:r>
      <w:r w:rsidR="00B72280" w:rsidRPr="006F386A">
        <w:rPr>
          <w:rFonts w:hAnsi="Times New Roman" w:cs="Times New Roman"/>
        </w:rPr>
        <w:t>HML</w:t>
      </w:r>
      <w:r w:rsidR="00B72280" w:rsidRPr="006F386A">
        <w:rPr>
          <w:rFonts w:hAnsi="Times New Roman" w:cs="Times New Roman"/>
          <w:vertAlign w:val="subscript"/>
        </w:rPr>
        <w:t>t</w:t>
      </w:r>
      <w:r w:rsidR="00B72280" w:rsidRPr="006F386A">
        <w:rPr>
          <w:rFonts w:hAnsi="Times New Roman" w:cs="Times New Roman"/>
        </w:rPr>
        <w:t xml:space="preserve"> + ε</w:t>
      </w:r>
      <w:r w:rsidR="00B72280" w:rsidRPr="006F386A">
        <w:rPr>
          <w:rFonts w:hAnsi="Times New Roman" w:cs="Times New Roman"/>
          <w:vertAlign w:val="subscript"/>
        </w:rPr>
        <w:t>it</w:t>
      </w:r>
    </w:p>
    <w:p w:rsidR="007504CB" w:rsidRPr="006F386A" w:rsidRDefault="007504CB" w:rsidP="007504CB">
      <w:pPr>
        <w:pStyle w:val="Caption"/>
        <w:keepNext/>
        <w:rPr>
          <w:color w:val="000000" w:themeColor="text1"/>
          <w:sz w:val="22"/>
          <w:szCs w:val="22"/>
        </w:rPr>
      </w:pPr>
      <w:r w:rsidRPr="006F386A">
        <w:rPr>
          <w:color w:val="000000" w:themeColor="text1"/>
          <w:sz w:val="22"/>
          <w:szCs w:val="22"/>
        </w:rPr>
        <w:t xml:space="preserve">Table </w:t>
      </w:r>
      <w:r w:rsidRPr="006F386A">
        <w:rPr>
          <w:color w:val="000000" w:themeColor="text1"/>
          <w:sz w:val="22"/>
          <w:szCs w:val="22"/>
        </w:rPr>
        <w:fldChar w:fldCharType="begin"/>
      </w:r>
      <w:r w:rsidRPr="006F386A">
        <w:rPr>
          <w:color w:val="000000" w:themeColor="text1"/>
          <w:sz w:val="22"/>
          <w:szCs w:val="22"/>
        </w:rPr>
        <w:instrText xml:space="preserve"> SEQ Table \* ARABIC </w:instrText>
      </w:r>
      <w:r w:rsidRPr="006F386A">
        <w:rPr>
          <w:color w:val="000000" w:themeColor="text1"/>
          <w:sz w:val="22"/>
          <w:szCs w:val="22"/>
        </w:rPr>
        <w:fldChar w:fldCharType="separate"/>
      </w:r>
      <w:r w:rsidRPr="006F386A">
        <w:rPr>
          <w:noProof/>
          <w:color w:val="000000" w:themeColor="text1"/>
          <w:sz w:val="22"/>
          <w:szCs w:val="22"/>
        </w:rPr>
        <w:t>7</w:t>
      </w:r>
      <w:r w:rsidRPr="006F386A">
        <w:rPr>
          <w:color w:val="000000" w:themeColor="text1"/>
          <w:sz w:val="22"/>
          <w:szCs w:val="22"/>
        </w:rPr>
        <w:fldChar w:fldCharType="end"/>
      </w:r>
      <w:r w:rsidR="004846A8" w:rsidRPr="006F386A">
        <w:rPr>
          <w:color w:val="000000" w:themeColor="text1"/>
          <w:sz w:val="22"/>
          <w:szCs w:val="22"/>
        </w:rPr>
        <w:t>:</w:t>
      </w:r>
      <w:r w:rsidRPr="006F386A">
        <w:rPr>
          <w:color w:val="000000" w:themeColor="text1"/>
          <w:sz w:val="22"/>
          <w:szCs w:val="22"/>
        </w:rPr>
        <w:t xml:space="preserve"> Regression result for 6 portfolios</w:t>
      </w:r>
    </w:p>
    <w:tbl>
      <w:tblPr>
        <w:tblW w:w="65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60"/>
        <w:gridCol w:w="1540"/>
        <w:gridCol w:w="1340"/>
        <w:gridCol w:w="1260"/>
        <w:gridCol w:w="1420"/>
      </w:tblGrid>
      <w:tr w:rsidR="007504CB" w:rsidRPr="006F386A" w:rsidTr="00DE27FF">
        <w:trPr>
          <w:trHeight w:val="310"/>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 </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α</w:t>
            </w:r>
            <w:r w:rsidRPr="006F386A">
              <w:rPr>
                <w:rFonts w:hAnsi="Times New Roman" w:cs="Times New Roman"/>
                <w:vertAlign w:val="subscript"/>
              </w:rPr>
              <w:t>it</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β</w:t>
            </w:r>
            <w:r w:rsidRPr="006F386A">
              <w:rPr>
                <w:rFonts w:hAnsi="Times New Roman" w:cs="Times New Roman"/>
                <w:vertAlign w:val="subscript"/>
              </w:rPr>
              <w:t>iM</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β</w:t>
            </w:r>
            <w:r w:rsidRPr="006F386A">
              <w:rPr>
                <w:rFonts w:hAnsi="Times New Roman" w:cs="Times New Roman"/>
                <w:vertAlign w:val="subscript"/>
              </w:rPr>
              <w:t>is</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β</w:t>
            </w:r>
            <w:r w:rsidRPr="006F386A">
              <w:rPr>
                <w:rFonts w:hAnsi="Times New Roman" w:cs="Times New Roman"/>
                <w:vertAlign w:val="subscript"/>
              </w:rPr>
              <w:t>ih</w:t>
            </w:r>
          </w:p>
        </w:tc>
      </w:tr>
      <w:tr w:rsidR="007504CB" w:rsidRPr="006F386A" w:rsidTr="00DE27FF">
        <w:trPr>
          <w:trHeight w:val="310"/>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b/>
                <w:bCs/>
              </w:rPr>
              <w:t>S/L</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-0.404</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0.882*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0.962*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-0.097</w:t>
            </w:r>
          </w:p>
        </w:tc>
      </w:tr>
      <w:tr w:rsidR="007504CB" w:rsidRPr="006F386A" w:rsidTr="00DE27FF">
        <w:trPr>
          <w:trHeight w:val="310"/>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b/>
                <w:bCs/>
              </w:rPr>
              <w:t>S/M</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0.499</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0.724*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0.713*</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0.224*</w:t>
            </w:r>
          </w:p>
        </w:tc>
      </w:tr>
      <w:tr w:rsidR="007504CB" w:rsidRPr="006F386A" w:rsidTr="00DE27FF">
        <w:trPr>
          <w:trHeight w:val="310"/>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b/>
                <w:bCs/>
              </w:rPr>
              <w:t>S/H</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-0.578</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0.903*</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1.047*</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0.706*</w:t>
            </w:r>
          </w:p>
        </w:tc>
      </w:tr>
      <w:tr w:rsidR="007504CB" w:rsidRPr="006F386A" w:rsidTr="00DE27FF">
        <w:trPr>
          <w:trHeight w:val="310"/>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b/>
                <w:bCs/>
              </w:rPr>
              <w:t>B/L</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-0.147</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0.825*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-0.082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-0.238*</w:t>
            </w:r>
          </w:p>
        </w:tc>
      </w:tr>
      <w:tr w:rsidR="007504CB" w:rsidRPr="006F386A" w:rsidTr="00DE27FF">
        <w:trPr>
          <w:trHeight w:val="310"/>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b/>
                <w:bCs/>
              </w:rPr>
              <w:t>B/M</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0.364</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0.878*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-0.028</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0.111</w:t>
            </w:r>
          </w:p>
        </w:tc>
      </w:tr>
      <w:tr w:rsidR="007504CB" w:rsidRPr="006F386A" w:rsidTr="00DE27FF">
        <w:trPr>
          <w:trHeight w:val="310"/>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b/>
                <w:bCs/>
              </w:rPr>
              <w:t>B/H</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0.028</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0.805*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-0.168</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504CB" w:rsidRPr="006F386A" w:rsidRDefault="007504CB" w:rsidP="00DE27FF">
            <w:pPr>
              <w:pStyle w:val="Body"/>
              <w:jc w:val="center"/>
              <w:rPr>
                <w:rFonts w:hAnsi="Times New Roman" w:cs="Times New Roman"/>
              </w:rPr>
            </w:pPr>
            <w:r w:rsidRPr="006F386A">
              <w:rPr>
                <w:rFonts w:hAnsi="Times New Roman" w:cs="Times New Roman"/>
              </w:rPr>
              <w:t>0.960*</w:t>
            </w:r>
          </w:p>
        </w:tc>
      </w:tr>
    </w:tbl>
    <w:p w:rsidR="007504CB" w:rsidRPr="006F386A" w:rsidRDefault="007504CB" w:rsidP="007504CB">
      <w:pPr>
        <w:pStyle w:val="Body"/>
        <w:spacing w:before="240" w:line="360" w:lineRule="auto"/>
        <w:rPr>
          <w:rFonts w:hAnsi="Times New Roman" w:cs="Times New Roman"/>
          <w:b/>
          <w:bCs/>
        </w:rPr>
      </w:pPr>
      <w:r w:rsidRPr="006F386A">
        <w:rPr>
          <w:rFonts w:hAnsi="Times New Roman" w:cs="Times New Roman"/>
          <w:sz w:val="16"/>
          <w:szCs w:val="16"/>
        </w:rPr>
        <w:t xml:space="preserve">* significant at 1%  </w:t>
      </w:r>
    </w:p>
    <w:p w:rsidR="001E54C3" w:rsidRPr="006F386A" w:rsidRDefault="001E54C3" w:rsidP="007504CB">
      <w:pPr>
        <w:pStyle w:val="Caption"/>
        <w:keepNext/>
      </w:pPr>
    </w:p>
    <w:p w:rsidR="001E54C3" w:rsidRPr="006F386A" w:rsidRDefault="001E54C3" w:rsidP="00940434">
      <w:pPr>
        <w:pStyle w:val="Caption"/>
        <w:keepNext/>
      </w:pPr>
    </w:p>
    <w:p w:rsidR="00F43885" w:rsidRPr="006F386A" w:rsidRDefault="00B72280">
      <w:pPr>
        <w:pStyle w:val="Body"/>
        <w:spacing w:after="240"/>
        <w:jc w:val="both"/>
        <w:rPr>
          <w:rFonts w:hAnsi="Times New Roman" w:cs="Times New Roman"/>
        </w:rPr>
      </w:pPr>
      <w:r w:rsidRPr="006F386A">
        <w:rPr>
          <w:rFonts w:hAnsi="Times New Roman" w:cs="Times New Roman"/>
        </w:rPr>
        <w:t>The result indicates that the market premium is statistically significant at level of 1% in all 6 observed small portfolios meaning that there existed a correlation between market beta and expecte</w:t>
      </w:r>
      <w:r w:rsidR="00940434" w:rsidRPr="006F386A">
        <w:rPr>
          <w:rFonts w:hAnsi="Times New Roman" w:cs="Times New Roman"/>
        </w:rPr>
        <w:t xml:space="preserve">d return of these portfolios. </w:t>
      </w:r>
      <w:r w:rsidRPr="006F386A">
        <w:rPr>
          <w:rFonts w:hAnsi="Times New Roman" w:cs="Times New Roman"/>
        </w:rPr>
        <w:t xml:space="preserve">Furthermore, SMB factor is statistically significant at 1% in three small-size portfolios. This indicates that the size effect only appears in three portfolios having small-scale (S/L, S/M and S/H) </w:t>
      </w:r>
      <w:r w:rsidR="00940434" w:rsidRPr="006F386A">
        <w:rPr>
          <w:rFonts w:hAnsi="Times New Roman" w:cs="Times New Roman"/>
        </w:rPr>
        <w:t xml:space="preserve">and </w:t>
      </w:r>
      <w:r w:rsidRPr="006F386A">
        <w:rPr>
          <w:rFonts w:hAnsi="Times New Roman" w:cs="Times New Roman"/>
        </w:rPr>
        <w:t>has no size effect on the average returns of large-scale portfolio.</w:t>
      </w:r>
      <w:r w:rsidR="00940434" w:rsidRPr="006F386A">
        <w:rPr>
          <w:rFonts w:hAnsi="Times New Roman" w:cs="Times New Roman"/>
        </w:rPr>
        <w:t xml:space="preserve"> Whist HML </w:t>
      </w:r>
      <w:r w:rsidR="006033D2" w:rsidRPr="006F386A">
        <w:rPr>
          <w:rFonts w:hAnsi="Times New Roman" w:cs="Times New Roman"/>
        </w:rPr>
        <w:t xml:space="preserve">factor is statistically significant at 1% level indicating value effect in case of S/M, B/H, B/L and S/H  </w:t>
      </w:r>
      <w:r w:rsidRPr="006F386A">
        <w:rPr>
          <w:rFonts w:hAnsi="Times New Roman" w:cs="Times New Roman"/>
        </w:rPr>
        <w:t>portfolios</w:t>
      </w:r>
      <w:r w:rsidR="006033D2" w:rsidRPr="006F386A">
        <w:rPr>
          <w:rFonts w:hAnsi="Times New Roman" w:cs="Times New Roman"/>
        </w:rPr>
        <w:t xml:space="preserve"> but shows no effect on S/L and B/M</w:t>
      </w:r>
      <w:r w:rsidRPr="006F386A">
        <w:rPr>
          <w:rFonts w:hAnsi="Times New Roman" w:cs="Times New Roman"/>
        </w:rPr>
        <w:t xml:space="preserve">. </w:t>
      </w:r>
      <w:r w:rsidR="006033D2" w:rsidRPr="006F386A">
        <w:rPr>
          <w:rFonts w:hAnsi="Times New Roman" w:cs="Times New Roman"/>
        </w:rPr>
        <w:t xml:space="preserve">Further result shows the value factor for B/L is negatively significant and contrary to popular notion that excess return on </w:t>
      </w:r>
      <w:r w:rsidRPr="006F386A">
        <w:rPr>
          <w:rFonts w:hAnsi="Times New Roman" w:cs="Times New Roman"/>
        </w:rPr>
        <w:t>(S/H) &gt; (B/H). This inconsistency means the book-to-market value impacts on the average excess returns of these observed portfolios behave in an un-systematic/ unexplained manner.</w:t>
      </w:r>
    </w:p>
    <w:p w:rsidR="00457C9A" w:rsidRPr="006F386A" w:rsidRDefault="00015875" w:rsidP="00457C9A">
      <w:pPr>
        <w:pStyle w:val="Body"/>
        <w:widowControl w:val="0"/>
        <w:spacing w:after="240"/>
        <w:jc w:val="both"/>
        <w:rPr>
          <w:rFonts w:hAnsi="Times New Roman" w:cs="Times New Roman"/>
        </w:rPr>
      </w:pPr>
      <w:r w:rsidRPr="006F386A">
        <w:rPr>
          <w:rFonts w:hAnsi="Times New Roman" w:cs="Times New Roman"/>
        </w:rPr>
        <w:t xml:space="preserve">Following table illustrates the comparison </w:t>
      </w:r>
      <w:r w:rsidR="00B72280" w:rsidRPr="006F386A">
        <w:rPr>
          <w:rFonts w:hAnsi="Times New Roman" w:cs="Times New Roman"/>
        </w:rPr>
        <w:t xml:space="preserve">of Fama-French three-factor model </w:t>
      </w:r>
      <w:r w:rsidRPr="006F386A">
        <w:rPr>
          <w:rFonts w:hAnsi="Times New Roman" w:cs="Times New Roman"/>
        </w:rPr>
        <w:t>against traditional CAPM model.</w:t>
      </w:r>
    </w:p>
    <w:p w:rsidR="007504CB" w:rsidRPr="006F386A" w:rsidRDefault="007504CB" w:rsidP="007504CB">
      <w:pPr>
        <w:pStyle w:val="Body"/>
        <w:spacing w:after="240"/>
        <w:rPr>
          <w:rFonts w:hAnsi="Times New Roman" w:cs="Times New Roman"/>
          <w:i/>
          <w:iCs/>
          <w:sz w:val="20"/>
          <w:szCs w:val="20"/>
        </w:rPr>
      </w:pPr>
    </w:p>
    <w:p w:rsidR="007504CB" w:rsidRPr="006F386A" w:rsidRDefault="007504CB" w:rsidP="007504CB">
      <w:pPr>
        <w:pStyle w:val="Body"/>
        <w:spacing w:line="360" w:lineRule="auto"/>
        <w:jc w:val="both"/>
        <w:rPr>
          <w:rFonts w:hAnsi="Times New Roman" w:cs="Times New Roman"/>
        </w:rPr>
      </w:pPr>
    </w:p>
    <w:p w:rsidR="007504CB" w:rsidRPr="006F386A" w:rsidRDefault="007504CB" w:rsidP="007504CB">
      <w:pPr>
        <w:pStyle w:val="Caption"/>
        <w:keepNext/>
        <w:jc w:val="both"/>
        <w:rPr>
          <w:color w:val="000000" w:themeColor="text1"/>
          <w:sz w:val="22"/>
          <w:szCs w:val="22"/>
        </w:rPr>
      </w:pPr>
      <w:r w:rsidRPr="006F386A">
        <w:rPr>
          <w:color w:val="000000" w:themeColor="text1"/>
          <w:sz w:val="22"/>
          <w:szCs w:val="22"/>
        </w:rPr>
        <w:lastRenderedPageBreak/>
        <w:t xml:space="preserve">Table </w:t>
      </w:r>
      <w:r w:rsidRPr="006F386A">
        <w:rPr>
          <w:color w:val="000000" w:themeColor="text1"/>
          <w:sz w:val="22"/>
          <w:szCs w:val="22"/>
        </w:rPr>
        <w:fldChar w:fldCharType="begin"/>
      </w:r>
      <w:r w:rsidRPr="006F386A">
        <w:rPr>
          <w:color w:val="000000" w:themeColor="text1"/>
          <w:sz w:val="22"/>
          <w:szCs w:val="22"/>
        </w:rPr>
        <w:instrText xml:space="preserve"> SEQ Table \* ARABIC </w:instrText>
      </w:r>
      <w:r w:rsidRPr="006F386A">
        <w:rPr>
          <w:color w:val="000000" w:themeColor="text1"/>
          <w:sz w:val="22"/>
          <w:szCs w:val="22"/>
        </w:rPr>
        <w:fldChar w:fldCharType="separate"/>
      </w:r>
      <w:r w:rsidRPr="006F386A">
        <w:rPr>
          <w:noProof/>
          <w:color w:val="000000" w:themeColor="text1"/>
          <w:sz w:val="22"/>
          <w:szCs w:val="22"/>
        </w:rPr>
        <w:t>8</w:t>
      </w:r>
      <w:r w:rsidRPr="006F386A">
        <w:rPr>
          <w:color w:val="000000" w:themeColor="text1"/>
          <w:sz w:val="22"/>
          <w:szCs w:val="22"/>
        </w:rPr>
        <w:fldChar w:fldCharType="end"/>
      </w:r>
      <w:r w:rsidRPr="006F386A">
        <w:rPr>
          <w:color w:val="000000" w:themeColor="text1"/>
          <w:sz w:val="22"/>
          <w:szCs w:val="22"/>
        </w:rPr>
        <w:t xml:space="preserve"> Adjusted R-Square, F-statistic and P-value of both models</w:t>
      </w:r>
    </w:p>
    <w:p w:rsidR="007504CB" w:rsidRPr="006F386A" w:rsidRDefault="007504CB" w:rsidP="007504CB">
      <w:pPr>
        <w:pStyle w:val="Body"/>
        <w:widowControl w:val="0"/>
        <w:spacing w:after="240"/>
        <w:jc w:val="both"/>
        <w:rPr>
          <w:rFonts w:hAnsi="Times New Roman" w:cs="Times New Roman"/>
        </w:rPr>
      </w:pPr>
      <w:r w:rsidRPr="006F386A">
        <w:rPr>
          <w:rFonts w:hAnsi="Times New Roman" w:cs="Times New Roman"/>
          <w:noProof/>
        </w:rPr>
        <w:drawing>
          <wp:inline distT="0" distB="0" distL="0" distR="0">
            <wp:extent cx="5497195" cy="2222500"/>
            <wp:effectExtent l="19050" t="0" r="825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97195" cy="2222500"/>
                    </a:xfrm>
                    <a:prstGeom prst="rect">
                      <a:avLst/>
                    </a:prstGeom>
                    <a:noFill/>
                    <a:ln w="9525">
                      <a:noFill/>
                      <a:miter lim="800000"/>
                      <a:headEnd/>
                      <a:tailEnd/>
                    </a:ln>
                  </pic:spPr>
                </pic:pic>
              </a:graphicData>
            </a:graphic>
          </wp:inline>
        </w:drawing>
      </w:r>
      <w:r w:rsidRPr="006F386A">
        <w:rPr>
          <w:rFonts w:hAnsi="Times New Roman" w:cs="Times New Roman"/>
        </w:rPr>
        <w:t xml:space="preserve"> </w:t>
      </w:r>
    </w:p>
    <w:p w:rsidR="001E54C3" w:rsidRPr="006F386A" w:rsidRDefault="001E54C3" w:rsidP="001E54C3">
      <w:pPr>
        <w:pStyle w:val="Body"/>
        <w:widowControl w:val="0"/>
        <w:spacing w:after="240"/>
        <w:jc w:val="center"/>
        <w:rPr>
          <w:rFonts w:hAnsi="Times New Roman" w:cs="Times New Roman"/>
        </w:rPr>
      </w:pPr>
    </w:p>
    <w:p w:rsidR="00F43885" w:rsidRPr="006F386A" w:rsidRDefault="00B72280">
      <w:pPr>
        <w:pStyle w:val="Default"/>
        <w:spacing w:after="240"/>
        <w:jc w:val="both"/>
        <w:rPr>
          <w:rFonts w:ascii="Times New Roman" w:eastAsia="Times New Roman" w:hAnsi="Times New Roman" w:cs="Times New Roman"/>
          <w:b/>
          <w:bCs/>
        </w:rPr>
      </w:pPr>
      <w:r w:rsidRPr="006F386A">
        <w:rPr>
          <w:rFonts w:ascii="Times New Roman" w:hAnsi="Times New Roman" w:cs="Times New Roman"/>
        </w:rPr>
        <w:t>As can be seen from the table</w:t>
      </w:r>
      <w:r w:rsidR="00457C9A" w:rsidRPr="006F386A">
        <w:rPr>
          <w:rFonts w:ascii="Times New Roman" w:hAnsi="Times New Roman" w:cs="Times New Roman"/>
        </w:rPr>
        <w:t xml:space="preserve"> 8</w:t>
      </w:r>
      <w:r w:rsidRPr="006F386A">
        <w:rPr>
          <w:rFonts w:ascii="Times New Roman" w:hAnsi="Times New Roman" w:cs="Times New Roman"/>
        </w:rPr>
        <w:t xml:space="preserve"> above,</w:t>
      </w:r>
      <w:r w:rsidR="00015875" w:rsidRPr="006F386A">
        <w:rPr>
          <w:rFonts w:ascii="Times New Roman" w:hAnsi="Times New Roman" w:cs="Times New Roman"/>
        </w:rPr>
        <w:t xml:space="preserve"> all p-value of F-statistics for </w:t>
      </w:r>
      <w:r w:rsidRPr="006F386A">
        <w:rPr>
          <w:rFonts w:ascii="Times New Roman" w:hAnsi="Times New Roman" w:cs="Times New Roman"/>
        </w:rPr>
        <w:t>both</w:t>
      </w:r>
      <w:r w:rsidR="00015875" w:rsidRPr="006F386A">
        <w:rPr>
          <w:rFonts w:ascii="Times New Roman" w:hAnsi="Times New Roman" w:cs="Times New Roman"/>
        </w:rPr>
        <w:t xml:space="preserve"> Fama and French and CAPM is significant (p value &lt;</w:t>
      </w:r>
      <w:r w:rsidRPr="006F386A">
        <w:rPr>
          <w:rFonts w:ascii="Times New Roman" w:hAnsi="Times New Roman" w:cs="Times New Roman"/>
        </w:rPr>
        <w:t xml:space="preserve"> 0.05 level</w:t>
      </w:r>
      <w:r w:rsidR="00015875" w:rsidRPr="006F386A">
        <w:rPr>
          <w:rFonts w:ascii="Times New Roman" w:hAnsi="Times New Roman" w:cs="Times New Roman"/>
        </w:rPr>
        <w:t>) thus</w:t>
      </w:r>
      <w:r w:rsidRPr="006F386A">
        <w:rPr>
          <w:rFonts w:ascii="Times New Roman" w:hAnsi="Times New Roman" w:cs="Times New Roman"/>
        </w:rPr>
        <w:t xml:space="preserve"> both models are robust in the LSE market FTSE100 during the estimated period. </w:t>
      </w:r>
      <w:r w:rsidR="00015875" w:rsidRPr="006F386A">
        <w:rPr>
          <w:rFonts w:ascii="Times New Roman" w:hAnsi="Times New Roman" w:cs="Times New Roman"/>
        </w:rPr>
        <w:t>Meanwhile t</w:t>
      </w:r>
      <w:r w:rsidRPr="006F386A">
        <w:rPr>
          <w:rFonts w:ascii="Times New Roman" w:hAnsi="Times New Roman" w:cs="Times New Roman"/>
        </w:rPr>
        <w:t>he high A</w:t>
      </w:r>
      <w:r w:rsidR="00015875" w:rsidRPr="006F386A">
        <w:rPr>
          <w:rFonts w:ascii="Times New Roman" w:hAnsi="Times New Roman" w:cs="Times New Roman"/>
        </w:rPr>
        <w:t>djusted R-squared values reflect that</w:t>
      </w:r>
      <w:r w:rsidRPr="006F386A">
        <w:rPr>
          <w:rFonts w:ascii="Times New Roman" w:hAnsi="Times New Roman" w:cs="Times New Roman"/>
        </w:rPr>
        <w:t xml:space="preserve"> the Fama-French three-factor model outperforms CAPM model </w:t>
      </w:r>
      <w:r w:rsidR="00015875" w:rsidRPr="006F386A">
        <w:rPr>
          <w:rFonts w:ascii="Times New Roman" w:hAnsi="Times New Roman" w:cs="Times New Roman"/>
        </w:rPr>
        <w:t>as</w:t>
      </w:r>
      <w:r w:rsidRPr="006F386A">
        <w:rPr>
          <w:rFonts w:ascii="Times New Roman" w:hAnsi="Times New Roman" w:cs="Times New Roman"/>
        </w:rPr>
        <w:t xml:space="preserve">Adjusted R-square of the former </w:t>
      </w:r>
      <w:r w:rsidR="00015875" w:rsidRPr="006F386A">
        <w:rPr>
          <w:rFonts w:ascii="Times New Roman" w:hAnsi="Times New Roman" w:cs="Times New Roman"/>
        </w:rPr>
        <w:t>(the range of 52.6% - 85.1%) are</w:t>
      </w:r>
      <w:r w:rsidRPr="006F386A">
        <w:rPr>
          <w:rFonts w:ascii="Times New Roman" w:hAnsi="Times New Roman" w:cs="Times New Roman"/>
        </w:rPr>
        <w:t xml:space="preserve"> higher than that of the latter (the range of 46.5% - 67.3%) in all portfolios, particularly in portfolios including high book-to-market value stocks (S/H, B/H). In other words, the average of 74% difference in portfolio expected returns is explained by three-factor Model whilst the average of 67.2% in portfolio expected returns is explained by CAPM Model</w:t>
      </w:r>
      <w:r w:rsidRPr="006F386A">
        <w:rPr>
          <w:rFonts w:ascii="Times New Roman" w:hAnsi="Times New Roman" w:cs="Times New Roman"/>
          <w:b/>
          <w:bCs/>
        </w:rPr>
        <w:t xml:space="preserve">. </w:t>
      </w:r>
    </w:p>
    <w:p w:rsidR="00F43885" w:rsidRPr="006F386A" w:rsidRDefault="00B72280" w:rsidP="00457C9A">
      <w:pPr>
        <w:pStyle w:val="Default"/>
        <w:widowControl w:val="0"/>
        <w:spacing w:after="240"/>
        <w:jc w:val="both"/>
        <w:rPr>
          <w:rFonts w:ascii="Times New Roman" w:hAnsi="Times New Roman" w:cs="Times New Roman"/>
          <w:b/>
          <w:bCs/>
        </w:rPr>
      </w:pPr>
      <w:r w:rsidRPr="006F386A">
        <w:rPr>
          <w:rFonts w:ascii="Times New Roman" w:hAnsi="Times New Roman" w:cs="Times New Roman"/>
        </w:rPr>
        <w:t>Additionall</w:t>
      </w:r>
      <w:r w:rsidR="00457C9A" w:rsidRPr="006F386A">
        <w:rPr>
          <w:rFonts w:ascii="Times New Roman" w:hAnsi="Times New Roman" w:cs="Times New Roman"/>
        </w:rPr>
        <w:t>y, table 8</w:t>
      </w:r>
      <w:r w:rsidRPr="006F386A">
        <w:rPr>
          <w:rFonts w:ascii="Times New Roman" w:hAnsi="Times New Roman" w:cs="Times New Roman"/>
        </w:rPr>
        <w:t xml:space="preserve"> </w:t>
      </w:r>
      <w:r w:rsidR="00457C9A" w:rsidRPr="006F386A">
        <w:rPr>
          <w:rFonts w:ascii="Times New Roman" w:hAnsi="Times New Roman" w:cs="Times New Roman"/>
        </w:rPr>
        <w:t xml:space="preserve"> shows that </w:t>
      </w:r>
      <w:r w:rsidRPr="006F386A">
        <w:rPr>
          <w:rFonts w:ascii="Times New Roman" w:hAnsi="Times New Roman" w:cs="Times New Roman"/>
        </w:rPr>
        <w:t xml:space="preserve">the absolute pricing errors or values of the average intercepts of Fama-French model are less than those of traditional CAPM model. This means </w:t>
      </w:r>
      <w:r w:rsidR="00457C9A" w:rsidRPr="006F386A">
        <w:rPr>
          <w:rFonts w:ascii="Times New Roman" w:hAnsi="Times New Roman" w:cs="Times New Roman"/>
        </w:rPr>
        <w:t xml:space="preserve">during the estimated period </w:t>
      </w:r>
      <w:r w:rsidRPr="006F386A">
        <w:rPr>
          <w:rFonts w:ascii="Times New Roman" w:hAnsi="Times New Roman" w:cs="Times New Roman"/>
        </w:rPr>
        <w:t>if the average absolute intercepts are emplo</w:t>
      </w:r>
      <w:r w:rsidR="00457C9A" w:rsidRPr="006F386A">
        <w:rPr>
          <w:rFonts w:ascii="Times New Roman" w:hAnsi="Times New Roman" w:cs="Times New Roman"/>
        </w:rPr>
        <w:t>yed to compare these two models then</w:t>
      </w:r>
      <w:r w:rsidRPr="006F386A">
        <w:rPr>
          <w:rFonts w:ascii="Times New Roman" w:hAnsi="Times New Roman" w:cs="Times New Roman"/>
        </w:rPr>
        <w:t xml:space="preserve"> the Fama-French model is superior to CAPM for all six observed portfolios. Hence, the conclusion drawn from the time series regression test is consistent with the author’s expectation and what Fama and French claims as well as results of many prior researches such as the study of Al-Mwalla and Karasneh</w:t>
      </w:r>
      <w:r w:rsidR="00873643" w:rsidRPr="006F386A">
        <w:rPr>
          <w:rFonts w:ascii="Times New Roman" w:hAnsi="Times New Roman" w:cs="Times New Roman"/>
        </w:rPr>
        <w:t xml:space="preserve"> [14]</w:t>
      </w:r>
      <w:r w:rsidRPr="006F386A">
        <w:rPr>
          <w:rFonts w:ascii="Times New Roman" w:hAnsi="Times New Roman" w:cs="Times New Roman"/>
        </w:rPr>
        <w:t>, and Bhatnagar and Ramlogan</w:t>
      </w:r>
      <w:r w:rsidR="00873643" w:rsidRPr="006F386A">
        <w:rPr>
          <w:rFonts w:ascii="Times New Roman" w:hAnsi="Times New Roman" w:cs="Times New Roman"/>
        </w:rPr>
        <w:t xml:space="preserve"> [44]</w:t>
      </w:r>
      <w:r w:rsidRPr="006F386A">
        <w:rPr>
          <w:rFonts w:ascii="Times New Roman" w:hAnsi="Times New Roman" w:cs="Times New Roman"/>
        </w:rPr>
        <w:t>.</w:t>
      </w:r>
    </w:p>
    <w:p w:rsidR="00F43885" w:rsidRPr="006F386A" w:rsidRDefault="00F43885">
      <w:pPr>
        <w:pStyle w:val="Body"/>
        <w:spacing w:before="240" w:line="360" w:lineRule="auto"/>
        <w:jc w:val="center"/>
        <w:rPr>
          <w:rFonts w:hAnsi="Times New Roman" w:cs="Times New Roman"/>
          <w:b/>
          <w:bCs/>
        </w:rPr>
      </w:pPr>
    </w:p>
    <w:p w:rsidR="00F43885" w:rsidRPr="006F386A" w:rsidRDefault="00B72280">
      <w:pPr>
        <w:pStyle w:val="Heading2"/>
        <w:rPr>
          <w:rFonts w:hAnsi="Times New Roman" w:cs="Times New Roman"/>
        </w:rPr>
      </w:pPr>
      <w:r w:rsidRPr="006F386A">
        <w:rPr>
          <w:rFonts w:hAnsi="Times New Roman" w:cs="Times New Roman"/>
        </w:rPr>
        <w:t>5. Conclusion</w:t>
      </w:r>
    </w:p>
    <w:p w:rsidR="00F43885" w:rsidRPr="006F386A" w:rsidRDefault="00457C9A">
      <w:pPr>
        <w:pStyle w:val="Body"/>
        <w:spacing w:before="240" w:after="240"/>
        <w:jc w:val="both"/>
        <w:rPr>
          <w:rFonts w:hAnsi="Times New Roman" w:cs="Times New Roman"/>
        </w:rPr>
      </w:pPr>
      <w:r w:rsidRPr="006F386A">
        <w:rPr>
          <w:rFonts w:hAnsi="Times New Roman" w:cs="Times New Roman"/>
        </w:rPr>
        <w:t xml:space="preserve">This study </w:t>
      </w:r>
      <w:r w:rsidR="00B72280" w:rsidRPr="006F386A">
        <w:rPr>
          <w:rFonts w:hAnsi="Times New Roman" w:cs="Times New Roman"/>
        </w:rPr>
        <w:t>investigate the robustness of Fama and French three-factor model on London Stock Exchange FTSE100 over 5 years from 2009</w:t>
      </w:r>
      <w:r w:rsidRPr="006F386A">
        <w:rPr>
          <w:rFonts w:hAnsi="Times New Roman" w:cs="Times New Roman"/>
        </w:rPr>
        <w:t xml:space="preserve"> post global financial crisis</w:t>
      </w:r>
      <w:r w:rsidR="0094762C" w:rsidRPr="006F386A">
        <w:rPr>
          <w:rFonts w:hAnsi="Times New Roman" w:cs="Times New Roman"/>
        </w:rPr>
        <w:t xml:space="preserve"> and compare it to the traditional CAPM model. T</w:t>
      </w:r>
      <w:r w:rsidR="00B72280" w:rsidRPr="006F386A">
        <w:rPr>
          <w:rFonts w:hAnsi="Times New Roman" w:cs="Times New Roman"/>
        </w:rPr>
        <w:t>he author has constructed 6 portfolios from 94 stocks upon on firm size and book-to-market value as the studies of Fama and French</w:t>
      </w:r>
      <w:r w:rsidR="00873643" w:rsidRPr="006F386A">
        <w:rPr>
          <w:rFonts w:hAnsi="Times New Roman" w:cs="Times New Roman"/>
        </w:rPr>
        <w:t xml:space="preserve"> [11]; Lui, Strong and Xu [54] </w:t>
      </w:r>
      <w:r w:rsidR="00B72280" w:rsidRPr="006F386A">
        <w:rPr>
          <w:rFonts w:hAnsi="Times New Roman" w:cs="Times New Roman"/>
        </w:rPr>
        <w:t xml:space="preserve">; </w:t>
      </w:r>
      <w:r w:rsidR="00873643" w:rsidRPr="006F386A">
        <w:rPr>
          <w:rFonts w:hAnsi="Times New Roman" w:cs="Times New Roman"/>
        </w:rPr>
        <w:t>Al-Horani, Pope and Stark [39]</w:t>
      </w:r>
      <w:r w:rsidR="00B72280" w:rsidRPr="006F386A">
        <w:rPr>
          <w:rFonts w:hAnsi="Times New Roman" w:cs="Times New Roman"/>
        </w:rPr>
        <w:t xml:space="preserve">. </w:t>
      </w:r>
      <w:r w:rsidR="0094762C" w:rsidRPr="006F386A">
        <w:rPr>
          <w:rFonts w:hAnsi="Times New Roman" w:cs="Times New Roman"/>
        </w:rPr>
        <w:t>The</w:t>
      </w:r>
      <w:r w:rsidR="00B72280" w:rsidRPr="006F386A">
        <w:rPr>
          <w:rFonts w:hAnsi="Times New Roman" w:cs="Times New Roman"/>
        </w:rPr>
        <w:t xml:space="preserve"> model is found to produce the significant results on the UK market over the estimated period </w:t>
      </w:r>
      <w:r w:rsidR="008658E7" w:rsidRPr="006F386A">
        <w:rPr>
          <w:rFonts w:hAnsi="Times New Roman" w:cs="Times New Roman"/>
        </w:rPr>
        <w:t>which can be summarized below.</w:t>
      </w:r>
    </w:p>
    <w:p w:rsidR="00F43885" w:rsidRPr="006F386A" w:rsidRDefault="00B72280" w:rsidP="008658E7">
      <w:pPr>
        <w:pStyle w:val="Body"/>
        <w:spacing w:after="240"/>
        <w:jc w:val="both"/>
        <w:rPr>
          <w:rFonts w:hAnsi="Times New Roman" w:cs="Times New Roman"/>
        </w:rPr>
      </w:pPr>
      <w:r w:rsidRPr="006F386A">
        <w:rPr>
          <w:rFonts w:hAnsi="Times New Roman" w:cs="Times New Roman"/>
          <w:b/>
          <w:bCs/>
        </w:rPr>
        <w:t>(1)</w:t>
      </w:r>
      <w:r w:rsidR="0094762C" w:rsidRPr="006F386A">
        <w:rPr>
          <w:rFonts w:hAnsi="Times New Roman" w:cs="Times New Roman"/>
        </w:rPr>
        <w:t xml:space="preserve"> The market factor is observed to be significant in explaining </w:t>
      </w:r>
      <w:r w:rsidRPr="006F386A">
        <w:rPr>
          <w:rFonts w:hAnsi="Times New Roman" w:cs="Times New Roman"/>
        </w:rPr>
        <w:t>expected average returns of six observed portfolios (S/l, S/M, S/H, B/L, B/M and B/H</w:t>
      </w:r>
      <w:r w:rsidR="008658E7" w:rsidRPr="006F386A">
        <w:rPr>
          <w:rFonts w:hAnsi="Times New Roman" w:cs="Times New Roman"/>
        </w:rPr>
        <w:t xml:space="preserve"> . Meanwhile the value effect is also</w:t>
      </w:r>
      <w:r w:rsidRPr="006F386A">
        <w:rPr>
          <w:rFonts w:hAnsi="Times New Roman" w:cs="Times New Roman"/>
        </w:rPr>
        <w:t xml:space="preserve"> significant at 1% in 4</w:t>
      </w:r>
      <w:r w:rsidR="008658E7" w:rsidRPr="006F386A">
        <w:rPr>
          <w:rFonts w:hAnsi="Times New Roman" w:cs="Times New Roman"/>
        </w:rPr>
        <w:t xml:space="preserve"> out of </w:t>
      </w:r>
      <w:r w:rsidRPr="006F386A">
        <w:rPr>
          <w:rFonts w:hAnsi="Times New Roman" w:cs="Times New Roman"/>
        </w:rPr>
        <w:t>6 observed portfolios (S/M, S/H, B/L and B/H).</w:t>
      </w:r>
      <w:r w:rsidR="008658E7" w:rsidRPr="006F386A">
        <w:rPr>
          <w:rFonts w:hAnsi="Times New Roman" w:cs="Times New Roman"/>
        </w:rPr>
        <w:t xml:space="preserve"> But the size </w:t>
      </w:r>
      <w:r w:rsidR="008658E7" w:rsidRPr="006F386A">
        <w:rPr>
          <w:rFonts w:hAnsi="Times New Roman" w:cs="Times New Roman"/>
        </w:rPr>
        <w:lastRenderedPageBreak/>
        <w:t xml:space="preserve">effect was seen to be </w:t>
      </w:r>
      <w:r w:rsidRPr="006F386A">
        <w:rPr>
          <w:rFonts w:hAnsi="Times New Roman" w:cs="Times New Roman"/>
        </w:rPr>
        <w:t>significant at 1</w:t>
      </w:r>
      <w:r w:rsidR="008658E7" w:rsidRPr="006F386A">
        <w:rPr>
          <w:rFonts w:hAnsi="Times New Roman" w:cs="Times New Roman"/>
        </w:rPr>
        <w:t>% in</w:t>
      </w:r>
      <w:r w:rsidRPr="006F386A">
        <w:rPr>
          <w:rFonts w:hAnsi="Times New Roman" w:cs="Times New Roman"/>
        </w:rPr>
        <w:t xml:space="preserve"> describing </w:t>
      </w:r>
      <w:r w:rsidR="008658E7" w:rsidRPr="006F386A">
        <w:rPr>
          <w:rFonts w:hAnsi="Times New Roman" w:cs="Times New Roman"/>
        </w:rPr>
        <w:t xml:space="preserve"> only </w:t>
      </w:r>
      <w:r w:rsidRPr="006F386A">
        <w:rPr>
          <w:rFonts w:hAnsi="Times New Roman" w:cs="Times New Roman"/>
        </w:rPr>
        <w:t>small-scale portfolios</w:t>
      </w:r>
      <w:r w:rsidR="008658E7" w:rsidRPr="006F386A">
        <w:rPr>
          <w:rFonts w:hAnsi="Times New Roman" w:cs="Times New Roman"/>
        </w:rPr>
        <w:t xml:space="preserve"> (S/L, S/M, S/H)</w:t>
      </w:r>
      <w:r w:rsidRPr="006F386A">
        <w:rPr>
          <w:rFonts w:hAnsi="Times New Roman" w:cs="Times New Roman"/>
        </w:rPr>
        <w:t xml:space="preserve"> returns but it has no effect on the average returns of large-scale portfolio. </w:t>
      </w:r>
    </w:p>
    <w:p w:rsidR="00F43885" w:rsidRPr="006F386A" w:rsidRDefault="00B72280">
      <w:pPr>
        <w:pStyle w:val="Body"/>
        <w:spacing w:after="240"/>
        <w:jc w:val="both"/>
        <w:rPr>
          <w:rFonts w:hAnsi="Times New Roman" w:cs="Times New Roman"/>
        </w:rPr>
      </w:pPr>
      <w:r w:rsidRPr="006F386A">
        <w:rPr>
          <w:rFonts w:hAnsi="Times New Roman" w:cs="Times New Roman"/>
          <w:b/>
          <w:bCs/>
        </w:rPr>
        <w:t>(2)</w:t>
      </w:r>
      <w:r w:rsidRPr="006F386A">
        <w:rPr>
          <w:rFonts w:hAnsi="Times New Roman" w:cs="Times New Roman"/>
        </w:rPr>
        <w:t xml:space="preserve"> </w:t>
      </w:r>
      <w:r w:rsidR="008658E7" w:rsidRPr="006F386A">
        <w:rPr>
          <w:rFonts w:hAnsi="Times New Roman" w:cs="Times New Roman"/>
        </w:rPr>
        <w:t xml:space="preserve">In addition to </w:t>
      </w:r>
      <w:r w:rsidRPr="006F386A">
        <w:rPr>
          <w:rFonts w:hAnsi="Times New Roman" w:cs="Times New Roman"/>
        </w:rPr>
        <w:t>three risk factors (market, size and value) together in Fama-French three-factor model, and market risk factor in traditional CAPM model has explanatory power the substantial part of the monthly excess returns difference of each portfolio at the significant level of 1%.</w:t>
      </w:r>
    </w:p>
    <w:p w:rsidR="00F43885" w:rsidRPr="006F386A" w:rsidRDefault="00B72280">
      <w:pPr>
        <w:pStyle w:val="Body"/>
        <w:spacing w:after="240"/>
        <w:jc w:val="both"/>
        <w:rPr>
          <w:rFonts w:hAnsi="Times New Roman" w:cs="Times New Roman"/>
        </w:rPr>
      </w:pPr>
      <w:r w:rsidRPr="006F386A">
        <w:rPr>
          <w:rFonts w:hAnsi="Times New Roman" w:cs="Times New Roman"/>
          <w:b/>
          <w:bCs/>
        </w:rPr>
        <w:t xml:space="preserve">(3) </w:t>
      </w:r>
      <w:r w:rsidRPr="006F386A">
        <w:rPr>
          <w:rFonts w:hAnsi="Times New Roman" w:cs="Times New Roman"/>
        </w:rPr>
        <w:t>Furthermore, the performance of Fama-French three-factor model was</w:t>
      </w:r>
      <w:r w:rsidR="008658E7" w:rsidRPr="006F386A">
        <w:rPr>
          <w:rFonts w:hAnsi="Times New Roman" w:cs="Times New Roman"/>
        </w:rPr>
        <w:t xml:space="preserve"> found</w:t>
      </w:r>
      <w:r w:rsidRPr="006F386A">
        <w:rPr>
          <w:rFonts w:hAnsi="Times New Roman" w:cs="Times New Roman"/>
        </w:rPr>
        <w:t xml:space="preserve"> to be superior to CAPM model</w:t>
      </w:r>
      <w:r w:rsidR="008658E7" w:rsidRPr="006F386A">
        <w:rPr>
          <w:rFonts w:hAnsi="Times New Roman" w:cs="Times New Roman"/>
        </w:rPr>
        <w:t xml:space="preserve"> in terms of Adjusted-R square</w:t>
      </w:r>
      <w:r w:rsidR="00544A81" w:rsidRPr="006F386A">
        <w:rPr>
          <w:rFonts w:hAnsi="Times New Roman" w:cs="Times New Roman"/>
        </w:rPr>
        <w:t xml:space="preserve"> which</w:t>
      </w:r>
      <w:r w:rsidRPr="006F386A">
        <w:rPr>
          <w:rFonts w:hAnsi="Times New Roman" w:cs="Times New Roman"/>
        </w:rPr>
        <w:t xml:space="preserve"> </w:t>
      </w:r>
      <w:r w:rsidR="00544A81" w:rsidRPr="006F386A">
        <w:rPr>
          <w:rFonts w:hAnsi="Times New Roman" w:cs="Times New Roman"/>
        </w:rPr>
        <w:t xml:space="preserve">is consistent with the </w:t>
      </w:r>
      <w:r w:rsidRPr="006F386A">
        <w:rPr>
          <w:rFonts w:hAnsi="Times New Roman" w:cs="Times New Roman"/>
        </w:rPr>
        <w:t>pri</w:t>
      </w:r>
      <w:r w:rsidR="00544A81" w:rsidRPr="006F386A">
        <w:rPr>
          <w:rFonts w:hAnsi="Times New Roman" w:cs="Times New Roman"/>
        </w:rPr>
        <w:t>or researche</w:t>
      </w:r>
      <w:r w:rsidRPr="006F386A">
        <w:rPr>
          <w:rFonts w:hAnsi="Times New Roman" w:cs="Times New Roman"/>
        </w:rPr>
        <w:t xml:space="preserve">of Al-Mwalla and Karasneh </w:t>
      </w:r>
      <w:r w:rsidR="00873643" w:rsidRPr="006F386A">
        <w:rPr>
          <w:rFonts w:hAnsi="Times New Roman" w:cs="Times New Roman"/>
        </w:rPr>
        <w:t xml:space="preserve">[14] </w:t>
      </w:r>
      <w:r w:rsidRPr="006F386A">
        <w:rPr>
          <w:rFonts w:hAnsi="Times New Roman" w:cs="Times New Roman"/>
        </w:rPr>
        <w:t>a</w:t>
      </w:r>
      <w:r w:rsidR="00873643" w:rsidRPr="006F386A">
        <w:rPr>
          <w:rFonts w:hAnsi="Times New Roman" w:cs="Times New Roman"/>
        </w:rPr>
        <w:t>nd Bhatnagar and Ramlogan [44]</w:t>
      </w:r>
      <w:r w:rsidRPr="006F386A">
        <w:rPr>
          <w:rFonts w:hAnsi="Times New Roman" w:cs="Times New Roman"/>
        </w:rPr>
        <w:t>.</w:t>
      </w:r>
    </w:p>
    <w:p w:rsidR="00F43885" w:rsidRPr="006F386A" w:rsidRDefault="00F43885" w:rsidP="00544A81">
      <w:pPr>
        <w:pStyle w:val="Body"/>
        <w:spacing w:after="240"/>
        <w:jc w:val="both"/>
        <w:rPr>
          <w:rFonts w:hAnsi="Times New Roman" w:cs="Times New Roman"/>
        </w:rPr>
      </w:pPr>
    </w:p>
    <w:p w:rsidR="00F43885" w:rsidRPr="006F386A" w:rsidRDefault="00F43885">
      <w:pPr>
        <w:pStyle w:val="Body"/>
        <w:rPr>
          <w:rFonts w:hAnsi="Times New Roman" w:cs="Times New Roman"/>
          <w:i/>
          <w:iCs/>
          <w:sz w:val="20"/>
          <w:szCs w:val="20"/>
        </w:rPr>
      </w:pPr>
    </w:p>
    <w:p w:rsidR="00F43885" w:rsidRPr="006F386A" w:rsidRDefault="00F43885">
      <w:pPr>
        <w:pStyle w:val="Body"/>
        <w:rPr>
          <w:rFonts w:hAnsi="Times New Roman" w:cs="Times New Roman"/>
          <w:i/>
          <w:iCs/>
          <w:sz w:val="20"/>
          <w:szCs w:val="20"/>
        </w:rPr>
      </w:pPr>
    </w:p>
    <w:p w:rsidR="00F43885" w:rsidRPr="006F386A" w:rsidRDefault="00F43885">
      <w:pPr>
        <w:pStyle w:val="Body"/>
        <w:rPr>
          <w:rFonts w:hAnsi="Times New Roman" w:cs="Times New Roman"/>
          <w:i/>
          <w:iCs/>
          <w:sz w:val="20"/>
          <w:szCs w:val="20"/>
        </w:rPr>
      </w:pPr>
    </w:p>
    <w:p w:rsidR="00F43885" w:rsidRPr="006F386A" w:rsidRDefault="00F43885">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Default="007504CB">
      <w:pPr>
        <w:pStyle w:val="Body"/>
        <w:rPr>
          <w:rFonts w:hAnsi="Times New Roman" w:cs="Times New Roman"/>
          <w:i/>
          <w:iCs/>
          <w:sz w:val="20"/>
          <w:szCs w:val="20"/>
        </w:rPr>
      </w:pPr>
    </w:p>
    <w:p w:rsidR="00A704CB" w:rsidRDefault="00A704CB">
      <w:pPr>
        <w:pStyle w:val="Body"/>
        <w:rPr>
          <w:rFonts w:hAnsi="Times New Roman" w:cs="Times New Roman"/>
          <w:i/>
          <w:iCs/>
          <w:sz w:val="20"/>
          <w:szCs w:val="20"/>
        </w:rPr>
      </w:pPr>
    </w:p>
    <w:p w:rsidR="00A704CB" w:rsidRDefault="00A704CB">
      <w:pPr>
        <w:pStyle w:val="Body"/>
        <w:rPr>
          <w:rFonts w:hAnsi="Times New Roman" w:cs="Times New Roman"/>
          <w:i/>
          <w:iCs/>
          <w:sz w:val="20"/>
          <w:szCs w:val="20"/>
        </w:rPr>
      </w:pPr>
    </w:p>
    <w:p w:rsidR="00A704CB" w:rsidRDefault="00A704CB">
      <w:pPr>
        <w:pStyle w:val="Body"/>
        <w:rPr>
          <w:rFonts w:hAnsi="Times New Roman" w:cs="Times New Roman"/>
          <w:i/>
          <w:iCs/>
          <w:sz w:val="20"/>
          <w:szCs w:val="20"/>
        </w:rPr>
      </w:pPr>
    </w:p>
    <w:p w:rsidR="00A704CB" w:rsidRDefault="00A704CB">
      <w:pPr>
        <w:pStyle w:val="Body"/>
        <w:rPr>
          <w:rFonts w:hAnsi="Times New Roman" w:cs="Times New Roman"/>
          <w:i/>
          <w:iCs/>
          <w:sz w:val="20"/>
          <w:szCs w:val="20"/>
        </w:rPr>
      </w:pPr>
    </w:p>
    <w:p w:rsidR="00A704CB" w:rsidRDefault="00A704CB">
      <w:pPr>
        <w:pStyle w:val="Body"/>
        <w:rPr>
          <w:rFonts w:hAnsi="Times New Roman" w:cs="Times New Roman"/>
          <w:i/>
          <w:iCs/>
          <w:sz w:val="20"/>
          <w:szCs w:val="20"/>
        </w:rPr>
      </w:pPr>
    </w:p>
    <w:p w:rsidR="00A704CB" w:rsidRDefault="00A704CB">
      <w:pPr>
        <w:pStyle w:val="Body"/>
        <w:rPr>
          <w:rFonts w:hAnsi="Times New Roman" w:cs="Times New Roman"/>
          <w:i/>
          <w:iCs/>
          <w:sz w:val="20"/>
          <w:szCs w:val="20"/>
        </w:rPr>
      </w:pPr>
    </w:p>
    <w:p w:rsidR="00A704CB" w:rsidRDefault="00A704CB">
      <w:pPr>
        <w:pStyle w:val="Body"/>
        <w:rPr>
          <w:rFonts w:hAnsi="Times New Roman" w:cs="Times New Roman"/>
          <w:i/>
          <w:iCs/>
          <w:sz w:val="20"/>
          <w:szCs w:val="20"/>
        </w:rPr>
      </w:pPr>
    </w:p>
    <w:p w:rsidR="00A704CB" w:rsidRDefault="00A704CB">
      <w:pPr>
        <w:pStyle w:val="Body"/>
        <w:rPr>
          <w:rFonts w:hAnsi="Times New Roman" w:cs="Times New Roman"/>
          <w:i/>
          <w:iCs/>
          <w:sz w:val="20"/>
          <w:szCs w:val="20"/>
        </w:rPr>
      </w:pPr>
    </w:p>
    <w:p w:rsidR="00A704CB" w:rsidRDefault="00A704CB">
      <w:pPr>
        <w:pStyle w:val="Body"/>
        <w:rPr>
          <w:rFonts w:hAnsi="Times New Roman" w:cs="Times New Roman"/>
          <w:i/>
          <w:iCs/>
          <w:sz w:val="20"/>
          <w:szCs w:val="20"/>
        </w:rPr>
      </w:pPr>
    </w:p>
    <w:p w:rsidR="00A704CB" w:rsidRDefault="00A704CB">
      <w:pPr>
        <w:pStyle w:val="Body"/>
        <w:rPr>
          <w:rFonts w:hAnsi="Times New Roman" w:cs="Times New Roman"/>
          <w:i/>
          <w:iCs/>
          <w:sz w:val="20"/>
          <w:szCs w:val="20"/>
        </w:rPr>
      </w:pPr>
    </w:p>
    <w:p w:rsidR="00A704CB" w:rsidRDefault="00A704CB">
      <w:pPr>
        <w:pStyle w:val="Body"/>
        <w:rPr>
          <w:rFonts w:hAnsi="Times New Roman" w:cs="Times New Roman"/>
          <w:i/>
          <w:iCs/>
          <w:sz w:val="20"/>
          <w:szCs w:val="20"/>
        </w:rPr>
      </w:pPr>
    </w:p>
    <w:p w:rsidR="00A704CB" w:rsidRDefault="00A704CB">
      <w:pPr>
        <w:pStyle w:val="Body"/>
        <w:rPr>
          <w:rFonts w:hAnsi="Times New Roman" w:cs="Times New Roman"/>
          <w:i/>
          <w:iCs/>
          <w:sz w:val="20"/>
          <w:szCs w:val="20"/>
        </w:rPr>
      </w:pPr>
    </w:p>
    <w:p w:rsidR="00A704CB" w:rsidRDefault="00A704CB">
      <w:pPr>
        <w:pStyle w:val="Body"/>
        <w:rPr>
          <w:rFonts w:hAnsi="Times New Roman" w:cs="Times New Roman"/>
          <w:i/>
          <w:iCs/>
          <w:sz w:val="20"/>
          <w:szCs w:val="20"/>
        </w:rPr>
      </w:pPr>
    </w:p>
    <w:p w:rsidR="00A704CB" w:rsidRDefault="00A704CB">
      <w:pPr>
        <w:pStyle w:val="Body"/>
        <w:rPr>
          <w:rFonts w:hAnsi="Times New Roman" w:cs="Times New Roman"/>
          <w:i/>
          <w:iCs/>
          <w:sz w:val="20"/>
          <w:szCs w:val="20"/>
        </w:rPr>
      </w:pPr>
    </w:p>
    <w:p w:rsidR="00A704CB" w:rsidRPr="006F386A" w:rsidRDefault="00A7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7504CB" w:rsidRPr="006F386A" w:rsidRDefault="007504CB">
      <w:pPr>
        <w:pStyle w:val="Body"/>
        <w:rPr>
          <w:rFonts w:hAnsi="Times New Roman" w:cs="Times New Roman"/>
          <w:i/>
          <w:iCs/>
          <w:sz w:val="20"/>
          <w:szCs w:val="20"/>
        </w:rPr>
      </w:pPr>
    </w:p>
    <w:p w:rsidR="00F43885" w:rsidRPr="006F386A" w:rsidRDefault="00F43885">
      <w:pPr>
        <w:pStyle w:val="Body"/>
        <w:rPr>
          <w:rFonts w:hAnsi="Times New Roman" w:cs="Times New Roman"/>
          <w:i/>
          <w:iCs/>
          <w:sz w:val="20"/>
          <w:szCs w:val="20"/>
        </w:rPr>
      </w:pPr>
    </w:p>
    <w:p w:rsidR="00F43885" w:rsidRPr="006F386A" w:rsidRDefault="00F43885">
      <w:pPr>
        <w:pStyle w:val="Body"/>
        <w:rPr>
          <w:rFonts w:hAnsi="Times New Roman" w:cs="Times New Roman"/>
          <w:i/>
          <w:iCs/>
          <w:sz w:val="20"/>
          <w:szCs w:val="20"/>
        </w:rPr>
      </w:pPr>
    </w:p>
    <w:p w:rsidR="00F43885" w:rsidRPr="006F386A" w:rsidRDefault="00B72280">
      <w:pPr>
        <w:pStyle w:val="Body"/>
        <w:rPr>
          <w:rFonts w:hAnsi="Times New Roman" w:cs="Times New Roman"/>
          <w:b/>
          <w:bCs/>
          <w:sz w:val="28"/>
          <w:szCs w:val="28"/>
        </w:rPr>
      </w:pPr>
      <w:r w:rsidRPr="006F386A">
        <w:rPr>
          <w:rFonts w:hAnsi="Times New Roman" w:cs="Times New Roman"/>
          <w:b/>
          <w:bCs/>
          <w:sz w:val="28"/>
          <w:szCs w:val="28"/>
        </w:rPr>
        <w:lastRenderedPageBreak/>
        <w:t>References</w:t>
      </w:r>
    </w:p>
    <w:p w:rsidR="007504CB" w:rsidRPr="006F386A" w:rsidRDefault="007504CB">
      <w:pPr>
        <w:pStyle w:val="Body"/>
        <w:rPr>
          <w:rFonts w:hAnsi="Times New Roman" w:cs="Times New Roman"/>
          <w:b/>
          <w:bCs/>
          <w:sz w:val="28"/>
          <w:szCs w:val="28"/>
        </w:rPr>
      </w:pPr>
    </w:p>
    <w:p w:rsidR="003E6EE0" w:rsidRPr="006F386A" w:rsidRDefault="003E6EE0" w:rsidP="003E6EE0">
      <w:pPr>
        <w:pStyle w:val="Body"/>
        <w:rPr>
          <w:rFonts w:hAnsi="Times New Roman" w:cs="Times New Roman"/>
          <w:b/>
          <w:bCs/>
          <w:color w:val="000000" w:themeColor="text1"/>
        </w:rPr>
      </w:pPr>
      <w:r w:rsidRPr="006F386A">
        <w:rPr>
          <w:rFonts w:hAnsi="Times New Roman" w:cs="Times New Roman"/>
          <w:color w:val="000000" w:themeColor="text1"/>
          <w:shd w:val="clear" w:color="auto" w:fill="FEFEFE"/>
        </w:rPr>
        <w:t xml:space="preserve">[1] Ghysels, E. , Santa-Carla, P., Valkanov, R. (2005). There is a Risk-Return Tradeoff After ,The </w:t>
      </w:r>
      <w:r w:rsidRPr="006F386A">
        <w:rPr>
          <w:rFonts w:hAnsi="Times New Roman" w:cs="Times New Roman"/>
          <w:i/>
          <w:iCs/>
          <w:color w:val="000000" w:themeColor="text1"/>
          <w:shd w:val="clear" w:color="auto" w:fill="FEFEFE"/>
        </w:rPr>
        <w:t>Journal of Financial Economics</w:t>
      </w:r>
      <w:r w:rsidRPr="006F386A">
        <w:rPr>
          <w:rFonts w:hAnsi="Times New Roman" w:cs="Times New Roman"/>
          <w:color w:val="000000" w:themeColor="text1"/>
          <w:shd w:val="clear" w:color="auto" w:fill="FEFEFE"/>
        </w:rPr>
        <w:t xml:space="preserve"> , 76 (3), 509-548</w:t>
      </w:r>
    </w:p>
    <w:p w:rsidR="00E90431" w:rsidRPr="006F386A" w:rsidRDefault="00E90431">
      <w:pPr>
        <w:pStyle w:val="Body"/>
        <w:rPr>
          <w:rFonts w:hAnsi="Times New Roman" w:cs="Times New Roman"/>
          <w:color w:val="000000" w:themeColor="text1"/>
          <w:shd w:val="clear" w:color="auto" w:fill="FEFEFE"/>
        </w:rPr>
      </w:pPr>
    </w:p>
    <w:p w:rsidR="00E90431" w:rsidRPr="006F386A" w:rsidRDefault="00E90431">
      <w:pPr>
        <w:pStyle w:val="Body"/>
        <w:rPr>
          <w:rFonts w:hAnsi="Times New Roman" w:cs="Times New Roman"/>
          <w:color w:val="000000" w:themeColor="text1"/>
          <w:shd w:val="clear" w:color="auto" w:fill="FEFEFE"/>
        </w:rPr>
      </w:pPr>
    </w:p>
    <w:p w:rsidR="00E90431" w:rsidRPr="006F386A" w:rsidRDefault="00E90431" w:rsidP="00E90431">
      <w:pPr>
        <w:autoSpaceDE w:val="0"/>
        <w:autoSpaceDN w:val="0"/>
        <w:adjustRightInd w:val="0"/>
        <w:spacing w:line="360" w:lineRule="auto"/>
        <w:jc w:val="both"/>
        <w:rPr>
          <w:color w:val="000000" w:themeColor="text1"/>
          <w:shd w:val="clear" w:color="auto" w:fill="FFFFFF"/>
        </w:rPr>
      </w:pPr>
      <w:r w:rsidRPr="006F386A">
        <w:rPr>
          <w:color w:val="000000" w:themeColor="text1"/>
          <w:shd w:val="clear" w:color="auto" w:fill="FEFEFE"/>
        </w:rPr>
        <w:t>[2]</w:t>
      </w:r>
      <w:r w:rsidRPr="006F386A">
        <w:rPr>
          <w:color w:val="000000" w:themeColor="text1"/>
          <w:shd w:val="clear" w:color="auto" w:fill="FFFFFF"/>
        </w:rPr>
        <w:t xml:space="preserve"> H.</w:t>
      </w:r>
      <w:r w:rsidRPr="006F386A">
        <w:rPr>
          <w:rStyle w:val="apple-converted-space"/>
          <w:color w:val="000000" w:themeColor="text1"/>
          <w:shd w:val="clear" w:color="auto" w:fill="FFFFFF"/>
        </w:rPr>
        <w:t> </w:t>
      </w:r>
      <w:r w:rsidRPr="006F386A">
        <w:rPr>
          <w:rStyle w:val="Emphasis"/>
          <w:color w:val="000000" w:themeColor="text1"/>
          <w:shd w:val="clear" w:color="auto" w:fill="FFFFFF"/>
        </w:rPr>
        <w:t xml:space="preserve">Markowitz. </w:t>
      </w:r>
      <w:r w:rsidRPr="006F386A">
        <w:rPr>
          <w:color w:val="000000" w:themeColor="text1"/>
          <w:shd w:val="clear" w:color="auto" w:fill="FFFFFF"/>
        </w:rPr>
        <w:t>, "Portfolio Selection", "The Journal of Finance", vol. 7, no. 1., March</w:t>
      </w:r>
      <w:r w:rsidRPr="006F386A">
        <w:rPr>
          <w:rStyle w:val="apple-converted-space"/>
          <w:color w:val="000000" w:themeColor="text1"/>
          <w:shd w:val="clear" w:color="auto" w:fill="FFFFFF"/>
        </w:rPr>
        <w:t> </w:t>
      </w:r>
      <w:r w:rsidRPr="006F386A">
        <w:rPr>
          <w:rStyle w:val="Emphasis"/>
          <w:color w:val="000000" w:themeColor="text1"/>
          <w:shd w:val="clear" w:color="auto" w:fill="FFFFFF"/>
        </w:rPr>
        <w:t>1952</w:t>
      </w:r>
      <w:r w:rsidRPr="006F386A">
        <w:rPr>
          <w:color w:val="000000" w:themeColor="text1"/>
          <w:shd w:val="clear" w:color="auto" w:fill="FFFFFF"/>
        </w:rPr>
        <w:t>, pp. 77-91.</w:t>
      </w:r>
    </w:p>
    <w:p w:rsidR="007504CB" w:rsidRPr="006F386A" w:rsidRDefault="007504CB" w:rsidP="00E90431">
      <w:pPr>
        <w:autoSpaceDE w:val="0"/>
        <w:autoSpaceDN w:val="0"/>
        <w:adjustRightInd w:val="0"/>
        <w:spacing w:line="360" w:lineRule="auto"/>
        <w:jc w:val="both"/>
        <w:rPr>
          <w:lang w:bidi="ne-NP"/>
        </w:rPr>
      </w:pPr>
    </w:p>
    <w:p w:rsidR="00E90431" w:rsidRPr="006F386A" w:rsidRDefault="00E90431">
      <w:pPr>
        <w:pStyle w:val="Body"/>
        <w:rPr>
          <w:rFonts w:hAnsi="Times New Roman" w:cs="Times New Roman"/>
        </w:rPr>
      </w:pPr>
      <w:r w:rsidRPr="006F386A">
        <w:rPr>
          <w:rFonts w:hAnsi="Times New Roman" w:cs="Times New Roman"/>
          <w:b/>
          <w:bCs/>
        </w:rPr>
        <w:t xml:space="preserve"> </w:t>
      </w:r>
      <w:r w:rsidRPr="006F386A">
        <w:rPr>
          <w:rFonts w:hAnsi="Times New Roman" w:cs="Times New Roman"/>
        </w:rPr>
        <w:t>[3]</w:t>
      </w:r>
      <w:r w:rsidRPr="006F386A">
        <w:rPr>
          <w:rFonts w:hAnsi="Times New Roman" w:cs="Times New Roman"/>
          <w:b/>
          <w:bCs/>
        </w:rPr>
        <w:t xml:space="preserve"> </w:t>
      </w:r>
      <w:r w:rsidRPr="006F386A">
        <w:rPr>
          <w:rFonts w:hAnsi="Times New Roman" w:cs="Times New Roman"/>
        </w:rPr>
        <w:t xml:space="preserve">Sharpe, W. F. (1964). Capital asset prices: a theory of market equilibrium under conditions of risk, </w:t>
      </w:r>
      <w:r w:rsidRPr="006F386A">
        <w:rPr>
          <w:rFonts w:hAnsi="Times New Roman" w:cs="Times New Roman"/>
          <w:i/>
          <w:iCs/>
        </w:rPr>
        <w:t>Journal of Finance</w:t>
      </w:r>
      <w:r w:rsidRPr="006F386A">
        <w:rPr>
          <w:rFonts w:hAnsi="Times New Roman" w:cs="Times New Roman"/>
        </w:rPr>
        <w:t>, 19(3), 425-442.</w:t>
      </w:r>
    </w:p>
    <w:p w:rsidR="00392D89" w:rsidRPr="006F386A" w:rsidRDefault="00392D89">
      <w:pPr>
        <w:pStyle w:val="Body"/>
        <w:rPr>
          <w:rFonts w:hAnsi="Times New Roman" w:cs="Times New Roman"/>
        </w:rPr>
      </w:pPr>
    </w:p>
    <w:p w:rsidR="00392D89" w:rsidRPr="006F386A" w:rsidRDefault="00392D89" w:rsidP="00392D89">
      <w:pPr>
        <w:pStyle w:val="Body"/>
        <w:spacing w:before="240" w:after="240"/>
        <w:jc w:val="both"/>
        <w:rPr>
          <w:rFonts w:hAnsi="Times New Roman" w:cs="Times New Roman"/>
        </w:rPr>
      </w:pPr>
      <w:r w:rsidRPr="006F386A">
        <w:rPr>
          <w:rFonts w:hAnsi="Times New Roman" w:cs="Times New Roman"/>
        </w:rPr>
        <w:t xml:space="preserve">[4] Lintner, J. (1965). The valuation of risk assets and selection of risky investments in stock portfolios and capital budgets, </w:t>
      </w:r>
      <w:r w:rsidRPr="006F386A">
        <w:rPr>
          <w:rFonts w:hAnsi="Times New Roman" w:cs="Times New Roman"/>
          <w:i/>
          <w:iCs/>
        </w:rPr>
        <w:t>Review of Economics and Statistics</w:t>
      </w:r>
      <w:r w:rsidRPr="006F386A">
        <w:rPr>
          <w:rFonts w:hAnsi="Times New Roman" w:cs="Times New Roman"/>
        </w:rPr>
        <w:t>, 47(1), 13-37.</w:t>
      </w:r>
    </w:p>
    <w:p w:rsidR="00392D89" w:rsidRPr="006F386A" w:rsidRDefault="00904795">
      <w:pPr>
        <w:pStyle w:val="Body"/>
        <w:rPr>
          <w:rFonts w:hAnsi="Times New Roman" w:cs="Times New Roman"/>
        </w:rPr>
      </w:pPr>
      <w:r w:rsidRPr="006F386A">
        <w:rPr>
          <w:rFonts w:hAnsi="Times New Roman" w:cs="Times New Roman"/>
        </w:rPr>
        <w:t>[5]</w:t>
      </w:r>
      <w:r w:rsidRPr="006F386A">
        <w:rPr>
          <w:rFonts w:hAnsi="Times New Roman" w:cs="Times New Roman"/>
          <w:b/>
          <w:bCs/>
        </w:rPr>
        <w:t xml:space="preserve"> </w:t>
      </w:r>
      <w:r w:rsidRPr="006F386A">
        <w:rPr>
          <w:rFonts w:hAnsi="Times New Roman" w:cs="Times New Roman"/>
        </w:rPr>
        <w:t xml:space="preserve">Fama, E. F. and MacBeth, J. D. (1973). Risk, return and equilibrium: empirical tests, </w:t>
      </w:r>
      <w:r w:rsidRPr="006F386A">
        <w:rPr>
          <w:rFonts w:hAnsi="Times New Roman" w:cs="Times New Roman"/>
          <w:i/>
          <w:iCs/>
        </w:rPr>
        <w:t>Journal of Political Economy</w:t>
      </w:r>
      <w:r w:rsidRPr="006F386A">
        <w:rPr>
          <w:rFonts w:hAnsi="Times New Roman" w:cs="Times New Roman"/>
        </w:rPr>
        <w:t>, 81(3), 607-636.</w:t>
      </w:r>
    </w:p>
    <w:p w:rsidR="00402D04" w:rsidRPr="006F386A" w:rsidRDefault="00402D04">
      <w:pPr>
        <w:pStyle w:val="Body"/>
        <w:rPr>
          <w:rFonts w:hAnsi="Times New Roman" w:cs="Times New Roman"/>
        </w:rPr>
      </w:pPr>
    </w:p>
    <w:p w:rsidR="00402D04" w:rsidRPr="006F386A" w:rsidRDefault="00402D04" w:rsidP="00402D04">
      <w:pPr>
        <w:pStyle w:val="Body"/>
        <w:spacing w:after="240"/>
        <w:jc w:val="both"/>
        <w:rPr>
          <w:rFonts w:hAnsi="Times New Roman" w:cs="Times New Roman"/>
        </w:rPr>
      </w:pPr>
      <w:r w:rsidRPr="006F386A">
        <w:rPr>
          <w:rFonts w:hAnsi="Times New Roman" w:cs="Times New Roman"/>
        </w:rPr>
        <w:t xml:space="preserve">[6] Reinganum, Marc R. (1981). Misspecification of capital asset pricing: Empirical anomalies based on earnings' yields and market values, </w:t>
      </w:r>
      <w:r w:rsidRPr="006F386A">
        <w:rPr>
          <w:rFonts w:hAnsi="Times New Roman" w:cs="Times New Roman"/>
          <w:i/>
          <w:iCs/>
        </w:rPr>
        <w:t>Journal of Financial Economics</w:t>
      </w:r>
      <w:r w:rsidRPr="006F386A">
        <w:rPr>
          <w:rFonts w:hAnsi="Times New Roman" w:cs="Times New Roman"/>
        </w:rPr>
        <w:t xml:space="preserve">, 9(1), 19-46. </w:t>
      </w:r>
    </w:p>
    <w:p w:rsidR="00402D04" w:rsidRPr="006F386A" w:rsidRDefault="00402D04" w:rsidP="00402D04">
      <w:pPr>
        <w:pStyle w:val="Body"/>
        <w:spacing w:after="240"/>
        <w:jc w:val="both"/>
        <w:rPr>
          <w:rFonts w:hAnsi="Times New Roman" w:cs="Times New Roman"/>
        </w:rPr>
      </w:pPr>
      <w:r w:rsidRPr="006F386A">
        <w:rPr>
          <w:rFonts w:hAnsi="Times New Roman" w:cs="Times New Roman"/>
          <w:b/>
          <w:bCs/>
        </w:rPr>
        <w:t xml:space="preserve">[7] </w:t>
      </w:r>
      <w:r w:rsidRPr="006F386A">
        <w:rPr>
          <w:rFonts w:hAnsi="Times New Roman" w:cs="Times New Roman"/>
        </w:rPr>
        <w:t xml:space="preserve">Banz, R. W. (1981). The relationship between return and market value of common stocks, </w:t>
      </w:r>
      <w:r w:rsidRPr="006F386A">
        <w:rPr>
          <w:rFonts w:hAnsi="Times New Roman" w:cs="Times New Roman"/>
          <w:i/>
          <w:iCs/>
        </w:rPr>
        <w:t>Journal of Financial Economics</w:t>
      </w:r>
      <w:r w:rsidRPr="006F386A">
        <w:rPr>
          <w:rFonts w:hAnsi="Times New Roman" w:cs="Times New Roman"/>
        </w:rPr>
        <w:t>, 9(1), 3-18.</w:t>
      </w:r>
    </w:p>
    <w:p w:rsidR="00402D04" w:rsidRPr="006F386A" w:rsidRDefault="00402D04">
      <w:pPr>
        <w:pStyle w:val="Body"/>
        <w:rPr>
          <w:rFonts w:hAnsi="Times New Roman" w:cs="Times New Roman"/>
          <w:b/>
          <w:bCs/>
        </w:rPr>
      </w:pPr>
    </w:p>
    <w:p w:rsidR="000331FE" w:rsidRPr="006F386A" w:rsidRDefault="000331FE" w:rsidP="000331FE">
      <w:pPr>
        <w:pStyle w:val="Body"/>
        <w:spacing w:after="240"/>
        <w:jc w:val="both"/>
        <w:rPr>
          <w:rFonts w:hAnsi="Times New Roman" w:cs="Times New Roman"/>
        </w:rPr>
      </w:pPr>
      <w:r w:rsidRPr="006F386A">
        <w:rPr>
          <w:rFonts w:hAnsi="Times New Roman" w:cs="Times New Roman"/>
        </w:rPr>
        <w:t xml:space="preserve">[8] Fama, E. F. and French, K. R. (1992). The cross-section of expected stock returns, </w:t>
      </w:r>
      <w:r w:rsidRPr="006F386A">
        <w:rPr>
          <w:rFonts w:hAnsi="Times New Roman" w:cs="Times New Roman"/>
          <w:i/>
          <w:iCs/>
        </w:rPr>
        <w:t xml:space="preserve">Journal of Finance, </w:t>
      </w:r>
      <w:r w:rsidRPr="006F386A">
        <w:rPr>
          <w:rFonts w:hAnsi="Times New Roman" w:cs="Times New Roman"/>
        </w:rPr>
        <w:t xml:space="preserve">47(2), 427–465. </w:t>
      </w:r>
    </w:p>
    <w:p w:rsidR="000331FE" w:rsidRPr="006F386A" w:rsidRDefault="000331FE" w:rsidP="000331FE">
      <w:pPr>
        <w:pStyle w:val="Body"/>
        <w:spacing w:after="240"/>
        <w:jc w:val="both"/>
        <w:rPr>
          <w:rFonts w:hAnsi="Times New Roman" w:cs="Times New Roman"/>
        </w:rPr>
      </w:pPr>
      <w:r w:rsidRPr="006F386A">
        <w:rPr>
          <w:rFonts w:hAnsi="Times New Roman" w:cs="Times New Roman"/>
        </w:rPr>
        <w:t xml:space="preserve">[9] Amihud, Y. and Mendelson, H. (1986). Asset pricing and the bid-ask spread, </w:t>
      </w:r>
      <w:r w:rsidRPr="006F386A">
        <w:rPr>
          <w:rFonts w:hAnsi="Times New Roman" w:cs="Times New Roman"/>
          <w:i/>
          <w:iCs/>
        </w:rPr>
        <w:t>Journal of Financial Economics</w:t>
      </w:r>
      <w:r w:rsidRPr="006F386A">
        <w:rPr>
          <w:rFonts w:hAnsi="Times New Roman" w:cs="Times New Roman"/>
        </w:rPr>
        <w:t xml:space="preserve">, 17(2), 223-249. </w:t>
      </w:r>
    </w:p>
    <w:p w:rsidR="000331FE" w:rsidRPr="006F386A" w:rsidRDefault="000331FE" w:rsidP="000331FE">
      <w:pPr>
        <w:pStyle w:val="Body"/>
        <w:spacing w:after="240"/>
        <w:jc w:val="both"/>
        <w:rPr>
          <w:rFonts w:hAnsi="Times New Roman" w:cs="Times New Roman"/>
        </w:rPr>
      </w:pPr>
      <w:r w:rsidRPr="006F386A">
        <w:rPr>
          <w:rFonts w:hAnsi="Times New Roman" w:cs="Times New Roman"/>
        </w:rPr>
        <w:t xml:space="preserve">[10] Amihud, Y. and Mendelson, H. (1991). Liquidity, maturity, and the yields on U.S. Treasury securities, </w:t>
      </w:r>
      <w:r w:rsidRPr="006F386A">
        <w:rPr>
          <w:rFonts w:hAnsi="Times New Roman" w:cs="Times New Roman"/>
          <w:i/>
          <w:iCs/>
        </w:rPr>
        <w:t>Journal of Finance</w:t>
      </w:r>
      <w:r w:rsidRPr="006F386A">
        <w:rPr>
          <w:rFonts w:hAnsi="Times New Roman" w:cs="Times New Roman"/>
        </w:rPr>
        <w:t>, 46(4), 1411-1425.</w:t>
      </w:r>
    </w:p>
    <w:p w:rsidR="000331FE" w:rsidRPr="006F386A" w:rsidRDefault="000331FE" w:rsidP="000331FE">
      <w:pPr>
        <w:pStyle w:val="Body"/>
        <w:spacing w:before="240" w:after="240"/>
        <w:jc w:val="both"/>
        <w:rPr>
          <w:rFonts w:hAnsi="Times New Roman" w:cs="Times New Roman"/>
        </w:rPr>
      </w:pPr>
      <w:r w:rsidRPr="006F386A">
        <w:rPr>
          <w:rFonts w:hAnsi="Times New Roman" w:cs="Times New Roman"/>
        </w:rPr>
        <w:t xml:space="preserve">[11] Fama, E. F. and French, K. R. (1993). Common risk factors in the returns on stocks and bonds, </w:t>
      </w:r>
      <w:r w:rsidRPr="006F386A">
        <w:rPr>
          <w:rFonts w:hAnsi="Times New Roman" w:cs="Times New Roman"/>
          <w:i/>
          <w:iCs/>
        </w:rPr>
        <w:t xml:space="preserve">Journal of Financial Economics, </w:t>
      </w:r>
      <w:r w:rsidRPr="006F386A">
        <w:rPr>
          <w:rFonts w:hAnsi="Times New Roman" w:cs="Times New Roman"/>
        </w:rPr>
        <w:t>33(1), 3–56.</w:t>
      </w:r>
    </w:p>
    <w:p w:rsidR="007B4F95" w:rsidRPr="006F386A" w:rsidRDefault="007B4F95" w:rsidP="007B4F95">
      <w:pPr>
        <w:pStyle w:val="Body"/>
        <w:spacing w:after="240"/>
        <w:jc w:val="both"/>
        <w:rPr>
          <w:rFonts w:hAnsi="Times New Roman" w:cs="Times New Roman"/>
        </w:rPr>
      </w:pPr>
      <w:r w:rsidRPr="006F386A">
        <w:rPr>
          <w:rFonts w:hAnsi="Times New Roman" w:cs="Times New Roman"/>
        </w:rPr>
        <w:t>[12] Amanda, C. and Husodo, Z. A. (2014). Empirical test of Fama French Three Factor Model and Illiquidity Premium in Indonesia.</w:t>
      </w:r>
      <w:r w:rsidRPr="006F386A">
        <w:rPr>
          <w:rFonts w:hAnsi="Times New Roman" w:cs="Times New Roman"/>
          <w:i/>
          <w:iCs/>
        </w:rPr>
        <w:t>University of Indonesia</w:t>
      </w:r>
      <w:r w:rsidRPr="006F386A">
        <w:rPr>
          <w:rFonts w:hAnsi="Times New Roman" w:cs="Times New Roman"/>
        </w:rPr>
        <w:t>.</w:t>
      </w:r>
    </w:p>
    <w:p w:rsidR="007B4F95" w:rsidRPr="006F386A" w:rsidRDefault="00615208" w:rsidP="000331FE">
      <w:pPr>
        <w:pStyle w:val="Body"/>
        <w:spacing w:before="240" w:after="240"/>
        <w:jc w:val="both"/>
        <w:rPr>
          <w:rFonts w:hAnsi="Times New Roman" w:cs="Times New Roman"/>
        </w:rPr>
      </w:pPr>
      <w:r w:rsidRPr="006F386A">
        <w:rPr>
          <w:rFonts w:hAnsi="Times New Roman" w:cs="Times New Roman"/>
        </w:rPr>
        <w:t xml:space="preserve">[13] Griffin, J. M. (2001), Are the Fama and French Factors Global or Country-Specific? </w:t>
      </w:r>
      <w:r w:rsidRPr="006F386A">
        <w:rPr>
          <w:rFonts w:hAnsi="Times New Roman" w:cs="Times New Roman"/>
          <w:i/>
          <w:iCs/>
        </w:rPr>
        <w:t>Arizona State University</w:t>
      </w:r>
      <w:r w:rsidRPr="006F386A">
        <w:rPr>
          <w:rFonts w:hAnsi="Times New Roman" w:cs="Times New Roman"/>
        </w:rPr>
        <w:t>.</w:t>
      </w:r>
    </w:p>
    <w:p w:rsidR="00F059F6" w:rsidRPr="006F386A" w:rsidRDefault="00F059F6" w:rsidP="000331FE">
      <w:pPr>
        <w:pStyle w:val="Body"/>
        <w:spacing w:before="240" w:after="240"/>
        <w:jc w:val="both"/>
        <w:rPr>
          <w:rFonts w:hAnsi="Times New Roman" w:cs="Times New Roman"/>
        </w:rPr>
      </w:pPr>
      <w:r w:rsidRPr="006F386A">
        <w:rPr>
          <w:rFonts w:hAnsi="Times New Roman" w:cs="Times New Roman"/>
        </w:rPr>
        <w:t xml:space="preserve">[14] </w:t>
      </w:r>
      <w:r w:rsidRPr="006F386A">
        <w:rPr>
          <w:rFonts w:hAnsi="Times New Roman" w:cs="Times New Roman"/>
          <w:lang w:val="es-ES_tradnl"/>
        </w:rPr>
        <w:t xml:space="preserve">Al-Mwalla, M., and Karasneh, M. (2011). </w:t>
      </w:r>
      <w:r w:rsidRPr="006F386A">
        <w:rPr>
          <w:rFonts w:hAnsi="Times New Roman" w:cs="Times New Roman"/>
        </w:rPr>
        <w:t xml:space="preserve">Fama and French three factor model: Evidence from emerging market, </w:t>
      </w:r>
      <w:r w:rsidRPr="006F386A">
        <w:rPr>
          <w:rFonts w:hAnsi="Times New Roman" w:cs="Times New Roman"/>
          <w:i/>
          <w:iCs/>
        </w:rPr>
        <w:t>European Journal of Economics, Finance and Administrative Sciences</w:t>
      </w:r>
      <w:r w:rsidRPr="006F386A">
        <w:rPr>
          <w:rFonts w:hAnsi="Times New Roman" w:cs="Times New Roman"/>
        </w:rPr>
        <w:t>, 41, 132-140.</w:t>
      </w:r>
    </w:p>
    <w:p w:rsidR="000331FE" w:rsidRPr="006F386A" w:rsidRDefault="000A0A2B" w:rsidP="000331FE">
      <w:pPr>
        <w:pStyle w:val="Body"/>
        <w:spacing w:after="240"/>
        <w:jc w:val="both"/>
        <w:rPr>
          <w:rFonts w:hAnsi="Times New Roman" w:cs="Times New Roman"/>
        </w:rPr>
      </w:pPr>
      <w:r w:rsidRPr="006F386A">
        <w:rPr>
          <w:rFonts w:hAnsi="Times New Roman" w:cs="Times New Roman"/>
        </w:rPr>
        <w:lastRenderedPageBreak/>
        <w:t xml:space="preserve">[15] Black, F., Jensen, M. and Scholes, M. (1972). The capital asset pricing model: some empirical tests, </w:t>
      </w:r>
      <w:r w:rsidRPr="006F386A">
        <w:rPr>
          <w:rFonts w:hAnsi="Times New Roman" w:cs="Times New Roman"/>
          <w:i/>
          <w:iCs/>
        </w:rPr>
        <w:t>Michael C. Jensen, Studies in the theory of capital markets</w:t>
      </w:r>
      <w:r w:rsidRPr="006F386A">
        <w:rPr>
          <w:rFonts w:hAnsi="Times New Roman" w:cs="Times New Roman"/>
        </w:rPr>
        <w:t>, Praeger Publishers Inc.</w:t>
      </w:r>
    </w:p>
    <w:p w:rsidR="003B51A7" w:rsidRPr="006F386A" w:rsidRDefault="003B51A7" w:rsidP="003B51A7">
      <w:pPr>
        <w:pStyle w:val="Body"/>
        <w:spacing w:before="240" w:after="240"/>
        <w:jc w:val="both"/>
        <w:rPr>
          <w:rFonts w:hAnsi="Times New Roman" w:cs="Times New Roman"/>
        </w:rPr>
      </w:pPr>
      <w:r w:rsidRPr="006F386A">
        <w:rPr>
          <w:rFonts w:hAnsi="Times New Roman" w:cs="Times New Roman"/>
        </w:rPr>
        <w:t xml:space="preserve">[16] Bartholdy, J. and Peare, P. (2005). Estimation of expected return: CAPM vs. Fama and French, </w:t>
      </w:r>
      <w:r w:rsidRPr="006F386A">
        <w:rPr>
          <w:rFonts w:hAnsi="Times New Roman" w:cs="Times New Roman"/>
          <w:i/>
          <w:iCs/>
        </w:rPr>
        <w:t>International Review of Financial Analysis</w:t>
      </w:r>
      <w:r w:rsidRPr="006F386A">
        <w:rPr>
          <w:rFonts w:hAnsi="Times New Roman" w:cs="Times New Roman"/>
        </w:rPr>
        <w:t xml:space="preserve">, 14(4), 407-427. </w:t>
      </w:r>
    </w:p>
    <w:p w:rsidR="00591D1B" w:rsidRPr="006F386A" w:rsidRDefault="00591D1B" w:rsidP="00591D1B">
      <w:pPr>
        <w:pStyle w:val="Body"/>
        <w:spacing w:before="240" w:after="240"/>
        <w:jc w:val="both"/>
        <w:rPr>
          <w:rFonts w:hAnsi="Times New Roman" w:cs="Times New Roman"/>
        </w:rPr>
      </w:pPr>
      <w:r w:rsidRPr="006F386A">
        <w:rPr>
          <w:rFonts w:hAnsi="Times New Roman" w:cs="Times New Roman"/>
        </w:rPr>
        <w:t xml:space="preserve">[17] Bhandari, L. (1988). Debt/Equity ratio and expected common stock returns: empirical evidence, </w:t>
      </w:r>
      <w:r w:rsidRPr="006F386A">
        <w:rPr>
          <w:rFonts w:hAnsi="Times New Roman" w:cs="Times New Roman"/>
          <w:i/>
          <w:iCs/>
        </w:rPr>
        <w:t>Journal of Finance</w:t>
      </w:r>
      <w:r w:rsidRPr="006F386A">
        <w:rPr>
          <w:rFonts w:hAnsi="Times New Roman" w:cs="Times New Roman"/>
        </w:rPr>
        <w:t xml:space="preserve">, 43(2), 507-528. </w:t>
      </w:r>
    </w:p>
    <w:p w:rsidR="004715D1" w:rsidRPr="006F386A" w:rsidRDefault="004715D1" w:rsidP="004715D1">
      <w:pPr>
        <w:pStyle w:val="Body"/>
        <w:spacing w:after="240"/>
        <w:jc w:val="both"/>
        <w:rPr>
          <w:rFonts w:hAnsi="Times New Roman" w:cs="Times New Roman"/>
        </w:rPr>
      </w:pPr>
      <w:r w:rsidRPr="006F386A">
        <w:rPr>
          <w:rFonts w:hAnsi="Times New Roman" w:cs="Times New Roman"/>
        </w:rPr>
        <w:t xml:space="preserve">[18] Tai, C. S. (2003). Are Fama/French and momentum factors really priced? </w:t>
      </w:r>
      <w:hyperlink r:id="rId11" w:history="1">
        <w:r w:rsidRPr="006F386A">
          <w:rPr>
            <w:rStyle w:val="Hyperlink1"/>
            <w:rFonts w:hAnsi="Times New Roman" w:cs="Times New Roman"/>
          </w:rPr>
          <w:t>Journal of Multinational Financial Management</w:t>
        </w:r>
      </w:hyperlink>
      <w:r w:rsidRPr="006F386A">
        <w:rPr>
          <w:rFonts w:hAnsi="Times New Roman" w:cs="Times New Roman"/>
        </w:rPr>
        <w:t xml:space="preserve">, 13(4-5), 359-384. </w:t>
      </w:r>
    </w:p>
    <w:p w:rsidR="0021349A" w:rsidRPr="006F386A" w:rsidRDefault="0021349A" w:rsidP="0021349A">
      <w:pPr>
        <w:pStyle w:val="Body"/>
        <w:spacing w:after="240"/>
        <w:jc w:val="both"/>
        <w:rPr>
          <w:rFonts w:hAnsi="Times New Roman" w:cs="Times New Roman"/>
        </w:rPr>
      </w:pPr>
      <w:r w:rsidRPr="006F386A">
        <w:rPr>
          <w:rFonts w:hAnsi="Times New Roman" w:cs="Times New Roman"/>
        </w:rPr>
        <w:t>[19] Lakonishok, J., Shleifer, A. and Vishny, R. W.  (1994). Contrarian investment, extrapolation, and risk.</w:t>
      </w:r>
      <w:r w:rsidRPr="006F386A">
        <w:rPr>
          <w:rFonts w:hAnsi="Times New Roman" w:cs="Times New Roman"/>
          <w:i/>
          <w:iCs/>
        </w:rPr>
        <w:t xml:space="preserve">Journal of Finance, </w:t>
      </w:r>
      <w:r w:rsidRPr="006F386A">
        <w:rPr>
          <w:rFonts w:hAnsi="Times New Roman" w:cs="Times New Roman"/>
        </w:rPr>
        <w:t xml:space="preserve">49, 1541-1578. </w:t>
      </w:r>
    </w:p>
    <w:p w:rsidR="000331FE" w:rsidRPr="006F386A" w:rsidRDefault="0021349A">
      <w:pPr>
        <w:pStyle w:val="Body"/>
        <w:spacing w:before="240" w:after="240"/>
        <w:jc w:val="both"/>
        <w:rPr>
          <w:rFonts w:hAnsi="Times New Roman" w:cs="Times New Roman"/>
        </w:rPr>
      </w:pPr>
      <w:r w:rsidRPr="006F386A">
        <w:rPr>
          <w:rFonts w:hAnsi="Times New Roman" w:cs="Times New Roman"/>
        </w:rPr>
        <w:t xml:space="preserve">[20] </w:t>
      </w:r>
      <w:r w:rsidRPr="006F386A">
        <w:rPr>
          <w:rFonts w:hAnsi="Times New Roman" w:cs="Times New Roman"/>
          <w:lang w:val="de-DE"/>
        </w:rPr>
        <w:t xml:space="preserve">Schwert, G. W. and Seguin P. J. (1990). </w:t>
      </w:r>
      <w:r w:rsidRPr="006F386A">
        <w:rPr>
          <w:rFonts w:hAnsi="Times New Roman" w:cs="Times New Roman"/>
        </w:rPr>
        <w:t xml:space="preserve">Heteroscedasticity in Stock Returns, </w:t>
      </w:r>
      <w:r w:rsidRPr="006F386A">
        <w:rPr>
          <w:rFonts w:hAnsi="Times New Roman" w:cs="Times New Roman"/>
          <w:i/>
          <w:iCs/>
        </w:rPr>
        <w:t>Journal of Finance</w:t>
      </w:r>
      <w:r w:rsidRPr="006F386A">
        <w:rPr>
          <w:rFonts w:hAnsi="Times New Roman" w:cs="Times New Roman"/>
        </w:rPr>
        <w:t>, 35(4), 915-919.</w:t>
      </w:r>
    </w:p>
    <w:p w:rsidR="0021349A" w:rsidRPr="006F386A" w:rsidRDefault="0021349A" w:rsidP="0021349A">
      <w:pPr>
        <w:pStyle w:val="Body"/>
        <w:spacing w:before="240" w:after="240"/>
        <w:jc w:val="both"/>
        <w:rPr>
          <w:rFonts w:hAnsi="Times New Roman" w:cs="Times New Roman"/>
          <w:color w:val="1F497D"/>
          <w:u w:color="1F497D"/>
        </w:rPr>
      </w:pPr>
      <w:r w:rsidRPr="006F386A">
        <w:rPr>
          <w:rFonts w:hAnsi="Times New Roman" w:cs="Times New Roman"/>
        </w:rPr>
        <w:t xml:space="preserve">[21] Mankiw, N.G., Shapiro, M.D., 1986. Risk and return: consumption beta versus </w:t>
      </w:r>
      <w:r w:rsidRPr="006F386A">
        <w:rPr>
          <w:rFonts w:hAnsi="Times New Roman" w:cs="Times New Roman"/>
          <w:lang w:val="nl-NL"/>
        </w:rPr>
        <w:t xml:space="preserve">market beta. </w:t>
      </w:r>
      <w:r w:rsidRPr="006F386A">
        <w:rPr>
          <w:rFonts w:hAnsi="Times New Roman" w:cs="Times New Roman"/>
          <w:i/>
          <w:iCs/>
        </w:rPr>
        <w:t>The Review of Economics and Statistics</w:t>
      </w:r>
      <w:r w:rsidRPr="006F386A">
        <w:rPr>
          <w:rFonts w:hAnsi="Times New Roman" w:cs="Times New Roman"/>
        </w:rPr>
        <w:t xml:space="preserve">, 68(3), 452-459. </w:t>
      </w:r>
    </w:p>
    <w:p w:rsidR="0021349A" w:rsidRPr="006F386A" w:rsidRDefault="0021349A" w:rsidP="00DB6D9D">
      <w:pPr>
        <w:pStyle w:val="Body"/>
        <w:spacing w:after="240"/>
        <w:jc w:val="both"/>
        <w:rPr>
          <w:rFonts w:hAnsi="Times New Roman" w:cs="Times New Roman"/>
        </w:rPr>
      </w:pPr>
      <w:r w:rsidRPr="006F386A">
        <w:rPr>
          <w:rFonts w:hAnsi="Times New Roman" w:cs="Times New Roman"/>
        </w:rPr>
        <w:t xml:space="preserve">[22] </w:t>
      </w:r>
      <w:r w:rsidRPr="006F386A">
        <w:rPr>
          <w:rFonts w:hAnsi="Times New Roman" w:cs="Times New Roman"/>
          <w:lang w:val="de-DE"/>
        </w:rPr>
        <w:t xml:space="preserve">Breeden, D.T., Gibbons, M.R. and Litzenberger, R.H. (1989). </w:t>
      </w:r>
      <w:r w:rsidRPr="006F386A">
        <w:rPr>
          <w:rFonts w:hAnsi="Times New Roman" w:cs="Times New Roman"/>
        </w:rPr>
        <w:t xml:space="preserve">Empirical tests of the consumption-oriented CAPM, </w:t>
      </w:r>
      <w:r w:rsidRPr="006F386A">
        <w:rPr>
          <w:rFonts w:hAnsi="Times New Roman" w:cs="Times New Roman"/>
          <w:i/>
          <w:iCs/>
        </w:rPr>
        <w:t>Journal of Finance</w:t>
      </w:r>
      <w:r w:rsidRPr="006F386A">
        <w:rPr>
          <w:rFonts w:hAnsi="Times New Roman" w:cs="Times New Roman"/>
        </w:rPr>
        <w:t xml:space="preserve">, 44(2), 231–262. </w:t>
      </w:r>
    </w:p>
    <w:p w:rsidR="0021349A" w:rsidRPr="006F386A" w:rsidRDefault="0021349A" w:rsidP="0021349A">
      <w:pPr>
        <w:pStyle w:val="Body"/>
        <w:spacing w:before="240" w:after="240"/>
        <w:jc w:val="both"/>
        <w:rPr>
          <w:rFonts w:hAnsi="Times New Roman" w:cs="Times New Roman"/>
        </w:rPr>
      </w:pPr>
      <w:r w:rsidRPr="006F386A">
        <w:rPr>
          <w:rFonts w:hAnsi="Times New Roman" w:cs="Times New Roman"/>
        </w:rPr>
        <w:t>[23] Miller, M. H. 1999. The history of finance.</w:t>
      </w:r>
      <w:r w:rsidRPr="006F386A">
        <w:rPr>
          <w:rFonts w:hAnsi="Times New Roman" w:cs="Times New Roman"/>
          <w:i/>
          <w:iCs/>
        </w:rPr>
        <w:t>Journal of Portfolio Management</w:t>
      </w:r>
      <w:r w:rsidRPr="006F386A">
        <w:rPr>
          <w:rFonts w:hAnsi="Times New Roman" w:cs="Times New Roman"/>
        </w:rPr>
        <w:t xml:space="preserve">, 25, 95-101. </w:t>
      </w:r>
    </w:p>
    <w:p w:rsidR="00B95132" w:rsidRPr="006F386A" w:rsidRDefault="00B95132" w:rsidP="00B95132">
      <w:pPr>
        <w:pStyle w:val="Body"/>
        <w:spacing w:before="240" w:after="240"/>
        <w:jc w:val="both"/>
        <w:rPr>
          <w:rFonts w:hAnsi="Times New Roman" w:cs="Times New Roman"/>
        </w:rPr>
      </w:pPr>
      <w:r w:rsidRPr="006F386A">
        <w:rPr>
          <w:rFonts w:hAnsi="Times New Roman" w:cs="Times New Roman"/>
        </w:rPr>
        <w:t xml:space="preserve">[24] Fama, E. F., and French, K. R. (1995). Size and book-to-market factors in earnings and returns, </w:t>
      </w:r>
      <w:r w:rsidRPr="006F386A">
        <w:rPr>
          <w:rFonts w:hAnsi="Times New Roman" w:cs="Times New Roman"/>
          <w:i/>
          <w:iCs/>
        </w:rPr>
        <w:t>Journal of Finance</w:t>
      </w:r>
      <w:r w:rsidRPr="006F386A">
        <w:rPr>
          <w:rFonts w:hAnsi="Times New Roman" w:cs="Times New Roman"/>
        </w:rPr>
        <w:t>, 50(1), 131-155.</w:t>
      </w:r>
    </w:p>
    <w:p w:rsidR="0021349A" w:rsidRPr="006F386A" w:rsidRDefault="00B95132">
      <w:pPr>
        <w:pStyle w:val="Body"/>
        <w:spacing w:before="240" w:after="240"/>
        <w:jc w:val="both"/>
        <w:rPr>
          <w:rFonts w:hAnsi="Times New Roman" w:cs="Times New Roman"/>
        </w:rPr>
      </w:pPr>
      <w:r w:rsidRPr="006F386A">
        <w:rPr>
          <w:rFonts w:hAnsi="Times New Roman" w:cs="Times New Roman"/>
        </w:rPr>
        <w:t xml:space="preserve">[25] Moez, A. H. A., Mahdavikhou, M. and Khotanloz, M. (2013). Feasibility of the Alternative Three-Factor Model on the TSE, </w:t>
      </w:r>
      <w:r w:rsidRPr="006F386A">
        <w:rPr>
          <w:rFonts w:hAnsi="Times New Roman" w:cs="Times New Roman"/>
          <w:i/>
          <w:iCs/>
        </w:rPr>
        <w:t>World Applied Sciences Journal</w:t>
      </w:r>
      <w:r w:rsidRPr="006F386A">
        <w:rPr>
          <w:rFonts w:hAnsi="Times New Roman" w:cs="Times New Roman"/>
        </w:rPr>
        <w:t>, 25(12), 1676-1683.</w:t>
      </w:r>
    </w:p>
    <w:p w:rsidR="00B95132" w:rsidRPr="006F386A" w:rsidRDefault="00B95132" w:rsidP="00B95132">
      <w:pPr>
        <w:pStyle w:val="Body"/>
        <w:spacing w:after="240"/>
        <w:jc w:val="both"/>
        <w:rPr>
          <w:rFonts w:hAnsi="Times New Roman" w:cs="Times New Roman"/>
        </w:rPr>
      </w:pPr>
      <w:r w:rsidRPr="006F386A">
        <w:rPr>
          <w:rFonts w:hAnsi="Times New Roman" w:cs="Times New Roman"/>
        </w:rPr>
        <w:t xml:space="preserve">[26] Maroney, N. and Protopapadakis, A. (2002). The Book-to-Market and Size Effects in a General Asset Pricing Model: Evidence from Seven National Markets, </w:t>
      </w:r>
      <w:r w:rsidRPr="006F386A">
        <w:rPr>
          <w:rFonts w:hAnsi="Times New Roman" w:cs="Times New Roman"/>
          <w:i/>
          <w:iCs/>
        </w:rPr>
        <w:t>European Finance Review</w:t>
      </w:r>
      <w:r w:rsidRPr="006F386A">
        <w:rPr>
          <w:rFonts w:hAnsi="Times New Roman" w:cs="Times New Roman"/>
        </w:rPr>
        <w:t xml:space="preserve">, 6(2), 189-221. </w:t>
      </w:r>
    </w:p>
    <w:p w:rsidR="00B95132" w:rsidRPr="006F386A" w:rsidRDefault="00B95132" w:rsidP="00B95132">
      <w:pPr>
        <w:pStyle w:val="Body"/>
        <w:spacing w:before="240" w:after="240"/>
        <w:jc w:val="both"/>
        <w:rPr>
          <w:rFonts w:hAnsi="Times New Roman" w:cs="Times New Roman"/>
        </w:rPr>
      </w:pPr>
      <w:r w:rsidRPr="006F386A">
        <w:rPr>
          <w:rFonts w:hAnsi="Times New Roman" w:cs="Times New Roman"/>
        </w:rPr>
        <w:t xml:space="preserve">[27] Connor, G and Sehgal, S. (2001). Tests of the Fama and French Model in India, Discussion paper, 379, Financial Markets Group, London School of Economics and Political Science, London, UK. </w:t>
      </w:r>
    </w:p>
    <w:p w:rsidR="00B95132" w:rsidRPr="006F386A" w:rsidRDefault="00B95132" w:rsidP="00B95132">
      <w:pPr>
        <w:pStyle w:val="Body"/>
        <w:spacing w:before="240" w:after="240"/>
        <w:jc w:val="both"/>
        <w:rPr>
          <w:rFonts w:hAnsi="Times New Roman" w:cs="Times New Roman"/>
        </w:rPr>
      </w:pPr>
      <w:r w:rsidRPr="006F386A">
        <w:rPr>
          <w:rFonts w:hAnsi="Times New Roman" w:cs="Times New Roman"/>
        </w:rPr>
        <w:t xml:space="preserve">[28] Faff, R. (2001). An examination of the Fama and French three-factor model using commercially available factors, </w:t>
      </w:r>
      <w:r w:rsidRPr="006F386A">
        <w:rPr>
          <w:rFonts w:hAnsi="Times New Roman" w:cs="Times New Roman"/>
          <w:i/>
          <w:iCs/>
        </w:rPr>
        <w:t>Australian Journal of Management</w:t>
      </w:r>
      <w:r w:rsidRPr="006F386A">
        <w:rPr>
          <w:rFonts w:hAnsi="Times New Roman" w:cs="Times New Roman"/>
        </w:rPr>
        <w:t xml:space="preserve">, 26(1), 1-17. </w:t>
      </w:r>
    </w:p>
    <w:p w:rsidR="00B95132" w:rsidRPr="006F386A" w:rsidRDefault="00B95132" w:rsidP="00B95132">
      <w:pPr>
        <w:pStyle w:val="Body"/>
        <w:spacing w:before="240" w:after="240"/>
        <w:jc w:val="both"/>
        <w:rPr>
          <w:rFonts w:hAnsi="Times New Roman" w:cs="Times New Roman"/>
        </w:rPr>
      </w:pPr>
      <w:r w:rsidRPr="006F386A">
        <w:rPr>
          <w:rFonts w:hAnsi="Times New Roman" w:cs="Times New Roman"/>
        </w:rPr>
        <w:t xml:space="preserve">[29] Gaunt, C. (2004). Size and book to market effects and the Fama French three factor asset pricing model: Evidence from Australian Stock Market, </w:t>
      </w:r>
      <w:r w:rsidRPr="006F386A">
        <w:rPr>
          <w:rFonts w:hAnsi="Times New Roman" w:cs="Times New Roman"/>
          <w:i/>
          <w:iCs/>
        </w:rPr>
        <w:t>Accounting and Finance</w:t>
      </w:r>
      <w:r w:rsidRPr="006F386A">
        <w:rPr>
          <w:rFonts w:hAnsi="Times New Roman" w:cs="Times New Roman"/>
        </w:rPr>
        <w:t xml:space="preserve">, 44(1), 27-44. </w:t>
      </w:r>
    </w:p>
    <w:p w:rsidR="00B95132" w:rsidRPr="006F386A" w:rsidRDefault="00B95132">
      <w:pPr>
        <w:pStyle w:val="Body"/>
        <w:spacing w:before="240" w:after="240"/>
        <w:jc w:val="both"/>
        <w:rPr>
          <w:rFonts w:hAnsi="Times New Roman" w:cs="Times New Roman"/>
        </w:rPr>
      </w:pPr>
      <w:r w:rsidRPr="006F386A">
        <w:rPr>
          <w:rFonts w:hAnsi="Times New Roman" w:cs="Times New Roman"/>
        </w:rPr>
        <w:t xml:space="preserve">[30] Faff, R. (2004). A simple test of Fama and French model using daily data: Australian evidence, </w:t>
      </w:r>
      <w:r w:rsidRPr="006F386A">
        <w:rPr>
          <w:rFonts w:hAnsi="Times New Roman" w:cs="Times New Roman"/>
          <w:i/>
          <w:iCs/>
        </w:rPr>
        <w:t>Applied Financial Economics</w:t>
      </w:r>
      <w:r w:rsidRPr="006F386A">
        <w:rPr>
          <w:rFonts w:hAnsi="Times New Roman" w:cs="Times New Roman"/>
        </w:rPr>
        <w:t>, 14(2), 83-92.</w:t>
      </w:r>
    </w:p>
    <w:p w:rsidR="00B95132" w:rsidRPr="006F386A" w:rsidRDefault="00B95132" w:rsidP="00B95132">
      <w:pPr>
        <w:pStyle w:val="Body"/>
        <w:spacing w:after="240"/>
        <w:jc w:val="both"/>
        <w:rPr>
          <w:rFonts w:hAnsi="Times New Roman" w:cs="Times New Roman"/>
        </w:rPr>
      </w:pPr>
      <w:r w:rsidRPr="006F386A">
        <w:rPr>
          <w:rFonts w:hAnsi="Times New Roman" w:cs="Times New Roman"/>
        </w:rPr>
        <w:lastRenderedPageBreak/>
        <w:t xml:space="preserve">[31] Drew, M. E. and Veeraraghavan, M. (2003). Beta, firm </w:t>
      </w:r>
      <w:r w:rsidRPr="006F386A">
        <w:rPr>
          <w:rFonts w:hAnsi="Times New Roman" w:cs="Times New Roman"/>
          <w:i/>
          <w:iCs/>
          <w:lang w:val="it-IT"/>
        </w:rPr>
        <w:t>size</w:t>
      </w:r>
      <w:r w:rsidRPr="006F386A">
        <w:rPr>
          <w:rFonts w:hAnsi="Times New Roman" w:cs="Times New Roman"/>
        </w:rPr>
        <w:t>, book-to-</w:t>
      </w:r>
      <w:r w:rsidRPr="006F386A">
        <w:rPr>
          <w:rFonts w:hAnsi="Times New Roman" w:cs="Times New Roman"/>
          <w:i/>
          <w:iCs/>
        </w:rPr>
        <w:t xml:space="preserve">market </w:t>
      </w:r>
      <w:r w:rsidRPr="006F386A">
        <w:rPr>
          <w:rFonts w:hAnsi="Times New Roman" w:cs="Times New Roman"/>
        </w:rPr>
        <w:t xml:space="preserve">equity and stock return, </w:t>
      </w:r>
      <w:r w:rsidRPr="006F386A">
        <w:rPr>
          <w:rFonts w:hAnsi="Times New Roman" w:cs="Times New Roman"/>
          <w:i/>
          <w:iCs/>
        </w:rPr>
        <w:t>Journal of the Asia Pacific Economy</w:t>
      </w:r>
      <w:r w:rsidRPr="006F386A">
        <w:rPr>
          <w:rFonts w:hAnsi="Times New Roman" w:cs="Times New Roman"/>
        </w:rPr>
        <w:t xml:space="preserve">, 8(3), 354-379. </w:t>
      </w:r>
    </w:p>
    <w:p w:rsidR="00B95132" w:rsidRPr="006F386A" w:rsidRDefault="00B95132">
      <w:pPr>
        <w:pStyle w:val="Body"/>
        <w:spacing w:before="240" w:after="240"/>
        <w:jc w:val="both"/>
        <w:rPr>
          <w:rFonts w:hAnsi="Times New Roman" w:cs="Times New Roman"/>
          <w:kern w:val="36"/>
        </w:rPr>
      </w:pPr>
      <w:r w:rsidRPr="006F386A">
        <w:rPr>
          <w:rFonts w:hAnsi="Times New Roman" w:cs="Times New Roman"/>
        </w:rPr>
        <w:t xml:space="preserve">[32] Lin, J., Wang, M. and Cai, L. (2012).  </w:t>
      </w:r>
      <w:r w:rsidRPr="006F386A">
        <w:rPr>
          <w:rFonts w:hAnsi="Times New Roman" w:cs="Times New Roman"/>
          <w:kern w:val="36"/>
        </w:rPr>
        <w:t xml:space="preserve">Are the Fama–French factors good proxies for latent risk factors? Evidence from the data of SHSE in China, </w:t>
      </w:r>
      <w:r w:rsidRPr="006F386A">
        <w:rPr>
          <w:rFonts w:hAnsi="Times New Roman" w:cs="Times New Roman"/>
          <w:i/>
          <w:iCs/>
          <w:kern w:val="36"/>
        </w:rPr>
        <w:t>Economics Letters</w:t>
      </w:r>
      <w:r w:rsidRPr="006F386A">
        <w:rPr>
          <w:rFonts w:hAnsi="Times New Roman" w:cs="Times New Roman"/>
          <w:kern w:val="36"/>
        </w:rPr>
        <w:t>, 116(2), 265-268.</w:t>
      </w:r>
    </w:p>
    <w:p w:rsidR="00B95132" w:rsidRPr="006F386A" w:rsidRDefault="00B95132" w:rsidP="00B95132">
      <w:pPr>
        <w:pStyle w:val="Default"/>
        <w:spacing w:before="240" w:after="240"/>
        <w:jc w:val="both"/>
        <w:rPr>
          <w:rFonts w:ascii="Times New Roman" w:eastAsia="Times New Roman" w:hAnsi="Times New Roman" w:cs="Times New Roman"/>
        </w:rPr>
      </w:pPr>
      <w:r w:rsidRPr="006F386A">
        <w:rPr>
          <w:rFonts w:ascii="Times New Roman" w:hAnsi="Times New Roman" w:cs="Times New Roman"/>
          <w:kern w:val="36"/>
        </w:rPr>
        <w:t xml:space="preserve">[33] </w:t>
      </w:r>
      <w:r w:rsidRPr="006F386A">
        <w:rPr>
          <w:rFonts w:ascii="Times New Roman" w:hAnsi="Times New Roman" w:cs="Times New Roman"/>
        </w:rPr>
        <w:t xml:space="preserve">Eraslan, V. (2013). Fama and French Three-Factor Model: Evidence from Istanbul Stock Exchange, </w:t>
      </w:r>
      <w:r w:rsidRPr="006F386A">
        <w:rPr>
          <w:rFonts w:ascii="Times New Roman" w:hAnsi="Times New Roman" w:cs="Times New Roman"/>
          <w:i/>
          <w:iCs/>
        </w:rPr>
        <w:t>Business and Economics Research Journal</w:t>
      </w:r>
      <w:r w:rsidRPr="006F386A">
        <w:rPr>
          <w:rFonts w:ascii="Times New Roman" w:hAnsi="Times New Roman" w:cs="Times New Roman"/>
        </w:rPr>
        <w:t xml:space="preserve">, 4(2), 11-22. </w:t>
      </w:r>
    </w:p>
    <w:p w:rsidR="00B95132" w:rsidRPr="006F386A" w:rsidRDefault="00B95132" w:rsidP="00B95132">
      <w:pPr>
        <w:pStyle w:val="Body"/>
        <w:spacing w:after="240"/>
        <w:jc w:val="both"/>
        <w:rPr>
          <w:rFonts w:hAnsi="Times New Roman" w:cs="Times New Roman"/>
        </w:rPr>
      </w:pPr>
      <w:r w:rsidRPr="006F386A">
        <w:rPr>
          <w:rFonts w:hAnsi="Times New Roman" w:cs="Times New Roman"/>
        </w:rPr>
        <w:t xml:space="preserve">[34] Cakici, N., Fabozzi, F. J., and Tan, S. (2013). </w:t>
      </w:r>
      <w:r w:rsidRPr="006F386A">
        <w:rPr>
          <w:rFonts w:hAnsi="Times New Roman" w:cs="Times New Roman"/>
          <w:i/>
          <w:iCs/>
        </w:rPr>
        <w:t>Size</w:t>
      </w:r>
      <w:r w:rsidRPr="006F386A">
        <w:rPr>
          <w:rFonts w:hAnsi="Times New Roman" w:cs="Times New Roman"/>
        </w:rPr>
        <w:t xml:space="preserve">, </w:t>
      </w:r>
      <w:r w:rsidRPr="006F386A">
        <w:rPr>
          <w:rFonts w:hAnsi="Times New Roman" w:cs="Times New Roman"/>
          <w:i/>
          <w:iCs/>
        </w:rPr>
        <w:t>value</w:t>
      </w:r>
      <w:r w:rsidRPr="006F386A">
        <w:rPr>
          <w:rFonts w:hAnsi="Times New Roman" w:cs="Times New Roman"/>
        </w:rPr>
        <w:t xml:space="preserve">, and momentum in emerging market stock returns, </w:t>
      </w:r>
      <w:r w:rsidRPr="006F386A">
        <w:rPr>
          <w:rFonts w:hAnsi="Times New Roman" w:cs="Times New Roman"/>
          <w:i/>
          <w:iCs/>
        </w:rPr>
        <w:t>Emerging Market Review</w:t>
      </w:r>
      <w:r w:rsidRPr="006F386A">
        <w:rPr>
          <w:rFonts w:hAnsi="Times New Roman" w:cs="Times New Roman"/>
        </w:rPr>
        <w:t xml:space="preserve">, 16, 46-65. </w:t>
      </w:r>
    </w:p>
    <w:p w:rsidR="00F67A7D" w:rsidRPr="006F386A" w:rsidRDefault="00F67A7D" w:rsidP="00F67A7D">
      <w:pPr>
        <w:pStyle w:val="Body"/>
        <w:spacing w:before="240" w:after="240"/>
        <w:jc w:val="both"/>
        <w:rPr>
          <w:rFonts w:hAnsi="Times New Roman" w:cs="Times New Roman"/>
        </w:rPr>
      </w:pPr>
      <w:r w:rsidRPr="006F386A">
        <w:rPr>
          <w:rFonts w:hAnsi="Times New Roman" w:cs="Times New Roman"/>
        </w:rPr>
        <w:t xml:space="preserve">[35] Lam, K. (2005). Is the Fama-French three-factor model better than the CAPM? </w:t>
      </w:r>
      <w:r w:rsidRPr="006F386A">
        <w:rPr>
          <w:rFonts w:hAnsi="Times New Roman" w:cs="Times New Roman"/>
          <w:i/>
          <w:iCs/>
        </w:rPr>
        <w:t>Department of Economics</w:t>
      </w:r>
      <w:r w:rsidRPr="006F386A">
        <w:rPr>
          <w:rFonts w:hAnsi="Times New Roman" w:cs="Times New Roman"/>
          <w:lang w:val="de-DE"/>
        </w:rPr>
        <w:t>, Simon Fraser University.</w:t>
      </w:r>
    </w:p>
    <w:p w:rsidR="00F67A7D" w:rsidRPr="006F386A" w:rsidRDefault="00F67A7D" w:rsidP="00F67A7D">
      <w:pPr>
        <w:pStyle w:val="Body"/>
        <w:spacing w:before="240" w:after="240"/>
        <w:jc w:val="both"/>
        <w:rPr>
          <w:rFonts w:hAnsi="Times New Roman" w:cs="Times New Roman"/>
          <w:color w:val="1F497D"/>
          <w:u w:color="1F497D"/>
        </w:rPr>
      </w:pPr>
      <w:r w:rsidRPr="006F386A">
        <w:rPr>
          <w:rFonts w:hAnsi="Times New Roman" w:cs="Times New Roman"/>
        </w:rPr>
        <w:t xml:space="preserve">[36] Daniel, K., &amp; Titman, S. (1997). Evidence on the characteristics of cross sectional variation in stock returns, </w:t>
      </w:r>
      <w:r w:rsidRPr="006F386A">
        <w:rPr>
          <w:rFonts w:hAnsi="Times New Roman" w:cs="Times New Roman"/>
          <w:i/>
          <w:iCs/>
        </w:rPr>
        <w:t>The Journal of Finance</w:t>
      </w:r>
      <w:r w:rsidRPr="006F386A">
        <w:rPr>
          <w:rFonts w:hAnsi="Times New Roman" w:cs="Times New Roman"/>
        </w:rPr>
        <w:t>, 52(1), 1-33.</w:t>
      </w:r>
    </w:p>
    <w:p w:rsidR="00B95132" w:rsidRPr="006F386A" w:rsidRDefault="00F67A7D" w:rsidP="00B95132">
      <w:pPr>
        <w:pStyle w:val="Body"/>
        <w:spacing w:before="240" w:after="240"/>
        <w:jc w:val="both"/>
        <w:rPr>
          <w:rFonts w:hAnsi="Times New Roman" w:cs="Times New Roman"/>
        </w:rPr>
      </w:pPr>
      <w:r w:rsidRPr="006F386A">
        <w:rPr>
          <w:rFonts w:hAnsi="Times New Roman" w:cs="Times New Roman"/>
        </w:rPr>
        <w:t xml:space="preserve">[37] Davis, J., Fama, E., and French, K. (2000). Characteristics, covariances and average returns: 1927-1997, </w:t>
      </w:r>
      <w:r w:rsidRPr="006F386A">
        <w:rPr>
          <w:rFonts w:hAnsi="Times New Roman" w:cs="Times New Roman"/>
          <w:i/>
          <w:iCs/>
        </w:rPr>
        <w:t>Journal of Finance</w:t>
      </w:r>
      <w:r w:rsidRPr="006F386A">
        <w:rPr>
          <w:rFonts w:hAnsi="Times New Roman" w:cs="Times New Roman"/>
        </w:rPr>
        <w:t>, 55(1), 389-406.</w:t>
      </w:r>
    </w:p>
    <w:p w:rsidR="00F67A7D" w:rsidRPr="006F386A" w:rsidRDefault="00F67A7D">
      <w:pPr>
        <w:pStyle w:val="Body"/>
        <w:spacing w:before="240" w:after="240"/>
        <w:jc w:val="both"/>
        <w:rPr>
          <w:rFonts w:hAnsi="Times New Roman" w:cs="Times New Roman"/>
        </w:rPr>
      </w:pPr>
    </w:p>
    <w:p w:rsidR="00F67A7D" w:rsidRPr="006F386A" w:rsidRDefault="00F67A7D" w:rsidP="00F67A7D">
      <w:pPr>
        <w:pStyle w:val="Body"/>
        <w:spacing w:before="240" w:after="240"/>
        <w:jc w:val="both"/>
        <w:rPr>
          <w:rFonts w:hAnsi="Times New Roman" w:cs="Times New Roman"/>
        </w:rPr>
      </w:pPr>
      <w:r w:rsidRPr="006F386A">
        <w:rPr>
          <w:rFonts w:hAnsi="Times New Roman" w:cs="Times New Roman"/>
        </w:rPr>
        <w:t xml:space="preserve">[38] Malin, M. and Veeraraghavan M. (2004). On the Robustness of the Fama and French multifactor model: Evidence from France, Germany, and the United Kingdom. </w:t>
      </w:r>
      <w:r w:rsidRPr="006F386A">
        <w:rPr>
          <w:rFonts w:hAnsi="Times New Roman" w:cs="Times New Roman"/>
          <w:i/>
          <w:iCs/>
        </w:rPr>
        <w:t>International Journal of Business and Economics</w:t>
      </w:r>
      <w:r w:rsidRPr="006F386A">
        <w:rPr>
          <w:rFonts w:hAnsi="Times New Roman" w:cs="Times New Roman"/>
        </w:rPr>
        <w:t xml:space="preserve">, 3(2), 155-176. </w:t>
      </w:r>
    </w:p>
    <w:p w:rsidR="00F43885" w:rsidRPr="006F386A" w:rsidRDefault="00F67A7D">
      <w:pPr>
        <w:pStyle w:val="Body"/>
        <w:spacing w:before="240" w:after="240"/>
        <w:jc w:val="both"/>
        <w:rPr>
          <w:rFonts w:hAnsi="Times New Roman" w:cs="Times New Roman"/>
        </w:rPr>
      </w:pPr>
      <w:r w:rsidRPr="006F386A">
        <w:rPr>
          <w:rFonts w:hAnsi="Times New Roman" w:cs="Times New Roman"/>
        </w:rPr>
        <w:t xml:space="preserve"> [39</w:t>
      </w:r>
      <w:r w:rsidR="00B72280" w:rsidRPr="006F386A">
        <w:rPr>
          <w:rFonts w:hAnsi="Times New Roman" w:cs="Times New Roman"/>
        </w:rPr>
        <w:t xml:space="preserve">] Al-Horani, A., Pope, P. and Stark, A. W. (2003). Research and development activity and expected returns in the United Kingdom. </w:t>
      </w:r>
      <w:r w:rsidR="00B72280" w:rsidRPr="006F386A">
        <w:rPr>
          <w:rFonts w:hAnsi="Times New Roman" w:cs="Times New Roman"/>
          <w:i/>
          <w:iCs/>
        </w:rPr>
        <w:t>European Finance review</w:t>
      </w:r>
      <w:r w:rsidR="00B72280" w:rsidRPr="006F386A">
        <w:rPr>
          <w:rFonts w:hAnsi="Times New Roman" w:cs="Times New Roman"/>
        </w:rPr>
        <w:t>, 7(1), 27-46.</w:t>
      </w:r>
    </w:p>
    <w:p w:rsidR="00F67A7D" w:rsidRPr="006F386A" w:rsidRDefault="00F67A7D" w:rsidP="00F67A7D">
      <w:pPr>
        <w:pStyle w:val="Body"/>
        <w:spacing w:before="240" w:after="240"/>
        <w:jc w:val="both"/>
        <w:rPr>
          <w:rFonts w:hAnsi="Times New Roman" w:cs="Times New Roman"/>
        </w:rPr>
      </w:pPr>
      <w:r w:rsidRPr="006F386A">
        <w:rPr>
          <w:rFonts w:hAnsi="Times New Roman" w:cs="Times New Roman"/>
        </w:rPr>
        <w:t xml:space="preserve">[40] Chan, A. and Chui, A. P. L. (1996). An Empirical Re-Examination of the Cross-Section of Expected Returns: UK Evidence, </w:t>
      </w:r>
      <w:r w:rsidRPr="006F386A">
        <w:rPr>
          <w:rFonts w:hAnsi="Times New Roman" w:cs="Times New Roman"/>
          <w:i/>
          <w:iCs/>
        </w:rPr>
        <w:t>Journal of Business Finance &amp; Accounting</w:t>
      </w:r>
      <w:r w:rsidRPr="006F386A">
        <w:rPr>
          <w:rFonts w:hAnsi="Times New Roman" w:cs="Times New Roman"/>
        </w:rPr>
        <w:t xml:space="preserve">, 23(9-10), 1435–1452. </w:t>
      </w:r>
    </w:p>
    <w:p w:rsidR="00F67A7D" w:rsidRPr="006F386A" w:rsidRDefault="00F67A7D" w:rsidP="00F67A7D">
      <w:pPr>
        <w:pStyle w:val="Body"/>
        <w:spacing w:before="240" w:after="240"/>
        <w:jc w:val="both"/>
        <w:rPr>
          <w:rFonts w:hAnsi="Times New Roman" w:cs="Times New Roman"/>
        </w:rPr>
      </w:pPr>
      <w:r w:rsidRPr="006F386A">
        <w:rPr>
          <w:rFonts w:hAnsi="Times New Roman" w:cs="Times New Roman"/>
        </w:rPr>
        <w:t xml:space="preserve">[41] Strong, N. and Xu. G. (1997). Explaining the Cross Section of UK Expected Stock Returns, </w:t>
      </w:r>
      <w:r w:rsidRPr="006F386A">
        <w:rPr>
          <w:rFonts w:hAnsi="Times New Roman" w:cs="Times New Roman"/>
          <w:i/>
          <w:iCs/>
        </w:rPr>
        <w:t>British Accounting Review</w:t>
      </w:r>
      <w:r w:rsidRPr="006F386A">
        <w:rPr>
          <w:rFonts w:hAnsi="Times New Roman" w:cs="Times New Roman"/>
        </w:rPr>
        <w:t xml:space="preserve">, 29(1), 1-23. </w:t>
      </w:r>
    </w:p>
    <w:p w:rsidR="00F67A7D" w:rsidRPr="006F386A" w:rsidRDefault="00F67A7D" w:rsidP="00F67A7D">
      <w:pPr>
        <w:pStyle w:val="Body"/>
        <w:spacing w:after="240"/>
        <w:jc w:val="both"/>
        <w:rPr>
          <w:rFonts w:hAnsi="Times New Roman" w:cs="Times New Roman"/>
        </w:rPr>
      </w:pPr>
      <w:r w:rsidRPr="006F386A">
        <w:rPr>
          <w:rFonts w:hAnsi="Times New Roman" w:cs="Times New Roman"/>
        </w:rPr>
        <w:t xml:space="preserve">[42] Shum, W. C. and Tang, Y. N. (2005). Common Risk Factors in Returns in Asian Emerging Stock Markets, </w:t>
      </w:r>
      <w:r w:rsidRPr="006F386A">
        <w:rPr>
          <w:rFonts w:hAnsi="Times New Roman" w:cs="Times New Roman"/>
          <w:i/>
          <w:iCs/>
        </w:rPr>
        <w:t>International Business Review</w:t>
      </w:r>
      <w:r w:rsidRPr="006F386A">
        <w:rPr>
          <w:rFonts w:hAnsi="Times New Roman" w:cs="Times New Roman"/>
        </w:rPr>
        <w:t>, 14(6), 695–717.</w:t>
      </w:r>
    </w:p>
    <w:p w:rsidR="00F67A7D" w:rsidRPr="006F386A" w:rsidRDefault="00F67A7D" w:rsidP="00F67A7D">
      <w:pPr>
        <w:pStyle w:val="Body"/>
        <w:spacing w:after="240"/>
        <w:jc w:val="both"/>
        <w:rPr>
          <w:rFonts w:hAnsi="Times New Roman" w:cs="Times New Roman"/>
        </w:rPr>
      </w:pPr>
      <w:r w:rsidRPr="006F386A">
        <w:rPr>
          <w:rFonts w:hAnsi="Times New Roman" w:cs="Times New Roman"/>
        </w:rPr>
        <w:t>[43] Liu, G., and Yang, C. (2010). Application of Fama-French multi-factor model in china</w:t>
      </w:r>
      <w:r w:rsidRPr="006F386A">
        <w:rPr>
          <w:rFonts w:hAnsi="Times New Roman" w:cs="Times New Roman"/>
          <w:lang w:val="fr-FR"/>
        </w:rPr>
        <w:t>’</w:t>
      </w:r>
      <w:r w:rsidRPr="006F386A">
        <w:rPr>
          <w:rFonts w:hAnsi="Times New Roman" w:cs="Times New Roman"/>
        </w:rPr>
        <w:t xml:space="preserve">s bond market during recent financial crisis, </w:t>
      </w:r>
      <w:r w:rsidRPr="006F386A">
        <w:rPr>
          <w:rFonts w:hAnsi="Times New Roman" w:cs="Times New Roman"/>
          <w:i/>
          <w:iCs/>
        </w:rPr>
        <w:t xml:space="preserve">Journal of Zhejiang University (Science Edition), </w:t>
      </w:r>
      <w:r w:rsidRPr="006F386A">
        <w:rPr>
          <w:rFonts w:hAnsi="Times New Roman" w:cs="Times New Roman"/>
        </w:rPr>
        <w:t>4, 396-400.</w:t>
      </w:r>
    </w:p>
    <w:p w:rsidR="00F67A7D" w:rsidRPr="006F386A" w:rsidRDefault="00F67A7D" w:rsidP="00F67A7D">
      <w:pPr>
        <w:pStyle w:val="Body"/>
        <w:spacing w:before="240" w:after="240"/>
        <w:jc w:val="both"/>
        <w:rPr>
          <w:rFonts w:hAnsi="Times New Roman" w:cs="Times New Roman"/>
        </w:rPr>
      </w:pPr>
      <w:r w:rsidRPr="006F386A">
        <w:rPr>
          <w:rFonts w:hAnsi="Times New Roman" w:cs="Times New Roman"/>
        </w:rPr>
        <w:t xml:space="preserve">[44] Bhatnagar, C. S. and Ramlogan, R. (2010). The capital asset pricing model versus the three-factor model: a United Kingdom perspective. </w:t>
      </w:r>
    </w:p>
    <w:p w:rsidR="00F67A7D" w:rsidRPr="006F386A" w:rsidRDefault="00F67A7D" w:rsidP="00F67A7D">
      <w:pPr>
        <w:pStyle w:val="Body"/>
        <w:spacing w:before="240" w:after="240"/>
        <w:jc w:val="both"/>
        <w:rPr>
          <w:rFonts w:hAnsi="Times New Roman" w:cs="Times New Roman"/>
        </w:rPr>
      </w:pPr>
      <w:r w:rsidRPr="006F386A">
        <w:rPr>
          <w:rFonts w:hAnsi="Times New Roman" w:cs="Times New Roman"/>
        </w:rPr>
        <w:t xml:space="preserve">[45] Dimson, E., Nagel, S., Quigley, G. (2003). Capturing the Value premium in the UK 1955-2001, </w:t>
      </w:r>
      <w:r w:rsidRPr="006F386A">
        <w:rPr>
          <w:rFonts w:hAnsi="Times New Roman" w:cs="Times New Roman"/>
          <w:i/>
          <w:iCs/>
        </w:rPr>
        <w:t>Financial Analysts Journal</w:t>
      </w:r>
      <w:r w:rsidRPr="006F386A">
        <w:rPr>
          <w:rFonts w:hAnsi="Times New Roman" w:cs="Times New Roman"/>
        </w:rPr>
        <w:t>, 59(1), 35-46.</w:t>
      </w:r>
    </w:p>
    <w:p w:rsidR="00F67A7D" w:rsidRPr="006F386A" w:rsidRDefault="00F67A7D" w:rsidP="00F67A7D">
      <w:pPr>
        <w:pStyle w:val="Body"/>
        <w:spacing w:after="240"/>
        <w:jc w:val="both"/>
        <w:rPr>
          <w:rFonts w:hAnsi="Times New Roman" w:cs="Times New Roman"/>
        </w:rPr>
      </w:pPr>
      <w:r w:rsidRPr="006F386A">
        <w:rPr>
          <w:rFonts w:hAnsi="Times New Roman" w:cs="Times New Roman"/>
        </w:rPr>
        <w:lastRenderedPageBreak/>
        <w:t>[46] Morelli, D. A. (2007). Beta, size, book-to-market equity and returns: A study based on UK data,</w:t>
      </w:r>
      <w:r w:rsidRPr="006F386A">
        <w:rPr>
          <w:rFonts w:hAnsi="Times New Roman" w:cs="Times New Roman"/>
          <w:i/>
          <w:iCs/>
        </w:rPr>
        <w:t>Journal of Multinational Financial Management</w:t>
      </w:r>
      <w:r w:rsidRPr="006F386A">
        <w:rPr>
          <w:rFonts w:hAnsi="Times New Roman" w:cs="Times New Roman"/>
        </w:rPr>
        <w:t xml:space="preserve">, 17(3), 257-272. </w:t>
      </w:r>
    </w:p>
    <w:p w:rsidR="00D4045C" w:rsidRPr="006F386A" w:rsidRDefault="00D4045C" w:rsidP="00D4045C">
      <w:pPr>
        <w:pStyle w:val="Body"/>
        <w:spacing w:before="240" w:after="240"/>
        <w:jc w:val="both"/>
        <w:rPr>
          <w:rFonts w:hAnsi="Times New Roman" w:cs="Times New Roman"/>
        </w:rPr>
      </w:pPr>
      <w:r w:rsidRPr="006F386A">
        <w:rPr>
          <w:rFonts w:hAnsi="Times New Roman" w:cs="Times New Roman"/>
        </w:rPr>
        <w:t xml:space="preserve">[47] Fama, E. F. and French, K. R. (1996). Multifactor explanations of asset pricing anomalies, </w:t>
      </w:r>
      <w:r w:rsidRPr="006F386A">
        <w:rPr>
          <w:rFonts w:hAnsi="Times New Roman" w:cs="Times New Roman"/>
          <w:i/>
          <w:iCs/>
        </w:rPr>
        <w:t xml:space="preserve">Journal of Finance </w:t>
      </w:r>
      <w:r w:rsidRPr="006F386A">
        <w:rPr>
          <w:rFonts w:hAnsi="Times New Roman" w:cs="Times New Roman"/>
        </w:rPr>
        <w:t>51(1), 55–84.</w:t>
      </w:r>
    </w:p>
    <w:p w:rsidR="00D4045C" w:rsidRPr="006F386A" w:rsidRDefault="00D4045C" w:rsidP="00D4045C">
      <w:pPr>
        <w:pStyle w:val="Body"/>
        <w:spacing w:after="240"/>
        <w:jc w:val="both"/>
        <w:rPr>
          <w:rFonts w:hAnsi="Times New Roman" w:cs="Times New Roman"/>
        </w:rPr>
      </w:pPr>
      <w:r w:rsidRPr="006F386A">
        <w:rPr>
          <w:rFonts w:hAnsi="Times New Roman" w:cs="Times New Roman"/>
        </w:rPr>
        <w:t xml:space="preserve">[48] Brzeszczyński, J. and McIntosh, G. (2014). Performance of Portfolios Composed of British SRI Stocks, </w:t>
      </w:r>
      <w:r w:rsidRPr="006F386A">
        <w:rPr>
          <w:rFonts w:hAnsi="Times New Roman" w:cs="Times New Roman"/>
          <w:i/>
          <w:iCs/>
        </w:rPr>
        <w:t>Journal of Business Ethics</w:t>
      </w:r>
      <w:r w:rsidRPr="006F386A">
        <w:rPr>
          <w:rFonts w:hAnsi="Times New Roman" w:cs="Times New Roman"/>
        </w:rPr>
        <w:t xml:space="preserve">, 120(3), 335–362. </w:t>
      </w:r>
    </w:p>
    <w:p w:rsidR="003225B6" w:rsidRPr="006F386A" w:rsidRDefault="00FD44A0" w:rsidP="003225B6">
      <w:pPr>
        <w:pStyle w:val="Body"/>
        <w:spacing w:before="240" w:after="240"/>
        <w:jc w:val="both"/>
        <w:rPr>
          <w:rFonts w:hAnsi="Times New Roman" w:cs="Times New Roman"/>
        </w:rPr>
      </w:pPr>
      <w:r w:rsidRPr="006F386A">
        <w:rPr>
          <w:rFonts w:hAnsi="Times New Roman" w:cs="Times New Roman"/>
        </w:rPr>
        <w:t>[49] Hung, C. D. (2008) Momentum, Size and Value Factors versus Systematic Co-Moments in Stock Returns.</w:t>
      </w:r>
    </w:p>
    <w:p w:rsidR="003225B6" w:rsidRPr="006F386A" w:rsidRDefault="003225B6" w:rsidP="003225B6">
      <w:pPr>
        <w:pStyle w:val="Body"/>
        <w:spacing w:before="240" w:after="240"/>
        <w:jc w:val="both"/>
        <w:rPr>
          <w:rFonts w:hAnsi="Times New Roman" w:cs="Times New Roman"/>
        </w:rPr>
      </w:pPr>
      <w:r w:rsidRPr="006F386A">
        <w:rPr>
          <w:rFonts w:hAnsi="Times New Roman" w:cs="Times New Roman"/>
        </w:rPr>
        <w:t>[50] Petkova, R. (2006). Do the Fama–French Factors Proxy for Innovations in Predictive Variables?, Journal of Finance, 61(2),  581-612</w:t>
      </w:r>
      <w:r w:rsidR="00B02336" w:rsidRPr="006F386A">
        <w:rPr>
          <w:rFonts w:hAnsi="Times New Roman" w:cs="Times New Roman"/>
        </w:rPr>
        <w:t>.</w:t>
      </w:r>
    </w:p>
    <w:p w:rsidR="00B02336" w:rsidRPr="006F386A" w:rsidRDefault="0024342E" w:rsidP="003225B6">
      <w:pPr>
        <w:pStyle w:val="Body"/>
        <w:spacing w:before="240" w:after="240"/>
        <w:jc w:val="both"/>
        <w:rPr>
          <w:rFonts w:hAnsi="Times New Roman" w:cs="Times New Roman"/>
          <w:color w:val="000000" w:themeColor="text1"/>
          <w:u w:color="2E2E2E"/>
        </w:rPr>
      </w:pPr>
      <w:r w:rsidRPr="006F386A">
        <w:rPr>
          <w:rFonts w:hAnsi="Times New Roman" w:cs="Times New Roman"/>
        </w:rPr>
        <w:t xml:space="preserve">[51] </w:t>
      </w:r>
      <w:r w:rsidRPr="006F386A">
        <w:rPr>
          <w:rFonts w:hAnsi="Times New Roman" w:cs="Times New Roman"/>
          <w:color w:val="000000" w:themeColor="text1"/>
          <w:u w:color="2E2E2E"/>
        </w:rPr>
        <w:t xml:space="preserve">Burghof, H. and Prothmann, F. (2011). The 52-week high strategy and information uncertainty, </w:t>
      </w:r>
      <w:r w:rsidRPr="006F386A">
        <w:rPr>
          <w:rFonts w:hAnsi="Times New Roman" w:cs="Times New Roman"/>
          <w:i/>
          <w:iCs/>
          <w:color w:val="000000" w:themeColor="text1"/>
          <w:u w:color="2E2E2E"/>
        </w:rPr>
        <w:t>Financial Markets and Portfolio Management</w:t>
      </w:r>
      <w:r w:rsidRPr="006F386A">
        <w:rPr>
          <w:rFonts w:hAnsi="Times New Roman" w:cs="Times New Roman"/>
          <w:color w:val="000000" w:themeColor="text1"/>
          <w:u w:color="2E2E2E"/>
        </w:rPr>
        <w:t>, 25(4), 345-378.</w:t>
      </w:r>
    </w:p>
    <w:p w:rsidR="00C74EF2" w:rsidRPr="006F386A" w:rsidRDefault="0024342E" w:rsidP="0024342E">
      <w:pPr>
        <w:pStyle w:val="Body"/>
        <w:spacing w:before="240" w:after="240"/>
        <w:jc w:val="both"/>
        <w:rPr>
          <w:rFonts w:hAnsi="Times New Roman" w:cs="Times New Roman"/>
        </w:rPr>
      </w:pPr>
      <w:r w:rsidRPr="006F386A">
        <w:rPr>
          <w:rFonts w:hAnsi="Times New Roman" w:cs="Times New Roman"/>
          <w:color w:val="2E2E2E"/>
          <w:u w:color="2E2E2E"/>
        </w:rPr>
        <w:t xml:space="preserve">[52] </w:t>
      </w:r>
      <w:r w:rsidRPr="006F386A">
        <w:rPr>
          <w:rFonts w:hAnsi="Times New Roman" w:cs="Times New Roman"/>
        </w:rPr>
        <w:t>Allen, D. E., Singh A. K. and Powell, R. (2009).  Asset pricing, the Fama-French factor model and the implications of quantile regression analysis.</w:t>
      </w:r>
      <w:r w:rsidRPr="006F386A">
        <w:rPr>
          <w:rFonts w:hAnsi="Times New Roman" w:cs="Times New Roman"/>
          <w:i/>
          <w:iCs/>
        </w:rPr>
        <w:t>Edith Cowan University</w:t>
      </w:r>
      <w:r w:rsidRPr="006F386A">
        <w:rPr>
          <w:rFonts w:hAnsi="Times New Roman" w:cs="Times New Roman"/>
        </w:rPr>
        <w:t>.</w:t>
      </w:r>
    </w:p>
    <w:p w:rsidR="00C74EF2" w:rsidRPr="006F386A" w:rsidRDefault="00C74EF2" w:rsidP="0024342E">
      <w:pPr>
        <w:pStyle w:val="Body"/>
        <w:spacing w:before="240" w:after="240"/>
        <w:jc w:val="both"/>
        <w:rPr>
          <w:rFonts w:hAnsi="Times New Roman" w:cs="Times New Roman"/>
        </w:rPr>
      </w:pPr>
      <w:r w:rsidRPr="006F386A">
        <w:rPr>
          <w:rFonts w:hAnsi="Times New Roman" w:cs="Times New Roman"/>
        </w:rPr>
        <w:t>[53] Ruppert, D. (2011). Statistics and data analysis for financial engineering. New York: Springer.</w:t>
      </w:r>
    </w:p>
    <w:p w:rsidR="00C74EF2" w:rsidRPr="006F386A" w:rsidRDefault="0024342E" w:rsidP="00C74EF2">
      <w:pPr>
        <w:pStyle w:val="Body"/>
        <w:spacing w:before="240" w:after="240"/>
        <w:jc w:val="both"/>
        <w:rPr>
          <w:rFonts w:hAnsi="Times New Roman" w:cs="Times New Roman"/>
        </w:rPr>
      </w:pPr>
      <w:r w:rsidRPr="006F386A">
        <w:rPr>
          <w:rFonts w:hAnsi="Times New Roman" w:cs="Times New Roman"/>
        </w:rPr>
        <w:t xml:space="preserve"> </w:t>
      </w:r>
      <w:r w:rsidR="00C74EF2" w:rsidRPr="006F386A">
        <w:rPr>
          <w:rFonts w:hAnsi="Times New Roman" w:cs="Times New Roman"/>
        </w:rPr>
        <w:t xml:space="preserve">[54] </w:t>
      </w:r>
      <w:r w:rsidR="00C74EF2" w:rsidRPr="006F386A">
        <w:rPr>
          <w:rFonts w:hAnsi="Times New Roman" w:cs="Times New Roman"/>
          <w:lang w:val="fr-FR"/>
        </w:rPr>
        <w:t xml:space="preserve">Lui, W., Strong, N., Xu, X. (1999). </w:t>
      </w:r>
      <w:r w:rsidR="00C74EF2" w:rsidRPr="006F386A">
        <w:rPr>
          <w:rFonts w:hAnsi="Times New Roman" w:cs="Times New Roman"/>
        </w:rPr>
        <w:t>The profitability of momentum investing.</w:t>
      </w:r>
      <w:r w:rsidR="00C74EF2" w:rsidRPr="006F386A">
        <w:rPr>
          <w:rFonts w:hAnsi="Times New Roman" w:cs="Times New Roman"/>
          <w:i/>
          <w:iCs/>
        </w:rPr>
        <w:t>Journal of Business Finance and Accounting</w:t>
      </w:r>
      <w:r w:rsidR="00C74EF2" w:rsidRPr="006F386A">
        <w:rPr>
          <w:rFonts w:hAnsi="Times New Roman" w:cs="Times New Roman"/>
        </w:rPr>
        <w:t xml:space="preserve">, 26(9,10), 1043-1091. </w:t>
      </w:r>
    </w:p>
    <w:p w:rsidR="0024342E" w:rsidRPr="006F386A" w:rsidRDefault="00EE4ADF" w:rsidP="0024342E">
      <w:pPr>
        <w:pStyle w:val="Body"/>
        <w:spacing w:before="240" w:after="240"/>
        <w:jc w:val="both"/>
        <w:rPr>
          <w:rFonts w:hAnsi="Times New Roman" w:cs="Times New Roman"/>
        </w:rPr>
      </w:pPr>
      <w:r w:rsidRPr="006F386A">
        <w:rPr>
          <w:rFonts w:hAnsi="Times New Roman" w:cs="Times New Roman"/>
        </w:rPr>
        <w:t xml:space="preserve">[55] Miles, D., Timmermann, A. (1996). Variation in expected stock returns: Evidence on the pricing of equities from a cross-section of UK companies. </w:t>
      </w:r>
      <w:r w:rsidRPr="006F386A">
        <w:rPr>
          <w:rFonts w:hAnsi="Times New Roman" w:cs="Times New Roman"/>
          <w:i/>
          <w:iCs/>
          <w:lang w:val="es-ES_tradnl"/>
        </w:rPr>
        <w:t>Economica</w:t>
      </w:r>
      <w:r w:rsidRPr="006F386A">
        <w:rPr>
          <w:rFonts w:hAnsi="Times New Roman" w:cs="Times New Roman"/>
        </w:rPr>
        <w:t>,  63 (251), 369-382.</w:t>
      </w:r>
    </w:p>
    <w:p w:rsidR="00087EB0" w:rsidRPr="006F386A" w:rsidRDefault="00087EB0" w:rsidP="00087EB0">
      <w:pPr>
        <w:pStyle w:val="Body"/>
        <w:spacing w:before="240" w:after="240"/>
        <w:jc w:val="both"/>
        <w:rPr>
          <w:rFonts w:hAnsi="Times New Roman" w:cs="Times New Roman"/>
        </w:rPr>
      </w:pPr>
      <w:r w:rsidRPr="006F386A">
        <w:rPr>
          <w:rFonts w:hAnsi="Times New Roman" w:cs="Times New Roman"/>
        </w:rPr>
        <w:t>[56] Gregory, A., Harris, R.D.F., Michou, M. (2001). An analysis of contrarian investment strategies in the UK.</w:t>
      </w:r>
      <w:r w:rsidRPr="006F386A">
        <w:rPr>
          <w:rFonts w:hAnsi="Times New Roman" w:cs="Times New Roman"/>
          <w:i/>
          <w:iCs/>
        </w:rPr>
        <w:t>Journal of Business Finance and Accounting</w:t>
      </w:r>
      <w:r w:rsidRPr="006F386A">
        <w:rPr>
          <w:rFonts w:hAnsi="Times New Roman" w:cs="Times New Roman"/>
        </w:rPr>
        <w:t xml:space="preserve">, 28(9,10), 1192-1228. </w:t>
      </w:r>
    </w:p>
    <w:p w:rsidR="00087EB0" w:rsidRPr="006F386A" w:rsidRDefault="00087EB0" w:rsidP="00087EB0">
      <w:pPr>
        <w:pStyle w:val="Body"/>
        <w:spacing w:before="240" w:after="240"/>
        <w:jc w:val="both"/>
        <w:rPr>
          <w:rFonts w:hAnsi="Times New Roman" w:cs="Times New Roman"/>
        </w:rPr>
      </w:pPr>
      <w:r w:rsidRPr="006F386A">
        <w:rPr>
          <w:rFonts w:hAnsi="Times New Roman" w:cs="Times New Roman"/>
        </w:rPr>
        <w:t xml:space="preserve">[57] Fletcher, J. (2001). An examination of alternative factor models in UK stock returns. </w:t>
      </w:r>
      <w:r w:rsidRPr="006F386A">
        <w:rPr>
          <w:rFonts w:hAnsi="Times New Roman" w:cs="Times New Roman"/>
          <w:i/>
          <w:iCs/>
        </w:rPr>
        <w:t>Review of Quantitative Finance and Accounting</w:t>
      </w:r>
      <w:r w:rsidRPr="006F386A">
        <w:rPr>
          <w:rFonts w:hAnsi="Times New Roman" w:cs="Times New Roman"/>
        </w:rPr>
        <w:t xml:space="preserve">, 16(2), 117-130. </w:t>
      </w:r>
    </w:p>
    <w:p w:rsidR="00970383" w:rsidRPr="006F386A" w:rsidRDefault="00970383" w:rsidP="00087EB0">
      <w:pPr>
        <w:pStyle w:val="Body"/>
        <w:spacing w:before="240" w:after="240"/>
        <w:jc w:val="both"/>
        <w:rPr>
          <w:rFonts w:hAnsi="Times New Roman" w:cs="Times New Roman"/>
        </w:rPr>
      </w:pPr>
      <w:r w:rsidRPr="006F386A">
        <w:rPr>
          <w:rFonts w:hAnsi="Times New Roman" w:cs="Times New Roman"/>
        </w:rPr>
        <w:t xml:space="preserve">[58] Cohcrane, J. H. (2001). </w:t>
      </w:r>
      <w:r w:rsidRPr="006F386A">
        <w:rPr>
          <w:rFonts w:hAnsi="Times New Roman" w:cs="Times New Roman"/>
          <w:i/>
          <w:iCs/>
        </w:rPr>
        <w:t>Asset Pricing (1st edn.).</w:t>
      </w:r>
      <w:r w:rsidRPr="006F386A">
        <w:rPr>
          <w:rFonts w:hAnsi="Times New Roman" w:cs="Times New Roman"/>
        </w:rPr>
        <w:t xml:space="preserve"> Princeton University Press</w:t>
      </w:r>
    </w:p>
    <w:p w:rsidR="0024342E" w:rsidRPr="006F386A" w:rsidRDefault="00873643" w:rsidP="003225B6">
      <w:pPr>
        <w:pStyle w:val="Body"/>
        <w:spacing w:before="240" w:after="240"/>
        <w:jc w:val="both"/>
        <w:rPr>
          <w:rFonts w:hAnsi="Times New Roman" w:cs="Times New Roman"/>
        </w:rPr>
      </w:pPr>
      <w:r w:rsidRPr="006F386A">
        <w:rPr>
          <w:rFonts w:hAnsi="Times New Roman" w:cs="Times New Roman"/>
        </w:rPr>
        <w:t xml:space="preserve">[59] Gujarati, D. N. (2004). </w:t>
      </w:r>
      <w:r w:rsidRPr="006F386A">
        <w:rPr>
          <w:rFonts w:hAnsi="Times New Roman" w:cs="Times New Roman"/>
          <w:i/>
          <w:iCs/>
        </w:rPr>
        <w:t>Basic Econometrics</w:t>
      </w:r>
      <w:r w:rsidRPr="006F386A">
        <w:rPr>
          <w:rFonts w:hAnsi="Times New Roman" w:cs="Times New Roman"/>
        </w:rPr>
        <w:t>.(4</w:t>
      </w:r>
      <w:r w:rsidRPr="006F386A">
        <w:rPr>
          <w:rFonts w:hAnsi="Times New Roman" w:cs="Times New Roman"/>
          <w:vertAlign w:val="superscript"/>
        </w:rPr>
        <w:t>th</w:t>
      </w:r>
      <w:r w:rsidR="00970383" w:rsidRPr="006F386A">
        <w:rPr>
          <w:rFonts w:hAnsi="Times New Roman" w:cs="Times New Roman"/>
          <w:vertAlign w:val="superscript"/>
        </w:rPr>
        <w:t xml:space="preserve"> </w:t>
      </w:r>
      <w:r w:rsidRPr="006F386A">
        <w:rPr>
          <w:rFonts w:hAnsi="Times New Roman" w:cs="Times New Roman"/>
        </w:rPr>
        <w:t>edn.). New York: The McGraw−Hill.</w:t>
      </w:r>
    </w:p>
    <w:p w:rsidR="00F43885" w:rsidRPr="006F386A" w:rsidRDefault="00F43885">
      <w:pPr>
        <w:pStyle w:val="Body"/>
        <w:spacing w:after="240"/>
        <w:rPr>
          <w:rFonts w:hAnsi="Times New Roman" w:cs="Times New Roman"/>
          <w:i/>
          <w:iCs/>
          <w:sz w:val="20"/>
          <w:szCs w:val="20"/>
        </w:rPr>
      </w:pPr>
    </w:p>
    <w:p w:rsidR="00F43885" w:rsidRPr="006F386A" w:rsidRDefault="00F43885">
      <w:pPr>
        <w:pStyle w:val="Body"/>
        <w:spacing w:after="240"/>
        <w:rPr>
          <w:rFonts w:hAnsi="Times New Roman" w:cs="Times New Roman"/>
          <w:i/>
          <w:iCs/>
          <w:sz w:val="20"/>
          <w:szCs w:val="20"/>
        </w:rPr>
      </w:pPr>
    </w:p>
    <w:p w:rsidR="00F43885" w:rsidRPr="006F386A" w:rsidRDefault="00F43885">
      <w:pPr>
        <w:pStyle w:val="Body"/>
        <w:spacing w:after="240"/>
        <w:rPr>
          <w:rFonts w:hAnsi="Times New Roman" w:cs="Times New Roman"/>
          <w:i/>
          <w:iCs/>
          <w:sz w:val="20"/>
          <w:szCs w:val="20"/>
        </w:rPr>
      </w:pPr>
    </w:p>
    <w:p w:rsidR="00030019" w:rsidRPr="006F386A" w:rsidRDefault="00030019" w:rsidP="00030019">
      <w:pPr>
        <w:pStyle w:val="Body"/>
        <w:widowControl w:val="0"/>
        <w:jc w:val="both"/>
        <w:rPr>
          <w:rFonts w:hAnsi="Times New Roman" w:cs="Times New Roman"/>
        </w:rPr>
      </w:pPr>
    </w:p>
    <w:p w:rsidR="00030019" w:rsidRPr="006F386A" w:rsidRDefault="00030019" w:rsidP="00030019">
      <w:pPr>
        <w:pStyle w:val="Body"/>
        <w:widowControl w:val="0"/>
        <w:jc w:val="both"/>
        <w:rPr>
          <w:rFonts w:hAnsi="Times New Roman" w:cs="Times New Roman"/>
        </w:rPr>
      </w:pPr>
    </w:p>
    <w:p w:rsidR="00030019" w:rsidRPr="006F386A" w:rsidRDefault="00030019" w:rsidP="00030019">
      <w:pPr>
        <w:pStyle w:val="Body"/>
        <w:spacing w:after="240"/>
        <w:jc w:val="both"/>
        <w:rPr>
          <w:rFonts w:hAnsi="Times New Roman" w:cs="Times New Roman"/>
          <w:b/>
          <w:bCs/>
        </w:rPr>
      </w:pPr>
    </w:p>
    <w:p w:rsidR="00030019" w:rsidRPr="006F386A" w:rsidRDefault="00030019" w:rsidP="00030019">
      <w:pPr>
        <w:pStyle w:val="Body"/>
        <w:widowControl w:val="0"/>
        <w:spacing w:before="240" w:after="240"/>
        <w:jc w:val="both"/>
        <w:rPr>
          <w:rFonts w:hAnsi="Times New Roman" w:cs="Times New Roman"/>
        </w:rPr>
      </w:pPr>
    </w:p>
    <w:p w:rsidR="001E54C3" w:rsidRPr="006F386A" w:rsidRDefault="001E54C3">
      <w:pPr>
        <w:pStyle w:val="Body"/>
        <w:spacing w:after="240"/>
        <w:rPr>
          <w:rFonts w:hAnsi="Times New Roman" w:cs="Times New Roman"/>
          <w:i/>
          <w:iCs/>
          <w:sz w:val="20"/>
          <w:szCs w:val="20"/>
        </w:rPr>
      </w:pPr>
    </w:p>
    <w:p w:rsidR="00F43885" w:rsidRPr="006F386A" w:rsidRDefault="00B72280">
      <w:pPr>
        <w:pStyle w:val="Body"/>
        <w:rPr>
          <w:rFonts w:hAnsi="Times New Roman" w:cs="Times New Roman"/>
          <w:b/>
          <w:bCs/>
          <w:sz w:val="28"/>
          <w:szCs w:val="28"/>
        </w:rPr>
      </w:pPr>
      <w:r w:rsidRPr="006F386A">
        <w:rPr>
          <w:rFonts w:hAnsi="Times New Roman" w:cs="Times New Roman"/>
          <w:b/>
          <w:bCs/>
          <w:sz w:val="28"/>
          <w:szCs w:val="28"/>
        </w:rPr>
        <w:lastRenderedPageBreak/>
        <w:t>Appendix 1: List of observed Stocks</w:t>
      </w:r>
    </w:p>
    <w:p w:rsidR="00F43885" w:rsidRPr="006F386A" w:rsidRDefault="00F43885">
      <w:pPr>
        <w:pStyle w:val="Body"/>
        <w:widowControl w:val="0"/>
        <w:rPr>
          <w:rFonts w:hAnsi="Times New Roman" w:cs="Times New Roman"/>
          <w:i/>
          <w:iCs/>
          <w:sz w:val="20"/>
          <w:szCs w:val="20"/>
        </w:rPr>
      </w:pPr>
    </w:p>
    <w:tbl>
      <w:tblPr>
        <w:tblW w:w="96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56"/>
        <w:gridCol w:w="2556"/>
        <w:gridCol w:w="1956"/>
        <w:gridCol w:w="496"/>
        <w:gridCol w:w="2300"/>
        <w:gridCol w:w="1876"/>
      </w:tblGrid>
      <w:tr w:rsidR="00F43885" w:rsidRPr="006F386A">
        <w:trPr>
          <w:trHeight w:val="3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b/>
                <w:bCs/>
              </w:rPr>
              <w:t> </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b/>
                <w:bCs/>
              </w:rPr>
              <w:t>Name</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F43885" w:rsidRPr="006F386A" w:rsidRDefault="00B72280">
            <w:pPr>
              <w:pStyle w:val="Body"/>
              <w:jc w:val="center"/>
              <w:rPr>
                <w:rFonts w:hAnsi="Times New Roman" w:cs="Times New Roman"/>
              </w:rPr>
            </w:pPr>
            <w:r w:rsidRPr="006F386A">
              <w:rPr>
                <w:rFonts w:hAnsi="Times New Roman" w:cs="Times New Roman"/>
                <w:b/>
                <w:bCs/>
              </w:rPr>
              <w:t>Symbol</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B72280">
            <w:pPr>
              <w:pStyle w:val="Body"/>
              <w:rPr>
                <w:rFonts w:hAnsi="Times New Roman" w:cs="Times New Roman"/>
              </w:rPr>
            </w:pPr>
            <w:r w:rsidRPr="006F386A">
              <w:rPr>
                <w:rFonts w:hAnsi="Times New Roman" w:cs="Times New Roman"/>
              </w:rPr>
              <w:t> </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b/>
                <w:bCs/>
              </w:rPr>
              <w:t>Name</w:t>
            </w:r>
          </w:p>
        </w:tc>
        <w:tc>
          <w:tcPr>
            <w:tcW w:w="18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F43885" w:rsidRPr="006F386A" w:rsidRDefault="00B72280">
            <w:pPr>
              <w:pStyle w:val="Body"/>
              <w:jc w:val="center"/>
              <w:rPr>
                <w:rFonts w:hAnsi="Times New Roman" w:cs="Times New Roman"/>
              </w:rPr>
            </w:pPr>
            <w:r w:rsidRPr="006F386A">
              <w:rPr>
                <w:rFonts w:hAnsi="Times New Roman" w:cs="Times New Roman"/>
                <w:b/>
                <w:bCs/>
              </w:rPr>
              <w:t>Symbol</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Anglo American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AAL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48</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Lloyds Banking Group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LLOY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2</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Associated British Foods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ABF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49</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London Stock Exchange Group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LSE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3</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Admiral Group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ADM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50</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Meggitt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MGGT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4</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Aberdeen Asset Management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ADN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51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Marks &amp; Spencer Group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MKS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5</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Aggreko PLC</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F43885" w:rsidRPr="006F386A" w:rsidRDefault="00B72280">
            <w:pPr>
              <w:pStyle w:val="Body"/>
              <w:rPr>
                <w:rFonts w:hAnsi="Times New Roman" w:cs="Times New Roman"/>
              </w:rPr>
            </w:pPr>
            <w:r w:rsidRPr="006F386A">
              <w:rPr>
                <w:rFonts w:hAnsi="Times New Roman" w:cs="Times New Roman"/>
              </w:rPr>
              <w:t>AGK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52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Mondi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MNDI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6</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Ashtead Group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AHT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53</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Morrison (Wm) Supermarkets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MRW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7</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Antofagasta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ANTO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54</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National Grid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NG/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8</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ARM Holdings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ARM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55</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Next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NXT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9</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Aviva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AV/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56</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Old Mutual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OML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10</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AstraZeneca PLC</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AZN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57</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Petrofac Ltd</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PFC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lastRenderedPageBreak/>
              <w:t>11</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BAE Systems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BA/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58</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Prudential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PRU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12</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Babcock International Group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BAB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59</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Persimmon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PSN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13</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Barclays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BARC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60</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Pearson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PSON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14</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British American Tobacco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BATS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61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Reckitt Benckiser Group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RB/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15</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Barratt Developments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BDEV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62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Royal Bank of Scotland Group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RBS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16</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BG Group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BG/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63</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Royal Dutch Shell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RDSA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17</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British Land Co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BLND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64</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Royal Dutch Shell PLC</w:t>
            </w:r>
          </w:p>
        </w:tc>
        <w:tc>
          <w:tcPr>
            <w:tcW w:w="18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RDSB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18</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BHP Billiton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BLT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65</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Reed Elsevier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REL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19</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Bunzl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BNZL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66</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REX American Resources Corporation</w:t>
            </w:r>
          </w:p>
        </w:tc>
        <w:tc>
          <w:tcPr>
            <w:tcW w:w="18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REX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20</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BP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BP/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67</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Rio Tinto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RIO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21</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Burberry Group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BRBY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68</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Rolls-Royce Group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RR/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lastRenderedPageBreak/>
              <w:t>22</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Carnival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CCL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69</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Randgold Resources Ltd</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RRS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23</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Centrica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CNA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70</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RSA Insurance Group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RSA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24</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Compass Group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CPG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71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SABMiller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SAB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25</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Capita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CPI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72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Sainsbury (J)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SBRY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26</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CRH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CRH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73</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Schroders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SDR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27</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Diageo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DGE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74</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Sage Group (The)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SGE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28</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Experian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EXPN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75</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Shire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SHP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29</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easyJet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EZJ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76</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Standard Life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SL/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30</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Fresnillo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FRES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77</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Smiths Group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SMIN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31</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G4S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GFS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78</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Smith &amp; Nephew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SN/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32</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GKN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GKN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79</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Sports Direct International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SPD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33</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GlaxoSmithKline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GSK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80</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SSE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SSE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lastRenderedPageBreak/>
              <w:t>34</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Hargreaves Lansdown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HL/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81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Standard Chartered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STAN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35</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Hammerson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HMSO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82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St James's Place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STJ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36</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HSBC Holdings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HSBA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83</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Severn Trent PLC</w:t>
            </w:r>
          </w:p>
        </w:tc>
        <w:tc>
          <w:tcPr>
            <w:tcW w:w="18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SVT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37</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InterContinental Hotels Group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IHG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84</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Tullow Oil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TLW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38</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3i Group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III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85</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Travis Perkins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TPK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39</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IMI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IMI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86</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Tesco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TSCO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40</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Imperial Tobacco Group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IMT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87</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TUI Travel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TT/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41</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intu properties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INTU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88</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Unilever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ULVR LN Equity</w:t>
            </w:r>
          </w:p>
        </w:tc>
      </w:tr>
      <w:tr w:rsidR="00F43885" w:rsidRPr="006F386A">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42</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Intertek Group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ITRK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89</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United Utilities Group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UU/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43</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ITV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ITV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90</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Vodafone Group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VOD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44</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Johnson Matthey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JMAT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91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Weir Group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WEIR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lastRenderedPageBreak/>
              <w:t>45</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Kingfisher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KGF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92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Wolseley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WOS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46</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Land Securities Group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LAND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93</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WPP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WPP LN Equity</w:t>
            </w:r>
          </w:p>
        </w:tc>
      </w:tr>
      <w:tr w:rsidR="00F43885" w:rsidRPr="006F386A">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47</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Legal and General group PLC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LGEN LN Equity</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94</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rPr>
                <w:rFonts w:hAnsi="Times New Roman" w:cs="Times New Roman"/>
              </w:rPr>
            </w:pPr>
            <w:r w:rsidRPr="006F386A">
              <w:rPr>
                <w:rFonts w:hAnsi="Times New Roman" w:cs="Times New Roman"/>
              </w:rPr>
              <w:t>Whitbread PLC</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WTB LN Equity</w:t>
            </w:r>
          </w:p>
        </w:tc>
      </w:tr>
    </w:tbl>
    <w:p w:rsidR="00F43885" w:rsidRPr="006F386A" w:rsidRDefault="00F43885">
      <w:pPr>
        <w:pStyle w:val="Body"/>
        <w:widowControl w:val="0"/>
        <w:rPr>
          <w:rFonts w:hAnsi="Times New Roman" w:cs="Times New Roman"/>
          <w:i/>
          <w:iCs/>
          <w:sz w:val="20"/>
          <w:szCs w:val="20"/>
        </w:rPr>
      </w:pPr>
    </w:p>
    <w:p w:rsidR="00F43885" w:rsidRPr="006F386A" w:rsidRDefault="00F43885">
      <w:pPr>
        <w:pStyle w:val="Body"/>
        <w:rPr>
          <w:rFonts w:hAnsi="Times New Roman" w:cs="Times New Roman"/>
          <w:i/>
          <w:iCs/>
          <w:sz w:val="20"/>
          <w:szCs w:val="20"/>
        </w:rPr>
      </w:pPr>
    </w:p>
    <w:p w:rsidR="00F43885" w:rsidRPr="006F386A" w:rsidRDefault="00F43885">
      <w:pPr>
        <w:pStyle w:val="Body"/>
        <w:rPr>
          <w:rFonts w:hAnsi="Times New Roman" w:cs="Times New Roman"/>
          <w:i/>
          <w:iCs/>
          <w:sz w:val="20"/>
          <w:szCs w:val="20"/>
        </w:rPr>
      </w:pPr>
    </w:p>
    <w:p w:rsidR="00F43885" w:rsidRPr="006F386A" w:rsidRDefault="00B72280">
      <w:pPr>
        <w:pStyle w:val="Heading"/>
        <w:rPr>
          <w:rFonts w:hAnsi="Times New Roman" w:cs="Times New Roman"/>
        </w:rPr>
      </w:pPr>
      <w:r w:rsidRPr="006F386A">
        <w:rPr>
          <w:rFonts w:hAnsi="Times New Roman" w:cs="Times New Roman"/>
        </w:rPr>
        <w:t>Appendix 2: Test results for Fama and French three-factor model</w:t>
      </w:r>
    </w:p>
    <w:p w:rsidR="00F43885" w:rsidRPr="006F386A" w:rsidRDefault="00F43885">
      <w:pPr>
        <w:pStyle w:val="Body"/>
        <w:widowControl w:val="0"/>
        <w:rPr>
          <w:rFonts w:hAnsi="Times New Roman" w:cs="Times New Roman"/>
        </w:rPr>
      </w:pPr>
    </w:p>
    <w:tbl>
      <w:tblPr>
        <w:tblW w:w="988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563"/>
        <w:gridCol w:w="1387"/>
        <w:gridCol w:w="1387"/>
        <w:gridCol w:w="1387"/>
        <w:gridCol w:w="1387"/>
        <w:gridCol w:w="1387"/>
        <w:gridCol w:w="1389"/>
      </w:tblGrid>
      <w:tr w:rsidR="00F43885" w:rsidRPr="006F386A">
        <w:trPr>
          <w:trHeight w:val="300"/>
        </w:trPr>
        <w:tc>
          <w:tcPr>
            <w:tcW w:w="15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F43885"/>
        </w:tc>
        <w:tc>
          <w:tcPr>
            <w:tcW w:w="832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jc w:val="center"/>
              <w:rPr>
                <w:rFonts w:hAnsi="Times New Roman" w:cs="Times New Roman"/>
              </w:rPr>
            </w:pPr>
            <w:r w:rsidRPr="006F386A">
              <w:rPr>
                <w:rFonts w:hAnsi="Times New Roman" w:cs="Times New Roman"/>
                <w:b/>
                <w:bCs/>
              </w:rPr>
              <w:t>Portfolios</w:t>
            </w:r>
          </w:p>
        </w:tc>
      </w:tr>
      <w:tr w:rsidR="00F43885" w:rsidRPr="006F386A">
        <w:trPr>
          <w:trHeight w:val="300"/>
        </w:trPr>
        <w:tc>
          <w:tcPr>
            <w:tcW w:w="1563" w:type="dxa"/>
            <w:vMerge/>
            <w:tcBorders>
              <w:top w:val="single" w:sz="4" w:space="0" w:color="000000"/>
              <w:left w:val="single" w:sz="4" w:space="0" w:color="000000"/>
              <w:bottom w:val="single" w:sz="4" w:space="0" w:color="000000"/>
              <w:right w:val="single" w:sz="4" w:space="0" w:color="000000"/>
            </w:tcBorders>
            <w:shd w:val="clear" w:color="auto" w:fill="auto"/>
          </w:tcPr>
          <w:p w:rsidR="00F43885" w:rsidRPr="006F386A" w:rsidRDefault="00F43885"/>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S/L</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S/M</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S/H</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B/L</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B/M</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B/H</w:t>
            </w:r>
          </w:p>
        </w:tc>
      </w:tr>
      <w:tr w:rsidR="00F43885" w:rsidRPr="006F386A">
        <w:trPr>
          <w:trHeight w:val="600"/>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Constant C</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-0.403823</w:t>
            </w:r>
          </w:p>
          <w:p w:rsidR="00F43885" w:rsidRPr="006F386A" w:rsidRDefault="00B72280">
            <w:pPr>
              <w:pStyle w:val="Body"/>
              <w:jc w:val="center"/>
              <w:rPr>
                <w:rFonts w:hAnsi="Times New Roman" w:cs="Times New Roman"/>
              </w:rPr>
            </w:pPr>
            <w:r w:rsidRPr="006F386A">
              <w:rPr>
                <w:rFonts w:hAnsi="Times New Roman" w:cs="Times New Roman"/>
              </w:rPr>
              <w:t>(0.4279)</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0.499171</w:t>
            </w:r>
          </w:p>
          <w:p w:rsidR="00F43885" w:rsidRPr="006F386A" w:rsidRDefault="00B72280">
            <w:pPr>
              <w:pStyle w:val="Body"/>
              <w:ind w:right="10"/>
              <w:jc w:val="center"/>
              <w:rPr>
                <w:rFonts w:hAnsi="Times New Roman" w:cs="Times New Roman"/>
              </w:rPr>
            </w:pPr>
            <w:r w:rsidRPr="006F386A">
              <w:rPr>
                <w:rFonts w:hAnsi="Times New Roman" w:cs="Times New Roman"/>
              </w:rPr>
              <w:t>(0.2656)</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-0.578367</w:t>
            </w:r>
          </w:p>
          <w:p w:rsidR="00F43885" w:rsidRPr="006F386A" w:rsidRDefault="00B72280">
            <w:pPr>
              <w:pStyle w:val="Body"/>
              <w:jc w:val="center"/>
              <w:rPr>
                <w:rFonts w:hAnsi="Times New Roman" w:cs="Times New Roman"/>
              </w:rPr>
            </w:pPr>
            <w:r w:rsidRPr="006F386A">
              <w:rPr>
                <w:rFonts w:hAnsi="Times New Roman" w:cs="Times New Roman"/>
              </w:rPr>
              <w:t>(0.2198)</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-0.146784</w:t>
            </w:r>
          </w:p>
          <w:p w:rsidR="00F43885" w:rsidRPr="006F386A" w:rsidRDefault="00B72280">
            <w:pPr>
              <w:pStyle w:val="Body"/>
              <w:jc w:val="center"/>
              <w:rPr>
                <w:rFonts w:hAnsi="Times New Roman" w:cs="Times New Roman"/>
              </w:rPr>
            </w:pPr>
            <w:r w:rsidRPr="006F386A">
              <w:rPr>
                <w:rFonts w:hAnsi="Times New Roman" w:cs="Times New Roman"/>
              </w:rPr>
              <w:t>(0.7455)</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-0.363995</w:t>
            </w:r>
          </w:p>
          <w:p w:rsidR="00F43885" w:rsidRPr="006F386A" w:rsidRDefault="00B72280">
            <w:pPr>
              <w:pStyle w:val="Body"/>
              <w:jc w:val="center"/>
              <w:rPr>
                <w:rFonts w:hAnsi="Times New Roman" w:cs="Times New Roman"/>
              </w:rPr>
            </w:pPr>
            <w:r w:rsidRPr="006F386A">
              <w:rPr>
                <w:rFonts w:hAnsi="Times New Roman" w:cs="Times New Roman"/>
              </w:rPr>
              <w:t>(0.4132)</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0.027760</w:t>
            </w:r>
          </w:p>
          <w:p w:rsidR="00F43885" w:rsidRPr="006F386A" w:rsidRDefault="00B72280">
            <w:pPr>
              <w:pStyle w:val="Body"/>
              <w:jc w:val="center"/>
              <w:rPr>
                <w:rFonts w:hAnsi="Times New Roman" w:cs="Times New Roman"/>
              </w:rPr>
            </w:pPr>
            <w:r w:rsidRPr="006F386A">
              <w:rPr>
                <w:rFonts w:hAnsi="Times New Roman" w:cs="Times New Roman"/>
              </w:rPr>
              <w:t>(0.9561)</w:t>
            </w:r>
          </w:p>
        </w:tc>
      </w:tr>
      <w:tr w:rsidR="00F43885" w:rsidRPr="006F386A">
        <w:trPr>
          <w:trHeight w:val="657"/>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Market risk coefficient</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0.881813</w:t>
            </w:r>
          </w:p>
          <w:p w:rsidR="00F43885" w:rsidRPr="006F386A" w:rsidRDefault="00B72280">
            <w:pPr>
              <w:pStyle w:val="Body"/>
              <w:jc w:val="center"/>
              <w:rPr>
                <w:rFonts w:hAnsi="Times New Roman" w:cs="Times New Roman"/>
              </w:rPr>
            </w:pPr>
            <w:r w:rsidRPr="006F386A">
              <w:rPr>
                <w:rFonts w:hAnsi="Times New Roman" w:cs="Times New Roman"/>
              </w:rPr>
              <w:t>(0.0000)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0.723957</w:t>
            </w:r>
          </w:p>
          <w:p w:rsidR="00F43885" w:rsidRPr="006F386A" w:rsidRDefault="00B72280">
            <w:pPr>
              <w:pStyle w:val="Body"/>
              <w:ind w:right="10"/>
              <w:jc w:val="center"/>
              <w:rPr>
                <w:rFonts w:hAnsi="Times New Roman" w:cs="Times New Roman"/>
              </w:rPr>
            </w:pPr>
            <w:r w:rsidRPr="006F386A">
              <w:rPr>
                <w:rFonts w:hAnsi="Times New Roman" w:cs="Times New Roman"/>
              </w:rPr>
              <w:t>(0.0000)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0.902626</w:t>
            </w:r>
          </w:p>
          <w:p w:rsidR="00F43885" w:rsidRPr="006F386A" w:rsidRDefault="00B72280">
            <w:pPr>
              <w:pStyle w:val="Body"/>
              <w:ind w:right="10"/>
              <w:jc w:val="center"/>
              <w:rPr>
                <w:rFonts w:hAnsi="Times New Roman" w:cs="Times New Roman"/>
              </w:rPr>
            </w:pPr>
            <w:r w:rsidRPr="006F386A">
              <w:rPr>
                <w:rFonts w:hAnsi="Times New Roman" w:cs="Times New Roman"/>
              </w:rPr>
              <w:t>(0.0000)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0.825477</w:t>
            </w:r>
          </w:p>
          <w:p w:rsidR="00F43885" w:rsidRPr="006F386A" w:rsidRDefault="00B72280">
            <w:pPr>
              <w:pStyle w:val="Body"/>
              <w:ind w:right="10"/>
              <w:jc w:val="center"/>
              <w:rPr>
                <w:rFonts w:hAnsi="Times New Roman" w:cs="Times New Roman"/>
              </w:rPr>
            </w:pPr>
            <w:r w:rsidRPr="006F386A">
              <w:rPr>
                <w:rFonts w:hAnsi="Times New Roman" w:cs="Times New Roman"/>
              </w:rPr>
              <w:t>(0.0000)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0.878255</w:t>
            </w:r>
          </w:p>
          <w:p w:rsidR="00F43885" w:rsidRPr="006F386A" w:rsidRDefault="00B72280">
            <w:pPr>
              <w:pStyle w:val="Body"/>
              <w:ind w:right="10"/>
              <w:jc w:val="center"/>
              <w:rPr>
                <w:rFonts w:hAnsi="Times New Roman" w:cs="Times New Roman"/>
              </w:rPr>
            </w:pPr>
            <w:r w:rsidRPr="006F386A">
              <w:rPr>
                <w:rFonts w:hAnsi="Times New Roman" w:cs="Times New Roman"/>
              </w:rPr>
              <w:t>(0.0000)</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0.804664</w:t>
            </w:r>
          </w:p>
          <w:p w:rsidR="00F43885" w:rsidRPr="006F386A" w:rsidRDefault="00B72280">
            <w:pPr>
              <w:pStyle w:val="Body"/>
              <w:ind w:right="10"/>
              <w:jc w:val="center"/>
              <w:rPr>
                <w:rFonts w:hAnsi="Times New Roman" w:cs="Times New Roman"/>
              </w:rPr>
            </w:pPr>
            <w:r w:rsidRPr="006F386A">
              <w:rPr>
                <w:rFonts w:hAnsi="Times New Roman" w:cs="Times New Roman"/>
              </w:rPr>
              <w:t>(0.0000)</w:t>
            </w:r>
          </w:p>
        </w:tc>
      </w:tr>
      <w:tr w:rsidR="00F43885" w:rsidRPr="006F386A">
        <w:trPr>
          <w:trHeight w:val="600"/>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SMB coefficient</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0.961955</w:t>
            </w:r>
          </w:p>
          <w:p w:rsidR="00F43885" w:rsidRPr="006F386A" w:rsidRDefault="00B72280">
            <w:pPr>
              <w:pStyle w:val="Body"/>
              <w:jc w:val="center"/>
              <w:rPr>
                <w:rFonts w:hAnsi="Times New Roman" w:cs="Times New Roman"/>
              </w:rPr>
            </w:pPr>
            <w:r w:rsidRPr="006F386A">
              <w:rPr>
                <w:rFonts w:hAnsi="Times New Roman" w:cs="Times New Roman"/>
              </w:rPr>
              <w:t>(0.0001)</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0.712636</w:t>
            </w:r>
          </w:p>
          <w:p w:rsidR="00F43885" w:rsidRPr="006F386A" w:rsidRDefault="00B72280">
            <w:pPr>
              <w:pStyle w:val="Body"/>
              <w:ind w:right="10"/>
              <w:jc w:val="center"/>
              <w:rPr>
                <w:rFonts w:hAnsi="Times New Roman" w:cs="Times New Roman"/>
              </w:rPr>
            </w:pPr>
            <w:r w:rsidRPr="006F386A">
              <w:rPr>
                <w:rFonts w:hAnsi="Times New Roman" w:cs="Times New Roman"/>
              </w:rPr>
              <w:t>(0.0011)</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1.047183</w:t>
            </w:r>
          </w:p>
          <w:p w:rsidR="00F43885" w:rsidRPr="006F386A" w:rsidRDefault="00B72280">
            <w:pPr>
              <w:pStyle w:val="Body"/>
              <w:ind w:right="10"/>
              <w:jc w:val="center"/>
              <w:rPr>
                <w:rFonts w:hAnsi="Times New Roman" w:cs="Times New Roman"/>
              </w:rPr>
            </w:pPr>
            <w:r w:rsidRPr="006F386A">
              <w:rPr>
                <w:rFonts w:hAnsi="Times New Roman" w:cs="Times New Roman"/>
              </w:rPr>
              <w:t>(0.0000)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-0.082373</w:t>
            </w:r>
          </w:p>
          <w:p w:rsidR="00F43885" w:rsidRPr="006F386A" w:rsidRDefault="00B72280">
            <w:pPr>
              <w:pStyle w:val="Body"/>
              <w:ind w:right="10"/>
              <w:jc w:val="center"/>
              <w:rPr>
                <w:rFonts w:hAnsi="Times New Roman" w:cs="Times New Roman"/>
              </w:rPr>
            </w:pPr>
            <w:r w:rsidRPr="006F386A">
              <w:rPr>
                <w:rFonts w:hAnsi="Times New Roman" w:cs="Times New Roman"/>
              </w:rPr>
              <w:t>(0.6967)</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-0.028252</w:t>
            </w:r>
          </w:p>
          <w:p w:rsidR="00F43885" w:rsidRPr="006F386A" w:rsidRDefault="00B72280">
            <w:pPr>
              <w:pStyle w:val="Body"/>
              <w:ind w:right="10"/>
              <w:jc w:val="center"/>
              <w:rPr>
                <w:rFonts w:hAnsi="Times New Roman" w:cs="Times New Roman"/>
              </w:rPr>
            </w:pPr>
            <w:r w:rsidRPr="006F386A">
              <w:rPr>
                <w:rFonts w:hAnsi="Times New Roman" w:cs="Times New Roman"/>
              </w:rPr>
              <w:t>(0.8916)</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-0.167601</w:t>
            </w:r>
          </w:p>
          <w:p w:rsidR="00F43885" w:rsidRPr="006F386A" w:rsidRDefault="00B72280">
            <w:pPr>
              <w:pStyle w:val="Body"/>
              <w:ind w:right="10"/>
              <w:jc w:val="center"/>
              <w:rPr>
                <w:rFonts w:hAnsi="Times New Roman" w:cs="Times New Roman"/>
              </w:rPr>
            </w:pPr>
            <w:r w:rsidRPr="006F386A">
              <w:rPr>
                <w:rFonts w:hAnsi="Times New Roman" w:cs="Times New Roman"/>
              </w:rPr>
              <w:t>(0.4775)</w:t>
            </w:r>
          </w:p>
        </w:tc>
      </w:tr>
      <w:tr w:rsidR="00F43885" w:rsidRPr="006F386A">
        <w:trPr>
          <w:trHeight w:val="600"/>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HML coefficient</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-0.097096</w:t>
            </w:r>
          </w:p>
          <w:p w:rsidR="00F43885" w:rsidRPr="006F386A" w:rsidRDefault="00B72280">
            <w:pPr>
              <w:pStyle w:val="Body"/>
              <w:jc w:val="center"/>
              <w:rPr>
                <w:rFonts w:hAnsi="Times New Roman" w:cs="Times New Roman"/>
              </w:rPr>
            </w:pPr>
            <w:r w:rsidRPr="006F386A">
              <w:rPr>
                <w:rFonts w:hAnsi="Times New Roman" w:cs="Times New Roman"/>
              </w:rPr>
              <w:t>(0.2828)</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0.224036</w:t>
            </w:r>
          </w:p>
          <w:p w:rsidR="00F43885" w:rsidRPr="006F386A" w:rsidRDefault="00B72280">
            <w:pPr>
              <w:pStyle w:val="Body"/>
              <w:ind w:right="10"/>
              <w:jc w:val="center"/>
              <w:rPr>
                <w:rFonts w:hAnsi="Times New Roman" w:cs="Times New Roman"/>
              </w:rPr>
            </w:pPr>
            <w:r w:rsidRPr="006F386A">
              <w:rPr>
                <w:rFonts w:hAnsi="Times New Roman" w:cs="Times New Roman"/>
              </w:rPr>
              <w:t>(0.0061)</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0.705750</w:t>
            </w:r>
          </w:p>
          <w:p w:rsidR="00F43885" w:rsidRPr="006F386A" w:rsidRDefault="00B72280">
            <w:pPr>
              <w:pStyle w:val="Body"/>
              <w:ind w:right="10"/>
              <w:jc w:val="center"/>
              <w:rPr>
                <w:rFonts w:hAnsi="Times New Roman" w:cs="Times New Roman"/>
              </w:rPr>
            </w:pPr>
            <w:r w:rsidRPr="006F386A">
              <w:rPr>
                <w:rFonts w:hAnsi="Times New Roman" w:cs="Times New Roman"/>
              </w:rPr>
              <w:t>(0.0000)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-0.237628</w:t>
            </w:r>
          </w:p>
          <w:p w:rsidR="00F43885" w:rsidRPr="006F386A" w:rsidRDefault="00B72280">
            <w:pPr>
              <w:pStyle w:val="Body"/>
              <w:ind w:right="10"/>
              <w:jc w:val="center"/>
              <w:rPr>
                <w:rFonts w:hAnsi="Times New Roman" w:cs="Times New Roman"/>
              </w:rPr>
            </w:pPr>
            <w:r w:rsidRPr="006F386A">
              <w:rPr>
                <w:rFonts w:hAnsi="Times New Roman" w:cs="Times New Roman"/>
              </w:rPr>
              <w:t>90.0042)</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0.110793</w:t>
            </w:r>
          </w:p>
          <w:p w:rsidR="00F43885" w:rsidRPr="006F386A" w:rsidRDefault="00B72280">
            <w:pPr>
              <w:pStyle w:val="Body"/>
              <w:ind w:right="10"/>
              <w:jc w:val="center"/>
              <w:rPr>
                <w:rFonts w:hAnsi="Times New Roman" w:cs="Times New Roman"/>
              </w:rPr>
            </w:pPr>
            <w:r w:rsidRPr="006F386A">
              <w:rPr>
                <w:rFonts w:hAnsi="Times New Roman" w:cs="Times New Roman"/>
              </w:rPr>
              <w:t>(0.1620)</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0.959526</w:t>
            </w:r>
          </w:p>
          <w:p w:rsidR="00F43885" w:rsidRPr="006F386A" w:rsidRDefault="00B72280">
            <w:pPr>
              <w:pStyle w:val="Body"/>
              <w:ind w:right="10"/>
              <w:jc w:val="center"/>
              <w:rPr>
                <w:rFonts w:hAnsi="Times New Roman" w:cs="Times New Roman"/>
              </w:rPr>
            </w:pPr>
            <w:r w:rsidRPr="006F386A">
              <w:rPr>
                <w:rFonts w:hAnsi="Times New Roman" w:cs="Times New Roman"/>
              </w:rPr>
              <w:t>(0.0000)</w:t>
            </w:r>
          </w:p>
        </w:tc>
      </w:tr>
      <w:tr w:rsidR="00F43885" w:rsidRPr="006F386A">
        <w:trPr>
          <w:trHeight w:val="600"/>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Adjusted R- Squared</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0.596941</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0.678717</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0.850781</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0.525963</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0.673509</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0.846875</w:t>
            </w:r>
          </w:p>
        </w:tc>
      </w:tr>
    </w:tbl>
    <w:p w:rsidR="00F43885" w:rsidRPr="006F386A" w:rsidRDefault="00F43885">
      <w:pPr>
        <w:pStyle w:val="Body"/>
        <w:widowControl w:val="0"/>
        <w:rPr>
          <w:rFonts w:hAnsi="Times New Roman" w:cs="Times New Roman"/>
        </w:rPr>
      </w:pPr>
    </w:p>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 prob(F-statistic)</w:t>
      </w:r>
    </w:p>
    <w:p w:rsidR="00F43885" w:rsidRPr="006F386A" w:rsidRDefault="00F43885">
      <w:pPr>
        <w:pStyle w:val="Body"/>
        <w:rPr>
          <w:rFonts w:eastAsia="Arial" w:hAnsi="Times New Roman" w:cs="Times New Roman"/>
          <w:b/>
          <w:bCs/>
        </w:rPr>
      </w:pPr>
    </w:p>
    <w:p w:rsidR="007504CB" w:rsidRPr="006F386A" w:rsidRDefault="007504CB">
      <w:pPr>
        <w:pStyle w:val="Heading"/>
        <w:rPr>
          <w:rFonts w:hAnsi="Times New Roman" w:cs="Times New Roman"/>
        </w:rPr>
      </w:pPr>
    </w:p>
    <w:p w:rsidR="007504CB" w:rsidRPr="006F386A" w:rsidRDefault="007504CB" w:rsidP="007504CB">
      <w:pPr>
        <w:pStyle w:val="Body"/>
        <w:rPr>
          <w:rFonts w:hAnsi="Times New Roman" w:cs="Times New Roman"/>
        </w:rPr>
      </w:pPr>
    </w:p>
    <w:p w:rsidR="007504CB" w:rsidRPr="006F386A" w:rsidRDefault="007504CB" w:rsidP="007504CB">
      <w:pPr>
        <w:pStyle w:val="Body"/>
        <w:rPr>
          <w:rFonts w:hAnsi="Times New Roman" w:cs="Times New Roman"/>
        </w:rPr>
      </w:pPr>
    </w:p>
    <w:p w:rsidR="007504CB" w:rsidRDefault="007504CB" w:rsidP="007504CB">
      <w:pPr>
        <w:pStyle w:val="Body"/>
        <w:rPr>
          <w:rFonts w:hAnsi="Times New Roman" w:cs="Times New Roman"/>
        </w:rPr>
      </w:pPr>
    </w:p>
    <w:p w:rsidR="006F386A" w:rsidRDefault="006F386A" w:rsidP="007504CB">
      <w:pPr>
        <w:pStyle w:val="Body"/>
        <w:rPr>
          <w:rFonts w:hAnsi="Times New Roman" w:cs="Times New Roman"/>
        </w:rPr>
      </w:pPr>
    </w:p>
    <w:p w:rsidR="006F386A" w:rsidRDefault="006F386A" w:rsidP="007504CB">
      <w:pPr>
        <w:pStyle w:val="Body"/>
        <w:rPr>
          <w:rFonts w:hAnsi="Times New Roman" w:cs="Times New Roman"/>
        </w:rPr>
      </w:pPr>
    </w:p>
    <w:p w:rsidR="006F386A" w:rsidRDefault="006F386A" w:rsidP="007504CB">
      <w:pPr>
        <w:pStyle w:val="Body"/>
        <w:rPr>
          <w:rFonts w:hAnsi="Times New Roman" w:cs="Times New Roman"/>
        </w:rPr>
      </w:pPr>
    </w:p>
    <w:p w:rsidR="006F386A" w:rsidRDefault="006F386A" w:rsidP="007504CB">
      <w:pPr>
        <w:pStyle w:val="Body"/>
        <w:rPr>
          <w:rFonts w:hAnsi="Times New Roman" w:cs="Times New Roman"/>
        </w:rPr>
      </w:pPr>
    </w:p>
    <w:p w:rsidR="006F386A" w:rsidRDefault="006F386A" w:rsidP="007504CB">
      <w:pPr>
        <w:pStyle w:val="Body"/>
        <w:rPr>
          <w:rFonts w:hAnsi="Times New Roman" w:cs="Times New Roman"/>
        </w:rPr>
      </w:pPr>
    </w:p>
    <w:p w:rsidR="006F386A" w:rsidRDefault="006F386A" w:rsidP="007504CB">
      <w:pPr>
        <w:pStyle w:val="Body"/>
        <w:rPr>
          <w:rFonts w:hAnsi="Times New Roman" w:cs="Times New Roman"/>
        </w:rPr>
      </w:pPr>
    </w:p>
    <w:p w:rsidR="006F386A" w:rsidRDefault="006F386A" w:rsidP="007504CB">
      <w:pPr>
        <w:pStyle w:val="Body"/>
        <w:rPr>
          <w:rFonts w:hAnsi="Times New Roman" w:cs="Times New Roman"/>
        </w:rPr>
      </w:pPr>
    </w:p>
    <w:p w:rsidR="006F386A" w:rsidRDefault="006F386A" w:rsidP="007504CB">
      <w:pPr>
        <w:pStyle w:val="Body"/>
        <w:rPr>
          <w:rFonts w:hAnsi="Times New Roman" w:cs="Times New Roman"/>
        </w:rPr>
      </w:pPr>
    </w:p>
    <w:p w:rsidR="006F386A" w:rsidRDefault="006F386A" w:rsidP="007504CB">
      <w:pPr>
        <w:pStyle w:val="Body"/>
        <w:rPr>
          <w:rFonts w:hAnsi="Times New Roman" w:cs="Times New Roman"/>
        </w:rPr>
      </w:pPr>
    </w:p>
    <w:p w:rsidR="006F386A" w:rsidRPr="006F386A" w:rsidRDefault="006F386A" w:rsidP="007504CB">
      <w:pPr>
        <w:pStyle w:val="Body"/>
        <w:rPr>
          <w:rFonts w:hAnsi="Times New Roman" w:cs="Times New Roman"/>
        </w:rPr>
      </w:pPr>
    </w:p>
    <w:p w:rsidR="007504CB" w:rsidRPr="006F386A" w:rsidRDefault="007504CB">
      <w:pPr>
        <w:pStyle w:val="Heading"/>
        <w:rPr>
          <w:rFonts w:hAnsi="Times New Roman" w:cs="Times New Roman"/>
        </w:rPr>
      </w:pPr>
    </w:p>
    <w:p w:rsidR="00F43885" w:rsidRPr="006F386A" w:rsidRDefault="00B72280">
      <w:pPr>
        <w:pStyle w:val="Heading"/>
        <w:rPr>
          <w:rFonts w:hAnsi="Times New Roman" w:cs="Times New Roman"/>
        </w:rPr>
      </w:pPr>
      <w:r w:rsidRPr="006F386A">
        <w:rPr>
          <w:rFonts w:hAnsi="Times New Roman" w:cs="Times New Roman"/>
        </w:rPr>
        <w:t>Appendix 3: Test results for CAPM model</w:t>
      </w:r>
    </w:p>
    <w:p w:rsidR="00F43885" w:rsidRPr="006F386A" w:rsidRDefault="00F43885">
      <w:pPr>
        <w:pStyle w:val="Body"/>
        <w:widowControl w:val="0"/>
        <w:rPr>
          <w:rFonts w:hAnsi="Times New Roman" w:cs="Times New Roman"/>
        </w:rPr>
      </w:pPr>
    </w:p>
    <w:tbl>
      <w:tblPr>
        <w:tblW w:w="129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69"/>
        <w:gridCol w:w="1936"/>
        <w:gridCol w:w="1946"/>
        <w:gridCol w:w="1945"/>
        <w:gridCol w:w="1945"/>
        <w:gridCol w:w="1946"/>
        <w:gridCol w:w="1947"/>
      </w:tblGrid>
      <w:tr w:rsidR="00F43885" w:rsidRPr="006F386A">
        <w:trPr>
          <w:trHeight w:val="300"/>
        </w:trPr>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F43885"/>
        </w:tc>
        <w:tc>
          <w:tcPr>
            <w:tcW w:w="1166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jc w:val="center"/>
              <w:rPr>
                <w:rFonts w:hAnsi="Times New Roman" w:cs="Times New Roman"/>
              </w:rPr>
            </w:pPr>
            <w:r w:rsidRPr="006F386A">
              <w:rPr>
                <w:rFonts w:hAnsi="Times New Roman" w:cs="Times New Roman"/>
                <w:b/>
                <w:bCs/>
              </w:rPr>
              <w:t>Portfolios</w:t>
            </w:r>
          </w:p>
        </w:tc>
      </w:tr>
      <w:tr w:rsidR="00F43885" w:rsidRPr="006F386A">
        <w:trPr>
          <w:trHeight w:val="300"/>
        </w:trPr>
        <w:tc>
          <w:tcPr>
            <w:tcW w:w="1269" w:type="dxa"/>
            <w:vMerge/>
            <w:tcBorders>
              <w:top w:val="single" w:sz="4" w:space="0" w:color="000000"/>
              <w:left w:val="single" w:sz="4" w:space="0" w:color="000000"/>
              <w:bottom w:val="single" w:sz="4" w:space="0" w:color="000000"/>
              <w:right w:val="single" w:sz="4" w:space="0" w:color="000000"/>
            </w:tcBorders>
            <w:shd w:val="clear" w:color="auto" w:fill="auto"/>
          </w:tcPr>
          <w:p w:rsidR="00F43885" w:rsidRPr="006F386A" w:rsidRDefault="00F43885"/>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S/L</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S/M</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S/H</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B/L</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B/M</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B/H</w:t>
            </w:r>
          </w:p>
        </w:tc>
      </w:tr>
      <w:tr w:rsidR="00F43885" w:rsidRPr="006F386A">
        <w:trPr>
          <w:trHeight w:val="600"/>
        </w:trPr>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Constant C</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0.791914(0.0918)</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1.382414(0.0017)</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0.716229(0.2642)</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-0.247029(0.5280)</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-0.400055(0.2705)</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-0.188799(0.7899)</w:t>
            </w:r>
          </w:p>
        </w:tc>
      </w:tr>
      <w:tr w:rsidR="00F43885" w:rsidRPr="006F386A">
        <w:trPr>
          <w:trHeight w:val="1200"/>
        </w:trPr>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Market risk coefficient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0.840472(0.0000)</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0.883765(0.0000)</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1.379732(0.0000)</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0.670771(0.0000)</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0.948921(0.0000)</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ind w:right="10"/>
              <w:jc w:val="center"/>
              <w:rPr>
                <w:rFonts w:hAnsi="Times New Roman" w:cs="Times New Roman"/>
              </w:rPr>
            </w:pPr>
            <w:r w:rsidRPr="006F386A">
              <w:rPr>
                <w:rFonts w:hAnsi="Times New Roman" w:cs="Times New Roman"/>
              </w:rPr>
              <w:t>1.418369(0.0000)</w:t>
            </w:r>
          </w:p>
        </w:tc>
      </w:tr>
      <w:tr w:rsidR="00F43885" w:rsidRPr="006F386A">
        <w:trPr>
          <w:trHeight w:val="1200"/>
        </w:trPr>
        <w:tc>
          <w:tcPr>
            <w:tcW w:w="1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885" w:rsidRPr="006F386A" w:rsidRDefault="00B72280">
            <w:pPr>
              <w:pStyle w:val="Body"/>
              <w:rPr>
                <w:rFonts w:hAnsi="Times New Roman" w:cs="Times New Roman"/>
              </w:rPr>
            </w:pPr>
            <w:r w:rsidRPr="006F386A">
              <w:rPr>
                <w:rFonts w:hAnsi="Times New Roman" w:cs="Times New Roman"/>
                <w:b/>
                <w:bCs/>
              </w:rPr>
              <w:t>Adjusted R- Squared</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0.492766</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0.566046</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0.581804</w:t>
            </w:r>
          </w:p>
        </w:tc>
        <w:tc>
          <w:tcPr>
            <w:tcW w:w="1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0.465324</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0.673459</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3885" w:rsidRPr="006F386A" w:rsidRDefault="00B72280">
            <w:pPr>
              <w:pStyle w:val="Body"/>
              <w:jc w:val="center"/>
              <w:rPr>
                <w:rFonts w:hAnsi="Times New Roman" w:cs="Times New Roman"/>
              </w:rPr>
            </w:pPr>
            <w:r w:rsidRPr="006F386A">
              <w:rPr>
                <w:rFonts w:hAnsi="Times New Roman" w:cs="Times New Roman"/>
              </w:rPr>
              <w:t>0.846875</w:t>
            </w:r>
          </w:p>
        </w:tc>
      </w:tr>
    </w:tbl>
    <w:p w:rsidR="00F43885" w:rsidRPr="006F386A" w:rsidRDefault="00F43885">
      <w:pPr>
        <w:pStyle w:val="Body"/>
        <w:widowControl w:val="0"/>
        <w:rPr>
          <w:rFonts w:hAnsi="Times New Roman" w:cs="Times New Roman"/>
        </w:rPr>
      </w:pPr>
    </w:p>
    <w:p w:rsidR="00F43885" w:rsidRPr="006F386A" w:rsidRDefault="00F43885">
      <w:pPr>
        <w:pStyle w:val="Body"/>
        <w:rPr>
          <w:rFonts w:hAnsi="Times New Roman" w:cs="Times New Roman"/>
        </w:rPr>
      </w:pPr>
    </w:p>
    <w:p w:rsidR="00F43885" w:rsidRPr="006F386A" w:rsidRDefault="00B72280">
      <w:pPr>
        <w:pStyle w:val="Body"/>
        <w:rPr>
          <w:rFonts w:hAnsi="Times New Roman" w:cs="Times New Roman"/>
        </w:rPr>
      </w:pPr>
      <w:r w:rsidRPr="006F386A">
        <w:rPr>
          <w:rFonts w:hAnsi="Times New Roman" w:cs="Times New Roman"/>
        </w:rPr>
        <w:t>*(): prob(F-statistic)</w:t>
      </w:r>
    </w:p>
    <w:p w:rsidR="00F43885" w:rsidRPr="006F386A" w:rsidRDefault="00F43885">
      <w:pPr>
        <w:pStyle w:val="Body"/>
        <w:rPr>
          <w:rFonts w:hAnsi="Times New Roman" w:cs="Times New Roman"/>
        </w:rPr>
      </w:pPr>
    </w:p>
    <w:p w:rsidR="00F43885" w:rsidRPr="006F386A" w:rsidRDefault="00F43885">
      <w:pPr>
        <w:pStyle w:val="Body"/>
        <w:rPr>
          <w:rFonts w:hAnsi="Times New Roman" w:cs="Times New Roman"/>
        </w:rPr>
      </w:pPr>
    </w:p>
    <w:p w:rsidR="00F43885" w:rsidRPr="006F386A" w:rsidRDefault="00F43885">
      <w:pPr>
        <w:pStyle w:val="Body"/>
        <w:rPr>
          <w:rFonts w:hAnsi="Times New Roman" w:cs="Times New Roman"/>
        </w:rPr>
      </w:pPr>
    </w:p>
    <w:p w:rsidR="00F43885" w:rsidRPr="006F386A" w:rsidRDefault="00F43885">
      <w:pPr>
        <w:pStyle w:val="Body"/>
        <w:rPr>
          <w:rFonts w:hAnsi="Times New Roman" w:cs="Times New Roman"/>
        </w:rPr>
      </w:pPr>
    </w:p>
    <w:p w:rsidR="00F43885" w:rsidRPr="006F386A" w:rsidRDefault="00F43885">
      <w:pPr>
        <w:pStyle w:val="Body"/>
        <w:rPr>
          <w:rFonts w:hAnsi="Times New Roman" w:cs="Times New Roman"/>
        </w:rPr>
      </w:pPr>
    </w:p>
    <w:p w:rsidR="00F43885" w:rsidRPr="006F386A" w:rsidRDefault="00F43885">
      <w:pPr>
        <w:pStyle w:val="Body"/>
        <w:rPr>
          <w:rFonts w:hAnsi="Times New Roman" w:cs="Times New Roman"/>
        </w:rPr>
      </w:pPr>
    </w:p>
    <w:p w:rsidR="00F43885" w:rsidRPr="006F386A" w:rsidRDefault="00F43885">
      <w:pPr>
        <w:pStyle w:val="Body"/>
        <w:rPr>
          <w:rFonts w:hAnsi="Times New Roman" w:cs="Times New Roman"/>
        </w:rPr>
      </w:pPr>
    </w:p>
    <w:p w:rsidR="00F43885" w:rsidRPr="006F386A" w:rsidRDefault="00F43885">
      <w:pPr>
        <w:pStyle w:val="Body"/>
        <w:rPr>
          <w:rFonts w:hAnsi="Times New Roman" w:cs="Times New Roman"/>
        </w:rPr>
      </w:pPr>
    </w:p>
    <w:p w:rsidR="00F43885" w:rsidRPr="006F386A" w:rsidRDefault="00F43885">
      <w:pPr>
        <w:pStyle w:val="Body"/>
        <w:rPr>
          <w:rFonts w:hAnsi="Times New Roman" w:cs="Times New Roman"/>
        </w:rPr>
      </w:pPr>
    </w:p>
    <w:p w:rsidR="00F43885" w:rsidRPr="006F386A" w:rsidRDefault="00F43885">
      <w:pPr>
        <w:pStyle w:val="Body"/>
        <w:rPr>
          <w:rFonts w:hAnsi="Times New Roman" w:cs="Times New Roman"/>
        </w:rPr>
      </w:pPr>
    </w:p>
    <w:p w:rsidR="00F43885" w:rsidRPr="006F386A" w:rsidRDefault="00F43885">
      <w:pPr>
        <w:pStyle w:val="Body"/>
        <w:rPr>
          <w:rFonts w:hAnsi="Times New Roman" w:cs="Times New Roman"/>
        </w:rPr>
      </w:pPr>
    </w:p>
    <w:p w:rsidR="00F43885" w:rsidRPr="006F386A" w:rsidRDefault="00F43885">
      <w:pPr>
        <w:pStyle w:val="Body"/>
        <w:rPr>
          <w:rFonts w:hAnsi="Times New Roman" w:cs="Times New Roman"/>
        </w:rPr>
      </w:pPr>
    </w:p>
    <w:sectPr w:rsidR="00F43885" w:rsidRPr="006F386A" w:rsidSect="00F43885">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D8A" w:rsidRDefault="00134D8A" w:rsidP="00F43885">
      <w:r>
        <w:separator/>
      </w:r>
    </w:p>
  </w:endnote>
  <w:endnote w:type="continuationSeparator" w:id="1">
    <w:p w:rsidR="00134D8A" w:rsidRDefault="00134D8A" w:rsidP="00F43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25" w:rsidRDefault="00600725">
    <w:pPr>
      <w:pStyle w:val="Footer"/>
      <w:tabs>
        <w:tab w:val="clear" w:pos="9026"/>
        <w:tab w:val="right" w:pos="9000"/>
      </w:tabs>
      <w:jc w:val="center"/>
    </w:pPr>
    <w:r>
      <w:rPr>
        <w:rFonts w:ascii="Arial"/>
      </w:rPr>
      <w:fldChar w:fldCharType="begin"/>
    </w:r>
    <w:r>
      <w:rPr>
        <w:rFonts w:ascii="Arial"/>
      </w:rPr>
      <w:instrText xml:space="preserve"> PAGE </w:instrText>
    </w:r>
    <w:r>
      <w:rPr>
        <w:rFonts w:ascii="Arial"/>
      </w:rPr>
      <w:fldChar w:fldCharType="separate"/>
    </w:r>
    <w:r w:rsidR="00FA7E85">
      <w:rPr>
        <w:rFonts w:ascii="Arial"/>
        <w:noProof/>
      </w:rPr>
      <w:t>1</w:t>
    </w:r>
    <w:r>
      <w:rPr>
        <w:rFonts w:asci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D8A" w:rsidRDefault="00134D8A" w:rsidP="00F43885">
      <w:r>
        <w:separator/>
      </w:r>
    </w:p>
  </w:footnote>
  <w:footnote w:type="continuationSeparator" w:id="1">
    <w:p w:rsidR="00134D8A" w:rsidRDefault="00134D8A" w:rsidP="00F43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25" w:rsidRDefault="00600725">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65FC"/>
    <w:multiLevelType w:val="multilevel"/>
    <w:tmpl w:val="5204E09E"/>
    <w:lvl w:ilvl="0">
      <w:start w:val="1"/>
      <w:numFmt w:val="lowerLetter"/>
      <w:lvlText w:val="%1."/>
      <w:lvlJc w:val="left"/>
      <w:pPr>
        <w:tabs>
          <w:tab w:val="num" w:pos="420"/>
        </w:tabs>
        <w:ind w:left="420" w:hanging="360"/>
      </w:pPr>
      <w:rPr>
        <w:caps w:val="0"/>
        <w:smallCaps w:val="0"/>
        <w:strike w:val="0"/>
        <w:dstrike w:val="0"/>
        <w:outline w:val="0"/>
        <w:color w:val="000000"/>
        <w:spacing w:val="0"/>
        <w:kern w:val="0"/>
        <w:position w:val="0"/>
        <w:sz w:val="18"/>
        <w:szCs w:val="18"/>
        <w:u w:val="none" w:color="000000"/>
        <w:vertAlign w:val="baseline"/>
        <w:rtl w:val="0"/>
        <w:lang w:val="en-US"/>
      </w:rPr>
    </w:lvl>
    <w:lvl w:ilvl="1">
      <w:start w:val="1"/>
      <w:numFmt w:val="lowerLetter"/>
      <w:lvlText w:val="%2."/>
      <w:lvlJc w:val="left"/>
      <w:pPr>
        <w:tabs>
          <w:tab w:val="num" w:pos="1050"/>
        </w:tabs>
        <w:ind w:left="1050" w:hanging="270"/>
      </w:pPr>
      <w:rPr>
        <w:caps w:val="0"/>
        <w:smallCaps w:val="0"/>
        <w:strike w:val="0"/>
        <w:dstrike w:val="0"/>
        <w:outline w:val="0"/>
        <w:color w:val="000000"/>
        <w:spacing w:val="0"/>
        <w:kern w:val="0"/>
        <w:position w:val="0"/>
        <w:sz w:val="18"/>
        <w:szCs w:val="18"/>
        <w:u w:val="none" w:color="000000"/>
        <w:vertAlign w:val="baseline"/>
        <w:rtl w:val="0"/>
        <w:lang w:val="en-US"/>
      </w:rPr>
    </w:lvl>
    <w:lvl w:ilvl="2">
      <w:start w:val="1"/>
      <w:numFmt w:val="lowerRoman"/>
      <w:lvlText w:val="%3."/>
      <w:lvlJc w:val="left"/>
      <w:pPr>
        <w:tabs>
          <w:tab w:val="num" w:pos="1786"/>
        </w:tabs>
        <w:ind w:left="1786" w:hanging="222"/>
      </w:pPr>
      <w:rPr>
        <w:caps w:val="0"/>
        <w:smallCaps w:val="0"/>
        <w:strike w:val="0"/>
        <w:dstrike w:val="0"/>
        <w:outline w:val="0"/>
        <w:color w:val="000000"/>
        <w:spacing w:val="0"/>
        <w:kern w:val="0"/>
        <w:position w:val="0"/>
        <w:sz w:val="18"/>
        <w:szCs w:val="18"/>
        <w:u w:val="none" w:color="000000"/>
        <w:vertAlign w:val="baseline"/>
        <w:rtl w:val="0"/>
        <w:lang w:val="en-US"/>
      </w:rPr>
    </w:lvl>
    <w:lvl w:ilvl="3">
      <w:start w:val="1"/>
      <w:numFmt w:val="decimal"/>
      <w:lvlText w:val="%4."/>
      <w:lvlJc w:val="left"/>
      <w:pPr>
        <w:tabs>
          <w:tab w:val="num" w:pos="2490"/>
        </w:tabs>
        <w:ind w:left="2490" w:hanging="270"/>
      </w:pPr>
      <w:rPr>
        <w:caps w:val="0"/>
        <w:smallCaps w:val="0"/>
        <w:strike w:val="0"/>
        <w:dstrike w:val="0"/>
        <w:outline w:val="0"/>
        <w:color w:val="000000"/>
        <w:spacing w:val="0"/>
        <w:kern w:val="0"/>
        <w:position w:val="0"/>
        <w:sz w:val="18"/>
        <w:szCs w:val="18"/>
        <w:u w:val="none" w:color="000000"/>
        <w:vertAlign w:val="baseline"/>
        <w:rtl w:val="0"/>
        <w:lang w:val="en-US"/>
      </w:rPr>
    </w:lvl>
    <w:lvl w:ilvl="4">
      <w:start w:val="1"/>
      <w:numFmt w:val="lowerLetter"/>
      <w:lvlText w:val="%5."/>
      <w:lvlJc w:val="left"/>
      <w:pPr>
        <w:tabs>
          <w:tab w:val="num" w:pos="3210"/>
        </w:tabs>
        <w:ind w:left="3210" w:hanging="270"/>
      </w:pPr>
      <w:rPr>
        <w:caps w:val="0"/>
        <w:smallCaps w:val="0"/>
        <w:strike w:val="0"/>
        <w:dstrike w:val="0"/>
        <w:outline w:val="0"/>
        <w:color w:val="000000"/>
        <w:spacing w:val="0"/>
        <w:kern w:val="0"/>
        <w:position w:val="0"/>
        <w:sz w:val="18"/>
        <w:szCs w:val="18"/>
        <w:u w:val="none" w:color="000000"/>
        <w:vertAlign w:val="baseline"/>
        <w:rtl w:val="0"/>
        <w:lang w:val="en-US"/>
      </w:rPr>
    </w:lvl>
    <w:lvl w:ilvl="5">
      <w:start w:val="1"/>
      <w:numFmt w:val="lowerRoman"/>
      <w:lvlText w:val="%6."/>
      <w:lvlJc w:val="left"/>
      <w:pPr>
        <w:tabs>
          <w:tab w:val="num" w:pos="3946"/>
        </w:tabs>
        <w:ind w:left="3946" w:hanging="222"/>
      </w:pPr>
      <w:rPr>
        <w:caps w:val="0"/>
        <w:smallCaps w:val="0"/>
        <w:strike w:val="0"/>
        <w:dstrike w:val="0"/>
        <w:outline w:val="0"/>
        <w:color w:val="000000"/>
        <w:spacing w:val="0"/>
        <w:kern w:val="0"/>
        <w:position w:val="0"/>
        <w:sz w:val="18"/>
        <w:szCs w:val="18"/>
        <w:u w:val="none" w:color="000000"/>
        <w:vertAlign w:val="baseline"/>
        <w:rtl w:val="0"/>
        <w:lang w:val="en-US"/>
      </w:rPr>
    </w:lvl>
    <w:lvl w:ilvl="6">
      <w:start w:val="1"/>
      <w:numFmt w:val="decimal"/>
      <w:lvlText w:val="%7."/>
      <w:lvlJc w:val="left"/>
      <w:pPr>
        <w:tabs>
          <w:tab w:val="num" w:pos="4650"/>
        </w:tabs>
        <w:ind w:left="4650" w:hanging="270"/>
      </w:pPr>
      <w:rPr>
        <w:caps w:val="0"/>
        <w:smallCaps w:val="0"/>
        <w:strike w:val="0"/>
        <w:dstrike w:val="0"/>
        <w:outline w:val="0"/>
        <w:color w:val="000000"/>
        <w:spacing w:val="0"/>
        <w:kern w:val="0"/>
        <w:position w:val="0"/>
        <w:sz w:val="18"/>
        <w:szCs w:val="18"/>
        <w:u w:val="none" w:color="000000"/>
        <w:vertAlign w:val="baseline"/>
        <w:rtl w:val="0"/>
        <w:lang w:val="en-US"/>
      </w:rPr>
    </w:lvl>
    <w:lvl w:ilvl="7">
      <w:start w:val="1"/>
      <w:numFmt w:val="lowerLetter"/>
      <w:lvlText w:val="%8."/>
      <w:lvlJc w:val="left"/>
      <w:pPr>
        <w:tabs>
          <w:tab w:val="num" w:pos="5370"/>
        </w:tabs>
        <w:ind w:left="5370" w:hanging="270"/>
      </w:pPr>
      <w:rPr>
        <w:caps w:val="0"/>
        <w:smallCaps w:val="0"/>
        <w:strike w:val="0"/>
        <w:dstrike w:val="0"/>
        <w:outline w:val="0"/>
        <w:color w:val="000000"/>
        <w:spacing w:val="0"/>
        <w:kern w:val="0"/>
        <w:position w:val="0"/>
        <w:sz w:val="18"/>
        <w:szCs w:val="18"/>
        <w:u w:val="none" w:color="000000"/>
        <w:vertAlign w:val="baseline"/>
        <w:rtl w:val="0"/>
        <w:lang w:val="en-US"/>
      </w:rPr>
    </w:lvl>
    <w:lvl w:ilvl="8">
      <w:start w:val="1"/>
      <w:numFmt w:val="lowerRoman"/>
      <w:lvlText w:val="%9."/>
      <w:lvlJc w:val="left"/>
      <w:pPr>
        <w:tabs>
          <w:tab w:val="num" w:pos="6106"/>
        </w:tabs>
        <w:ind w:left="6106" w:hanging="222"/>
      </w:pPr>
      <w:rPr>
        <w:caps w:val="0"/>
        <w:smallCaps w:val="0"/>
        <w:strike w:val="0"/>
        <w:dstrike w:val="0"/>
        <w:outline w:val="0"/>
        <w:color w:val="000000"/>
        <w:spacing w:val="0"/>
        <w:kern w:val="0"/>
        <w:position w:val="0"/>
        <w:sz w:val="18"/>
        <w:szCs w:val="18"/>
        <w:u w:val="none" w:color="000000"/>
        <w:vertAlign w:val="baseline"/>
        <w:rtl w:val="0"/>
        <w:lang w:val="en-US"/>
      </w:rPr>
    </w:lvl>
  </w:abstractNum>
  <w:abstractNum w:abstractNumId="1">
    <w:nsid w:val="490E6B9D"/>
    <w:multiLevelType w:val="multilevel"/>
    <w:tmpl w:val="7F00B87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4D514F8C"/>
    <w:multiLevelType w:val="multilevel"/>
    <w:tmpl w:val="DDBE70B4"/>
    <w:styleLink w:val="List0"/>
    <w:lvl w:ilvl="0">
      <w:start w:val="1"/>
      <w:numFmt w:val="lowerLetter"/>
      <w:lvlText w:val="%1."/>
      <w:lvlJc w:val="left"/>
      <w:pPr>
        <w:tabs>
          <w:tab w:val="num" w:pos="420"/>
        </w:tabs>
        <w:ind w:left="420" w:hanging="360"/>
      </w:pPr>
      <w:rPr>
        <w:caps w:val="0"/>
        <w:smallCaps w:val="0"/>
        <w:strike w:val="0"/>
        <w:dstrike w:val="0"/>
        <w:outline w:val="0"/>
        <w:color w:val="000000"/>
        <w:spacing w:val="0"/>
        <w:kern w:val="0"/>
        <w:position w:val="0"/>
        <w:sz w:val="18"/>
        <w:szCs w:val="18"/>
        <w:u w:val="none" w:color="000000"/>
        <w:vertAlign w:val="baseline"/>
        <w:rtl w:val="0"/>
        <w:lang w:val="en-US"/>
      </w:rPr>
    </w:lvl>
    <w:lvl w:ilvl="1">
      <w:start w:val="1"/>
      <w:numFmt w:val="lowerLetter"/>
      <w:lvlText w:val="%2."/>
      <w:lvlJc w:val="left"/>
      <w:pPr>
        <w:tabs>
          <w:tab w:val="num" w:pos="1050"/>
        </w:tabs>
        <w:ind w:left="1050" w:hanging="270"/>
      </w:pPr>
      <w:rPr>
        <w:caps w:val="0"/>
        <w:smallCaps w:val="0"/>
        <w:strike w:val="0"/>
        <w:dstrike w:val="0"/>
        <w:outline w:val="0"/>
        <w:color w:val="000000"/>
        <w:spacing w:val="0"/>
        <w:kern w:val="0"/>
        <w:position w:val="0"/>
        <w:sz w:val="18"/>
        <w:szCs w:val="18"/>
        <w:u w:val="none" w:color="000000"/>
        <w:vertAlign w:val="baseline"/>
        <w:rtl w:val="0"/>
        <w:lang w:val="en-US"/>
      </w:rPr>
    </w:lvl>
    <w:lvl w:ilvl="2">
      <w:start w:val="1"/>
      <w:numFmt w:val="lowerRoman"/>
      <w:lvlText w:val="%3."/>
      <w:lvlJc w:val="left"/>
      <w:pPr>
        <w:tabs>
          <w:tab w:val="num" w:pos="1786"/>
        </w:tabs>
        <w:ind w:left="1786" w:hanging="222"/>
      </w:pPr>
      <w:rPr>
        <w:caps w:val="0"/>
        <w:smallCaps w:val="0"/>
        <w:strike w:val="0"/>
        <w:dstrike w:val="0"/>
        <w:outline w:val="0"/>
        <w:color w:val="000000"/>
        <w:spacing w:val="0"/>
        <w:kern w:val="0"/>
        <w:position w:val="0"/>
        <w:sz w:val="18"/>
        <w:szCs w:val="18"/>
        <w:u w:val="none" w:color="000000"/>
        <w:vertAlign w:val="baseline"/>
        <w:rtl w:val="0"/>
        <w:lang w:val="en-US"/>
      </w:rPr>
    </w:lvl>
    <w:lvl w:ilvl="3">
      <w:start w:val="1"/>
      <w:numFmt w:val="decimal"/>
      <w:lvlText w:val="%4."/>
      <w:lvlJc w:val="left"/>
      <w:pPr>
        <w:tabs>
          <w:tab w:val="num" w:pos="2490"/>
        </w:tabs>
        <w:ind w:left="2490" w:hanging="270"/>
      </w:pPr>
      <w:rPr>
        <w:caps w:val="0"/>
        <w:smallCaps w:val="0"/>
        <w:strike w:val="0"/>
        <w:dstrike w:val="0"/>
        <w:outline w:val="0"/>
        <w:color w:val="000000"/>
        <w:spacing w:val="0"/>
        <w:kern w:val="0"/>
        <w:position w:val="0"/>
        <w:sz w:val="18"/>
        <w:szCs w:val="18"/>
        <w:u w:val="none" w:color="000000"/>
        <w:vertAlign w:val="baseline"/>
        <w:rtl w:val="0"/>
        <w:lang w:val="en-US"/>
      </w:rPr>
    </w:lvl>
    <w:lvl w:ilvl="4">
      <w:start w:val="1"/>
      <w:numFmt w:val="lowerLetter"/>
      <w:lvlText w:val="%5."/>
      <w:lvlJc w:val="left"/>
      <w:pPr>
        <w:tabs>
          <w:tab w:val="num" w:pos="3210"/>
        </w:tabs>
        <w:ind w:left="3210" w:hanging="270"/>
      </w:pPr>
      <w:rPr>
        <w:caps w:val="0"/>
        <w:smallCaps w:val="0"/>
        <w:strike w:val="0"/>
        <w:dstrike w:val="0"/>
        <w:outline w:val="0"/>
        <w:color w:val="000000"/>
        <w:spacing w:val="0"/>
        <w:kern w:val="0"/>
        <w:position w:val="0"/>
        <w:sz w:val="18"/>
        <w:szCs w:val="18"/>
        <w:u w:val="none" w:color="000000"/>
        <w:vertAlign w:val="baseline"/>
        <w:rtl w:val="0"/>
        <w:lang w:val="en-US"/>
      </w:rPr>
    </w:lvl>
    <w:lvl w:ilvl="5">
      <w:start w:val="1"/>
      <w:numFmt w:val="lowerRoman"/>
      <w:lvlText w:val="%6."/>
      <w:lvlJc w:val="left"/>
      <w:pPr>
        <w:tabs>
          <w:tab w:val="num" w:pos="3946"/>
        </w:tabs>
        <w:ind w:left="3946" w:hanging="222"/>
      </w:pPr>
      <w:rPr>
        <w:caps w:val="0"/>
        <w:smallCaps w:val="0"/>
        <w:strike w:val="0"/>
        <w:dstrike w:val="0"/>
        <w:outline w:val="0"/>
        <w:color w:val="000000"/>
        <w:spacing w:val="0"/>
        <w:kern w:val="0"/>
        <w:position w:val="0"/>
        <w:sz w:val="18"/>
        <w:szCs w:val="18"/>
        <w:u w:val="none" w:color="000000"/>
        <w:vertAlign w:val="baseline"/>
        <w:rtl w:val="0"/>
        <w:lang w:val="en-US"/>
      </w:rPr>
    </w:lvl>
    <w:lvl w:ilvl="6">
      <w:start w:val="1"/>
      <w:numFmt w:val="decimal"/>
      <w:lvlText w:val="%7."/>
      <w:lvlJc w:val="left"/>
      <w:pPr>
        <w:tabs>
          <w:tab w:val="num" w:pos="4650"/>
        </w:tabs>
        <w:ind w:left="4650" w:hanging="270"/>
      </w:pPr>
      <w:rPr>
        <w:caps w:val="0"/>
        <w:smallCaps w:val="0"/>
        <w:strike w:val="0"/>
        <w:dstrike w:val="0"/>
        <w:outline w:val="0"/>
        <w:color w:val="000000"/>
        <w:spacing w:val="0"/>
        <w:kern w:val="0"/>
        <w:position w:val="0"/>
        <w:sz w:val="18"/>
        <w:szCs w:val="18"/>
        <w:u w:val="none" w:color="000000"/>
        <w:vertAlign w:val="baseline"/>
        <w:rtl w:val="0"/>
        <w:lang w:val="en-US"/>
      </w:rPr>
    </w:lvl>
    <w:lvl w:ilvl="7">
      <w:start w:val="1"/>
      <w:numFmt w:val="lowerLetter"/>
      <w:lvlText w:val="%8."/>
      <w:lvlJc w:val="left"/>
      <w:pPr>
        <w:tabs>
          <w:tab w:val="num" w:pos="5370"/>
        </w:tabs>
        <w:ind w:left="5370" w:hanging="270"/>
      </w:pPr>
      <w:rPr>
        <w:caps w:val="0"/>
        <w:smallCaps w:val="0"/>
        <w:strike w:val="0"/>
        <w:dstrike w:val="0"/>
        <w:outline w:val="0"/>
        <w:color w:val="000000"/>
        <w:spacing w:val="0"/>
        <w:kern w:val="0"/>
        <w:position w:val="0"/>
        <w:sz w:val="18"/>
        <w:szCs w:val="18"/>
        <w:u w:val="none" w:color="000000"/>
        <w:vertAlign w:val="baseline"/>
        <w:rtl w:val="0"/>
        <w:lang w:val="en-US"/>
      </w:rPr>
    </w:lvl>
    <w:lvl w:ilvl="8">
      <w:start w:val="1"/>
      <w:numFmt w:val="lowerRoman"/>
      <w:lvlText w:val="%9."/>
      <w:lvlJc w:val="left"/>
      <w:pPr>
        <w:tabs>
          <w:tab w:val="num" w:pos="6106"/>
        </w:tabs>
        <w:ind w:left="6106" w:hanging="222"/>
      </w:pPr>
      <w:rPr>
        <w:caps w:val="0"/>
        <w:smallCaps w:val="0"/>
        <w:strike w:val="0"/>
        <w:dstrike w:val="0"/>
        <w:outline w:val="0"/>
        <w:color w:val="000000"/>
        <w:spacing w:val="0"/>
        <w:kern w:val="0"/>
        <w:position w:val="0"/>
        <w:sz w:val="18"/>
        <w:szCs w:val="18"/>
        <w:u w:val="none" w:color="000000"/>
        <w:vertAlign w:val="baseline"/>
        <w:rtl w:val="0"/>
        <w:lang w:val="en-U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F43885"/>
    <w:rsid w:val="00015875"/>
    <w:rsid w:val="00022BCF"/>
    <w:rsid w:val="00030019"/>
    <w:rsid w:val="00030654"/>
    <w:rsid w:val="00030B09"/>
    <w:rsid w:val="000331FE"/>
    <w:rsid w:val="00041422"/>
    <w:rsid w:val="00062655"/>
    <w:rsid w:val="00066B16"/>
    <w:rsid w:val="00072492"/>
    <w:rsid w:val="00082ECE"/>
    <w:rsid w:val="00087EB0"/>
    <w:rsid w:val="000A0A2B"/>
    <w:rsid w:val="000A7686"/>
    <w:rsid w:val="000C4574"/>
    <w:rsid w:val="000E6156"/>
    <w:rsid w:val="001261CC"/>
    <w:rsid w:val="00134D8A"/>
    <w:rsid w:val="001741E6"/>
    <w:rsid w:val="00196ED8"/>
    <w:rsid w:val="001E54C3"/>
    <w:rsid w:val="00200D2F"/>
    <w:rsid w:val="0021349A"/>
    <w:rsid w:val="00221149"/>
    <w:rsid w:val="00225FD7"/>
    <w:rsid w:val="00236423"/>
    <w:rsid w:val="0024342E"/>
    <w:rsid w:val="00291A7D"/>
    <w:rsid w:val="0029536A"/>
    <w:rsid w:val="002E2AD3"/>
    <w:rsid w:val="002E2CD0"/>
    <w:rsid w:val="00321375"/>
    <w:rsid w:val="00321583"/>
    <w:rsid w:val="003225B6"/>
    <w:rsid w:val="003409D9"/>
    <w:rsid w:val="00360FD2"/>
    <w:rsid w:val="0036325E"/>
    <w:rsid w:val="00364D41"/>
    <w:rsid w:val="00385427"/>
    <w:rsid w:val="00392D89"/>
    <w:rsid w:val="00392E6C"/>
    <w:rsid w:val="003A0138"/>
    <w:rsid w:val="003B51A7"/>
    <w:rsid w:val="003E6EE0"/>
    <w:rsid w:val="003F2DCE"/>
    <w:rsid w:val="00402D04"/>
    <w:rsid w:val="004130B9"/>
    <w:rsid w:val="00432244"/>
    <w:rsid w:val="00432910"/>
    <w:rsid w:val="00457C9A"/>
    <w:rsid w:val="00465E16"/>
    <w:rsid w:val="00466490"/>
    <w:rsid w:val="00467EDC"/>
    <w:rsid w:val="0047078D"/>
    <w:rsid w:val="004715D1"/>
    <w:rsid w:val="004846A8"/>
    <w:rsid w:val="004A54DE"/>
    <w:rsid w:val="0053204B"/>
    <w:rsid w:val="00535501"/>
    <w:rsid w:val="00544A81"/>
    <w:rsid w:val="00567F8C"/>
    <w:rsid w:val="00591D1B"/>
    <w:rsid w:val="00593AF0"/>
    <w:rsid w:val="005A1558"/>
    <w:rsid w:val="005C33E5"/>
    <w:rsid w:val="005D2777"/>
    <w:rsid w:val="005F6CC6"/>
    <w:rsid w:val="00600725"/>
    <w:rsid w:val="006033D2"/>
    <w:rsid w:val="00615208"/>
    <w:rsid w:val="006505BE"/>
    <w:rsid w:val="0066036F"/>
    <w:rsid w:val="006E1DCA"/>
    <w:rsid w:val="006E3E8D"/>
    <w:rsid w:val="006F386A"/>
    <w:rsid w:val="00700500"/>
    <w:rsid w:val="00705095"/>
    <w:rsid w:val="00733E0E"/>
    <w:rsid w:val="007504CB"/>
    <w:rsid w:val="00760C23"/>
    <w:rsid w:val="0077348D"/>
    <w:rsid w:val="00776808"/>
    <w:rsid w:val="007822E0"/>
    <w:rsid w:val="007B4F95"/>
    <w:rsid w:val="00813AD7"/>
    <w:rsid w:val="00821C62"/>
    <w:rsid w:val="00863170"/>
    <w:rsid w:val="008658E7"/>
    <w:rsid w:val="00873643"/>
    <w:rsid w:val="00884ECC"/>
    <w:rsid w:val="008B6FA6"/>
    <w:rsid w:val="008D58C7"/>
    <w:rsid w:val="008E1666"/>
    <w:rsid w:val="008F0BF4"/>
    <w:rsid w:val="00904795"/>
    <w:rsid w:val="00937280"/>
    <w:rsid w:val="00940434"/>
    <w:rsid w:val="0094762C"/>
    <w:rsid w:val="00970383"/>
    <w:rsid w:val="009823C1"/>
    <w:rsid w:val="009875ED"/>
    <w:rsid w:val="009C2F08"/>
    <w:rsid w:val="009C3590"/>
    <w:rsid w:val="009D1A56"/>
    <w:rsid w:val="009D21F2"/>
    <w:rsid w:val="009F4B9E"/>
    <w:rsid w:val="00A10DEA"/>
    <w:rsid w:val="00A1774B"/>
    <w:rsid w:val="00A222C7"/>
    <w:rsid w:val="00A335D9"/>
    <w:rsid w:val="00A42FA8"/>
    <w:rsid w:val="00A704CB"/>
    <w:rsid w:val="00A71364"/>
    <w:rsid w:val="00A727CF"/>
    <w:rsid w:val="00AA78C8"/>
    <w:rsid w:val="00AC581E"/>
    <w:rsid w:val="00AC7635"/>
    <w:rsid w:val="00AD1E4A"/>
    <w:rsid w:val="00AD2144"/>
    <w:rsid w:val="00B02336"/>
    <w:rsid w:val="00B35E2A"/>
    <w:rsid w:val="00B55324"/>
    <w:rsid w:val="00B66799"/>
    <w:rsid w:val="00B72280"/>
    <w:rsid w:val="00B86594"/>
    <w:rsid w:val="00B95132"/>
    <w:rsid w:val="00BA7226"/>
    <w:rsid w:val="00BB3354"/>
    <w:rsid w:val="00BC3EFC"/>
    <w:rsid w:val="00BD0729"/>
    <w:rsid w:val="00BD14C0"/>
    <w:rsid w:val="00BE3042"/>
    <w:rsid w:val="00C12538"/>
    <w:rsid w:val="00C163FB"/>
    <w:rsid w:val="00C20681"/>
    <w:rsid w:val="00C328A6"/>
    <w:rsid w:val="00C55E5D"/>
    <w:rsid w:val="00C638BE"/>
    <w:rsid w:val="00C74EF2"/>
    <w:rsid w:val="00C85AA7"/>
    <w:rsid w:val="00C91314"/>
    <w:rsid w:val="00CB7151"/>
    <w:rsid w:val="00CD24D0"/>
    <w:rsid w:val="00CE7923"/>
    <w:rsid w:val="00D056E3"/>
    <w:rsid w:val="00D10E60"/>
    <w:rsid w:val="00D1227F"/>
    <w:rsid w:val="00D20B99"/>
    <w:rsid w:val="00D4045C"/>
    <w:rsid w:val="00DB6D9D"/>
    <w:rsid w:val="00DC7017"/>
    <w:rsid w:val="00DC7DA1"/>
    <w:rsid w:val="00DD6EF1"/>
    <w:rsid w:val="00DF55F9"/>
    <w:rsid w:val="00E028F3"/>
    <w:rsid w:val="00E17B75"/>
    <w:rsid w:val="00E4451E"/>
    <w:rsid w:val="00E63FFF"/>
    <w:rsid w:val="00E85608"/>
    <w:rsid w:val="00E90431"/>
    <w:rsid w:val="00E9180E"/>
    <w:rsid w:val="00EA2358"/>
    <w:rsid w:val="00EB1367"/>
    <w:rsid w:val="00EB70D8"/>
    <w:rsid w:val="00ED2950"/>
    <w:rsid w:val="00EE4ADF"/>
    <w:rsid w:val="00EF0A7F"/>
    <w:rsid w:val="00F059F6"/>
    <w:rsid w:val="00F165F4"/>
    <w:rsid w:val="00F25CFF"/>
    <w:rsid w:val="00F43885"/>
    <w:rsid w:val="00F47C44"/>
    <w:rsid w:val="00F67A7D"/>
    <w:rsid w:val="00F70D77"/>
    <w:rsid w:val="00F72FB7"/>
    <w:rsid w:val="00F773D3"/>
    <w:rsid w:val="00FA4E7A"/>
    <w:rsid w:val="00FA7E85"/>
    <w:rsid w:val="00FB79A5"/>
    <w:rsid w:val="00FD44A0"/>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ne-NP"/>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3885"/>
    <w:rPr>
      <w:sz w:val="24"/>
      <w:szCs w:val="24"/>
      <w:lang w:bidi="ar-SA"/>
    </w:rPr>
  </w:style>
  <w:style w:type="paragraph" w:styleId="Heading1">
    <w:name w:val="heading 1"/>
    <w:basedOn w:val="Normal"/>
    <w:next w:val="Normal"/>
    <w:link w:val="Heading1Char"/>
    <w:uiPriority w:val="9"/>
    <w:qFormat/>
    <w:rsid w:val="003225B6"/>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rsid w:val="00F43885"/>
    <w:pPr>
      <w:keepNext/>
      <w:keepLines/>
      <w:spacing w:after="240" w:line="480" w:lineRule="auto"/>
      <w:ind w:left="720" w:hanging="360"/>
      <w:jc w:val="both"/>
      <w:outlineLvl w:val="1"/>
    </w:pPr>
    <w:rPr>
      <w:rFonts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3885"/>
    <w:rPr>
      <w:u w:val="single"/>
    </w:rPr>
  </w:style>
  <w:style w:type="paragraph" w:customStyle="1" w:styleId="HeaderFooter">
    <w:name w:val="Header &amp; Footer"/>
    <w:rsid w:val="00F43885"/>
    <w:pPr>
      <w:tabs>
        <w:tab w:val="right" w:pos="9020"/>
      </w:tabs>
    </w:pPr>
    <w:rPr>
      <w:rFonts w:ascii="Helvetica" w:hAnsi="Arial Unicode MS" w:cs="Arial Unicode MS"/>
      <w:color w:val="000000"/>
      <w:sz w:val="24"/>
      <w:szCs w:val="24"/>
    </w:rPr>
  </w:style>
  <w:style w:type="paragraph" w:styleId="Footer">
    <w:name w:val="footer"/>
    <w:rsid w:val="00F43885"/>
    <w:pPr>
      <w:tabs>
        <w:tab w:val="center" w:pos="4513"/>
        <w:tab w:val="right" w:pos="9026"/>
      </w:tabs>
    </w:pPr>
    <w:rPr>
      <w:rFonts w:hAnsi="Arial Unicode MS" w:cs="Arial Unicode MS"/>
      <w:color w:val="000000"/>
      <w:sz w:val="24"/>
      <w:szCs w:val="24"/>
      <w:u w:color="000000"/>
    </w:rPr>
  </w:style>
  <w:style w:type="paragraph" w:customStyle="1" w:styleId="Body">
    <w:name w:val="Body"/>
    <w:rsid w:val="00F43885"/>
    <w:rPr>
      <w:rFonts w:hAnsi="Arial Unicode MS" w:cs="Arial Unicode MS"/>
      <w:color w:val="000000"/>
      <w:sz w:val="24"/>
      <w:szCs w:val="24"/>
      <w:u w:color="000000"/>
    </w:rPr>
  </w:style>
  <w:style w:type="paragraph" w:customStyle="1" w:styleId="Default">
    <w:name w:val="Default"/>
    <w:rsid w:val="00F43885"/>
    <w:rPr>
      <w:rFonts w:ascii="Calibri" w:eastAsia="Calibri" w:hAnsi="Calibri" w:cs="Calibri"/>
      <w:color w:val="000000"/>
      <w:sz w:val="24"/>
      <w:szCs w:val="24"/>
      <w:u w:color="000000"/>
    </w:rPr>
  </w:style>
  <w:style w:type="character" w:customStyle="1" w:styleId="Link">
    <w:name w:val="Link"/>
    <w:rsid w:val="00F43885"/>
    <w:rPr>
      <w:color w:val="0000FF"/>
      <w:u w:val="single" w:color="0000FF"/>
    </w:rPr>
  </w:style>
  <w:style w:type="character" w:customStyle="1" w:styleId="Hyperlink0">
    <w:name w:val="Hyperlink.0"/>
    <w:basedOn w:val="Link"/>
    <w:rsid w:val="00F43885"/>
    <w:rPr>
      <w:color w:val="000000"/>
      <w:u w:val="none" w:color="000000"/>
    </w:rPr>
  </w:style>
  <w:style w:type="paragraph" w:styleId="ListParagraph">
    <w:name w:val="List Paragraph"/>
    <w:rsid w:val="00F43885"/>
    <w:pPr>
      <w:ind w:left="720"/>
    </w:pPr>
    <w:rPr>
      <w:rFonts w:hAnsi="Arial Unicode MS" w:cs="Arial Unicode MS"/>
      <w:color w:val="000000"/>
      <w:sz w:val="24"/>
      <w:szCs w:val="24"/>
      <w:u w:color="000000"/>
    </w:rPr>
  </w:style>
  <w:style w:type="numbering" w:customStyle="1" w:styleId="List0">
    <w:name w:val="List 0"/>
    <w:basedOn w:val="ImportedStyle3"/>
    <w:rsid w:val="00F43885"/>
    <w:pPr>
      <w:numPr>
        <w:numId w:val="3"/>
      </w:numPr>
    </w:pPr>
  </w:style>
  <w:style w:type="numbering" w:customStyle="1" w:styleId="ImportedStyle3">
    <w:name w:val="Imported Style 3"/>
    <w:rsid w:val="00F43885"/>
  </w:style>
  <w:style w:type="character" w:customStyle="1" w:styleId="Hyperlink1">
    <w:name w:val="Hyperlink.1"/>
    <w:basedOn w:val="Link"/>
    <w:rsid w:val="00F43885"/>
    <w:rPr>
      <w:i/>
      <w:iCs/>
      <w:color w:val="000000"/>
      <w:u w:val="none" w:color="000000"/>
    </w:rPr>
  </w:style>
  <w:style w:type="paragraph" w:customStyle="1" w:styleId="Heading">
    <w:name w:val="Heading"/>
    <w:next w:val="Body"/>
    <w:rsid w:val="00F43885"/>
    <w:pPr>
      <w:keepNext/>
      <w:keepLines/>
      <w:spacing w:line="360" w:lineRule="auto"/>
      <w:ind w:left="709" w:hanging="709"/>
      <w:jc w:val="both"/>
      <w:outlineLvl w:val="0"/>
    </w:pPr>
    <w:rPr>
      <w:rFonts w:hAnsi="Arial Unicode MS" w:cs="Arial Unicode MS"/>
      <w:b/>
      <w:bCs/>
      <w:color w:val="000000"/>
      <w:sz w:val="28"/>
      <w:szCs w:val="28"/>
      <w:u w:color="000000"/>
    </w:rPr>
  </w:style>
  <w:style w:type="paragraph" w:styleId="CommentText">
    <w:name w:val="annotation text"/>
    <w:basedOn w:val="Normal"/>
    <w:link w:val="CommentTextChar"/>
    <w:uiPriority w:val="99"/>
    <w:semiHidden/>
    <w:unhideWhenUsed/>
    <w:rsid w:val="00F43885"/>
    <w:rPr>
      <w:sz w:val="20"/>
      <w:szCs w:val="20"/>
    </w:rPr>
  </w:style>
  <w:style w:type="character" w:customStyle="1" w:styleId="CommentTextChar">
    <w:name w:val="Comment Text Char"/>
    <w:basedOn w:val="DefaultParagraphFont"/>
    <w:link w:val="CommentText"/>
    <w:uiPriority w:val="99"/>
    <w:semiHidden/>
    <w:rsid w:val="00F43885"/>
    <w:rPr>
      <w:lang w:bidi="ar-SA"/>
    </w:rPr>
  </w:style>
  <w:style w:type="character" w:styleId="CommentReference">
    <w:name w:val="annotation reference"/>
    <w:basedOn w:val="DefaultParagraphFont"/>
    <w:uiPriority w:val="99"/>
    <w:semiHidden/>
    <w:unhideWhenUsed/>
    <w:rsid w:val="00F43885"/>
    <w:rPr>
      <w:sz w:val="16"/>
      <w:szCs w:val="16"/>
    </w:rPr>
  </w:style>
  <w:style w:type="paragraph" w:styleId="BalloonText">
    <w:name w:val="Balloon Text"/>
    <w:basedOn w:val="Normal"/>
    <w:link w:val="BalloonTextChar"/>
    <w:uiPriority w:val="99"/>
    <w:semiHidden/>
    <w:unhideWhenUsed/>
    <w:rsid w:val="00B72280"/>
    <w:rPr>
      <w:rFonts w:ascii="Tahoma" w:hAnsi="Tahoma" w:cs="Tahoma"/>
      <w:sz w:val="16"/>
      <w:szCs w:val="16"/>
    </w:rPr>
  </w:style>
  <w:style w:type="character" w:customStyle="1" w:styleId="BalloonTextChar">
    <w:name w:val="Balloon Text Char"/>
    <w:basedOn w:val="DefaultParagraphFont"/>
    <w:link w:val="BalloonText"/>
    <w:uiPriority w:val="99"/>
    <w:semiHidden/>
    <w:rsid w:val="00B72280"/>
    <w:rPr>
      <w:rFonts w:ascii="Tahoma" w:hAnsi="Tahoma" w:cs="Tahoma"/>
      <w:sz w:val="16"/>
      <w:szCs w:val="16"/>
      <w:lang w:bidi="ar-SA"/>
    </w:rPr>
  </w:style>
  <w:style w:type="table" w:styleId="TableGrid">
    <w:name w:val="Table Grid"/>
    <w:basedOn w:val="TableNormal"/>
    <w:uiPriority w:val="59"/>
    <w:rsid w:val="00C328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B3354"/>
    <w:pPr>
      <w:spacing w:after="200"/>
    </w:pPr>
    <w:rPr>
      <w:b/>
      <w:bCs/>
      <w:color w:val="499BC9" w:themeColor="accent1"/>
      <w:sz w:val="18"/>
      <w:szCs w:val="18"/>
    </w:rPr>
  </w:style>
  <w:style w:type="character" w:customStyle="1" w:styleId="apple-converted-space">
    <w:name w:val="apple-converted-space"/>
    <w:basedOn w:val="DefaultParagraphFont"/>
    <w:rsid w:val="00E90431"/>
  </w:style>
  <w:style w:type="character" w:styleId="Emphasis">
    <w:name w:val="Emphasis"/>
    <w:basedOn w:val="DefaultParagraphFont"/>
    <w:uiPriority w:val="20"/>
    <w:qFormat/>
    <w:rsid w:val="00E90431"/>
    <w:rPr>
      <w:i/>
      <w:iCs/>
    </w:rPr>
  </w:style>
  <w:style w:type="character" w:customStyle="1" w:styleId="Heading1Char">
    <w:name w:val="Heading 1 Char"/>
    <w:basedOn w:val="DefaultParagraphFont"/>
    <w:link w:val="Heading1"/>
    <w:uiPriority w:val="9"/>
    <w:rsid w:val="003225B6"/>
    <w:rPr>
      <w:rFonts w:asciiTheme="majorHAnsi" w:eastAsiaTheme="majorEastAsia" w:hAnsiTheme="majorHAnsi" w:cstheme="majorBidi"/>
      <w:b/>
      <w:bCs/>
      <w:color w:val="2F759E" w:themeColor="accent1" w:themeShade="BF"/>
      <w:sz w:val="28"/>
      <w:szCs w:val="28"/>
      <w:lang w:bidi="ar-SA"/>
    </w:rPr>
  </w:style>
  <w:style w:type="paragraph" w:styleId="CommentSubject">
    <w:name w:val="annotation subject"/>
    <w:basedOn w:val="CommentText"/>
    <w:next w:val="CommentText"/>
    <w:link w:val="CommentSubjectChar"/>
    <w:uiPriority w:val="99"/>
    <w:semiHidden/>
    <w:unhideWhenUsed/>
    <w:rsid w:val="00873643"/>
    <w:rPr>
      <w:b/>
      <w:bCs/>
    </w:rPr>
  </w:style>
  <w:style w:type="character" w:customStyle="1" w:styleId="CommentSubjectChar">
    <w:name w:val="Comment Subject Char"/>
    <w:basedOn w:val="CommentTextChar"/>
    <w:link w:val="CommentSubject"/>
    <w:uiPriority w:val="99"/>
    <w:semiHidden/>
    <w:rsid w:val="00873643"/>
    <w:rPr>
      <w:b/>
      <w:bCs/>
    </w:rPr>
  </w:style>
</w:styles>
</file>

<file path=word/webSettings.xml><?xml version="1.0" encoding="utf-8"?>
<w:webSettings xmlns:r="http://schemas.openxmlformats.org/officeDocument/2006/relationships" xmlns:w="http://schemas.openxmlformats.org/wordprocessingml/2006/main">
  <w:divs>
    <w:div w:id="276105331">
      <w:bodyDiv w:val="1"/>
      <w:marLeft w:val="0"/>
      <w:marRight w:val="0"/>
      <w:marTop w:val="0"/>
      <w:marBottom w:val="0"/>
      <w:divBdr>
        <w:top w:val="none" w:sz="0" w:space="0" w:color="auto"/>
        <w:left w:val="none" w:sz="0" w:space="0" w:color="auto"/>
        <w:bottom w:val="none" w:sz="0" w:space="0" w:color="auto"/>
        <w:right w:val="none" w:sz="0" w:space="0" w:color="auto"/>
      </w:divBdr>
    </w:div>
    <w:div w:id="545873293">
      <w:bodyDiv w:val="1"/>
      <w:marLeft w:val="0"/>
      <w:marRight w:val="0"/>
      <w:marTop w:val="0"/>
      <w:marBottom w:val="0"/>
      <w:divBdr>
        <w:top w:val="none" w:sz="0" w:space="0" w:color="auto"/>
        <w:left w:val="none" w:sz="0" w:space="0" w:color="auto"/>
        <w:bottom w:val="none" w:sz="0" w:space="0" w:color="auto"/>
        <w:right w:val="none" w:sz="0" w:space="0" w:color="auto"/>
      </w:divBdr>
    </w:div>
    <w:div w:id="628315228">
      <w:bodyDiv w:val="1"/>
      <w:marLeft w:val="0"/>
      <w:marRight w:val="0"/>
      <w:marTop w:val="0"/>
      <w:marBottom w:val="0"/>
      <w:divBdr>
        <w:top w:val="none" w:sz="0" w:space="0" w:color="auto"/>
        <w:left w:val="none" w:sz="0" w:space="0" w:color="auto"/>
        <w:bottom w:val="none" w:sz="0" w:space="0" w:color="auto"/>
        <w:right w:val="none" w:sz="0" w:space="0" w:color="auto"/>
      </w:divBdr>
    </w:div>
    <w:div w:id="1158573248">
      <w:bodyDiv w:val="1"/>
      <w:marLeft w:val="0"/>
      <w:marRight w:val="0"/>
      <w:marTop w:val="0"/>
      <w:marBottom w:val="0"/>
      <w:divBdr>
        <w:top w:val="none" w:sz="0" w:space="0" w:color="auto"/>
        <w:left w:val="none" w:sz="0" w:space="0" w:color="auto"/>
        <w:bottom w:val="none" w:sz="0" w:space="0" w:color="auto"/>
        <w:right w:val="none" w:sz="0" w:space="0" w:color="auto"/>
      </w:divBdr>
    </w:div>
    <w:div w:id="1350523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1042444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ADC3-402F-498E-83B2-D2D1EF1F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7036</Words>
  <Characters>40107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dipesh</dc:creator>
  <cp:lastModifiedBy>dipesh</cp:lastModifiedBy>
  <cp:revision>2</cp:revision>
  <dcterms:created xsi:type="dcterms:W3CDTF">2015-11-25T12:57:00Z</dcterms:created>
  <dcterms:modified xsi:type="dcterms:W3CDTF">2015-11-25T12:57:00Z</dcterms:modified>
</cp:coreProperties>
</file>