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A81B" w14:textId="778EB461" w:rsidR="00186387" w:rsidRDefault="00186387" w:rsidP="00186387">
      <w:pPr>
        <w:jc w:val="center"/>
        <w:rPr>
          <w:rFonts w:ascii="Times New Roman" w:hAnsi="Times New Roman" w:cs="Times New Roman"/>
          <w:b/>
          <w:bCs/>
          <w:sz w:val="46"/>
          <w:szCs w:val="46"/>
          <w:lang w:val="en-CA"/>
        </w:rPr>
      </w:pPr>
      <w:r w:rsidRPr="008C41AB">
        <w:rPr>
          <w:rFonts w:ascii="Times New Roman" w:hAnsi="Times New Roman" w:cs="Times New Roman"/>
          <w:b/>
          <w:bCs/>
          <w:sz w:val="46"/>
          <w:szCs w:val="46"/>
          <w:lang w:val="en-CA"/>
        </w:rPr>
        <w:t xml:space="preserve">Does </w:t>
      </w:r>
      <w:r w:rsidR="008C41AB">
        <w:rPr>
          <w:rFonts w:ascii="Times New Roman" w:hAnsi="Times New Roman" w:cs="Times New Roman"/>
          <w:b/>
          <w:bCs/>
          <w:sz w:val="46"/>
          <w:szCs w:val="46"/>
          <w:lang w:val="en-CA"/>
        </w:rPr>
        <w:t>C</w:t>
      </w:r>
      <w:r w:rsidRPr="008C41AB">
        <w:rPr>
          <w:rFonts w:ascii="Times New Roman" w:hAnsi="Times New Roman" w:cs="Times New Roman"/>
          <w:b/>
          <w:bCs/>
          <w:sz w:val="46"/>
          <w:szCs w:val="46"/>
          <w:lang w:val="en-CA"/>
        </w:rPr>
        <w:t xml:space="preserve">ash </w:t>
      </w:r>
      <w:r w:rsidR="008C41AB">
        <w:rPr>
          <w:rFonts w:ascii="Times New Roman" w:hAnsi="Times New Roman" w:cs="Times New Roman"/>
          <w:b/>
          <w:bCs/>
          <w:sz w:val="46"/>
          <w:szCs w:val="46"/>
          <w:lang w:val="en-CA"/>
        </w:rPr>
        <w:t>F</w:t>
      </w:r>
      <w:r w:rsidRPr="008C41AB">
        <w:rPr>
          <w:rFonts w:ascii="Times New Roman" w:hAnsi="Times New Roman" w:cs="Times New Roman"/>
          <w:b/>
          <w:bCs/>
          <w:sz w:val="46"/>
          <w:szCs w:val="46"/>
          <w:lang w:val="en-CA"/>
        </w:rPr>
        <w:t xml:space="preserve">lows </w:t>
      </w:r>
      <w:r w:rsidR="008C41AB">
        <w:rPr>
          <w:rFonts w:ascii="Times New Roman" w:hAnsi="Times New Roman" w:cs="Times New Roman"/>
          <w:b/>
          <w:bCs/>
          <w:sz w:val="46"/>
          <w:szCs w:val="46"/>
          <w:lang w:val="en-CA"/>
        </w:rPr>
        <w:t>U</w:t>
      </w:r>
      <w:r w:rsidRPr="008C41AB">
        <w:rPr>
          <w:rFonts w:ascii="Times New Roman" w:hAnsi="Times New Roman" w:cs="Times New Roman"/>
          <w:b/>
          <w:bCs/>
          <w:sz w:val="46"/>
          <w:szCs w:val="46"/>
          <w:lang w:val="en-CA"/>
        </w:rPr>
        <w:t xml:space="preserve">seful in </w:t>
      </w:r>
      <w:r w:rsidR="008C41AB">
        <w:rPr>
          <w:rFonts w:ascii="Times New Roman" w:hAnsi="Times New Roman" w:cs="Times New Roman"/>
          <w:b/>
          <w:bCs/>
          <w:sz w:val="46"/>
          <w:szCs w:val="46"/>
          <w:lang w:val="en-CA"/>
        </w:rPr>
        <w:t>P</w:t>
      </w:r>
      <w:r w:rsidRPr="008C41AB">
        <w:rPr>
          <w:rFonts w:ascii="Times New Roman" w:hAnsi="Times New Roman" w:cs="Times New Roman"/>
          <w:b/>
          <w:bCs/>
          <w:sz w:val="46"/>
          <w:szCs w:val="46"/>
          <w:lang w:val="en-CA"/>
        </w:rPr>
        <w:t xml:space="preserve">redicting the </w:t>
      </w:r>
      <w:r w:rsidR="008C41AB">
        <w:rPr>
          <w:rFonts w:ascii="Times New Roman" w:hAnsi="Times New Roman" w:cs="Times New Roman"/>
          <w:b/>
          <w:bCs/>
          <w:sz w:val="46"/>
          <w:szCs w:val="46"/>
          <w:lang w:val="en-CA"/>
        </w:rPr>
        <w:t>C</w:t>
      </w:r>
      <w:r w:rsidR="00ED40C0" w:rsidRPr="008C41AB">
        <w:rPr>
          <w:rFonts w:ascii="Times New Roman" w:hAnsi="Times New Roman" w:cs="Times New Roman"/>
          <w:b/>
          <w:bCs/>
          <w:sz w:val="46"/>
          <w:szCs w:val="46"/>
          <w:lang w:val="en-CA"/>
        </w:rPr>
        <w:t xml:space="preserve">ompany’s </w:t>
      </w:r>
      <w:r w:rsidR="008C41AB">
        <w:rPr>
          <w:rFonts w:ascii="Times New Roman" w:hAnsi="Times New Roman" w:cs="Times New Roman"/>
          <w:b/>
          <w:bCs/>
          <w:sz w:val="46"/>
          <w:szCs w:val="46"/>
          <w:lang w:val="en-CA"/>
        </w:rPr>
        <w:t>F</w:t>
      </w:r>
      <w:r w:rsidRPr="008C41AB">
        <w:rPr>
          <w:rFonts w:ascii="Times New Roman" w:hAnsi="Times New Roman" w:cs="Times New Roman"/>
          <w:b/>
          <w:bCs/>
          <w:sz w:val="46"/>
          <w:szCs w:val="46"/>
          <w:lang w:val="en-CA"/>
        </w:rPr>
        <w:t xml:space="preserve">inancial </w:t>
      </w:r>
      <w:r w:rsidR="008C41AB">
        <w:rPr>
          <w:rFonts w:ascii="Times New Roman" w:hAnsi="Times New Roman" w:cs="Times New Roman"/>
          <w:b/>
          <w:bCs/>
          <w:sz w:val="46"/>
          <w:szCs w:val="46"/>
          <w:lang w:val="en-CA"/>
        </w:rPr>
        <w:t>H</w:t>
      </w:r>
      <w:r w:rsidRPr="008C41AB">
        <w:rPr>
          <w:rFonts w:ascii="Times New Roman" w:hAnsi="Times New Roman" w:cs="Times New Roman"/>
          <w:b/>
          <w:bCs/>
          <w:sz w:val="46"/>
          <w:szCs w:val="46"/>
          <w:lang w:val="en-CA"/>
        </w:rPr>
        <w:t xml:space="preserve">ealth? Empirical </w:t>
      </w:r>
      <w:r w:rsidR="008C41AB">
        <w:rPr>
          <w:rFonts w:ascii="Times New Roman" w:hAnsi="Times New Roman" w:cs="Times New Roman"/>
          <w:b/>
          <w:bCs/>
          <w:sz w:val="46"/>
          <w:szCs w:val="46"/>
          <w:lang w:val="en-CA"/>
        </w:rPr>
        <w:t>V</w:t>
      </w:r>
      <w:r w:rsidRPr="008C41AB">
        <w:rPr>
          <w:rFonts w:ascii="Times New Roman" w:hAnsi="Times New Roman" w:cs="Times New Roman"/>
          <w:b/>
          <w:bCs/>
          <w:sz w:val="46"/>
          <w:szCs w:val="46"/>
          <w:lang w:val="en-CA"/>
        </w:rPr>
        <w:t xml:space="preserve">alidation by </w:t>
      </w:r>
      <w:r w:rsidR="008C41AB">
        <w:rPr>
          <w:rFonts w:ascii="Times New Roman" w:hAnsi="Times New Roman" w:cs="Times New Roman"/>
          <w:b/>
          <w:bCs/>
          <w:sz w:val="46"/>
          <w:szCs w:val="46"/>
          <w:lang w:val="en-CA"/>
        </w:rPr>
        <w:t>P</w:t>
      </w:r>
      <w:r w:rsidRPr="008C41AB">
        <w:rPr>
          <w:rFonts w:ascii="Times New Roman" w:hAnsi="Times New Roman" w:cs="Times New Roman"/>
          <w:b/>
          <w:bCs/>
          <w:sz w:val="46"/>
          <w:szCs w:val="46"/>
          <w:lang w:val="en-CA"/>
        </w:rPr>
        <w:t xml:space="preserve">anel </w:t>
      </w:r>
      <w:r w:rsidR="008C41AB">
        <w:rPr>
          <w:rFonts w:ascii="Times New Roman" w:hAnsi="Times New Roman" w:cs="Times New Roman"/>
          <w:b/>
          <w:bCs/>
          <w:sz w:val="46"/>
          <w:szCs w:val="46"/>
          <w:lang w:val="en-CA"/>
        </w:rPr>
        <w:t>C</w:t>
      </w:r>
      <w:r w:rsidRPr="008C41AB">
        <w:rPr>
          <w:rFonts w:ascii="Times New Roman" w:hAnsi="Times New Roman" w:cs="Times New Roman"/>
          <w:b/>
          <w:bCs/>
          <w:sz w:val="46"/>
          <w:szCs w:val="46"/>
          <w:lang w:val="en-CA"/>
        </w:rPr>
        <w:t xml:space="preserve">ointegration </w:t>
      </w:r>
      <w:r w:rsidR="008C41AB">
        <w:rPr>
          <w:rFonts w:ascii="Times New Roman" w:hAnsi="Times New Roman" w:cs="Times New Roman"/>
          <w:b/>
          <w:bCs/>
          <w:sz w:val="46"/>
          <w:szCs w:val="46"/>
          <w:lang w:val="en-CA"/>
        </w:rPr>
        <w:t>T</w:t>
      </w:r>
      <w:r w:rsidRPr="008C41AB">
        <w:rPr>
          <w:rFonts w:ascii="Times New Roman" w:hAnsi="Times New Roman" w:cs="Times New Roman"/>
          <w:b/>
          <w:bCs/>
          <w:sz w:val="46"/>
          <w:szCs w:val="46"/>
          <w:lang w:val="en-CA"/>
        </w:rPr>
        <w:t>ests</w:t>
      </w:r>
    </w:p>
    <w:p w14:paraId="38AAEC18" w14:textId="77777777" w:rsidR="008C41AB" w:rsidRPr="008C41AB" w:rsidRDefault="008C41AB" w:rsidP="00186387">
      <w:pPr>
        <w:jc w:val="center"/>
        <w:rPr>
          <w:rFonts w:ascii="Times New Roman" w:hAnsi="Times New Roman" w:cs="Times New Roman"/>
          <w:b/>
          <w:bCs/>
          <w:sz w:val="24"/>
          <w:szCs w:val="24"/>
          <w:lang w:val="en-CA"/>
        </w:rPr>
      </w:pPr>
    </w:p>
    <w:p w14:paraId="6F2898FA" w14:textId="77777777" w:rsidR="008C41AB" w:rsidRDefault="00186387" w:rsidP="00186387">
      <w:pPr>
        <w:jc w:val="center"/>
        <w:rPr>
          <w:rFonts w:ascii="Cambria" w:hAnsi="Cambria"/>
          <w:b/>
          <w:bCs/>
          <w:sz w:val="24"/>
          <w:szCs w:val="24"/>
          <w:lang w:val="en-CA"/>
        </w:rPr>
      </w:pPr>
      <w:proofErr w:type="spellStart"/>
      <w:r w:rsidRPr="008C41AB">
        <w:rPr>
          <w:rFonts w:ascii="Times New Roman" w:hAnsi="Times New Roman" w:cs="Times New Roman"/>
          <w:b/>
          <w:bCs/>
          <w:sz w:val="24"/>
          <w:szCs w:val="24"/>
          <w:lang w:val="en-CA"/>
        </w:rPr>
        <w:t>Chaouki</w:t>
      </w:r>
      <w:proofErr w:type="spellEnd"/>
      <w:r w:rsidRPr="008C41AB">
        <w:rPr>
          <w:rFonts w:ascii="Times New Roman" w:hAnsi="Times New Roman" w:cs="Times New Roman"/>
          <w:b/>
          <w:bCs/>
          <w:sz w:val="24"/>
          <w:szCs w:val="24"/>
          <w:lang w:val="en-CA"/>
        </w:rPr>
        <w:t xml:space="preserve"> </w:t>
      </w:r>
      <w:proofErr w:type="spellStart"/>
      <w:r w:rsidRPr="008C41AB">
        <w:rPr>
          <w:rFonts w:ascii="Times New Roman" w:hAnsi="Times New Roman" w:cs="Times New Roman"/>
          <w:b/>
          <w:bCs/>
          <w:sz w:val="24"/>
          <w:szCs w:val="24"/>
          <w:lang w:val="en-CA"/>
        </w:rPr>
        <w:t>Mouelhi</w:t>
      </w:r>
      <w:proofErr w:type="spellEnd"/>
      <w:r w:rsidRPr="008C41AB">
        <w:rPr>
          <w:rFonts w:ascii="Times New Roman" w:hAnsi="Times New Roman" w:cs="Times New Roman"/>
          <w:b/>
          <w:bCs/>
          <w:sz w:val="24"/>
          <w:szCs w:val="24"/>
          <w:lang w:val="en-CA"/>
        </w:rPr>
        <w:t xml:space="preserve">  </w:t>
      </w:r>
      <w:r w:rsidRPr="008C41AB">
        <w:rPr>
          <w:rFonts w:ascii="Cambria" w:hAnsi="Cambria"/>
          <w:b/>
          <w:bCs/>
          <w:sz w:val="24"/>
          <w:szCs w:val="24"/>
          <w:lang w:val="en-CA"/>
        </w:rPr>
        <w:t xml:space="preserve">    </w:t>
      </w:r>
    </w:p>
    <w:p w14:paraId="6CF70433" w14:textId="7E787B8C" w:rsidR="00186387" w:rsidRPr="008C41AB" w:rsidRDefault="00186387" w:rsidP="00186387">
      <w:pPr>
        <w:jc w:val="center"/>
        <w:rPr>
          <w:rFonts w:ascii="Cambria" w:hAnsi="Cambria"/>
          <w:b/>
          <w:bCs/>
          <w:sz w:val="24"/>
          <w:szCs w:val="24"/>
          <w:lang w:val="en-CA"/>
        </w:rPr>
      </w:pPr>
      <w:r w:rsidRPr="008C41AB">
        <w:rPr>
          <w:rFonts w:ascii="Cambria" w:hAnsi="Cambria"/>
          <w:b/>
          <w:bCs/>
          <w:sz w:val="24"/>
          <w:szCs w:val="24"/>
          <w:lang w:val="en-CA"/>
        </w:rPr>
        <w:t xml:space="preserve">                           </w:t>
      </w:r>
    </w:p>
    <w:p w14:paraId="66CD335F" w14:textId="44B61E37" w:rsidR="00186387" w:rsidRPr="008C41AB" w:rsidRDefault="00186387" w:rsidP="008C41AB">
      <w:pPr>
        <w:jc w:val="center"/>
        <w:rPr>
          <w:rFonts w:ascii="Times New Roman" w:hAnsi="Times New Roman" w:cs="Times New Roman"/>
          <w:b/>
          <w:bCs/>
          <w:sz w:val="24"/>
          <w:szCs w:val="24"/>
          <w:lang w:val="en-CA"/>
        </w:rPr>
      </w:pPr>
      <w:r w:rsidRPr="008C41AB">
        <w:rPr>
          <w:rFonts w:ascii="Times New Roman" w:hAnsi="Times New Roman" w:cs="Times New Roman"/>
          <w:b/>
          <w:bCs/>
          <w:sz w:val="24"/>
          <w:szCs w:val="24"/>
          <w:lang w:val="en-CA"/>
        </w:rPr>
        <w:t>Abstract</w:t>
      </w:r>
    </w:p>
    <w:p w14:paraId="6938BCBE" w14:textId="3822507E" w:rsidR="00186387" w:rsidRDefault="00186387" w:rsidP="00186387">
      <w:pPr>
        <w:autoSpaceDE w:val="0"/>
        <w:autoSpaceDN w:val="0"/>
        <w:adjustRightInd w:val="0"/>
        <w:spacing w:after="0" w:line="240" w:lineRule="auto"/>
        <w:jc w:val="both"/>
        <w:rPr>
          <w:rFonts w:ascii="Times New Roman" w:hAnsi="Times New Roman" w:cs="Times New Roman"/>
          <w:sz w:val="24"/>
          <w:szCs w:val="24"/>
          <w:lang w:val="en-CA"/>
        </w:rPr>
      </w:pPr>
      <w:bookmarkStart w:id="0" w:name="_Hlk63460321"/>
      <w:r w:rsidRPr="008C41AB">
        <w:rPr>
          <w:rFonts w:ascii="Times New Roman" w:hAnsi="Times New Roman" w:cs="Times New Roman"/>
          <w:sz w:val="24"/>
          <w:szCs w:val="24"/>
          <w:lang w:val="en-CA"/>
        </w:rPr>
        <w:t xml:space="preserve">The aim of this article is to test the usefulness of cash flows as a measure of companies' financial health. Our approach is different from the previous studies which have animated the debate on the comparison of the explanatory power between accrual and cash-flow. Indeed, we use </w:t>
      </w:r>
      <w:r w:rsidR="0038147C" w:rsidRPr="008C41AB">
        <w:rPr>
          <w:rFonts w:ascii="Times New Roman" w:hAnsi="Times New Roman" w:cs="Times New Roman"/>
          <w:sz w:val="24"/>
          <w:szCs w:val="24"/>
          <w:lang w:val="en-CA"/>
        </w:rPr>
        <w:t>current</w:t>
      </w:r>
      <w:r w:rsidRPr="008C41AB">
        <w:rPr>
          <w:rFonts w:ascii="Times New Roman" w:hAnsi="Times New Roman" w:cs="Times New Roman"/>
          <w:sz w:val="24"/>
          <w:szCs w:val="24"/>
          <w:lang w:val="en-CA"/>
        </w:rPr>
        <w:t xml:space="preserve"> developments in cointegration tests on non-stationary dynamic panel data to test the existence of a long-</w:t>
      </w:r>
      <w:r w:rsidR="00B22FB5">
        <w:rPr>
          <w:rFonts w:ascii="Times New Roman" w:hAnsi="Times New Roman" w:cs="Times New Roman"/>
          <w:sz w:val="24"/>
          <w:szCs w:val="24"/>
          <w:lang w:val="en-CA"/>
        </w:rPr>
        <w:t>run</w:t>
      </w:r>
      <w:r w:rsidRPr="008C41AB">
        <w:rPr>
          <w:rFonts w:ascii="Times New Roman" w:hAnsi="Times New Roman" w:cs="Times New Roman"/>
          <w:sz w:val="24"/>
          <w:szCs w:val="24"/>
          <w:lang w:val="en-CA"/>
        </w:rPr>
        <w:t xml:space="preserve"> equilibrium relationship </w:t>
      </w:r>
      <w:r w:rsidR="00B22FB5" w:rsidRPr="008C41AB">
        <w:rPr>
          <w:rFonts w:ascii="Times New Roman" w:hAnsi="Times New Roman" w:cs="Times New Roman"/>
          <w:sz w:val="24"/>
          <w:szCs w:val="24"/>
          <w:lang w:val="en-CA"/>
        </w:rPr>
        <w:t xml:space="preserve">between </w:t>
      </w:r>
      <w:r w:rsidR="00B22FB5">
        <w:rPr>
          <w:rFonts w:ascii="Times New Roman" w:hAnsi="Times New Roman" w:cs="Times New Roman"/>
          <w:sz w:val="24"/>
          <w:szCs w:val="24"/>
          <w:lang w:val="en-CA"/>
        </w:rPr>
        <w:t xml:space="preserve">a </w:t>
      </w:r>
      <w:r w:rsidR="00B22FB5" w:rsidRPr="00BC45EE">
        <w:rPr>
          <w:rFonts w:ascii="Times New Roman" w:hAnsi="Times New Roman" w:cs="Times New Roman"/>
          <w:sz w:val="24"/>
          <w:szCs w:val="24"/>
        </w:rPr>
        <w:t xml:space="preserve">ratio based on cash flows (i.e., </w:t>
      </w:r>
      <w:r w:rsidR="00B22FB5">
        <w:rPr>
          <w:rFonts w:ascii="Times New Roman" w:hAnsi="Times New Roman" w:cs="Times New Roman"/>
          <w:sz w:val="24"/>
          <w:szCs w:val="24"/>
        </w:rPr>
        <w:t>o</w:t>
      </w:r>
      <w:r w:rsidR="00B22FB5" w:rsidRPr="00BC45EE">
        <w:rPr>
          <w:rFonts w:ascii="Times New Roman" w:hAnsi="Times New Roman" w:cs="Times New Roman"/>
          <w:sz w:val="24"/>
          <w:szCs w:val="24"/>
        </w:rPr>
        <w:t xml:space="preserve">perating </w:t>
      </w:r>
      <w:r w:rsidR="00B22FB5">
        <w:rPr>
          <w:rFonts w:ascii="Times New Roman" w:hAnsi="Times New Roman" w:cs="Times New Roman"/>
          <w:sz w:val="24"/>
          <w:szCs w:val="24"/>
        </w:rPr>
        <w:t>c</w:t>
      </w:r>
      <w:r w:rsidR="00B22FB5" w:rsidRPr="00BC45EE">
        <w:rPr>
          <w:rFonts w:ascii="Times New Roman" w:hAnsi="Times New Roman" w:cs="Times New Roman"/>
          <w:sz w:val="24"/>
          <w:szCs w:val="24"/>
        </w:rPr>
        <w:t xml:space="preserve">ash </w:t>
      </w:r>
      <w:r w:rsidR="00B22FB5">
        <w:rPr>
          <w:rFonts w:ascii="Times New Roman" w:hAnsi="Times New Roman" w:cs="Times New Roman"/>
          <w:sz w:val="24"/>
          <w:szCs w:val="24"/>
        </w:rPr>
        <w:t>f</w:t>
      </w:r>
      <w:r w:rsidR="00B22FB5" w:rsidRPr="00BC45EE">
        <w:rPr>
          <w:rFonts w:ascii="Times New Roman" w:hAnsi="Times New Roman" w:cs="Times New Roman"/>
          <w:sz w:val="24"/>
          <w:szCs w:val="24"/>
        </w:rPr>
        <w:t>low</w:t>
      </w:r>
      <w:r w:rsidR="00B22FB5">
        <w:rPr>
          <w:rFonts w:ascii="Times New Roman" w:hAnsi="Times New Roman" w:cs="Times New Roman"/>
          <w:sz w:val="24"/>
          <w:szCs w:val="24"/>
        </w:rPr>
        <w:t xml:space="preserve"> to</w:t>
      </w:r>
      <w:r w:rsidR="00B22FB5" w:rsidRPr="00BC45EE">
        <w:rPr>
          <w:rFonts w:ascii="Times New Roman" w:hAnsi="Times New Roman" w:cs="Times New Roman"/>
          <w:sz w:val="24"/>
          <w:szCs w:val="24"/>
        </w:rPr>
        <w:t xml:space="preserve"> </w:t>
      </w:r>
      <w:r w:rsidR="00B22FB5">
        <w:rPr>
          <w:rFonts w:ascii="Times New Roman" w:hAnsi="Times New Roman" w:cs="Times New Roman"/>
          <w:sz w:val="24"/>
          <w:szCs w:val="24"/>
        </w:rPr>
        <w:t>t</w:t>
      </w:r>
      <w:r w:rsidR="00B22FB5" w:rsidRPr="00BC45EE">
        <w:rPr>
          <w:rFonts w:ascii="Times New Roman" w:hAnsi="Times New Roman" w:cs="Times New Roman"/>
          <w:sz w:val="24"/>
          <w:szCs w:val="24"/>
        </w:rPr>
        <w:t xml:space="preserve">otal </w:t>
      </w:r>
      <w:r w:rsidR="00B22FB5">
        <w:rPr>
          <w:rFonts w:ascii="Times New Roman" w:hAnsi="Times New Roman" w:cs="Times New Roman"/>
          <w:sz w:val="24"/>
          <w:szCs w:val="24"/>
        </w:rPr>
        <w:t>a</w:t>
      </w:r>
      <w:r w:rsidR="00B22FB5" w:rsidRPr="00BC45EE">
        <w:rPr>
          <w:rFonts w:ascii="Times New Roman" w:hAnsi="Times New Roman" w:cs="Times New Roman"/>
          <w:sz w:val="24"/>
          <w:szCs w:val="24"/>
        </w:rPr>
        <w:t xml:space="preserve">ssets ratio) </w:t>
      </w:r>
      <w:r w:rsidRPr="008C41AB">
        <w:rPr>
          <w:rFonts w:ascii="Times New Roman" w:hAnsi="Times New Roman" w:cs="Times New Roman"/>
          <w:sz w:val="24"/>
          <w:szCs w:val="24"/>
          <w:lang w:val="en-CA"/>
        </w:rPr>
        <w:t xml:space="preserve">and </w:t>
      </w:r>
      <w:r w:rsidR="00F83385" w:rsidRPr="004D1D65">
        <w:rPr>
          <w:rFonts w:ascii="Times New Roman" w:hAnsi="Times New Roman" w:cs="Times New Roman"/>
          <w:sz w:val="24"/>
          <w:szCs w:val="24"/>
        </w:rPr>
        <w:t>four financial ratios based on accounting data</w:t>
      </w:r>
      <w:r w:rsidRPr="008C41AB">
        <w:rPr>
          <w:rFonts w:ascii="Times New Roman" w:hAnsi="Times New Roman" w:cs="Times New Roman"/>
          <w:sz w:val="24"/>
          <w:szCs w:val="24"/>
          <w:lang w:val="en-CA"/>
        </w:rPr>
        <w:t xml:space="preserve">, namely: </w:t>
      </w:r>
      <w:r w:rsidR="00B22FB5" w:rsidRPr="003420BC">
        <w:rPr>
          <w:rFonts w:ascii="Times New Roman" w:hAnsi="Times New Roman" w:cs="Times New Roman"/>
          <w:sz w:val="24"/>
          <w:szCs w:val="24"/>
        </w:rPr>
        <w:t>working capital to total assets ratio</w:t>
      </w:r>
      <w:r w:rsidR="00B22FB5">
        <w:rPr>
          <w:rFonts w:ascii="Times New Roman" w:hAnsi="Times New Roman" w:cs="Times New Roman"/>
          <w:sz w:val="24"/>
          <w:szCs w:val="24"/>
        </w:rPr>
        <w:t xml:space="preserve">, </w:t>
      </w:r>
      <w:r w:rsidR="00B22FB5" w:rsidRPr="008C41AB">
        <w:rPr>
          <w:rFonts w:ascii="Times New Roman" w:hAnsi="Times New Roman" w:cs="Times New Roman"/>
          <w:sz w:val="24"/>
          <w:szCs w:val="24"/>
          <w:lang w:val="en-CA"/>
        </w:rPr>
        <w:t>asset</w:t>
      </w:r>
      <w:r w:rsidR="00B22FB5" w:rsidRPr="003420BC">
        <w:rPr>
          <w:rFonts w:ascii="Times New Roman" w:hAnsi="Times New Roman" w:cs="Times New Roman"/>
          <w:sz w:val="24"/>
          <w:szCs w:val="24"/>
        </w:rPr>
        <w:t xml:space="preserve"> turnover ratio</w:t>
      </w:r>
      <w:r w:rsidR="00B22FB5">
        <w:rPr>
          <w:rFonts w:ascii="Times New Roman" w:hAnsi="Times New Roman" w:cs="Times New Roman"/>
          <w:sz w:val="24"/>
          <w:szCs w:val="24"/>
        </w:rPr>
        <w:t xml:space="preserve">, </w:t>
      </w:r>
      <w:r w:rsidR="00B22FB5" w:rsidRPr="003420BC">
        <w:rPr>
          <w:rFonts w:ascii="Times New Roman" w:hAnsi="Times New Roman" w:cs="Times New Roman"/>
          <w:sz w:val="24"/>
          <w:szCs w:val="24"/>
        </w:rPr>
        <w:t>return on assets ratio</w:t>
      </w:r>
      <w:r w:rsidR="00B22FB5">
        <w:rPr>
          <w:rFonts w:ascii="Times New Roman" w:hAnsi="Times New Roman" w:cs="Times New Roman"/>
          <w:sz w:val="24"/>
          <w:szCs w:val="24"/>
        </w:rPr>
        <w:t xml:space="preserve">, and </w:t>
      </w:r>
      <w:r w:rsidR="00B22FB5" w:rsidRPr="003420BC">
        <w:rPr>
          <w:rFonts w:ascii="Times New Roman" w:hAnsi="Times New Roman" w:cs="Times New Roman"/>
          <w:sz w:val="24"/>
          <w:szCs w:val="24"/>
        </w:rPr>
        <w:t>debt-assets ratio</w:t>
      </w:r>
      <w:r w:rsidR="00B22FB5">
        <w:rPr>
          <w:rFonts w:ascii="Times New Roman" w:hAnsi="Times New Roman" w:cs="Times New Roman"/>
          <w:sz w:val="24"/>
          <w:szCs w:val="24"/>
        </w:rPr>
        <w:t>.</w:t>
      </w:r>
      <w:r w:rsidR="00F83385" w:rsidRPr="00F83385">
        <w:rPr>
          <w:rFonts w:ascii="Times New Roman" w:hAnsi="Times New Roman" w:cs="Times New Roman"/>
          <w:sz w:val="24"/>
          <w:szCs w:val="24"/>
        </w:rPr>
        <w:t xml:space="preserve"> </w:t>
      </w:r>
      <w:r w:rsidR="00F83385">
        <w:rPr>
          <w:rFonts w:ascii="Times New Roman" w:hAnsi="Times New Roman" w:cs="Times New Roman"/>
          <w:sz w:val="24"/>
          <w:szCs w:val="24"/>
        </w:rPr>
        <w:t xml:space="preserve">These four financial ratios </w:t>
      </w:r>
      <w:r w:rsidR="00F83385" w:rsidRPr="003A4929">
        <w:rPr>
          <w:rFonts w:ascii="Times New Roman" w:hAnsi="Times New Roman" w:cs="Times New Roman"/>
          <w:sz w:val="24"/>
          <w:szCs w:val="24"/>
        </w:rPr>
        <w:t xml:space="preserve">are commonly known as relevant </w:t>
      </w:r>
      <w:r w:rsidR="00F83385" w:rsidRPr="008436BD">
        <w:rPr>
          <w:rFonts w:ascii="Times New Roman" w:hAnsi="Times New Roman" w:cs="Times New Roman"/>
          <w:sz w:val="24"/>
          <w:szCs w:val="24"/>
        </w:rPr>
        <w:t xml:space="preserve">indicators regarding the company's financial health </w:t>
      </w:r>
      <w:r w:rsidR="00F83385">
        <w:rPr>
          <w:rFonts w:ascii="Times New Roman" w:hAnsi="Times New Roman" w:cs="Times New Roman"/>
          <w:sz w:val="24"/>
          <w:szCs w:val="24"/>
        </w:rPr>
        <w:t>regarding its</w:t>
      </w:r>
      <w:r w:rsidR="00F83385" w:rsidRPr="008436BD">
        <w:rPr>
          <w:rFonts w:ascii="Times New Roman" w:hAnsi="Times New Roman" w:cs="Times New Roman"/>
          <w:sz w:val="24"/>
          <w:szCs w:val="24"/>
        </w:rPr>
        <w:t xml:space="preserve"> liquidity,</w:t>
      </w:r>
      <w:r w:rsidR="00F83385">
        <w:rPr>
          <w:rFonts w:ascii="Times New Roman" w:hAnsi="Times New Roman" w:cs="Times New Roman"/>
          <w:sz w:val="24"/>
          <w:szCs w:val="24"/>
        </w:rPr>
        <w:t xml:space="preserve"> operational </w:t>
      </w:r>
      <w:r w:rsidR="00F83385" w:rsidRPr="008436BD">
        <w:rPr>
          <w:rFonts w:ascii="Times New Roman" w:hAnsi="Times New Roman" w:cs="Times New Roman"/>
          <w:sz w:val="24"/>
          <w:szCs w:val="24"/>
        </w:rPr>
        <w:t xml:space="preserve">efficiency profitability, and </w:t>
      </w:r>
      <w:r w:rsidR="00F83385">
        <w:rPr>
          <w:rFonts w:ascii="Times New Roman" w:hAnsi="Times New Roman" w:cs="Times New Roman"/>
          <w:sz w:val="24"/>
          <w:szCs w:val="24"/>
        </w:rPr>
        <w:t>solvency</w:t>
      </w:r>
      <w:r w:rsidR="00F83385" w:rsidRPr="008436BD">
        <w:rPr>
          <w:rFonts w:ascii="Times New Roman" w:hAnsi="Times New Roman" w:cs="Times New Roman"/>
          <w:sz w:val="24"/>
          <w:szCs w:val="24"/>
        </w:rPr>
        <w:t>.</w:t>
      </w:r>
      <w:r w:rsidRPr="008C41AB">
        <w:rPr>
          <w:rFonts w:ascii="Times New Roman" w:hAnsi="Times New Roman" w:cs="Times New Roman"/>
          <w:sz w:val="24"/>
          <w:szCs w:val="24"/>
          <w:lang w:val="en-CA"/>
        </w:rPr>
        <w:t xml:space="preserve"> Precisely, </w:t>
      </w:r>
      <w:r w:rsidR="00F83385">
        <w:rPr>
          <w:rFonts w:ascii="Times New Roman" w:hAnsi="Times New Roman" w:cs="Times New Roman"/>
          <w:sz w:val="24"/>
          <w:szCs w:val="24"/>
          <w:lang w:val="en-CA"/>
        </w:rPr>
        <w:t>the</w:t>
      </w:r>
      <w:r w:rsidRPr="008C41AB">
        <w:rPr>
          <w:rFonts w:ascii="Times New Roman" w:hAnsi="Times New Roman" w:cs="Times New Roman"/>
          <w:sz w:val="24"/>
          <w:szCs w:val="24"/>
          <w:lang w:val="en-CA"/>
        </w:rPr>
        <w:t xml:space="preserve"> panel unit root test</w:t>
      </w:r>
      <w:r w:rsidR="00F83385">
        <w:rPr>
          <w:rFonts w:ascii="Times New Roman" w:hAnsi="Times New Roman" w:cs="Times New Roman"/>
          <w:sz w:val="24"/>
          <w:szCs w:val="24"/>
          <w:lang w:val="en-CA"/>
        </w:rPr>
        <w:t>s</w:t>
      </w:r>
      <w:r w:rsidRPr="008C41AB">
        <w:rPr>
          <w:rFonts w:ascii="Times New Roman" w:hAnsi="Times New Roman" w:cs="Times New Roman"/>
          <w:sz w:val="24"/>
          <w:szCs w:val="24"/>
          <w:lang w:val="en-CA"/>
        </w:rPr>
        <w:t xml:space="preserve"> (</w:t>
      </w:r>
      <w:r w:rsidRPr="008C41AB">
        <w:rPr>
          <w:rFonts w:ascii="Times New Roman" w:hAnsi="Times New Roman" w:cs="Times New Roman"/>
          <w:sz w:val="24"/>
          <w:szCs w:val="24"/>
        </w:rPr>
        <w:t>Im, Pesaran</w:t>
      </w:r>
      <w:r w:rsidR="004620F0" w:rsidRPr="008C41AB">
        <w:rPr>
          <w:rFonts w:ascii="Times New Roman" w:hAnsi="Times New Roman" w:cs="Times New Roman"/>
          <w:sz w:val="24"/>
          <w:szCs w:val="24"/>
        </w:rPr>
        <w:t>, and</w:t>
      </w:r>
      <w:r w:rsidRPr="008C41AB">
        <w:rPr>
          <w:rFonts w:ascii="Times New Roman" w:hAnsi="Times New Roman" w:cs="Times New Roman"/>
          <w:sz w:val="24"/>
          <w:szCs w:val="24"/>
        </w:rPr>
        <w:t xml:space="preserve"> Shin (2003))</w:t>
      </w:r>
      <w:r w:rsidRPr="008C41AB">
        <w:rPr>
          <w:rFonts w:ascii="Times New Roman" w:hAnsi="Times New Roman" w:cs="Times New Roman"/>
          <w:sz w:val="24"/>
          <w:szCs w:val="24"/>
          <w:lang w:val="en-CA"/>
        </w:rPr>
        <w:t xml:space="preserve"> and </w:t>
      </w:r>
      <w:r w:rsidR="00F83385">
        <w:rPr>
          <w:rFonts w:ascii="Times New Roman" w:hAnsi="Times New Roman" w:cs="Times New Roman"/>
          <w:sz w:val="24"/>
          <w:szCs w:val="24"/>
          <w:lang w:val="en-CA"/>
        </w:rPr>
        <w:t>the</w:t>
      </w:r>
      <w:r w:rsidRPr="008C41AB">
        <w:rPr>
          <w:rFonts w:ascii="Times New Roman" w:hAnsi="Times New Roman" w:cs="Times New Roman"/>
          <w:sz w:val="24"/>
          <w:szCs w:val="24"/>
          <w:lang w:val="en-CA"/>
        </w:rPr>
        <w:t xml:space="preserve"> panel cointegration test</w:t>
      </w:r>
      <w:r w:rsidR="00F83385">
        <w:rPr>
          <w:rFonts w:ascii="Times New Roman" w:hAnsi="Times New Roman" w:cs="Times New Roman"/>
          <w:sz w:val="24"/>
          <w:szCs w:val="24"/>
          <w:lang w:val="en-CA"/>
        </w:rPr>
        <w:t>s</w:t>
      </w:r>
      <w:r w:rsidRPr="008C41AB">
        <w:rPr>
          <w:rFonts w:ascii="Times New Roman" w:hAnsi="Times New Roman" w:cs="Times New Roman"/>
          <w:sz w:val="24"/>
          <w:szCs w:val="24"/>
          <w:lang w:val="en-CA"/>
        </w:rPr>
        <w:t xml:space="preserve"> (Pedroni (2004)) are applied on a sample of 150 American firms over the period 2010-2017. Our main results led to conclude that the cash flow has an informational content and a significant explanatory power in the prediction of the </w:t>
      </w:r>
      <w:r w:rsidR="00F83385">
        <w:rPr>
          <w:rFonts w:ascii="Times New Roman" w:hAnsi="Times New Roman" w:cs="Times New Roman"/>
          <w:sz w:val="24"/>
          <w:szCs w:val="24"/>
          <w:lang w:val="en-CA"/>
        </w:rPr>
        <w:t xml:space="preserve">company’s </w:t>
      </w:r>
      <w:r w:rsidRPr="008C41AB">
        <w:rPr>
          <w:rFonts w:ascii="Times New Roman" w:hAnsi="Times New Roman" w:cs="Times New Roman"/>
          <w:sz w:val="24"/>
          <w:szCs w:val="24"/>
          <w:lang w:val="en-CA"/>
        </w:rPr>
        <w:t xml:space="preserve">financial health. We provide some explanations for these findings which are supported by </w:t>
      </w:r>
      <w:r w:rsidR="0010521C">
        <w:rPr>
          <w:rFonts w:ascii="Times New Roman" w:hAnsi="Times New Roman" w:cs="Times New Roman"/>
          <w:sz w:val="24"/>
          <w:szCs w:val="24"/>
          <w:lang w:val="en-CA"/>
        </w:rPr>
        <w:t xml:space="preserve">a </w:t>
      </w:r>
      <w:r w:rsidRPr="008C41AB">
        <w:rPr>
          <w:rFonts w:ascii="Times New Roman" w:hAnsi="Times New Roman" w:cs="Times New Roman"/>
          <w:sz w:val="24"/>
          <w:szCs w:val="24"/>
          <w:lang w:val="en-CA"/>
        </w:rPr>
        <w:t>robustness analy</w:t>
      </w:r>
      <w:r w:rsidR="0010521C">
        <w:rPr>
          <w:rFonts w:ascii="Times New Roman" w:hAnsi="Times New Roman" w:cs="Times New Roman"/>
          <w:sz w:val="24"/>
          <w:szCs w:val="24"/>
          <w:lang w:val="en-CA"/>
        </w:rPr>
        <w:t>sis</w:t>
      </w:r>
      <w:r w:rsidRPr="008C41AB">
        <w:rPr>
          <w:rFonts w:ascii="Times New Roman" w:hAnsi="Times New Roman" w:cs="Times New Roman"/>
          <w:sz w:val="24"/>
          <w:szCs w:val="24"/>
          <w:lang w:val="en-CA"/>
        </w:rPr>
        <w:t xml:space="preserve"> using panel error correction models (PECM).</w:t>
      </w:r>
      <w:r w:rsidR="00B22FB5">
        <w:rPr>
          <w:rFonts w:ascii="Times New Roman" w:hAnsi="Times New Roman" w:cs="Times New Roman"/>
          <w:sz w:val="24"/>
          <w:szCs w:val="24"/>
          <w:lang w:val="en-CA"/>
        </w:rPr>
        <w:t xml:space="preserve"> </w:t>
      </w:r>
    </w:p>
    <w:p w14:paraId="188F9DAA" w14:textId="77777777" w:rsidR="008C41AB" w:rsidRPr="008C41AB" w:rsidRDefault="008C41AB" w:rsidP="00186387">
      <w:pPr>
        <w:autoSpaceDE w:val="0"/>
        <w:autoSpaceDN w:val="0"/>
        <w:adjustRightInd w:val="0"/>
        <w:spacing w:after="0" w:line="240" w:lineRule="auto"/>
        <w:jc w:val="both"/>
        <w:rPr>
          <w:rFonts w:ascii="Times New Roman" w:hAnsi="Times New Roman" w:cs="Times New Roman"/>
          <w:sz w:val="24"/>
          <w:szCs w:val="24"/>
          <w:lang w:val="en-CA"/>
        </w:rPr>
      </w:pPr>
    </w:p>
    <w:bookmarkEnd w:id="0"/>
    <w:p w14:paraId="314938A6" w14:textId="7F75F97B" w:rsidR="00834DE9" w:rsidRPr="00A178C0" w:rsidRDefault="00834DE9">
      <w:pPr>
        <w:rPr>
          <w:sz w:val="4"/>
          <w:szCs w:val="4"/>
        </w:rPr>
      </w:pPr>
    </w:p>
    <w:p w14:paraId="5CFAE3E1" w14:textId="1A1AEF7C" w:rsidR="00186387" w:rsidRPr="008C41AB" w:rsidRDefault="00392B80" w:rsidP="008C41AB">
      <w:pPr>
        <w:ind w:firstLine="720"/>
        <w:jc w:val="both"/>
        <w:rPr>
          <w:rFonts w:ascii="Times New Roman" w:hAnsi="Times New Roman" w:cs="Times New Roman"/>
          <w:b/>
          <w:bCs/>
          <w:sz w:val="30"/>
          <w:szCs w:val="30"/>
        </w:rPr>
      </w:pPr>
      <w:r w:rsidRPr="008C41AB">
        <w:rPr>
          <w:rFonts w:ascii="Times New Roman" w:hAnsi="Times New Roman" w:cs="Times New Roman"/>
          <w:b/>
          <w:bCs/>
          <w:sz w:val="30"/>
          <w:szCs w:val="30"/>
        </w:rPr>
        <w:t>1</w:t>
      </w:r>
      <w:r w:rsidR="008C41AB">
        <w:rPr>
          <w:rFonts w:ascii="Times New Roman" w:hAnsi="Times New Roman" w:cs="Times New Roman"/>
          <w:b/>
          <w:bCs/>
          <w:sz w:val="30"/>
          <w:szCs w:val="30"/>
        </w:rPr>
        <w:t xml:space="preserve">. </w:t>
      </w:r>
      <w:r w:rsidR="00186387" w:rsidRPr="008C41AB">
        <w:rPr>
          <w:rFonts w:ascii="Times New Roman" w:hAnsi="Times New Roman" w:cs="Times New Roman"/>
          <w:b/>
          <w:bCs/>
          <w:sz w:val="30"/>
          <w:szCs w:val="30"/>
        </w:rPr>
        <w:t>INTRODUCTION</w:t>
      </w:r>
    </w:p>
    <w:p w14:paraId="54FF941B" w14:textId="7B01320C" w:rsidR="00F71A07" w:rsidRPr="00BC45EE" w:rsidRDefault="00186387" w:rsidP="008C41AB">
      <w:pPr>
        <w:spacing w:line="240" w:lineRule="auto"/>
        <w:jc w:val="both"/>
        <w:rPr>
          <w:rStyle w:val="ts-alignment-element"/>
          <w:rFonts w:ascii="Times New Roman" w:hAnsi="Times New Roman" w:cs="Times New Roman"/>
          <w:sz w:val="24"/>
          <w:szCs w:val="24"/>
          <w:lang w:val="en"/>
        </w:rPr>
      </w:pPr>
      <w:r w:rsidRPr="00BC45EE">
        <w:rPr>
          <w:rFonts w:ascii="Times New Roman" w:hAnsi="Times New Roman" w:cs="Times New Roman"/>
          <w:sz w:val="24"/>
          <w:szCs w:val="24"/>
        </w:rPr>
        <w:t>The uselessness of cash flows as a measure of the financial health of companies is</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an</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animated</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debate</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in</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the</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financial</w:t>
      </w:r>
      <w:r w:rsidRPr="00BC45EE">
        <w:rPr>
          <w:rFonts w:ascii="Times New Roman" w:hAnsi="Times New Roman" w:cs="Times New Roman"/>
          <w:sz w:val="24"/>
          <w:szCs w:val="24"/>
          <w:lang w:val="en"/>
        </w:rPr>
        <w:t xml:space="preserve"> </w:t>
      </w:r>
      <w:r w:rsidRPr="00BC45EE">
        <w:rPr>
          <w:rStyle w:val="ts-alignment-element"/>
          <w:rFonts w:ascii="Times New Roman" w:hAnsi="Times New Roman" w:cs="Times New Roman"/>
          <w:sz w:val="24"/>
          <w:szCs w:val="24"/>
          <w:lang w:val="en"/>
        </w:rPr>
        <w:t>literature.</w:t>
      </w:r>
      <w:r w:rsidRPr="00BC45EE">
        <w:rPr>
          <w:rFonts w:ascii="Times New Roman" w:hAnsi="Times New Roman" w:cs="Times New Roman"/>
          <w:sz w:val="24"/>
          <w:szCs w:val="24"/>
        </w:rPr>
        <w:t xml:space="preserve"> Despite the </w:t>
      </w:r>
      <w:r w:rsidR="00C802C6" w:rsidRPr="00BC45EE">
        <w:rPr>
          <w:rFonts w:ascii="Times New Roman" w:hAnsi="Times New Roman" w:cs="Times New Roman"/>
          <w:sz w:val="24"/>
          <w:szCs w:val="24"/>
        </w:rPr>
        <w:t>multiplicity</w:t>
      </w:r>
      <w:r w:rsidRPr="00BC45EE">
        <w:rPr>
          <w:rFonts w:ascii="Times New Roman" w:hAnsi="Times New Roman" w:cs="Times New Roman"/>
          <w:sz w:val="24"/>
          <w:szCs w:val="24"/>
        </w:rPr>
        <w:t xml:space="preserve"> of empirical studies, this debate is still </w:t>
      </w:r>
      <w:r w:rsidR="00F71A07" w:rsidRPr="00BC45EE">
        <w:rPr>
          <w:rFonts w:ascii="Times New Roman" w:hAnsi="Times New Roman" w:cs="Times New Roman"/>
          <w:sz w:val="24"/>
          <w:szCs w:val="24"/>
        </w:rPr>
        <w:t>not closed</w:t>
      </w:r>
      <w:r w:rsidRPr="00BC45EE">
        <w:rPr>
          <w:rFonts w:ascii="Times New Roman" w:hAnsi="Times New Roman" w:cs="Times New Roman"/>
          <w:sz w:val="24"/>
          <w:szCs w:val="24"/>
        </w:rPr>
        <w:t xml:space="preserve">. </w:t>
      </w:r>
      <w:r w:rsidR="00F71A07" w:rsidRPr="00BC45EE">
        <w:rPr>
          <w:rFonts w:ascii="Times New Roman" w:hAnsi="Times New Roman" w:cs="Times New Roman"/>
          <w:sz w:val="24"/>
          <w:szCs w:val="24"/>
        </w:rPr>
        <w:t>This is mainly due to the mixed results of these studies</w:t>
      </w:r>
      <w:r w:rsidRPr="00BC45EE">
        <w:rPr>
          <w:rFonts w:ascii="Times New Roman" w:hAnsi="Times New Roman" w:cs="Times New Roman"/>
          <w:sz w:val="24"/>
          <w:szCs w:val="24"/>
        </w:rPr>
        <w:t xml:space="preserve"> and the absence of powerful theoretical arguments explaining the uselessness or usefulness of cash flows as</w:t>
      </w:r>
      <w:r w:rsidR="00F71A07" w:rsidRPr="00BC45EE">
        <w:rPr>
          <w:rFonts w:ascii="Times New Roman" w:hAnsi="Times New Roman" w:cs="Times New Roman"/>
          <w:sz w:val="24"/>
          <w:szCs w:val="24"/>
        </w:rPr>
        <w:t xml:space="preserve"> an</w:t>
      </w:r>
      <w:r w:rsidR="00F71A07" w:rsidRPr="00BC45EE">
        <w:rPr>
          <w:rFonts w:ascii="Times New Roman" w:hAnsi="Times New Roman" w:cs="Times New Roman"/>
          <w:sz w:val="24"/>
          <w:szCs w:val="24"/>
          <w:lang w:val="en"/>
        </w:rPr>
        <w:t xml:space="preserve"> </w:t>
      </w:r>
      <w:r w:rsidR="00F71A07" w:rsidRPr="00BC45EE">
        <w:rPr>
          <w:rStyle w:val="ts-alignment-element"/>
          <w:rFonts w:ascii="Times New Roman" w:hAnsi="Times New Roman" w:cs="Times New Roman"/>
          <w:sz w:val="24"/>
          <w:szCs w:val="24"/>
          <w:lang w:val="en"/>
        </w:rPr>
        <w:t>indicator</w:t>
      </w:r>
      <w:r w:rsidR="00F71A07" w:rsidRPr="00BC45EE">
        <w:rPr>
          <w:rFonts w:ascii="Times New Roman" w:hAnsi="Times New Roman" w:cs="Times New Roman"/>
          <w:sz w:val="24"/>
          <w:szCs w:val="24"/>
          <w:lang w:val="en"/>
        </w:rPr>
        <w:t xml:space="preserve"> </w:t>
      </w:r>
      <w:r w:rsidR="00F71A07" w:rsidRPr="00BC45EE">
        <w:rPr>
          <w:rStyle w:val="ts-alignment-element"/>
          <w:rFonts w:ascii="Times New Roman" w:hAnsi="Times New Roman" w:cs="Times New Roman"/>
          <w:sz w:val="24"/>
          <w:szCs w:val="24"/>
          <w:lang w:val="en"/>
        </w:rPr>
        <w:t>of</w:t>
      </w:r>
      <w:r w:rsidR="00F71A07" w:rsidRPr="00BC45EE">
        <w:rPr>
          <w:rFonts w:ascii="Times New Roman" w:hAnsi="Times New Roman" w:cs="Times New Roman"/>
          <w:sz w:val="24"/>
          <w:szCs w:val="24"/>
          <w:lang w:val="en"/>
        </w:rPr>
        <w:t xml:space="preserve"> </w:t>
      </w:r>
      <w:r w:rsidR="00F71A07" w:rsidRPr="00BC45EE">
        <w:rPr>
          <w:rStyle w:val="ts-alignment-element"/>
          <w:rFonts w:ascii="Times New Roman" w:hAnsi="Times New Roman" w:cs="Times New Roman"/>
          <w:sz w:val="24"/>
          <w:szCs w:val="24"/>
          <w:lang w:val="en"/>
        </w:rPr>
        <w:t>a</w:t>
      </w:r>
      <w:r w:rsidR="00F71A07" w:rsidRPr="00BC45EE">
        <w:rPr>
          <w:rFonts w:ascii="Times New Roman" w:hAnsi="Times New Roman" w:cs="Times New Roman"/>
          <w:sz w:val="24"/>
          <w:szCs w:val="24"/>
          <w:lang w:val="en"/>
        </w:rPr>
        <w:t xml:space="preserve"> </w:t>
      </w:r>
      <w:r w:rsidR="00F71A07" w:rsidRPr="00BC45EE">
        <w:rPr>
          <w:rStyle w:val="ts-alignment-element"/>
          <w:rFonts w:ascii="Times New Roman" w:hAnsi="Times New Roman" w:cs="Times New Roman"/>
          <w:sz w:val="24"/>
          <w:szCs w:val="24"/>
          <w:lang w:val="en"/>
        </w:rPr>
        <w:t>company's financial</w:t>
      </w:r>
      <w:r w:rsidR="00F71A07" w:rsidRPr="00BC45EE">
        <w:rPr>
          <w:rFonts w:ascii="Times New Roman" w:hAnsi="Times New Roman" w:cs="Times New Roman"/>
          <w:sz w:val="24"/>
          <w:szCs w:val="24"/>
          <w:lang w:val="en"/>
        </w:rPr>
        <w:t xml:space="preserve"> </w:t>
      </w:r>
      <w:r w:rsidR="00F71A07" w:rsidRPr="00BC45EE">
        <w:rPr>
          <w:rStyle w:val="ts-alignment-element"/>
          <w:rFonts w:ascii="Times New Roman" w:hAnsi="Times New Roman" w:cs="Times New Roman"/>
          <w:sz w:val="24"/>
          <w:szCs w:val="24"/>
          <w:lang w:val="en"/>
        </w:rPr>
        <w:t>performance.</w:t>
      </w:r>
    </w:p>
    <w:p w14:paraId="30DD11D8" w14:textId="1B272D2B" w:rsidR="0095563C" w:rsidRPr="00BC45EE" w:rsidRDefault="00186387" w:rsidP="008C41AB">
      <w:pPr>
        <w:spacing w:line="240" w:lineRule="auto"/>
        <w:jc w:val="both"/>
        <w:rPr>
          <w:rFonts w:ascii="Times New Roman" w:hAnsi="Times New Roman" w:cs="Times New Roman"/>
          <w:sz w:val="24"/>
          <w:szCs w:val="24"/>
        </w:rPr>
      </w:pPr>
      <w:r w:rsidRPr="00BC45EE">
        <w:rPr>
          <w:rFonts w:ascii="Times New Roman" w:hAnsi="Times New Roman" w:cs="Times New Roman"/>
          <w:sz w:val="24"/>
          <w:szCs w:val="24"/>
        </w:rPr>
        <w:t xml:space="preserve">In this </w:t>
      </w:r>
      <w:r w:rsidR="00280ED6">
        <w:rPr>
          <w:rFonts w:ascii="Times New Roman" w:hAnsi="Times New Roman" w:cs="Times New Roman"/>
          <w:sz w:val="24"/>
          <w:szCs w:val="24"/>
        </w:rPr>
        <w:t>study</w:t>
      </w:r>
      <w:r w:rsidRPr="00BC45EE">
        <w:rPr>
          <w:rFonts w:ascii="Times New Roman" w:hAnsi="Times New Roman" w:cs="Times New Roman"/>
          <w:sz w:val="24"/>
          <w:szCs w:val="24"/>
        </w:rPr>
        <w:t xml:space="preserve">, </w:t>
      </w:r>
      <w:r w:rsidR="00F71A07" w:rsidRPr="00BC45EE">
        <w:rPr>
          <w:rFonts w:ascii="Times New Roman" w:hAnsi="Times New Roman" w:cs="Times New Roman"/>
          <w:sz w:val="24"/>
          <w:szCs w:val="24"/>
        </w:rPr>
        <w:t xml:space="preserve">we have thoroughly </w:t>
      </w:r>
      <w:r w:rsidR="00280ED6">
        <w:rPr>
          <w:rFonts w:ascii="Times New Roman" w:hAnsi="Times New Roman" w:cs="Times New Roman"/>
          <w:sz w:val="24"/>
          <w:szCs w:val="24"/>
        </w:rPr>
        <w:t>reviewed</w:t>
      </w:r>
      <w:r w:rsidR="00F71A07" w:rsidRPr="00BC45EE">
        <w:rPr>
          <w:rFonts w:ascii="Times New Roman" w:hAnsi="Times New Roman" w:cs="Times New Roman"/>
          <w:sz w:val="24"/>
          <w:szCs w:val="24"/>
        </w:rPr>
        <w:t xml:space="preserve"> </w:t>
      </w:r>
      <w:r w:rsidRPr="00BC45EE">
        <w:rPr>
          <w:rFonts w:ascii="Times New Roman" w:hAnsi="Times New Roman" w:cs="Times New Roman"/>
          <w:sz w:val="24"/>
          <w:szCs w:val="24"/>
        </w:rPr>
        <w:t xml:space="preserve">the relevance of the informational content of cash flows by </w:t>
      </w:r>
      <w:r w:rsidR="00F71A07" w:rsidRPr="00BC45EE">
        <w:rPr>
          <w:rStyle w:val="ts-alignment-element"/>
          <w:rFonts w:ascii="Times New Roman" w:hAnsi="Times New Roman" w:cs="Times New Roman"/>
          <w:sz w:val="24"/>
          <w:szCs w:val="24"/>
          <w:lang w:val="en"/>
        </w:rPr>
        <w:t>conducting</w:t>
      </w:r>
      <w:r w:rsidR="00F71A07" w:rsidRPr="00BC45EE">
        <w:rPr>
          <w:rFonts w:ascii="Times New Roman" w:hAnsi="Times New Roman" w:cs="Times New Roman"/>
          <w:sz w:val="24"/>
          <w:szCs w:val="24"/>
          <w:lang w:val="en"/>
        </w:rPr>
        <w:t xml:space="preserve"> </w:t>
      </w:r>
      <w:r w:rsidR="00F71A07" w:rsidRPr="00BC45EE">
        <w:rPr>
          <w:rStyle w:val="ts-alignment-element"/>
          <w:rFonts w:ascii="Times New Roman" w:hAnsi="Times New Roman" w:cs="Times New Roman"/>
          <w:sz w:val="24"/>
          <w:szCs w:val="24"/>
          <w:lang w:val="en"/>
        </w:rPr>
        <w:t>a</w:t>
      </w:r>
      <w:r w:rsidR="00F71A07" w:rsidRPr="00BC45EE">
        <w:rPr>
          <w:rFonts w:ascii="Times New Roman" w:hAnsi="Times New Roman" w:cs="Times New Roman"/>
          <w:sz w:val="24"/>
          <w:szCs w:val="24"/>
          <w:lang w:val="en"/>
        </w:rPr>
        <w:t xml:space="preserve"> </w:t>
      </w:r>
      <w:r w:rsidR="00280ED6" w:rsidRPr="00BC45EE">
        <w:rPr>
          <w:rStyle w:val="ts-alignment-element"/>
          <w:rFonts w:ascii="Times New Roman" w:hAnsi="Times New Roman" w:cs="Times New Roman"/>
          <w:sz w:val="24"/>
          <w:szCs w:val="24"/>
          <w:lang w:val="en"/>
        </w:rPr>
        <w:t xml:space="preserve">literature </w:t>
      </w:r>
      <w:r w:rsidR="00F71A07" w:rsidRPr="00BC45EE">
        <w:rPr>
          <w:rStyle w:val="ts-alignment-element"/>
          <w:rFonts w:ascii="Times New Roman" w:hAnsi="Times New Roman" w:cs="Times New Roman"/>
          <w:sz w:val="24"/>
          <w:szCs w:val="24"/>
          <w:lang w:val="en"/>
        </w:rPr>
        <w:t>review</w:t>
      </w:r>
      <w:r w:rsidR="00F71A07" w:rsidRPr="00BC45EE">
        <w:rPr>
          <w:rFonts w:ascii="Times New Roman" w:hAnsi="Times New Roman" w:cs="Times New Roman"/>
          <w:sz w:val="24"/>
          <w:szCs w:val="24"/>
          <w:lang w:val="en"/>
        </w:rPr>
        <w:t xml:space="preserve"> </w:t>
      </w:r>
      <w:r w:rsidRPr="00BC45EE">
        <w:rPr>
          <w:rFonts w:ascii="Times New Roman" w:hAnsi="Times New Roman" w:cs="Times New Roman"/>
          <w:sz w:val="24"/>
          <w:szCs w:val="24"/>
        </w:rPr>
        <w:t xml:space="preserve">on the main research </w:t>
      </w:r>
      <w:r w:rsidR="00F71A07" w:rsidRPr="00BC45EE">
        <w:rPr>
          <w:rFonts w:ascii="Times New Roman" w:hAnsi="Times New Roman" w:cs="Times New Roman"/>
          <w:sz w:val="24"/>
          <w:szCs w:val="24"/>
        </w:rPr>
        <w:t>studies</w:t>
      </w:r>
      <w:r w:rsidRPr="00BC45EE">
        <w:rPr>
          <w:rFonts w:ascii="Times New Roman" w:hAnsi="Times New Roman" w:cs="Times New Roman"/>
          <w:sz w:val="24"/>
          <w:szCs w:val="24"/>
        </w:rPr>
        <w:t xml:space="preserve"> that have compared the explanatory power of cash flows with that of </w:t>
      </w:r>
      <w:r w:rsidR="00F85697" w:rsidRPr="00BC45EE">
        <w:rPr>
          <w:rStyle w:val="ts-alignment-element"/>
          <w:rFonts w:ascii="Times New Roman" w:hAnsi="Times New Roman" w:cs="Times New Roman"/>
          <w:sz w:val="24"/>
          <w:szCs w:val="24"/>
          <w:lang w:val="en"/>
        </w:rPr>
        <w:t>accounting</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profits</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in</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predicting</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the</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financial</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health</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of</w:t>
      </w:r>
      <w:r w:rsidR="00F85697" w:rsidRPr="00BC45EE">
        <w:rPr>
          <w:rFonts w:ascii="Times New Roman" w:hAnsi="Times New Roman" w:cs="Times New Roman"/>
          <w:sz w:val="24"/>
          <w:szCs w:val="24"/>
          <w:lang w:val="en"/>
        </w:rPr>
        <w:t xml:space="preserve"> </w:t>
      </w:r>
      <w:r w:rsidR="00F85697" w:rsidRPr="00BC45EE">
        <w:rPr>
          <w:rStyle w:val="ts-alignment-element"/>
          <w:rFonts w:ascii="Times New Roman" w:hAnsi="Times New Roman" w:cs="Times New Roman"/>
          <w:sz w:val="24"/>
          <w:szCs w:val="24"/>
          <w:lang w:val="en"/>
        </w:rPr>
        <w:t>companies.</w:t>
      </w:r>
      <w:r w:rsidR="00F85697" w:rsidRPr="00BC45EE">
        <w:rPr>
          <w:rFonts w:ascii="Times New Roman" w:hAnsi="Times New Roman" w:cs="Times New Roman"/>
          <w:sz w:val="24"/>
          <w:szCs w:val="24"/>
          <w:lang w:val="en"/>
        </w:rPr>
        <w:t xml:space="preserve"> Notably, we</w:t>
      </w:r>
      <w:r w:rsidRPr="00BC45EE">
        <w:rPr>
          <w:rFonts w:ascii="Times New Roman" w:hAnsi="Times New Roman" w:cs="Times New Roman"/>
          <w:sz w:val="24"/>
          <w:szCs w:val="24"/>
        </w:rPr>
        <w:t xml:space="preserve"> </w:t>
      </w:r>
      <w:r w:rsidR="00F85697" w:rsidRPr="00BC45EE">
        <w:rPr>
          <w:rFonts w:ascii="Times New Roman" w:hAnsi="Times New Roman" w:cs="Times New Roman"/>
          <w:sz w:val="24"/>
          <w:szCs w:val="24"/>
        </w:rPr>
        <w:t xml:space="preserve">have </w:t>
      </w:r>
      <w:r w:rsidRPr="00BC45EE">
        <w:rPr>
          <w:rFonts w:ascii="Times New Roman" w:hAnsi="Times New Roman" w:cs="Times New Roman"/>
          <w:sz w:val="24"/>
          <w:szCs w:val="24"/>
        </w:rPr>
        <w:t>found that the econometric methods used by these studies (</w:t>
      </w:r>
      <w:r w:rsidR="00F85697" w:rsidRPr="00BC45EE">
        <w:rPr>
          <w:rFonts w:ascii="Times New Roman" w:hAnsi="Times New Roman" w:cs="Times New Roman"/>
          <w:sz w:val="24"/>
          <w:szCs w:val="24"/>
        </w:rPr>
        <w:t>i.e.,</w:t>
      </w:r>
      <w:r w:rsidRPr="00BC45EE">
        <w:rPr>
          <w:rFonts w:ascii="Times New Roman" w:hAnsi="Times New Roman" w:cs="Times New Roman"/>
          <w:sz w:val="24"/>
          <w:szCs w:val="24"/>
        </w:rPr>
        <w:t xml:space="preserve"> the simple correlation coefficients and the </w:t>
      </w:r>
      <w:r w:rsidR="00F85697" w:rsidRPr="00BC45EE">
        <w:rPr>
          <w:rFonts w:ascii="Times New Roman" w:hAnsi="Times New Roman" w:cs="Times New Roman"/>
          <w:sz w:val="24"/>
          <w:szCs w:val="24"/>
        </w:rPr>
        <w:t>OLS</w:t>
      </w:r>
      <w:r w:rsidRPr="00BC45EE">
        <w:rPr>
          <w:rFonts w:ascii="Times New Roman" w:hAnsi="Times New Roman" w:cs="Times New Roman"/>
          <w:sz w:val="24"/>
          <w:szCs w:val="24"/>
        </w:rPr>
        <w:t xml:space="preserve"> regressions) present a very high risk of spurious regressions. </w:t>
      </w:r>
      <w:r w:rsidR="00280ED6">
        <w:rPr>
          <w:rFonts w:ascii="Times New Roman" w:hAnsi="Times New Roman" w:cs="Times New Roman"/>
          <w:sz w:val="24"/>
          <w:szCs w:val="24"/>
        </w:rPr>
        <w:t>P</w:t>
      </w:r>
      <w:r w:rsidR="00280ED6" w:rsidRPr="00BC45EE">
        <w:rPr>
          <w:rFonts w:ascii="Times New Roman" w:hAnsi="Times New Roman" w:cs="Times New Roman"/>
          <w:sz w:val="24"/>
          <w:szCs w:val="24"/>
        </w:rPr>
        <w:t>rincipally</w:t>
      </w:r>
      <w:r w:rsidR="00280ED6">
        <w:rPr>
          <w:rFonts w:ascii="Times New Roman" w:hAnsi="Times New Roman" w:cs="Times New Roman"/>
          <w:sz w:val="24"/>
          <w:szCs w:val="24"/>
        </w:rPr>
        <w:t>,</w:t>
      </w:r>
      <w:r w:rsidR="00280ED6" w:rsidRPr="00BC45EE">
        <w:rPr>
          <w:rFonts w:ascii="Times New Roman" w:hAnsi="Times New Roman" w:cs="Times New Roman"/>
          <w:sz w:val="24"/>
          <w:szCs w:val="24"/>
        </w:rPr>
        <w:t xml:space="preserve"> </w:t>
      </w:r>
      <w:r w:rsidR="00280ED6">
        <w:rPr>
          <w:rFonts w:ascii="Times New Roman" w:hAnsi="Times New Roman" w:cs="Times New Roman"/>
          <w:sz w:val="24"/>
          <w:szCs w:val="24"/>
        </w:rPr>
        <w:t>T</w:t>
      </w:r>
      <w:r w:rsidR="0095563C" w:rsidRPr="00BC45EE">
        <w:rPr>
          <w:rFonts w:ascii="Times New Roman" w:hAnsi="Times New Roman" w:cs="Times New Roman"/>
          <w:sz w:val="24"/>
          <w:szCs w:val="24"/>
        </w:rPr>
        <w:t>his is confirmed by the divergent results of these studies, so that it is difficult to verify whether at least part of these results is due to the weakness of the econometric methods used.</w:t>
      </w:r>
    </w:p>
    <w:p w14:paraId="706316FC" w14:textId="74899610" w:rsidR="0095563C" w:rsidRPr="00BC45EE" w:rsidRDefault="00700216" w:rsidP="008C41AB">
      <w:pPr>
        <w:spacing w:line="240" w:lineRule="auto"/>
        <w:jc w:val="both"/>
        <w:rPr>
          <w:rFonts w:ascii="Times New Roman" w:hAnsi="Times New Roman" w:cs="Times New Roman"/>
          <w:sz w:val="24"/>
          <w:szCs w:val="24"/>
        </w:rPr>
      </w:pPr>
      <w:r w:rsidRPr="00BC45EE">
        <w:rPr>
          <w:rFonts w:ascii="Times New Roman" w:hAnsi="Times New Roman" w:cs="Times New Roman"/>
          <w:sz w:val="24"/>
          <w:szCs w:val="24"/>
        </w:rPr>
        <w:lastRenderedPageBreak/>
        <w:t xml:space="preserve">It is for this reason that we have re-examined the relevance of cash flows as a measure of the </w:t>
      </w:r>
      <w:r w:rsidR="00117CE8">
        <w:rPr>
          <w:rFonts w:ascii="Times New Roman" w:hAnsi="Times New Roman" w:cs="Times New Roman"/>
          <w:sz w:val="24"/>
          <w:szCs w:val="24"/>
        </w:rPr>
        <w:t xml:space="preserve">company’s </w:t>
      </w:r>
      <w:r w:rsidRPr="00BC45EE">
        <w:rPr>
          <w:rFonts w:ascii="Times New Roman" w:hAnsi="Times New Roman" w:cs="Times New Roman"/>
          <w:sz w:val="24"/>
          <w:szCs w:val="24"/>
        </w:rPr>
        <w:t>financial health</w:t>
      </w:r>
      <w:r w:rsidR="00117CE8">
        <w:rPr>
          <w:rFonts w:ascii="Times New Roman" w:hAnsi="Times New Roman" w:cs="Times New Roman"/>
          <w:sz w:val="24"/>
          <w:szCs w:val="24"/>
        </w:rPr>
        <w:t xml:space="preserve"> </w:t>
      </w:r>
      <w:r w:rsidRPr="00BC45EE">
        <w:rPr>
          <w:rFonts w:ascii="Times New Roman" w:hAnsi="Times New Roman" w:cs="Times New Roman"/>
          <w:sz w:val="24"/>
          <w:szCs w:val="24"/>
        </w:rPr>
        <w:t xml:space="preserve">by using the dynamic panel data techniques, namely stationarity tests and cointegration tests on panel data. </w:t>
      </w:r>
      <w:r w:rsidR="00BC45EE" w:rsidRPr="00BC45EE">
        <w:rPr>
          <w:rFonts w:ascii="Times New Roman" w:hAnsi="Times New Roman" w:cs="Times New Roman"/>
          <w:sz w:val="24"/>
          <w:szCs w:val="24"/>
        </w:rPr>
        <w:t xml:space="preserve">More precisely, we have tested the existence of a long-run equilibrium relationship between a ratio based on cash flows (i.e., </w:t>
      </w:r>
      <w:bookmarkStart w:id="1" w:name="_Hlk68126546"/>
      <w:r w:rsidR="004D1D65">
        <w:rPr>
          <w:rFonts w:ascii="Times New Roman" w:hAnsi="Times New Roman" w:cs="Times New Roman"/>
          <w:sz w:val="24"/>
          <w:szCs w:val="24"/>
        </w:rPr>
        <w:t>o</w:t>
      </w:r>
      <w:r w:rsidR="00BC45EE" w:rsidRPr="00BC45EE">
        <w:rPr>
          <w:rFonts w:ascii="Times New Roman" w:hAnsi="Times New Roman" w:cs="Times New Roman"/>
          <w:sz w:val="24"/>
          <w:szCs w:val="24"/>
        </w:rPr>
        <w:t xml:space="preserve">perating </w:t>
      </w:r>
      <w:r w:rsidR="004D1D65">
        <w:rPr>
          <w:rFonts w:ascii="Times New Roman" w:hAnsi="Times New Roman" w:cs="Times New Roman"/>
          <w:sz w:val="24"/>
          <w:szCs w:val="24"/>
        </w:rPr>
        <w:t>c</w:t>
      </w:r>
      <w:r w:rsidR="00BC45EE" w:rsidRPr="00BC45EE">
        <w:rPr>
          <w:rFonts w:ascii="Times New Roman" w:hAnsi="Times New Roman" w:cs="Times New Roman"/>
          <w:sz w:val="24"/>
          <w:szCs w:val="24"/>
        </w:rPr>
        <w:t xml:space="preserve">ash </w:t>
      </w:r>
      <w:r w:rsidR="004D1D65">
        <w:rPr>
          <w:rFonts w:ascii="Times New Roman" w:hAnsi="Times New Roman" w:cs="Times New Roman"/>
          <w:sz w:val="24"/>
          <w:szCs w:val="24"/>
        </w:rPr>
        <w:t>f</w:t>
      </w:r>
      <w:r w:rsidR="00BC45EE" w:rsidRPr="00BC45EE">
        <w:rPr>
          <w:rFonts w:ascii="Times New Roman" w:hAnsi="Times New Roman" w:cs="Times New Roman"/>
          <w:sz w:val="24"/>
          <w:szCs w:val="24"/>
        </w:rPr>
        <w:t>low</w:t>
      </w:r>
      <w:r w:rsidR="004D1D65">
        <w:rPr>
          <w:rFonts w:ascii="Times New Roman" w:hAnsi="Times New Roman" w:cs="Times New Roman"/>
          <w:sz w:val="24"/>
          <w:szCs w:val="24"/>
        </w:rPr>
        <w:t xml:space="preserve"> to</w:t>
      </w:r>
      <w:r w:rsidR="00BC45EE" w:rsidRPr="00BC45EE">
        <w:rPr>
          <w:rFonts w:ascii="Times New Roman" w:hAnsi="Times New Roman" w:cs="Times New Roman"/>
          <w:sz w:val="24"/>
          <w:szCs w:val="24"/>
        </w:rPr>
        <w:t xml:space="preserve"> </w:t>
      </w:r>
      <w:r w:rsidR="004D1D65">
        <w:rPr>
          <w:rFonts w:ascii="Times New Roman" w:hAnsi="Times New Roman" w:cs="Times New Roman"/>
          <w:sz w:val="24"/>
          <w:szCs w:val="24"/>
        </w:rPr>
        <w:t>t</w:t>
      </w:r>
      <w:r w:rsidR="00BC45EE" w:rsidRPr="00BC45EE">
        <w:rPr>
          <w:rFonts w:ascii="Times New Roman" w:hAnsi="Times New Roman" w:cs="Times New Roman"/>
          <w:sz w:val="24"/>
          <w:szCs w:val="24"/>
        </w:rPr>
        <w:t xml:space="preserve">otal </w:t>
      </w:r>
      <w:r w:rsidR="004D1D65">
        <w:rPr>
          <w:rFonts w:ascii="Times New Roman" w:hAnsi="Times New Roman" w:cs="Times New Roman"/>
          <w:sz w:val="24"/>
          <w:szCs w:val="24"/>
        </w:rPr>
        <w:t>a</w:t>
      </w:r>
      <w:r w:rsidR="00BC45EE" w:rsidRPr="00BC45EE">
        <w:rPr>
          <w:rFonts w:ascii="Times New Roman" w:hAnsi="Times New Roman" w:cs="Times New Roman"/>
          <w:sz w:val="24"/>
          <w:szCs w:val="24"/>
        </w:rPr>
        <w:t>ssets ratio)</w:t>
      </w:r>
      <w:bookmarkEnd w:id="1"/>
      <w:r w:rsidR="00BC45EE" w:rsidRPr="00BC45EE">
        <w:rPr>
          <w:rFonts w:ascii="Times New Roman" w:hAnsi="Times New Roman" w:cs="Times New Roman"/>
          <w:sz w:val="24"/>
          <w:szCs w:val="24"/>
        </w:rPr>
        <w:t xml:space="preserve"> and four financial ratios commonly known to have an explanatory and predictive power regarding of the financial health of companies. </w:t>
      </w:r>
      <w:r w:rsidR="008A7F3D" w:rsidRPr="008A7F3D">
        <w:rPr>
          <w:rFonts w:ascii="Times New Roman" w:hAnsi="Times New Roman" w:cs="Times New Roman"/>
          <w:sz w:val="24"/>
          <w:szCs w:val="24"/>
        </w:rPr>
        <w:t>These are the following ratios: (1</w:t>
      </w:r>
      <w:r w:rsidR="008C1C00" w:rsidRPr="008A7F3D">
        <w:rPr>
          <w:rFonts w:ascii="Times New Roman" w:hAnsi="Times New Roman" w:cs="Times New Roman"/>
          <w:sz w:val="24"/>
          <w:szCs w:val="24"/>
        </w:rPr>
        <w:t>) working</w:t>
      </w:r>
      <w:r w:rsidR="008A7F3D" w:rsidRPr="008A7F3D">
        <w:rPr>
          <w:rFonts w:ascii="Times New Roman" w:hAnsi="Times New Roman" w:cs="Times New Roman"/>
          <w:sz w:val="24"/>
          <w:szCs w:val="24"/>
        </w:rPr>
        <w:t xml:space="preserve"> </w:t>
      </w:r>
      <w:r w:rsidR="008A7F3D">
        <w:rPr>
          <w:rFonts w:ascii="Times New Roman" w:hAnsi="Times New Roman" w:cs="Times New Roman"/>
          <w:sz w:val="24"/>
          <w:szCs w:val="24"/>
        </w:rPr>
        <w:t>c</w:t>
      </w:r>
      <w:r w:rsidR="008A7F3D" w:rsidRPr="008A7F3D">
        <w:rPr>
          <w:rFonts w:ascii="Times New Roman" w:hAnsi="Times New Roman" w:cs="Times New Roman"/>
          <w:sz w:val="24"/>
          <w:szCs w:val="24"/>
        </w:rPr>
        <w:t xml:space="preserve">apital to </w:t>
      </w:r>
      <w:r w:rsidR="008A7F3D">
        <w:rPr>
          <w:rFonts w:ascii="Times New Roman" w:hAnsi="Times New Roman" w:cs="Times New Roman"/>
          <w:sz w:val="24"/>
          <w:szCs w:val="24"/>
        </w:rPr>
        <w:t>t</w:t>
      </w:r>
      <w:r w:rsidR="008A7F3D" w:rsidRPr="008A7F3D">
        <w:rPr>
          <w:rFonts w:ascii="Times New Roman" w:hAnsi="Times New Roman" w:cs="Times New Roman"/>
          <w:sz w:val="24"/>
          <w:szCs w:val="24"/>
        </w:rPr>
        <w:t xml:space="preserve">otal </w:t>
      </w:r>
      <w:r w:rsidR="008A7F3D">
        <w:rPr>
          <w:rFonts w:ascii="Times New Roman" w:hAnsi="Times New Roman" w:cs="Times New Roman"/>
          <w:sz w:val="24"/>
          <w:szCs w:val="24"/>
        </w:rPr>
        <w:t>a</w:t>
      </w:r>
      <w:r w:rsidR="008A7F3D" w:rsidRPr="008A7F3D">
        <w:rPr>
          <w:rFonts w:ascii="Times New Roman" w:hAnsi="Times New Roman" w:cs="Times New Roman"/>
          <w:sz w:val="24"/>
          <w:szCs w:val="24"/>
        </w:rPr>
        <w:t xml:space="preserve">ssets ratio as liquidity ratio; (2) </w:t>
      </w:r>
      <w:r w:rsidR="008A7F3D">
        <w:rPr>
          <w:rFonts w:ascii="Times New Roman" w:hAnsi="Times New Roman" w:cs="Times New Roman"/>
          <w:sz w:val="24"/>
          <w:szCs w:val="24"/>
        </w:rPr>
        <w:t>a</w:t>
      </w:r>
      <w:r w:rsidR="008A7F3D" w:rsidRPr="008A7F3D">
        <w:rPr>
          <w:rFonts w:ascii="Times New Roman" w:hAnsi="Times New Roman" w:cs="Times New Roman"/>
          <w:sz w:val="24"/>
          <w:szCs w:val="24"/>
        </w:rPr>
        <w:t xml:space="preserve">sset turnover ratio (i.e.  sales to total assets) as </w:t>
      </w:r>
      <w:r w:rsidR="00CC27C3">
        <w:rPr>
          <w:rFonts w:ascii="Times New Roman" w:hAnsi="Times New Roman" w:cs="Times New Roman"/>
          <w:sz w:val="24"/>
          <w:szCs w:val="24"/>
        </w:rPr>
        <w:t xml:space="preserve">operational </w:t>
      </w:r>
      <w:r w:rsidR="004D1D65">
        <w:rPr>
          <w:rFonts w:ascii="Times New Roman" w:hAnsi="Times New Roman" w:cs="Times New Roman"/>
          <w:sz w:val="24"/>
          <w:szCs w:val="24"/>
        </w:rPr>
        <w:t>efficiency</w:t>
      </w:r>
      <w:r w:rsidR="008A7F3D" w:rsidRPr="008A7F3D">
        <w:rPr>
          <w:rFonts w:ascii="Times New Roman" w:hAnsi="Times New Roman" w:cs="Times New Roman"/>
          <w:sz w:val="24"/>
          <w:szCs w:val="24"/>
        </w:rPr>
        <w:t xml:space="preserve"> ratio; (3) return on assets ratio (i.e., net income to total asset</w:t>
      </w:r>
      <w:r w:rsidR="008A7F3D">
        <w:rPr>
          <w:rFonts w:ascii="Times New Roman" w:hAnsi="Times New Roman" w:cs="Times New Roman"/>
          <w:sz w:val="24"/>
          <w:szCs w:val="24"/>
        </w:rPr>
        <w:t>s</w:t>
      </w:r>
      <w:r w:rsidR="008A7F3D" w:rsidRPr="008A7F3D">
        <w:rPr>
          <w:rFonts w:ascii="Times New Roman" w:hAnsi="Times New Roman" w:cs="Times New Roman"/>
          <w:sz w:val="24"/>
          <w:szCs w:val="24"/>
        </w:rPr>
        <w:t>) as profitability ratio, and (4) debt-assets ratio (</w:t>
      </w:r>
      <w:r w:rsidR="00041938" w:rsidRPr="008A7F3D">
        <w:rPr>
          <w:rFonts w:ascii="Times New Roman" w:hAnsi="Times New Roman" w:cs="Times New Roman"/>
          <w:sz w:val="24"/>
          <w:szCs w:val="24"/>
        </w:rPr>
        <w:t>i.e.,</w:t>
      </w:r>
      <w:r w:rsidR="008A7F3D" w:rsidRPr="008A7F3D">
        <w:rPr>
          <w:rFonts w:ascii="Times New Roman" w:hAnsi="Times New Roman" w:cs="Times New Roman"/>
          <w:sz w:val="24"/>
          <w:szCs w:val="24"/>
        </w:rPr>
        <w:t xml:space="preserve"> total debts to total assets) as </w:t>
      </w:r>
      <w:r w:rsidR="00117CE8">
        <w:rPr>
          <w:rFonts w:ascii="Times New Roman" w:hAnsi="Times New Roman" w:cs="Times New Roman"/>
          <w:sz w:val="24"/>
          <w:szCs w:val="24"/>
        </w:rPr>
        <w:t>solvency</w:t>
      </w:r>
      <w:r w:rsidR="008A7F3D" w:rsidRPr="008A7F3D">
        <w:rPr>
          <w:rFonts w:ascii="Times New Roman" w:hAnsi="Times New Roman" w:cs="Times New Roman"/>
          <w:sz w:val="24"/>
          <w:szCs w:val="24"/>
        </w:rPr>
        <w:t xml:space="preserve"> ratio. </w:t>
      </w:r>
      <w:r w:rsidR="00117CE8">
        <w:rPr>
          <w:rFonts w:ascii="Times New Roman" w:hAnsi="Times New Roman" w:cs="Times New Roman"/>
          <w:sz w:val="24"/>
          <w:szCs w:val="24"/>
        </w:rPr>
        <w:t xml:space="preserve">The panel stationarity tests of </w:t>
      </w:r>
      <w:r w:rsidR="00117CE8" w:rsidRPr="008C41AB">
        <w:rPr>
          <w:rFonts w:ascii="Times New Roman" w:hAnsi="Times New Roman" w:cs="Times New Roman"/>
          <w:sz w:val="24"/>
          <w:szCs w:val="24"/>
        </w:rPr>
        <w:t>Im, Pesaran, and Shin (2003</w:t>
      </w:r>
      <w:r w:rsidR="00117CE8">
        <w:rPr>
          <w:rFonts w:ascii="Times New Roman" w:hAnsi="Times New Roman" w:cs="Times New Roman"/>
          <w:sz w:val="24"/>
          <w:szCs w:val="24"/>
        </w:rPr>
        <w:t>) and the panel c</w:t>
      </w:r>
      <w:r w:rsidR="00041938">
        <w:rPr>
          <w:rFonts w:ascii="Times New Roman" w:hAnsi="Times New Roman" w:cs="Times New Roman"/>
          <w:sz w:val="24"/>
          <w:szCs w:val="24"/>
        </w:rPr>
        <w:t>ointegration</w:t>
      </w:r>
      <w:r w:rsidR="008A7F3D" w:rsidRPr="008A7F3D">
        <w:rPr>
          <w:rFonts w:ascii="Times New Roman" w:hAnsi="Times New Roman" w:cs="Times New Roman"/>
          <w:sz w:val="24"/>
          <w:szCs w:val="24"/>
        </w:rPr>
        <w:t xml:space="preserve"> </w:t>
      </w:r>
      <w:r w:rsidR="00117CE8" w:rsidRPr="008A7F3D">
        <w:rPr>
          <w:rFonts w:ascii="Times New Roman" w:hAnsi="Times New Roman" w:cs="Times New Roman"/>
          <w:sz w:val="24"/>
          <w:szCs w:val="24"/>
        </w:rPr>
        <w:t xml:space="preserve">tests </w:t>
      </w:r>
      <w:r w:rsidR="00117CE8">
        <w:rPr>
          <w:rFonts w:ascii="Times New Roman" w:hAnsi="Times New Roman" w:cs="Times New Roman"/>
          <w:sz w:val="24"/>
          <w:szCs w:val="24"/>
        </w:rPr>
        <w:t xml:space="preserve">of Pedroni (2004) </w:t>
      </w:r>
      <w:r w:rsidR="00041938">
        <w:rPr>
          <w:rFonts w:ascii="Times New Roman" w:hAnsi="Times New Roman" w:cs="Times New Roman"/>
          <w:sz w:val="24"/>
          <w:szCs w:val="24"/>
        </w:rPr>
        <w:t>have</w:t>
      </w:r>
      <w:r w:rsidR="008A7F3D" w:rsidRPr="008A7F3D">
        <w:rPr>
          <w:rFonts w:ascii="Times New Roman" w:hAnsi="Times New Roman" w:cs="Times New Roman"/>
          <w:sz w:val="24"/>
          <w:szCs w:val="24"/>
        </w:rPr>
        <w:t xml:space="preserve"> be</w:t>
      </w:r>
      <w:r w:rsidR="00041938">
        <w:rPr>
          <w:rFonts w:ascii="Times New Roman" w:hAnsi="Times New Roman" w:cs="Times New Roman"/>
          <w:sz w:val="24"/>
          <w:szCs w:val="24"/>
        </w:rPr>
        <w:t>en</w:t>
      </w:r>
      <w:r w:rsidR="008A7F3D" w:rsidRPr="008A7F3D">
        <w:rPr>
          <w:rFonts w:ascii="Times New Roman" w:hAnsi="Times New Roman" w:cs="Times New Roman"/>
          <w:sz w:val="24"/>
          <w:szCs w:val="24"/>
        </w:rPr>
        <w:t xml:space="preserve"> carried out on a homogeneous sample (</w:t>
      </w:r>
      <w:r w:rsidR="00041938" w:rsidRPr="008A7F3D">
        <w:rPr>
          <w:rFonts w:ascii="Times New Roman" w:hAnsi="Times New Roman" w:cs="Times New Roman"/>
          <w:sz w:val="24"/>
          <w:szCs w:val="24"/>
        </w:rPr>
        <w:t>i.e.,</w:t>
      </w:r>
      <w:r w:rsidR="008A7F3D" w:rsidRPr="008A7F3D">
        <w:rPr>
          <w:rFonts w:ascii="Times New Roman" w:hAnsi="Times New Roman" w:cs="Times New Roman"/>
          <w:sz w:val="24"/>
          <w:szCs w:val="24"/>
        </w:rPr>
        <w:t xml:space="preserve"> </w:t>
      </w:r>
      <w:r w:rsidR="00041938" w:rsidRPr="008A7F3D">
        <w:rPr>
          <w:rFonts w:ascii="Times New Roman" w:hAnsi="Times New Roman" w:cs="Times New Roman"/>
          <w:sz w:val="24"/>
          <w:szCs w:val="24"/>
        </w:rPr>
        <w:t>according to</w:t>
      </w:r>
      <w:r w:rsidR="008A7F3D" w:rsidRPr="008A7F3D">
        <w:rPr>
          <w:rFonts w:ascii="Times New Roman" w:hAnsi="Times New Roman" w:cs="Times New Roman"/>
          <w:sz w:val="24"/>
          <w:szCs w:val="24"/>
        </w:rPr>
        <w:t xml:space="preserve"> size company and its life cycle) </w:t>
      </w:r>
      <w:r w:rsidR="00041938">
        <w:rPr>
          <w:rFonts w:ascii="Times New Roman" w:hAnsi="Times New Roman" w:cs="Times New Roman"/>
          <w:sz w:val="24"/>
          <w:szCs w:val="24"/>
        </w:rPr>
        <w:t>consists</w:t>
      </w:r>
      <w:r w:rsidR="008A7F3D" w:rsidRPr="008A7F3D">
        <w:rPr>
          <w:rFonts w:ascii="Times New Roman" w:hAnsi="Times New Roman" w:cs="Times New Roman"/>
          <w:sz w:val="24"/>
          <w:szCs w:val="24"/>
        </w:rPr>
        <w:t xml:space="preserve"> of 150 American companies over the period 2010-2017. The </w:t>
      </w:r>
      <w:r w:rsidR="00041938">
        <w:rPr>
          <w:rFonts w:ascii="Times New Roman" w:hAnsi="Times New Roman" w:cs="Times New Roman"/>
          <w:sz w:val="24"/>
          <w:szCs w:val="24"/>
        </w:rPr>
        <w:t xml:space="preserve">panel </w:t>
      </w:r>
      <w:r w:rsidR="008A7F3D" w:rsidRPr="008A7F3D">
        <w:rPr>
          <w:rFonts w:ascii="Times New Roman" w:hAnsi="Times New Roman" w:cs="Times New Roman"/>
          <w:sz w:val="24"/>
          <w:szCs w:val="24"/>
        </w:rPr>
        <w:t xml:space="preserve">data </w:t>
      </w:r>
      <w:r w:rsidR="00041938">
        <w:rPr>
          <w:rFonts w:ascii="Times New Roman" w:hAnsi="Times New Roman" w:cs="Times New Roman"/>
          <w:sz w:val="24"/>
          <w:szCs w:val="24"/>
        </w:rPr>
        <w:t>of</w:t>
      </w:r>
      <w:r w:rsidR="008A7F3D" w:rsidRPr="008A7F3D">
        <w:rPr>
          <w:rFonts w:ascii="Times New Roman" w:hAnsi="Times New Roman" w:cs="Times New Roman"/>
          <w:sz w:val="24"/>
          <w:szCs w:val="24"/>
        </w:rPr>
        <w:t xml:space="preserve"> our study have been extracted from the C</w:t>
      </w:r>
      <w:r w:rsidR="00117CE8">
        <w:rPr>
          <w:rFonts w:ascii="Times New Roman" w:hAnsi="Times New Roman" w:cs="Times New Roman"/>
          <w:sz w:val="24"/>
          <w:szCs w:val="24"/>
        </w:rPr>
        <w:t>ompustat</w:t>
      </w:r>
      <w:r w:rsidR="008A7F3D" w:rsidRPr="008A7F3D">
        <w:rPr>
          <w:rFonts w:ascii="Times New Roman" w:hAnsi="Times New Roman" w:cs="Times New Roman"/>
          <w:sz w:val="24"/>
          <w:szCs w:val="24"/>
        </w:rPr>
        <w:t xml:space="preserve"> database.</w:t>
      </w:r>
    </w:p>
    <w:p w14:paraId="52382FB5" w14:textId="72CFBB30" w:rsidR="0095563C" w:rsidRDefault="00CE68B5" w:rsidP="008C41AB">
      <w:pPr>
        <w:spacing w:line="240" w:lineRule="auto"/>
        <w:jc w:val="both"/>
        <w:rPr>
          <w:rFonts w:ascii="Times New Roman" w:hAnsi="Times New Roman" w:cs="Times New Roman"/>
          <w:sz w:val="24"/>
          <w:szCs w:val="24"/>
        </w:rPr>
      </w:pPr>
      <w:r w:rsidRPr="00ED40C0">
        <w:rPr>
          <w:rFonts w:ascii="Times New Roman" w:hAnsi="Times New Roman" w:cs="Times New Roman"/>
          <w:sz w:val="24"/>
          <w:szCs w:val="24"/>
        </w:rPr>
        <w:t xml:space="preserve">The remainder of this paper proceeds as follows. Section 2 </w:t>
      </w:r>
      <w:r w:rsidR="00117CE8" w:rsidRPr="00ED40C0">
        <w:rPr>
          <w:rFonts w:ascii="Times New Roman" w:hAnsi="Times New Roman" w:cs="Times New Roman"/>
          <w:sz w:val="24"/>
          <w:szCs w:val="24"/>
        </w:rPr>
        <w:t>presents a</w:t>
      </w:r>
      <w:r w:rsidRPr="00ED40C0">
        <w:rPr>
          <w:rFonts w:ascii="Times New Roman" w:hAnsi="Times New Roman" w:cs="Times New Roman"/>
          <w:sz w:val="24"/>
          <w:szCs w:val="24"/>
        </w:rPr>
        <w:t xml:space="preserve"> literature review about the main studies carried out on the informational content of cash flows. Section 3 describes our research methodology, the sample, the study </w:t>
      </w:r>
      <w:r w:rsidR="00746D26" w:rsidRPr="00ED40C0">
        <w:rPr>
          <w:rFonts w:ascii="Times New Roman" w:hAnsi="Times New Roman" w:cs="Times New Roman"/>
          <w:sz w:val="24"/>
          <w:szCs w:val="24"/>
        </w:rPr>
        <w:t>period,</w:t>
      </w:r>
      <w:r w:rsidRPr="00ED40C0">
        <w:rPr>
          <w:rFonts w:ascii="Times New Roman" w:hAnsi="Times New Roman" w:cs="Times New Roman"/>
          <w:sz w:val="24"/>
          <w:szCs w:val="24"/>
        </w:rPr>
        <w:t xml:space="preserve"> and the research hypotheses. In section 4, the results of </w:t>
      </w:r>
      <w:r w:rsidR="00117CE8">
        <w:rPr>
          <w:rFonts w:ascii="Times New Roman" w:hAnsi="Times New Roman" w:cs="Times New Roman"/>
          <w:sz w:val="24"/>
          <w:szCs w:val="24"/>
        </w:rPr>
        <w:t xml:space="preserve">panel </w:t>
      </w:r>
      <w:r w:rsidRPr="00ED40C0">
        <w:rPr>
          <w:rFonts w:ascii="Times New Roman" w:hAnsi="Times New Roman" w:cs="Times New Roman"/>
          <w:sz w:val="24"/>
          <w:szCs w:val="24"/>
        </w:rPr>
        <w:t>stationarity</w:t>
      </w:r>
      <w:r w:rsidR="00117CE8">
        <w:rPr>
          <w:rFonts w:ascii="Times New Roman" w:hAnsi="Times New Roman" w:cs="Times New Roman"/>
          <w:sz w:val="24"/>
          <w:szCs w:val="24"/>
        </w:rPr>
        <w:t xml:space="preserve"> tests </w:t>
      </w:r>
      <w:r w:rsidR="00117CE8" w:rsidRPr="00ED40C0">
        <w:rPr>
          <w:rFonts w:ascii="Times New Roman" w:hAnsi="Times New Roman" w:cs="Times New Roman"/>
          <w:sz w:val="24"/>
          <w:szCs w:val="24"/>
        </w:rPr>
        <w:t>and</w:t>
      </w:r>
      <w:r w:rsidRPr="00ED40C0">
        <w:rPr>
          <w:rFonts w:ascii="Times New Roman" w:hAnsi="Times New Roman" w:cs="Times New Roman"/>
          <w:sz w:val="24"/>
          <w:szCs w:val="24"/>
        </w:rPr>
        <w:t xml:space="preserve"> </w:t>
      </w:r>
      <w:r w:rsidR="00117CE8">
        <w:rPr>
          <w:rFonts w:ascii="Times New Roman" w:hAnsi="Times New Roman" w:cs="Times New Roman"/>
          <w:sz w:val="24"/>
          <w:szCs w:val="24"/>
        </w:rPr>
        <w:t xml:space="preserve">panel </w:t>
      </w:r>
      <w:r w:rsidRPr="00ED40C0">
        <w:rPr>
          <w:rFonts w:ascii="Times New Roman" w:hAnsi="Times New Roman" w:cs="Times New Roman"/>
          <w:sz w:val="24"/>
          <w:szCs w:val="24"/>
        </w:rPr>
        <w:t>cointegration tests are reported and commented.  The results of the robustness analysis are presented in section 5. Finally, section 6 provides a conclusion.</w:t>
      </w:r>
    </w:p>
    <w:p w14:paraId="7B64850A" w14:textId="77777777" w:rsidR="00BA7CEF" w:rsidRPr="003420BC" w:rsidRDefault="00BA7CEF" w:rsidP="008C41AB">
      <w:pPr>
        <w:spacing w:line="240" w:lineRule="auto"/>
        <w:jc w:val="both"/>
        <w:rPr>
          <w:rFonts w:ascii="Times New Roman" w:hAnsi="Times New Roman" w:cs="Times New Roman"/>
          <w:sz w:val="6"/>
          <w:szCs w:val="6"/>
        </w:rPr>
      </w:pPr>
    </w:p>
    <w:p w14:paraId="4445CA0F" w14:textId="7C86801F" w:rsidR="00692733" w:rsidRPr="008C41AB" w:rsidRDefault="00692733" w:rsidP="008C41AB">
      <w:pPr>
        <w:ind w:firstLine="720"/>
        <w:rPr>
          <w:rFonts w:ascii="Times New Roman" w:hAnsi="Times New Roman" w:cs="Times New Roman"/>
          <w:b/>
          <w:bCs/>
          <w:sz w:val="30"/>
          <w:szCs w:val="30"/>
        </w:rPr>
      </w:pPr>
      <w:r w:rsidRPr="00D35B4C">
        <w:rPr>
          <w:rFonts w:ascii="Times New Roman" w:hAnsi="Times New Roman" w:cs="Times New Roman"/>
          <w:b/>
          <w:bCs/>
          <w:sz w:val="30"/>
          <w:szCs w:val="30"/>
        </w:rPr>
        <w:t>2</w:t>
      </w:r>
      <w:r w:rsidR="008C41AB" w:rsidRPr="00D35B4C">
        <w:rPr>
          <w:rFonts w:ascii="Times New Roman" w:hAnsi="Times New Roman" w:cs="Times New Roman"/>
          <w:b/>
          <w:bCs/>
          <w:sz w:val="30"/>
          <w:szCs w:val="30"/>
        </w:rPr>
        <w:t xml:space="preserve">. </w:t>
      </w:r>
      <w:r w:rsidRPr="00D35B4C">
        <w:rPr>
          <w:rFonts w:ascii="Times New Roman" w:hAnsi="Times New Roman" w:cs="Times New Roman"/>
          <w:b/>
          <w:bCs/>
          <w:sz w:val="30"/>
          <w:szCs w:val="30"/>
        </w:rPr>
        <w:t>L</w:t>
      </w:r>
      <w:r w:rsidR="008C41AB" w:rsidRPr="00D35B4C">
        <w:rPr>
          <w:rFonts w:ascii="Times New Roman" w:hAnsi="Times New Roman" w:cs="Times New Roman"/>
          <w:b/>
          <w:bCs/>
          <w:sz w:val="30"/>
          <w:szCs w:val="30"/>
        </w:rPr>
        <w:t>iterature</w:t>
      </w:r>
      <w:r w:rsidRPr="00D35B4C">
        <w:rPr>
          <w:rFonts w:ascii="Times New Roman" w:hAnsi="Times New Roman" w:cs="Times New Roman"/>
          <w:b/>
          <w:bCs/>
          <w:sz w:val="30"/>
          <w:szCs w:val="30"/>
        </w:rPr>
        <w:t xml:space="preserve"> R</w:t>
      </w:r>
      <w:r w:rsidR="008C41AB" w:rsidRPr="00D35B4C">
        <w:rPr>
          <w:rFonts w:ascii="Times New Roman" w:hAnsi="Times New Roman" w:cs="Times New Roman"/>
          <w:b/>
          <w:bCs/>
          <w:sz w:val="30"/>
          <w:szCs w:val="30"/>
        </w:rPr>
        <w:t>eview</w:t>
      </w:r>
    </w:p>
    <w:p w14:paraId="6CA2F681" w14:textId="57EBFEF9" w:rsidR="00692733" w:rsidRPr="00D35B4C" w:rsidRDefault="00692733" w:rsidP="00BA7CEF">
      <w:pPr>
        <w:spacing w:line="240" w:lineRule="auto"/>
        <w:jc w:val="both"/>
        <w:rPr>
          <w:rFonts w:ascii="Times New Roman" w:hAnsi="Times New Roman" w:cs="Times New Roman"/>
          <w:sz w:val="24"/>
          <w:szCs w:val="24"/>
        </w:rPr>
      </w:pPr>
      <w:r w:rsidRPr="00D35B4C">
        <w:rPr>
          <w:rFonts w:ascii="Times New Roman" w:hAnsi="Times New Roman" w:cs="Times New Roman"/>
          <w:sz w:val="24"/>
          <w:szCs w:val="24"/>
        </w:rPr>
        <w:t xml:space="preserve">In this section, we present the main research studies that have animated the debate on the usefulness of the informational content of cash flows. For the purposes of brevity and clarity, we classify these studies into three categories: (1) </w:t>
      </w:r>
      <w:r w:rsidR="00ED40C0" w:rsidRPr="00D35B4C">
        <w:rPr>
          <w:rFonts w:ascii="Times New Roman" w:hAnsi="Times New Roman" w:cs="Times New Roman"/>
          <w:sz w:val="24"/>
          <w:szCs w:val="24"/>
        </w:rPr>
        <w:t xml:space="preserve">The </w:t>
      </w:r>
      <w:r w:rsidRPr="00D35B4C">
        <w:rPr>
          <w:rFonts w:ascii="Times New Roman" w:hAnsi="Times New Roman" w:cs="Times New Roman"/>
          <w:sz w:val="24"/>
          <w:szCs w:val="24"/>
        </w:rPr>
        <w:t>studies that have compared the predictive power of cash flow to that of accounting profits in future performance</w:t>
      </w:r>
      <w:r w:rsidR="00921E4F" w:rsidRPr="00D35B4C">
        <w:rPr>
          <w:rFonts w:ascii="Times New Roman" w:hAnsi="Times New Roman" w:cs="Times New Roman"/>
          <w:sz w:val="24"/>
          <w:szCs w:val="24"/>
        </w:rPr>
        <w:t xml:space="preserve"> of companies</w:t>
      </w:r>
      <w:r w:rsidRPr="00D35B4C">
        <w:rPr>
          <w:rFonts w:ascii="Times New Roman" w:hAnsi="Times New Roman" w:cs="Times New Roman"/>
          <w:sz w:val="24"/>
          <w:szCs w:val="24"/>
        </w:rPr>
        <w:t xml:space="preserve">; (2) </w:t>
      </w:r>
      <w:r w:rsidR="00ED40C0" w:rsidRPr="00D35B4C">
        <w:rPr>
          <w:rFonts w:ascii="Times New Roman" w:hAnsi="Times New Roman" w:cs="Times New Roman"/>
          <w:sz w:val="24"/>
          <w:szCs w:val="24"/>
        </w:rPr>
        <w:t xml:space="preserve">the </w:t>
      </w:r>
      <w:r w:rsidRPr="00D35B4C">
        <w:rPr>
          <w:rFonts w:ascii="Times New Roman" w:hAnsi="Times New Roman" w:cs="Times New Roman"/>
          <w:sz w:val="24"/>
          <w:szCs w:val="24"/>
        </w:rPr>
        <w:t>studies that examined time trends in the relevance of these predictive powers</w:t>
      </w:r>
      <w:r w:rsidR="00921E4F" w:rsidRPr="00D35B4C">
        <w:rPr>
          <w:rFonts w:ascii="Times New Roman" w:hAnsi="Times New Roman" w:cs="Times New Roman"/>
          <w:sz w:val="24"/>
          <w:szCs w:val="24"/>
        </w:rPr>
        <w:t>,</w:t>
      </w:r>
      <w:r w:rsidRPr="00D35B4C">
        <w:rPr>
          <w:rFonts w:ascii="Times New Roman" w:hAnsi="Times New Roman" w:cs="Times New Roman"/>
          <w:sz w:val="24"/>
          <w:szCs w:val="24"/>
        </w:rPr>
        <w:t xml:space="preserve"> and (3) </w:t>
      </w:r>
      <w:r w:rsidR="00ED40C0" w:rsidRPr="00D35B4C">
        <w:rPr>
          <w:rFonts w:ascii="Times New Roman" w:hAnsi="Times New Roman" w:cs="Times New Roman"/>
          <w:sz w:val="24"/>
          <w:szCs w:val="24"/>
        </w:rPr>
        <w:t xml:space="preserve">the </w:t>
      </w:r>
      <w:r w:rsidRPr="00D35B4C">
        <w:rPr>
          <w:rFonts w:ascii="Times New Roman" w:hAnsi="Times New Roman" w:cs="Times New Roman"/>
          <w:sz w:val="24"/>
          <w:szCs w:val="24"/>
        </w:rPr>
        <w:t xml:space="preserve">studies that tested the relationship between </w:t>
      </w:r>
      <w:r w:rsidR="00ED40C0" w:rsidRPr="00D35B4C">
        <w:rPr>
          <w:rFonts w:ascii="Times New Roman" w:hAnsi="Times New Roman" w:cs="Times New Roman"/>
          <w:sz w:val="24"/>
          <w:szCs w:val="24"/>
        </w:rPr>
        <w:t>the</w:t>
      </w:r>
      <w:r w:rsidRPr="00D35B4C">
        <w:rPr>
          <w:rFonts w:ascii="Times New Roman" w:hAnsi="Times New Roman" w:cs="Times New Roman"/>
          <w:sz w:val="24"/>
          <w:szCs w:val="24"/>
        </w:rPr>
        <w:t xml:space="preserve"> company's financial health and indicators based on accounting data and those based on cash flow</w:t>
      </w:r>
      <w:r w:rsidR="00ED40C0" w:rsidRPr="00D35B4C">
        <w:rPr>
          <w:rFonts w:ascii="Times New Roman" w:hAnsi="Times New Roman" w:cs="Times New Roman"/>
          <w:sz w:val="24"/>
          <w:szCs w:val="24"/>
        </w:rPr>
        <w:t>s</w:t>
      </w:r>
      <w:r w:rsidRPr="00D35B4C">
        <w:rPr>
          <w:rFonts w:ascii="Times New Roman" w:hAnsi="Times New Roman" w:cs="Times New Roman"/>
          <w:sz w:val="24"/>
          <w:szCs w:val="24"/>
        </w:rPr>
        <w:t>.</w:t>
      </w:r>
      <w:r w:rsidR="00B01FBE" w:rsidRPr="00D35B4C">
        <w:rPr>
          <w:rFonts w:ascii="Times New Roman" w:hAnsi="Times New Roman" w:cs="Times New Roman"/>
          <w:sz w:val="24"/>
          <w:szCs w:val="24"/>
        </w:rPr>
        <w:t xml:space="preserve"> Most of the studies which belong to the first category has </w:t>
      </w:r>
      <w:r w:rsidR="00D35B4C" w:rsidRPr="00D35B4C">
        <w:rPr>
          <w:rFonts w:ascii="Times New Roman" w:hAnsi="Times New Roman" w:cs="Times New Roman"/>
          <w:sz w:val="24"/>
          <w:szCs w:val="24"/>
        </w:rPr>
        <w:t>explored</w:t>
      </w:r>
      <w:r w:rsidR="00B01FBE" w:rsidRPr="00D35B4C">
        <w:rPr>
          <w:rFonts w:ascii="Times New Roman" w:hAnsi="Times New Roman" w:cs="Times New Roman"/>
          <w:sz w:val="24"/>
          <w:szCs w:val="24"/>
        </w:rPr>
        <w:t xml:space="preserve"> the ability of current cash flows and current accounting profits to predict future operating cash flows of companies. </w:t>
      </w:r>
      <w:r w:rsidR="00D35B4C" w:rsidRPr="00D35B4C">
        <w:rPr>
          <w:rStyle w:val="A6"/>
          <w:rFonts w:ascii="Times New Roman" w:hAnsi="Times New Roman" w:cs="Times New Roman"/>
          <w:sz w:val="24"/>
          <w:szCs w:val="24"/>
        </w:rPr>
        <w:t>The results of these studies have been controversial and inconclusive.</w:t>
      </w:r>
      <w:r w:rsidR="00D35B4C" w:rsidRPr="00D35B4C">
        <w:rPr>
          <w:rStyle w:val="A6"/>
          <w:rFonts w:ascii="Times New Roman" w:hAnsi="Times New Roman" w:cs="Times New Roman"/>
          <w:sz w:val="24"/>
          <w:szCs w:val="24"/>
        </w:rPr>
        <w:t xml:space="preserve"> </w:t>
      </w:r>
      <w:r w:rsidR="00B01FBE" w:rsidRPr="00D35B4C">
        <w:rPr>
          <w:rFonts w:ascii="Times New Roman" w:hAnsi="Times New Roman" w:cs="Times New Roman"/>
          <w:sz w:val="24"/>
          <w:szCs w:val="24"/>
        </w:rPr>
        <w:t xml:space="preserve">Indeed, several studies have shown the supremacy of the predictive power of accounting profits compared to that of cash flows. Particularly, we cite the following research studies:  Brooks (1981), Greenberg, </w:t>
      </w:r>
      <w:r w:rsidR="00605ECF" w:rsidRPr="00D35B4C">
        <w:rPr>
          <w:rFonts w:ascii="Times New Roman" w:hAnsi="Times New Roman" w:cs="Times New Roman"/>
          <w:sz w:val="24"/>
          <w:szCs w:val="24"/>
        </w:rPr>
        <w:t>Johnson,</w:t>
      </w:r>
      <w:r w:rsidR="00B01FBE" w:rsidRPr="00D35B4C">
        <w:rPr>
          <w:rFonts w:ascii="Times New Roman" w:hAnsi="Times New Roman" w:cs="Times New Roman"/>
          <w:sz w:val="24"/>
          <w:szCs w:val="24"/>
        </w:rPr>
        <w:t xml:space="preserve"> and Ramesh (1986), Murdoch and Krause (1989), </w:t>
      </w:r>
      <w:proofErr w:type="spellStart"/>
      <w:r w:rsidR="00B01FBE" w:rsidRPr="00D35B4C">
        <w:rPr>
          <w:rFonts w:ascii="Times New Roman" w:hAnsi="Times New Roman" w:cs="Times New Roman"/>
          <w:sz w:val="24"/>
          <w:szCs w:val="24"/>
        </w:rPr>
        <w:t>Lorek</w:t>
      </w:r>
      <w:proofErr w:type="spellEnd"/>
      <w:r w:rsidR="00B01FBE" w:rsidRPr="00D35B4C">
        <w:rPr>
          <w:rFonts w:ascii="Times New Roman" w:hAnsi="Times New Roman" w:cs="Times New Roman"/>
          <w:sz w:val="24"/>
          <w:szCs w:val="24"/>
        </w:rPr>
        <w:t xml:space="preserve"> and Willinger (1996), </w:t>
      </w:r>
      <w:proofErr w:type="spellStart"/>
      <w:r w:rsidR="00B01FBE" w:rsidRPr="00D35B4C">
        <w:rPr>
          <w:rFonts w:ascii="Times New Roman" w:hAnsi="Times New Roman" w:cs="Times New Roman"/>
          <w:sz w:val="24"/>
          <w:szCs w:val="24"/>
        </w:rPr>
        <w:t>Dechow</w:t>
      </w:r>
      <w:proofErr w:type="spellEnd"/>
      <w:r w:rsidR="00B01FBE" w:rsidRPr="00D35B4C">
        <w:rPr>
          <w:rFonts w:ascii="Times New Roman" w:hAnsi="Times New Roman" w:cs="Times New Roman"/>
          <w:sz w:val="24"/>
          <w:szCs w:val="24"/>
        </w:rPr>
        <w:t xml:space="preserve">, </w:t>
      </w:r>
      <w:proofErr w:type="spellStart"/>
      <w:r w:rsidR="00B01FBE" w:rsidRPr="00D35B4C">
        <w:rPr>
          <w:rFonts w:ascii="Times New Roman" w:hAnsi="Times New Roman" w:cs="Times New Roman"/>
          <w:sz w:val="24"/>
          <w:szCs w:val="24"/>
        </w:rPr>
        <w:t>Khotari</w:t>
      </w:r>
      <w:proofErr w:type="spellEnd"/>
      <w:r w:rsidR="00F40E2B" w:rsidRPr="00D35B4C">
        <w:rPr>
          <w:rFonts w:ascii="Times New Roman" w:hAnsi="Times New Roman" w:cs="Times New Roman"/>
          <w:sz w:val="24"/>
          <w:szCs w:val="24"/>
        </w:rPr>
        <w:t>,</w:t>
      </w:r>
      <w:r w:rsidR="00B01FBE" w:rsidRPr="00D35B4C">
        <w:rPr>
          <w:rFonts w:ascii="Times New Roman" w:hAnsi="Times New Roman" w:cs="Times New Roman"/>
          <w:sz w:val="24"/>
          <w:szCs w:val="24"/>
        </w:rPr>
        <w:t xml:space="preserve"> and Watts (1998), </w:t>
      </w:r>
      <w:proofErr w:type="spellStart"/>
      <w:r w:rsidR="00B01FBE" w:rsidRPr="00D35B4C">
        <w:rPr>
          <w:rFonts w:ascii="Times New Roman" w:hAnsi="Times New Roman" w:cs="Times New Roman"/>
          <w:sz w:val="24"/>
          <w:szCs w:val="24"/>
        </w:rPr>
        <w:t>Pae</w:t>
      </w:r>
      <w:proofErr w:type="spellEnd"/>
      <w:r w:rsidR="00B01FBE" w:rsidRPr="00D35B4C">
        <w:rPr>
          <w:rFonts w:ascii="Times New Roman" w:hAnsi="Times New Roman" w:cs="Times New Roman"/>
          <w:sz w:val="24"/>
          <w:szCs w:val="24"/>
        </w:rPr>
        <w:t xml:space="preserve"> (2005), </w:t>
      </w:r>
      <w:r w:rsidR="00605ECF" w:rsidRPr="00D35B4C">
        <w:rPr>
          <w:rFonts w:ascii="Times New Roman" w:hAnsi="Times New Roman" w:cs="Times New Roman"/>
          <w:sz w:val="24"/>
          <w:szCs w:val="24"/>
        </w:rPr>
        <w:t xml:space="preserve">Kim and </w:t>
      </w:r>
      <w:proofErr w:type="spellStart"/>
      <w:r w:rsidR="00605ECF" w:rsidRPr="00D35B4C">
        <w:rPr>
          <w:rFonts w:ascii="Times New Roman" w:hAnsi="Times New Roman" w:cs="Times New Roman"/>
          <w:sz w:val="24"/>
          <w:szCs w:val="24"/>
        </w:rPr>
        <w:t>Kross</w:t>
      </w:r>
      <w:proofErr w:type="spellEnd"/>
      <w:r w:rsidR="00605ECF" w:rsidRPr="00D35B4C">
        <w:rPr>
          <w:rFonts w:ascii="Times New Roman" w:hAnsi="Times New Roman" w:cs="Times New Roman"/>
          <w:sz w:val="24"/>
          <w:szCs w:val="24"/>
        </w:rPr>
        <w:t xml:space="preserve"> (2005), </w:t>
      </w:r>
      <w:proofErr w:type="spellStart"/>
      <w:r w:rsidR="00B01FBE" w:rsidRPr="00D35B4C">
        <w:rPr>
          <w:rFonts w:ascii="Times New Roman" w:hAnsi="Times New Roman" w:cs="Times New Roman"/>
          <w:sz w:val="24"/>
          <w:szCs w:val="24"/>
        </w:rPr>
        <w:t>Ebaid</w:t>
      </w:r>
      <w:proofErr w:type="spellEnd"/>
      <w:r w:rsidR="00B01FBE" w:rsidRPr="00D35B4C">
        <w:rPr>
          <w:rFonts w:ascii="Times New Roman" w:hAnsi="Times New Roman" w:cs="Times New Roman"/>
          <w:sz w:val="24"/>
          <w:szCs w:val="24"/>
        </w:rPr>
        <w:t xml:space="preserve"> (2011)</w:t>
      </w:r>
      <w:r w:rsidR="00605ECF" w:rsidRPr="00D35B4C">
        <w:rPr>
          <w:rFonts w:ascii="Times New Roman" w:hAnsi="Times New Roman" w:cs="Times New Roman"/>
          <w:sz w:val="24"/>
          <w:szCs w:val="24"/>
        </w:rPr>
        <w:t>, and</w:t>
      </w:r>
      <w:r w:rsidR="00B01FBE" w:rsidRPr="00D35B4C">
        <w:rPr>
          <w:rFonts w:ascii="Times New Roman" w:hAnsi="Times New Roman" w:cs="Times New Roman"/>
          <w:sz w:val="24"/>
          <w:szCs w:val="24"/>
        </w:rPr>
        <w:t xml:space="preserve"> Nam, </w:t>
      </w:r>
      <w:proofErr w:type="spellStart"/>
      <w:r w:rsidR="00B01FBE" w:rsidRPr="00D35B4C">
        <w:rPr>
          <w:rFonts w:ascii="Times New Roman" w:hAnsi="Times New Roman" w:cs="Times New Roman"/>
          <w:sz w:val="24"/>
          <w:szCs w:val="24"/>
        </w:rPr>
        <w:t>Brochet</w:t>
      </w:r>
      <w:proofErr w:type="spellEnd"/>
      <w:r w:rsidR="00F40E2B" w:rsidRPr="00D35B4C">
        <w:rPr>
          <w:rFonts w:ascii="Times New Roman" w:hAnsi="Times New Roman" w:cs="Times New Roman"/>
          <w:sz w:val="24"/>
          <w:szCs w:val="24"/>
        </w:rPr>
        <w:t xml:space="preserve">, </w:t>
      </w:r>
      <w:r w:rsidR="00B01FBE" w:rsidRPr="00D35B4C">
        <w:rPr>
          <w:rFonts w:ascii="Times New Roman" w:hAnsi="Times New Roman" w:cs="Times New Roman"/>
          <w:sz w:val="24"/>
          <w:szCs w:val="24"/>
        </w:rPr>
        <w:t>and Ronen (2012)</w:t>
      </w:r>
      <w:r w:rsidR="00605ECF" w:rsidRPr="00D35B4C">
        <w:rPr>
          <w:rFonts w:ascii="Times New Roman" w:hAnsi="Times New Roman" w:cs="Times New Roman"/>
          <w:sz w:val="24"/>
          <w:szCs w:val="24"/>
        </w:rPr>
        <w:t>.</w:t>
      </w:r>
    </w:p>
    <w:p w14:paraId="48EE360A" w14:textId="65E9473B" w:rsidR="00605ECF" w:rsidRPr="00A178C0" w:rsidRDefault="00605ECF" w:rsidP="00BA7CEF">
      <w:pPr>
        <w:spacing w:line="240" w:lineRule="auto"/>
        <w:jc w:val="both"/>
        <w:rPr>
          <w:rFonts w:ascii="Times New Roman" w:hAnsi="Times New Roman" w:cs="Times New Roman"/>
          <w:sz w:val="24"/>
          <w:szCs w:val="24"/>
        </w:rPr>
      </w:pPr>
      <w:r w:rsidRPr="00A178C0">
        <w:rPr>
          <w:rFonts w:ascii="Times New Roman" w:hAnsi="Times New Roman" w:cs="Times New Roman"/>
          <w:sz w:val="24"/>
          <w:szCs w:val="24"/>
        </w:rPr>
        <w:t xml:space="preserve">Conversely, a significant number of studies have shown that cash flows have a higher capacity than accounting profits in predicting future operating cash flows of companies. Among these studies, we principally mention </w:t>
      </w:r>
      <w:bookmarkStart w:id="2" w:name="_Hlk71046705"/>
      <w:r w:rsidRPr="00A178C0">
        <w:rPr>
          <w:rFonts w:ascii="Times New Roman" w:hAnsi="Times New Roman" w:cs="Times New Roman"/>
          <w:sz w:val="24"/>
          <w:szCs w:val="24"/>
        </w:rPr>
        <w:t>Bowen, Burgstahler</w:t>
      </w:r>
      <w:r w:rsidR="00F40E2B">
        <w:rPr>
          <w:rFonts w:ascii="Times New Roman" w:hAnsi="Times New Roman" w:cs="Times New Roman"/>
          <w:sz w:val="24"/>
          <w:szCs w:val="24"/>
        </w:rPr>
        <w:t>,</w:t>
      </w:r>
      <w:r w:rsidRPr="00A178C0">
        <w:rPr>
          <w:rFonts w:ascii="Times New Roman" w:hAnsi="Times New Roman" w:cs="Times New Roman"/>
          <w:sz w:val="24"/>
          <w:szCs w:val="24"/>
        </w:rPr>
        <w:t xml:space="preserve"> and Daley (1986), Finger (1994), Burgstahler, Jiambalvo</w:t>
      </w:r>
      <w:r w:rsidR="00F40E2B">
        <w:rPr>
          <w:rFonts w:ascii="Times New Roman" w:hAnsi="Times New Roman" w:cs="Times New Roman"/>
          <w:sz w:val="24"/>
          <w:szCs w:val="24"/>
        </w:rPr>
        <w:t>,</w:t>
      </w:r>
      <w:r w:rsidRPr="00A178C0">
        <w:rPr>
          <w:rFonts w:ascii="Times New Roman" w:hAnsi="Times New Roman" w:cs="Times New Roman"/>
          <w:sz w:val="24"/>
          <w:szCs w:val="24"/>
        </w:rPr>
        <w:t xml:space="preserve"> and </w:t>
      </w:r>
      <w:proofErr w:type="spellStart"/>
      <w:r w:rsidRPr="00A178C0">
        <w:rPr>
          <w:rFonts w:ascii="Times New Roman" w:hAnsi="Times New Roman" w:cs="Times New Roman"/>
          <w:sz w:val="24"/>
          <w:szCs w:val="24"/>
        </w:rPr>
        <w:t>Pyo</w:t>
      </w:r>
      <w:proofErr w:type="spellEnd"/>
      <w:r w:rsidRPr="00A178C0">
        <w:rPr>
          <w:rFonts w:ascii="Times New Roman" w:hAnsi="Times New Roman" w:cs="Times New Roman"/>
          <w:sz w:val="24"/>
          <w:szCs w:val="24"/>
        </w:rPr>
        <w:t xml:space="preserve"> (1998), </w:t>
      </w:r>
      <w:proofErr w:type="spellStart"/>
      <w:r w:rsidRPr="00A178C0">
        <w:rPr>
          <w:rFonts w:ascii="Times New Roman" w:hAnsi="Times New Roman" w:cs="Times New Roman"/>
          <w:sz w:val="24"/>
          <w:szCs w:val="24"/>
        </w:rPr>
        <w:t>Chotkunakitti</w:t>
      </w:r>
      <w:proofErr w:type="spellEnd"/>
      <w:r w:rsidRPr="00A178C0">
        <w:rPr>
          <w:rFonts w:ascii="Times New Roman" w:hAnsi="Times New Roman" w:cs="Times New Roman"/>
          <w:sz w:val="24"/>
          <w:szCs w:val="24"/>
        </w:rPr>
        <w:t xml:space="preserve"> (2005), Seng (2006), Subramanyam and Venkatachalam (2007), Arthur, Czernkowski</w:t>
      </w:r>
      <w:r w:rsidR="00F40E2B">
        <w:rPr>
          <w:rFonts w:ascii="Times New Roman" w:hAnsi="Times New Roman" w:cs="Times New Roman"/>
          <w:sz w:val="24"/>
          <w:szCs w:val="24"/>
        </w:rPr>
        <w:t>,</w:t>
      </w:r>
      <w:r w:rsidRPr="00A178C0">
        <w:rPr>
          <w:rFonts w:ascii="Times New Roman" w:hAnsi="Times New Roman" w:cs="Times New Roman"/>
          <w:sz w:val="24"/>
          <w:szCs w:val="24"/>
        </w:rPr>
        <w:t xml:space="preserve"> and Chen, (2007), </w:t>
      </w:r>
      <w:proofErr w:type="spellStart"/>
      <w:r w:rsidRPr="00A178C0">
        <w:rPr>
          <w:rFonts w:ascii="Times New Roman" w:hAnsi="Times New Roman" w:cs="Times New Roman"/>
          <w:sz w:val="24"/>
          <w:szCs w:val="24"/>
        </w:rPr>
        <w:t>Lorek</w:t>
      </w:r>
      <w:proofErr w:type="spellEnd"/>
      <w:r w:rsidRPr="00A178C0">
        <w:rPr>
          <w:rFonts w:ascii="Times New Roman" w:hAnsi="Times New Roman" w:cs="Times New Roman"/>
          <w:sz w:val="24"/>
          <w:szCs w:val="24"/>
        </w:rPr>
        <w:t xml:space="preserve"> and Willinger (2009), </w:t>
      </w:r>
      <w:proofErr w:type="spellStart"/>
      <w:r w:rsidRPr="00A178C0">
        <w:rPr>
          <w:rFonts w:ascii="Times New Roman" w:hAnsi="Times New Roman" w:cs="Times New Roman"/>
          <w:sz w:val="24"/>
          <w:szCs w:val="24"/>
        </w:rPr>
        <w:t>Penham</w:t>
      </w:r>
      <w:proofErr w:type="spellEnd"/>
      <w:r w:rsidRPr="00A178C0">
        <w:rPr>
          <w:rFonts w:ascii="Times New Roman" w:hAnsi="Times New Roman" w:cs="Times New Roman"/>
          <w:sz w:val="24"/>
          <w:szCs w:val="24"/>
        </w:rPr>
        <w:t xml:space="preserve"> and Yehuda, (2009), Waldron and Jordan (2010), and Chen, </w:t>
      </w:r>
      <w:proofErr w:type="spellStart"/>
      <w:r w:rsidRPr="00A178C0">
        <w:rPr>
          <w:rFonts w:ascii="Times New Roman" w:hAnsi="Times New Roman" w:cs="Times New Roman"/>
          <w:sz w:val="24"/>
          <w:szCs w:val="24"/>
        </w:rPr>
        <w:t>Melessa</w:t>
      </w:r>
      <w:proofErr w:type="spellEnd"/>
      <w:r w:rsidR="00F40E2B">
        <w:rPr>
          <w:rFonts w:ascii="Times New Roman" w:hAnsi="Times New Roman" w:cs="Times New Roman"/>
          <w:sz w:val="24"/>
          <w:szCs w:val="24"/>
        </w:rPr>
        <w:t>,</w:t>
      </w:r>
      <w:r w:rsidRPr="00A178C0">
        <w:rPr>
          <w:rFonts w:ascii="Times New Roman" w:hAnsi="Times New Roman" w:cs="Times New Roman"/>
          <w:sz w:val="24"/>
          <w:szCs w:val="24"/>
        </w:rPr>
        <w:t xml:space="preserve"> and Mergenthaler (2017). </w:t>
      </w:r>
      <w:bookmarkStart w:id="3" w:name="_Hlk71277949"/>
      <w:bookmarkEnd w:id="2"/>
      <w:r w:rsidRPr="00A178C0">
        <w:rPr>
          <w:rFonts w:ascii="Times New Roman" w:hAnsi="Times New Roman" w:cs="Times New Roman"/>
          <w:sz w:val="24"/>
          <w:szCs w:val="24"/>
        </w:rPr>
        <w:t>The mixed results of this first category can be explained mainly by two factors</w:t>
      </w:r>
      <w:r w:rsidR="002E505D" w:rsidRPr="00A178C0">
        <w:rPr>
          <w:rFonts w:ascii="Times New Roman" w:hAnsi="Times New Roman" w:cs="Times New Roman"/>
          <w:sz w:val="24"/>
          <w:szCs w:val="24"/>
        </w:rPr>
        <w:t>, namely</w:t>
      </w:r>
      <w:r w:rsidRPr="00A178C0">
        <w:rPr>
          <w:rFonts w:ascii="Times New Roman" w:hAnsi="Times New Roman" w:cs="Times New Roman"/>
          <w:sz w:val="24"/>
          <w:szCs w:val="24"/>
        </w:rPr>
        <w:t xml:space="preserve"> </w:t>
      </w:r>
      <w:r w:rsidRPr="00A178C0">
        <w:rPr>
          <w:rFonts w:ascii="Times New Roman" w:hAnsi="Times New Roman" w:cs="Times New Roman"/>
          <w:sz w:val="24"/>
          <w:szCs w:val="24"/>
        </w:rPr>
        <w:lastRenderedPageBreak/>
        <w:t>the variety of the approaches applied to measure cash flows, and the diversity in the econometric methods used.</w:t>
      </w:r>
      <w:bookmarkEnd w:id="3"/>
    </w:p>
    <w:p w14:paraId="19D2888E" w14:textId="240AD276" w:rsidR="00A178C0" w:rsidRPr="00A178C0" w:rsidRDefault="009D73AA" w:rsidP="00BA7CEF">
      <w:pPr>
        <w:spacing w:line="240" w:lineRule="auto"/>
        <w:jc w:val="both"/>
        <w:rPr>
          <w:rFonts w:ascii="Times New Roman" w:hAnsi="Times New Roman" w:cs="Times New Roman"/>
          <w:sz w:val="24"/>
          <w:szCs w:val="24"/>
        </w:rPr>
      </w:pPr>
      <w:r w:rsidRPr="00A178C0">
        <w:rPr>
          <w:rFonts w:ascii="Times New Roman" w:hAnsi="Times New Roman" w:cs="Times New Roman"/>
          <w:sz w:val="24"/>
          <w:szCs w:val="24"/>
        </w:rPr>
        <w:t xml:space="preserve">In addition, it should be noted that several studies have found that the supremacy of accounting profits in predicting </w:t>
      </w:r>
      <w:r w:rsidR="00A178C0" w:rsidRPr="00A178C0">
        <w:rPr>
          <w:rFonts w:ascii="Times New Roman" w:hAnsi="Times New Roman" w:cs="Times New Roman"/>
          <w:sz w:val="24"/>
          <w:szCs w:val="24"/>
        </w:rPr>
        <w:t xml:space="preserve">future operating cash flows of companies </w:t>
      </w:r>
      <w:r w:rsidRPr="00A178C0">
        <w:rPr>
          <w:rFonts w:ascii="Times New Roman" w:hAnsi="Times New Roman" w:cs="Times New Roman"/>
          <w:sz w:val="24"/>
          <w:szCs w:val="24"/>
        </w:rPr>
        <w:t>is attributable to accrued liabilities.</w:t>
      </w:r>
      <w:r w:rsidR="00BA7CEF">
        <w:rPr>
          <w:rFonts w:ascii="Times New Roman" w:hAnsi="Times New Roman" w:cs="Times New Roman"/>
          <w:sz w:val="24"/>
          <w:szCs w:val="24"/>
        </w:rPr>
        <w:t xml:space="preserve"> </w:t>
      </w:r>
      <w:r w:rsidR="00A178C0" w:rsidRPr="00A178C0">
        <w:rPr>
          <w:rFonts w:ascii="Times New Roman" w:hAnsi="Times New Roman" w:cs="Times New Roman"/>
          <w:sz w:val="24"/>
          <w:szCs w:val="24"/>
        </w:rPr>
        <w:t xml:space="preserve">Therefore, any systematic change in the properties of accrued liabilities could reduce the predictive power of accounting profits in favor of that of cash flows. For example, </w:t>
      </w:r>
      <w:bookmarkStart w:id="4" w:name="_Hlk71046907"/>
      <w:proofErr w:type="spellStart"/>
      <w:r w:rsidR="00A178C0" w:rsidRPr="00A178C0">
        <w:rPr>
          <w:rFonts w:ascii="Times New Roman" w:hAnsi="Times New Roman" w:cs="Times New Roman"/>
          <w:sz w:val="24"/>
          <w:szCs w:val="24"/>
        </w:rPr>
        <w:t>Dechow</w:t>
      </w:r>
      <w:proofErr w:type="spellEnd"/>
      <w:r w:rsidR="00A178C0" w:rsidRPr="00A178C0">
        <w:rPr>
          <w:rFonts w:ascii="Times New Roman" w:hAnsi="Times New Roman" w:cs="Times New Roman"/>
          <w:sz w:val="24"/>
          <w:szCs w:val="24"/>
        </w:rPr>
        <w:t xml:space="preserve"> (1994) </w:t>
      </w:r>
      <w:bookmarkEnd w:id="4"/>
      <w:r w:rsidR="00A178C0" w:rsidRPr="00A178C0">
        <w:rPr>
          <w:rFonts w:ascii="Times New Roman" w:hAnsi="Times New Roman" w:cs="Times New Roman"/>
          <w:sz w:val="24"/>
          <w:szCs w:val="24"/>
        </w:rPr>
        <w:t xml:space="preserve">has shown that cash flows and accrued liabilities are negatively correlated. However, </w:t>
      </w:r>
      <w:bookmarkStart w:id="5" w:name="_Hlk71046956"/>
      <w:r w:rsidR="00A178C0" w:rsidRPr="00A178C0">
        <w:rPr>
          <w:rFonts w:ascii="Times New Roman" w:hAnsi="Times New Roman" w:cs="Times New Roman"/>
          <w:sz w:val="24"/>
          <w:szCs w:val="24"/>
        </w:rPr>
        <w:t>Bushman, Lerman</w:t>
      </w:r>
      <w:r w:rsidR="00F40E2B">
        <w:rPr>
          <w:rFonts w:ascii="Times New Roman" w:hAnsi="Times New Roman" w:cs="Times New Roman"/>
          <w:sz w:val="24"/>
          <w:szCs w:val="24"/>
        </w:rPr>
        <w:t>,</w:t>
      </w:r>
      <w:r w:rsidR="00A178C0" w:rsidRPr="00A178C0">
        <w:rPr>
          <w:rFonts w:ascii="Times New Roman" w:hAnsi="Times New Roman" w:cs="Times New Roman"/>
          <w:sz w:val="24"/>
          <w:szCs w:val="24"/>
        </w:rPr>
        <w:t xml:space="preserve"> and Zhang (2016)</w:t>
      </w:r>
      <w:bookmarkEnd w:id="5"/>
      <w:r w:rsidR="00A178C0" w:rsidRPr="00A178C0">
        <w:rPr>
          <w:rFonts w:ascii="Times New Roman" w:hAnsi="Times New Roman" w:cs="Times New Roman"/>
          <w:sz w:val="24"/>
          <w:szCs w:val="24"/>
        </w:rPr>
        <w:t xml:space="preserve"> </w:t>
      </w:r>
      <w:r w:rsidR="00F40E2B">
        <w:rPr>
          <w:rFonts w:ascii="Times New Roman" w:hAnsi="Times New Roman" w:cs="Times New Roman"/>
          <w:sz w:val="24"/>
          <w:szCs w:val="24"/>
        </w:rPr>
        <w:t xml:space="preserve">have </w:t>
      </w:r>
      <w:r w:rsidR="00A178C0" w:rsidRPr="00A178C0">
        <w:rPr>
          <w:rFonts w:ascii="Times New Roman" w:hAnsi="Times New Roman" w:cs="Times New Roman"/>
          <w:sz w:val="24"/>
          <w:szCs w:val="24"/>
        </w:rPr>
        <w:t>found that this negative correlation has diminished over time and has even turned positive in recent years.</w:t>
      </w:r>
    </w:p>
    <w:p w14:paraId="3BADCE34" w14:textId="1AF3A01F" w:rsidR="009D73AA" w:rsidRDefault="00477CE6" w:rsidP="00BA7CEF">
      <w:pPr>
        <w:spacing w:line="240" w:lineRule="auto"/>
        <w:jc w:val="both"/>
        <w:rPr>
          <w:rFonts w:ascii="Times New Roman" w:hAnsi="Times New Roman" w:cs="Times New Roman"/>
          <w:sz w:val="24"/>
          <w:szCs w:val="24"/>
        </w:rPr>
      </w:pPr>
      <w:r w:rsidRPr="00477CE6">
        <w:rPr>
          <w:rFonts w:ascii="Times New Roman" w:hAnsi="Times New Roman" w:cs="Times New Roman"/>
          <w:sz w:val="24"/>
          <w:szCs w:val="24"/>
        </w:rPr>
        <w:t>The systematic changes in the properties of accrued liabilities</w:t>
      </w:r>
      <w:r w:rsidR="003723D7">
        <w:rPr>
          <w:rFonts w:ascii="Times New Roman" w:hAnsi="Times New Roman" w:cs="Times New Roman"/>
          <w:sz w:val="24"/>
          <w:szCs w:val="24"/>
        </w:rPr>
        <w:t xml:space="preserve"> l</w:t>
      </w:r>
      <w:r w:rsidRPr="00477CE6">
        <w:rPr>
          <w:rFonts w:ascii="Times New Roman" w:hAnsi="Times New Roman" w:cs="Times New Roman"/>
          <w:sz w:val="24"/>
          <w:szCs w:val="24"/>
        </w:rPr>
        <w:t xml:space="preserve">ead us to the studies </w:t>
      </w:r>
      <w:r w:rsidR="003723D7">
        <w:rPr>
          <w:rFonts w:ascii="Times New Roman" w:hAnsi="Times New Roman" w:cs="Times New Roman"/>
          <w:sz w:val="24"/>
          <w:szCs w:val="24"/>
        </w:rPr>
        <w:t>of</w:t>
      </w:r>
      <w:r w:rsidRPr="00477CE6">
        <w:rPr>
          <w:rFonts w:ascii="Times New Roman" w:hAnsi="Times New Roman" w:cs="Times New Roman"/>
          <w:sz w:val="24"/>
          <w:szCs w:val="24"/>
        </w:rPr>
        <w:t xml:space="preserve"> the second category, namely those which have examined the temporal trends in the predictive power of accounting profits and that of cash flows.</w:t>
      </w:r>
      <w:r w:rsidR="00764A9C" w:rsidRPr="00764A9C">
        <w:t xml:space="preserve"> </w:t>
      </w:r>
      <w:r w:rsidR="00764A9C" w:rsidRPr="00764A9C">
        <w:rPr>
          <w:rFonts w:ascii="Times New Roman" w:hAnsi="Times New Roman" w:cs="Times New Roman"/>
          <w:sz w:val="24"/>
          <w:szCs w:val="24"/>
        </w:rPr>
        <w:t>Among the</w:t>
      </w:r>
      <w:r w:rsidR="003723D7">
        <w:rPr>
          <w:rFonts w:ascii="Times New Roman" w:hAnsi="Times New Roman" w:cs="Times New Roman"/>
          <w:sz w:val="24"/>
          <w:szCs w:val="24"/>
        </w:rPr>
        <w:t>se</w:t>
      </w:r>
      <w:r w:rsidR="00764A9C" w:rsidRPr="00764A9C">
        <w:rPr>
          <w:rFonts w:ascii="Times New Roman" w:hAnsi="Times New Roman" w:cs="Times New Roman"/>
          <w:sz w:val="24"/>
          <w:szCs w:val="24"/>
        </w:rPr>
        <w:t xml:space="preserve"> studies, we particularly mention Kim and </w:t>
      </w:r>
      <w:proofErr w:type="spellStart"/>
      <w:r w:rsidR="00764A9C" w:rsidRPr="00764A9C">
        <w:rPr>
          <w:rFonts w:ascii="Times New Roman" w:hAnsi="Times New Roman" w:cs="Times New Roman"/>
          <w:sz w:val="24"/>
          <w:szCs w:val="24"/>
        </w:rPr>
        <w:t>Kross</w:t>
      </w:r>
      <w:proofErr w:type="spellEnd"/>
      <w:r w:rsidR="00764A9C" w:rsidRPr="00764A9C">
        <w:rPr>
          <w:rFonts w:ascii="Times New Roman" w:hAnsi="Times New Roman" w:cs="Times New Roman"/>
          <w:sz w:val="24"/>
          <w:szCs w:val="24"/>
        </w:rPr>
        <w:t xml:space="preserve"> (2005) who have shown that the predictive power of accounting profits increases over time. Conversely, </w:t>
      </w:r>
      <w:proofErr w:type="spellStart"/>
      <w:r w:rsidR="00764A9C" w:rsidRPr="00764A9C">
        <w:rPr>
          <w:rFonts w:ascii="Times New Roman" w:hAnsi="Times New Roman" w:cs="Times New Roman"/>
          <w:sz w:val="24"/>
          <w:szCs w:val="24"/>
        </w:rPr>
        <w:t>Lorek</w:t>
      </w:r>
      <w:proofErr w:type="spellEnd"/>
      <w:r w:rsidR="00764A9C" w:rsidRPr="00764A9C">
        <w:rPr>
          <w:rFonts w:ascii="Times New Roman" w:hAnsi="Times New Roman" w:cs="Times New Roman"/>
          <w:sz w:val="24"/>
          <w:szCs w:val="24"/>
        </w:rPr>
        <w:t xml:space="preserve"> and Willinger (2009) have found that accounting profits and cash flows do not display time trends in their respective power to predict future operating cash flows of companies.</w:t>
      </w:r>
    </w:p>
    <w:p w14:paraId="239941A1" w14:textId="77777777" w:rsidR="008D09B6" w:rsidRDefault="00450E4F" w:rsidP="00BA7CEF">
      <w:pPr>
        <w:spacing w:line="240" w:lineRule="auto"/>
        <w:jc w:val="both"/>
      </w:pPr>
      <w:r w:rsidRPr="00450E4F">
        <w:rPr>
          <w:rFonts w:ascii="Times New Roman" w:hAnsi="Times New Roman" w:cs="Times New Roman"/>
          <w:sz w:val="24"/>
          <w:szCs w:val="24"/>
        </w:rPr>
        <w:t xml:space="preserve">Regarding the studies of the third category, we briefly present the main studies that have </w:t>
      </w:r>
      <w:r w:rsidR="0019089C" w:rsidRPr="00450E4F">
        <w:rPr>
          <w:rFonts w:ascii="Times New Roman" w:hAnsi="Times New Roman" w:cs="Times New Roman"/>
          <w:sz w:val="24"/>
          <w:szCs w:val="24"/>
        </w:rPr>
        <w:t>investigated</w:t>
      </w:r>
      <w:r w:rsidRPr="00450E4F">
        <w:rPr>
          <w:rFonts w:ascii="Times New Roman" w:hAnsi="Times New Roman" w:cs="Times New Roman"/>
          <w:sz w:val="24"/>
          <w:szCs w:val="24"/>
        </w:rPr>
        <w:t xml:space="preserve"> the uselessness of cash flows as an indicator of the company'</w:t>
      </w:r>
      <w:r w:rsidR="0019089C">
        <w:rPr>
          <w:rFonts w:ascii="Times New Roman" w:hAnsi="Times New Roman" w:cs="Times New Roman"/>
          <w:sz w:val="24"/>
          <w:szCs w:val="24"/>
        </w:rPr>
        <w:t>s</w:t>
      </w:r>
      <w:r w:rsidRPr="00450E4F">
        <w:rPr>
          <w:rFonts w:ascii="Times New Roman" w:hAnsi="Times New Roman" w:cs="Times New Roman"/>
          <w:sz w:val="24"/>
          <w:szCs w:val="24"/>
        </w:rPr>
        <w:t xml:space="preserve"> financial health.</w:t>
      </w:r>
      <w:r w:rsidR="00BA7CEF">
        <w:rPr>
          <w:rFonts w:ascii="Times New Roman" w:hAnsi="Times New Roman" w:cs="Times New Roman"/>
          <w:sz w:val="24"/>
          <w:szCs w:val="24"/>
        </w:rPr>
        <w:t xml:space="preserve"> </w:t>
      </w:r>
      <w:r w:rsidR="00A85039" w:rsidRPr="00A85039">
        <w:rPr>
          <w:rFonts w:ascii="Times New Roman" w:hAnsi="Times New Roman" w:cs="Times New Roman"/>
          <w:sz w:val="24"/>
          <w:szCs w:val="24"/>
        </w:rPr>
        <w:t xml:space="preserve">Several studies have provided strong empirical support on the relevance of cash flows in predicting corporate financial distress. </w:t>
      </w:r>
      <w:r w:rsidR="008D09B6" w:rsidRPr="008D09B6">
        <w:rPr>
          <w:rFonts w:ascii="Times New Roman" w:hAnsi="Times New Roman" w:cs="Times New Roman"/>
          <w:sz w:val="24"/>
          <w:szCs w:val="24"/>
        </w:rPr>
        <w:t xml:space="preserve">For example, Beaver (1966) </w:t>
      </w:r>
      <w:r w:rsidR="008D09B6">
        <w:rPr>
          <w:rFonts w:ascii="Times New Roman" w:hAnsi="Times New Roman" w:cs="Times New Roman"/>
          <w:sz w:val="24"/>
          <w:szCs w:val="24"/>
        </w:rPr>
        <w:t xml:space="preserve">has </w:t>
      </w:r>
      <w:r w:rsidR="008D09B6" w:rsidRPr="008D09B6">
        <w:rPr>
          <w:rFonts w:ascii="Times New Roman" w:hAnsi="Times New Roman" w:cs="Times New Roman"/>
          <w:sz w:val="24"/>
          <w:szCs w:val="24"/>
        </w:rPr>
        <w:t>used a dichotomous classification test</w:t>
      </w:r>
      <w:r w:rsidR="008D09B6" w:rsidRPr="008D09B6">
        <w:rPr>
          <w:rFonts w:ascii="Times New Roman" w:hAnsi="Times New Roman" w:cs="Times New Roman"/>
          <w:sz w:val="24"/>
          <w:szCs w:val="24"/>
        </w:rPr>
        <w:t xml:space="preserve"> </w:t>
      </w:r>
      <w:r w:rsidR="008D09B6">
        <w:rPr>
          <w:rFonts w:ascii="Times New Roman" w:hAnsi="Times New Roman" w:cs="Times New Roman"/>
          <w:sz w:val="24"/>
          <w:szCs w:val="24"/>
        </w:rPr>
        <w:t xml:space="preserve">via the </w:t>
      </w:r>
      <w:r w:rsidR="008D09B6" w:rsidRPr="008D09B6">
        <w:rPr>
          <w:rFonts w:ascii="Times New Roman" w:hAnsi="Times New Roman" w:cs="Times New Roman"/>
          <w:sz w:val="24"/>
          <w:szCs w:val="24"/>
        </w:rPr>
        <w:t xml:space="preserve">univariate analysis to show that the ratio of operating cash flow to total debt has the highest discriminating power over a five-year period. However, the results of Beaver (1966) have been strongly criticized by several researchers because the univariate analysis does not </w:t>
      </w:r>
      <w:r w:rsidR="008D09B6" w:rsidRPr="008D09B6">
        <w:rPr>
          <w:rFonts w:ascii="Times New Roman" w:hAnsi="Times New Roman" w:cs="Times New Roman"/>
          <w:sz w:val="24"/>
          <w:szCs w:val="24"/>
        </w:rPr>
        <w:t>consider</w:t>
      </w:r>
      <w:r w:rsidR="008D09B6" w:rsidRPr="008D09B6">
        <w:rPr>
          <w:rFonts w:ascii="Times New Roman" w:hAnsi="Times New Roman" w:cs="Times New Roman"/>
          <w:sz w:val="24"/>
          <w:szCs w:val="24"/>
        </w:rPr>
        <w:t xml:space="preserve"> the interaction between the variables.</w:t>
      </w:r>
      <w:r w:rsidR="008D09B6">
        <w:rPr>
          <w:rFonts w:ascii="Times New Roman" w:hAnsi="Times New Roman" w:cs="Times New Roman"/>
          <w:sz w:val="24"/>
          <w:szCs w:val="24"/>
        </w:rPr>
        <w:t xml:space="preserve"> </w:t>
      </w:r>
      <w:r w:rsidR="00A85039" w:rsidRPr="00A85039">
        <w:rPr>
          <w:rFonts w:ascii="Times New Roman" w:hAnsi="Times New Roman" w:cs="Times New Roman"/>
          <w:sz w:val="24"/>
          <w:szCs w:val="24"/>
        </w:rPr>
        <w:t xml:space="preserve">For </w:t>
      </w:r>
      <w:r w:rsidR="00A85039">
        <w:rPr>
          <w:rFonts w:ascii="Times New Roman" w:hAnsi="Times New Roman" w:cs="Times New Roman"/>
          <w:sz w:val="24"/>
          <w:szCs w:val="24"/>
        </w:rPr>
        <w:t>a such</w:t>
      </w:r>
      <w:r w:rsidR="00A85039" w:rsidRPr="00A85039">
        <w:rPr>
          <w:rFonts w:ascii="Times New Roman" w:hAnsi="Times New Roman" w:cs="Times New Roman"/>
          <w:sz w:val="24"/>
          <w:szCs w:val="24"/>
        </w:rPr>
        <w:t xml:space="preserve"> reason, many studies have used </w:t>
      </w:r>
      <w:r w:rsidR="008D09B6">
        <w:rPr>
          <w:rFonts w:ascii="Times New Roman" w:hAnsi="Times New Roman" w:cs="Times New Roman"/>
          <w:sz w:val="24"/>
          <w:szCs w:val="24"/>
        </w:rPr>
        <w:t xml:space="preserve">the </w:t>
      </w:r>
      <w:r w:rsidR="00A85039" w:rsidRPr="00A85039">
        <w:rPr>
          <w:rFonts w:ascii="Times New Roman" w:hAnsi="Times New Roman" w:cs="Times New Roman"/>
          <w:sz w:val="24"/>
          <w:szCs w:val="24"/>
        </w:rPr>
        <w:t xml:space="preserve">discriminant analysis to overcome the limitations of </w:t>
      </w:r>
      <w:r w:rsidR="008D09B6">
        <w:rPr>
          <w:rFonts w:ascii="Times New Roman" w:hAnsi="Times New Roman" w:cs="Times New Roman"/>
          <w:sz w:val="24"/>
          <w:szCs w:val="24"/>
        </w:rPr>
        <w:t xml:space="preserve">the </w:t>
      </w:r>
      <w:r w:rsidR="00A85039" w:rsidRPr="00A85039">
        <w:rPr>
          <w:rFonts w:ascii="Times New Roman" w:hAnsi="Times New Roman" w:cs="Times New Roman"/>
          <w:sz w:val="24"/>
          <w:szCs w:val="24"/>
        </w:rPr>
        <w:t>univariate analysis</w:t>
      </w:r>
      <w:r w:rsidR="00A85039">
        <w:rPr>
          <w:rFonts w:ascii="Times New Roman" w:hAnsi="Times New Roman" w:cs="Times New Roman"/>
          <w:sz w:val="24"/>
          <w:szCs w:val="24"/>
        </w:rPr>
        <w:t>.</w:t>
      </w:r>
      <w:r w:rsidR="006471AF" w:rsidRPr="006471AF">
        <w:t xml:space="preserve"> </w:t>
      </w:r>
    </w:p>
    <w:p w14:paraId="77A68CE1" w14:textId="77777777" w:rsidR="001323F7" w:rsidRDefault="006471AF" w:rsidP="00BA7CEF">
      <w:pPr>
        <w:spacing w:line="240" w:lineRule="auto"/>
        <w:jc w:val="both"/>
        <w:rPr>
          <w:rFonts w:ascii="Times New Roman" w:hAnsi="Times New Roman" w:cs="Times New Roman"/>
          <w:sz w:val="24"/>
          <w:szCs w:val="24"/>
        </w:rPr>
      </w:pPr>
      <w:r w:rsidRPr="006471AF">
        <w:rPr>
          <w:rFonts w:ascii="Times New Roman" w:hAnsi="Times New Roman" w:cs="Times New Roman"/>
          <w:sz w:val="24"/>
          <w:szCs w:val="24"/>
        </w:rPr>
        <w:t xml:space="preserve">Altman (1968) has used the cash flow to fixed charge ratio with four other ratios in his multiple discriminant analysis to identify the linear combination of ratios that best discriminates between bankrupt and healthy companies. </w:t>
      </w:r>
      <w:r w:rsidR="008D09B6">
        <w:rPr>
          <w:rFonts w:ascii="Times New Roman" w:hAnsi="Times New Roman" w:cs="Times New Roman"/>
          <w:sz w:val="24"/>
          <w:szCs w:val="24"/>
        </w:rPr>
        <w:t>He</w:t>
      </w:r>
      <w:r w:rsidRPr="006471AF">
        <w:rPr>
          <w:rFonts w:ascii="Times New Roman" w:hAnsi="Times New Roman" w:cs="Times New Roman"/>
          <w:sz w:val="24"/>
          <w:szCs w:val="24"/>
        </w:rPr>
        <w:t xml:space="preserve"> has </w:t>
      </w:r>
      <w:r w:rsidR="008F4B30">
        <w:rPr>
          <w:rFonts w:ascii="Times New Roman" w:hAnsi="Times New Roman" w:cs="Times New Roman"/>
          <w:sz w:val="24"/>
          <w:szCs w:val="24"/>
        </w:rPr>
        <w:t xml:space="preserve">shown </w:t>
      </w:r>
      <w:r w:rsidRPr="006471AF">
        <w:rPr>
          <w:rFonts w:ascii="Times New Roman" w:hAnsi="Times New Roman" w:cs="Times New Roman"/>
          <w:sz w:val="24"/>
          <w:szCs w:val="24"/>
        </w:rPr>
        <w:t xml:space="preserve">the relevance of the cash flow to fixed charges ratio as well as its discriminating model (97.7% classification accuracy 1 and 2 years before bankruptcy). </w:t>
      </w:r>
      <w:r w:rsidR="008F4B30" w:rsidRPr="008F4B30">
        <w:rPr>
          <w:rFonts w:ascii="Times New Roman" w:hAnsi="Times New Roman" w:cs="Times New Roman"/>
          <w:sz w:val="24"/>
          <w:szCs w:val="24"/>
        </w:rPr>
        <w:t>Deakin (1972) has applied a discriminant analysis like that of Altman (1968) by using all ratios of Beaver (1966) to predict company bankruptcy. The results of Deakin (1972) have confirmed the relevance predictive power of operating cash flows to total debt ratio even 3 years before bankruptcy.</w:t>
      </w:r>
      <w:r w:rsidR="001323F7">
        <w:rPr>
          <w:rFonts w:ascii="Times New Roman" w:hAnsi="Times New Roman" w:cs="Times New Roman"/>
          <w:sz w:val="24"/>
          <w:szCs w:val="24"/>
        </w:rPr>
        <w:t xml:space="preserve"> Likewise</w:t>
      </w:r>
      <w:r w:rsidR="00802428" w:rsidRPr="00802428">
        <w:rPr>
          <w:rFonts w:ascii="Times New Roman" w:hAnsi="Times New Roman" w:cs="Times New Roman"/>
          <w:sz w:val="24"/>
          <w:szCs w:val="24"/>
        </w:rPr>
        <w:t xml:space="preserve">, Blum (1974) has shown that cash flows present a significant informational content to predict the company bankruptcy. </w:t>
      </w:r>
    </w:p>
    <w:p w14:paraId="101A6D4E" w14:textId="4AD2DB40" w:rsidR="008364AB" w:rsidRDefault="00802428" w:rsidP="00BA7CEF">
      <w:pPr>
        <w:spacing w:line="240" w:lineRule="auto"/>
        <w:jc w:val="both"/>
      </w:pPr>
      <w:r w:rsidRPr="00802428">
        <w:rPr>
          <w:rFonts w:ascii="Times New Roman" w:hAnsi="Times New Roman" w:cs="Times New Roman"/>
          <w:sz w:val="24"/>
          <w:szCs w:val="24"/>
        </w:rPr>
        <w:t xml:space="preserve">Holmen (1988) has compared the model of Beaver (1966) and that of Altman (1968). </w:t>
      </w:r>
      <w:r w:rsidR="00254DBF">
        <w:rPr>
          <w:rFonts w:ascii="Times New Roman" w:hAnsi="Times New Roman" w:cs="Times New Roman"/>
          <w:sz w:val="24"/>
          <w:szCs w:val="24"/>
        </w:rPr>
        <w:t>T</w:t>
      </w:r>
      <w:r w:rsidRPr="00802428">
        <w:rPr>
          <w:rFonts w:ascii="Times New Roman" w:hAnsi="Times New Roman" w:cs="Times New Roman"/>
          <w:sz w:val="24"/>
          <w:szCs w:val="24"/>
        </w:rPr>
        <w:t>here</w:t>
      </w:r>
      <w:r w:rsidR="00254DBF">
        <w:rPr>
          <w:rFonts w:ascii="Times New Roman" w:hAnsi="Times New Roman" w:cs="Times New Roman"/>
          <w:sz w:val="24"/>
          <w:szCs w:val="24"/>
        </w:rPr>
        <w:t>after</w:t>
      </w:r>
      <w:r w:rsidRPr="00802428">
        <w:rPr>
          <w:rFonts w:ascii="Times New Roman" w:hAnsi="Times New Roman" w:cs="Times New Roman"/>
          <w:sz w:val="24"/>
          <w:szCs w:val="24"/>
        </w:rPr>
        <w:t>, He has found that the univariate use of operating cash flows to total debts ratio as proposed by Beaver (1966), allowed to predict failure with a</w:t>
      </w:r>
      <w:r w:rsidR="001323F7">
        <w:rPr>
          <w:rFonts w:ascii="Times New Roman" w:hAnsi="Times New Roman" w:cs="Times New Roman"/>
          <w:sz w:val="24"/>
          <w:szCs w:val="24"/>
        </w:rPr>
        <w:t xml:space="preserve"> bit </w:t>
      </w:r>
      <w:r w:rsidRPr="00802428">
        <w:rPr>
          <w:rFonts w:ascii="Times New Roman" w:hAnsi="Times New Roman" w:cs="Times New Roman"/>
          <w:sz w:val="24"/>
          <w:szCs w:val="24"/>
        </w:rPr>
        <w:t>error rate less than that of the five ratios of the Z score of Altman (1968). Casey and Bartczak (1984) have studied 290 American companies, including 60 companies</w:t>
      </w:r>
      <w:r w:rsidR="00580B14">
        <w:rPr>
          <w:rFonts w:ascii="Times New Roman" w:hAnsi="Times New Roman" w:cs="Times New Roman"/>
          <w:sz w:val="24"/>
          <w:szCs w:val="24"/>
        </w:rPr>
        <w:t xml:space="preserve"> </w:t>
      </w:r>
      <w:r w:rsidRPr="00802428">
        <w:rPr>
          <w:rFonts w:ascii="Times New Roman" w:hAnsi="Times New Roman" w:cs="Times New Roman"/>
          <w:sz w:val="24"/>
          <w:szCs w:val="24"/>
        </w:rPr>
        <w:t xml:space="preserve">which </w:t>
      </w:r>
      <w:r w:rsidR="00580B14">
        <w:rPr>
          <w:rFonts w:ascii="Times New Roman" w:hAnsi="Times New Roman" w:cs="Times New Roman"/>
          <w:sz w:val="24"/>
          <w:szCs w:val="24"/>
        </w:rPr>
        <w:t xml:space="preserve">have </w:t>
      </w:r>
      <w:r w:rsidRPr="00802428">
        <w:rPr>
          <w:rFonts w:ascii="Times New Roman" w:hAnsi="Times New Roman" w:cs="Times New Roman"/>
          <w:sz w:val="24"/>
          <w:szCs w:val="24"/>
        </w:rPr>
        <w:t>declared bankruptcy between 1971 and 1982.</w:t>
      </w:r>
      <w:r w:rsidR="00703C93" w:rsidRPr="00703C93">
        <w:t xml:space="preserve"> </w:t>
      </w:r>
      <w:r w:rsidR="00703C93" w:rsidRPr="00703C93">
        <w:rPr>
          <w:rFonts w:ascii="Times New Roman" w:hAnsi="Times New Roman" w:cs="Times New Roman"/>
          <w:sz w:val="24"/>
          <w:szCs w:val="24"/>
        </w:rPr>
        <w:t xml:space="preserve">The results of Casey and Bartczak (1984) showed that the informational content of the cash flows of companies over a five-year period was completely useless in distinguishing between those that were healthy and those that were going to bankruptcy. Specifically, </w:t>
      </w:r>
      <w:r w:rsidR="001323F7" w:rsidRPr="00703C93">
        <w:rPr>
          <w:rFonts w:ascii="Times New Roman" w:hAnsi="Times New Roman" w:cs="Times New Roman"/>
          <w:sz w:val="24"/>
          <w:szCs w:val="24"/>
        </w:rPr>
        <w:t xml:space="preserve">Casey and Bartczak (1984) </w:t>
      </w:r>
      <w:r w:rsidR="001323F7">
        <w:rPr>
          <w:rFonts w:ascii="Times New Roman" w:hAnsi="Times New Roman" w:cs="Times New Roman"/>
          <w:sz w:val="24"/>
          <w:szCs w:val="24"/>
        </w:rPr>
        <w:t>have</w:t>
      </w:r>
      <w:r w:rsidR="00703C93" w:rsidRPr="00703C93">
        <w:rPr>
          <w:rFonts w:ascii="Times New Roman" w:hAnsi="Times New Roman" w:cs="Times New Roman"/>
          <w:sz w:val="24"/>
          <w:szCs w:val="24"/>
        </w:rPr>
        <w:t xml:space="preserve"> found that operating cash flow data over the five years prior to </w:t>
      </w:r>
      <w:r w:rsidR="00E1544E" w:rsidRPr="00703C93">
        <w:rPr>
          <w:rFonts w:ascii="Times New Roman" w:hAnsi="Times New Roman" w:cs="Times New Roman"/>
          <w:sz w:val="24"/>
          <w:szCs w:val="24"/>
        </w:rPr>
        <w:t>companies’</w:t>
      </w:r>
      <w:r w:rsidR="00703C93" w:rsidRPr="00703C93">
        <w:rPr>
          <w:rFonts w:ascii="Times New Roman" w:hAnsi="Times New Roman" w:cs="Times New Roman"/>
          <w:sz w:val="24"/>
          <w:szCs w:val="24"/>
        </w:rPr>
        <w:t xml:space="preserve"> bankruptcy are poor indicators and produce forecasts that are lower than the combination of the six conventional ratios.</w:t>
      </w:r>
      <w:r w:rsidR="008364AB" w:rsidRPr="008364AB">
        <w:t xml:space="preserve"> </w:t>
      </w:r>
    </w:p>
    <w:p w14:paraId="1A1E85AC" w14:textId="13F3477D" w:rsidR="003372D4" w:rsidRPr="003372D4" w:rsidRDefault="001323F7" w:rsidP="00BA7CE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8364AB" w:rsidRPr="008364AB">
        <w:rPr>
          <w:rFonts w:ascii="Times New Roman" w:hAnsi="Times New Roman" w:cs="Times New Roman"/>
          <w:sz w:val="24"/>
          <w:szCs w:val="24"/>
        </w:rPr>
        <w:t xml:space="preserve">Saint-Pierre (1985) has strongly criticized the results of Casey and Bartczak (1984) </w:t>
      </w:r>
      <w:r w:rsidR="006927D8" w:rsidRPr="008364AB">
        <w:rPr>
          <w:rFonts w:ascii="Times New Roman" w:hAnsi="Times New Roman" w:cs="Times New Roman"/>
          <w:sz w:val="24"/>
          <w:szCs w:val="24"/>
        </w:rPr>
        <w:t>by advancing</w:t>
      </w:r>
      <w:r w:rsidR="008364AB" w:rsidRPr="008364AB">
        <w:rPr>
          <w:rFonts w:ascii="Times New Roman" w:hAnsi="Times New Roman" w:cs="Times New Roman"/>
          <w:sz w:val="24"/>
          <w:szCs w:val="24"/>
        </w:rPr>
        <w:t xml:space="preserve"> the following arguments: “(1) Casey and Bartczak have favored the six conventional ratios at the expense of cash flows. So that it is totally incorrect to compare the results of a multidimensional analysis (</w:t>
      </w:r>
      <w:r>
        <w:rPr>
          <w:rFonts w:ascii="Times New Roman" w:hAnsi="Times New Roman" w:cs="Times New Roman"/>
          <w:sz w:val="24"/>
          <w:szCs w:val="24"/>
        </w:rPr>
        <w:t xml:space="preserve">i.e., </w:t>
      </w:r>
      <w:r w:rsidR="008364AB" w:rsidRPr="008364AB">
        <w:rPr>
          <w:rFonts w:ascii="Times New Roman" w:hAnsi="Times New Roman" w:cs="Times New Roman"/>
          <w:sz w:val="24"/>
          <w:szCs w:val="24"/>
        </w:rPr>
        <w:t>the six conventional ratios) to those of a one-dimensional analysis (</w:t>
      </w:r>
      <w:r>
        <w:rPr>
          <w:rFonts w:ascii="Times New Roman" w:hAnsi="Times New Roman" w:cs="Times New Roman"/>
          <w:sz w:val="24"/>
          <w:szCs w:val="24"/>
        </w:rPr>
        <w:t xml:space="preserve">i.e., </w:t>
      </w:r>
      <w:r w:rsidR="008364AB" w:rsidRPr="008364AB">
        <w:rPr>
          <w:rFonts w:ascii="Times New Roman" w:hAnsi="Times New Roman" w:cs="Times New Roman"/>
          <w:sz w:val="24"/>
          <w:szCs w:val="24"/>
        </w:rPr>
        <w:t xml:space="preserve">cash flows); (2) Casey and Bartczak have made no further assumptions on the probability laws of the quantifying characters concerning the a priori probability that a company belongs to the group of bankrupt companies or to the group of non-bankrupt </w:t>
      </w:r>
      <w:r w:rsidR="003372D4" w:rsidRPr="008364AB">
        <w:rPr>
          <w:rFonts w:ascii="Times New Roman" w:hAnsi="Times New Roman" w:cs="Times New Roman"/>
          <w:sz w:val="24"/>
          <w:szCs w:val="24"/>
        </w:rPr>
        <w:t>companies”</w:t>
      </w:r>
      <w:r w:rsidR="008364AB" w:rsidRPr="008364AB">
        <w:rPr>
          <w:rFonts w:ascii="Times New Roman" w:hAnsi="Times New Roman" w:cs="Times New Roman"/>
          <w:sz w:val="24"/>
          <w:szCs w:val="24"/>
        </w:rPr>
        <w:t>.</w:t>
      </w:r>
      <w:r w:rsidR="003372D4">
        <w:rPr>
          <w:rFonts w:ascii="Times New Roman" w:hAnsi="Times New Roman" w:cs="Times New Roman"/>
          <w:sz w:val="24"/>
          <w:szCs w:val="24"/>
        </w:rPr>
        <w:t xml:space="preserve"> </w:t>
      </w:r>
      <w:r w:rsidR="003372D4" w:rsidRPr="003372D4">
        <w:rPr>
          <w:rFonts w:ascii="Times New Roman" w:hAnsi="Times New Roman" w:cs="Times New Roman"/>
          <w:sz w:val="24"/>
          <w:szCs w:val="24"/>
        </w:rPr>
        <w:t>According to Saint-Pierre (1985), it is not appropriate to infer generalities from the results of Casey and Bartczak (1984).</w:t>
      </w:r>
    </w:p>
    <w:p w14:paraId="1B33FA07" w14:textId="54D6D729" w:rsidR="00A85039" w:rsidRDefault="003372D4" w:rsidP="00BA7CEF">
      <w:pPr>
        <w:spacing w:line="240" w:lineRule="auto"/>
        <w:jc w:val="both"/>
        <w:rPr>
          <w:rFonts w:ascii="Times New Roman" w:hAnsi="Times New Roman" w:cs="Times New Roman"/>
          <w:sz w:val="24"/>
          <w:szCs w:val="24"/>
        </w:rPr>
      </w:pPr>
      <w:r w:rsidRPr="003372D4">
        <w:rPr>
          <w:rFonts w:ascii="Times New Roman" w:hAnsi="Times New Roman" w:cs="Times New Roman"/>
          <w:sz w:val="24"/>
          <w:szCs w:val="24"/>
        </w:rPr>
        <w:t>Finally, among the main studies which have confirmed the usefulness of cash flows as a</w:t>
      </w:r>
      <w:r>
        <w:rPr>
          <w:rFonts w:ascii="Times New Roman" w:hAnsi="Times New Roman" w:cs="Times New Roman"/>
          <w:sz w:val="24"/>
          <w:szCs w:val="24"/>
        </w:rPr>
        <w:t xml:space="preserve"> relevant</w:t>
      </w:r>
      <w:r w:rsidRPr="003372D4">
        <w:rPr>
          <w:rFonts w:ascii="Times New Roman" w:hAnsi="Times New Roman" w:cs="Times New Roman"/>
          <w:sz w:val="24"/>
          <w:szCs w:val="24"/>
        </w:rPr>
        <w:t xml:space="preserve"> indicator of a company's financial distress, we </w:t>
      </w:r>
      <w:r w:rsidR="001323F7">
        <w:rPr>
          <w:rFonts w:ascii="Times New Roman" w:hAnsi="Times New Roman" w:cs="Times New Roman"/>
          <w:sz w:val="24"/>
          <w:szCs w:val="24"/>
        </w:rPr>
        <w:t xml:space="preserve">mainly </w:t>
      </w:r>
      <w:r w:rsidR="00AA2D5E" w:rsidRPr="003372D4">
        <w:rPr>
          <w:rFonts w:ascii="Times New Roman" w:hAnsi="Times New Roman" w:cs="Times New Roman"/>
          <w:sz w:val="24"/>
          <w:szCs w:val="24"/>
        </w:rPr>
        <w:t>reference</w:t>
      </w:r>
      <w:r w:rsidRPr="003372D4">
        <w:rPr>
          <w:rFonts w:ascii="Times New Roman" w:hAnsi="Times New Roman" w:cs="Times New Roman"/>
          <w:sz w:val="24"/>
          <w:szCs w:val="24"/>
        </w:rPr>
        <w:t xml:space="preserve"> Norton and Smith (1979), </w:t>
      </w:r>
      <w:proofErr w:type="spellStart"/>
      <w:r w:rsidRPr="003372D4">
        <w:rPr>
          <w:rFonts w:ascii="Times New Roman" w:hAnsi="Times New Roman" w:cs="Times New Roman"/>
          <w:sz w:val="24"/>
          <w:szCs w:val="24"/>
        </w:rPr>
        <w:t>Largay</w:t>
      </w:r>
      <w:proofErr w:type="spellEnd"/>
      <w:r w:rsidRPr="003372D4">
        <w:rPr>
          <w:rFonts w:ascii="Times New Roman" w:hAnsi="Times New Roman" w:cs="Times New Roman"/>
          <w:sz w:val="24"/>
          <w:szCs w:val="24"/>
        </w:rPr>
        <w:t xml:space="preserve"> and Stickney (1980),</w:t>
      </w:r>
      <w:r w:rsidR="001323F7">
        <w:rPr>
          <w:rFonts w:ascii="Times New Roman" w:hAnsi="Times New Roman" w:cs="Times New Roman"/>
          <w:sz w:val="24"/>
          <w:szCs w:val="24"/>
        </w:rPr>
        <w:t xml:space="preserve"> and</w:t>
      </w:r>
      <w:r w:rsidRPr="003372D4">
        <w:rPr>
          <w:rFonts w:ascii="Times New Roman" w:hAnsi="Times New Roman" w:cs="Times New Roman"/>
          <w:sz w:val="24"/>
          <w:szCs w:val="24"/>
        </w:rPr>
        <w:t xml:space="preserve"> Takahashi, </w:t>
      </w:r>
      <w:proofErr w:type="spellStart"/>
      <w:r w:rsidRPr="003372D4">
        <w:rPr>
          <w:rFonts w:ascii="Times New Roman" w:hAnsi="Times New Roman" w:cs="Times New Roman"/>
          <w:sz w:val="24"/>
          <w:szCs w:val="24"/>
        </w:rPr>
        <w:t>Kurokawa</w:t>
      </w:r>
      <w:proofErr w:type="spellEnd"/>
      <w:r w:rsidRPr="003372D4">
        <w:rPr>
          <w:rFonts w:ascii="Times New Roman" w:hAnsi="Times New Roman" w:cs="Times New Roman"/>
          <w:sz w:val="24"/>
          <w:szCs w:val="24"/>
        </w:rPr>
        <w:t xml:space="preserve"> and </w:t>
      </w:r>
      <w:proofErr w:type="spellStart"/>
      <w:r w:rsidRPr="003372D4">
        <w:rPr>
          <w:rFonts w:ascii="Times New Roman" w:hAnsi="Times New Roman" w:cs="Times New Roman"/>
          <w:sz w:val="24"/>
          <w:szCs w:val="24"/>
        </w:rPr>
        <w:t>Watase</w:t>
      </w:r>
      <w:proofErr w:type="spellEnd"/>
      <w:r w:rsidRPr="003372D4">
        <w:rPr>
          <w:rFonts w:ascii="Times New Roman" w:hAnsi="Times New Roman" w:cs="Times New Roman"/>
          <w:sz w:val="24"/>
          <w:szCs w:val="24"/>
        </w:rPr>
        <w:t xml:space="preserve"> (1984)</w:t>
      </w:r>
      <w:r>
        <w:rPr>
          <w:rFonts w:ascii="Times New Roman" w:hAnsi="Times New Roman" w:cs="Times New Roman"/>
          <w:sz w:val="24"/>
          <w:szCs w:val="24"/>
        </w:rPr>
        <w:t>.</w:t>
      </w:r>
    </w:p>
    <w:p w14:paraId="712127A7" w14:textId="77777777" w:rsidR="00BA7CEF" w:rsidRPr="00BA7CEF" w:rsidRDefault="00BA7CEF" w:rsidP="00BA7CEF">
      <w:pPr>
        <w:spacing w:line="240" w:lineRule="auto"/>
        <w:jc w:val="both"/>
        <w:rPr>
          <w:rFonts w:ascii="Times New Roman" w:hAnsi="Times New Roman" w:cs="Times New Roman"/>
          <w:sz w:val="6"/>
          <w:szCs w:val="6"/>
        </w:rPr>
      </w:pPr>
    </w:p>
    <w:p w14:paraId="18FF5297" w14:textId="18450BF8" w:rsidR="00BA7CEF" w:rsidRPr="006D74C5" w:rsidRDefault="00BA7CEF" w:rsidP="00BA7CEF">
      <w:pPr>
        <w:pStyle w:val="HeadingNumbering1"/>
        <w:numPr>
          <w:ilvl w:val="0"/>
          <w:numId w:val="0"/>
        </w:numPr>
        <w:ind w:firstLine="720"/>
      </w:pPr>
      <w:r w:rsidRPr="00E61D60">
        <w:rPr>
          <w:bCs/>
        </w:rPr>
        <w:t xml:space="preserve">3. </w:t>
      </w:r>
      <w:r w:rsidRPr="00E61D60">
        <w:rPr>
          <w:lang w:val="en-CA" w:eastAsia="fr-CA"/>
        </w:rPr>
        <w:t>Research M</w:t>
      </w:r>
      <w:r w:rsidRPr="00E61D60">
        <w:rPr>
          <w:rFonts w:eastAsiaTheme="minorEastAsia"/>
          <w:lang w:val="en-CA" w:eastAsia="fr-CA"/>
        </w:rPr>
        <w:t>ethodology</w:t>
      </w:r>
    </w:p>
    <w:p w14:paraId="7A496AD9" w14:textId="161026CD" w:rsidR="00AA2D5E" w:rsidRPr="00BA7CEF" w:rsidRDefault="00AA2D5E" w:rsidP="00AA2D5E">
      <w:pPr>
        <w:rPr>
          <w:rFonts w:ascii="Times New Roman" w:hAnsi="Times New Roman" w:cs="Times New Roman"/>
          <w:b/>
          <w:bCs/>
          <w:sz w:val="4"/>
          <w:szCs w:val="4"/>
        </w:rPr>
      </w:pPr>
    </w:p>
    <w:p w14:paraId="5BBB83F6" w14:textId="0D577060" w:rsidR="00AA2D5E" w:rsidRPr="00BA7CEF" w:rsidRDefault="00AA2D5E" w:rsidP="00BA7CEF">
      <w:pPr>
        <w:spacing w:line="240" w:lineRule="auto"/>
        <w:rPr>
          <w:rFonts w:ascii="Times New Roman" w:hAnsi="Times New Roman" w:cs="Times New Roman"/>
          <w:b/>
          <w:bCs/>
          <w:sz w:val="28"/>
          <w:szCs w:val="28"/>
        </w:rPr>
      </w:pPr>
      <w:r w:rsidRPr="00BA7CEF">
        <w:rPr>
          <w:rFonts w:ascii="Times New Roman" w:hAnsi="Times New Roman" w:cs="Times New Roman"/>
          <w:b/>
          <w:bCs/>
          <w:sz w:val="28"/>
          <w:szCs w:val="28"/>
        </w:rPr>
        <w:t>3.1. Choice of variables</w:t>
      </w:r>
    </w:p>
    <w:p w14:paraId="24A0838B" w14:textId="5FAA8BE3" w:rsidR="00AA2D5E" w:rsidRDefault="004D1D65" w:rsidP="00BA7CEF">
      <w:pPr>
        <w:spacing w:line="240" w:lineRule="auto"/>
        <w:jc w:val="both"/>
        <w:rPr>
          <w:rFonts w:ascii="Times New Roman" w:hAnsi="Times New Roman" w:cs="Times New Roman"/>
          <w:sz w:val="24"/>
          <w:szCs w:val="24"/>
        </w:rPr>
      </w:pPr>
      <w:r w:rsidRPr="004D1D65">
        <w:rPr>
          <w:rFonts w:ascii="Times New Roman" w:hAnsi="Times New Roman" w:cs="Times New Roman"/>
          <w:sz w:val="24"/>
          <w:szCs w:val="24"/>
        </w:rPr>
        <w:t>Our research methodology consists of testing the existence of cointegration relationship</w:t>
      </w:r>
      <w:r w:rsidR="00E61D60">
        <w:rPr>
          <w:rFonts w:ascii="Times New Roman" w:hAnsi="Times New Roman" w:cs="Times New Roman"/>
          <w:sz w:val="24"/>
          <w:szCs w:val="24"/>
        </w:rPr>
        <w:t>s</w:t>
      </w:r>
      <w:r w:rsidRPr="004D1D65">
        <w:rPr>
          <w:rFonts w:ascii="Times New Roman" w:hAnsi="Times New Roman" w:cs="Times New Roman"/>
          <w:sz w:val="24"/>
          <w:szCs w:val="24"/>
        </w:rPr>
        <w:t xml:space="preserve"> between a ratio based on cash flows and four financial ratios based on accounting data </w:t>
      </w:r>
      <w:r w:rsidR="00E61D60">
        <w:rPr>
          <w:rFonts w:ascii="Times New Roman" w:hAnsi="Times New Roman" w:cs="Times New Roman"/>
          <w:sz w:val="24"/>
          <w:szCs w:val="24"/>
        </w:rPr>
        <w:t xml:space="preserve">in order </w:t>
      </w:r>
      <w:r w:rsidRPr="004D1D65">
        <w:rPr>
          <w:rFonts w:ascii="Times New Roman" w:hAnsi="Times New Roman" w:cs="Times New Roman"/>
          <w:sz w:val="24"/>
          <w:szCs w:val="24"/>
        </w:rPr>
        <w:t xml:space="preserve">to examine the relevance of cash flows as an indicator of the </w:t>
      </w:r>
      <w:r>
        <w:rPr>
          <w:rFonts w:ascii="Times New Roman" w:hAnsi="Times New Roman" w:cs="Times New Roman"/>
          <w:sz w:val="24"/>
          <w:szCs w:val="24"/>
        </w:rPr>
        <w:t xml:space="preserve">companies’ </w:t>
      </w:r>
      <w:r w:rsidRPr="004D1D65">
        <w:rPr>
          <w:rFonts w:ascii="Times New Roman" w:hAnsi="Times New Roman" w:cs="Times New Roman"/>
          <w:sz w:val="24"/>
          <w:szCs w:val="24"/>
        </w:rPr>
        <w:t xml:space="preserve">financial health. More precisely, we have chosen </w:t>
      </w:r>
      <w:r>
        <w:rPr>
          <w:rFonts w:ascii="Times New Roman" w:hAnsi="Times New Roman" w:cs="Times New Roman"/>
          <w:sz w:val="24"/>
          <w:szCs w:val="24"/>
        </w:rPr>
        <w:t>four</w:t>
      </w:r>
      <w:r w:rsidR="00E61D60">
        <w:rPr>
          <w:rFonts w:ascii="Times New Roman" w:hAnsi="Times New Roman" w:cs="Times New Roman"/>
          <w:sz w:val="24"/>
          <w:szCs w:val="24"/>
        </w:rPr>
        <w:t xml:space="preserve"> </w:t>
      </w:r>
      <w:r w:rsidRPr="004D1D65">
        <w:rPr>
          <w:rFonts w:ascii="Times New Roman" w:hAnsi="Times New Roman" w:cs="Times New Roman"/>
          <w:sz w:val="24"/>
          <w:szCs w:val="24"/>
        </w:rPr>
        <w:t xml:space="preserve">conventional </w:t>
      </w:r>
      <w:r w:rsidR="00E61D60">
        <w:rPr>
          <w:rFonts w:ascii="Times New Roman" w:hAnsi="Times New Roman" w:cs="Times New Roman"/>
          <w:sz w:val="24"/>
          <w:szCs w:val="24"/>
        </w:rPr>
        <w:t xml:space="preserve">financial </w:t>
      </w:r>
      <w:r w:rsidRPr="004D1D65">
        <w:rPr>
          <w:rFonts w:ascii="Times New Roman" w:hAnsi="Times New Roman" w:cs="Times New Roman"/>
          <w:sz w:val="24"/>
          <w:szCs w:val="24"/>
        </w:rPr>
        <w:t xml:space="preserve">ratios which are commonly known in the literature as being relevant indicators regarding the financial health of a company through the following aspects: liquidity, </w:t>
      </w:r>
      <w:r w:rsidR="00CC27C3">
        <w:rPr>
          <w:rFonts w:ascii="Times New Roman" w:hAnsi="Times New Roman" w:cs="Times New Roman"/>
          <w:sz w:val="24"/>
          <w:szCs w:val="24"/>
        </w:rPr>
        <w:t xml:space="preserve">operational </w:t>
      </w:r>
      <w:r w:rsidR="00075B6C">
        <w:rPr>
          <w:rFonts w:ascii="Times New Roman" w:hAnsi="Times New Roman" w:cs="Times New Roman"/>
          <w:sz w:val="24"/>
          <w:szCs w:val="24"/>
        </w:rPr>
        <w:t xml:space="preserve">efficiency, </w:t>
      </w:r>
      <w:r w:rsidRPr="004D1D65">
        <w:rPr>
          <w:rFonts w:ascii="Times New Roman" w:hAnsi="Times New Roman" w:cs="Times New Roman"/>
          <w:sz w:val="24"/>
          <w:szCs w:val="24"/>
        </w:rPr>
        <w:t xml:space="preserve">profitability, </w:t>
      </w:r>
      <w:r w:rsidR="00075B6C">
        <w:rPr>
          <w:rFonts w:ascii="Times New Roman" w:hAnsi="Times New Roman" w:cs="Times New Roman"/>
          <w:sz w:val="24"/>
          <w:szCs w:val="24"/>
        </w:rPr>
        <w:t xml:space="preserve">and </w:t>
      </w:r>
      <w:r w:rsidR="00E61D60">
        <w:rPr>
          <w:rFonts w:ascii="Times New Roman" w:hAnsi="Times New Roman" w:cs="Times New Roman"/>
          <w:sz w:val="24"/>
          <w:szCs w:val="24"/>
        </w:rPr>
        <w:t>solvency</w:t>
      </w:r>
      <w:r w:rsidR="00075B6C">
        <w:rPr>
          <w:rFonts w:ascii="Times New Roman" w:hAnsi="Times New Roman" w:cs="Times New Roman"/>
          <w:sz w:val="24"/>
          <w:szCs w:val="24"/>
        </w:rPr>
        <w:t xml:space="preserve">. </w:t>
      </w:r>
      <w:r w:rsidRPr="004D1D65">
        <w:rPr>
          <w:rFonts w:ascii="Times New Roman" w:hAnsi="Times New Roman" w:cs="Times New Roman"/>
          <w:sz w:val="24"/>
          <w:szCs w:val="24"/>
        </w:rPr>
        <w:t>Table 1 below shows the selected ratios.</w:t>
      </w:r>
    </w:p>
    <w:p w14:paraId="3F8362CE" w14:textId="3B67D924" w:rsidR="008C1C00" w:rsidRPr="00BA7CEF" w:rsidRDefault="008C1C00" w:rsidP="006927D8">
      <w:pPr>
        <w:jc w:val="center"/>
        <w:rPr>
          <w:rFonts w:ascii="Times New Roman" w:hAnsi="Times New Roman" w:cs="Times New Roman"/>
          <w:b/>
          <w:bCs/>
          <w:sz w:val="24"/>
          <w:szCs w:val="24"/>
        </w:rPr>
      </w:pPr>
      <w:r w:rsidRPr="00BA7CEF">
        <w:rPr>
          <w:rFonts w:ascii="Times New Roman" w:hAnsi="Times New Roman" w:cs="Times New Roman"/>
          <w:b/>
          <w:bCs/>
          <w:sz w:val="24"/>
          <w:szCs w:val="24"/>
        </w:rPr>
        <w:t>T</w:t>
      </w:r>
      <w:r w:rsidR="00BA7CEF" w:rsidRPr="00BA7CEF">
        <w:rPr>
          <w:rFonts w:ascii="Times New Roman" w:hAnsi="Times New Roman" w:cs="Times New Roman"/>
          <w:b/>
          <w:bCs/>
          <w:sz w:val="24"/>
          <w:szCs w:val="24"/>
        </w:rPr>
        <w:t>able</w:t>
      </w:r>
      <w:r w:rsidRPr="00BA7CEF">
        <w:rPr>
          <w:rFonts w:ascii="Times New Roman" w:hAnsi="Times New Roman" w:cs="Times New Roman"/>
          <w:b/>
          <w:bCs/>
          <w:sz w:val="24"/>
          <w:szCs w:val="24"/>
        </w:rPr>
        <w:t xml:space="preserve"> 1: The Selected Financial Ratios</w:t>
      </w:r>
    </w:p>
    <w:tbl>
      <w:tblPr>
        <w:tblStyle w:val="TableGrid"/>
        <w:tblW w:w="9356" w:type="dxa"/>
        <w:tblInd w:w="-5" w:type="dxa"/>
        <w:tblLook w:val="04A0" w:firstRow="1" w:lastRow="0" w:firstColumn="1" w:lastColumn="0" w:noHBand="0" w:noVBand="1"/>
      </w:tblPr>
      <w:tblGrid>
        <w:gridCol w:w="3686"/>
        <w:gridCol w:w="5670"/>
      </w:tblGrid>
      <w:tr w:rsidR="008C1C00" w:rsidRPr="003420BC" w14:paraId="4F7AC3B9" w14:textId="77777777" w:rsidTr="00AA02D1">
        <w:tc>
          <w:tcPr>
            <w:tcW w:w="3686" w:type="dxa"/>
          </w:tcPr>
          <w:p w14:paraId="6BD60902" w14:textId="59D4117F" w:rsidR="008C1C00" w:rsidRPr="003420BC" w:rsidRDefault="008C1C00" w:rsidP="00770A43">
            <w:pPr>
              <w:jc w:val="center"/>
              <w:rPr>
                <w:rFonts w:ascii="Times New Roman" w:hAnsi="Times New Roman" w:cs="Times New Roman"/>
                <w:b/>
                <w:bCs/>
                <w:sz w:val="24"/>
                <w:szCs w:val="24"/>
                <w:lang w:val="en-US"/>
              </w:rPr>
            </w:pPr>
            <w:r w:rsidRPr="003420BC">
              <w:rPr>
                <w:rFonts w:ascii="Times New Roman" w:hAnsi="Times New Roman" w:cs="Times New Roman"/>
                <w:b/>
                <w:bCs/>
                <w:sz w:val="24"/>
                <w:szCs w:val="24"/>
                <w:lang w:val="en-US"/>
              </w:rPr>
              <w:t>Ratio based on cash flows</w:t>
            </w:r>
          </w:p>
        </w:tc>
        <w:tc>
          <w:tcPr>
            <w:tcW w:w="5670" w:type="dxa"/>
          </w:tcPr>
          <w:p w14:paraId="0D249527" w14:textId="47FFC610" w:rsidR="008C1C00" w:rsidRPr="003420BC" w:rsidRDefault="008C1C00" w:rsidP="00770A43">
            <w:pPr>
              <w:jc w:val="center"/>
              <w:rPr>
                <w:rFonts w:ascii="Times New Roman" w:hAnsi="Times New Roman" w:cs="Times New Roman"/>
                <w:b/>
                <w:bCs/>
                <w:sz w:val="24"/>
                <w:szCs w:val="24"/>
                <w:lang w:val="en-US"/>
              </w:rPr>
            </w:pPr>
            <w:r w:rsidRPr="003420BC">
              <w:rPr>
                <w:rFonts w:ascii="Times New Roman" w:hAnsi="Times New Roman" w:cs="Times New Roman"/>
                <w:b/>
                <w:bCs/>
                <w:sz w:val="24"/>
                <w:szCs w:val="24"/>
                <w:lang w:val="en-US"/>
              </w:rPr>
              <w:t>Financial ratios based on accounting data</w:t>
            </w:r>
          </w:p>
        </w:tc>
      </w:tr>
      <w:tr w:rsidR="008C1C00" w:rsidRPr="003420BC" w14:paraId="327549EB" w14:textId="77777777" w:rsidTr="00AA02D1">
        <w:trPr>
          <w:trHeight w:val="1735"/>
        </w:trPr>
        <w:tc>
          <w:tcPr>
            <w:tcW w:w="3686" w:type="dxa"/>
          </w:tcPr>
          <w:p w14:paraId="33B35FC8" w14:textId="59ABE735" w:rsidR="008C1C00" w:rsidRPr="003420BC" w:rsidRDefault="008C1C00" w:rsidP="00770A43">
            <w:pPr>
              <w:spacing w:line="220" w:lineRule="exact"/>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CFR=</m:t>
              </m:r>
            </m:oMath>
            <w:r w:rsidRPr="003420BC">
              <w:rPr>
                <w:rFonts w:ascii="Times New Roman" w:eastAsiaTheme="minorEastAsia" w:hAnsi="Times New Roman" w:cs="Times New Roman"/>
                <w:sz w:val="24"/>
                <w:szCs w:val="24"/>
                <w:lang w:val="en-US"/>
              </w:rPr>
              <w:t xml:space="preserve"> </w:t>
            </w:r>
            <w:r w:rsidRPr="003420BC">
              <w:rPr>
                <w:rFonts w:ascii="Times New Roman" w:hAnsi="Times New Roman" w:cs="Times New Roman"/>
                <w:sz w:val="24"/>
                <w:szCs w:val="24"/>
                <w:lang w:val="en-US"/>
              </w:rPr>
              <w:t>operating cash flows to total assets ratio</w:t>
            </w:r>
          </w:p>
          <w:p w14:paraId="036E51C1" w14:textId="77777777" w:rsidR="008C1C00" w:rsidRPr="003420BC" w:rsidRDefault="008C1C00" w:rsidP="00770A43">
            <w:pPr>
              <w:spacing w:line="220" w:lineRule="exact"/>
              <w:jc w:val="both"/>
              <w:rPr>
                <w:rFonts w:ascii="Times New Roman" w:eastAsiaTheme="minorEastAsia" w:hAnsi="Times New Roman" w:cs="Times New Roman"/>
                <w:sz w:val="24"/>
                <w:szCs w:val="24"/>
                <w:lang w:val="en-US"/>
              </w:rPr>
            </w:pPr>
          </w:p>
          <w:p w14:paraId="3A430147" w14:textId="77777777" w:rsidR="008C1C00" w:rsidRPr="003420BC" w:rsidRDefault="008C1C00" w:rsidP="00770A43">
            <w:pPr>
              <w:spacing w:line="220" w:lineRule="exact"/>
              <w:jc w:val="both"/>
              <w:rPr>
                <w:rFonts w:ascii="Times New Roman" w:eastAsiaTheme="minorEastAsia" w:hAnsi="Times New Roman" w:cs="Times New Roman"/>
                <w:sz w:val="24"/>
                <w:szCs w:val="24"/>
                <w:lang w:val="en-US"/>
              </w:rPr>
            </w:pPr>
          </w:p>
          <w:p w14:paraId="3794C20E" w14:textId="77777777" w:rsidR="008C1C00" w:rsidRPr="003420BC" w:rsidRDefault="008C1C00" w:rsidP="00770A43">
            <w:pPr>
              <w:spacing w:line="220" w:lineRule="exact"/>
              <w:jc w:val="both"/>
              <w:rPr>
                <w:rFonts w:ascii="Times New Roman" w:hAnsi="Times New Roman" w:cs="Times New Roman"/>
                <w:sz w:val="24"/>
                <w:szCs w:val="24"/>
                <w:lang w:val="en-US"/>
              </w:rPr>
            </w:pPr>
            <w:r w:rsidRPr="003420BC">
              <w:rPr>
                <w:rFonts w:ascii="Times New Roman" w:hAnsi="Times New Roman" w:cs="Times New Roman"/>
                <w:sz w:val="24"/>
                <w:szCs w:val="24"/>
                <w:lang w:val="en-US"/>
              </w:rPr>
              <w:t xml:space="preserve"> </w:t>
            </w:r>
          </w:p>
        </w:tc>
        <w:tc>
          <w:tcPr>
            <w:tcW w:w="5670" w:type="dxa"/>
          </w:tcPr>
          <w:p w14:paraId="60E574F1" w14:textId="4A5E96F3" w:rsidR="008C1C00" w:rsidRPr="003420BC" w:rsidRDefault="008C1C00" w:rsidP="00770A43">
            <w:pPr>
              <w:spacing w:line="220" w:lineRule="exact"/>
              <w:jc w:val="both"/>
              <w:rPr>
                <w:rFonts w:ascii="Times New Roman" w:eastAsiaTheme="minorEastAsia" w:hAnsi="Times New Roman" w:cs="Times New Roman"/>
                <w:b/>
                <w:bCs/>
                <w:sz w:val="24"/>
                <w:szCs w:val="24"/>
                <w:lang w:val="en-US"/>
              </w:rPr>
            </w:pPr>
            <w:r w:rsidRPr="003420BC">
              <w:rPr>
                <w:rFonts w:ascii="Times New Roman" w:hAnsi="Times New Roman" w:cs="Times New Roman"/>
                <w:b/>
                <w:bCs/>
                <w:sz w:val="24"/>
                <w:szCs w:val="24"/>
                <w:lang w:val="en-US"/>
              </w:rPr>
              <w:t>Liquidity ratio:</w:t>
            </w:r>
          </w:p>
          <w:p w14:paraId="5DC423EE" w14:textId="069A11F8" w:rsidR="008C1C00" w:rsidRPr="003420BC" w:rsidRDefault="008C1C00" w:rsidP="00770A43">
            <w:pPr>
              <w:spacing w:line="220" w:lineRule="exact"/>
              <w:jc w:val="both"/>
              <w:rPr>
                <w:rFonts w:ascii="Times New Roman" w:hAnsi="Times New Roman" w:cs="Times New Roman"/>
                <w:sz w:val="24"/>
                <w:szCs w:val="24"/>
                <w:lang w:val="en-US"/>
              </w:rPr>
            </w:pPr>
            <m:oMath>
              <m:r>
                <w:rPr>
                  <w:rFonts w:ascii="Cambria Math" w:eastAsiaTheme="minorEastAsia" w:hAnsi="Cambria Math" w:cs="Times New Roman"/>
                  <w:sz w:val="24"/>
                  <w:szCs w:val="24"/>
                  <w:lang w:val="en-US"/>
                </w:rPr>
                <m:t>LIQR=</m:t>
              </m:r>
            </m:oMath>
            <w:r w:rsidRPr="003420BC">
              <w:rPr>
                <w:rFonts w:ascii="Times New Roman" w:eastAsiaTheme="minorEastAsia" w:hAnsi="Times New Roman" w:cs="Times New Roman"/>
                <w:sz w:val="24"/>
                <w:szCs w:val="24"/>
                <w:lang w:val="en-US"/>
              </w:rPr>
              <w:t xml:space="preserve"> </w:t>
            </w:r>
            <w:bookmarkStart w:id="6" w:name="_Hlk71215965"/>
            <w:r w:rsidRPr="003420BC">
              <w:rPr>
                <w:rFonts w:ascii="Times New Roman" w:hAnsi="Times New Roman" w:cs="Times New Roman"/>
                <w:sz w:val="24"/>
                <w:szCs w:val="24"/>
                <w:lang w:val="en-US"/>
              </w:rPr>
              <w:t xml:space="preserve">working capital to total assets </w:t>
            </w:r>
            <w:r w:rsidR="006927D8" w:rsidRPr="003420BC">
              <w:rPr>
                <w:rFonts w:ascii="Times New Roman" w:hAnsi="Times New Roman" w:cs="Times New Roman"/>
                <w:sz w:val="24"/>
                <w:szCs w:val="24"/>
                <w:lang w:val="en-US"/>
              </w:rPr>
              <w:t>ratio</w:t>
            </w:r>
            <w:bookmarkEnd w:id="6"/>
            <w:r w:rsidR="006927D8" w:rsidRPr="003420BC">
              <w:rPr>
                <w:rFonts w:ascii="Times New Roman" w:hAnsi="Times New Roman" w:cs="Times New Roman"/>
                <w:sz w:val="24"/>
                <w:szCs w:val="24"/>
                <w:lang w:val="en-US"/>
              </w:rPr>
              <w:t>.</w:t>
            </w:r>
          </w:p>
          <w:p w14:paraId="48A34E42" w14:textId="5CB46818" w:rsidR="008C1C00" w:rsidRPr="003420BC" w:rsidRDefault="00CC27C3" w:rsidP="00770A43">
            <w:pPr>
              <w:spacing w:line="220" w:lineRule="exact"/>
              <w:jc w:val="both"/>
              <w:rPr>
                <w:rFonts w:ascii="Times New Roman" w:eastAsiaTheme="minorEastAsia" w:hAnsi="Times New Roman" w:cs="Times New Roman"/>
                <w:b/>
                <w:bCs/>
                <w:sz w:val="24"/>
                <w:szCs w:val="24"/>
                <w:lang w:val="en-US"/>
              </w:rPr>
            </w:pPr>
            <w:r w:rsidRPr="003420BC">
              <w:rPr>
                <w:rFonts w:ascii="Times New Roman" w:hAnsi="Times New Roman" w:cs="Times New Roman"/>
                <w:b/>
                <w:bCs/>
                <w:sz w:val="24"/>
                <w:szCs w:val="24"/>
                <w:lang w:val="en-US"/>
              </w:rPr>
              <w:t>Operational e</w:t>
            </w:r>
            <w:r w:rsidR="008C1C00" w:rsidRPr="003420BC">
              <w:rPr>
                <w:rFonts w:ascii="Times New Roman" w:hAnsi="Times New Roman" w:cs="Times New Roman"/>
                <w:b/>
                <w:bCs/>
                <w:sz w:val="24"/>
                <w:szCs w:val="24"/>
                <w:lang w:val="en-US"/>
              </w:rPr>
              <w:t>fficiency ratio:</w:t>
            </w:r>
          </w:p>
          <w:p w14:paraId="3BFE09ED" w14:textId="7AA45A69" w:rsidR="008C1C00" w:rsidRPr="003420BC" w:rsidRDefault="006927D8" w:rsidP="00770A43">
            <w:pPr>
              <w:spacing w:line="220" w:lineRule="exact"/>
              <w:jc w:val="both"/>
              <w:rPr>
                <w:rFonts w:ascii="Times New Roman" w:hAnsi="Times New Roman" w:cs="Times New Roman"/>
                <w:sz w:val="24"/>
                <w:szCs w:val="24"/>
                <w:lang w:val="en-US"/>
              </w:rPr>
            </w:pPr>
            <m:oMath>
              <m:r>
                <w:rPr>
                  <w:rFonts w:ascii="Cambria Math" w:eastAsiaTheme="minorEastAsia" w:hAnsi="Cambria Math" w:cs="Times New Roman"/>
                  <w:sz w:val="24"/>
                  <w:szCs w:val="24"/>
                  <w:lang w:val="en-US"/>
                </w:rPr>
                <m:t>EFFR</m:t>
              </m:r>
            </m:oMath>
            <w:r w:rsidR="008C1C00" w:rsidRPr="003420BC">
              <w:rPr>
                <w:rFonts w:ascii="Times New Roman" w:eastAsiaTheme="minorEastAsia" w:hAnsi="Times New Roman" w:cs="Times New Roman"/>
                <w:sz w:val="24"/>
                <w:szCs w:val="24"/>
                <w:lang w:val="en-US"/>
              </w:rPr>
              <w:t xml:space="preserve">: </w:t>
            </w:r>
            <w:bookmarkStart w:id="7" w:name="_Hlk68130856"/>
            <w:r w:rsidR="008C1C00" w:rsidRPr="003420BC">
              <w:rPr>
                <w:rFonts w:ascii="Times New Roman" w:hAnsi="Times New Roman" w:cs="Times New Roman"/>
                <w:sz w:val="24"/>
                <w:szCs w:val="24"/>
                <w:lang w:val="en-US"/>
              </w:rPr>
              <w:t>sales to total assets ratio</w:t>
            </w:r>
            <w:r w:rsidRPr="003420BC">
              <w:rPr>
                <w:rFonts w:ascii="Times New Roman" w:hAnsi="Times New Roman" w:cs="Times New Roman"/>
                <w:sz w:val="24"/>
                <w:szCs w:val="24"/>
                <w:lang w:val="en-US"/>
              </w:rPr>
              <w:t xml:space="preserve"> </w:t>
            </w:r>
            <w:bookmarkEnd w:id="7"/>
            <w:r w:rsidRPr="003420BC">
              <w:rPr>
                <w:rFonts w:ascii="Times New Roman" w:hAnsi="Times New Roman" w:cs="Times New Roman"/>
                <w:sz w:val="24"/>
                <w:szCs w:val="24"/>
                <w:lang w:val="en-US"/>
              </w:rPr>
              <w:t>(i.e., asset turnover ratio)</w:t>
            </w:r>
          </w:p>
          <w:p w14:paraId="1BCF9BAC" w14:textId="191DD66D" w:rsidR="008C1C00" w:rsidRPr="003420BC" w:rsidRDefault="008C1C00" w:rsidP="00770A43">
            <w:pPr>
              <w:spacing w:line="220" w:lineRule="exact"/>
              <w:jc w:val="both"/>
              <w:rPr>
                <w:rFonts w:ascii="Times New Roman" w:eastAsiaTheme="minorEastAsia" w:hAnsi="Times New Roman" w:cs="Times New Roman"/>
                <w:b/>
                <w:bCs/>
                <w:sz w:val="24"/>
                <w:szCs w:val="24"/>
                <w:lang w:val="en-US"/>
              </w:rPr>
            </w:pPr>
            <w:r w:rsidRPr="003420BC">
              <w:rPr>
                <w:rFonts w:ascii="Times New Roman" w:hAnsi="Times New Roman" w:cs="Times New Roman"/>
                <w:b/>
                <w:bCs/>
                <w:sz w:val="24"/>
                <w:szCs w:val="24"/>
                <w:lang w:val="en-US"/>
              </w:rPr>
              <w:t xml:space="preserve">Profitability </w:t>
            </w:r>
            <w:r w:rsidR="006927D8" w:rsidRPr="003420BC">
              <w:rPr>
                <w:rFonts w:ascii="Times New Roman" w:hAnsi="Times New Roman" w:cs="Times New Roman"/>
                <w:b/>
                <w:bCs/>
                <w:sz w:val="24"/>
                <w:szCs w:val="24"/>
                <w:lang w:val="en-US"/>
              </w:rPr>
              <w:t>ratio:</w:t>
            </w:r>
          </w:p>
          <w:p w14:paraId="0693CF68" w14:textId="0C5FD255" w:rsidR="008C1C00" w:rsidRPr="003420BC" w:rsidRDefault="006927D8" w:rsidP="00770A43">
            <w:pPr>
              <w:spacing w:line="220" w:lineRule="exact"/>
              <w:jc w:val="both"/>
              <w:rPr>
                <w:rFonts w:ascii="Times New Roman" w:hAnsi="Times New Roman" w:cs="Times New Roman"/>
                <w:sz w:val="24"/>
                <w:szCs w:val="24"/>
                <w:lang w:val="en-US"/>
              </w:rPr>
            </w:pPr>
            <m:oMath>
              <m:r>
                <w:rPr>
                  <w:rFonts w:ascii="Cambria Math" w:eastAsiaTheme="minorEastAsia" w:hAnsi="Cambria Math" w:cs="Times New Roman"/>
                  <w:sz w:val="24"/>
                  <w:szCs w:val="24"/>
                  <w:lang w:val="en-US"/>
                </w:rPr>
                <m:t>PROR=</m:t>
              </m:r>
            </m:oMath>
            <w:r w:rsidR="008C1C00" w:rsidRPr="003420BC">
              <w:rPr>
                <w:rFonts w:ascii="Times New Roman" w:eastAsiaTheme="minorEastAsia" w:hAnsi="Times New Roman" w:cs="Times New Roman"/>
                <w:sz w:val="24"/>
                <w:szCs w:val="24"/>
                <w:lang w:val="en-US"/>
              </w:rPr>
              <w:t xml:space="preserve"> </w:t>
            </w:r>
            <w:bookmarkStart w:id="8" w:name="_Hlk68130937"/>
            <w:r w:rsidRPr="003420BC">
              <w:rPr>
                <w:rFonts w:ascii="Times New Roman" w:hAnsi="Times New Roman" w:cs="Times New Roman"/>
                <w:sz w:val="24"/>
                <w:szCs w:val="24"/>
                <w:lang w:val="en-US"/>
              </w:rPr>
              <w:t>net income to total assets</w:t>
            </w:r>
            <w:r w:rsidR="00332C6F" w:rsidRPr="003420BC">
              <w:rPr>
                <w:rFonts w:ascii="Times New Roman" w:hAnsi="Times New Roman" w:cs="Times New Roman"/>
                <w:sz w:val="24"/>
                <w:szCs w:val="24"/>
                <w:lang w:val="en-US"/>
              </w:rPr>
              <w:t xml:space="preserve"> ratio</w:t>
            </w:r>
            <w:r w:rsidRPr="003420BC">
              <w:rPr>
                <w:rFonts w:ascii="Times New Roman" w:hAnsi="Times New Roman" w:cs="Times New Roman"/>
                <w:sz w:val="24"/>
                <w:szCs w:val="24"/>
                <w:lang w:val="en-US"/>
              </w:rPr>
              <w:t xml:space="preserve"> </w:t>
            </w:r>
            <w:bookmarkEnd w:id="8"/>
            <w:r w:rsidRPr="003420BC">
              <w:rPr>
                <w:rFonts w:ascii="Times New Roman" w:hAnsi="Times New Roman" w:cs="Times New Roman"/>
                <w:sz w:val="24"/>
                <w:szCs w:val="24"/>
                <w:lang w:val="en-US"/>
              </w:rPr>
              <w:t>(i.e., return on assets ratio)</w:t>
            </w:r>
          </w:p>
          <w:p w14:paraId="6F888BEA" w14:textId="59E3AC21" w:rsidR="008C1C00" w:rsidRPr="003420BC" w:rsidRDefault="008B545E" w:rsidP="00770A43">
            <w:pPr>
              <w:spacing w:line="220" w:lineRule="exact"/>
              <w:jc w:val="both"/>
              <w:rPr>
                <w:rFonts w:ascii="Times New Roman" w:eastAsiaTheme="minorEastAsia" w:hAnsi="Times New Roman" w:cs="Times New Roman"/>
                <w:b/>
                <w:bCs/>
                <w:sz w:val="24"/>
                <w:szCs w:val="24"/>
                <w:lang w:val="en-US"/>
              </w:rPr>
            </w:pPr>
            <w:r>
              <w:rPr>
                <w:rFonts w:ascii="Times New Roman" w:hAnsi="Times New Roman" w:cs="Times New Roman"/>
                <w:b/>
                <w:bCs/>
                <w:sz w:val="24"/>
                <w:szCs w:val="24"/>
                <w:lang w:val="en-US"/>
              </w:rPr>
              <w:t>Solvency</w:t>
            </w:r>
            <w:r w:rsidR="008C1C00" w:rsidRPr="003420BC">
              <w:rPr>
                <w:rFonts w:ascii="Times New Roman" w:hAnsi="Times New Roman" w:cs="Times New Roman"/>
                <w:b/>
                <w:bCs/>
                <w:sz w:val="24"/>
                <w:szCs w:val="24"/>
                <w:lang w:val="en-US"/>
              </w:rPr>
              <w:t xml:space="preserve"> </w:t>
            </w:r>
            <w:r w:rsidR="006927D8" w:rsidRPr="003420BC">
              <w:rPr>
                <w:rFonts w:ascii="Times New Roman" w:hAnsi="Times New Roman" w:cs="Times New Roman"/>
                <w:b/>
                <w:bCs/>
                <w:sz w:val="24"/>
                <w:szCs w:val="24"/>
                <w:lang w:val="en-US"/>
              </w:rPr>
              <w:t>ratio:</w:t>
            </w:r>
          </w:p>
          <w:p w14:paraId="646C869E" w14:textId="1C017400" w:rsidR="008C1C00" w:rsidRPr="003420BC" w:rsidRDefault="008B545E" w:rsidP="00770A43">
            <w:pPr>
              <w:spacing w:line="220" w:lineRule="exact"/>
              <w:jc w:val="both"/>
              <w:rPr>
                <w:rFonts w:ascii="Times New Roman" w:hAnsi="Times New Roman" w:cs="Times New Roman"/>
                <w:sz w:val="24"/>
                <w:szCs w:val="24"/>
                <w:lang w:val="en-US"/>
              </w:rPr>
            </w:pPr>
            <m:oMath>
              <m:r>
                <w:rPr>
                  <w:rFonts w:ascii="Cambria Math" w:eastAsiaTheme="minorEastAsia" w:hAnsi="Cambria Math" w:cs="Times New Roman"/>
                  <w:sz w:val="24"/>
                  <w:szCs w:val="24"/>
                  <w:lang w:val="en-US"/>
                </w:rPr>
                <m:t>SOL</m:t>
              </m:r>
              <m:r>
                <w:rPr>
                  <w:rFonts w:ascii="Cambria Math" w:eastAsiaTheme="minorEastAsia" w:hAnsi="Cambria Math" w:cs="Times New Roman"/>
                  <w:sz w:val="24"/>
                  <w:szCs w:val="24"/>
                  <w:lang w:val="en-US"/>
                </w:rPr>
                <m:t>R=</m:t>
              </m:r>
            </m:oMath>
            <w:r w:rsidR="008C1C00" w:rsidRPr="003420BC">
              <w:rPr>
                <w:rFonts w:ascii="Times New Roman" w:eastAsiaTheme="minorEastAsia" w:hAnsi="Times New Roman" w:cs="Times New Roman"/>
                <w:sz w:val="24"/>
                <w:szCs w:val="24"/>
                <w:lang w:val="en-US"/>
              </w:rPr>
              <w:t xml:space="preserve">  </w:t>
            </w:r>
            <w:bookmarkStart w:id="9" w:name="_Hlk68131038"/>
            <w:r w:rsidR="006927D8" w:rsidRPr="003420BC">
              <w:rPr>
                <w:rFonts w:ascii="Times New Roman" w:hAnsi="Times New Roman" w:cs="Times New Roman"/>
                <w:sz w:val="24"/>
                <w:szCs w:val="24"/>
                <w:lang w:val="en-US"/>
              </w:rPr>
              <w:t xml:space="preserve">total debts to total assets </w:t>
            </w:r>
            <w:bookmarkEnd w:id="9"/>
            <w:r w:rsidR="00332C6F" w:rsidRPr="003420BC">
              <w:rPr>
                <w:rFonts w:ascii="Times New Roman" w:hAnsi="Times New Roman" w:cs="Times New Roman"/>
                <w:sz w:val="24"/>
                <w:szCs w:val="24"/>
                <w:lang w:val="en-US"/>
              </w:rPr>
              <w:t xml:space="preserve">ratio </w:t>
            </w:r>
            <w:r w:rsidR="006927D8" w:rsidRPr="003420BC">
              <w:rPr>
                <w:rFonts w:ascii="Times New Roman" w:hAnsi="Times New Roman" w:cs="Times New Roman"/>
                <w:sz w:val="24"/>
                <w:szCs w:val="24"/>
                <w:lang w:val="en-US"/>
              </w:rPr>
              <w:t>(i.e., debt-assets ratio)</w:t>
            </w:r>
          </w:p>
        </w:tc>
      </w:tr>
    </w:tbl>
    <w:p w14:paraId="10C95373" w14:textId="77777777" w:rsidR="00AA02D1" w:rsidRPr="00AA02D1" w:rsidRDefault="00AA02D1" w:rsidP="008C1C00">
      <w:pPr>
        <w:rPr>
          <w:rFonts w:ascii="Times New Roman" w:hAnsi="Times New Roman" w:cs="Times New Roman"/>
          <w:sz w:val="4"/>
          <w:szCs w:val="4"/>
        </w:rPr>
      </w:pPr>
    </w:p>
    <w:p w14:paraId="18D62F01" w14:textId="7A763611" w:rsidR="008C1C00" w:rsidRDefault="00AA02D1" w:rsidP="00BA7CEF">
      <w:pPr>
        <w:spacing w:line="240" w:lineRule="auto"/>
        <w:jc w:val="both"/>
        <w:rPr>
          <w:rFonts w:ascii="Times New Roman" w:hAnsi="Times New Roman" w:cs="Times New Roman"/>
          <w:sz w:val="24"/>
          <w:szCs w:val="24"/>
        </w:rPr>
      </w:pPr>
      <w:r w:rsidRPr="00AA02D1">
        <w:rPr>
          <w:rFonts w:ascii="Times New Roman" w:hAnsi="Times New Roman" w:cs="Times New Roman"/>
          <w:sz w:val="24"/>
          <w:szCs w:val="24"/>
        </w:rPr>
        <w:t>There are two reasons which justify the choice of these ratios, at first, their extensive use in practice for the compan</w:t>
      </w:r>
      <w:r>
        <w:rPr>
          <w:rFonts w:ascii="Times New Roman" w:hAnsi="Times New Roman" w:cs="Times New Roman"/>
          <w:sz w:val="24"/>
          <w:szCs w:val="24"/>
        </w:rPr>
        <w:t>ies</w:t>
      </w:r>
      <w:r w:rsidRPr="00AA02D1">
        <w:rPr>
          <w:rFonts w:ascii="Times New Roman" w:hAnsi="Times New Roman" w:cs="Times New Roman"/>
          <w:sz w:val="24"/>
          <w:szCs w:val="24"/>
        </w:rPr>
        <w:t>' financial diagnosis</w:t>
      </w:r>
      <w:r w:rsidR="002E6182">
        <w:rPr>
          <w:rFonts w:ascii="Times New Roman" w:hAnsi="Times New Roman" w:cs="Times New Roman"/>
          <w:sz w:val="24"/>
          <w:szCs w:val="24"/>
        </w:rPr>
        <w:t>,</w:t>
      </w:r>
      <w:r w:rsidRPr="00AA02D1">
        <w:rPr>
          <w:rFonts w:ascii="Times New Roman" w:hAnsi="Times New Roman" w:cs="Times New Roman"/>
          <w:sz w:val="24"/>
          <w:szCs w:val="24"/>
        </w:rPr>
        <w:t xml:space="preserve"> and secondly these ratios have been the subject of</w:t>
      </w:r>
      <w:r>
        <w:rPr>
          <w:rFonts w:ascii="Times New Roman" w:hAnsi="Times New Roman" w:cs="Times New Roman"/>
          <w:sz w:val="24"/>
          <w:szCs w:val="24"/>
        </w:rPr>
        <w:t xml:space="preserve"> </w:t>
      </w:r>
      <w:r w:rsidRPr="00AA02D1">
        <w:rPr>
          <w:rFonts w:ascii="Times New Roman" w:hAnsi="Times New Roman" w:cs="Times New Roman"/>
          <w:sz w:val="24"/>
          <w:szCs w:val="24"/>
        </w:rPr>
        <w:t xml:space="preserve">numerous </w:t>
      </w:r>
      <w:r w:rsidRPr="00AA02D1">
        <w:rPr>
          <w:rFonts w:ascii="Times New Roman" w:hAnsi="Times New Roman" w:cs="Times New Roman"/>
          <w:sz w:val="24"/>
          <w:szCs w:val="24"/>
        </w:rPr>
        <w:lastRenderedPageBreak/>
        <w:t xml:space="preserve">empirical studies which have analyzed the relevance of their informational content regarding the companies' financial health.  </w:t>
      </w:r>
    </w:p>
    <w:p w14:paraId="341EC244" w14:textId="06BBB140" w:rsidR="00610D3E" w:rsidRPr="00BA7CEF" w:rsidRDefault="00610D3E" w:rsidP="00BA7CEF">
      <w:pPr>
        <w:spacing w:line="240" w:lineRule="auto"/>
        <w:jc w:val="both"/>
        <w:rPr>
          <w:rFonts w:ascii="Times New Roman" w:hAnsi="Times New Roman" w:cs="Times New Roman"/>
          <w:b/>
          <w:bCs/>
          <w:sz w:val="28"/>
          <w:szCs w:val="28"/>
        </w:rPr>
      </w:pPr>
      <w:r w:rsidRPr="00BA7CEF">
        <w:rPr>
          <w:rFonts w:ascii="Times New Roman" w:hAnsi="Times New Roman" w:cs="Times New Roman"/>
          <w:b/>
          <w:bCs/>
          <w:sz w:val="28"/>
          <w:szCs w:val="28"/>
        </w:rPr>
        <w:t>3.2. Research hypotheses</w:t>
      </w:r>
    </w:p>
    <w:p w14:paraId="0D70BBE0" w14:textId="71FFFB39" w:rsidR="00A72B1A" w:rsidRDefault="00A72B1A" w:rsidP="00BA7CEF">
      <w:pPr>
        <w:spacing w:line="240" w:lineRule="auto"/>
        <w:jc w:val="both"/>
        <w:rPr>
          <w:rFonts w:ascii="Times New Roman" w:hAnsi="Times New Roman" w:cs="Times New Roman"/>
          <w:sz w:val="24"/>
          <w:szCs w:val="24"/>
        </w:rPr>
      </w:pPr>
      <w:r w:rsidRPr="00A72B1A">
        <w:rPr>
          <w:rFonts w:ascii="Times New Roman" w:hAnsi="Times New Roman" w:cs="Times New Roman"/>
          <w:sz w:val="24"/>
          <w:szCs w:val="24"/>
        </w:rPr>
        <w:t xml:space="preserve">We recall that our aim in this study is to test the existence of a long-run equilibrium relationship (i.e., cointegration relationship) between the operating cash flows to total assets ratio (i.e., CFR) and the four conventional financial ratios which are based on accounting data. The existence of a cointegration relationship between CFR and one of these four conventional financial ratios informs us about the usefulness of the informational content of cash flows in measuring and </w:t>
      </w:r>
      <w:r w:rsidRPr="00A72B1A">
        <w:rPr>
          <w:rFonts w:ascii="Times New Roman" w:hAnsi="Times New Roman" w:cs="Times New Roman"/>
          <w:sz w:val="24"/>
          <w:szCs w:val="24"/>
        </w:rPr>
        <w:t xml:space="preserve">predicting </w:t>
      </w:r>
      <w:r w:rsidR="009E71C1">
        <w:rPr>
          <w:rFonts w:ascii="Times New Roman" w:hAnsi="Times New Roman" w:cs="Times New Roman"/>
          <w:sz w:val="24"/>
          <w:szCs w:val="24"/>
        </w:rPr>
        <w:t xml:space="preserve">one of </w:t>
      </w:r>
      <w:r w:rsidRPr="00A72B1A">
        <w:rPr>
          <w:rFonts w:ascii="Times New Roman" w:hAnsi="Times New Roman" w:cs="Times New Roman"/>
          <w:sz w:val="24"/>
          <w:szCs w:val="24"/>
        </w:rPr>
        <w:t>particular</w:t>
      </w:r>
      <w:r w:rsidRPr="00A72B1A">
        <w:rPr>
          <w:rFonts w:ascii="Times New Roman" w:hAnsi="Times New Roman" w:cs="Times New Roman"/>
          <w:sz w:val="24"/>
          <w:szCs w:val="24"/>
        </w:rPr>
        <w:t xml:space="preserve"> aspect</w:t>
      </w:r>
      <w:r w:rsidR="009E71C1">
        <w:rPr>
          <w:rFonts w:ascii="Times New Roman" w:hAnsi="Times New Roman" w:cs="Times New Roman"/>
          <w:sz w:val="24"/>
          <w:szCs w:val="24"/>
        </w:rPr>
        <w:t>s</w:t>
      </w:r>
      <w:r w:rsidRPr="00A72B1A">
        <w:rPr>
          <w:rFonts w:ascii="Times New Roman" w:hAnsi="Times New Roman" w:cs="Times New Roman"/>
          <w:sz w:val="24"/>
          <w:szCs w:val="24"/>
        </w:rPr>
        <w:t xml:space="preserve"> of a companies' financial health, namely liquidity, operational efficiency, profitability, and solvency.  Thus, we test the following four research hypotheses: </w:t>
      </w:r>
    </w:p>
    <w:p w14:paraId="44FF58AE" w14:textId="698AD094" w:rsidR="00707464" w:rsidRPr="00770A43" w:rsidRDefault="00707464"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-Hypothesis 1 (H1):  operating cash flow to total assets ratio (CFR) and working capital to total assets ratio (LIQR) are cointegrated.</w:t>
      </w:r>
    </w:p>
    <w:p w14:paraId="081285A9" w14:textId="6DDD8902" w:rsidR="00707464" w:rsidRPr="00770A43" w:rsidRDefault="00707464"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 xml:space="preserve">The empirical validation of Hypothesis 1 means that the informational content of cash flows </w:t>
      </w:r>
      <w:r w:rsidR="00770A43" w:rsidRPr="00770A43">
        <w:rPr>
          <w:rFonts w:ascii="Times New Roman" w:hAnsi="Times New Roman" w:cs="Times New Roman"/>
          <w:sz w:val="24"/>
          <w:szCs w:val="24"/>
        </w:rPr>
        <w:t>has</w:t>
      </w:r>
      <w:r w:rsidRPr="00770A43">
        <w:rPr>
          <w:rFonts w:ascii="Times New Roman" w:hAnsi="Times New Roman" w:cs="Times New Roman"/>
          <w:sz w:val="24"/>
          <w:szCs w:val="24"/>
        </w:rPr>
        <w:t xml:space="preserve"> a relevant explanatory power regarding companies' liquidity.</w:t>
      </w:r>
    </w:p>
    <w:p w14:paraId="6E8E1E36" w14:textId="39994426" w:rsidR="00770A43" w:rsidRPr="00770A43" w:rsidRDefault="00770A43"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-Hypothesis 2 (H2):  operating cash flow to total assets ratio (CFR) and sales to total assets ratio (EFFR) are cointegrated.</w:t>
      </w:r>
    </w:p>
    <w:p w14:paraId="5D29EA90" w14:textId="6491F236" w:rsidR="00770A43" w:rsidRPr="00770A43" w:rsidRDefault="00770A43"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 xml:space="preserve">The empirical validation of Hypothesis 2 means that the informational content of cash flows has a relevant explanatory power regarding companies' </w:t>
      </w:r>
      <w:r w:rsidR="00CC27C3">
        <w:rPr>
          <w:rFonts w:ascii="Times New Roman" w:hAnsi="Times New Roman" w:cs="Times New Roman"/>
          <w:sz w:val="24"/>
          <w:szCs w:val="24"/>
        </w:rPr>
        <w:t xml:space="preserve">operational </w:t>
      </w:r>
      <w:r w:rsidRPr="00770A43">
        <w:rPr>
          <w:rFonts w:ascii="Times New Roman" w:hAnsi="Times New Roman" w:cs="Times New Roman"/>
          <w:sz w:val="24"/>
          <w:szCs w:val="24"/>
        </w:rPr>
        <w:t>efficiency.</w:t>
      </w:r>
    </w:p>
    <w:p w14:paraId="75A3F7BB" w14:textId="5EB6E521" w:rsidR="00770A43" w:rsidRPr="00770A43" w:rsidRDefault="00770A43"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-Hypothesis 3 (H3):  operating cash flow to total assets ratio (CFR) and net income to total assets ratio (PROR) are cointegrated.</w:t>
      </w:r>
    </w:p>
    <w:p w14:paraId="2E63A770" w14:textId="5DEB9EE4" w:rsidR="00770A43" w:rsidRPr="00770A43" w:rsidRDefault="00770A43"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The empirical validation of Hypothesis 3 means that the informational content of cash flows has a relevant explanatory power regarding companies' profitability.</w:t>
      </w:r>
    </w:p>
    <w:p w14:paraId="1337DDB3" w14:textId="5506F1EE" w:rsidR="00770A43" w:rsidRPr="00770A43" w:rsidRDefault="00770A43"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-Hypothesis 4 (H4):  operating cash flow to total assets ratio (CFR) and total debts to total assets</w:t>
      </w:r>
      <w:r>
        <w:rPr>
          <w:rFonts w:ascii="Times New Roman" w:hAnsi="Times New Roman" w:cs="Times New Roman"/>
          <w:sz w:val="24"/>
          <w:szCs w:val="24"/>
        </w:rPr>
        <w:t xml:space="preserve"> ratio</w:t>
      </w:r>
      <w:r w:rsidRPr="00770A43">
        <w:rPr>
          <w:rFonts w:ascii="Times New Roman" w:hAnsi="Times New Roman" w:cs="Times New Roman"/>
          <w:sz w:val="24"/>
          <w:szCs w:val="24"/>
        </w:rPr>
        <w:t xml:space="preserve"> (</w:t>
      </w:r>
      <w:r w:rsidR="00414040">
        <w:rPr>
          <w:rFonts w:ascii="Times New Roman" w:hAnsi="Times New Roman" w:cs="Times New Roman"/>
          <w:sz w:val="24"/>
          <w:szCs w:val="24"/>
        </w:rPr>
        <w:t>SOL</w:t>
      </w:r>
      <w:r>
        <w:rPr>
          <w:rFonts w:ascii="Times New Roman" w:hAnsi="Times New Roman" w:cs="Times New Roman"/>
          <w:sz w:val="24"/>
          <w:szCs w:val="24"/>
        </w:rPr>
        <w:t>R</w:t>
      </w:r>
      <w:r w:rsidRPr="00770A43">
        <w:rPr>
          <w:rFonts w:ascii="Times New Roman" w:hAnsi="Times New Roman" w:cs="Times New Roman"/>
          <w:sz w:val="24"/>
          <w:szCs w:val="24"/>
        </w:rPr>
        <w:t>) are cointegrated.</w:t>
      </w:r>
    </w:p>
    <w:p w14:paraId="6140D98B" w14:textId="2C877619" w:rsidR="00770A43" w:rsidRDefault="00770A43" w:rsidP="00BA7CEF">
      <w:pPr>
        <w:spacing w:line="240" w:lineRule="auto"/>
        <w:jc w:val="both"/>
        <w:rPr>
          <w:rFonts w:ascii="Times New Roman" w:hAnsi="Times New Roman" w:cs="Times New Roman"/>
          <w:sz w:val="24"/>
          <w:szCs w:val="24"/>
        </w:rPr>
      </w:pPr>
      <w:r w:rsidRPr="00770A43">
        <w:rPr>
          <w:rFonts w:ascii="Times New Roman" w:hAnsi="Times New Roman" w:cs="Times New Roman"/>
          <w:sz w:val="24"/>
          <w:szCs w:val="24"/>
        </w:rPr>
        <w:t xml:space="preserve">The empirical validation of Hypothesis </w:t>
      </w:r>
      <w:r>
        <w:rPr>
          <w:rFonts w:ascii="Times New Roman" w:hAnsi="Times New Roman" w:cs="Times New Roman"/>
          <w:sz w:val="24"/>
          <w:szCs w:val="24"/>
        </w:rPr>
        <w:t>4</w:t>
      </w:r>
      <w:r w:rsidRPr="00770A43">
        <w:rPr>
          <w:rFonts w:ascii="Times New Roman" w:hAnsi="Times New Roman" w:cs="Times New Roman"/>
          <w:sz w:val="24"/>
          <w:szCs w:val="24"/>
        </w:rPr>
        <w:t xml:space="preserve"> means that the informational content of cash flows has a relevant explanatory power regarding </w:t>
      </w:r>
      <w:r w:rsidR="00414040" w:rsidRPr="00770A43">
        <w:rPr>
          <w:rFonts w:ascii="Times New Roman" w:hAnsi="Times New Roman" w:cs="Times New Roman"/>
          <w:sz w:val="24"/>
          <w:szCs w:val="24"/>
        </w:rPr>
        <w:t xml:space="preserve">companies' </w:t>
      </w:r>
      <w:r w:rsidR="00414040">
        <w:rPr>
          <w:rFonts w:ascii="Times New Roman" w:hAnsi="Times New Roman" w:cs="Times New Roman"/>
          <w:sz w:val="24"/>
          <w:szCs w:val="24"/>
        </w:rPr>
        <w:t>solvency</w:t>
      </w:r>
      <w:r w:rsidR="00414040" w:rsidRPr="00770A43">
        <w:rPr>
          <w:rFonts w:ascii="Times New Roman" w:hAnsi="Times New Roman" w:cs="Times New Roman"/>
          <w:sz w:val="24"/>
          <w:szCs w:val="24"/>
        </w:rPr>
        <w:t>.</w:t>
      </w:r>
    </w:p>
    <w:p w14:paraId="1E1859BE" w14:textId="77777777" w:rsidR="00BA7CEF" w:rsidRPr="00BA7CEF" w:rsidRDefault="00BA7CEF" w:rsidP="00BA7CEF">
      <w:pPr>
        <w:spacing w:line="240" w:lineRule="auto"/>
        <w:jc w:val="both"/>
        <w:rPr>
          <w:rFonts w:ascii="Times New Roman" w:hAnsi="Times New Roman" w:cs="Times New Roman"/>
          <w:sz w:val="6"/>
          <w:szCs w:val="6"/>
        </w:rPr>
      </w:pPr>
    </w:p>
    <w:p w14:paraId="03795131" w14:textId="5A6DD578" w:rsidR="00650B6D" w:rsidRPr="00BA7CEF" w:rsidRDefault="00650B6D" w:rsidP="00BA7CEF">
      <w:pPr>
        <w:spacing w:line="240" w:lineRule="auto"/>
        <w:jc w:val="both"/>
        <w:rPr>
          <w:rFonts w:ascii="Times New Roman" w:hAnsi="Times New Roman" w:cs="Times New Roman"/>
          <w:b/>
          <w:bCs/>
          <w:sz w:val="28"/>
          <w:szCs w:val="28"/>
        </w:rPr>
      </w:pPr>
      <w:r w:rsidRPr="00BA7CEF">
        <w:rPr>
          <w:rFonts w:ascii="Times New Roman" w:hAnsi="Times New Roman" w:cs="Times New Roman"/>
          <w:b/>
          <w:bCs/>
          <w:sz w:val="28"/>
          <w:szCs w:val="28"/>
        </w:rPr>
        <w:t>3.3. Study data: Sample and period</w:t>
      </w:r>
    </w:p>
    <w:p w14:paraId="5291228F" w14:textId="1BA60128" w:rsidR="00451ED3" w:rsidRDefault="00650B6D" w:rsidP="00BA7CEF">
      <w:pPr>
        <w:spacing w:line="240" w:lineRule="auto"/>
        <w:jc w:val="both"/>
      </w:pPr>
      <w:r w:rsidRPr="00650B6D">
        <w:rPr>
          <w:rFonts w:ascii="Times New Roman" w:hAnsi="Times New Roman" w:cs="Times New Roman"/>
          <w:sz w:val="24"/>
          <w:szCs w:val="24"/>
        </w:rPr>
        <w:t>The stationarity and cointegration tests on panel data require a minimum of homogeneity to reach robust results. It is for this reason that we have taken this particularity into account when constructing our study sample which is composed of 150 American companies. More specifically, we have opted for a sample that is homogeneous in terms of the size and the life cycle of the compan</w:t>
      </w:r>
      <w:r w:rsidR="0069434E">
        <w:rPr>
          <w:rFonts w:ascii="Times New Roman" w:hAnsi="Times New Roman" w:cs="Times New Roman"/>
          <w:sz w:val="24"/>
          <w:szCs w:val="24"/>
        </w:rPr>
        <w:t>y</w:t>
      </w:r>
      <w:r w:rsidRPr="00650B6D">
        <w:rPr>
          <w:rFonts w:ascii="Times New Roman" w:hAnsi="Times New Roman" w:cs="Times New Roman"/>
          <w:sz w:val="24"/>
          <w:szCs w:val="24"/>
        </w:rPr>
        <w:t>.</w:t>
      </w:r>
      <w:r w:rsidR="00E946BA" w:rsidRPr="00E946BA">
        <w:t xml:space="preserve"> </w:t>
      </w:r>
      <w:r w:rsidR="00E946BA" w:rsidRPr="00E946BA">
        <w:rPr>
          <w:rFonts w:ascii="Times New Roman" w:hAnsi="Times New Roman" w:cs="Times New Roman"/>
          <w:sz w:val="24"/>
          <w:szCs w:val="24"/>
        </w:rPr>
        <w:t xml:space="preserve">Indeed, several studies have found that the explanatory power of financial indicators varies depending on the size of the company. The results of these studies have shown the irrelevance of the explanatory and predictive power of </w:t>
      </w:r>
      <w:r w:rsidR="0069434E" w:rsidRPr="00E946BA">
        <w:rPr>
          <w:rFonts w:ascii="Times New Roman" w:hAnsi="Times New Roman" w:cs="Times New Roman"/>
          <w:sz w:val="24"/>
          <w:szCs w:val="24"/>
        </w:rPr>
        <w:t>some</w:t>
      </w:r>
      <w:r w:rsidR="00E946BA" w:rsidRPr="00E946BA">
        <w:rPr>
          <w:rFonts w:ascii="Times New Roman" w:hAnsi="Times New Roman" w:cs="Times New Roman"/>
          <w:sz w:val="24"/>
          <w:szCs w:val="24"/>
        </w:rPr>
        <w:t xml:space="preserve"> financial indicators regarding the performance of large companies. This is explained by the fact that the financial market already has a lot of information about these companies even before the disclosure of the</w:t>
      </w:r>
      <w:r w:rsidR="00E946BA">
        <w:rPr>
          <w:rFonts w:ascii="Times New Roman" w:hAnsi="Times New Roman" w:cs="Times New Roman"/>
          <w:sz w:val="24"/>
          <w:szCs w:val="24"/>
        </w:rPr>
        <w:t>ir</w:t>
      </w:r>
      <w:r w:rsidR="00E946BA" w:rsidRPr="00E946BA">
        <w:rPr>
          <w:rFonts w:ascii="Times New Roman" w:hAnsi="Times New Roman" w:cs="Times New Roman"/>
          <w:sz w:val="24"/>
          <w:szCs w:val="24"/>
        </w:rPr>
        <w:t xml:space="preserve"> financial indicators. </w:t>
      </w:r>
      <w:r w:rsidR="00E946BA" w:rsidRPr="00E946BA">
        <w:rPr>
          <w:rFonts w:ascii="Times New Roman" w:hAnsi="Times New Roman" w:cs="Times New Roman"/>
          <w:sz w:val="24"/>
          <w:szCs w:val="24"/>
        </w:rPr>
        <w:lastRenderedPageBreak/>
        <w:t>Contrariwise, in the case of small companies, these same financial indicators have relevant informational content to explain and predict their financial health. Therefore, in this article we are only interested in small companies and so the sample will be homogeneous in terms of company size.</w:t>
      </w:r>
      <w:r w:rsidR="00E946BA" w:rsidRPr="00E946BA">
        <w:t xml:space="preserve"> </w:t>
      </w:r>
    </w:p>
    <w:p w14:paraId="05C3960C" w14:textId="0630A422" w:rsidR="00444AAA" w:rsidRDefault="00E946BA" w:rsidP="00BA7CEF">
      <w:pPr>
        <w:spacing w:line="240" w:lineRule="auto"/>
        <w:jc w:val="both"/>
        <w:rPr>
          <w:rFonts w:ascii="Times New Roman" w:hAnsi="Times New Roman" w:cs="Times New Roman"/>
          <w:sz w:val="24"/>
          <w:szCs w:val="24"/>
        </w:rPr>
      </w:pPr>
      <w:r w:rsidRPr="00E946BA">
        <w:rPr>
          <w:rFonts w:ascii="Times New Roman" w:hAnsi="Times New Roman" w:cs="Times New Roman"/>
          <w:sz w:val="24"/>
          <w:szCs w:val="24"/>
        </w:rPr>
        <w:t>Regarding the life</w:t>
      </w:r>
      <w:r w:rsidR="005D6BA7">
        <w:rPr>
          <w:rFonts w:ascii="Times New Roman" w:hAnsi="Times New Roman" w:cs="Times New Roman"/>
          <w:sz w:val="24"/>
          <w:szCs w:val="24"/>
        </w:rPr>
        <w:t xml:space="preserve"> </w:t>
      </w:r>
      <w:r w:rsidRPr="00E946BA">
        <w:rPr>
          <w:rFonts w:ascii="Times New Roman" w:hAnsi="Times New Roman" w:cs="Times New Roman"/>
          <w:sz w:val="24"/>
          <w:szCs w:val="24"/>
        </w:rPr>
        <w:t>cycle, we know that companies have their own life</w:t>
      </w:r>
      <w:r w:rsidR="005D6BA7">
        <w:rPr>
          <w:rFonts w:ascii="Times New Roman" w:hAnsi="Times New Roman" w:cs="Times New Roman"/>
          <w:sz w:val="24"/>
          <w:szCs w:val="24"/>
        </w:rPr>
        <w:t xml:space="preserve"> </w:t>
      </w:r>
      <w:r w:rsidRPr="00E946BA">
        <w:rPr>
          <w:rFonts w:ascii="Times New Roman" w:hAnsi="Times New Roman" w:cs="Times New Roman"/>
          <w:sz w:val="24"/>
          <w:szCs w:val="24"/>
        </w:rPr>
        <w:t>cycle and go through the following four phases: start-up, growth, maturity, and decline. Each of the four phases has different characteristics in terms of funding needs</w:t>
      </w:r>
      <w:r w:rsidR="0069434E">
        <w:rPr>
          <w:rFonts w:ascii="Times New Roman" w:hAnsi="Times New Roman" w:cs="Times New Roman"/>
          <w:sz w:val="24"/>
          <w:szCs w:val="24"/>
        </w:rPr>
        <w:t>,</w:t>
      </w:r>
      <w:r w:rsidRPr="00E946BA">
        <w:rPr>
          <w:rFonts w:ascii="Times New Roman" w:hAnsi="Times New Roman" w:cs="Times New Roman"/>
          <w:sz w:val="24"/>
          <w:szCs w:val="24"/>
        </w:rPr>
        <w:t xml:space="preserve"> stability of equity, </w:t>
      </w:r>
      <w:r w:rsidR="00451ED3" w:rsidRPr="00E946BA">
        <w:rPr>
          <w:rFonts w:ascii="Times New Roman" w:hAnsi="Times New Roman" w:cs="Times New Roman"/>
          <w:sz w:val="24"/>
          <w:szCs w:val="24"/>
        </w:rPr>
        <w:t>risk,</w:t>
      </w:r>
      <w:r w:rsidRPr="00E946BA">
        <w:rPr>
          <w:rFonts w:ascii="Times New Roman" w:hAnsi="Times New Roman" w:cs="Times New Roman"/>
          <w:sz w:val="24"/>
          <w:szCs w:val="24"/>
        </w:rPr>
        <w:t xml:space="preserve"> and results. In the maturity phase, companies have made most of their profitable investments. As a result, their growth opportunities are relatively low as well as their risk. In addition, during the maturity phase, the equity and their costs are more </w:t>
      </w:r>
      <w:r w:rsidR="00A0511A" w:rsidRPr="00E946BA">
        <w:rPr>
          <w:rFonts w:ascii="Times New Roman" w:hAnsi="Times New Roman" w:cs="Times New Roman"/>
          <w:sz w:val="24"/>
          <w:szCs w:val="24"/>
        </w:rPr>
        <w:t>stable,</w:t>
      </w:r>
      <w:r w:rsidRPr="00E946BA">
        <w:rPr>
          <w:rFonts w:ascii="Times New Roman" w:hAnsi="Times New Roman" w:cs="Times New Roman"/>
          <w:sz w:val="24"/>
          <w:szCs w:val="24"/>
        </w:rPr>
        <w:t xml:space="preserve"> and companies </w:t>
      </w:r>
      <w:r w:rsidR="00A0511A" w:rsidRPr="00E946BA">
        <w:rPr>
          <w:rFonts w:ascii="Times New Roman" w:hAnsi="Times New Roman" w:cs="Times New Roman"/>
          <w:sz w:val="24"/>
          <w:szCs w:val="24"/>
        </w:rPr>
        <w:t>can</w:t>
      </w:r>
      <w:r w:rsidRPr="00E946BA">
        <w:rPr>
          <w:rFonts w:ascii="Times New Roman" w:hAnsi="Times New Roman" w:cs="Times New Roman"/>
          <w:sz w:val="24"/>
          <w:szCs w:val="24"/>
        </w:rPr>
        <w:t xml:space="preserve"> distribute a significant portion of their profits (</w:t>
      </w:r>
      <w:r w:rsidR="00A0511A" w:rsidRPr="00E946BA">
        <w:rPr>
          <w:rFonts w:ascii="Times New Roman" w:hAnsi="Times New Roman" w:cs="Times New Roman"/>
          <w:sz w:val="24"/>
          <w:szCs w:val="24"/>
        </w:rPr>
        <w:t>i.e.,</w:t>
      </w:r>
      <w:r w:rsidRPr="00E946BA">
        <w:rPr>
          <w:rFonts w:ascii="Times New Roman" w:hAnsi="Times New Roman" w:cs="Times New Roman"/>
          <w:sz w:val="24"/>
          <w:szCs w:val="24"/>
        </w:rPr>
        <w:t xml:space="preserve"> dividends) to their shareholders.</w:t>
      </w:r>
      <w:r w:rsidR="00451ED3">
        <w:rPr>
          <w:rFonts w:ascii="Times New Roman" w:hAnsi="Times New Roman" w:cs="Times New Roman"/>
          <w:sz w:val="24"/>
          <w:szCs w:val="24"/>
        </w:rPr>
        <w:t xml:space="preserve"> </w:t>
      </w:r>
      <w:r w:rsidR="00451ED3" w:rsidRPr="00451ED3">
        <w:rPr>
          <w:rFonts w:ascii="Times New Roman" w:hAnsi="Times New Roman" w:cs="Times New Roman"/>
          <w:sz w:val="24"/>
          <w:szCs w:val="24"/>
        </w:rPr>
        <w:t>Thus, as companies grow and reach maturity, their accounting results and risk exposure follow trends that are not difficult to predict by investors on financial markets.</w:t>
      </w:r>
      <w:r w:rsidR="00451ED3">
        <w:rPr>
          <w:rFonts w:ascii="Times New Roman" w:hAnsi="Times New Roman" w:cs="Times New Roman"/>
          <w:sz w:val="24"/>
          <w:szCs w:val="24"/>
        </w:rPr>
        <w:t xml:space="preserve"> </w:t>
      </w:r>
    </w:p>
    <w:p w14:paraId="170C76E7" w14:textId="49EC3508" w:rsidR="006C1DAA" w:rsidRDefault="00451ED3" w:rsidP="00BA7CEF">
      <w:pPr>
        <w:spacing w:line="240" w:lineRule="auto"/>
        <w:jc w:val="both"/>
        <w:rPr>
          <w:rFonts w:ascii="Times New Roman" w:hAnsi="Times New Roman" w:cs="Times New Roman"/>
          <w:sz w:val="24"/>
          <w:szCs w:val="24"/>
        </w:rPr>
      </w:pPr>
      <w:r w:rsidRPr="00451ED3">
        <w:rPr>
          <w:rFonts w:ascii="Times New Roman" w:hAnsi="Times New Roman" w:cs="Times New Roman"/>
          <w:sz w:val="24"/>
          <w:szCs w:val="24"/>
        </w:rPr>
        <w:t>However, in the start-up or growth phases, the activity of the company is in full expansion, the growth opportunities are important and the risk and the capital which are used to finance the investment projects are relatively higher and unstable. As a result, the accounting results and risk exposure of companies during these two phases are difficult to predict. For this reason, in this study, we are only interested in companies that are in the</w:t>
      </w:r>
      <w:r>
        <w:rPr>
          <w:rFonts w:ascii="Times New Roman" w:hAnsi="Times New Roman" w:cs="Times New Roman"/>
          <w:sz w:val="24"/>
          <w:szCs w:val="24"/>
        </w:rPr>
        <w:t>ir</w:t>
      </w:r>
      <w:r w:rsidRPr="00451ED3">
        <w:rPr>
          <w:rFonts w:ascii="Times New Roman" w:hAnsi="Times New Roman" w:cs="Times New Roman"/>
          <w:sz w:val="24"/>
          <w:szCs w:val="24"/>
        </w:rPr>
        <w:t xml:space="preserve"> maturity phase and so the sample will also be homogeneous in terms of </w:t>
      </w:r>
      <w:r w:rsidR="005D6BA7">
        <w:rPr>
          <w:rFonts w:ascii="Times New Roman" w:hAnsi="Times New Roman" w:cs="Times New Roman"/>
          <w:sz w:val="24"/>
          <w:szCs w:val="24"/>
        </w:rPr>
        <w:t xml:space="preserve">company’s </w:t>
      </w:r>
      <w:r w:rsidRPr="00451ED3">
        <w:rPr>
          <w:rFonts w:ascii="Times New Roman" w:hAnsi="Times New Roman" w:cs="Times New Roman"/>
          <w:sz w:val="24"/>
          <w:szCs w:val="24"/>
        </w:rPr>
        <w:t>life cycle</w:t>
      </w:r>
      <w:r w:rsidR="006257C5">
        <w:rPr>
          <w:rFonts w:ascii="Times New Roman" w:hAnsi="Times New Roman" w:cs="Times New Roman"/>
          <w:sz w:val="24"/>
          <w:szCs w:val="24"/>
        </w:rPr>
        <w:t xml:space="preserve">. </w:t>
      </w:r>
    </w:p>
    <w:p w14:paraId="66DE05B7" w14:textId="2F4C23F7" w:rsidR="00770A43" w:rsidRDefault="00451ED3" w:rsidP="00BA7CEF">
      <w:pPr>
        <w:spacing w:line="240" w:lineRule="auto"/>
        <w:jc w:val="both"/>
        <w:rPr>
          <w:rFonts w:ascii="Times New Roman" w:hAnsi="Times New Roman" w:cs="Times New Roman"/>
          <w:sz w:val="24"/>
          <w:szCs w:val="24"/>
        </w:rPr>
      </w:pPr>
      <w:r w:rsidRPr="00451ED3">
        <w:rPr>
          <w:rFonts w:ascii="Times New Roman" w:hAnsi="Times New Roman" w:cs="Times New Roman"/>
          <w:sz w:val="24"/>
          <w:szCs w:val="24"/>
        </w:rPr>
        <w:t xml:space="preserve">As a result, we have built a homogeneous sample which includes small companies which are in their phase of maturity. More specifically, the study sample was formed according to the following </w:t>
      </w:r>
      <w:r w:rsidR="009C7007">
        <w:rPr>
          <w:rFonts w:ascii="Times New Roman" w:hAnsi="Times New Roman" w:cs="Times New Roman"/>
          <w:sz w:val="24"/>
          <w:szCs w:val="24"/>
        </w:rPr>
        <w:t xml:space="preserve">five </w:t>
      </w:r>
      <w:r w:rsidRPr="00451ED3">
        <w:rPr>
          <w:rFonts w:ascii="Times New Roman" w:hAnsi="Times New Roman" w:cs="Times New Roman"/>
          <w:sz w:val="24"/>
          <w:szCs w:val="24"/>
        </w:rPr>
        <w:t>steps:</w:t>
      </w:r>
    </w:p>
    <w:p w14:paraId="65F8881E" w14:textId="4355E349" w:rsidR="00D945B2" w:rsidRPr="00D945B2" w:rsidRDefault="00D945B2" w:rsidP="00BA7CEF">
      <w:pPr>
        <w:spacing w:line="240" w:lineRule="auto"/>
        <w:jc w:val="both"/>
        <w:rPr>
          <w:rFonts w:ascii="Times New Roman" w:hAnsi="Times New Roman" w:cs="Times New Roman"/>
          <w:sz w:val="24"/>
          <w:szCs w:val="24"/>
        </w:rPr>
      </w:pPr>
      <w:r w:rsidRPr="00D945B2">
        <w:rPr>
          <w:rFonts w:ascii="Times New Roman" w:hAnsi="Times New Roman" w:cs="Times New Roman"/>
          <w:i/>
          <w:iCs/>
          <w:sz w:val="24"/>
          <w:szCs w:val="24"/>
        </w:rPr>
        <w:t>Step 1:</w:t>
      </w:r>
      <w:r w:rsidRPr="00D945B2">
        <w:rPr>
          <w:rFonts w:ascii="Times New Roman" w:hAnsi="Times New Roman" w:cs="Times New Roman"/>
          <w:sz w:val="24"/>
          <w:szCs w:val="24"/>
        </w:rPr>
        <w:t xml:space="preserve"> We have set study period over 8 years, namely from 2010 to 2017 with annual-frequency data.</w:t>
      </w:r>
    </w:p>
    <w:p w14:paraId="0A8ACED4" w14:textId="309FC928" w:rsidR="00D945B2" w:rsidRPr="00D945B2" w:rsidRDefault="00D945B2" w:rsidP="00BA7CEF">
      <w:pPr>
        <w:spacing w:line="240" w:lineRule="auto"/>
        <w:jc w:val="both"/>
        <w:rPr>
          <w:rFonts w:ascii="Times New Roman" w:hAnsi="Times New Roman" w:cs="Times New Roman"/>
          <w:sz w:val="24"/>
          <w:szCs w:val="24"/>
        </w:rPr>
      </w:pPr>
      <w:r w:rsidRPr="00D945B2">
        <w:rPr>
          <w:rFonts w:ascii="Times New Roman" w:hAnsi="Times New Roman" w:cs="Times New Roman"/>
          <w:i/>
          <w:iCs/>
          <w:sz w:val="24"/>
          <w:szCs w:val="24"/>
        </w:rPr>
        <w:t>Step 2:</w:t>
      </w:r>
      <w:r w:rsidRPr="00D945B2">
        <w:rPr>
          <w:rFonts w:ascii="Times New Roman" w:hAnsi="Times New Roman" w:cs="Times New Roman"/>
          <w:sz w:val="24"/>
          <w:szCs w:val="24"/>
        </w:rPr>
        <w:t xml:space="preserve"> From the C</w:t>
      </w:r>
      <w:r w:rsidR="005D6BA7">
        <w:rPr>
          <w:rFonts w:ascii="Times New Roman" w:hAnsi="Times New Roman" w:cs="Times New Roman"/>
          <w:sz w:val="24"/>
          <w:szCs w:val="24"/>
        </w:rPr>
        <w:t>ompustat</w:t>
      </w:r>
      <w:r w:rsidRPr="00D945B2">
        <w:rPr>
          <w:rFonts w:ascii="Times New Roman" w:hAnsi="Times New Roman" w:cs="Times New Roman"/>
          <w:sz w:val="24"/>
          <w:szCs w:val="24"/>
        </w:rPr>
        <w:t xml:space="preserve"> database, we have selected all </w:t>
      </w:r>
      <w:r w:rsidR="009C7007">
        <w:rPr>
          <w:rFonts w:ascii="Times New Roman" w:hAnsi="Times New Roman" w:cs="Times New Roman"/>
          <w:sz w:val="24"/>
          <w:szCs w:val="24"/>
        </w:rPr>
        <w:t xml:space="preserve">American </w:t>
      </w:r>
      <w:r w:rsidRPr="00D945B2">
        <w:rPr>
          <w:rFonts w:ascii="Times New Roman" w:hAnsi="Times New Roman" w:cs="Times New Roman"/>
          <w:sz w:val="24"/>
          <w:szCs w:val="24"/>
        </w:rPr>
        <w:t xml:space="preserve">companies that have </w:t>
      </w:r>
      <w:r w:rsidR="005D6BA7">
        <w:rPr>
          <w:rFonts w:ascii="Times New Roman" w:hAnsi="Times New Roman" w:cs="Times New Roman"/>
          <w:sz w:val="24"/>
          <w:szCs w:val="24"/>
        </w:rPr>
        <w:t>t</w:t>
      </w:r>
      <w:r w:rsidR="005D6BA7" w:rsidRPr="00D945B2">
        <w:rPr>
          <w:rFonts w:ascii="Times New Roman" w:hAnsi="Times New Roman" w:cs="Times New Roman"/>
          <w:sz w:val="24"/>
          <w:szCs w:val="24"/>
        </w:rPr>
        <w:t xml:space="preserve">otal </w:t>
      </w:r>
      <w:r w:rsidR="005D6BA7">
        <w:rPr>
          <w:rFonts w:ascii="Times New Roman" w:hAnsi="Times New Roman" w:cs="Times New Roman"/>
          <w:sz w:val="24"/>
          <w:szCs w:val="24"/>
        </w:rPr>
        <w:t>a</w:t>
      </w:r>
      <w:r w:rsidR="005D6BA7" w:rsidRPr="00D945B2">
        <w:rPr>
          <w:rFonts w:ascii="Times New Roman" w:hAnsi="Times New Roman" w:cs="Times New Roman"/>
          <w:sz w:val="24"/>
          <w:szCs w:val="24"/>
        </w:rPr>
        <w:t>sset</w:t>
      </w:r>
      <w:r w:rsidR="005D6BA7">
        <w:rPr>
          <w:rFonts w:ascii="Times New Roman" w:hAnsi="Times New Roman" w:cs="Times New Roman"/>
          <w:sz w:val="24"/>
          <w:szCs w:val="24"/>
        </w:rPr>
        <w:t>s</w:t>
      </w:r>
      <w:r w:rsidRPr="00D945B2">
        <w:rPr>
          <w:rFonts w:ascii="Times New Roman" w:hAnsi="Times New Roman" w:cs="Times New Roman"/>
          <w:sz w:val="24"/>
          <w:szCs w:val="24"/>
        </w:rPr>
        <w:t xml:space="preserve"> lower than the median of the average total assets over the entire period. Thereafter, we have considered </w:t>
      </w:r>
      <w:r>
        <w:rPr>
          <w:rFonts w:ascii="Times New Roman" w:hAnsi="Times New Roman" w:cs="Times New Roman"/>
          <w:sz w:val="24"/>
          <w:szCs w:val="24"/>
        </w:rPr>
        <w:t>t</w:t>
      </w:r>
      <w:r w:rsidRPr="00D945B2">
        <w:rPr>
          <w:rFonts w:ascii="Times New Roman" w:hAnsi="Times New Roman" w:cs="Times New Roman"/>
          <w:sz w:val="24"/>
          <w:szCs w:val="24"/>
        </w:rPr>
        <w:t xml:space="preserve">hese companies </w:t>
      </w:r>
      <w:r>
        <w:rPr>
          <w:rFonts w:ascii="Times New Roman" w:hAnsi="Times New Roman" w:cs="Times New Roman"/>
          <w:sz w:val="24"/>
          <w:szCs w:val="24"/>
        </w:rPr>
        <w:t xml:space="preserve">as </w:t>
      </w:r>
      <w:r w:rsidRPr="00D945B2">
        <w:rPr>
          <w:rFonts w:ascii="Times New Roman" w:hAnsi="Times New Roman" w:cs="Times New Roman"/>
          <w:sz w:val="24"/>
          <w:szCs w:val="24"/>
        </w:rPr>
        <w:t>were small.</w:t>
      </w:r>
    </w:p>
    <w:p w14:paraId="17136B09" w14:textId="4395E65D" w:rsidR="00D945B2" w:rsidRDefault="00D945B2" w:rsidP="003420BC">
      <w:pPr>
        <w:spacing w:line="240" w:lineRule="auto"/>
        <w:jc w:val="both"/>
        <w:rPr>
          <w:rFonts w:ascii="Times New Roman" w:hAnsi="Times New Roman" w:cs="Times New Roman"/>
          <w:sz w:val="24"/>
          <w:szCs w:val="24"/>
        </w:rPr>
      </w:pPr>
      <w:r w:rsidRPr="00D945B2">
        <w:rPr>
          <w:rFonts w:ascii="Times New Roman" w:hAnsi="Times New Roman" w:cs="Times New Roman"/>
          <w:i/>
          <w:iCs/>
          <w:sz w:val="24"/>
          <w:szCs w:val="24"/>
        </w:rPr>
        <w:t>Step 3</w:t>
      </w:r>
      <w:r w:rsidRPr="00D945B2">
        <w:rPr>
          <w:rFonts w:ascii="Times New Roman" w:hAnsi="Times New Roman" w:cs="Times New Roman"/>
          <w:sz w:val="24"/>
          <w:szCs w:val="24"/>
        </w:rPr>
        <w:t>: We have selected all companies that have been in business for 15 years in 2010. Afterwards, we have considered these companies as were in their maturity phase.</w:t>
      </w:r>
    </w:p>
    <w:p w14:paraId="7CB6BCFC" w14:textId="77777777" w:rsidR="009C7007" w:rsidRPr="009C7007" w:rsidRDefault="009C7007" w:rsidP="003420BC">
      <w:pPr>
        <w:spacing w:line="240" w:lineRule="auto"/>
        <w:jc w:val="both"/>
        <w:rPr>
          <w:rFonts w:ascii="Times New Roman" w:hAnsi="Times New Roman" w:cs="Times New Roman"/>
          <w:sz w:val="24"/>
          <w:szCs w:val="24"/>
        </w:rPr>
      </w:pPr>
      <w:r w:rsidRPr="009C7007">
        <w:rPr>
          <w:rFonts w:ascii="Times New Roman" w:hAnsi="Times New Roman" w:cs="Times New Roman"/>
          <w:i/>
          <w:iCs/>
          <w:sz w:val="24"/>
          <w:szCs w:val="24"/>
        </w:rPr>
        <w:t>Step 4</w:t>
      </w:r>
      <w:r w:rsidRPr="009C7007">
        <w:rPr>
          <w:rFonts w:ascii="Times New Roman" w:hAnsi="Times New Roman" w:cs="Times New Roman"/>
          <w:sz w:val="24"/>
          <w:szCs w:val="24"/>
        </w:rPr>
        <w:t>: We have excluded all financial services companies (SIC code 6000-6999).</w:t>
      </w:r>
    </w:p>
    <w:p w14:paraId="68B3572C" w14:textId="68DDA45B" w:rsidR="009C7007" w:rsidRDefault="009C7007" w:rsidP="003420BC">
      <w:pPr>
        <w:spacing w:line="240" w:lineRule="auto"/>
        <w:jc w:val="both"/>
        <w:rPr>
          <w:rFonts w:ascii="Times New Roman" w:hAnsi="Times New Roman" w:cs="Times New Roman"/>
          <w:sz w:val="24"/>
          <w:szCs w:val="24"/>
        </w:rPr>
      </w:pPr>
      <w:r w:rsidRPr="009C7007">
        <w:rPr>
          <w:rFonts w:ascii="Times New Roman" w:hAnsi="Times New Roman" w:cs="Times New Roman"/>
          <w:i/>
          <w:iCs/>
          <w:sz w:val="24"/>
          <w:szCs w:val="24"/>
        </w:rPr>
        <w:t>Step 5</w:t>
      </w:r>
      <w:r w:rsidRPr="009C7007">
        <w:rPr>
          <w:rFonts w:ascii="Times New Roman" w:hAnsi="Times New Roman" w:cs="Times New Roman"/>
          <w:sz w:val="24"/>
          <w:szCs w:val="24"/>
        </w:rPr>
        <w:t>: Among all the companies that met our selection criteria (i.e., steps 1 to 4), we have randomly selected 150 companies.</w:t>
      </w:r>
    </w:p>
    <w:p w14:paraId="19F738C3" w14:textId="224F878D" w:rsidR="009C7007" w:rsidRDefault="009C7007" w:rsidP="003420BC">
      <w:pPr>
        <w:spacing w:line="240" w:lineRule="auto"/>
        <w:jc w:val="both"/>
        <w:rPr>
          <w:rFonts w:ascii="Times New Roman" w:hAnsi="Times New Roman" w:cs="Times New Roman"/>
          <w:sz w:val="24"/>
          <w:szCs w:val="24"/>
        </w:rPr>
      </w:pPr>
      <w:r w:rsidRPr="009C7007">
        <w:rPr>
          <w:rFonts w:ascii="Times New Roman" w:hAnsi="Times New Roman" w:cs="Times New Roman"/>
          <w:sz w:val="24"/>
          <w:szCs w:val="24"/>
        </w:rPr>
        <w:t>By following th</w:t>
      </w:r>
      <w:r>
        <w:rPr>
          <w:rFonts w:ascii="Times New Roman" w:hAnsi="Times New Roman" w:cs="Times New Roman"/>
          <w:sz w:val="24"/>
          <w:szCs w:val="24"/>
        </w:rPr>
        <w:t>ese steps</w:t>
      </w:r>
      <w:r w:rsidRPr="009C7007">
        <w:rPr>
          <w:rFonts w:ascii="Times New Roman" w:hAnsi="Times New Roman" w:cs="Times New Roman"/>
          <w:sz w:val="24"/>
          <w:szCs w:val="24"/>
        </w:rPr>
        <w:t>, we have obtained a homogeneous sample</w:t>
      </w:r>
      <w:r w:rsidR="005D6BA7">
        <w:rPr>
          <w:rFonts w:ascii="Times New Roman" w:hAnsi="Times New Roman" w:cs="Times New Roman"/>
          <w:sz w:val="24"/>
          <w:szCs w:val="24"/>
        </w:rPr>
        <w:t xml:space="preserve"> (i.e., </w:t>
      </w:r>
      <w:r w:rsidRPr="009C7007">
        <w:rPr>
          <w:rFonts w:ascii="Times New Roman" w:hAnsi="Times New Roman" w:cs="Times New Roman"/>
          <w:sz w:val="24"/>
          <w:szCs w:val="24"/>
        </w:rPr>
        <w:t>in terms of size and life cycle</w:t>
      </w:r>
      <w:r w:rsidR="005D6BA7">
        <w:rPr>
          <w:rFonts w:ascii="Times New Roman" w:hAnsi="Times New Roman" w:cs="Times New Roman"/>
          <w:sz w:val="24"/>
          <w:szCs w:val="24"/>
        </w:rPr>
        <w:t>)</w:t>
      </w:r>
      <w:r w:rsidRPr="009C7007">
        <w:rPr>
          <w:rFonts w:ascii="Times New Roman" w:hAnsi="Times New Roman" w:cs="Times New Roman"/>
          <w:sz w:val="24"/>
          <w:szCs w:val="24"/>
        </w:rPr>
        <w:t xml:space="preserve"> </w:t>
      </w:r>
      <w:r>
        <w:rPr>
          <w:rFonts w:ascii="Times New Roman" w:hAnsi="Times New Roman" w:cs="Times New Roman"/>
          <w:sz w:val="24"/>
          <w:szCs w:val="24"/>
        </w:rPr>
        <w:t>of</w:t>
      </w:r>
      <w:r w:rsidRPr="009C7007">
        <w:rPr>
          <w:rFonts w:ascii="Times New Roman" w:hAnsi="Times New Roman" w:cs="Times New Roman"/>
          <w:sz w:val="24"/>
          <w:szCs w:val="24"/>
        </w:rPr>
        <w:t xml:space="preserve"> 150 American companies </w:t>
      </w:r>
      <w:r w:rsidR="005D6BA7">
        <w:rPr>
          <w:rFonts w:ascii="Times New Roman" w:hAnsi="Times New Roman" w:cs="Times New Roman"/>
          <w:sz w:val="24"/>
          <w:szCs w:val="24"/>
        </w:rPr>
        <w:t xml:space="preserve">over the </w:t>
      </w:r>
      <w:r w:rsidRPr="009C7007">
        <w:rPr>
          <w:rFonts w:ascii="Times New Roman" w:hAnsi="Times New Roman" w:cs="Times New Roman"/>
          <w:sz w:val="24"/>
          <w:szCs w:val="24"/>
        </w:rPr>
        <w:t>period</w:t>
      </w:r>
      <w:r w:rsidR="005D6BA7">
        <w:rPr>
          <w:rFonts w:ascii="Times New Roman" w:hAnsi="Times New Roman" w:cs="Times New Roman"/>
          <w:sz w:val="24"/>
          <w:szCs w:val="24"/>
        </w:rPr>
        <w:t xml:space="preserve"> </w:t>
      </w:r>
      <w:r w:rsidRPr="009C7007">
        <w:rPr>
          <w:rFonts w:ascii="Times New Roman" w:hAnsi="Times New Roman" w:cs="Times New Roman"/>
          <w:sz w:val="24"/>
          <w:szCs w:val="24"/>
        </w:rPr>
        <w:t>2010</w:t>
      </w:r>
      <w:r w:rsidR="005D6BA7">
        <w:rPr>
          <w:rFonts w:ascii="Times New Roman" w:hAnsi="Times New Roman" w:cs="Times New Roman"/>
          <w:sz w:val="24"/>
          <w:szCs w:val="24"/>
        </w:rPr>
        <w:t xml:space="preserve"> - </w:t>
      </w:r>
      <w:r w:rsidRPr="009C7007">
        <w:rPr>
          <w:rFonts w:ascii="Times New Roman" w:hAnsi="Times New Roman" w:cs="Times New Roman"/>
          <w:sz w:val="24"/>
          <w:szCs w:val="24"/>
        </w:rPr>
        <w:t>2017, which g</w:t>
      </w:r>
      <w:r>
        <w:rPr>
          <w:rFonts w:ascii="Times New Roman" w:hAnsi="Times New Roman" w:cs="Times New Roman"/>
          <w:sz w:val="24"/>
          <w:szCs w:val="24"/>
        </w:rPr>
        <w:t>ave</w:t>
      </w:r>
      <w:r w:rsidRPr="009C7007">
        <w:rPr>
          <w:rFonts w:ascii="Times New Roman" w:hAnsi="Times New Roman" w:cs="Times New Roman"/>
          <w:sz w:val="24"/>
          <w:szCs w:val="24"/>
        </w:rPr>
        <w:t xml:space="preserve"> us 1200 observations in panel data (compan</w:t>
      </w:r>
      <w:r w:rsidR="003E5244">
        <w:rPr>
          <w:rFonts w:ascii="Times New Roman" w:hAnsi="Times New Roman" w:cs="Times New Roman"/>
          <w:sz w:val="24"/>
          <w:szCs w:val="24"/>
        </w:rPr>
        <w:t>y</w:t>
      </w:r>
      <w:r w:rsidRPr="009C7007">
        <w:rPr>
          <w:rFonts w:ascii="Times New Roman" w:hAnsi="Times New Roman" w:cs="Times New Roman"/>
          <w:sz w:val="24"/>
          <w:szCs w:val="24"/>
        </w:rPr>
        <w:t xml:space="preserve">-year). Table </w:t>
      </w:r>
      <w:r>
        <w:rPr>
          <w:rFonts w:ascii="Times New Roman" w:hAnsi="Times New Roman" w:cs="Times New Roman"/>
          <w:sz w:val="24"/>
          <w:szCs w:val="24"/>
        </w:rPr>
        <w:t>2</w:t>
      </w:r>
      <w:r w:rsidRPr="009C7007">
        <w:rPr>
          <w:rFonts w:ascii="Times New Roman" w:hAnsi="Times New Roman" w:cs="Times New Roman"/>
          <w:sz w:val="24"/>
          <w:szCs w:val="24"/>
        </w:rPr>
        <w:t xml:space="preserve"> classifies the companies of our final sample by industry sector based on the</w:t>
      </w:r>
      <w:r w:rsidR="003E5244">
        <w:rPr>
          <w:rFonts w:ascii="Times New Roman" w:hAnsi="Times New Roman" w:cs="Times New Roman"/>
          <w:sz w:val="24"/>
          <w:szCs w:val="24"/>
        </w:rPr>
        <w:t xml:space="preserve"> </w:t>
      </w:r>
      <w:r w:rsidRPr="009C7007">
        <w:rPr>
          <w:rFonts w:ascii="Times New Roman" w:hAnsi="Times New Roman" w:cs="Times New Roman"/>
          <w:sz w:val="24"/>
          <w:szCs w:val="24"/>
        </w:rPr>
        <w:t xml:space="preserve">2-Digit </w:t>
      </w:r>
      <w:r w:rsidR="003E5244">
        <w:rPr>
          <w:rFonts w:ascii="Times New Roman" w:hAnsi="Times New Roman" w:cs="Times New Roman"/>
          <w:sz w:val="24"/>
          <w:szCs w:val="24"/>
        </w:rPr>
        <w:t xml:space="preserve">SIC </w:t>
      </w:r>
      <w:r w:rsidRPr="009C7007">
        <w:rPr>
          <w:rFonts w:ascii="Times New Roman" w:hAnsi="Times New Roman" w:cs="Times New Roman"/>
          <w:sz w:val="24"/>
          <w:szCs w:val="24"/>
        </w:rPr>
        <w:t>code.</w:t>
      </w:r>
    </w:p>
    <w:p w14:paraId="76E8AA75" w14:textId="543A29EC" w:rsidR="00444AAA" w:rsidRDefault="00444AAA" w:rsidP="00444AAA">
      <w:pPr>
        <w:rPr>
          <w:rFonts w:ascii="Times New Roman" w:hAnsi="Times New Roman" w:cs="Times New Roman"/>
          <w:sz w:val="24"/>
          <w:szCs w:val="24"/>
        </w:rPr>
      </w:pPr>
    </w:p>
    <w:p w14:paraId="566730CE" w14:textId="4FC82228" w:rsidR="006C1DAA" w:rsidRDefault="006C1DAA" w:rsidP="00444AAA">
      <w:pPr>
        <w:rPr>
          <w:rFonts w:ascii="Times New Roman" w:hAnsi="Times New Roman" w:cs="Times New Roman"/>
          <w:sz w:val="24"/>
          <w:szCs w:val="24"/>
        </w:rPr>
      </w:pPr>
    </w:p>
    <w:p w14:paraId="306585BF" w14:textId="42F6D6E6" w:rsidR="00444AAA" w:rsidRPr="00831FD4" w:rsidRDefault="006C1DAA" w:rsidP="00B400BA">
      <w:pPr>
        <w:spacing w:line="200" w:lineRule="exact"/>
        <w:jc w:val="center"/>
        <w:rPr>
          <w:rFonts w:ascii="Times New Roman" w:hAnsi="Times New Roman" w:cs="Times New Roman"/>
          <w:b/>
          <w:bCs/>
          <w:sz w:val="24"/>
          <w:szCs w:val="24"/>
        </w:rPr>
      </w:pPr>
      <w:r w:rsidRPr="00831FD4">
        <w:rPr>
          <w:rFonts w:ascii="Times New Roman" w:hAnsi="Times New Roman" w:cs="Times New Roman"/>
          <w:b/>
          <w:bCs/>
          <w:sz w:val="24"/>
          <w:szCs w:val="24"/>
        </w:rPr>
        <w:lastRenderedPageBreak/>
        <w:t>T</w:t>
      </w:r>
      <w:r w:rsidR="003420BC">
        <w:rPr>
          <w:rFonts w:ascii="Times New Roman" w:hAnsi="Times New Roman" w:cs="Times New Roman"/>
          <w:b/>
          <w:bCs/>
          <w:sz w:val="24"/>
          <w:szCs w:val="24"/>
        </w:rPr>
        <w:t>able</w:t>
      </w:r>
      <w:r w:rsidR="00B400BA" w:rsidRPr="00831FD4">
        <w:rPr>
          <w:rFonts w:ascii="Times New Roman" w:hAnsi="Times New Roman" w:cs="Times New Roman"/>
          <w:b/>
          <w:bCs/>
          <w:sz w:val="24"/>
          <w:szCs w:val="24"/>
        </w:rPr>
        <w:t xml:space="preserve"> 2:</w:t>
      </w:r>
      <w:r w:rsidR="00444AAA" w:rsidRPr="00831FD4">
        <w:rPr>
          <w:rFonts w:ascii="Times New Roman" w:hAnsi="Times New Roman" w:cs="Times New Roman"/>
          <w:b/>
          <w:bCs/>
          <w:sz w:val="24"/>
          <w:szCs w:val="24"/>
        </w:rPr>
        <w:t xml:space="preserve"> </w:t>
      </w:r>
      <w:r w:rsidRPr="00831FD4">
        <w:rPr>
          <w:rFonts w:ascii="Times New Roman" w:hAnsi="Times New Roman" w:cs="Times New Roman"/>
          <w:b/>
          <w:bCs/>
          <w:sz w:val="24"/>
          <w:szCs w:val="24"/>
        </w:rPr>
        <w:t xml:space="preserve">Classification of the Companies According to 2- </w:t>
      </w:r>
      <w:r w:rsidR="00B400BA" w:rsidRPr="00831FD4">
        <w:rPr>
          <w:rFonts w:ascii="Times New Roman" w:hAnsi="Times New Roman" w:cs="Times New Roman"/>
          <w:b/>
          <w:bCs/>
          <w:sz w:val="24"/>
          <w:szCs w:val="24"/>
        </w:rPr>
        <w:t>Digit SIC Code</w:t>
      </w:r>
    </w:p>
    <w:tbl>
      <w:tblPr>
        <w:tblStyle w:val="TableGrid"/>
        <w:tblW w:w="9214" w:type="dxa"/>
        <w:tblInd w:w="137" w:type="dxa"/>
        <w:tblLook w:val="04A0" w:firstRow="1" w:lastRow="0" w:firstColumn="1" w:lastColumn="0" w:noHBand="0" w:noVBand="1"/>
      </w:tblPr>
      <w:tblGrid>
        <w:gridCol w:w="1843"/>
        <w:gridCol w:w="3118"/>
        <w:gridCol w:w="2552"/>
        <w:gridCol w:w="1701"/>
      </w:tblGrid>
      <w:tr w:rsidR="00444AAA" w:rsidRPr="003E5244" w14:paraId="3CF66C4B" w14:textId="77777777" w:rsidTr="003E5244">
        <w:trPr>
          <w:trHeight w:val="450"/>
        </w:trPr>
        <w:tc>
          <w:tcPr>
            <w:tcW w:w="1843" w:type="dxa"/>
          </w:tcPr>
          <w:p w14:paraId="69709A63" w14:textId="77777777" w:rsidR="003E5244" w:rsidRPr="003E5244" w:rsidRDefault="003E5244" w:rsidP="00224858">
            <w:pPr>
              <w:spacing w:line="200" w:lineRule="exact"/>
              <w:jc w:val="center"/>
              <w:rPr>
                <w:rFonts w:ascii="Times New Roman" w:hAnsi="Times New Roman" w:cs="Times New Roman"/>
                <w:b/>
                <w:bCs/>
                <w:lang w:val="en-US"/>
              </w:rPr>
            </w:pPr>
          </w:p>
          <w:p w14:paraId="41C8C0EF" w14:textId="23FE2F7D" w:rsidR="00444AAA" w:rsidRPr="003E5244" w:rsidRDefault="006C1DA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 xml:space="preserve">2-Digit </w:t>
            </w:r>
            <w:r w:rsidR="00B400BA" w:rsidRPr="003E5244">
              <w:rPr>
                <w:rFonts w:ascii="Times New Roman" w:hAnsi="Times New Roman" w:cs="Times New Roman"/>
                <w:b/>
                <w:bCs/>
                <w:lang w:val="en-US"/>
              </w:rPr>
              <w:t>SIC Code</w:t>
            </w:r>
          </w:p>
        </w:tc>
        <w:tc>
          <w:tcPr>
            <w:tcW w:w="3118" w:type="dxa"/>
          </w:tcPr>
          <w:p w14:paraId="625D6159" w14:textId="77777777" w:rsidR="003E5244" w:rsidRPr="003E5244" w:rsidRDefault="003E5244" w:rsidP="00224858">
            <w:pPr>
              <w:spacing w:line="200" w:lineRule="exact"/>
              <w:jc w:val="center"/>
              <w:rPr>
                <w:rFonts w:ascii="Times New Roman" w:hAnsi="Times New Roman" w:cs="Times New Roman"/>
                <w:b/>
                <w:bCs/>
                <w:lang w:val="en-US"/>
              </w:rPr>
            </w:pPr>
          </w:p>
          <w:p w14:paraId="4D9E74C7" w14:textId="1FDFA8D9" w:rsidR="00444AAA" w:rsidRPr="003E5244" w:rsidRDefault="00B400B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Industry sector</w:t>
            </w:r>
          </w:p>
        </w:tc>
        <w:tc>
          <w:tcPr>
            <w:tcW w:w="2552" w:type="dxa"/>
          </w:tcPr>
          <w:p w14:paraId="66C3C7AE" w14:textId="77777777" w:rsidR="003E5244" w:rsidRPr="003E5244" w:rsidRDefault="003E5244" w:rsidP="00224858">
            <w:pPr>
              <w:spacing w:line="200" w:lineRule="exact"/>
              <w:jc w:val="center"/>
              <w:rPr>
                <w:rFonts w:ascii="Times New Roman" w:hAnsi="Times New Roman" w:cs="Times New Roman"/>
                <w:b/>
                <w:bCs/>
                <w:lang w:val="en-US"/>
              </w:rPr>
            </w:pPr>
          </w:p>
          <w:p w14:paraId="52F2DBF8" w14:textId="336C8F57" w:rsidR="00444AAA" w:rsidRPr="003E5244" w:rsidRDefault="006C1DA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Number of companies</w:t>
            </w:r>
          </w:p>
        </w:tc>
        <w:tc>
          <w:tcPr>
            <w:tcW w:w="1701" w:type="dxa"/>
          </w:tcPr>
          <w:p w14:paraId="77C899EB" w14:textId="77777777" w:rsidR="003E5244" w:rsidRPr="003E5244" w:rsidRDefault="003E5244" w:rsidP="00224858">
            <w:pPr>
              <w:spacing w:line="200" w:lineRule="exact"/>
              <w:jc w:val="center"/>
              <w:rPr>
                <w:rFonts w:ascii="Times New Roman" w:hAnsi="Times New Roman" w:cs="Times New Roman"/>
                <w:b/>
                <w:bCs/>
                <w:lang w:val="en-US"/>
              </w:rPr>
            </w:pPr>
          </w:p>
          <w:p w14:paraId="49EDA597" w14:textId="7FD05E8F" w:rsidR="00444AAA" w:rsidRPr="003E5244" w:rsidRDefault="00444AA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P</w:t>
            </w:r>
            <w:r w:rsidR="00B400BA" w:rsidRPr="003E5244">
              <w:rPr>
                <w:rFonts w:ascii="Times New Roman" w:hAnsi="Times New Roman" w:cs="Times New Roman"/>
                <w:b/>
                <w:bCs/>
                <w:lang w:val="en-US"/>
              </w:rPr>
              <w:t>er</w:t>
            </w:r>
            <w:r w:rsidRPr="003E5244">
              <w:rPr>
                <w:rFonts w:ascii="Times New Roman" w:hAnsi="Times New Roman" w:cs="Times New Roman"/>
                <w:b/>
                <w:bCs/>
                <w:lang w:val="en-US"/>
              </w:rPr>
              <w:t>centage (%)</w:t>
            </w:r>
          </w:p>
        </w:tc>
      </w:tr>
      <w:tr w:rsidR="00444AAA" w:rsidRPr="003E5244" w14:paraId="6CC2780B" w14:textId="77777777" w:rsidTr="003E5244">
        <w:trPr>
          <w:trHeight w:val="544"/>
        </w:trPr>
        <w:tc>
          <w:tcPr>
            <w:tcW w:w="1843" w:type="dxa"/>
          </w:tcPr>
          <w:p w14:paraId="531E54CC" w14:textId="77777777" w:rsidR="003E5244" w:rsidRPr="003E5244" w:rsidRDefault="003E5244" w:rsidP="00224858">
            <w:pPr>
              <w:spacing w:line="200" w:lineRule="exact"/>
              <w:jc w:val="center"/>
              <w:rPr>
                <w:rFonts w:ascii="Times New Roman" w:hAnsi="Times New Roman" w:cs="Times New Roman"/>
                <w:lang w:val="en-US"/>
              </w:rPr>
            </w:pPr>
          </w:p>
          <w:p w14:paraId="54A55C4D" w14:textId="49E0E0D6"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10-14</w:t>
            </w:r>
          </w:p>
        </w:tc>
        <w:tc>
          <w:tcPr>
            <w:tcW w:w="3118" w:type="dxa"/>
          </w:tcPr>
          <w:p w14:paraId="1C077648" w14:textId="77777777" w:rsidR="003E5244" w:rsidRPr="003E5244" w:rsidRDefault="003E5244" w:rsidP="00224858">
            <w:pPr>
              <w:spacing w:line="200" w:lineRule="exact"/>
              <w:jc w:val="center"/>
              <w:rPr>
                <w:rFonts w:ascii="Times New Roman" w:hAnsi="Times New Roman" w:cs="Times New Roman"/>
                <w:lang w:val="en-US"/>
              </w:rPr>
            </w:pPr>
          </w:p>
          <w:p w14:paraId="66D2D4C1" w14:textId="3A3846F8"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Min</w:t>
            </w:r>
            <w:r w:rsidR="006C1DAA" w:rsidRPr="003E5244">
              <w:rPr>
                <w:rFonts w:ascii="Times New Roman" w:hAnsi="Times New Roman" w:cs="Times New Roman"/>
                <w:lang w:val="en-US"/>
              </w:rPr>
              <w:t>ing</w:t>
            </w:r>
          </w:p>
        </w:tc>
        <w:tc>
          <w:tcPr>
            <w:tcW w:w="2552" w:type="dxa"/>
          </w:tcPr>
          <w:p w14:paraId="02DC0BDF" w14:textId="77777777" w:rsidR="003E5244" w:rsidRPr="003E5244" w:rsidRDefault="003E5244" w:rsidP="00224858">
            <w:pPr>
              <w:spacing w:line="200" w:lineRule="exact"/>
              <w:jc w:val="center"/>
              <w:rPr>
                <w:rFonts w:ascii="Times New Roman" w:hAnsi="Times New Roman" w:cs="Times New Roman"/>
                <w:lang w:val="en-US"/>
              </w:rPr>
            </w:pPr>
          </w:p>
          <w:p w14:paraId="4138E7B3" w14:textId="4BF4A147"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7</w:t>
            </w:r>
          </w:p>
        </w:tc>
        <w:tc>
          <w:tcPr>
            <w:tcW w:w="1701" w:type="dxa"/>
          </w:tcPr>
          <w:p w14:paraId="38B712ED" w14:textId="77777777" w:rsidR="003E5244" w:rsidRPr="003E5244" w:rsidRDefault="003E5244" w:rsidP="00224858">
            <w:pPr>
              <w:spacing w:line="200" w:lineRule="exact"/>
              <w:jc w:val="center"/>
              <w:rPr>
                <w:rFonts w:ascii="Times New Roman" w:hAnsi="Times New Roman" w:cs="Times New Roman"/>
                <w:lang w:val="en-US"/>
              </w:rPr>
            </w:pPr>
          </w:p>
          <w:p w14:paraId="3F1D93F8" w14:textId="4EC00CC7"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4,67 %</w:t>
            </w:r>
          </w:p>
        </w:tc>
      </w:tr>
      <w:tr w:rsidR="00444AAA" w:rsidRPr="003E5244" w14:paraId="20CCEEFD" w14:textId="77777777" w:rsidTr="003E5244">
        <w:tc>
          <w:tcPr>
            <w:tcW w:w="1843" w:type="dxa"/>
          </w:tcPr>
          <w:p w14:paraId="684E27CE" w14:textId="77777777" w:rsidR="003E5244" w:rsidRPr="003E5244" w:rsidRDefault="003E5244" w:rsidP="00224858">
            <w:pPr>
              <w:spacing w:line="200" w:lineRule="exact"/>
              <w:jc w:val="center"/>
              <w:rPr>
                <w:rFonts w:ascii="Times New Roman" w:hAnsi="Times New Roman" w:cs="Times New Roman"/>
                <w:lang w:val="en-US"/>
              </w:rPr>
            </w:pPr>
          </w:p>
          <w:p w14:paraId="7B842DDC" w14:textId="16196BED"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15-17</w:t>
            </w:r>
          </w:p>
        </w:tc>
        <w:tc>
          <w:tcPr>
            <w:tcW w:w="3118" w:type="dxa"/>
          </w:tcPr>
          <w:p w14:paraId="2BBEF025" w14:textId="77777777" w:rsidR="003E5244" w:rsidRPr="003E5244" w:rsidRDefault="003E5244" w:rsidP="00224858">
            <w:pPr>
              <w:spacing w:line="200" w:lineRule="exact"/>
              <w:jc w:val="center"/>
              <w:rPr>
                <w:rFonts w:ascii="Times New Roman" w:hAnsi="Times New Roman" w:cs="Times New Roman"/>
                <w:lang w:val="en-US"/>
              </w:rPr>
            </w:pPr>
          </w:p>
          <w:p w14:paraId="18E05878" w14:textId="1959F955"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Construction</w:t>
            </w:r>
          </w:p>
        </w:tc>
        <w:tc>
          <w:tcPr>
            <w:tcW w:w="2552" w:type="dxa"/>
          </w:tcPr>
          <w:p w14:paraId="0B8B6095" w14:textId="77777777" w:rsidR="003E5244" w:rsidRPr="003E5244" w:rsidRDefault="003E5244" w:rsidP="00224858">
            <w:pPr>
              <w:spacing w:line="200" w:lineRule="exact"/>
              <w:jc w:val="center"/>
              <w:rPr>
                <w:rFonts w:ascii="Times New Roman" w:hAnsi="Times New Roman" w:cs="Times New Roman"/>
                <w:lang w:val="en-US"/>
              </w:rPr>
            </w:pPr>
          </w:p>
          <w:p w14:paraId="71AEBDB2" w14:textId="570F931B"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16</w:t>
            </w:r>
          </w:p>
        </w:tc>
        <w:tc>
          <w:tcPr>
            <w:tcW w:w="1701" w:type="dxa"/>
          </w:tcPr>
          <w:p w14:paraId="40CE5020" w14:textId="77777777" w:rsidR="003E5244" w:rsidRPr="003E5244" w:rsidRDefault="003E5244" w:rsidP="00224858">
            <w:pPr>
              <w:spacing w:line="200" w:lineRule="exact"/>
              <w:jc w:val="center"/>
              <w:rPr>
                <w:rFonts w:ascii="Times New Roman" w:hAnsi="Times New Roman" w:cs="Times New Roman"/>
                <w:lang w:val="en-US"/>
              </w:rPr>
            </w:pPr>
          </w:p>
          <w:p w14:paraId="57B04827" w14:textId="7D04EB93"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10,67 %</w:t>
            </w:r>
          </w:p>
        </w:tc>
      </w:tr>
      <w:tr w:rsidR="00444AAA" w:rsidRPr="003E5244" w14:paraId="7896D88C" w14:textId="77777777" w:rsidTr="003E5244">
        <w:tc>
          <w:tcPr>
            <w:tcW w:w="1843" w:type="dxa"/>
          </w:tcPr>
          <w:p w14:paraId="73C7543E" w14:textId="77777777" w:rsidR="003E5244" w:rsidRPr="003E5244" w:rsidRDefault="003E5244" w:rsidP="00224858">
            <w:pPr>
              <w:spacing w:line="200" w:lineRule="exact"/>
              <w:jc w:val="center"/>
              <w:rPr>
                <w:rFonts w:ascii="Times New Roman" w:hAnsi="Times New Roman" w:cs="Times New Roman"/>
                <w:lang w:val="en-US"/>
              </w:rPr>
            </w:pPr>
          </w:p>
          <w:p w14:paraId="70F92C2F" w14:textId="45E4C0DA"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20-39</w:t>
            </w:r>
          </w:p>
        </w:tc>
        <w:tc>
          <w:tcPr>
            <w:tcW w:w="3118" w:type="dxa"/>
          </w:tcPr>
          <w:p w14:paraId="7BCE5DD1" w14:textId="77777777" w:rsidR="003E5244" w:rsidRPr="003E5244" w:rsidRDefault="003E5244" w:rsidP="00224858">
            <w:pPr>
              <w:spacing w:line="200" w:lineRule="exact"/>
              <w:jc w:val="center"/>
              <w:rPr>
                <w:rFonts w:ascii="Times New Roman" w:hAnsi="Times New Roman" w:cs="Times New Roman"/>
                <w:lang w:val="en-US"/>
              </w:rPr>
            </w:pPr>
          </w:p>
          <w:p w14:paraId="222103D5" w14:textId="40F7C1B0" w:rsidR="00444AAA" w:rsidRPr="003E5244" w:rsidRDefault="006C1D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Manufacturing</w:t>
            </w:r>
          </w:p>
        </w:tc>
        <w:tc>
          <w:tcPr>
            <w:tcW w:w="2552" w:type="dxa"/>
          </w:tcPr>
          <w:p w14:paraId="003B7BD9" w14:textId="77777777" w:rsidR="003E5244" w:rsidRPr="003E5244" w:rsidRDefault="003E5244" w:rsidP="00224858">
            <w:pPr>
              <w:spacing w:line="200" w:lineRule="exact"/>
              <w:jc w:val="center"/>
              <w:rPr>
                <w:rFonts w:ascii="Times New Roman" w:hAnsi="Times New Roman" w:cs="Times New Roman"/>
                <w:lang w:val="en-US"/>
              </w:rPr>
            </w:pPr>
          </w:p>
          <w:p w14:paraId="679CC67D" w14:textId="36F215CF"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59</w:t>
            </w:r>
          </w:p>
        </w:tc>
        <w:tc>
          <w:tcPr>
            <w:tcW w:w="1701" w:type="dxa"/>
          </w:tcPr>
          <w:p w14:paraId="0C224CDA" w14:textId="77777777" w:rsidR="003E5244" w:rsidRPr="003E5244" w:rsidRDefault="003E5244" w:rsidP="00224858">
            <w:pPr>
              <w:spacing w:line="200" w:lineRule="exact"/>
              <w:jc w:val="center"/>
              <w:rPr>
                <w:rFonts w:ascii="Times New Roman" w:hAnsi="Times New Roman" w:cs="Times New Roman"/>
                <w:lang w:val="en-US"/>
              </w:rPr>
            </w:pPr>
          </w:p>
          <w:p w14:paraId="04778786" w14:textId="050AD88D"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39,33 %</w:t>
            </w:r>
          </w:p>
        </w:tc>
      </w:tr>
      <w:tr w:rsidR="00444AAA" w:rsidRPr="003E5244" w14:paraId="549A42B4" w14:textId="77777777" w:rsidTr="003E5244">
        <w:tc>
          <w:tcPr>
            <w:tcW w:w="1843" w:type="dxa"/>
          </w:tcPr>
          <w:p w14:paraId="46A41D63" w14:textId="77777777" w:rsidR="003E5244" w:rsidRPr="003E5244" w:rsidRDefault="003E5244" w:rsidP="00224858">
            <w:pPr>
              <w:spacing w:line="200" w:lineRule="exact"/>
              <w:jc w:val="center"/>
              <w:rPr>
                <w:rFonts w:ascii="Times New Roman" w:hAnsi="Times New Roman" w:cs="Times New Roman"/>
                <w:lang w:val="en-US"/>
              </w:rPr>
            </w:pPr>
          </w:p>
          <w:p w14:paraId="4DFE6DE4" w14:textId="1AEB0ED1"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40-49</w:t>
            </w:r>
          </w:p>
        </w:tc>
        <w:tc>
          <w:tcPr>
            <w:tcW w:w="3118" w:type="dxa"/>
          </w:tcPr>
          <w:p w14:paraId="226D41B6" w14:textId="77777777" w:rsidR="003E5244" w:rsidRPr="003E5244" w:rsidRDefault="003E5244" w:rsidP="00224858">
            <w:pPr>
              <w:spacing w:line="200" w:lineRule="exact"/>
              <w:jc w:val="center"/>
              <w:rPr>
                <w:rFonts w:ascii="Times New Roman" w:hAnsi="Times New Roman" w:cs="Times New Roman"/>
                <w:lang w:val="en-US"/>
              </w:rPr>
            </w:pPr>
          </w:p>
          <w:p w14:paraId="34CAA78F" w14:textId="6DAD0A33"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Transport</w:t>
            </w:r>
            <w:r w:rsidR="006C1DAA" w:rsidRPr="003E5244">
              <w:rPr>
                <w:rFonts w:ascii="Times New Roman" w:hAnsi="Times New Roman" w:cs="Times New Roman"/>
                <w:lang w:val="en-US"/>
              </w:rPr>
              <w:t xml:space="preserve"> and Public Utilities</w:t>
            </w:r>
          </w:p>
        </w:tc>
        <w:tc>
          <w:tcPr>
            <w:tcW w:w="2552" w:type="dxa"/>
          </w:tcPr>
          <w:p w14:paraId="2424E394" w14:textId="77777777" w:rsidR="003E5244" w:rsidRPr="003E5244" w:rsidRDefault="003E5244" w:rsidP="00224858">
            <w:pPr>
              <w:spacing w:line="200" w:lineRule="exact"/>
              <w:jc w:val="center"/>
              <w:rPr>
                <w:rFonts w:ascii="Times New Roman" w:hAnsi="Times New Roman" w:cs="Times New Roman"/>
                <w:lang w:val="en-US"/>
              </w:rPr>
            </w:pPr>
          </w:p>
          <w:p w14:paraId="5D8AE9B8" w14:textId="11206DE7"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26</w:t>
            </w:r>
          </w:p>
        </w:tc>
        <w:tc>
          <w:tcPr>
            <w:tcW w:w="1701" w:type="dxa"/>
          </w:tcPr>
          <w:p w14:paraId="29FCA9B5" w14:textId="77777777" w:rsidR="003E5244" w:rsidRPr="003E5244" w:rsidRDefault="003E5244" w:rsidP="00224858">
            <w:pPr>
              <w:spacing w:line="200" w:lineRule="exact"/>
              <w:jc w:val="center"/>
              <w:rPr>
                <w:rFonts w:ascii="Times New Roman" w:hAnsi="Times New Roman" w:cs="Times New Roman"/>
                <w:lang w:val="en-US"/>
              </w:rPr>
            </w:pPr>
          </w:p>
          <w:p w14:paraId="353530B4" w14:textId="5B4610BB"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17,33 %</w:t>
            </w:r>
          </w:p>
        </w:tc>
      </w:tr>
      <w:tr w:rsidR="00444AAA" w:rsidRPr="003E5244" w14:paraId="2BDC9227" w14:textId="77777777" w:rsidTr="003E5244">
        <w:tc>
          <w:tcPr>
            <w:tcW w:w="1843" w:type="dxa"/>
          </w:tcPr>
          <w:p w14:paraId="540C11E2" w14:textId="77777777" w:rsidR="003E5244" w:rsidRPr="003E5244" w:rsidRDefault="003E5244" w:rsidP="00224858">
            <w:pPr>
              <w:spacing w:line="200" w:lineRule="exact"/>
              <w:jc w:val="center"/>
              <w:rPr>
                <w:rFonts w:ascii="Times New Roman" w:hAnsi="Times New Roman" w:cs="Times New Roman"/>
                <w:lang w:val="en-US"/>
              </w:rPr>
            </w:pPr>
          </w:p>
          <w:p w14:paraId="3CFDE103" w14:textId="21083CAA"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50-51</w:t>
            </w:r>
          </w:p>
        </w:tc>
        <w:tc>
          <w:tcPr>
            <w:tcW w:w="3118" w:type="dxa"/>
          </w:tcPr>
          <w:p w14:paraId="1AF06E07" w14:textId="77777777" w:rsidR="003E5244" w:rsidRPr="003E5244" w:rsidRDefault="003E5244" w:rsidP="00224858">
            <w:pPr>
              <w:spacing w:line="200" w:lineRule="exact"/>
              <w:jc w:val="center"/>
              <w:rPr>
                <w:rFonts w:ascii="Times New Roman" w:hAnsi="Times New Roman" w:cs="Times New Roman"/>
                <w:lang w:val="en-US"/>
              </w:rPr>
            </w:pPr>
          </w:p>
          <w:p w14:paraId="72ADFFF6" w14:textId="547EAE45" w:rsidR="00444AAA" w:rsidRPr="003E5244" w:rsidRDefault="006C1D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Wholesale Trade</w:t>
            </w:r>
          </w:p>
        </w:tc>
        <w:tc>
          <w:tcPr>
            <w:tcW w:w="2552" w:type="dxa"/>
          </w:tcPr>
          <w:p w14:paraId="1F308320" w14:textId="77777777" w:rsidR="003E5244" w:rsidRPr="003E5244" w:rsidRDefault="003E5244" w:rsidP="00224858">
            <w:pPr>
              <w:spacing w:line="200" w:lineRule="exact"/>
              <w:jc w:val="center"/>
              <w:rPr>
                <w:rFonts w:ascii="Times New Roman" w:hAnsi="Times New Roman" w:cs="Times New Roman"/>
                <w:lang w:val="en-US"/>
              </w:rPr>
            </w:pPr>
          </w:p>
          <w:p w14:paraId="18417256" w14:textId="363B6222"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15</w:t>
            </w:r>
          </w:p>
        </w:tc>
        <w:tc>
          <w:tcPr>
            <w:tcW w:w="1701" w:type="dxa"/>
          </w:tcPr>
          <w:p w14:paraId="79723C30" w14:textId="77777777" w:rsidR="003E5244" w:rsidRPr="003E5244" w:rsidRDefault="003E5244" w:rsidP="00224858">
            <w:pPr>
              <w:spacing w:line="200" w:lineRule="exact"/>
              <w:jc w:val="center"/>
              <w:rPr>
                <w:rFonts w:ascii="Times New Roman" w:hAnsi="Times New Roman" w:cs="Times New Roman"/>
                <w:lang w:val="en-US"/>
              </w:rPr>
            </w:pPr>
          </w:p>
          <w:p w14:paraId="21CC0B5C" w14:textId="5D073B13"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10 %</w:t>
            </w:r>
          </w:p>
        </w:tc>
      </w:tr>
      <w:tr w:rsidR="00444AAA" w:rsidRPr="003E5244" w14:paraId="7E721004" w14:textId="77777777" w:rsidTr="003E5244">
        <w:tc>
          <w:tcPr>
            <w:tcW w:w="1843" w:type="dxa"/>
          </w:tcPr>
          <w:p w14:paraId="027E9F04" w14:textId="77777777" w:rsidR="003E5244" w:rsidRPr="003E5244" w:rsidRDefault="003E5244" w:rsidP="00224858">
            <w:pPr>
              <w:spacing w:line="200" w:lineRule="exact"/>
              <w:jc w:val="center"/>
              <w:rPr>
                <w:rFonts w:ascii="Times New Roman" w:hAnsi="Times New Roman" w:cs="Times New Roman"/>
                <w:lang w:val="en-US"/>
              </w:rPr>
            </w:pPr>
          </w:p>
          <w:p w14:paraId="47DFB1D1" w14:textId="6E16F9EB"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52-59</w:t>
            </w:r>
          </w:p>
        </w:tc>
        <w:tc>
          <w:tcPr>
            <w:tcW w:w="3118" w:type="dxa"/>
          </w:tcPr>
          <w:p w14:paraId="33C7ECA5" w14:textId="77777777" w:rsidR="003E5244" w:rsidRPr="003E5244" w:rsidRDefault="003E5244" w:rsidP="00224858">
            <w:pPr>
              <w:spacing w:line="200" w:lineRule="exact"/>
              <w:jc w:val="center"/>
              <w:rPr>
                <w:rFonts w:ascii="Times New Roman" w:hAnsi="Times New Roman" w:cs="Times New Roman"/>
                <w:lang w:val="en-US"/>
              </w:rPr>
            </w:pPr>
          </w:p>
          <w:p w14:paraId="6BB57BFC" w14:textId="14B9B7AC" w:rsidR="00444AAA" w:rsidRPr="003E5244" w:rsidRDefault="006C1D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Retail Trade</w:t>
            </w:r>
          </w:p>
        </w:tc>
        <w:tc>
          <w:tcPr>
            <w:tcW w:w="2552" w:type="dxa"/>
          </w:tcPr>
          <w:p w14:paraId="18B9BF94" w14:textId="77777777" w:rsidR="003E5244" w:rsidRPr="003E5244" w:rsidRDefault="003E5244" w:rsidP="00224858">
            <w:pPr>
              <w:spacing w:line="200" w:lineRule="exact"/>
              <w:jc w:val="center"/>
              <w:rPr>
                <w:rFonts w:ascii="Times New Roman" w:hAnsi="Times New Roman" w:cs="Times New Roman"/>
                <w:lang w:val="en-US"/>
              </w:rPr>
            </w:pPr>
          </w:p>
          <w:p w14:paraId="2C626351" w14:textId="23233520"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11</w:t>
            </w:r>
          </w:p>
        </w:tc>
        <w:tc>
          <w:tcPr>
            <w:tcW w:w="1701" w:type="dxa"/>
          </w:tcPr>
          <w:p w14:paraId="65345488" w14:textId="77777777" w:rsidR="003E5244" w:rsidRPr="003E5244" w:rsidRDefault="003E5244" w:rsidP="00224858">
            <w:pPr>
              <w:spacing w:line="200" w:lineRule="exact"/>
              <w:jc w:val="center"/>
              <w:rPr>
                <w:rFonts w:ascii="Times New Roman" w:hAnsi="Times New Roman" w:cs="Times New Roman"/>
                <w:lang w:val="en-US"/>
              </w:rPr>
            </w:pPr>
          </w:p>
          <w:p w14:paraId="5588DC23" w14:textId="2E7BFA0B"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7,33 %</w:t>
            </w:r>
          </w:p>
        </w:tc>
      </w:tr>
      <w:tr w:rsidR="00444AAA" w:rsidRPr="003E5244" w14:paraId="05772B40" w14:textId="77777777" w:rsidTr="003E5244">
        <w:tc>
          <w:tcPr>
            <w:tcW w:w="1843" w:type="dxa"/>
          </w:tcPr>
          <w:p w14:paraId="521EB9CE" w14:textId="77777777" w:rsidR="003E5244" w:rsidRPr="003E5244" w:rsidRDefault="003E5244" w:rsidP="00224858">
            <w:pPr>
              <w:spacing w:line="200" w:lineRule="exact"/>
              <w:jc w:val="center"/>
              <w:rPr>
                <w:rFonts w:ascii="Times New Roman" w:hAnsi="Times New Roman" w:cs="Times New Roman"/>
                <w:lang w:val="en-US"/>
              </w:rPr>
            </w:pPr>
          </w:p>
          <w:p w14:paraId="78DD5978" w14:textId="7FCAE475" w:rsidR="00444AAA" w:rsidRPr="003E5244" w:rsidRDefault="00444AAA" w:rsidP="003E5244">
            <w:pPr>
              <w:spacing w:line="200" w:lineRule="exact"/>
              <w:jc w:val="center"/>
              <w:rPr>
                <w:rFonts w:ascii="Times New Roman" w:hAnsi="Times New Roman" w:cs="Times New Roman"/>
                <w:lang w:val="en-US"/>
              </w:rPr>
            </w:pPr>
            <w:r w:rsidRPr="003E5244">
              <w:rPr>
                <w:rFonts w:ascii="Times New Roman" w:hAnsi="Times New Roman" w:cs="Times New Roman"/>
                <w:lang w:val="en-US"/>
              </w:rPr>
              <w:t>70-89</w:t>
            </w:r>
          </w:p>
        </w:tc>
        <w:tc>
          <w:tcPr>
            <w:tcW w:w="3118" w:type="dxa"/>
          </w:tcPr>
          <w:p w14:paraId="5EAF9628" w14:textId="77777777" w:rsidR="003E5244" w:rsidRPr="003E5244" w:rsidRDefault="003E5244" w:rsidP="00224858">
            <w:pPr>
              <w:spacing w:line="200" w:lineRule="exact"/>
              <w:jc w:val="center"/>
              <w:rPr>
                <w:rFonts w:ascii="Times New Roman" w:hAnsi="Times New Roman" w:cs="Times New Roman"/>
                <w:lang w:val="en-US"/>
              </w:rPr>
            </w:pPr>
          </w:p>
          <w:p w14:paraId="5EBE3FB6" w14:textId="17CE4166"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Service</w:t>
            </w:r>
            <w:r w:rsidR="006C1DAA" w:rsidRPr="003E5244">
              <w:rPr>
                <w:rFonts w:ascii="Times New Roman" w:hAnsi="Times New Roman" w:cs="Times New Roman"/>
                <w:lang w:val="en-US"/>
              </w:rPr>
              <w:t>s</w:t>
            </w:r>
          </w:p>
        </w:tc>
        <w:tc>
          <w:tcPr>
            <w:tcW w:w="2552" w:type="dxa"/>
          </w:tcPr>
          <w:p w14:paraId="33F8AE0E" w14:textId="77777777" w:rsidR="003E5244" w:rsidRPr="003E5244" w:rsidRDefault="003E5244" w:rsidP="00224858">
            <w:pPr>
              <w:spacing w:line="200" w:lineRule="exact"/>
              <w:jc w:val="center"/>
              <w:rPr>
                <w:rFonts w:ascii="Times New Roman" w:hAnsi="Times New Roman" w:cs="Times New Roman"/>
                <w:lang w:val="en-US"/>
              </w:rPr>
            </w:pPr>
          </w:p>
          <w:p w14:paraId="439F1158" w14:textId="28F75806"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16</w:t>
            </w:r>
          </w:p>
        </w:tc>
        <w:tc>
          <w:tcPr>
            <w:tcW w:w="1701" w:type="dxa"/>
          </w:tcPr>
          <w:p w14:paraId="2AE4AFF6" w14:textId="77777777" w:rsidR="003E5244" w:rsidRPr="003E5244" w:rsidRDefault="003E5244" w:rsidP="00224858">
            <w:pPr>
              <w:spacing w:line="200" w:lineRule="exact"/>
              <w:jc w:val="center"/>
              <w:rPr>
                <w:rFonts w:ascii="Times New Roman" w:hAnsi="Times New Roman" w:cs="Times New Roman"/>
                <w:lang w:val="en-US"/>
              </w:rPr>
            </w:pPr>
          </w:p>
          <w:p w14:paraId="486929D8" w14:textId="239BCBC3" w:rsidR="00444AAA" w:rsidRPr="003E5244" w:rsidRDefault="00444AAA" w:rsidP="00224858">
            <w:pPr>
              <w:spacing w:line="200" w:lineRule="exact"/>
              <w:jc w:val="center"/>
              <w:rPr>
                <w:rFonts w:ascii="Times New Roman" w:hAnsi="Times New Roman" w:cs="Times New Roman"/>
                <w:lang w:val="en-US"/>
              </w:rPr>
            </w:pPr>
            <w:r w:rsidRPr="003E5244">
              <w:rPr>
                <w:rFonts w:ascii="Times New Roman" w:hAnsi="Times New Roman" w:cs="Times New Roman"/>
                <w:lang w:val="en-US"/>
              </w:rPr>
              <w:t>10,67 %</w:t>
            </w:r>
          </w:p>
        </w:tc>
      </w:tr>
      <w:tr w:rsidR="00444AAA" w:rsidRPr="003E5244" w14:paraId="7B26B7BC" w14:textId="77777777" w:rsidTr="003E5244">
        <w:trPr>
          <w:trHeight w:val="201"/>
        </w:trPr>
        <w:tc>
          <w:tcPr>
            <w:tcW w:w="1843" w:type="dxa"/>
          </w:tcPr>
          <w:p w14:paraId="1F612AA0" w14:textId="77777777" w:rsidR="003E5244" w:rsidRPr="003E5244" w:rsidRDefault="003E5244" w:rsidP="00224858">
            <w:pPr>
              <w:spacing w:line="200" w:lineRule="exact"/>
              <w:jc w:val="center"/>
              <w:rPr>
                <w:rFonts w:ascii="Times New Roman" w:hAnsi="Times New Roman" w:cs="Times New Roman"/>
                <w:b/>
                <w:bCs/>
                <w:lang w:val="en-US"/>
              </w:rPr>
            </w:pPr>
          </w:p>
          <w:p w14:paraId="47C2D951" w14:textId="023AA88F" w:rsidR="00444AAA" w:rsidRPr="003E5244" w:rsidRDefault="00444AA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Total</w:t>
            </w:r>
          </w:p>
        </w:tc>
        <w:tc>
          <w:tcPr>
            <w:tcW w:w="3118" w:type="dxa"/>
          </w:tcPr>
          <w:p w14:paraId="1917D291" w14:textId="77777777" w:rsidR="00444AAA" w:rsidRPr="003E5244" w:rsidRDefault="00444AAA" w:rsidP="00224858">
            <w:pPr>
              <w:spacing w:line="200" w:lineRule="exact"/>
              <w:jc w:val="center"/>
              <w:rPr>
                <w:rFonts w:ascii="Times New Roman" w:hAnsi="Times New Roman" w:cs="Times New Roman"/>
                <w:b/>
                <w:bCs/>
                <w:lang w:val="en-US"/>
              </w:rPr>
            </w:pPr>
          </w:p>
        </w:tc>
        <w:tc>
          <w:tcPr>
            <w:tcW w:w="2552" w:type="dxa"/>
          </w:tcPr>
          <w:p w14:paraId="5E1EB657" w14:textId="77777777" w:rsidR="003E5244" w:rsidRPr="003E5244" w:rsidRDefault="003E5244" w:rsidP="00224858">
            <w:pPr>
              <w:spacing w:line="200" w:lineRule="exact"/>
              <w:jc w:val="center"/>
              <w:rPr>
                <w:rFonts w:ascii="Times New Roman" w:hAnsi="Times New Roman" w:cs="Times New Roman"/>
                <w:b/>
                <w:bCs/>
                <w:lang w:val="en-US"/>
              </w:rPr>
            </w:pPr>
          </w:p>
          <w:p w14:paraId="41F5CBDC" w14:textId="663A1AB0" w:rsidR="00444AAA" w:rsidRPr="003E5244" w:rsidRDefault="00444AA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150</w:t>
            </w:r>
          </w:p>
        </w:tc>
        <w:tc>
          <w:tcPr>
            <w:tcW w:w="1701" w:type="dxa"/>
          </w:tcPr>
          <w:p w14:paraId="715681B1" w14:textId="77777777" w:rsidR="003E5244" w:rsidRPr="003E5244" w:rsidRDefault="003E5244" w:rsidP="00224858">
            <w:pPr>
              <w:spacing w:line="200" w:lineRule="exact"/>
              <w:jc w:val="center"/>
              <w:rPr>
                <w:rFonts w:ascii="Times New Roman" w:hAnsi="Times New Roman" w:cs="Times New Roman"/>
                <w:b/>
                <w:bCs/>
                <w:lang w:val="en-US"/>
              </w:rPr>
            </w:pPr>
          </w:p>
          <w:p w14:paraId="0D9A7FD5" w14:textId="223F4C15" w:rsidR="00444AAA" w:rsidRPr="003E5244" w:rsidRDefault="00444AAA" w:rsidP="00224858">
            <w:pPr>
              <w:spacing w:line="200" w:lineRule="exact"/>
              <w:jc w:val="center"/>
              <w:rPr>
                <w:rFonts w:ascii="Times New Roman" w:hAnsi="Times New Roman" w:cs="Times New Roman"/>
                <w:b/>
                <w:bCs/>
                <w:lang w:val="en-US"/>
              </w:rPr>
            </w:pPr>
            <w:r w:rsidRPr="003E5244">
              <w:rPr>
                <w:rFonts w:ascii="Times New Roman" w:hAnsi="Times New Roman" w:cs="Times New Roman"/>
                <w:b/>
                <w:bCs/>
                <w:lang w:val="en-US"/>
              </w:rPr>
              <w:t>100 %</w:t>
            </w:r>
          </w:p>
        </w:tc>
      </w:tr>
    </w:tbl>
    <w:p w14:paraId="1763B1B1" w14:textId="77777777" w:rsidR="00444AAA" w:rsidRDefault="00444AAA" w:rsidP="00444AAA">
      <w:pPr>
        <w:spacing w:line="200" w:lineRule="exact"/>
        <w:jc w:val="both"/>
      </w:pPr>
    </w:p>
    <w:p w14:paraId="7362CD29" w14:textId="00AF6AC7" w:rsidR="00444AAA" w:rsidRPr="003420BC" w:rsidRDefault="009208D1" w:rsidP="00730B62">
      <w:pPr>
        <w:jc w:val="both"/>
        <w:rPr>
          <w:rFonts w:ascii="Times New Roman" w:hAnsi="Times New Roman" w:cs="Times New Roman"/>
          <w:b/>
          <w:bCs/>
          <w:sz w:val="28"/>
          <w:szCs w:val="28"/>
        </w:rPr>
      </w:pPr>
      <w:r w:rsidRPr="003420BC">
        <w:rPr>
          <w:rFonts w:ascii="Times New Roman" w:hAnsi="Times New Roman" w:cs="Times New Roman"/>
          <w:b/>
          <w:bCs/>
          <w:sz w:val="28"/>
          <w:szCs w:val="28"/>
        </w:rPr>
        <w:t xml:space="preserve">3.4. </w:t>
      </w:r>
      <w:r w:rsidR="003420BC" w:rsidRPr="003420BC">
        <w:rPr>
          <w:rFonts w:ascii="Times New Roman" w:hAnsi="Times New Roman" w:cs="Times New Roman"/>
          <w:b/>
          <w:bCs/>
          <w:sz w:val="28"/>
          <w:szCs w:val="28"/>
        </w:rPr>
        <w:t>Panel stationarity and cointegration tests</w:t>
      </w:r>
    </w:p>
    <w:p w14:paraId="1A78DBB9" w14:textId="5C07085E" w:rsidR="00730B62" w:rsidRPr="003420BC" w:rsidRDefault="009208D1" w:rsidP="003420BC">
      <w:pPr>
        <w:spacing w:line="240" w:lineRule="auto"/>
        <w:jc w:val="both"/>
        <w:rPr>
          <w:rFonts w:ascii="Times New Roman" w:hAnsi="Times New Roman" w:cs="Times New Roman"/>
          <w:sz w:val="24"/>
          <w:szCs w:val="24"/>
        </w:rPr>
      </w:pPr>
      <w:r w:rsidRPr="003420BC">
        <w:rPr>
          <w:rFonts w:ascii="Times New Roman" w:hAnsi="Times New Roman" w:cs="Times New Roman"/>
          <w:sz w:val="24"/>
          <w:szCs w:val="24"/>
        </w:rPr>
        <w:t xml:space="preserve">We </w:t>
      </w:r>
      <w:r w:rsidR="0019298B" w:rsidRPr="003420BC">
        <w:rPr>
          <w:rFonts w:ascii="Times New Roman" w:hAnsi="Times New Roman" w:cs="Times New Roman"/>
          <w:sz w:val="24"/>
          <w:szCs w:val="24"/>
        </w:rPr>
        <w:t xml:space="preserve">have </w:t>
      </w:r>
      <w:r w:rsidRPr="003420BC">
        <w:rPr>
          <w:rFonts w:ascii="Times New Roman" w:hAnsi="Times New Roman" w:cs="Times New Roman"/>
          <w:sz w:val="24"/>
          <w:szCs w:val="24"/>
        </w:rPr>
        <w:t>use</w:t>
      </w:r>
      <w:r w:rsidR="0019298B" w:rsidRPr="003420BC">
        <w:rPr>
          <w:rFonts w:ascii="Times New Roman" w:hAnsi="Times New Roman" w:cs="Times New Roman"/>
          <w:sz w:val="24"/>
          <w:szCs w:val="24"/>
        </w:rPr>
        <w:t>d</w:t>
      </w:r>
      <w:r w:rsidRPr="003420BC">
        <w:rPr>
          <w:rFonts w:ascii="Times New Roman" w:hAnsi="Times New Roman" w:cs="Times New Roman"/>
          <w:sz w:val="24"/>
          <w:szCs w:val="24"/>
        </w:rPr>
        <w:t xml:space="preserve"> </w:t>
      </w:r>
      <w:r w:rsidR="00730B62" w:rsidRPr="003420BC">
        <w:rPr>
          <w:rFonts w:ascii="Times New Roman" w:hAnsi="Times New Roman" w:cs="Times New Roman"/>
          <w:sz w:val="24"/>
          <w:szCs w:val="24"/>
        </w:rPr>
        <w:t>current</w:t>
      </w:r>
      <w:r w:rsidRPr="003420BC">
        <w:rPr>
          <w:rFonts w:ascii="Times New Roman" w:hAnsi="Times New Roman" w:cs="Times New Roman"/>
          <w:sz w:val="24"/>
          <w:szCs w:val="24"/>
        </w:rPr>
        <w:t xml:space="preserve"> </w:t>
      </w:r>
      <w:r w:rsidR="0019298B" w:rsidRPr="003420BC">
        <w:rPr>
          <w:rFonts w:ascii="Times New Roman" w:hAnsi="Times New Roman" w:cs="Times New Roman"/>
          <w:sz w:val="24"/>
          <w:szCs w:val="24"/>
        </w:rPr>
        <w:t xml:space="preserve">econometrics </w:t>
      </w:r>
      <w:r w:rsidRPr="003420BC">
        <w:rPr>
          <w:rFonts w:ascii="Times New Roman" w:hAnsi="Times New Roman" w:cs="Times New Roman"/>
          <w:sz w:val="24"/>
          <w:szCs w:val="24"/>
        </w:rPr>
        <w:t>developments in non-stationary dynamic panel to test our four research hypotheses.</w:t>
      </w:r>
      <w:r w:rsidR="0019298B" w:rsidRPr="003420BC">
        <w:rPr>
          <w:rFonts w:ascii="Times New Roman" w:hAnsi="Times New Roman" w:cs="Times New Roman"/>
          <w:sz w:val="24"/>
          <w:szCs w:val="24"/>
        </w:rPr>
        <w:t xml:space="preserve"> </w:t>
      </w:r>
      <w:r w:rsidRPr="003420BC">
        <w:rPr>
          <w:rFonts w:ascii="Times New Roman" w:hAnsi="Times New Roman" w:cs="Times New Roman"/>
          <w:sz w:val="24"/>
          <w:szCs w:val="24"/>
        </w:rPr>
        <w:t xml:space="preserve">First, for </w:t>
      </w:r>
      <w:r w:rsidR="00E156E7">
        <w:rPr>
          <w:rFonts w:ascii="Times New Roman" w:hAnsi="Times New Roman" w:cs="Times New Roman"/>
          <w:sz w:val="24"/>
          <w:szCs w:val="24"/>
        </w:rPr>
        <w:t xml:space="preserve">panel </w:t>
      </w:r>
      <w:r w:rsidRPr="003420BC">
        <w:rPr>
          <w:rFonts w:ascii="Times New Roman" w:hAnsi="Times New Roman" w:cs="Times New Roman"/>
          <w:sz w:val="24"/>
          <w:szCs w:val="24"/>
        </w:rPr>
        <w:t xml:space="preserve">stationarity tests, we </w:t>
      </w:r>
      <w:r w:rsidR="0019298B" w:rsidRPr="003420BC">
        <w:rPr>
          <w:rFonts w:ascii="Times New Roman" w:hAnsi="Times New Roman" w:cs="Times New Roman"/>
          <w:sz w:val="24"/>
          <w:szCs w:val="24"/>
        </w:rPr>
        <w:t>have u</w:t>
      </w:r>
      <w:r w:rsidR="00730B62" w:rsidRPr="003420BC">
        <w:rPr>
          <w:rFonts w:ascii="Times New Roman" w:hAnsi="Times New Roman" w:cs="Times New Roman"/>
          <w:sz w:val="24"/>
          <w:szCs w:val="24"/>
        </w:rPr>
        <w:t>sed</w:t>
      </w:r>
      <w:r w:rsidRPr="003420BC">
        <w:rPr>
          <w:rFonts w:ascii="Times New Roman" w:hAnsi="Times New Roman" w:cs="Times New Roman"/>
          <w:sz w:val="24"/>
          <w:szCs w:val="24"/>
        </w:rPr>
        <w:t xml:space="preserve"> the</w:t>
      </w:r>
      <w:r w:rsidR="00E156E7">
        <w:rPr>
          <w:rFonts w:ascii="Times New Roman" w:hAnsi="Times New Roman" w:cs="Times New Roman"/>
          <w:sz w:val="24"/>
          <w:szCs w:val="24"/>
        </w:rPr>
        <w:t xml:space="preserve"> unit root </w:t>
      </w:r>
      <w:r w:rsidRPr="003420BC">
        <w:rPr>
          <w:rFonts w:ascii="Times New Roman" w:hAnsi="Times New Roman" w:cs="Times New Roman"/>
          <w:sz w:val="24"/>
          <w:szCs w:val="24"/>
        </w:rPr>
        <w:t>test of Im, Pesaran and Shin (2003)</w:t>
      </w:r>
      <w:r w:rsidR="00730B62" w:rsidRPr="003420BC">
        <w:rPr>
          <w:rFonts w:ascii="Times New Roman" w:hAnsi="Times New Roman" w:cs="Times New Roman"/>
          <w:sz w:val="24"/>
          <w:szCs w:val="24"/>
        </w:rPr>
        <w:t xml:space="preserve"> which allows, under the alternative hypothesis, the heterogeneity of the autoregressive root as well as the heterogeneity regarding the presence of a unit root in the panel.</w:t>
      </w:r>
    </w:p>
    <w:p w14:paraId="45F4FDD1" w14:textId="7C762D6B" w:rsidR="009208D1" w:rsidRPr="003420BC" w:rsidRDefault="0087505D" w:rsidP="003420BC">
      <w:pPr>
        <w:spacing w:line="240" w:lineRule="auto"/>
        <w:jc w:val="both"/>
        <w:rPr>
          <w:rFonts w:ascii="Times New Roman" w:hAnsi="Times New Roman" w:cs="Times New Roman"/>
          <w:sz w:val="24"/>
          <w:szCs w:val="24"/>
        </w:rPr>
      </w:pPr>
      <w:r w:rsidRPr="003420BC">
        <w:rPr>
          <w:rFonts w:ascii="Times New Roman" w:hAnsi="Times New Roman" w:cs="Times New Roman"/>
          <w:sz w:val="24"/>
          <w:szCs w:val="24"/>
        </w:rPr>
        <w:t xml:space="preserve">As we know, the </w:t>
      </w:r>
      <w:r w:rsidR="00E156E7">
        <w:rPr>
          <w:rFonts w:ascii="Times New Roman" w:hAnsi="Times New Roman" w:cs="Times New Roman"/>
          <w:sz w:val="24"/>
          <w:szCs w:val="24"/>
        </w:rPr>
        <w:t xml:space="preserve">unit root </w:t>
      </w:r>
      <w:r w:rsidRPr="003420BC">
        <w:rPr>
          <w:rFonts w:ascii="Times New Roman" w:hAnsi="Times New Roman" w:cs="Times New Roman"/>
          <w:sz w:val="24"/>
          <w:szCs w:val="24"/>
        </w:rPr>
        <w:t>test of Im, Pesaran and Shin (2003) is based on two simple statistics calculated by the average of the individual statistics of the “Dickey-Fuller” (DF) or “Dickey-Fuller Augmented” (ADF). In addition, the robustness of the ADF (K) tests is very sensitive to the number of number of delays K. For this reason, we have been careful in the choice of the optimal number of delays K* by using three criteria: the Akaike information criterion (AIK), the Schwartz criterion (SC) and the Hannan-Quinn criterion (HQC).</w:t>
      </w:r>
    </w:p>
    <w:p w14:paraId="7A422E04" w14:textId="2C27B649" w:rsidR="0053649B" w:rsidRPr="003420BC" w:rsidRDefault="0053649B" w:rsidP="003420BC">
      <w:pPr>
        <w:spacing w:line="240" w:lineRule="auto"/>
        <w:jc w:val="both"/>
        <w:rPr>
          <w:rFonts w:ascii="Times New Roman" w:hAnsi="Times New Roman" w:cs="Times New Roman"/>
          <w:sz w:val="24"/>
          <w:szCs w:val="24"/>
        </w:rPr>
      </w:pPr>
      <w:r w:rsidRPr="003420BC">
        <w:rPr>
          <w:rFonts w:ascii="Times New Roman" w:hAnsi="Times New Roman" w:cs="Times New Roman"/>
          <w:sz w:val="24"/>
          <w:szCs w:val="24"/>
        </w:rPr>
        <w:t xml:space="preserve">Subsequently, for the </w:t>
      </w:r>
      <w:r w:rsidR="00E156E7">
        <w:rPr>
          <w:rFonts w:ascii="Times New Roman" w:hAnsi="Times New Roman" w:cs="Times New Roman"/>
          <w:sz w:val="24"/>
          <w:szCs w:val="24"/>
        </w:rPr>
        <w:t xml:space="preserve">panel </w:t>
      </w:r>
      <w:r w:rsidRPr="003420BC">
        <w:rPr>
          <w:rFonts w:ascii="Times New Roman" w:hAnsi="Times New Roman" w:cs="Times New Roman"/>
          <w:sz w:val="24"/>
          <w:szCs w:val="24"/>
        </w:rPr>
        <w:t>cointegration test, we have used the test</w:t>
      </w:r>
      <w:r w:rsidR="00E156E7">
        <w:rPr>
          <w:rFonts w:ascii="Times New Roman" w:hAnsi="Times New Roman" w:cs="Times New Roman"/>
          <w:sz w:val="24"/>
          <w:szCs w:val="24"/>
        </w:rPr>
        <w:t xml:space="preserve">s </w:t>
      </w:r>
      <w:r w:rsidRPr="003420BC">
        <w:rPr>
          <w:rFonts w:ascii="Times New Roman" w:hAnsi="Times New Roman" w:cs="Times New Roman"/>
          <w:sz w:val="24"/>
          <w:szCs w:val="24"/>
        </w:rPr>
        <w:t>of Pedroni (2004) which ha</w:t>
      </w:r>
      <w:r w:rsidR="003D1C16" w:rsidRPr="003420BC">
        <w:rPr>
          <w:rFonts w:ascii="Times New Roman" w:hAnsi="Times New Roman" w:cs="Times New Roman"/>
          <w:sz w:val="24"/>
          <w:szCs w:val="24"/>
        </w:rPr>
        <w:t>ve</w:t>
      </w:r>
      <w:r w:rsidRPr="003420BC">
        <w:rPr>
          <w:rFonts w:ascii="Times New Roman" w:hAnsi="Times New Roman" w:cs="Times New Roman"/>
          <w:sz w:val="24"/>
          <w:szCs w:val="24"/>
        </w:rPr>
        <w:t xml:space="preserve"> several advantages over other</w:t>
      </w:r>
      <w:r w:rsidR="00E156E7">
        <w:rPr>
          <w:rFonts w:ascii="Times New Roman" w:hAnsi="Times New Roman" w:cs="Times New Roman"/>
          <w:sz w:val="24"/>
          <w:szCs w:val="24"/>
        </w:rPr>
        <w:t xml:space="preserve"> </w:t>
      </w:r>
      <w:r w:rsidRPr="003420BC">
        <w:rPr>
          <w:rFonts w:ascii="Times New Roman" w:hAnsi="Times New Roman" w:cs="Times New Roman"/>
          <w:sz w:val="24"/>
          <w:szCs w:val="24"/>
        </w:rPr>
        <w:t>cointegration tests on panel data that exist in the literature. Indeed, the test</w:t>
      </w:r>
      <w:r w:rsidR="003D1C16" w:rsidRPr="003420BC">
        <w:rPr>
          <w:rFonts w:ascii="Times New Roman" w:hAnsi="Times New Roman" w:cs="Times New Roman"/>
          <w:sz w:val="24"/>
          <w:szCs w:val="24"/>
        </w:rPr>
        <w:t>s</w:t>
      </w:r>
      <w:r w:rsidRPr="003420BC">
        <w:rPr>
          <w:rFonts w:ascii="Times New Roman" w:hAnsi="Times New Roman" w:cs="Times New Roman"/>
          <w:sz w:val="24"/>
          <w:szCs w:val="24"/>
        </w:rPr>
        <w:t xml:space="preserve"> of Pedroni (2004), as the stationarity test of Im, Pesaran and Shin (2003), consider</w:t>
      </w:r>
      <w:r w:rsidR="003D1C16" w:rsidRPr="003420BC">
        <w:rPr>
          <w:rFonts w:ascii="Times New Roman" w:hAnsi="Times New Roman" w:cs="Times New Roman"/>
          <w:sz w:val="24"/>
          <w:szCs w:val="24"/>
        </w:rPr>
        <w:t xml:space="preserve"> </w:t>
      </w:r>
      <w:r w:rsidRPr="003420BC">
        <w:rPr>
          <w:rFonts w:ascii="Times New Roman" w:hAnsi="Times New Roman" w:cs="Times New Roman"/>
          <w:sz w:val="24"/>
          <w:szCs w:val="24"/>
        </w:rPr>
        <w:t xml:space="preserve">the heterogeneity of individuals (i.e., companies) through the specific parameters for each individual </w:t>
      </w:r>
      <w:r w:rsidRPr="003420BC">
        <w:rPr>
          <w:rFonts w:ascii="Times New Roman" w:hAnsi="Times New Roman" w:cs="Times New Roman"/>
          <w:sz w:val="24"/>
          <w:szCs w:val="24"/>
        </w:rPr>
        <w:lastRenderedPageBreak/>
        <w:t xml:space="preserve">(i.e., company) of the sample. This heterogeneity can be found at the level of long-run equilibrium relationships (i.e., cointegration relationships) as well as at the level of short-run dynamics. This means that, in the alternative hypothesis, there is a cointegrating relation for each individual (i.e., company) with the possibility that this cointegration relationship may differ from an individual (i.e., company) to the other. Finally, We note that the permission of such heterogeneity constitutes an undeniable advantage since in practice, it is unusual for the cointegrating vector to be identical for all the individuals (i.e., companies) </w:t>
      </w:r>
      <w:r w:rsidR="00E156E7">
        <w:rPr>
          <w:rFonts w:ascii="Times New Roman" w:hAnsi="Times New Roman" w:cs="Times New Roman"/>
          <w:sz w:val="24"/>
          <w:szCs w:val="24"/>
        </w:rPr>
        <w:t>of</w:t>
      </w:r>
      <w:r w:rsidRPr="003420BC">
        <w:rPr>
          <w:rFonts w:ascii="Times New Roman" w:hAnsi="Times New Roman" w:cs="Times New Roman"/>
          <w:sz w:val="24"/>
          <w:szCs w:val="24"/>
        </w:rPr>
        <w:t xml:space="preserve"> the panel.</w:t>
      </w:r>
    </w:p>
    <w:p w14:paraId="2C873C79" w14:textId="1C0B07DA" w:rsidR="00897275" w:rsidRPr="00F07504" w:rsidRDefault="007F4000" w:rsidP="003420BC">
      <w:pPr>
        <w:spacing w:line="240" w:lineRule="auto"/>
        <w:jc w:val="both"/>
        <w:rPr>
          <w:rFonts w:ascii="Times New Roman" w:hAnsi="Times New Roman" w:cs="Times New Roman"/>
          <w:sz w:val="24"/>
          <w:szCs w:val="24"/>
        </w:rPr>
      </w:pPr>
      <w:r w:rsidRPr="00C05C3F">
        <w:rPr>
          <w:rFonts w:ascii="Times New Roman" w:hAnsi="Times New Roman" w:cs="Times New Roman"/>
          <w:sz w:val="24"/>
          <w:szCs w:val="24"/>
        </w:rPr>
        <w:t xml:space="preserve">Pedroni (2004) has proposed seven </w:t>
      </w:r>
      <w:r w:rsidR="00C05C3F" w:rsidRPr="00C05C3F">
        <w:rPr>
          <w:rFonts w:ascii="Times New Roman" w:hAnsi="Times New Roman" w:cs="Times New Roman"/>
          <w:sz w:val="24"/>
          <w:szCs w:val="24"/>
        </w:rPr>
        <w:t>statistics to test the null hypothesis of no cointegration.</w:t>
      </w:r>
      <w:r w:rsidRPr="00C05C3F">
        <w:rPr>
          <w:rFonts w:ascii="Times New Roman" w:hAnsi="Times New Roman" w:cs="Times New Roman"/>
          <w:sz w:val="24"/>
          <w:szCs w:val="24"/>
        </w:rPr>
        <w:t xml:space="preserve"> </w:t>
      </w:r>
      <w:r w:rsidR="00C05C3F" w:rsidRPr="00C05C3F">
        <w:rPr>
          <w:rFonts w:ascii="Times New Roman" w:hAnsi="Times New Roman" w:cs="Times New Roman"/>
          <w:sz w:val="24"/>
          <w:szCs w:val="24"/>
        </w:rPr>
        <w:t>F</w:t>
      </w:r>
      <w:r w:rsidRPr="00C05C3F">
        <w:rPr>
          <w:rFonts w:ascii="Times New Roman" w:hAnsi="Times New Roman" w:cs="Times New Roman"/>
          <w:sz w:val="24"/>
          <w:szCs w:val="24"/>
        </w:rPr>
        <w:t xml:space="preserve">our </w:t>
      </w:r>
      <w:r w:rsidR="00C05C3F" w:rsidRPr="00C05C3F">
        <w:rPr>
          <w:rFonts w:ascii="Times New Roman" w:hAnsi="Times New Roman" w:cs="Times New Roman"/>
          <w:sz w:val="24"/>
          <w:szCs w:val="24"/>
        </w:rPr>
        <w:t>of these statistics</w:t>
      </w:r>
      <w:r w:rsidRPr="00C05C3F">
        <w:rPr>
          <w:rFonts w:ascii="Times New Roman" w:hAnsi="Times New Roman" w:cs="Times New Roman"/>
          <w:sz w:val="24"/>
          <w:szCs w:val="24"/>
        </w:rPr>
        <w:t xml:space="preserve"> </w:t>
      </w:r>
      <w:r w:rsidR="00C05C3F" w:rsidRPr="00C05C3F">
        <w:rPr>
          <w:rFonts w:ascii="Times New Roman" w:hAnsi="Times New Roman" w:cs="Times New Roman"/>
          <w:sz w:val="24"/>
          <w:szCs w:val="24"/>
        </w:rPr>
        <w:t xml:space="preserve">are </w:t>
      </w:r>
      <w:r w:rsidRPr="00C05C3F">
        <w:rPr>
          <w:rFonts w:ascii="Times New Roman" w:hAnsi="Times New Roman" w:cs="Times New Roman"/>
          <w:sz w:val="24"/>
          <w:szCs w:val="24"/>
        </w:rPr>
        <w:t>based on the</w:t>
      </w:r>
      <w:r w:rsidR="007122E6" w:rsidRPr="00C05C3F">
        <w:rPr>
          <w:rFonts w:ascii="Times New Roman" w:hAnsi="Times New Roman" w:cs="Times New Roman"/>
          <w:sz w:val="24"/>
          <w:szCs w:val="24"/>
        </w:rPr>
        <w:t xml:space="preserve"> within</w:t>
      </w:r>
      <w:r w:rsidRPr="00C05C3F">
        <w:rPr>
          <w:rFonts w:ascii="Times New Roman" w:hAnsi="Times New Roman" w:cs="Times New Roman"/>
          <w:sz w:val="24"/>
          <w:szCs w:val="24"/>
        </w:rPr>
        <w:t xml:space="preserve">-dimension </w:t>
      </w:r>
      <w:r w:rsidR="00C05C3F" w:rsidRPr="00C05C3F">
        <w:rPr>
          <w:rStyle w:val="A6"/>
          <w:rFonts w:ascii="Times New Roman" w:hAnsi="Times New Roman" w:cs="Times New Roman"/>
          <w:sz w:val="24"/>
          <w:szCs w:val="24"/>
        </w:rPr>
        <w:t>called panel cointegration statistics</w:t>
      </w:r>
      <w:r w:rsidR="00C05C3F" w:rsidRPr="00C05C3F">
        <w:rPr>
          <w:rStyle w:val="A6"/>
          <w:rFonts w:ascii="Times New Roman" w:hAnsi="Times New Roman" w:cs="Times New Roman"/>
          <w:sz w:val="24"/>
          <w:szCs w:val="24"/>
        </w:rPr>
        <w:t xml:space="preserve">, namely </w:t>
      </w:r>
      <w:r w:rsidR="00C05C3F" w:rsidRPr="00C05C3F">
        <w:rPr>
          <w:rStyle w:val="A6"/>
          <w:rFonts w:ascii="Times New Roman" w:hAnsi="Times New Roman" w:cs="Times New Roman"/>
          <w:sz w:val="24"/>
          <w:szCs w:val="24"/>
        </w:rPr>
        <w:t>panel v-statistic, panel Rho-statistic, panel PP-statistic and panel ADF-statistic.</w:t>
      </w:r>
      <w:r w:rsidR="00C05C3F" w:rsidRPr="00C05C3F">
        <w:rPr>
          <w:rStyle w:val="Header"/>
          <w:rFonts w:ascii="Times New Roman" w:hAnsi="Times New Roman" w:cs="Times New Roman"/>
          <w:sz w:val="24"/>
          <w:szCs w:val="24"/>
        </w:rPr>
        <w:t xml:space="preserve"> </w:t>
      </w:r>
      <w:r w:rsidR="00C05C3F" w:rsidRPr="00C05C3F">
        <w:rPr>
          <w:rStyle w:val="A6"/>
          <w:rFonts w:ascii="Times New Roman" w:hAnsi="Times New Roman" w:cs="Times New Roman"/>
          <w:sz w:val="24"/>
          <w:szCs w:val="24"/>
        </w:rPr>
        <w:t>The other three statistics are based</w:t>
      </w:r>
      <w:r w:rsidRPr="00C05C3F">
        <w:rPr>
          <w:rFonts w:ascii="Times New Roman" w:hAnsi="Times New Roman" w:cs="Times New Roman"/>
          <w:sz w:val="24"/>
          <w:szCs w:val="24"/>
        </w:rPr>
        <w:t xml:space="preserve"> on the </w:t>
      </w:r>
      <w:r w:rsidR="007122E6" w:rsidRPr="00C05C3F">
        <w:rPr>
          <w:rFonts w:ascii="Times New Roman" w:hAnsi="Times New Roman" w:cs="Times New Roman"/>
          <w:sz w:val="24"/>
          <w:szCs w:val="24"/>
        </w:rPr>
        <w:t>between</w:t>
      </w:r>
      <w:r w:rsidRPr="00C05C3F">
        <w:rPr>
          <w:rFonts w:ascii="Times New Roman" w:hAnsi="Times New Roman" w:cs="Times New Roman"/>
          <w:sz w:val="24"/>
          <w:szCs w:val="24"/>
        </w:rPr>
        <w:t xml:space="preserve">-dimension </w:t>
      </w:r>
      <w:r w:rsidR="00C05C3F" w:rsidRPr="00C05C3F">
        <w:rPr>
          <w:rStyle w:val="A6"/>
          <w:rFonts w:ascii="Times New Roman" w:hAnsi="Times New Roman" w:cs="Times New Roman"/>
          <w:sz w:val="24"/>
          <w:szCs w:val="24"/>
        </w:rPr>
        <w:t>called group-mean panel cointegration statis</w:t>
      </w:r>
      <w:r w:rsidR="00C05C3F" w:rsidRPr="00C05C3F">
        <w:rPr>
          <w:rStyle w:val="A6"/>
          <w:rFonts w:ascii="Times New Roman" w:hAnsi="Times New Roman" w:cs="Times New Roman"/>
          <w:sz w:val="24"/>
          <w:szCs w:val="24"/>
        </w:rPr>
        <w:softHyphen/>
        <w:t>tics</w:t>
      </w:r>
      <w:r w:rsidR="00C05C3F" w:rsidRPr="00C05C3F">
        <w:rPr>
          <w:rStyle w:val="A6"/>
          <w:rFonts w:ascii="Times New Roman" w:hAnsi="Times New Roman" w:cs="Times New Roman"/>
          <w:sz w:val="24"/>
          <w:szCs w:val="24"/>
        </w:rPr>
        <w:t>, namely</w:t>
      </w:r>
      <w:r w:rsidR="00C05C3F" w:rsidRPr="00C05C3F">
        <w:rPr>
          <w:rStyle w:val="A6"/>
          <w:rFonts w:ascii="Times New Roman" w:hAnsi="Times New Roman" w:cs="Times New Roman"/>
          <w:sz w:val="24"/>
          <w:szCs w:val="24"/>
        </w:rPr>
        <w:t xml:space="preserve"> group Rho-statistic, group PP-statistic</w:t>
      </w:r>
      <w:r w:rsidR="00C05C3F" w:rsidRPr="00C05C3F">
        <w:rPr>
          <w:rStyle w:val="A6"/>
          <w:rFonts w:ascii="Times New Roman" w:hAnsi="Times New Roman" w:cs="Times New Roman"/>
          <w:sz w:val="24"/>
          <w:szCs w:val="24"/>
        </w:rPr>
        <w:t>,</w:t>
      </w:r>
      <w:r w:rsidR="00C05C3F" w:rsidRPr="00C05C3F">
        <w:rPr>
          <w:rStyle w:val="A6"/>
          <w:rFonts w:ascii="Times New Roman" w:hAnsi="Times New Roman" w:cs="Times New Roman"/>
          <w:sz w:val="24"/>
          <w:szCs w:val="24"/>
        </w:rPr>
        <w:t xml:space="preserve"> and group ADF-statistic</w:t>
      </w:r>
      <w:r w:rsidR="00C05C3F" w:rsidRPr="00C05C3F">
        <w:rPr>
          <w:rStyle w:val="A6"/>
          <w:rFonts w:ascii="Times New Roman" w:hAnsi="Times New Roman" w:cs="Times New Roman"/>
          <w:sz w:val="24"/>
          <w:szCs w:val="24"/>
        </w:rPr>
        <w:t>.</w:t>
      </w:r>
      <w:r w:rsidR="00246D12">
        <w:rPr>
          <w:rStyle w:val="A6"/>
          <w:rFonts w:ascii="Times New Roman" w:hAnsi="Times New Roman" w:cs="Times New Roman"/>
          <w:sz w:val="24"/>
          <w:szCs w:val="24"/>
        </w:rPr>
        <w:t xml:space="preserve"> </w:t>
      </w:r>
      <w:r w:rsidR="003D1C16" w:rsidRPr="00F07504">
        <w:rPr>
          <w:rFonts w:ascii="Times New Roman" w:hAnsi="Times New Roman" w:cs="Times New Roman"/>
          <w:sz w:val="24"/>
          <w:szCs w:val="24"/>
        </w:rPr>
        <w:t xml:space="preserve">It should be noted that the </w:t>
      </w:r>
      <w:r w:rsidR="00246D12">
        <w:rPr>
          <w:rFonts w:ascii="Times New Roman" w:hAnsi="Times New Roman" w:cs="Times New Roman"/>
          <w:sz w:val="24"/>
          <w:szCs w:val="24"/>
        </w:rPr>
        <w:t>seven statistics</w:t>
      </w:r>
      <w:r w:rsidR="003D1C16" w:rsidRPr="00F07504">
        <w:rPr>
          <w:rFonts w:ascii="Times New Roman" w:hAnsi="Times New Roman" w:cs="Times New Roman"/>
          <w:sz w:val="24"/>
          <w:szCs w:val="24"/>
        </w:rPr>
        <w:t xml:space="preserve"> of Pedroni (2004) are carried out on a specification with constant and deterministic </w:t>
      </w:r>
      <w:r w:rsidR="00AF26C6" w:rsidRPr="00F07504">
        <w:rPr>
          <w:rFonts w:ascii="Times New Roman" w:hAnsi="Times New Roman" w:cs="Times New Roman"/>
          <w:sz w:val="24"/>
          <w:szCs w:val="24"/>
        </w:rPr>
        <w:t>trend</w:t>
      </w:r>
      <w:r w:rsidR="003D1C16" w:rsidRPr="00F07504">
        <w:rPr>
          <w:rFonts w:ascii="Times New Roman" w:hAnsi="Times New Roman" w:cs="Times New Roman"/>
          <w:sz w:val="24"/>
          <w:szCs w:val="24"/>
        </w:rPr>
        <w:t xml:space="preserve">. </w:t>
      </w:r>
      <w:r w:rsidR="00AC2001" w:rsidRPr="00F07504">
        <w:rPr>
          <w:rFonts w:ascii="Times New Roman" w:hAnsi="Times New Roman" w:cs="Times New Roman"/>
          <w:sz w:val="24"/>
          <w:szCs w:val="24"/>
        </w:rPr>
        <w:t>F</w:t>
      </w:r>
      <w:r w:rsidR="00246D12">
        <w:rPr>
          <w:rFonts w:ascii="Times New Roman" w:hAnsi="Times New Roman" w:cs="Times New Roman"/>
          <w:sz w:val="24"/>
          <w:szCs w:val="24"/>
        </w:rPr>
        <w:t>urthermore</w:t>
      </w:r>
      <w:r w:rsidR="003D1C16" w:rsidRPr="00F07504">
        <w:rPr>
          <w:rFonts w:ascii="Times New Roman" w:hAnsi="Times New Roman" w:cs="Times New Roman"/>
          <w:sz w:val="24"/>
          <w:szCs w:val="24"/>
        </w:rPr>
        <w:t xml:space="preserve">, the tests of Pedroni (2004), as the test of Im, Pesaran and Shin (2003), admit the hypothesis of independence between individuals (i.e., companies) since they belong to </w:t>
      </w:r>
      <w:r w:rsidR="00246D12" w:rsidRPr="00F07504">
        <w:rPr>
          <w:rFonts w:ascii="Times New Roman" w:hAnsi="Times New Roman" w:cs="Times New Roman"/>
          <w:sz w:val="24"/>
          <w:szCs w:val="24"/>
        </w:rPr>
        <w:t>the first generation</w:t>
      </w:r>
      <w:r w:rsidR="00246D12">
        <w:rPr>
          <w:rFonts w:ascii="Times New Roman" w:hAnsi="Times New Roman" w:cs="Times New Roman"/>
          <w:sz w:val="24"/>
          <w:szCs w:val="24"/>
        </w:rPr>
        <w:t xml:space="preserve"> of </w:t>
      </w:r>
      <w:r w:rsidR="003D1C16" w:rsidRPr="00F07504">
        <w:rPr>
          <w:rFonts w:ascii="Times New Roman" w:hAnsi="Times New Roman" w:cs="Times New Roman"/>
          <w:sz w:val="24"/>
          <w:szCs w:val="24"/>
        </w:rPr>
        <w:t>tests</w:t>
      </w:r>
      <w:r w:rsidR="00246D12">
        <w:rPr>
          <w:rFonts w:ascii="Times New Roman" w:hAnsi="Times New Roman" w:cs="Times New Roman"/>
          <w:sz w:val="24"/>
          <w:szCs w:val="24"/>
        </w:rPr>
        <w:t xml:space="preserve"> on panel data.</w:t>
      </w:r>
    </w:p>
    <w:p w14:paraId="53EF2666" w14:textId="5F1E7519" w:rsidR="00AC2001" w:rsidRPr="00F07504" w:rsidRDefault="00AC2001" w:rsidP="003420BC">
      <w:pPr>
        <w:autoSpaceDE w:val="0"/>
        <w:autoSpaceDN w:val="0"/>
        <w:adjustRightInd w:val="0"/>
        <w:spacing w:after="0" w:line="240" w:lineRule="auto"/>
        <w:jc w:val="both"/>
        <w:rPr>
          <w:rFonts w:ascii="Times New Roman" w:hAnsi="Times New Roman" w:cs="Times New Roman"/>
          <w:sz w:val="24"/>
          <w:szCs w:val="24"/>
        </w:rPr>
      </w:pPr>
      <w:r w:rsidRPr="00F07504">
        <w:rPr>
          <w:rFonts w:ascii="Times New Roman" w:hAnsi="Times New Roman" w:cs="Times New Roman"/>
          <w:sz w:val="24"/>
          <w:szCs w:val="24"/>
        </w:rPr>
        <w:t>The models to be tested which correspond to our four research hypotheses are as follows:</w:t>
      </w:r>
    </w:p>
    <w:p w14:paraId="7D8483EB" w14:textId="77777777" w:rsidR="00AC2001" w:rsidRPr="00F07504" w:rsidRDefault="00AC2001" w:rsidP="003420BC">
      <w:pPr>
        <w:autoSpaceDE w:val="0"/>
        <w:autoSpaceDN w:val="0"/>
        <w:adjustRightInd w:val="0"/>
        <w:spacing w:after="0" w:line="240" w:lineRule="auto"/>
        <w:jc w:val="both"/>
        <w:rPr>
          <w:rFonts w:ascii="Times New Roman" w:hAnsi="Times New Roman" w:cs="Times New Roman"/>
          <w:sz w:val="24"/>
          <w:szCs w:val="24"/>
        </w:rPr>
      </w:pPr>
    </w:p>
    <w:p w14:paraId="18A10115" w14:textId="2F8A12E9" w:rsidR="00AC2001" w:rsidRPr="00CF3B1E" w:rsidRDefault="00AC2001" w:rsidP="003420BC">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b/>
          <w:sz w:val="24"/>
          <w:szCs w:val="24"/>
        </w:rPr>
        <w:t>Model 1</w:t>
      </w: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LIQR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73B336ED" w14:textId="3198B4E1" w:rsidR="00AC2001" w:rsidRPr="00CF3B1E" w:rsidRDefault="00AC2001" w:rsidP="003420BC">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b/>
          <w:sz w:val="24"/>
          <w:szCs w:val="24"/>
        </w:rPr>
        <w:t>Model 2</w:t>
      </w: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EFFR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3D4F1A0F" w14:textId="75ADD629" w:rsidR="00AC2001" w:rsidRPr="00CF3B1E" w:rsidRDefault="00AC2001" w:rsidP="003420BC">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b/>
          <w:sz w:val="24"/>
          <w:szCs w:val="24"/>
        </w:rPr>
        <w:t>Model 3</w:t>
      </w: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PROR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1EA783F3" w14:textId="0903D9F9" w:rsidR="00AC2001" w:rsidRPr="00CF3B1E" w:rsidRDefault="00AC2001" w:rsidP="003420BC">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b/>
          <w:sz w:val="24"/>
          <w:szCs w:val="24"/>
        </w:rPr>
        <w:t>Model 4</w:t>
      </w: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SOLR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5C87B29D" w14:textId="12719D7F" w:rsidR="00AC2001" w:rsidRPr="00CF3B1E" w:rsidRDefault="00AC2001" w:rsidP="003420BC">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with,</w:t>
      </w:r>
    </w:p>
    <w:p w14:paraId="5CDC0B79" w14:textId="4163B56E" w:rsidR="00AC2001" w:rsidRPr="00CF3B1E" w:rsidRDefault="00AC2001" w:rsidP="003420BC">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w:t>
      </w:r>
      <w:r w:rsidRPr="00CF3B1E">
        <w:rPr>
          <w:rFonts w:ascii="Times New Roman" w:eastAsiaTheme="minorEastAsia" w:hAnsi="Times New Roman" w:cs="Times New Roman"/>
          <w:sz w:val="24"/>
          <w:szCs w:val="24"/>
        </w:rPr>
        <w:t xml:space="preserve"> </w:t>
      </w:r>
      <w:r w:rsidRPr="00CF3B1E">
        <w:rPr>
          <w:rFonts w:ascii="Times New Roman" w:hAnsi="Times New Roman" w:cs="Times New Roman"/>
          <w:sz w:val="24"/>
          <w:szCs w:val="24"/>
        </w:rPr>
        <w:t xml:space="preserve">operating cash flows to total assets ratio </w:t>
      </w:r>
      <w:r w:rsidR="00A73700" w:rsidRPr="00CF3B1E">
        <w:rPr>
          <w:rFonts w:ascii="Times New Roman" w:hAnsi="Times New Roman" w:cs="Times New Roman"/>
          <w:sz w:val="24"/>
          <w:szCs w:val="24"/>
        </w:rPr>
        <w:t xml:space="preserve">of </w:t>
      </w:r>
      <w:r w:rsidRPr="00CF3B1E">
        <w:rPr>
          <w:rFonts w:ascii="Times New Roman" w:hAnsi="Times New Roman" w:cs="Times New Roman"/>
          <w:sz w:val="24"/>
          <w:szCs w:val="24"/>
        </w:rPr>
        <w:t xml:space="preserve">company </w:t>
      </w:r>
      <w:proofErr w:type="spellStart"/>
      <w:r w:rsidRPr="00CF3B1E">
        <w:rPr>
          <w:rFonts w:ascii="Times New Roman" w:hAnsi="Times New Roman" w:cs="Times New Roman"/>
          <w:sz w:val="24"/>
          <w:szCs w:val="24"/>
        </w:rPr>
        <w:t>i</w:t>
      </w:r>
      <w:proofErr w:type="spellEnd"/>
      <w:r w:rsidRPr="00CF3B1E">
        <w:rPr>
          <w:rFonts w:ascii="Times New Roman" w:hAnsi="Times New Roman" w:cs="Times New Roman"/>
          <w:sz w:val="24"/>
          <w:szCs w:val="24"/>
        </w:rPr>
        <w:t xml:space="preserve"> for year t.</w:t>
      </w:r>
    </w:p>
    <w:p w14:paraId="00B11B05" w14:textId="782C9F8F" w:rsidR="00AC2001" w:rsidRPr="00CF3B1E" w:rsidRDefault="00AC2001" w:rsidP="003420BC">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LIQR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oMath>
      <w:r w:rsidRPr="00CF3B1E">
        <w:rPr>
          <w:rFonts w:ascii="Times New Roman" w:hAnsi="Times New Roman" w:cs="Times New Roman"/>
          <w:sz w:val="24"/>
          <w:szCs w:val="24"/>
        </w:rPr>
        <w:t xml:space="preserve">: </w:t>
      </w:r>
      <w:r w:rsidRPr="00CF3B1E">
        <w:rPr>
          <w:rFonts w:ascii="Times New Roman" w:eastAsiaTheme="minorEastAsia" w:hAnsi="Times New Roman" w:cs="Times New Roman"/>
          <w:sz w:val="24"/>
          <w:szCs w:val="24"/>
        </w:rPr>
        <w:t xml:space="preserve"> </w:t>
      </w:r>
      <w:r w:rsidR="00A73700" w:rsidRPr="00CF3B1E">
        <w:rPr>
          <w:rFonts w:ascii="Times New Roman" w:hAnsi="Times New Roman" w:cs="Times New Roman"/>
          <w:sz w:val="24"/>
          <w:szCs w:val="24"/>
        </w:rPr>
        <w:t>working capital to total assets ratio</w:t>
      </w:r>
      <w:r w:rsidR="00A73700" w:rsidRPr="00CF3B1E">
        <w:rPr>
          <w:rFonts w:ascii="Times New Roman" w:eastAsiaTheme="minorEastAsia" w:hAnsi="Times New Roman" w:cs="Times New Roman"/>
          <w:sz w:val="24"/>
          <w:szCs w:val="24"/>
        </w:rPr>
        <w:t xml:space="preserve"> of company </w:t>
      </w:r>
      <w:proofErr w:type="spellStart"/>
      <w:r w:rsidR="00A73700" w:rsidRPr="00CF3B1E">
        <w:rPr>
          <w:rFonts w:ascii="Times New Roman" w:eastAsiaTheme="minorEastAsia" w:hAnsi="Times New Roman" w:cs="Times New Roman"/>
          <w:sz w:val="24"/>
          <w:szCs w:val="24"/>
        </w:rPr>
        <w:t>i</w:t>
      </w:r>
      <w:proofErr w:type="spellEnd"/>
      <w:r w:rsidR="00A73700" w:rsidRPr="00CF3B1E">
        <w:rPr>
          <w:rFonts w:ascii="Times New Roman" w:eastAsiaTheme="minorEastAsia" w:hAnsi="Times New Roman" w:cs="Times New Roman"/>
          <w:sz w:val="24"/>
          <w:szCs w:val="24"/>
        </w:rPr>
        <w:t xml:space="preserve"> for year t.</w:t>
      </w:r>
    </w:p>
    <w:p w14:paraId="25663E2C" w14:textId="03924EB8" w:rsidR="00AC2001" w:rsidRPr="00CF3B1E" w:rsidRDefault="00AC2001" w:rsidP="003420BC">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EFFR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 xml:space="preserve">: </w:t>
      </w:r>
      <w:r w:rsidRPr="00CF3B1E">
        <w:rPr>
          <w:rFonts w:ascii="Times New Roman" w:eastAsiaTheme="minorEastAsia" w:hAnsi="Times New Roman" w:cs="Times New Roman"/>
          <w:sz w:val="24"/>
          <w:szCs w:val="24"/>
        </w:rPr>
        <w:t xml:space="preserve"> </w:t>
      </w:r>
      <w:r w:rsidR="00A73700" w:rsidRPr="00CF3B1E">
        <w:rPr>
          <w:rFonts w:ascii="Times New Roman" w:hAnsi="Times New Roman" w:cs="Times New Roman"/>
          <w:sz w:val="24"/>
          <w:szCs w:val="24"/>
        </w:rPr>
        <w:t>sales to total assets ratio of company i for year t.</w:t>
      </w:r>
    </w:p>
    <w:p w14:paraId="5E6BF008" w14:textId="4FCA0226" w:rsidR="00AC2001" w:rsidRPr="00CF3B1E" w:rsidRDefault="00AC2001" w:rsidP="003420BC">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PROR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 xml:space="preserve">: </w:t>
      </w:r>
      <w:r w:rsidRPr="00CF3B1E">
        <w:rPr>
          <w:rFonts w:ascii="Times New Roman" w:eastAsiaTheme="minorEastAsia" w:hAnsi="Times New Roman" w:cs="Times New Roman"/>
          <w:sz w:val="24"/>
          <w:szCs w:val="24"/>
        </w:rPr>
        <w:t xml:space="preserve"> </w:t>
      </w:r>
      <w:r w:rsidR="00A73700" w:rsidRPr="00CF3B1E">
        <w:rPr>
          <w:rFonts w:ascii="Times New Roman" w:hAnsi="Times New Roman" w:cs="Times New Roman"/>
          <w:sz w:val="24"/>
          <w:szCs w:val="24"/>
        </w:rPr>
        <w:t xml:space="preserve">net income to total assets </w:t>
      </w:r>
      <w:r w:rsidR="00781434" w:rsidRPr="00CF3B1E">
        <w:rPr>
          <w:rFonts w:ascii="Times New Roman" w:hAnsi="Times New Roman" w:cs="Times New Roman"/>
          <w:sz w:val="24"/>
          <w:szCs w:val="24"/>
        </w:rPr>
        <w:t xml:space="preserve">ratio </w:t>
      </w:r>
      <w:r w:rsidR="00A73700" w:rsidRPr="00CF3B1E">
        <w:rPr>
          <w:rFonts w:ascii="Times New Roman" w:eastAsiaTheme="minorEastAsia" w:hAnsi="Times New Roman" w:cs="Times New Roman"/>
          <w:sz w:val="24"/>
          <w:szCs w:val="24"/>
        </w:rPr>
        <w:t xml:space="preserve">of company </w:t>
      </w:r>
      <w:proofErr w:type="spellStart"/>
      <w:r w:rsidR="00A73700" w:rsidRPr="00CF3B1E">
        <w:rPr>
          <w:rFonts w:ascii="Times New Roman" w:eastAsiaTheme="minorEastAsia" w:hAnsi="Times New Roman" w:cs="Times New Roman"/>
          <w:sz w:val="24"/>
          <w:szCs w:val="24"/>
        </w:rPr>
        <w:t>i</w:t>
      </w:r>
      <w:proofErr w:type="spellEnd"/>
      <w:r w:rsidR="00A73700" w:rsidRPr="00CF3B1E">
        <w:rPr>
          <w:rFonts w:ascii="Times New Roman" w:eastAsiaTheme="minorEastAsia" w:hAnsi="Times New Roman" w:cs="Times New Roman"/>
          <w:sz w:val="24"/>
          <w:szCs w:val="24"/>
        </w:rPr>
        <w:t xml:space="preserve"> for year t.</w:t>
      </w:r>
    </w:p>
    <w:p w14:paraId="6DE44446" w14:textId="5D0E1274" w:rsidR="00AC2001" w:rsidRPr="00CF3B1E" w:rsidRDefault="00AC2001" w:rsidP="003420BC">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SOLR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 xml:space="preserve">: </w:t>
      </w:r>
      <w:r w:rsidRPr="00CF3B1E">
        <w:rPr>
          <w:rFonts w:ascii="Times New Roman" w:eastAsiaTheme="minorEastAsia" w:hAnsi="Times New Roman" w:cs="Times New Roman"/>
          <w:sz w:val="24"/>
          <w:szCs w:val="24"/>
        </w:rPr>
        <w:t xml:space="preserve"> </w:t>
      </w:r>
      <w:r w:rsidR="00A73700" w:rsidRPr="00CF3B1E">
        <w:rPr>
          <w:rFonts w:ascii="Times New Roman" w:hAnsi="Times New Roman" w:cs="Times New Roman"/>
          <w:sz w:val="24"/>
          <w:szCs w:val="24"/>
        </w:rPr>
        <w:t>total debts to total assets</w:t>
      </w:r>
      <w:r w:rsidRPr="00CF3B1E">
        <w:rPr>
          <w:rFonts w:ascii="Times New Roman" w:hAnsi="Times New Roman" w:cs="Times New Roman"/>
          <w:sz w:val="24"/>
          <w:szCs w:val="24"/>
        </w:rPr>
        <w:t xml:space="preserve"> </w:t>
      </w:r>
      <w:r w:rsidR="00781434" w:rsidRPr="00CF3B1E">
        <w:rPr>
          <w:rFonts w:ascii="Times New Roman" w:hAnsi="Times New Roman" w:cs="Times New Roman"/>
          <w:sz w:val="24"/>
          <w:szCs w:val="24"/>
        </w:rPr>
        <w:t xml:space="preserve">ratio </w:t>
      </w:r>
      <w:r w:rsidR="00A73700" w:rsidRPr="00CF3B1E">
        <w:rPr>
          <w:rFonts w:ascii="Times New Roman" w:hAnsi="Times New Roman" w:cs="Times New Roman"/>
          <w:sz w:val="24"/>
          <w:szCs w:val="24"/>
        </w:rPr>
        <w:t xml:space="preserve">of company </w:t>
      </w:r>
      <w:proofErr w:type="spellStart"/>
      <w:r w:rsidR="00A73700" w:rsidRPr="00CF3B1E">
        <w:rPr>
          <w:rFonts w:ascii="Times New Roman" w:hAnsi="Times New Roman" w:cs="Times New Roman"/>
          <w:sz w:val="24"/>
          <w:szCs w:val="24"/>
        </w:rPr>
        <w:t>i</w:t>
      </w:r>
      <w:proofErr w:type="spellEnd"/>
      <w:r w:rsidR="00A73700" w:rsidRPr="00CF3B1E">
        <w:rPr>
          <w:rFonts w:ascii="Times New Roman" w:hAnsi="Times New Roman" w:cs="Times New Roman"/>
          <w:sz w:val="24"/>
          <w:szCs w:val="24"/>
        </w:rPr>
        <w:t xml:space="preserve"> for year t.</w:t>
      </w:r>
    </w:p>
    <w:p w14:paraId="691C2006" w14:textId="5052DEE5" w:rsidR="00AC2001" w:rsidRPr="00AF26C6" w:rsidRDefault="00A73700" w:rsidP="003420BC">
      <w:pPr>
        <w:tabs>
          <w:tab w:val="left" w:pos="360"/>
        </w:tabs>
        <w:spacing w:line="240" w:lineRule="auto"/>
        <w:jc w:val="both"/>
        <w:rPr>
          <w:rFonts w:ascii="Times New Roman" w:hAnsi="Times New Roman" w:cs="Times New Roman"/>
          <w:iCs/>
          <w:sz w:val="24"/>
          <w:szCs w:val="24"/>
        </w:rPr>
      </w:pPr>
      <w:r w:rsidRPr="00CF3B1E">
        <w:rPr>
          <w:rFonts w:ascii="Times New Roman" w:hAnsi="Times New Roman" w:cs="Times New Roman"/>
          <w:sz w:val="24"/>
          <w:szCs w:val="24"/>
        </w:rPr>
        <w:t xml:space="preserve">   </w:t>
      </w:r>
      <w:proofErr w:type="spellStart"/>
      <w:r w:rsidR="00AC2001" w:rsidRPr="00CF3B1E">
        <w:rPr>
          <w:rFonts w:ascii="Times New Roman" w:hAnsi="Times New Roman" w:cs="Times New Roman"/>
          <w:sz w:val="24"/>
          <w:szCs w:val="24"/>
        </w:rPr>
        <w:t>i</w:t>
      </w:r>
      <w:proofErr w:type="spellEnd"/>
      <w:r w:rsidR="00AC2001" w:rsidRPr="00CF3B1E">
        <w:rPr>
          <w:rFonts w:ascii="Times New Roman" w:hAnsi="Times New Roman" w:cs="Times New Roman"/>
          <w:sz w:val="24"/>
          <w:szCs w:val="24"/>
        </w:rPr>
        <w:t xml:space="preserve"> =1,2…, </w:t>
      </w:r>
      <w:r w:rsidRPr="00CF3B1E">
        <w:rPr>
          <w:rFonts w:ascii="Times New Roman" w:hAnsi="Times New Roman" w:cs="Times New Roman"/>
          <w:sz w:val="24"/>
          <w:szCs w:val="24"/>
        </w:rPr>
        <w:t>N denotes companies and</w:t>
      </w:r>
      <w:r w:rsidR="00AC2001" w:rsidRPr="00CF3B1E">
        <w:rPr>
          <w:rFonts w:ascii="Times New Roman" w:hAnsi="Times New Roman" w:cs="Times New Roman"/>
          <w:sz w:val="24"/>
          <w:szCs w:val="24"/>
        </w:rPr>
        <w:t xml:space="preserve"> t =</w:t>
      </w:r>
      <w:r w:rsidRPr="00CF3B1E">
        <w:rPr>
          <w:rFonts w:ascii="Times New Roman" w:hAnsi="Times New Roman" w:cs="Times New Roman"/>
          <w:sz w:val="24"/>
          <w:szCs w:val="24"/>
        </w:rPr>
        <w:t>1, 2…</w:t>
      </w:r>
      <w:r w:rsidR="00AC2001" w:rsidRPr="00CF3B1E">
        <w:rPr>
          <w:rFonts w:ascii="Times New Roman" w:hAnsi="Times New Roman" w:cs="Times New Roman"/>
          <w:sz w:val="24"/>
          <w:szCs w:val="24"/>
        </w:rPr>
        <w:t xml:space="preserve">, T </w:t>
      </w:r>
      <w:r w:rsidRPr="00CF3B1E">
        <w:rPr>
          <w:rFonts w:ascii="Times New Roman" w:hAnsi="Times New Roman" w:cs="Times New Roman"/>
          <w:sz w:val="24"/>
          <w:szCs w:val="24"/>
        </w:rPr>
        <w:t>denotes year</w:t>
      </w:r>
      <w:r w:rsidR="00AC2001" w:rsidRPr="00AF26C6">
        <w:rPr>
          <w:rFonts w:ascii="Times New Roman" w:hAnsi="Times New Roman" w:cs="Times New Roman"/>
          <w:iCs/>
          <w:sz w:val="24"/>
          <w:szCs w:val="24"/>
        </w:rPr>
        <w:t>.</w:t>
      </w:r>
    </w:p>
    <w:p w14:paraId="163DDD79" w14:textId="77777777" w:rsidR="003420BC" w:rsidRPr="003420BC" w:rsidRDefault="003420BC" w:rsidP="003420BC">
      <w:pPr>
        <w:tabs>
          <w:tab w:val="left" w:pos="360"/>
        </w:tabs>
        <w:spacing w:line="240" w:lineRule="auto"/>
        <w:jc w:val="both"/>
        <w:rPr>
          <w:rFonts w:ascii="Times New Roman" w:hAnsi="Times New Roman" w:cs="Times New Roman"/>
          <w:iCs/>
          <w:sz w:val="6"/>
          <w:szCs w:val="6"/>
        </w:rPr>
      </w:pPr>
    </w:p>
    <w:p w14:paraId="321ED30B" w14:textId="056523DB" w:rsidR="001A5C23" w:rsidRPr="003420BC" w:rsidRDefault="001A5C23" w:rsidP="003420BC">
      <w:pPr>
        <w:ind w:firstLine="720"/>
        <w:rPr>
          <w:rFonts w:ascii="Times New Roman" w:hAnsi="Times New Roman" w:cs="Times New Roman"/>
          <w:b/>
          <w:bCs/>
          <w:sz w:val="30"/>
          <w:szCs w:val="30"/>
        </w:rPr>
      </w:pPr>
      <w:r w:rsidRPr="003420BC">
        <w:rPr>
          <w:rFonts w:ascii="Times New Roman" w:hAnsi="Times New Roman" w:cs="Times New Roman"/>
          <w:b/>
          <w:bCs/>
          <w:sz w:val="30"/>
          <w:szCs w:val="30"/>
        </w:rPr>
        <w:t>4. R</w:t>
      </w:r>
      <w:r w:rsidR="003420BC" w:rsidRPr="003420BC">
        <w:rPr>
          <w:rFonts w:ascii="Times New Roman" w:hAnsi="Times New Roman" w:cs="Times New Roman"/>
          <w:b/>
          <w:bCs/>
          <w:sz w:val="30"/>
          <w:szCs w:val="30"/>
        </w:rPr>
        <w:t>esults</w:t>
      </w:r>
      <w:r w:rsidRPr="003420BC">
        <w:rPr>
          <w:rFonts w:ascii="Times New Roman" w:hAnsi="Times New Roman" w:cs="Times New Roman"/>
          <w:b/>
          <w:bCs/>
          <w:sz w:val="30"/>
          <w:szCs w:val="30"/>
        </w:rPr>
        <w:t xml:space="preserve"> </w:t>
      </w:r>
      <w:r w:rsidR="003420BC" w:rsidRPr="003420BC">
        <w:rPr>
          <w:rFonts w:ascii="Times New Roman" w:hAnsi="Times New Roman" w:cs="Times New Roman"/>
          <w:b/>
          <w:bCs/>
          <w:sz w:val="30"/>
          <w:szCs w:val="30"/>
        </w:rPr>
        <w:t>and</w:t>
      </w:r>
      <w:r w:rsidRPr="003420BC">
        <w:rPr>
          <w:rFonts w:ascii="Times New Roman" w:hAnsi="Times New Roman" w:cs="Times New Roman"/>
          <w:b/>
          <w:bCs/>
          <w:sz w:val="30"/>
          <w:szCs w:val="30"/>
        </w:rPr>
        <w:t xml:space="preserve"> I</w:t>
      </w:r>
      <w:r w:rsidR="003420BC" w:rsidRPr="003420BC">
        <w:rPr>
          <w:rFonts w:ascii="Times New Roman" w:hAnsi="Times New Roman" w:cs="Times New Roman"/>
          <w:b/>
          <w:bCs/>
          <w:sz w:val="30"/>
          <w:szCs w:val="30"/>
        </w:rPr>
        <w:t>nterpretations</w:t>
      </w:r>
    </w:p>
    <w:p w14:paraId="6393202A" w14:textId="457AF312" w:rsidR="001A5C23" w:rsidRPr="003420BC" w:rsidRDefault="001A5C23" w:rsidP="001A5C23">
      <w:pPr>
        <w:rPr>
          <w:rFonts w:ascii="Times New Roman" w:hAnsi="Times New Roman" w:cs="Times New Roman"/>
          <w:b/>
          <w:bCs/>
          <w:sz w:val="28"/>
          <w:szCs w:val="28"/>
        </w:rPr>
      </w:pPr>
      <w:r w:rsidRPr="003420BC">
        <w:rPr>
          <w:rFonts w:ascii="Times New Roman" w:hAnsi="Times New Roman" w:cs="Times New Roman"/>
          <w:b/>
          <w:bCs/>
          <w:sz w:val="28"/>
          <w:szCs w:val="28"/>
        </w:rPr>
        <w:t xml:space="preserve">4.1. Results of </w:t>
      </w:r>
      <w:r w:rsidR="003420BC" w:rsidRPr="003420BC">
        <w:rPr>
          <w:rFonts w:ascii="Times New Roman" w:hAnsi="Times New Roman" w:cs="Times New Roman"/>
          <w:b/>
          <w:bCs/>
          <w:sz w:val="28"/>
          <w:szCs w:val="28"/>
        </w:rPr>
        <w:t xml:space="preserve">panel </w:t>
      </w:r>
      <w:r w:rsidRPr="003420BC">
        <w:rPr>
          <w:rFonts w:ascii="Times New Roman" w:hAnsi="Times New Roman" w:cs="Times New Roman"/>
          <w:b/>
          <w:bCs/>
          <w:sz w:val="28"/>
          <w:szCs w:val="28"/>
        </w:rPr>
        <w:t>stationarity tests</w:t>
      </w:r>
    </w:p>
    <w:p w14:paraId="5E662232" w14:textId="7A001A9E" w:rsidR="001A5C23" w:rsidRDefault="001A5C23" w:rsidP="003420BC">
      <w:pPr>
        <w:spacing w:line="240" w:lineRule="auto"/>
        <w:jc w:val="both"/>
        <w:rPr>
          <w:rFonts w:ascii="Times New Roman" w:hAnsi="Times New Roman" w:cs="Times New Roman"/>
          <w:sz w:val="24"/>
          <w:szCs w:val="24"/>
        </w:rPr>
      </w:pPr>
      <w:r w:rsidRPr="001A5C23">
        <w:rPr>
          <w:rFonts w:ascii="Times New Roman" w:hAnsi="Times New Roman" w:cs="Times New Roman"/>
          <w:sz w:val="24"/>
          <w:szCs w:val="24"/>
        </w:rPr>
        <w:t xml:space="preserve">Table 3 presents the results of the ADF(K) tests of </w:t>
      </w:r>
      <w:bookmarkStart w:id="10" w:name="_Hlk68382086"/>
      <w:r w:rsidRPr="001A5C23">
        <w:rPr>
          <w:rFonts w:ascii="Times New Roman" w:hAnsi="Times New Roman" w:cs="Times New Roman"/>
          <w:sz w:val="24"/>
          <w:szCs w:val="24"/>
        </w:rPr>
        <w:t xml:space="preserve">Im, Pesaran and Shin (2003) </w:t>
      </w:r>
      <w:bookmarkEnd w:id="10"/>
      <w:r w:rsidRPr="001A5C23">
        <w:rPr>
          <w:rFonts w:ascii="Times New Roman" w:hAnsi="Times New Roman" w:cs="Times New Roman"/>
          <w:sz w:val="24"/>
          <w:szCs w:val="24"/>
        </w:rPr>
        <w:t xml:space="preserve">on the series at the level of </w:t>
      </w:r>
      <w:r w:rsidR="007B30A9">
        <w:rPr>
          <w:rFonts w:ascii="Times New Roman" w:hAnsi="Times New Roman" w:cs="Times New Roman"/>
          <w:sz w:val="24"/>
          <w:szCs w:val="24"/>
        </w:rPr>
        <w:t>the</w:t>
      </w:r>
      <w:r w:rsidRPr="001A5C23">
        <w:rPr>
          <w:rFonts w:ascii="Times New Roman" w:hAnsi="Times New Roman" w:cs="Times New Roman"/>
          <w:sz w:val="24"/>
          <w:szCs w:val="24"/>
        </w:rPr>
        <w:t xml:space="preserve"> five variables, namely the ratio based on cash flow (CF</w:t>
      </w:r>
      <w:r>
        <w:rPr>
          <w:rFonts w:ascii="Times New Roman" w:hAnsi="Times New Roman" w:cs="Times New Roman"/>
          <w:sz w:val="24"/>
          <w:szCs w:val="24"/>
        </w:rPr>
        <w:t>R</w:t>
      </w:r>
      <w:r w:rsidRPr="001A5C23">
        <w:rPr>
          <w:rFonts w:ascii="Times New Roman" w:hAnsi="Times New Roman" w:cs="Times New Roman"/>
          <w:sz w:val="24"/>
          <w:szCs w:val="24"/>
        </w:rPr>
        <w:t xml:space="preserve">) and the four financial </w:t>
      </w:r>
      <w:r w:rsidRPr="001A5C23">
        <w:rPr>
          <w:rFonts w:ascii="Times New Roman" w:hAnsi="Times New Roman" w:cs="Times New Roman"/>
          <w:sz w:val="24"/>
          <w:szCs w:val="24"/>
        </w:rPr>
        <w:lastRenderedPageBreak/>
        <w:t>ratios based on accounting data (LIQ</w:t>
      </w:r>
      <w:r>
        <w:rPr>
          <w:rFonts w:ascii="Times New Roman" w:hAnsi="Times New Roman" w:cs="Times New Roman"/>
          <w:sz w:val="24"/>
          <w:szCs w:val="24"/>
        </w:rPr>
        <w:t>R</w:t>
      </w:r>
      <w:r w:rsidRPr="001A5C23">
        <w:rPr>
          <w:rFonts w:ascii="Times New Roman" w:hAnsi="Times New Roman" w:cs="Times New Roman"/>
          <w:sz w:val="24"/>
          <w:szCs w:val="24"/>
        </w:rPr>
        <w:t xml:space="preserve">, </w:t>
      </w:r>
      <w:r>
        <w:rPr>
          <w:rFonts w:ascii="Times New Roman" w:hAnsi="Times New Roman" w:cs="Times New Roman"/>
          <w:sz w:val="24"/>
          <w:szCs w:val="24"/>
        </w:rPr>
        <w:t>EFFR</w:t>
      </w:r>
      <w:r w:rsidRPr="001A5C23">
        <w:rPr>
          <w:rFonts w:ascii="Times New Roman" w:hAnsi="Times New Roman" w:cs="Times New Roman"/>
          <w:sz w:val="24"/>
          <w:szCs w:val="24"/>
        </w:rPr>
        <w:t xml:space="preserve">, </w:t>
      </w:r>
      <w:r>
        <w:rPr>
          <w:rFonts w:ascii="Times New Roman" w:hAnsi="Times New Roman" w:cs="Times New Roman"/>
          <w:sz w:val="24"/>
          <w:szCs w:val="24"/>
        </w:rPr>
        <w:t>PROR</w:t>
      </w:r>
      <w:r w:rsidRPr="001A5C23">
        <w:rPr>
          <w:rFonts w:ascii="Times New Roman" w:hAnsi="Times New Roman" w:cs="Times New Roman"/>
          <w:sz w:val="24"/>
          <w:szCs w:val="24"/>
        </w:rPr>
        <w:t xml:space="preserve"> and </w:t>
      </w:r>
      <w:r w:rsidR="00AF26C6">
        <w:rPr>
          <w:rFonts w:ascii="Times New Roman" w:hAnsi="Times New Roman" w:cs="Times New Roman"/>
          <w:sz w:val="24"/>
          <w:szCs w:val="24"/>
        </w:rPr>
        <w:t>SOL</w:t>
      </w:r>
      <w:r>
        <w:rPr>
          <w:rFonts w:ascii="Times New Roman" w:hAnsi="Times New Roman" w:cs="Times New Roman"/>
          <w:sz w:val="24"/>
          <w:szCs w:val="24"/>
        </w:rPr>
        <w:t>R</w:t>
      </w:r>
      <w:r w:rsidRPr="001A5C23">
        <w:rPr>
          <w:rFonts w:ascii="Times New Roman" w:hAnsi="Times New Roman" w:cs="Times New Roman"/>
          <w:sz w:val="24"/>
          <w:szCs w:val="24"/>
        </w:rPr>
        <w:t>)</w:t>
      </w:r>
      <w:r>
        <w:rPr>
          <w:rFonts w:ascii="Times New Roman" w:hAnsi="Times New Roman" w:cs="Times New Roman"/>
          <w:sz w:val="24"/>
          <w:szCs w:val="24"/>
        </w:rPr>
        <w:t xml:space="preserve">. </w:t>
      </w:r>
      <w:r w:rsidR="00AF26C6">
        <w:rPr>
          <w:rFonts w:ascii="Times New Roman" w:hAnsi="Times New Roman" w:cs="Times New Roman"/>
          <w:sz w:val="24"/>
          <w:szCs w:val="24"/>
        </w:rPr>
        <w:t>We recall</w:t>
      </w:r>
      <w:r w:rsidRPr="001A5C23">
        <w:rPr>
          <w:rFonts w:ascii="Times New Roman" w:hAnsi="Times New Roman" w:cs="Times New Roman"/>
          <w:sz w:val="24"/>
          <w:szCs w:val="24"/>
        </w:rPr>
        <w:t xml:space="preserve"> that these ADF(K) tests were carried out on a specification with constant, and deterministic trend. In addition, all statistics for these tests are in standardized form and follow the normal distribution.</w:t>
      </w:r>
      <w:r w:rsidR="00351151">
        <w:rPr>
          <w:rFonts w:ascii="Times New Roman" w:hAnsi="Times New Roman" w:cs="Times New Roman"/>
          <w:sz w:val="24"/>
          <w:szCs w:val="24"/>
        </w:rPr>
        <w:t xml:space="preserve"> </w:t>
      </w:r>
      <w:r w:rsidR="00D05787" w:rsidRPr="005261E8">
        <w:rPr>
          <w:rFonts w:ascii="Times New Roman" w:hAnsi="Times New Roman" w:cs="Times New Roman"/>
          <w:sz w:val="24"/>
          <w:szCs w:val="24"/>
        </w:rPr>
        <w:t xml:space="preserve">The ADF(K) statistics for the three information criteria (AIK, SC and HQC) </w:t>
      </w:r>
      <w:r w:rsidR="00351151" w:rsidRPr="00351151">
        <w:rPr>
          <w:rFonts w:ascii="Times New Roman" w:hAnsi="Times New Roman" w:cs="Times New Roman"/>
          <w:sz w:val="24"/>
          <w:szCs w:val="24"/>
        </w:rPr>
        <w:t>show</w:t>
      </w:r>
      <w:r w:rsidR="00CE0CB0">
        <w:rPr>
          <w:rFonts w:ascii="Times New Roman" w:hAnsi="Times New Roman" w:cs="Times New Roman"/>
          <w:sz w:val="24"/>
          <w:szCs w:val="24"/>
        </w:rPr>
        <w:t xml:space="preserve"> </w:t>
      </w:r>
      <w:r w:rsidR="00351151" w:rsidRPr="00351151">
        <w:rPr>
          <w:rFonts w:ascii="Times New Roman" w:hAnsi="Times New Roman" w:cs="Times New Roman"/>
          <w:sz w:val="24"/>
          <w:szCs w:val="24"/>
        </w:rPr>
        <w:t>the non-rejection of the null hypothesis</w:t>
      </w:r>
      <w:r w:rsidR="00CE0CB0">
        <w:rPr>
          <w:rFonts w:ascii="Times New Roman" w:hAnsi="Times New Roman" w:cs="Times New Roman"/>
          <w:sz w:val="24"/>
          <w:szCs w:val="24"/>
        </w:rPr>
        <w:t xml:space="preserve"> (i.e.,</w:t>
      </w:r>
      <w:r w:rsidR="00351151" w:rsidRPr="00351151">
        <w:rPr>
          <w:rFonts w:ascii="Times New Roman" w:hAnsi="Times New Roman" w:cs="Times New Roman"/>
          <w:sz w:val="24"/>
          <w:szCs w:val="24"/>
        </w:rPr>
        <w:t xml:space="preserve"> non-stationarity</w:t>
      </w:r>
      <w:r w:rsidR="00CE0CB0">
        <w:rPr>
          <w:rFonts w:ascii="Times New Roman" w:hAnsi="Times New Roman" w:cs="Times New Roman"/>
          <w:sz w:val="24"/>
          <w:szCs w:val="24"/>
        </w:rPr>
        <w:t>)</w:t>
      </w:r>
      <w:r w:rsidR="00351151" w:rsidRPr="00351151">
        <w:rPr>
          <w:rFonts w:ascii="Times New Roman" w:hAnsi="Times New Roman" w:cs="Times New Roman"/>
          <w:sz w:val="24"/>
          <w:szCs w:val="24"/>
        </w:rPr>
        <w:t xml:space="preserve"> for the five stud</w:t>
      </w:r>
      <w:r w:rsidR="00044017">
        <w:rPr>
          <w:rFonts w:ascii="Times New Roman" w:hAnsi="Times New Roman" w:cs="Times New Roman"/>
          <w:sz w:val="24"/>
          <w:szCs w:val="24"/>
        </w:rPr>
        <w:t>ied</w:t>
      </w:r>
      <w:r w:rsidR="00351151" w:rsidRPr="00351151">
        <w:rPr>
          <w:rFonts w:ascii="Times New Roman" w:hAnsi="Times New Roman" w:cs="Times New Roman"/>
          <w:sz w:val="24"/>
          <w:szCs w:val="24"/>
        </w:rPr>
        <w:t xml:space="preserve"> variables</w:t>
      </w:r>
      <w:r w:rsidR="00D3616C">
        <w:rPr>
          <w:rFonts w:ascii="Times New Roman" w:hAnsi="Times New Roman" w:cs="Times New Roman"/>
          <w:sz w:val="24"/>
          <w:szCs w:val="24"/>
        </w:rPr>
        <w:t xml:space="preserve"> </w:t>
      </w:r>
      <w:r w:rsidR="00D3616C" w:rsidRPr="00D3616C">
        <w:rPr>
          <w:rFonts w:ascii="Times New Roman" w:hAnsi="Times New Roman" w:cs="Times New Roman"/>
          <w:sz w:val="24"/>
          <w:szCs w:val="24"/>
        </w:rPr>
        <w:t xml:space="preserve">(i.e., </w:t>
      </w:r>
      <w:r w:rsidR="00D3616C" w:rsidRPr="00D3616C">
        <w:rPr>
          <w:rFonts w:ascii="Cambria" w:hAnsi="Cambria"/>
          <w:sz w:val="24"/>
          <w:szCs w:val="24"/>
        </w:rPr>
        <w:t xml:space="preserve">CFR, LIQR, EFFR, PROR, and </w:t>
      </w:r>
      <w:r w:rsidR="00044017">
        <w:rPr>
          <w:rFonts w:ascii="Cambria" w:hAnsi="Cambria"/>
          <w:sz w:val="24"/>
          <w:szCs w:val="24"/>
        </w:rPr>
        <w:t>SOL</w:t>
      </w:r>
      <w:r w:rsidR="00D3616C" w:rsidRPr="00D3616C">
        <w:rPr>
          <w:rFonts w:ascii="Cambria" w:hAnsi="Cambria"/>
          <w:sz w:val="24"/>
          <w:szCs w:val="24"/>
        </w:rPr>
        <w:t>R)</w:t>
      </w:r>
      <w:r w:rsidR="00351151" w:rsidRPr="00D3616C">
        <w:rPr>
          <w:rFonts w:ascii="Times New Roman" w:hAnsi="Times New Roman" w:cs="Times New Roman"/>
          <w:sz w:val="24"/>
          <w:szCs w:val="24"/>
        </w:rPr>
        <w:t>.</w:t>
      </w:r>
      <w:r w:rsidR="00351151">
        <w:rPr>
          <w:rFonts w:ascii="Times New Roman" w:hAnsi="Times New Roman" w:cs="Times New Roman"/>
          <w:sz w:val="24"/>
          <w:szCs w:val="24"/>
        </w:rPr>
        <w:t xml:space="preserve"> </w:t>
      </w:r>
      <w:r w:rsidR="00351151" w:rsidRPr="00351151">
        <w:rPr>
          <w:rFonts w:ascii="Times New Roman" w:hAnsi="Times New Roman" w:cs="Times New Roman"/>
          <w:sz w:val="24"/>
          <w:szCs w:val="24"/>
        </w:rPr>
        <w:t xml:space="preserve">Thus, these results allow us to conclude that all variables </w:t>
      </w:r>
      <w:r w:rsidR="00044017">
        <w:rPr>
          <w:rFonts w:ascii="Times New Roman" w:hAnsi="Times New Roman" w:cs="Times New Roman"/>
          <w:sz w:val="24"/>
          <w:szCs w:val="24"/>
        </w:rPr>
        <w:t xml:space="preserve">have </w:t>
      </w:r>
      <w:r w:rsidR="00351151" w:rsidRPr="00351151">
        <w:rPr>
          <w:rFonts w:ascii="Times New Roman" w:hAnsi="Times New Roman" w:cs="Times New Roman"/>
          <w:sz w:val="24"/>
          <w:szCs w:val="24"/>
        </w:rPr>
        <w:t xml:space="preserve">satisfied the first condition necessary for the application of the </w:t>
      </w:r>
      <w:r w:rsidR="00044017">
        <w:rPr>
          <w:rFonts w:ascii="Times New Roman" w:hAnsi="Times New Roman" w:cs="Times New Roman"/>
          <w:sz w:val="24"/>
          <w:szCs w:val="24"/>
        </w:rPr>
        <w:t xml:space="preserve">panel </w:t>
      </w:r>
      <w:r w:rsidR="00351151" w:rsidRPr="00351151">
        <w:rPr>
          <w:rFonts w:ascii="Times New Roman" w:hAnsi="Times New Roman" w:cs="Times New Roman"/>
          <w:sz w:val="24"/>
          <w:szCs w:val="24"/>
        </w:rPr>
        <w:t>cointegration test</w:t>
      </w:r>
      <w:r w:rsidR="00044017">
        <w:rPr>
          <w:rFonts w:ascii="Times New Roman" w:hAnsi="Times New Roman" w:cs="Times New Roman"/>
          <w:sz w:val="24"/>
          <w:szCs w:val="24"/>
        </w:rPr>
        <w:t>s</w:t>
      </w:r>
      <w:r w:rsidR="00351151" w:rsidRPr="00351151">
        <w:rPr>
          <w:rFonts w:ascii="Times New Roman" w:hAnsi="Times New Roman" w:cs="Times New Roman"/>
          <w:sz w:val="24"/>
          <w:szCs w:val="24"/>
        </w:rPr>
        <w:t>, namely that the series at the level must be non-stationary (i.e.</w:t>
      </w:r>
      <w:r w:rsidR="00CE0CB0">
        <w:rPr>
          <w:rFonts w:ascii="Times New Roman" w:hAnsi="Times New Roman" w:cs="Times New Roman"/>
          <w:sz w:val="24"/>
          <w:szCs w:val="24"/>
        </w:rPr>
        <w:t>,</w:t>
      </w:r>
      <w:r w:rsidR="00CE0CB0" w:rsidRPr="00351151">
        <w:rPr>
          <w:rFonts w:ascii="Times New Roman" w:hAnsi="Times New Roman" w:cs="Times New Roman"/>
          <w:sz w:val="24"/>
          <w:szCs w:val="24"/>
        </w:rPr>
        <w:t xml:space="preserve"> not</w:t>
      </w:r>
      <w:r w:rsidR="00351151" w:rsidRPr="00351151">
        <w:rPr>
          <w:rFonts w:ascii="Times New Roman" w:hAnsi="Times New Roman" w:cs="Times New Roman"/>
          <w:sz w:val="24"/>
          <w:szCs w:val="24"/>
        </w:rPr>
        <w:t xml:space="preserve"> integrated of order 0)</w:t>
      </w:r>
      <w:r w:rsidR="00351151">
        <w:rPr>
          <w:rFonts w:ascii="Times New Roman" w:hAnsi="Times New Roman" w:cs="Times New Roman"/>
          <w:sz w:val="24"/>
          <w:szCs w:val="24"/>
        </w:rPr>
        <w:t xml:space="preserve">. </w:t>
      </w:r>
    </w:p>
    <w:p w14:paraId="05E86047" w14:textId="61C120D7" w:rsidR="00AD21A0" w:rsidRPr="00AD21A0" w:rsidRDefault="00AD21A0" w:rsidP="00224858">
      <w:pPr>
        <w:spacing w:before="240" w:line="360" w:lineRule="auto"/>
        <w:jc w:val="center"/>
        <w:rPr>
          <w:rFonts w:ascii="Times New Roman" w:eastAsia="Times New Roman" w:hAnsi="Times New Roman" w:cs="Times New Roman"/>
          <w:b/>
          <w:bCs/>
          <w:sz w:val="24"/>
          <w:szCs w:val="24"/>
          <w:lang w:val="en-GB" w:eastAsia="fr-FR"/>
        </w:rPr>
      </w:pPr>
      <w:r w:rsidRPr="00AD21A0">
        <w:rPr>
          <w:rFonts w:ascii="Times New Roman" w:hAnsi="Times New Roman" w:cs="Times New Roman"/>
          <w:b/>
          <w:bCs/>
          <w:sz w:val="24"/>
          <w:szCs w:val="24"/>
        </w:rPr>
        <w:t>T</w:t>
      </w:r>
      <w:r w:rsidR="003420BC">
        <w:rPr>
          <w:rFonts w:ascii="Times New Roman" w:hAnsi="Times New Roman" w:cs="Times New Roman"/>
          <w:b/>
          <w:bCs/>
          <w:sz w:val="24"/>
          <w:szCs w:val="24"/>
        </w:rPr>
        <w:t xml:space="preserve">able </w:t>
      </w:r>
      <w:r w:rsidRPr="00AD21A0">
        <w:rPr>
          <w:rFonts w:ascii="Times New Roman" w:hAnsi="Times New Roman" w:cs="Times New Roman"/>
          <w:b/>
          <w:bCs/>
          <w:sz w:val="24"/>
          <w:szCs w:val="24"/>
        </w:rPr>
        <w:t xml:space="preserve">3: Panel </w:t>
      </w:r>
      <w:r>
        <w:rPr>
          <w:rFonts w:ascii="Times New Roman" w:hAnsi="Times New Roman" w:cs="Times New Roman"/>
          <w:b/>
          <w:bCs/>
          <w:sz w:val="24"/>
          <w:szCs w:val="24"/>
        </w:rPr>
        <w:t>S</w:t>
      </w:r>
      <w:r w:rsidRPr="00AD21A0">
        <w:rPr>
          <w:rFonts w:ascii="Times New Roman" w:hAnsi="Times New Roman" w:cs="Times New Roman"/>
          <w:b/>
          <w:bCs/>
          <w:sz w:val="24"/>
          <w:szCs w:val="24"/>
        </w:rPr>
        <w:t>tationarity</w:t>
      </w:r>
      <w:r w:rsidR="003420BC" w:rsidRPr="00AD21A0">
        <w:rPr>
          <w:rFonts w:ascii="Times New Roman" w:eastAsia="Times New Roman" w:hAnsi="Times New Roman" w:cs="Times New Roman"/>
          <w:b/>
          <w:bCs/>
          <w:sz w:val="24"/>
          <w:szCs w:val="24"/>
          <w:lang w:val="en-GB" w:eastAsia="fr-FR"/>
        </w:rPr>
        <w:t xml:space="preserve"> </w:t>
      </w:r>
      <w:r>
        <w:rPr>
          <w:rFonts w:ascii="Times New Roman" w:eastAsia="Times New Roman" w:hAnsi="Times New Roman" w:cs="Times New Roman"/>
          <w:b/>
          <w:bCs/>
          <w:sz w:val="24"/>
          <w:szCs w:val="24"/>
          <w:lang w:val="en-GB" w:eastAsia="fr-FR"/>
        </w:rPr>
        <w:t>on</w:t>
      </w:r>
      <w:r w:rsidRPr="00AD21A0">
        <w:rPr>
          <w:rFonts w:ascii="Times New Roman" w:eastAsia="Times New Roman" w:hAnsi="Times New Roman" w:cs="Times New Roman"/>
          <w:b/>
          <w:bCs/>
          <w:sz w:val="24"/>
          <w:szCs w:val="24"/>
          <w:lang w:val="en-GB" w:eastAsia="fr-FR"/>
        </w:rPr>
        <w:t xml:space="preserve"> L</w:t>
      </w:r>
      <w:r>
        <w:rPr>
          <w:rFonts w:ascii="Times New Roman" w:eastAsia="Times New Roman" w:hAnsi="Times New Roman" w:cs="Times New Roman"/>
          <w:b/>
          <w:bCs/>
          <w:sz w:val="24"/>
          <w:szCs w:val="24"/>
          <w:lang w:val="en-GB" w:eastAsia="fr-FR"/>
        </w:rPr>
        <w:t>evel</w:t>
      </w:r>
      <w:r w:rsidR="00224858">
        <w:rPr>
          <w:rFonts w:ascii="Times New Roman" w:eastAsia="Times New Roman" w:hAnsi="Times New Roman" w:cs="Times New Roman"/>
          <w:b/>
          <w:bCs/>
          <w:sz w:val="24"/>
          <w:szCs w:val="24"/>
          <w:lang w:val="en-GB" w:eastAsia="fr-FR"/>
        </w:rPr>
        <w:t>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0"/>
        <w:gridCol w:w="2835"/>
        <w:gridCol w:w="2268"/>
      </w:tblGrid>
      <w:tr w:rsidR="007B30A9" w:rsidRPr="007B2C52" w14:paraId="43FB4315" w14:textId="77777777" w:rsidTr="007B2C52">
        <w:trPr>
          <w:trHeight w:val="409"/>
        </w:trPr>
        <w:tc>
          <w:tcPr>
            <w:tcW w:w="1843" w:type="dxa"/>
            <w:tcBorders>
              <w:top w:val="double" w:sz="4" w:space="0" w:color="auto"/>
              <w:left w:val="nil"/>
              <w:bottom w:val="single" w:sz="4" w:space="0" w:color="auto"/>
              <w:right w:val="nil"/>
            </w:tcBorders>
          </w:tcPr>
          <w:p w14:paraId="1A780D8D" w14:textId="34CC0EC7" w:rsidR="007B30A9" w:rsidRPr="007B2C52" w:rsidRDefault="007B30A9" w:rsidP="00831FD4">
            <w:pPr>
              <w:spacing w:before="120" w:after="60" w:line="200" w:lineRule="exact"/>
              <w:rPr>
                <w:rFonts w:ascii="Times New Roman" w:eastAsia="Times New Roman" w:hAnsi="Times New Roman" w:cs="Times New Roman"/>
                <w:b/>
                <w:bCs/>
                <w:lang w:eastAsia="fr-FR"/>
              </w:rPr>
            </w:pPr>
            <w:bookmarkStart w:id="11" w:name="_Hlk64663961"/>
            <w:r w:rsidRPr="007B2C52">
              <w:rPr>
                <w:rFonts w:ascii="Times New Roman" w:eastAsia="Times New Roman" w:hAnsi="Times New Roman" w:cs="Times New Roman"/>
                <w:b/>
                <w:bCs/>
                <w:lang w:eastAsia="fr-FR"/>
              </w:rPr>
              <w:t>Variables</w:t>
            </w:r>
          </w:p>
        </w:tc>
        <w:tc>
          <w:tcPr>
            <w:tcW w:w="2410" w:type="dxa"/>
            <w:tcBorders>
              <w:top w:val="double" w:sz="4" w:space="0" w:color="auto"/>
              <w:left w:val="nil"/>
              <w:bottom w:val="single" w:sz="4" w:space="0" w:color="auto"/>
              <w:right w:val="nil"/>
            </w:tcBorders>
          </w:tcPr>
          <w:p w14:paraId="09EC091A" w14:textId="1168704A" w:rsidR="007B30A9" w:rsidRPr="007B2C52" w:rsidRDefault="007B30A9" w:rsidP="00831FD4">
            <w:pPr>
              <w:spacing w:before="120" w:after="60" w:line="200" w:lineRule="exact"/>
              <w:jc w:val="center"/>
              <w:rPr>
                <w:rFonts w:ascii="Times New Roman" w:eastAsia="Times New Roman" w:hAnsi="Times New Roman" w:cs="Times New Roman"/>
                <w:b/>
                <w:bCs/>
                <w:lang w:eastAsia="fr-FR"/>
              </w:rPr>
            </w:pPr>
            <w:r w:rsidRPr="007B2C52">
              <w:rPr>
                <w:rFonts w:ascii="Times New Roman" w:eastAsia="Times New Roman" w:hAnsi="Times New Roman" w:cs="Times New Roman"/>
                <w:b/>
                <w:bCs/>
                <w:lang w:eastAsia="fr-FR"/>
              </w:rPr>
              <w:t>Statistics ADF(K*)</w:t>
            </w:r>
          </w:p>
          <w:p w14:paraId="0AAC9D96" w14:textId="74448F1F" w:rsidR="007B30A9" w:rsidRPr="007B2C52" w:rsidRDefault="007B30A9" w:rsidP="00831FD4">
            <w:pPr>
              <w:spacing w:before="120" w:after="60" w:line="200" w:lineRule="exact"/>
              <w:jc w:val="center"/>
              <w:rPr>
                <w:rFonts w:ascii="Times New Roman" w:eastAsia="Times New Roman" w:hAnsi="Times New Roman" w:cs="Times New Roman"/>
                <w:b/>
                <w:bCs/>
                <w:lang w:eastAsia="fr-FR"/>
              </w:rPr>
            </w:pPr>
            <w:r w:rsidRPr="007B2C52">
              <w:rPr>
                <w:rFonts w:ascii="Times New Roman" w:eastAsia="Times New Roman" w:hAnsi="Times New Roman" w:cs="Times New Roman"/>
                <w:b/>
                <w:bCs/>
                <w:lang w:eastAsia="fr-FR"/>
              </w:rPr>
              <w:t>According</w:t>
            </w:r>
            <w:r w:rsidR="00781434" w:rsidRPr="007B2C52">
              <w:rPr>
                <w:rFonts w:ascii="Times New Roman" w:eastAsia="Times New Roman" w:hAnsi="Times New Roman" w:cs="Times New Roman"/>
                <w:b/>
                <w:bCs/>
                <w:lang w:eastAsia="fr-FR"/>
              </w:rPr>
              <w:t xml:space="preserve"> to</w:t>
            </w:r>
            <w:r w:rsidRPr="007B2C52">
              <w:rPr>
                <w:rFonts w:ascii="Times New Roman" w:eastAsia="Times New Roman" w:hAnsi="Times New Roman" w:cs="Times New Roman"/>
                <w:b/>
                <w:bCs/>
                <w:lang w:eastAsia="fr-FR"/>
              </w:rPr>
              <w:t xml:space="preserve"> AIK</w:t>
            </w:r>
          </w:p>
        </w:tc>
        <w:tc>
          <w:tcPr>
            <w:tcW w:w="2835" w:type="dxa"/>
            <w:tcBorders>
              <w:top w:val="double" w:sz="4" w:space="0" w:color="auto"/>
              <w:left w:val="nil"/>
              <w:bottom w:val="single" w:sz="4" w:space="0" w:color="auto"/>
              <w:right w:val="nil"/>
            </w:tcBorders>
          </w:tcPr>
          <w:p w14:paraId="55FC9861" w14:textId="4E8CBB09" w:rsidR="007B30A9" w:rsidRPr="007B2C52" w:rsidRDefault="007B30A9" w:rsidP="00831FD4">
            <w:pPr>
              <w:spacing w:before="120" w:after="60" w:line="200" w:lineRule="exact"/>
              <w:jc w:val="center"/>
              <w:rPr>
                <w:rFonts w:ascii="Times New Roman" w:eastAsia="Times New Roman" w:hAnsi="Times New Roman" w:cs="Times New Roman"/>
                <w:b/>
                <w:bCs/>
                <w:lang w:eastAsia="fr-FR"/>
              </w:rPr>
            </w:pPr>
            <w:r w:rsidRPr="007B2C52">
              <w:rPr>
                <w:rFonts w:ascii="Times New Roman" w:eastAsia="Times New Roman" w:hAnsi="Times New Roman" w:cs="Times New Roman"/>
                <w:b/>
                <w:bCs/>
                <w:lang w:eastAsia="fr-FR"/>
              </w:rPr>
              <w:t>Statistics ADF(K*)</w:t>
            </w:r>
          </w:p>
          <w:p w14:paraId="1B264249" w14:textId="226C2FF8" w:rsidR="007B30A9" w:rsidRPr="007B2C52" w:rsidRDefault="00781434" w:rsidP="00831FD4">
            <w:pPr>
              <w:spacing w:before="120" w:after="60" w:line="200" w:lineRule="exact"/>
              <w:jc w:val="center"/>
              <w:rPr>
                <w:rFonts w:ascii="Times New Roman" w:eastAsia="Times New Roman" w:hAnsi="Times New Roman" w:cs="Times New Roman"/>
                <w:b/>
                <w:bCs/>
                <w:lang w:eastAsia="fr-FR"/>
              </w:rPr>
            </w:pPr>
            <w:r w:rsidRPr="007B2C52">
              <w:rPr>
                <w:rFonts w:ascii="Times New Roman" w:eastAsia="Times New Roman" w:hAnsi="Times New Roman" w:cs="Times New Roman"/>
                <w:b/>
                <w:bCs/>
                <w:lang w:eastAsia="fr-FR"/>
              </w:rPr>
              <w:t>According to</w:t>
            </w:r>
            <w:r w:rsidR="007B30A9" w:rsidRPr="007B2C52">
              <w:rPr>
                <w:rFonts w:ascii="Times New Roman" w:eastAsia="Times New Roman" w:hAnsi="Times New Roman" w:cs="Times New Roman"/>
                <w:b/>
                <w:bCs/>
                <w:lang w:eastAsia="fr-FR"/>
              </w:rPr>
              <w:t xml:space="preserve"> </w:t>
            </w:r>
            <w:r w:rsidRPr="007B2C52">
              <w:rPr>
                <w:rFonts w:ascii="Times New Roman" w:eastAsia="Times New Roman" w:hAnsi="Times New Roman" w:cs="Times New Roman"/>
                <w:b/>
                <w:bCs/>
                <w:lang w:eastAsia="fr-FR"/>
              </w:rPr>
              <w:t>SC</w:t>
            </w:r>
          </w:p>
        </w:tc>
        <w:tc>
          <w:tcPr>
            <w:tcW w:w="2268" w:type="dxa"/>
            <w:tcBorders>
              <w:top w:val="double" w:sz="4" w:space="0" w:color="auto"/>
              <w:left w:val="nil"/>
              <w:bottom w:val="single" w:sz="4" w:space="0" w:color="auto"/>
              <w:right w:val="nil"/>
            </w:tcBorders>
          </w:tcPr>
          <w:p w14:paraId="1E630A44" w14:textId="14345246" w:rsidR="007B30A9" w:rsidRPr="007B2C52" w:rsidRDefault="007B30A9" w:rsidP="00831FD4">
            <w:pPr>
              <w:spacing w:before="120" w:after="60" w:line="200" w:lineRule="exact"/>
              <w:jc w:val="center"/>
              <w:rPr>
                <w:rFonts w:ascii="Times New Roman" w:eastAsia="Times New Roman" w:hAnsi="Times New Roman" w:cs="Times New Roman"/>
                <w:b/>
                <w:bCs/>
                <w:lang w:eastAsia="fr-FR"/>
              </w:rPr>
            </w:pPr>
            <w:r w:rsidRPr="007B2C52">
              <w:rPr>
                <w:rFonts w:ascii="Times New Roman" w:eastAsia="Times New Roman" w:hAnsi="Times New Roman" w:cs="Times New Roman"/>
                <w:b/>
                <w:bCs/>
                <w:lang w:eastAsia="fr-FR"/>
              </w:rPr>
              <w:t>Statistics ADF(K*)</w:t>
            </w:r>
          </w:p>
          <w:p w14:paraId="25C9A63D" w14:textId="539A6CDE" w:rsidR="007B30A9" w:rsidRPr="007B2C52" w:rsidRDefault="007B30A9" w:rsidP="00831FD4">
            <w:pPr>
              <w:spacing w:before="120" w:after="60" w:line="200" w:lineRule="exact"/>
              <w:jc w:val="center"/>
              <w:rPr>
                <w:rFonts w:ascii="Times New Roman" w:eastAsia="Times New Roman" w:hAnsi="Times New Roman" w:cs="Times New Roman"/>
                <w:b/>
                <w:bCs/>
                <w:lang w:eastAsia="fr-FR"/>
              </w:rPr>
            </w:pPr>
            <w:r w:rsidRPr="007B2C52">
              <w:rPr>
                <w:rFonts w:ascii="Times New Roman" w:eastAsia="Times New Roman" w:hAnsi="Times New Roman" w:cs="Times New Roman"/>
                <w:b/>
                <w:bCs/>
                <w:lang w:eastAsia="fr-FR"/>
              </w:rPr>
              <w:t>According</w:t>
            </w:r>
            <w:r w:rsidR="00781434" w:rsidRPr="007B2C52">
              <w:rPr>
                <w:rFonts w:ascii="Times New Roman" w:eastAsia="Times New Roman" w:hAnsi="Times New Roman" w:cs="Times New Roman"/>
                <w:b/>
                <w:bCs/>
                <w:lang w:eastAsia="fr-FR"/>
              </w:rPr>
              <w:t xml:space="preserve"> to</w:t>
            </w:r>
            <w:r w:rsidRPr="007B2C52">
              <w:rPr>
                <w:rFonts w:ascii="Times New Roman" w:eastAsia="Times New Roman" w:hAnsi="Times New Roman" w:cs="Times New Roman"/>
                <w:b/>
                <w:bCs/>
                <w:lang w:eastAsia="fr-FR"/>
              </w:rPr>
              <w:t xml:space="preserve"> </w:t>
            </w:r>
            <w:r w:rsidR="00781434" w:rsidRPr="007B2C52">
              <w:rPr>
                <w:rFonts w:ascii="Times New Roman" w:eastAsia="Times New Roman" w:hAnsi="Times New Roman" w:cs="Times New Roman"/>
                <w:b/>
                <w:bCs/>
                <w:lang w:eastAsia="fr-FR"/>
              </w:rPr>
              <w:t>HQC</w:t>
            </w:r>
          </w:p>
        </w:tc>
      </w:tr>
      <w:tr w:rsidR="007B30A9" w:rsidRPr="007B2C52" w14:paraId="5006BE7B" w14:textId="77777777" w:rsidTr="007B2C52">
        <w:trPr>
          <w:trHeight w:val="389"/>
        </w:trPr>
        <w:tc>
          <w:tcPr>
            <w:tcW w:w="1843" w:type="dxa"/>
            <w:tcBorders>
              <w:top w:val="single" w:sz="4" w:space="0" w:color="auto"/>
              <w:left w:val="nil"/>
              <w:bottom w:val="single" w:sz="4" w:space="0" w:color="auto"/>
              <w:right w:val="nil"/>
            </w:tcBorders>
          </w:tcPr>
          <w:p w14:paraId="19495D10" w14:textId="7D3BAD79" w:rsidR="007B30A9" w:rsidRPr="007B2C52" w:rsidRDefault="007B30A9" w:rsidP="00831FD4">
            <w:pPr>
              <w:spacing w:line="200" w:lineRule="exact"/>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 xml:space="preserve">CFR      </w:t>
            </w:r>
          </w:p>
        </w:tc>
        <w:tc>
          <w:tcPr>
            <w:tcW w:w="2410" w:type="dxa"/>
            <w:tcBorders>
              <w:top w:val="single" w:sz="4" w:space="0" w:color="auto"/>
              <w:left w:val="nil"/>
              <w:bottom w:val="single" w:sz="4" w:space="0" w:color="auto"/>
              <w:right w:val="nil"/>
            </w:tcBorders>
          </w:tcPr>
          <w:p w14:paraId="2E83FFE3" w14:textId="2DE29CFA"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4.54236</w:t>
            </w:r>
          </w:p>
          <w:p w14:paraId="18FC6F79" w14:textId="2CFE0A37"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(1.000)</w:t>
            </w:r>
          </w:p>
        </w:tc>
        <w:tc>
          <w:tcPr>
            <w:tcW w:w="2835" w:type="dxa"/>
            <w:tcBorders>
              <w:top w:val="single" w:sz="4" w:space="0" w:color="auto"/>
              <w:left w:val="nil"/>
              <w:bottom w:val="single" w:sz="4" w:space="0" w:color="auto"/>
              <w:right w:val="nil"/>
            </w:tcBorders>
          </w:tcPr>
          <w:p w14:paraId="274D3DCA" w14:textId="607DF476"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4.62331</w:t>
            </w:r>
          </w:p>
          <w:p w14:paraId="59483723" w14:textId="3F2150F6"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(1.000)</w:t>
            </w:r>
          </w:p>
        </w:tc>
        <w:tc>
          <w:tcPr>
            <w:tcW w:w="2268" w:type="dxa"/>
            <w:tcBorders>
              <w:top w:val="single" w:sz="4" w:space="0" w:color="auto"/>
              <w:left w:val="nil"/>
              <w:bottom w:val="single" w:sz="4" w:space="0" w:color="auto"/>
              <w:right w:val="nil"/>
            </w:tcBorders>
          </w:tcPr>
          <w:p w14:paraId="427821DE" w14:textId="1C7F5774"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4.69985</w:t>
            </w:r>
          </w:p>
          <w:p w14:paraId="15B8078F" w14:textId="35E5152B"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(1.000)</w:t>
            </w:r>
          </w:p>
        </w:tc>
      </w:tr>
      <w:tr w:rsidR="007B30A9" w:rsidRPr="007B2C52" w14:paraId="78128240" w14:textId="77777777" w:rsidTr="007B2C52">
        <w:trPr>
          <w:trHeight w:val="378"/>
        </w:trPr>
        <w:tc>
          <w:tcPr>
            <w:tcW w:w="1843" w:type="dxa"/>
            <w:tcBorders>
              <w:top w:val="single" w:sz="4" w:space="0" w:color="auto"/>
              <w:left w:val="nil"/>
              <w:bottom w:val="single" w:sz="4" w:space="0" w:color="auto"/>
              <w:right w:val="nil"/>
            </w:tcBorders>
          </w:tcPr>
          <w:p w14:paraId="2DC6641A" w14:textId="0623F5FB" w:rsidR="007B30A9" w:rsidRPr="007B2C52" w:rsidRDefault="007B30A9" w:rsidP="00831FD4">
            <w:pPr>
              <w:spacing w:line="200" w:lineRule="exact"/>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LIQR</w:t>
            </w:r>
          </w:p>
        </w:tc>
        <w:tc>
          <w:tcPr>
            <w:tcW w:w="2410" w:type="dxa"/>
            <w:tcBorders>
              <w:top w:val="single" w:sz="4" w:space="0" w:color="auto"/>
              <w:left w:val="nil"/>
              <w:bottom w:val="single" w:sz="4" w:space="0" w:color="auto"/>
              <w:right w:val="nil"/>
            </w:tcBorders>
          </w:tcPr>
          <w:p w14:paraId="2EFB171B" w14:textId="7AE9BF4D"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4.09522</w:t>
            </w:r>
          </w:p>
          <w:p w14:paraId="71B24298" w14:textId="3B910A9A" w:rsidR="007B30A9" w:rsidRPr="007B2C52" w:rsidRDefault="007B30A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val="fr-FR" w:eastAsia="fr-FR"/>
              </w:rPr>
              <w:t>(1.000)</w:t>
            </w:r>
          </w:p>
        </w:tc>
        <w:tc>
          <w:tcPr>
            <w:tcW w:w="2835" w:type="dxa"/>
            <w:tcBorders>
              <w:top w:val="single" w:sz="4" w:space="0" w:color="auto"/>
              <w:left w:val="nil"/>
              <w:bottom w:val="single" w:sz="4" w:space="0" w:color="auto"/>
              <w:right w:val="nil"/>
            </w:tcBorders>
          </w:tcPr>
          <w:p w14:paraId="5EB1AE9D" w14:textId="65DF4690"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4.18245</w:t>
            </w:r>
          </w:p>
          <w:p w14:paraId="61849E5E" w14:textId="19E877DE" w:rsidR="007B30A9" w:rsidRPr="007B2C52" w:rsidRDefault="007B30A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val="fr-FR" w:eastAsia="fr-FR"/>
              </w:rPr>
              <w:t>(1.000)</w:t>
            </w:r>
          </w:p>
        </w:tc>
        <w:tc>
          <w:tcPr>
            <w:tcW w:w="2268" w:type="dxa"/>
            <w:tcBorders>
              <w:top w:val="single" w:sz="4" w:space="0" w:color="auto"/>
              <w:left w:val="nil"/>
              <w:bottom w:val="single" w:sz="4" w:space="0" w:color="auto"/>
              <w:right w:val="nil"/>
            </w:tcBorders>
          </w:tcPr>
          <w:p w14:paraId="37BC541D" w14:textId="738190E6"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3.85366</w:t>
            </w:r>
          </w:p>
          <w:p w14:paraId="4EF3BFD1" w14:textId="794AC457" w:rsidR="007B30A9" w:rsidRPr="007B2C52" w:rsidRDefault="007B30A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val="fr-FR" w:eastAsia="fr-FR"/>
              </w:rPr>
              <w:t>(0.</w:t>
            </w:r>
            <w:r w:rsidR="00407D79" w:rsidRPr="007B2C52">
              <w:rPr>
                <w:rFonts w:ascii="Times New Roman" w:eastAsia="Times New Roman" w:hAnsi="Times New Roman" w:cs="Times New Roman"/>
                <w:lang w:val="fr-FR" w:eastAsia="fr-FR"/>
              </w:rPr>
              <w:t>999</w:t>
            </w:r>
            <w:r w:rsidRPr="007B2C52">
              <w:rPr>
                <w:rFonts w:ascii="Times New Roman" w:eastAsia="Times New Roman" w:hAnsi="Times New Roman" w:cs="Times New Roman"/>
                <w:lang w:val="fr-FR" w:eastAsia="fr-FR"/>
              </w:rPr>
              <w:t>)</w:t>
            </w:r>
          </w:p>
        </w:tc>
      </w:tr>
      <w:tr w:rsidR="007B30A9" w:rsidRPr="007B2C52" w14:paraId="15CCA7F9" w14:textId="77777777" w:rsidTr="007B2C52">
        <w:trPr>
          <w:trHeight w:val="568"/>
        </w:trPr>
        <w:tc>
          <w:tcPr>
            <w:tcW w:w="1843" w:type="dxa"/>
            <w:tcBorders>
              <w:top w:val="single" w:sz="4" w:space="0" w:color="auto"/>
              <w:left w:val="nil"/>
              <w:bottom w:val="single" w:sz="4" w:space="0" w:color="auto"/>
              <w:right w:val="nil"/>
            </w:tcBorders>
          </w:tcPr>
          <w:p w14:paraId="791BBC78" w14:textId="7771394F" w:rsidR="007B30A9" w:rsidRPr="007B2C52" w:rsidRDefault="007B30A9" w:rsidP="00831FD4">
            <w:pPr>
              <w:spacing w:line="200" w:lineRule="exact"/>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EFFR</w:t>
            </w:r>
          </w:p>
        </w:tc>
        <w:tc>
          <w:tcPr>
            <w:tcW w:w="2410" w:type="dxa"/>
            <w:tcBorders>
              <w:top w:val="single" w:sz="4" w:space="0" w:color="auto"/>
              <w:left w:val="nil"/>
              <w:bottom w:val="single" w:sz="4" w:space="0" w:color="auto"/>
              <w:right w:val="nil"/>
            </w:tcBorders>
          </w:tcPr>
          <w:p w14:paraId="381A4519" w14:textId="11B2DD6C"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5.22963</w:t>
            </w:r>
          </w:p>
          <w:p w14:paraId="54C883DA" w14:textId="4AEBFF89"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val="fr-FR" w:eastAsia="fr-FR"/>
              </w:rPr>
              <w:t>(1.000)</w:t>
            </w:r>
          </w:p>
        </w:tc>
        <w:tc>
          <w:tcPr>
            <w:tcW w:w="2835" w:type="dxa"/>
            <w:tcBorders>
              <w:top w:val="single" w:sz="4" w:space="0" w:color="auto"/>
              <w:left w:val="nil"/>
              <w:bottom w:val="single" w:sz="4" w:space="0" w:color="auto"/>
              <w:right w:val="nil"/>
            </w:tcBorders>
          </w:tcPr>
          <w:p w14:paraId="2B77252D" w14:textId="35CF7828"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4.90284</w:t>
            </w:r>
          </w:p>
          <w:p w14:paraId="0B51AB9B" w14:textId="3CA2AA8A"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val="fr-FR" w:eastAsia="fr-FR"/>
              </w:rPr>
              <w:t>(1.000)</w:t>
            </w:r>
          </w:p>
        </w:tc>
        <w:tc>
          <w:tcPr>
            <w:tcW w:w="2268" w:type="dxa"/>
            <w:tcBorders>
              <w:top w:val="single" w:sz="4" w:space="0" w:color="auto"/>
              <w:left w:val="nil"/>
              <w:bottom w:val="single" w:sz="4" w:space="0" w:color="auto"/>
              <w:right w:val="nil"/>
            </w:tcBorders>
          </w:tcPr>
          <w:p w14:paraId="57310883" w14:textId="32B96C44"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eastAsia="fr-FR"/>
              </w:rPr>
              <w:t>5.55298</w:t>
            </w:r>
          </w:p>
          <w:p w14:paraId="6B1167EC" w14:textId="79058E3D" w:rsidR="007B30A9" w:rsidRPr="007B2C52" w:rsidRDefault="00407D79" w:rsidP="00831FD4">
            <w:pPr>
              <w:spacing w:line="200" w:lineRule="exact"/>
              <w:jc w:val="center"/>
              <w:rPr>
                <w:rFonts w:ascii="Times New Roman" w:eastAsia="Times New Roman" w:hAnsi="Times New Roman" w:cs="Times New Roman"/>
                <w:lang w:eastAsia="fr-FR"/>
              </w:rPr>
            </w:pPr>
            <w:r w:rsidRPr="007B2C52">
              <w:rPr>
                <w:rFonts w:ascii="Times New Roman" w:eastAsia="Times New Roman" w:hAnsi="Times New Roman" w:cs="Times New Roman"/>
                <w:lang w:val="fr-FR" w:eastAsia="fr-FR"/>
              </w:rPr>
              <w:t>(1.000)</w:t>
            </w:r>
          </w:p>
        </w:tc>
      </w:tr>
      <w:tr w:rsidR="007B30A9" w:rsidRPr="007B2C52" w14:paraId="6DB04372" w14:textId="77777777" w:rsidTr="007B2C52">
        <w:trPr>
          <w:trHeight w:val="578"/>
        </w:trPr>
        <w:tc>
          <w:tcPr>
            <w:tcW w:w="1843" w:type="dxa"/>
            <w:tcBorders>
              <w:top w:val="single" w:sz="4" w:space="0" w:color="auto"/>
              <w:left w:val="nil"/>
              <w:bottom w:val="single" w:sz="4" w:space="0" w:color="auto"/>
              <w:right w:val="nil"/>
            </w:tcBorders>
          </w:tcPr>
          <w:p w14:paraId="6754A9D6" w14:textId="492C6995" w:rsidR="007B30A9" w:rsidRPr="007B2C52" w:rsidRDefault="007B30A9" w:rsidP="00831FD4">
            <w:pPr>
              <w:spacing w:line="200" w:lineRule="exact"/>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PROR</w:t>
            </w:r>
          </w:p>
        </w:tc>
        <w:tc>
          <w:tcPr>
            <w:tcW w:w="2410" w:type="dxa"/>
            <w:tcBorders>
              <w:top w:val="single" w:sz="4" w:space="0" w:color="auto"/>
              <w:left w:val="nil"/>
              <w:bottom w:val="single" w:sz="4" w:space="0" w:color="auto"/>
              <w:right w:val="nil"/>
            </w:tcBorders>
          </w:tcPr>
          <w:p w14:paraId="3604614B" w14:textId="257489BF"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3.09228</w:t>
            </w:r>
          </w:p>
          <w:p w14:paraId="0637107C" w14:textId="5F6BDFA2"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(0.997)</w:t>
            </w:r>
          </w:p>
        </w:tc>
        <w:tc>
          <w:tcPr>
            <w:tcW w:w="2835" w:type="dxa"/>
            <w:tcBorders>
              <w:top w:val="single" w:sz="4" w:space="0" w:color="auto"/>
              <w:left w:val="nil"/>
              <w:bottom w:val="single" w:sz="4" w:space="0" w:color="auto"/>
              <w:right w:val="nil"/>
            </w:tcBorders>
          </w:tcPr>
          <w:p w14:paraId="098013BB" w14:textId="38AFE8DC"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3.29854</w:t>
            </w:r>
          </w:p>
          <w:p w14:paraId="35E24315" w14:textId="1D05474E"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(0.998)</w:t>
            </w:r>
          </w:p>
        </w:tc>
        <w:tc>
          <w:tcPr>
            <w:tcW w:w="2268" w:type="dxa"/>
            <w:tcBorders>
              <w:top w:val="single" w:sz="4" w:space="0" w:color="auto"/>
              <w:left w:val="nil"/>
              <w:bottom w:val="single" w:sz="4" w:space="0" w:color="auto"/>
              <w:right w:val="nil"/>
            </w:tcBorders>
          </w:tcPr>
          <w:p w14:paraId="4434593E" w14:textId="4774A749"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3.78281</w:t>
            </w:r>
          </w:p>
          <w:p w14:paraId="5278570C" w14:textId="0BD76ABA"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(0.999)</w:t>
            </w:r>
          </w:p>
        </w:tc>
      </w:tr>
      <w:tr w:rsidR="007B30A9" w:rsidRPr="007B2C52" w14:paraId="7424E03D" w14:textId="77777777" w:rsidTr="007B2C52">
        <w:trPr>
          <w:trHeight w:val="568"/>
        </w:trPr>
        <w:tc>
          <w:tcPr>
            <w:tcW w:w="1843" w:type="dxa"/>
            <w:tcBorders>
              <w:top w:val="single" w:sz="4" w:space="0" w:color="auto"/>
              <w:left w:val="nil"/>
              <w:right w:val="nil"/>
            </w:tcBorders>
          </w:tcPr>
          <w:p w14:paraId="1E184F52" w14:textId="2EC041D7" w:rsidR="007B30A9" w:rsidRPr="007B2C52" w:rsidRDefault="007B2C52" w:rsidP="00831FD4">
            <w:pPr>
              <w:spacing w:line="200" w:lineRule="exact"/>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SOL</w:t>
            </w:r>
            <w:r w:rsidR="007B30A9" w:rsidRPr="007B2C52">
              <w:rPr>
                <w:rFonts w:ascii="Times New Roman" w:eastAsia="Times New Roman" w:hAnsi="Times New Roman" w:cs="Times New Roman"/>
                <w:lang w:val="fr-FR" w:eastAsia="fr-FR"/>
              </w:rPr>
              <w:t>R</w:t>
            </w:r>
          </w:p>
        </w:tc>
        <w:tc>
          <w:tcPr>
            <w:tcW w:w="2410" w:type="dxa"/>
            <w:tcBorders>
              <w:top w:val="single" w:sz="4" w:space="0" w:color="auto"/>
              <w:left w:val="nil"/>
              <w:right w:val="nil"/>
            </w:tcBorders>
          </w:tcPr>
          <w:p w14:paraId="25A7CDA3" w14:textId="6CC5532F"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4.29366</w:t>
            </w:r>
          </w:p>
          <w:p w14:paraId="662E4B67" w14:textId="6BC86A98"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(1.000)</w:t>
            </w:r>
            <w:r w:rsidR="007B30A9" w:rsidRPr="007B2C52">
              <w:rPr>
                <w:rFonts w:ascii="Times New Roman" w:eastAsia="Times New Roman" w:hAnsi="Times New Roman" w:cs="Times New Roman"/>
                <w:lang w:val="fr-FR" w:eastAsia="fr-FR"/>
              </w:rPr>
              <w:t xml:space="preserve"> </w:t>
            </w:r>
          </w:p>
        </w:tc>
        <w:tc>
          <w:tcPr>
            <w:tcW w:w="2835" w:type="dxa"/>
            <w:tcBorders>
              <w:top w:val="single" w:sz="4" w:space="0" w:color="auto"/>
              <w:left w:val="nil"/>
              <w:right w:val="nil"/>
            </w:tcBorders>
          </w:tcPr>
          <w:p w14:paraId="190F9C6A" w14:textId="1586C0E7"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3.95887</w:t>
            </w:r>
          </w:p>
          <w:p w14:paraId="4DDA8748" w14:textId="2B93BE29"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(0.999)</w:t>
            </w:r>
          </w:p>
        </w:tc>
        <w:tc>
          <w:tcPr>
            <w:tcW w:w="2268" w:type="dxa"/>
            <w:tcBorders>
              <w:top w:val="single" w:sz="4" w:space="0" w:color="auto"/>
              <w:left w:val="nil"/>
              <w:right w:val="nil"/>
            </w:tcBorders>
          </w:tcPr>
          <w:p w14:paraId="5384BB6F" w14:textId="026FB4C2" w:rsidR="007B30A9" w:rsidRPr="007B2C52" w:rsidRDefault="007B30A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w:t>
            </w:r>
            <w:r w:rsidR="00407D79" w:rsidRPr="007B2C52">
              <w:rPr>
                <w:rFonts w:ascii="Times New Roman" w:eastAsia="Times New Roman" w:hAnsi="Times New Roman" w:cs="Times New Roman"/>
                <w:lang w:val="fr-FR" w:eastAsia="fr-FR"/>
              </w:rPr>
              <w:t>4.48196</w:t>
            </w:r>
          </w:p>
          <w:p w14:paraId="6B1DDFF0" w14:textId="735A84F2" w:rsidR="007B30A9" w:rsidRPr="007B2C52" w:rsidRDefault="00407D79" w:rsidP="00831FD4">
            <w:pPr>
              <w:spacing w:line="200" w:lineRule="exact"/>
              <w:jc w:val="center"/>
              <w:rPr>
                <w:rFonts w:ascii="Times New Roman" w:eastAsia="Times New Roman" w:hAnsi="Times New Roman" w:cs="Times New Roman"/>
                <w:lang w:val="fr-FR" w:eastAsia="fr-FR"/>
              </w:rPr>
            </w:pPr>
            <w:r w:rsidRPr="007B2C52">
              <w:rPr>
                <w:rFonts w:ascii="Times New Roman" w:eastAsia="Times New Roman" w:hAnsi="Times New Roman" w:cs="Times New Roman"/>
                <w:lang w:val="fr-FR" w:eastAsia="fr-FR"/>
              </w:rPr>
              <w:t>(1.000)</w:t>
            </w:r>
          </w:p>
        </w:tc>
      </w:tr>
    </w:tbl>
    <w:bookmarkEnd w:id="11"/>
    <w:p w14:paraId="0DBD8522" w14:textId="71FB94BA" w:rsidR="00144331" w:rsidRPr="003420BC" w:rsidRDefault="00144331" w:rsidP="003420BC">
      <w:pPr>
        <w:tabs>
          <w:tab w:val="left" w:pos="360"/>
        </w:tabs>
        <w:spacing w:line="240" w:lineRule="auto"/>
        <w:jc w:val="both"/>
        <w:rPr>
          <w:rFonts w:ascii="Times New Roman" w:hAnsi="Times New Roman" w:cs="Times New Roman"/>
          <w:sz w:val="18"/>
          <w:szCs w:val="18"/>
        </w:rPr>
      </w:pPr>
      <w:r w:rsidRPr="003420BC">
        <w:rPr>
          <w:rFonts w:ascii="Times New Roman" w:hAnsi="Times New Roman" w:cs="Times New Roman"/>
          <w:sz w:val="18"/>
          <w:szCs w:val="18"/>
        </w:rPr>
        <w:t xml:space="preserve">CFR: operating cash flows to total assets ratio, LIQR: working capital to total assets ratio, EFFR: sales to total assets ratio, PROR: net income to total assets </w:t>
      </w:r>
      <w:r w:rsidRPr="003420BC">
        <w:rPr>
          <w:rFonts w:ascii="Times New Roman" w:eastAsiaTheme="minorEastAsia" w:hAnsi="Times New Roman" w:cs="Times New Roman"/>
          <w:sz w:val="18"/>
          <w:szCs w:val="18"/>
        </w:rPr>
        <w:t xml:space="preserve">ratio, and </w:t>
      </w:r>
      <w:r w:rsidR="007B2C52">
        <w:rPr>
          <w:rFonts w:ascii="Times New Roman" w:eastAsiaTheme="minorEastAsia" w:hAnsi="Times New Roman" w:cs="Times New Roman"/>
          <w:sz w:val="18"/>
          <w:szCs w:val="18"/>
        </w:rPr>
        <w:t>SOL</w:t>
      </w:r>
      <w:r w:rsidRPr="003420BC">
        <w:rPr>
          <w:rFonts w:ascii="Times New Roman" w:eastAsiaTheme="minorEastAsia" w:hAnsi="Times New Roman" w:cs="Times New Roman"/>
          <w:sz w:val="18"/>
          <w:szCs w:val="18"/>
        </w:rPr>
        <w:t xml:space="preserve">R: </w:t>
      </w:r>
      <w:r w:rsidRPr="003420BC">
        <w:rPr>
          <w:rFonts w:ascii="Times New Roman" w:hAnsi="Times New Roman" w:cs="Times New Roman"/>
          <w:sz w:val="18"/>
          <w:szCs w:val="18"/>
        </w:rPr>
        <w:t>total debts to total assets ratio.</w:t>
      </w:r>
      <w:r w:rsidRPr="003420BC">
        <w:rPr>
          <w:rFonts w:ascii="Times New Roman" w:hAnsi="Times New Roman" w:cs="Times New Roman"/>
          <w:bCs/>
          <w:sz w:val="18"/>
          <w:szCs w:val="18"/>
          <w:lang w:val="en-CA"/>
        </w:rPr>
        <w:t xml:space="preserve"> K* by AIK corresponding to the minimum lag order under Akaike </w:t>
      </w:r>
      <w:r w:rsidRPr="003420BC">
        <w:rPr>
          <w:rFonts w:ascii="Times New Roman" w:hAnsi="Times New Roman" w:cs="Times New Roman"/>
          <w:bCs/>
          <w:color w:val="000000"/>
          <w:sz w:val="18"/>
          <w:szCs w:val="18"/>
          <w:lang w:val="en-CA"/>
        </w:rPr>
        <w:t xml:space="preserve">Information Criterion, </w:t>
      </w:r>
      <w:r w:rsidRPr="003420BC">
        <w:rPr>
          <w:rFonts w:ascii="Times New Roman" w:hAnsi="Times New Roman" w:cs="Times New Roman"/>
          <w:bCs/>
          <w:sz w:val="18"/>
          <w:szCs w:val="18"/>
          <w:lang w:val="en-CA"/>
        </w:rPr>
        <w:t>K* by SC corresponding to the minimum lag order under Schwarz Criterion and K* by HQC corresponding to the minimum lag order under Hann-Quinn Criterion</w:t>
      </w:r>
      <w:r w:rsidRPr="003420BC">
        <w:rPr>
          <w:rStyle w:val="Emphasis"/>
          <w:rFonts w:ascii="Times New Roman" w:hAnsi="Times New Roman" w:cs="Times New Roman"/>
          <w:color w:val="000000"/>
          <w:sz w:val="18"/>
          <w:szCs w:val="18"/>
          <w:lang w:val="en-CA"/>
        </w:rPr>
        <w:t xml:space="preserve">. </w:t>
      </w:r>
      <w:r w:rsidRPr="003420BC">
        <w:rPr>
          <w:rFonts w:ascii="Times New Roman" w:eastAsia="Times New Roman" w:hAnsi="Times New Roman" w:cs="Times New Roman"/>
          <w:bCs/>
          <w:sz w:val="18"/>
          <w:szCs w:val="18"/>
          <w:lang w:val="en-GB" w:eastAsia="fr-FR"/>
        </w:rPr>
        <w:t>The null hypothesis is that variable contains a unit root (i.e., non-stationarity). The alternative hypothesis is that the variables are stationary.</w:t>
      </w:r>
      <w:r w:rsidRPr="003420BC">
        <w:rPr>
          <w:rFonts w:ascii="Times New Roman" w:hAnsi="Times New Roman" w:cs="Times New Roman"/>
          <w:bCs/>
          <w:sz w:val="18"/>
          <w:szCs w:val="18"/>
          <w:lang w:val="en-CA"/>
        </w:rPr>
        <w:t xml:space="preserve"> (***), (**), (*) statistically significant at 1%, 5%, and 10%, respectively. Numbers in parentheses represent p-value. N = 150 and T = 8.</w:t>
      </w:r>
    </w:p>
    <w:p w14:paraId="1CEB83E1" w14:textId="77777777" w:rsidR="00224858" w:rsidRPr="00224858" w:rsidRDefault="00224858" w:rsidP="00224858">
      <w:pPr>
        <w:rPr>
          <w:rFonts w:ascii="Times New Roman" w:hAnsi="Times New Roman" w:cs="Times New Roman"/>
          <w:sz w:val="4"/>
          <w:szCs w:val="4"/>
        </w:rPr>
      </w:pPr>
    </w:p>
    <w:p w14:paraId="12A2857C" w14:textId="24B6C24D" w:rsidR="00AD21A0" w:rsidRDefault="005261E8" w:rsidP="003420BC">
      <w:pPr>
        <w:spacing w:line="240" w:lineRule="auto"/>
        <w:jc w:val="both"/>
        <w:rPr>
          <w:rFonts w:ascii="Times New Roman" w:hAnsi="Times New Roman" w:cs="Times New Roman"/>
          <w:sz w:val="24"/>
          <w:szCs w:val="24"/>
        </w:rPr>
      </w:pPr>
      <w:r w:rsidRPr="00D05787">
        <w:rPr>
          <w:rFonts w:ascii="Times New Roman" w:hAnsi="Times New Roman" w:cs="Times New Roman"/>
          <w:sz w:val="24"/>
          <w:szCs w:val="24"/>
        </w:rPr>
        <w:t xml:space="preserve">The results </w:t>
      </w:r>
      <w:r w:rsidR="007B2C52" w:rsidRPr="001A5C23">
        <w:rPr>
          <w:rFonts w:ascii="Times New Roman" w:hAnsi="Times New Roman" w:cs="Times New Roman"/>
          <w:sz w:val="24"/>
          <w:szCs w:val="24"/>
        </w:rPr>
        <w:t xml:space="preserve">of the ADF(K) tests of Im, Pesaran and Shin (2003) </w:t>
      </w:r>
      <w:r w:rsidRPr="00D05787">
        <w:rPr>
          <w:rFonts w:ascii="Times New Roman" w:hAnsi="Times New Roman" w:cs="Times New Roman"/>
          <w:sz w:val="24"/>
          <w:szCs w:val="24"/>
        </w:rPr>
        <w:t xml:space="preserve">on the series at the first differences of the five variables (i.e., CFR, LIQR, EFFR, PROR, and </w:t>
      </w:r>
      <w:r w:rsidR="007B2C52">
        <w:rPr>
          <w:rFonts w:ascii="Times New Roman" w:hAnsi="Times New Roman" w:cs="Times New Roman"/>
          <w:sz w:val="24"/>
          <w:szCs w:val="24"/>
        </w:rPr>
        <w:t>SOL</w:t>
      </w:r>
      <w:r w:rsidRPr="00D05787">
        <w:rPr>
          <w:rFonts w:ascii="Times New Roman" w:hAnsi="Times New Roman" w:cs="Times New Roman"/>
          <w:sz w:val="24"/>
          <w:szCs w:val="24"/>
        </w:rPr>
        <w:t xml:space="preserve">R) are presented in Table 4. The ADF(K) statistics for the three information criteria (AIK, SC and HQC) reject the null hypothesis of non-stationarity at the 1% significance level, and this for </w:t>
      </w:r>
      <w:r w:rsidR="007B2C52">
        <w:rPr>
          <w:rFonts w:ascii="Times New Roman" w:hAnsi="Times New Roman" w:cs="Times New Roman"/>
          <w:sz w:val="24"/>
          <w:szCs w:val="24"/>
        </w:rPr>
        <w:t>the five</w:t>
      </w:r>
      <w:r w:rsidRPr="00D05787">
        <w:rPr>
          <w:rFonts w:ascii="Times New Roman" w:hAnsi="Times New Roman" w:cs="Times New Roman"/>
          <w:sz w:val="24"/>
          <w:szCs w:val="24"/>
        </w:rPr>
        <w:t xml:space="preserve"> </w:t>
      </w:r>
      <w:r w:rsidR="007B2C52">
        <w:rPr>
          <w:rFonts w:ascii="Times New Roman" w:hAnsi="Times New Roman" w:cs="Times New Roman"/>
          <w:sz w:val="24"/>
          <w:szCs w:val="24"/>
        </w:rPr>
        <w:t xml:space="preserve">studied </w:t>
      </w:r>
      <w:r w:rsidRPr="00D05787">
        <w:rPr>
          <w:rFonts w:ascii="Times New Roman" w:hAnsi="Times New Roman" w:cs="Times New Roman"/>
          <w:sz w:val="24"/>
          <w:szCs w:val="24"/>
        </w:rPr>
        <w:t>variables</w:t>
      </w:r>
      <w:r w:rsidR="007B2C52">
        <w:rPr>
          <w:rFonts w:ascii="Times New Roman" w:hAnsi="Times New Roman" w:cs="Times New Roman"/>
          <w:sz w:val="24"/>
          <w:szCs w:val="24"/>
        </w:rPr>
        <w:t>.</w:t>
      </w:r>
    </w:p>
    <w:p w14:paraId="626C54B5" w14:textId="473CC644" w:rsidR="005261E8" w:rsidRPr="00781434" w:rsidRDefault="005261E8" w:rsidP="003420BC">
      <w:pPr>
        <w:spacing w:line="240" w:lineRule="auto"/>
        <w:jc w:val="both"/>
        <w:rPr>
          <w:rFonts w:ascii="Times New Roman" w:eastAsiaTheme="minorEastAsia" w:hAnsi="Times New Roman" w:cs="Times New Roman"/>
          <w:sz w:val="24"/>
          <w:szCs w:val="24"/>
          <w:lang w:val="en-GB" w:eastAsia="fr-FR"/>
        </w:rPr>
      </w:pPr>
      <w:r w:rsidRPr="00D05787">
        <w:rPr>
          <w:rFonts w:ascii="Times New Roman" w:hAnsi="Times New Roman" w:cs="Times New Roman"/>
          <w:sz w:val="24"/>
          <w:szCs w:val="24"/>
        </w:rPr>
        <w:t xml:space="preserve">This means that </w:t>
      </w:r>
      <w:r w:rsidR="007B2C52">
        <w:rPr>
          <w:rFonts w:ascii="Times New Roman" w:hAnsi="Times New Roman" w:cs="Times New Roman"/>
          <w:sz w:val="24"/>
          <w:szCs w:val="24"/>
        </w:rPr>
        <w:t>our</w:t>
      </w:r>
      <w:r w:rsidRPr="00D05787">
        <w:rPr>
          <w:rFonts w:ascii="Times New Roman" w:hAnsi="Times New Roman" w:cs="Times New Roman"/>
          <w:sz w:val="24"/>
          <w:szCs w:val="24"/>
        </w:rPr>
        <w:t xml:space="preserve"> five variables are integrated of order 1 and therefore they have satisfied the second condition necessary for the application of the </w:t>
      </w:r>
      <w:r w:rsidR="007B2C52">
        <w:rPr>
          <w:rFonts w:ascii="Times New Roman" w:hAnsi="Times New Roman" w:cs="Times New Roman"/>
          <w:sz w:val="24"/>
          <w:szCs w:val="24"/>
        </w:rPr>
        <w:t xml:space="preserve">panel </w:t>
      </w:r>
      <w:r w:rsidRPr="00D05787">
        <w:rPr>
          <w:rFonts w:ascii="Times New Roman" w:hAnsi="Times New Roman" w:cs="Times New Roman"/>
          <w:sz w:val="24"/>
          <w:szCs w:val="24"/>
        </w:rPr>
        <w:t>cointegration test</w:t>
      </w:r>
      <w:r w:rsidR="007B2C52">
        <w:rPr>
          <w:rFonts w:ascii="Times New Roman" w:hAnsi="Times New Roman" w:cs="Times New Roman"/>
          <w:sz w:val="24"/>
          <w:szCs w:val="24"/>
        </w:rPr>
        <w:t>s</w:t>
      </w:r>
      <w:r w:rsidRPr="00D05787">
        <w:rPr>
          <w:rFonts w:ascii="Times New Roman" w:hAnsi="Times New Roman" w:cs="Times New Roman"/>
          <w:sz w:val="24"/>
          <w:szCs w:val="24"/>
        </w:rPr>
        <w:t>, namely that the first differences of the series must be stationary (i.e., integrated of order 1</w:t>
      </w:r>
      <w:r w:rsidR="007B2C52">
        <w:rPr>
          <w:rFonts w:ascii="Times New Roman" w:hAnsi="Times New Roman" w:cs="Times New Roman"/>
          <w:sz w:val="24"/>
          <w:szCs w:val="24"/>
        </w:rPr>
        <w:t>:</w:t>
      </w:r>
      <m:oMath>
        <m:r>
          <m:rPr>
            <m:sty m:val="p"/>
          </m:rPr>
          <w:rPr>
            <w:rFonts w:ascii="Cambria Math" w:eastAsia="Times New Roman" w:hAnsi="Cambria Math"/>
            <w:sz w:val="24"/>
            <w:szCs w:val="24"/>
            <w:lang w:val="en-GB" w:eastAsia="fr-FR"/>
          </w:rPr>
          <m:t xml:space="preserve"> CFR~I</m:t>
        </m:r>
        <m:d>
          <m:dPr>
            <m:ctrlPr>
              <w:rPr>
                <w:rFonts w:ascii="Cambria Math" w:eastAsia="Times New Roman" w:hAnsi="Cambria Math"/>
                <w:sz w:val="24"/>
                <w:szCs w:val="24"/>
                <w:lang w:val="en-GB" w:eastAsia="fr-FR"/>
              </w:rPr>
            </m:ctrlPr>
          </m:dPr>
          <m:e>
            <m:r>
              <m:rPr>
                <m:sty m:val="p"/>
              </m:rPr>
              <w:rPr>
                <w:rFonts w:ascii="Cambria Math" w:eastAsia="Times New Roman" w:hAnsi="Cambria Math"/>
                <w:sz w:val="24"/>
                <w:szCs w:val="24"/>
                <w:lang w:val="en-GB" w:eastAsia="fr-FR"/>
              </w:rPr>
              <m:t>1</m:t>
            </m:r>
          </m:e>
        </m:d>
        <m:r>
          <m:rPr>
            <m:sty m:val="p"/>
          </m:rPr>
          <w:rPr>
            <w:rFonts w:ascii="Cambria Math" w:eastAsia="Times New Roman" w:hAnsi="Cambria Math"/>
            <w:sz w:val="24"/>
            <w:szCs w:val="24"/>
            <w:lang w:val="en-GB" w:eastAsia="fr-FR"/>
          </w:rPr>
          <m:t>, LIQR~I</m:t>
        </m:r>
        <m:d>
          <m:dPr>
            <m:ctrlPr>
              <w:rPr>
                <w:rFonts w:ascii="Cambria Math" w:eastAsia="Times New Roman" w:hAnsi="Cambria Math"/>
                <w:sz w:val="24"/>
                <w:szCs w:val="24"/>
                <w:lang w:val="en-GB" w:eastAsia="fr-FR"/>
              </w:rPr>
            </m:ctrlPr>
          </m:dPr>
          <m:e>
            <m:r>
              <m:rPr>
                <m:sty m:val="p"/>
              </m:rPr>
              <w:rPr>
                <w:rFonts w:ascii="Cambria Math" w:eastAsia="Times New Roman" w:hAnsi="Cambria Math"/>
                <w:sz w:val="24"/>
                <w:szCs w:val="24"/>
                <w:lang w:val="en-GB" w:eastAsia="fr-FR"/>
              </w:rPr>
              <m:t>1</m:t>
            </m:r>
          </m:e>
        </m:d>
        <m:r>
          <m:rPr>
            <m:sty m:val="p"/>
          </m:rPr>
          <w:rPr>
            <w:rFonts w:ascii="Cambria Math" w:eastAsia="Times New Roman" w:hAnsi="Cambria Math"/>
            <w:sz w:val="24"/>
            <w:szCs w:val="24"/>
            <w:lang w:val="en-GB" w:eastAsia="fr-FR"/>
          </w:rPr>
          <m:t xml:space="preserve">, </m:t>
        </m:r>
      </m:oMath>
      <w:r w:rsidRPr="00D05787">
        <w:rPr>
          <w:rFonts w:eastAsia="Times New Roman"/>
          <w:sz w:val="24"/>
          <w:szCs w:val="24"/>
          <w:lang w:val="en-GB" w:eastAsia="fr-FR"/>
        </w:rPr>
        <w:t xml:space="preserve"> </w:t>
      </w:r>
      <m:oMath>
        <m:r>
          <m:rPr>
            <m:sty m:val="p"/>
          </m:rPr>
          <w:rPr>
            <w:rFonts w:ascii="Cambria Math" w:eastAsia="Times New Roman" w:hAnsi="Cambria Math"/>
            <w:sz w:val="24"/>
            <w:szCs w:val="24"/>
            <w:lang w:val="en-GB" w:eastAsia="fr-FR"/>
          </w:rPr>
          <m:t>EFFR~I</m:t>
        </m:r>
        <m:d>
          <m:dPr>
            <m:ctrlPr>
              <w:rPr>
                <w:rFonts w:ascii="Cambria Math" w:eastAsia="Times New Roman" w:hAnsi="Cambria Math"/>
                <w:sz w:val="24"/>
                <w:szCs w:val="24"/>
                <w:lang w:val="en-GB" w:eastAsia="fr-FR"/>
              </w:rPr>
            </m:ctrlPr>
          </m:dPr>
          <m:e>
            <m:r>
              <m:rPr>
                <m:sty m:val="p"/>
              </m:rPr>
              <w:rPr>
                <w:rFonts w:ascii="Cambria Math" w:eastAsia="Times New Roman" w:hAnsi="Cambria Math"/>
                <w:sz w:val="24"/>
                <w:szCs w:val="24"/>
                <w:lang w:val="en-GB" w:eastAsia="fr-FR"/>
              </w:rPr>
              <m:t>1</m:t>
            </m:r>
          </m:e>
        </m:d>
        <m:r>
          <m:rPr>
            <m:sty m:val="p"/>
          </m:rPr>
          <w:rPr>
            <w:rFonts w:ascii="Cambria Math" w:eastAsia="Times New Roman" w:hAnsi="Cambria Math"/>
            <w:sz w:val="24"/>
            <w:szCs w:val="24"/>
            <w:lang w:val="en-GB" w:eastAsia="fr-FR"/>
          </w:rPr>
          <m:t>, PROR~I</m:t>
        </m:r>
        <m:d>
          <m:dPr>
            <m:ctrlPr>
              <w:rPr>
                <w:rFonts w:ascii="Cambria Math" w:eastAsia="Times New Roman" w:hAnsi="Cambria Math"/>
                <w:sz w:val="24"/>
                <w:szCs w:val="24"/>
                <w:lang w:val="en-GB" w:eastAsia="fr-FR"/>
              </w:rPr>
            </m:ctrlPr>
          </m:dPr>
          <m:e>
            <m:r>
              <m:rPr>
                <m:sty m:val="p"/>
              </m:rPr>
              <w:rPr>
                <w:rFonts w:ascii="Cambria Math" w:eastAsia="Times New Roman" w:hAnsi="Cambria Math"/>
                <w:sz w:val="24"/>
                <w:szCs w:val="24"/>
                <w:lang w:val="en-GB" w:eastAsia="fr-FR"/>
              </w:rPr>
              <m:t>1</m:t>
            </m:r>
          </m:e>
        </m:d>
        <m:r>
          <m:rPr>
            <m:sty m:val="p"/>
          </m:rPr>
          <w:rPr>
            <w:rFonts w:ascii="Cambria Math" w:eastAsia="Times New Roman" w:hAnsi="Cambria Math"/>
            <w:sz w:val="24"/>
            <w:szCs w:val="24"/>
            <w:lang w:val="en-GB" w:eastAsia="fr-FR"/>
          </w:rPr>
          <m:t xml:space="preserve">, and </m:t>
        </m:r>
        <m:r>
          <m:rPr>
            <m:sty m:val="p"/>
          </m:rPr>
          <w:rPr>
            <w:rFonts w:ascii="Cambria Math" w:eastAsia="Times New Roman" w:hAnsi="Cambria Math"/>
            <w:sz w:val="24"/>
            <w:szCs w:val="24"/>
            <w:lang w:val="en-GB" w:eastAsia="fr-FR"/>
          </w:rPr>
          <m:t>SOL</m:t>
        </m:r>
        <m:r>
          <m:rPr>
            <m:sty m:val="p"/>
          </m:rPr>
          <w:rPr>
            <w:rFonts w:ascii="Cambria Math" w:eastAsia="Times New Roman" w:hAnsi="Cambria Math"/>
            <w:sz w:val="24"/>
            <w:szCs w:val="24"/>
            <w:lang w:val="en-GB" w:eastAsia="fr-FR"/>
          </w:rPr>
          <m:t>R~I</m:t>
        </m:r>
        <m:d>
          <m:dPr>
            <m:ctrlPr>
              <w:rPr>
                <w:rFonts w:ascii="Cambria Math" w:eastAsia="Times New Roman" w:hAnsi="Cambria Math"/>
                <w:sz w:val="24"/>
                <w:szCs w:val="24"/>
                <w:lang w:val="en-GB" w:eastAsia="fr-FR"/>
              </w:rPr>
            </m:ctrlPr>
          </m:dPr>
          <m:e>
            <m:r>
              <m:rPr>
                <m:sty m:val="p"/>
              </m:rPr>
              <w:rPr>
                <w:rFonts w:ascii="Cambria Math" w:eastAsia="Times New Roman" w:hAnsi="Cambria Math"/>
                <w:sz w:val="24"/>
                <w:szCs w:val="24"/>
                <w:lang w:val="en-GB" w:eastAsia="fr-FR"/>
              </w:rPr>
              <m:t>1</m:t>
            </m:r>
          </m:e>
        </m:d>
      </m:oMath>
      <w:r w:rsidRPr="00D05787">
        <w:rPr>
          <w:rFonts w:ascii="Times New Roman" w:hAnsi="Times New Roman" w:cs="Times New Roman"/>
          <w:sz w:val="24"/>
          <w:szCs w:val="24"/>
        </w:rPr>
        <w:t>)</w:t>
      </w:r>
      <w:r w:rsidR="00D05787" w:rsidRPr="00D05787">
        <w:rPr>
          <w:rFonts w:ascii="Times New Roman" w:hAnsi="Times New Roman" w:cs="Times New Roman"/>
          <w:sz w:val="24"/>
          <w:szCs w:val="24"/>
        </w:rPr>
        <w:t>.</w:t>
      </w:r>
    </w:p>
    <w:p w14:paraId="65D01BAF" w14:textId="7BC2EBDA" w:rsidR="00781434" w:rsidRPr="00781434" w:rsidRDefault="00781434" w:rsidP="00781434">
      <w:pPr>
        <w:rPr>
          <w:rFonts w:ascii="Times New Roman" w:hAnsi="Times New Roman" w:cs="Times New Roman"/>
          <w:sz w:val="24"/>
          <w:szCs w:val="24"/>
        </w:rPr>
      </w:pPr>
    </w:p>
    <w:p w14:paraId="237147D0" w14:textId="7B4E4FE6" w:rsidR="00224858" w:rsidRPr="00224858" w:rsidRDefault="00224858" w:rsidP="00224858">
      <w:pPr>
        <w:spacing w:before="240" w:line="360" w:lineRule="auto"/>
        <w:jc w:val="center"/>
        <w:rPr>
          <w:rFonts w:ascii="Times New Roman" w:eastAsia="Times New Roman" w:hAnsi="Times New Roman" w:cs="Times New Roman"/>
          <w:b/>
          <w:bCs/>
          <w:sz w:val="24"/>
          <w:szCs w:val="24"/>
          <w:lang w:val="en-GB" w:eastAsia="fr-FR"/>
        </w:rPr>
      </w:pPr>
      <w:r w:rsidRPr="00224858">
        <w:rPr>
          <w:rFonts w:ascii="Times New Roman" w:hAnsi="Times New Roman" w:cs="Times New Roman"/>
          <w:b/>
          <w:bCs/>
          <w:sz w:val="24"/>
          <w:szCs w:val="24"/>
        </w:rPr>
        <w:lastRenderedPageBreak/>
        <w:t>T</w:t>
      </w:r>
      <w:r w:rsidR="00F07504">
        <w:rPr>
          <w:rFonts w:ascii="Times New Roman" w:hAnsi="Times New Roman" w:cs="Times New Roman"/>
          <w:b/>
          <w:bCs/>
          <w:sz w:val="24"/>
          <w:szCs w:val="24"/>
        </w:rPr>
        <w:t>able</w:t>
      </w:r>
      <w:r w:rsidRPr="00224858">
        <w:rPr>
          <w:rFonts w:ascii="Times New Roman" w:hAnsi="Times New Roman" w:cs="Times New Roman"/>
          <w:b/>
          <w:bCs/>
          <w:sz w:val="24"/>
          <w:szCs w:val="24"/>
        </w:rPr>
        <w:t xml:space="preserve"> </w:t>
      </w:r>
      <w:r w:rsidR="00831FD4">
        <w:rPr>
          <w:rFonts w:ascii="Times New Roman" w:hAnsi="Times New Roman" w:cs="Times New Roman"/>
          <w:b/>
          <w:bCs/>
          <w:sz w:val="24"/>
          <w:szCs w:val="24"/>
        </w:rPr>
        <w:t>4</w:t>
      </w:r>
      <w:r w:rsidRPr="00224858">
        <w:rPr>
          <w:rFonts w:ascii="Times New Roman" w:hAnsi="Times New Roman" w:cs="Times New Roman"/>
          <w:b/>
          <w:bCs/>
          <w:sz w:val="24"/>
          <w:szCs w:val="24"/>
        </w:rPr>
        <w:t>:</w:t>
      </w:r>
      <w:r w:rsidR="00F07504">
        <w:rPr>
          <w:rFonts w:ascii="Times New Roman" w:hAnsi="Times New Roman" w:cs="Times New Roman"/>
          <w:b/>
          <w:bCs/>
          <w:sz w:val="24"/>
          <w:szCs w:val="24"/>
        </w:rPr>
        <w:t xml:space="preserve"> </w:t>
      </w:r>
      <w:r w:rsidRPr="00224858">
        <w:rPr>
          <w:rFonts w:ascii="Times New Roman" w:hAnsi="Times New Roman" w:cs="Times New Roman"/>
          <w:b/>
          <w:bCs/>
          <w:sz w:val="24"/>
          <w:szCs w:val="24"/>
        </w:rPr>
        <w:t>Panel Stationarity Tests</w:t>
      </w:r>
      <w:r w:rsidR="00F07504">
        <w:rPr>
          <w:rFonts w:ascii="Times New Roman" w:hAnsi="Times New Roman" w:cs="Times New Roman"/>
          <w:b/>
          <w:bCs/>
          <w:sz w:val="24"/>
          <w:szCs w:val="24"/>
        </w:rPr>
        <w:t xml:space="preserve"> </w:t>
      </w:r>
      <w:r w:rsidRPr="00224858">
        <w:rPr>
          <w:rFonts w:ascii="Times New Roman" w:eastAsia="Times New Roman" w:hAnsi="Times New Roman" w:cs="Times New Roman"/>
          <w:b/>
          <w:bCs/>
          <w:sz w:val="24"/>
          <w:szCs w:val="24"/>
          <w:lang w:val="en-GB" w:eastAsia="fr-FR"/>
        </w:rPr>
        <w:t>on First Differences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2976"/>
        <w:gridCol w:w="1985"/>
      </w:tblGrid>
      <w:tr w:rsidR="00224858" w:rsidRPr="00F07504" w14:paraId="0E8B28A2" w14:textId="77777777" w:rsidTr="00224858">
        <w:trPr>
          <w:trHeight w:val="409"/>
        </w:trPr>
        <w:tc>
          <w:tcPr>
            <w:tcW w:w="2127" w:type="dxa"/>
            <w:tcBorders>
              <w:top w:val="double" w:sz="4" w:space="0" w:color="auto"/>
              <w:left w:val="nil"/>
              <w:bottom w:val="single" w:sz="4" w:space="0" w:color="auto"/>
              <w:right w:val="nil"/>
            </w:tcBorders>
          </w:tcPr>
          <w:p w14:paraId="4BDCCE01" w14:textId="77777777" w:rsidR="00224858" w:rsidRPr="00F07504" w:rsidRDefault="00224858" w:rsidP="00831FD4">
            <w:pPr>
              <w:spacing w:before="120" w:after="60" w:line="200" w:lineRule="exact"/>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Variables</w:t>
            </w:r>
          </w:p>
        </w:tc>
        <w:tc>
          <w:tcPr>
            <w:tcW w:w="2268" w:type="dxa"/>
            <w:tcBorders>
              <w:top w:val="double" w:sz="4" w:space="0" w:color="auto"/>
              <w:left w:val="nil"/>
              <w:bottom w:val="single" w:sz="4" w:space="0" w:color="auto"/>
              <w:right w:val="nil"/>
            </w:tcBorders>
          </w:tcPr>
          <w:p w14:paraId="70D7D53A" w14:textId="77777777" w:rsidR="00224858" w:rsidRPr="00F07504" w:rsidRDefault="00224858" w:rsidP="00831FD4">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Statistics ADF(K*)</w:t>
            </w:r>
          </w:p>
          <w:p w14:paraId="231BFC3F" w14:textId="77777777" w:rsidR="00224858" w:rsidRPr="00F07504" w:rsidRDefault="00224858" w:rsidP="00831FD4">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According to AIK</w:t>
            </w:r>
          </w:p>
        </w:tc>
        <w:tc>
          <w:tcPr>
            <w:tcW w:w="2976" w:type="dxa"/>
            <w:tcBorders>
              <w:top w:val="double" w:sz="4" w:space="0" w:color="auto"/>
              <w:left w:val="nil"/>
              <w:bottom w:val="single" w:sz="4" w:space="0" w:color="auto"/>
              <w:right w:val="nil"/>
            </w:tcBorders>
          </w:tcPr>
          <w:p w14:paraId="03A8BF34" w14:textId="77777777" w:rsidR="00224858" w:rsidRPr="00F07504" w:rsidRDefault="00224858" w:rsidP="00831FD4">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Statistics ADF(K*)</w:t>
            </w:r>
          </w:p>
          <w:p w14:paraId="7BBBD7D9" w14:textId="77777777" w:rsidR="00224858" w:rsidRPr="00F07504" w:rsidRDefault="00224858" w:rsidP="00831FD4">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According to SC</w:t>
            </w:r>
          </w:p>
        </w:tc>
        <w:tc>
          <w:tcPr>
            <w:tcW w:w="1985" w:type="dxa"/>
            <w:tcBorders>
              <w:top w:val="double" w:sz="4" w:space="0" w:color="auto"/>
              <w:left w:val="nil"/>
              <w:bottom w:val="single" w:sz="4" w:space="0" w:color="auto"/>
              <w:right w:val="nil"/>
            </w:tcBorders>
          </w:tcPr>
          <w:p w14:paraId="7054953E" w14:textId="77777777" w:rsidR="00224858" w:rsidRPr="00F07504" w:rsidRDefault="00224858" w:rsidP="00831FD4">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Statistics ADF(K*)</w:t>
            </w:r>
          </w:p>
          <w:p w14:paraId="77EE5DA3" w14:textId="77777777" w:rsidR="00224858" w:rsidRPr="00F07504" w:rsidRDefault="00224858" w:rsidP="00831FD4">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According to HQC</w:t>
            </w:r>
          </w:p>
        </w:tc>
      </w:tr>
      <w:tr w:rsidR="00224858" w:rsidRPr="00F07504" w14:paraId="38A09F5C" w14:textId="77777777" w:rsidTr="00224858">
        <w:trPr>
          <w:trHeight w:val="389"/>
        </w:trPr>
        <w:tc>
          <w:tcPr>
            <w:tcW w:w="2127" w:type="dxa"/>
            <w:tcBorders>
              <w:top w:val="single" w:sz="4" w:space="0" w:color="auto"/>
              <w:left w:val="nil"/>
              <w:bottom w:val="single" w:sz="4" w:space="0" w:color="auto"/>
              <w:right w:val="nil"/>
            </w:tcBorders>
          </w:tcPr>
          <w:p w14:paraId="0BA2906B" w14:textId="77777777" w:rsidR="00224858" w:rsidRPr="00F07504" w:rsidRDefault="00224858"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CFR      </w:t>
            </w:r>
          </w:p>
        </w:tc>
        <w:tc>
          <w:tcPr>
            <w:tcW w:w="2268" w:type="dxa"/>
            <w:tcBorders>
              <w:top w:val="single" w:sz="4" w:space="0" w:color="auto"/>
              <w:left w:val="nil"/>
              <w:bottom w:val="single" w:sz="4" w:space="0" w:color="auto"/>
              <w:right w:val="nil"/>
            </w:tcBorders>
          </w:tcPr>
          <w:p w14:paraId="768B09DF" w14:textId="7B284F63" w:rsidR="00224858" w:rsidRPr="00F07504" w:rsidRDefault="00224858"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-15.2156***</w:t>
            </w:r>
          </w:p>
          <w:p w14:paraId="4F06A845" w14:textId="31F555B1" w:rsidR="00224858" w:rsidRPr="00F07504" w:rsidRDefault="00224858"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(0.000)</w:t>
            </w:r>
          </w:p>
        </w:tc>
        <w:tc>
          <w:tcPr>
            <w:tcW w:w="2976" w:type="dxa"/>
            <w:tcBorders>
              <w:top w:val="single" w:sz="4" w:space="0" w:color="auto"/>
              <w:left w:val="nil"/>
              <w:bottom w:val="single" w:sz="4" w:space="0" w:color="auto"/>
              <w:right w:val="nil"/>
            </w:tcBorders>
          </w:tcPr>
          <w:p w14:paraId="4D724D6F" w14:textId="01FDD89C" w:rsidR="00224858" w:rsidRPr="00F07504" w:rsidRDefault="00224858"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-15.5523***</w:t>
            </w:r>
          </w:p>
          <w:p w14:paraId="35118A85" w14:textId="64151256" w:rsidR="00224858" w:rsidRPr="00F07504" w:rsidRDefault="00224858"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(0.000)</w:t>
            </w:r>
          </w:p>
        </w:tc>
        <w:tc>
          <w:tcPr>
            <w:tcW w:w="1985" w:type="dxa"/>
            <w:tcBorders>
              <w:top w:val="single" w:sz="4" w:space="0" w:color="auto"/>
              <w:left w:val="nil"/>
              <w:bottom w:val="single" w:sz="4" w:space="0" w:color="auto"/>
              <w:right w:val="nil"/>
            </w:tcBorders>
          </w:tcPr>
          <w:p w14:paraId="7CFBD912" w14:textId="110574E3" w:rsidR="00224858" w:rsidRPr="00F07504" w:rsidRDefault="00224858"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-15.2156***</w:t>
            </w:r>
          </w:p>
          <w:p w14:paraId="64C36FB0" w14:textId="04F59704" w:rsidR="00224858" w:rsidRPr="00F07504" w:rsidRDefault="00224858"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(0.000)</w:t>
            </w:r>
          </w:p>
        </w:tc>
      </w:tr>
      <w:tr w:rsidR="00224858" w:rsidRPr="00F07504" w14:paraId="294523A5" w14:textId="77777777" w:rsidTr="00224858">
        <w:trPr>
          <w:trHeight w:val="378"/>
        </w:trPr>
        <w:tc>
          <w:tcPr>
            <w:tcW w:w="2127" w:type="dxa"/>
            <w:tcBorders>
              <w:top w:val="single" w:sz="4" w:space="0" w:color="auto"/>
              <w:left w:val="nil"/>
              <w:bottom w:val="single" w:sz="4" w:space="0" w:color="auto"/>
              <w:right w:val="nil"/>
            </w:tcBorders>
          </w:tcPr>
          <w:p w14:paraId="050E5FE5" w14:textId="77777777"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LIQR</w:t>
            </w:r>
          </w:p>
        </w:tc>
        <w:tc>
          <w:tcPr>
            <w:tcW w:w="2268" w:type="dxa"/>
            <w:tcBorders>
              <w:top w:val="single" w:sz="4" w:space="0" w:color="auto"/>
              <w:left w:val="nil"/>
              <w:bottom w:val="single" w:sz="4" w:space="0" w:color="auto"/>
              <w:right w:val="nil"/>
            </w:tcBorders>
          </w:tcPr>
          <w:p w14:paraId="13819502" w14:textId="0D6C55F7" w:rsidR="00224858" w:rsidRPr="00F07504" w:rsidRDefault="00224858" w:rsidP="00831FD4">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-17.0952***</w:t>
            </w:r>
          </w:p>
          <w:p w14:paraId="6D3E25C5" w14:textId="735B332E"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c>
          <w:tcPr>
            <w:tcW w:w="2976" w:type="dxa"/>
            <w:tcBorders>
              <w:top w:val="single" w:sz="4" w:space="0" w:color="auto"/>
              <w:left w:val="nil"/>
              <w:bottom w:val="single" w:sz="4" w:space="0" w:color="auto"/>
              <w:right w:val="nil"/>
            </w:tcBorders>
          </w:tcPr>
          <w:p w14:paraId="043BF1AD" w14:textId="43B85615" w:rsidR="00224858" w:rsidRPr="00F07504" w:rsidRDefault="00224858" w:rsidP="00831FD4">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-17.2526***</w:t>
            </w:r>
          </w:p>
          <w:p w14:paraId="0AB33E1C" w14:textId="11604154"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c>
          <w:tcPr>
            <w:tcW w:w="1985" w:type="dxa"/>
            <w:tcBorders>
              <w:top w:val="single" w:sz="4" w:space="0" w:color="auto"/>
              <w:left w:val="nil"/>
              <w:bottom w:val="single" w:sz="4" w:space="0" w:color="auto"/>
              <w:right w:val="nil"/>
            </w:tcBorders>
          </w:tcPr>
          <w:p w14:paraId="19627DDC" w14:textId="1D833CCA" w:rsidR="00224858" w:rsidRPr="00F07504" w:rsidRDefault="00224858" w:rsidP="00831FD4">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-17.1667***</w:t>
            </w:r>
          </w:p>
          <w:p w14:paraId="7283118C" w14:textId="23B27C88"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r>
      <w:tr w:rsidR="00224858" w:rsidRPr="00F07504" w14:paraId="7C834027" w14:textId="77777777" w:rsidTr="00224858">
        <w:trPr>
          <w:trHeight w:val="568"/>
        </w:trPr>
        <w:tc>
          <w:tcPr>
            <w:tcW w:w="2127" w:type="dxa"/>
            <w:tcBorders>
              <w:top w:val="single" w:sz="4" w:space="0" w:color="auto"/>
              <w:left w:val="nil"/>
              <w:bottom w:val="single" w:sz="4" w:space="0" w:color="auto"/>
              <w:right w:val="nil"/>
            </w:tcBorders>
          </w:tcPr>
          <w:p w14:paraId="5C75271D" w14:textId="77777777"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EFFR</w:t>
            </w:r>
          </w:p>
        </w:tc>
        <w:tc>
          <w:tcPr>
            <w:tcW w:w="2268" w:type="dxa"/>
            <w:tcBorders>
              <w:top w:val="single" w:sz="4" w:space="0" w:color="auto"/>
              <w:left w:val="nil"/>
              <w:bottom w:val="single" w:sz="4" w:space="0" w:color="auto"/>
              <w:right w:val="nil"/>
            </w:tcBorders>
          </w:tcPr>
          <w:p w14:paraId="156A69E4" w14:textId="24071A9E" w:rsidR="00224858" w:rsidRPr="00F07504" w:rsidRDefault="00224858" w:rsidP="00831FD4">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-24.6744***</w:t>
            </w:r>
          </w:p>
          <w:p w14:paraId="2E6D07F3" w14:textId="58729A70"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c>
          <w:tcPr>
            <w:tcW w:w="2976" w:type="dxa"/>
            <w:tcBorders>
              <w:top w:val="single" w:sz="4" w:space="0" w:color="auto"/>
              <w:left w:val="nil"/>
              <w:bottom w:val="single" w:sz="4" w:space="0" w:color="auto"/>
              <w:right w:val="nil"/>
            </w:tcBorders>
          </w:tcPr>
          <w:p w14:paraId="27D6D0FE" w14:textId="32E4AD33" w:rsidR="00224858" w:rsidRPr="00F07504" w:rsidRDefault="00224858" w:rsidP="00831FD4">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-25.0058***</w:t>
            </w:r>
          </w:p>
          <w:p w14:paraId="771C6056" w14:textId="123329BC"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c>
          <w:tcPr>
            <w:tcW w:w="1985" w:type="dxa"/>
            <w:tcBorders>
              <w:top w:val="single" w:sz="4" w:space="0" w:color="auto"/>
              <w:left w:val="nil"/>
              <w:bottom w:val="single" w:sz="4" w:space="0" w:color="auto"/>
              <w:right w:val="nil"/>
            </w:tcBorders>
          </w:tcPr>
          <w:p w14:paraId="16A8A8B3" w14:textId="482E2B0D" w:rsidR="00224858" w:rsidRPr="00F07504" w:rsidRDefault="00224858" w:rsidP="00831FD4">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-25.8432***</w:t>
            </w:r>
          </w:p>
          <w:p w14:paraId="5F5C8C67" w14:textId="2C914CAA" w:rsidR="00224858" w:rsidRPr="00F07504" w:rsidRDefault="00224858" w:rsidP="00831FD4">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r>
      <w:tr w:rsidR="00224858" w:rsidRPr="00F07504" w14:paraId="7B41E481" w14:textId="77777777" w:rsidTr="00224858">
        <w:trPr>
          <w:trHeight w:val="578"/>
        </w:trPr>
        <w:tc>
          <w:tcPr>
            <w:tcW w:w="2127" w:type="dxa"/>
            <w:tcBorders>
              <w:top w:val="single" w:sz="4" w:space="0" w:color="auto"/>
              <w:left w:val="nil"/>
              <w:bottom w:val="single" w:sz="4" w:space="0" w:color="auto"/>
              <w:right w:val="nil"/>
            </w:tcBorders>
          </w:tcPr>
          <w:p w14:paraId="52411838" w14:textId="77777777" w:rsidR="00224858" w:rsidRPr="00F07504" w:rsidRDefault="00224858"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PROR</w:t>
            </w:r>
          </w:p>
        </w:tc>
        <w:tc>
          <w:tcPr>
            <w:tcW w:w="2268" w:type="dxa"/>
            <w:tcBorders>
              <w:top w:val="single" w:sz="4" w:space="0" w:color="auto"/>
              <w:left w:val="nil"/>
              <w:bottom w:val="single" w:sz="4" w:space="0" w:color="auto"/>
              <w:right w:val="nil"/>
            </w:tcBorders>
          </w:tcPr>
          <w:p w14:paraId="264B0685" w14:textId="67CB46CC" w:rsidR="00224858" w:rsidRPr="00F07504" w:rsidRDefault="00831FD4"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-21.6684***</w:t>
            </w:r>
          </w:p>
          <w:p w14:paraId="2745DE8E" w14:textId="4BD6EDD7" w:rsidR="00224858" w:rsidRPr="00F07504" w:rsidRDefault="00831FD4"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w:t>
            </w:r>
            <w:r w:rsidR="00224858" w:rsidRPr="00F07504">
              <w:rPr>
                <w:rFonts w:ascii="Times New Roman" w:eastAsia="Times New Roman" w:hAnsi="Times New Roman" w:cs="Times New Roman"/>
                <w:sz w:val="20"/>
                <w:szCs w:val="20"/>
                <w:lang w:val="fr-FR" w:eastAsia="fr-FR"/>
              </w:rPr>
              <w:t>(0.</w:t>
            </w:r>
            <w:r w:rsidRPr="00F07504">
              <w:rPr>
                <w:rFonts w:ascii="Times New Roman" w:eastAsia="Times New Roman" w:hAnsi="Times New Roman" w:cs="Times New Roman"/>
                <w:sz w:val="20"/>
                <w:szCs w:val="20"/>
                <w:lang w:val="fr-FR" w:eastAsia="fr-FR"/>
              </w:rPr>
              <w:t>000</w:t>
            </w:r>
            <w:r w:rsidR="00224858" w:rsidRPr="00F07504">
              <w:rPr>
                <w:rFonts w:ascii="Times New Roman" w:eastAsia="Times New Roman" w:hAnsi="Times New Roman" w:cs="Times New Roman"/>
                <w:sz w:val="20"/>
                <w:szCs w:val="20"/>
                <w:lang w:val="fr-FR" w:eastAsia="fr-FR"/>
              </w:rPr>
              <w:t>)</w:t>
            </w:r>
          </w:p>
        </w:tc>
        <w:tc>
          <w:tcPr>
            <w:tcW w:w="2976" w:type="dxa"/>
            <w:tcBorders>
              <w:top w:val="single" w:sz="4" w:space="0" w:color="auto"/>
              <w:left w:val="nil"/>
              <w:bottom w:val="single" w:sz="4" w:space="0" w:color="auto"/>
              <w:right w:val="nil"/>
            </w:tcBorders>
          </w:tcPr>
          <w:p w14:paraId="3E77B6F1" w14:textId="582A7628" w:rsidR="00224858" w:rsidRPr="00F07504" w:rsidRDefault="00831FD4"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-21.9522***</w:t>
            </w:r>
          </w:p>
          <w:p w14:paraId="11B20EB9" w14:textId="4DE53DCD" w:rsidR="00224858" w:rsidRPr="00F07504" w:rsidRDefault="00831FD4"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w:t>
            </w:r>
            <w:r w:rsidR="00224858" w:rsidRPr="00F07504">
              <w:rPr>
                <w:rFonts w:ascii="Times New Roman" w:eastAsia="Times New Roman" w:hAnsi="Times New Roman" w:cs="Times New Roman"/>
                <w:sz w:val="20"/>
                <w:szCs w:val="20"/>
                <w:lang w:val="fr-FR" w:eastAsia="fr-FR"/>
              </w:rPr>
              <w:t>(0.</w:t>
            </w:r>
            <w:r w:rsidRPr="00F07504">
              <w:rPr>
                <w:rFonts w:ascii="Times New Roman" w:eastAsia="Times New Roman" w:hAnsi="Times New Roman" w:cs="Times New Roman"/>
                <w:sz w:val="20"/>
                <w:szCs w:val="20"/>
                <w:lang w:val="fr-FR" w:eastAsia="fr-FR"/>
              </w:rPr>
              <w:t>000</w:t>
            </w:r>
            <w:r w:rsidR="00224858" w:rsidRPr="00F07504">
              <w:rPr>
                <w:rFonts w:ascii="Times New Roman" w:eastAsia="Times New Roman" w:hAnsi="Times New Roman" w:cs="Times New Roman"/>
                <w:sz w:val="20"/>
                <w:szCs w:val="20"/>
                <w:lang w:val="fr-FR" w:eastAsia="fr-FR"/>
              </w:rPr>
              <w:t>)</w:t>
            </w:r>
          </w:p>
        </w:tc>
        <w:tc>
          <w:tcPr>
            <w:tcW w:w="1985" w:type="dxa"/>
            <w:tcBorders>
              <w:top w:val="single" w:sz="4" w:space="0" w:color="auto"/>
              <w:left w:val="nil"/>
              <w:bottom w:val="single" w:sz="4" w:space="0" w:color="auto"/>
              <w:right w:val="nil"/>
            </w:tcBorders>
          </w:tcPr>
          <w:p w14:paraId="76EB9A82" w14:textId="6CEC8683" w:rsidR="00224858" w:rsidRPr="00F07504" w:rsidRDefault="00831FD4"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-21.7720***</w:t>
            </w:r>
          </w:p>
          <w:p w14:paraId="47935C1F" w14:textId="0646B45F" w:rsidR="00224858" w:rsidRPr="00F07504" w:rsidRDefault="00831FD4"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w:t>
            </w:r>
            <w:r w:rsidR="00224858" w:rsidRPr="00F07504">
              <w:rPr>
                <w:rFonts w:ascii="Times New Roman" w:eastAsia="Times New Roman" w:hAnsi="Times New Roman" w:cs="Times New Roman"/>
                <w:sz w:val="20"/>
                <w:szCs w:val="20"/>
                <w:lang w:val="fr-FR" w:eastAsia="fr-FR"/>
              </w:rPr>
              <w:t>(0.</w:t>
            </w:r>
            <w:r w:rsidRPr="00F07504">
              <w:rPr>
                <w:rFonts w:ascii="Times New Roman" w:eastAsia="Times New Roman" w:hAnsi="Times New Roman" w:cs="Times New Roman"/>
                <w:sz w:val="20"/>
                <w:szCs w:val="20"/>
                <w:lang w:val="fr-FR" w:eastAsia="fr-FR"/>
              </w:rPr>
              <w:t>000</w:t>
            </w:r>
            <w:r w:rsidR="00224858" w:rsidRPr="00F07504">
              <w:rPr>
                <w:rFonts w:ascii="Times New Roman" w:eastAsia="Times New Roman" w:hAnsi="Times New Roman" w:cs="Times New Roman"/>
                <w:sz w:val="20"/>
                <w:szCs w:val="20"/>
                <w:lang w:val="fr-FR" w:eastAsia="fr-FR"/>
              </w:rPr>
              <w:t>)</w:t>
            </w:r>
          </w:p>
        </w:tc>
      </w:tr>
      <w:tr w:rsidR="00224858" w:rsidRPr="00F07504" w14:paraId="0924F1C0" w14:textId="77777777" w:rsidTr="00224858">
        <w:trPr>
          <w:trHeight w:val="568"/>
        </w:trPr>
        <w:tc>
          <w:tcPr>
            <w:tcW w:w="2127" w:type="dxa"/>
            <w:tcBorders>
              <w:top w:val="single" w:sz="4" w:space="0" w:color="auto"/>
              <w:left w:val="nil"/>
              <w:right w:val="nil"/>
            </w:tcBorders>
          </w:tcPr>
          <w:p w14:paraId="29E82180" w14:textId="37EE7A0A" w:rsidR="00224858" w:rsidRPr="00F07504" w:rsidRDefault="002054D8" w:rsidP="00831FD4">
            <w:pPr>
              <w:spacing w:line="200" w:lineRule="exac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SOL</w:t>
            </w:r>
            <w:r w:rsidR="00224858" w:rsidRPr="00F07504">
              <w:rPr>
                <w:rFonts w:ascii="Times New Roman" w:eastAsia="Times New Roman" w:hAnsi="Times New Roman" w:cs="Times New Roman"/>
                <w:sz w:val="20"/>
                <w:szCs w:val="20"/>
                <w:lang w:val="fr-FR" w:eastAsia="fr-FR"/>
              </w:rPr>
              <w:t>R</w:t>
            </w:r>
          </w:p>
        </w:tc>
        <w:tc>
          <w:tcPr>
            <w:tcW w:w="2268" w:type="dxa"/>
            <w:tcBorders>
              <w:top w:val="single" w:sz="4" w:space="0" w:color="auto"/>
              <w:left w:val="nil"/>
              <w:right w:val="nil"/>
            </w:tcBorders>
          </w:tcPr>
          <w:p w14:paraId="4959F00F" w14:textId="5ED03661" w:rsidR="00224858" w:rsidRPr="00F07504" w:rsidRDefault="00831FD4"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-18.8532***</w:t>
            </w:r>
          </w:p>
          <w:p w14:paraId="1A5B5102" w14:textId="24DF62E7" w:rsidR="00224858" w:rsidRPr="00F07504" w:rsidRDefault="00831FD4"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w:t>
            </w:r>
            <w:r w:rsidR="00224858" w:rsidRPr="00F07504">
              <w:rPr>
                <w:rFonts w:ascii="Times New Roman" w:eastAsia="Times New Roman" w:hAnsi="Times New Roman" w:cs="Times New Roman"/>
                <w:sz w:val="20"/>
                <w:szCs w:val="20"/>
                <w:lang w:val="fr-FR" w:eastAsia="fr-FR"/>
              </w:rPr>
              <w:t>(</w:t>
            </w:r>
            <w:r w:rsidRPr="00F07504">
              <w:rPr>
                <w:rFonts w:ascii="Times New Roman" w:eastAsia="Times New Roman" w:hAnsi="Times New Roman" w:cs="Times New Roman"/>
                <w:sz w:val="20"/>
                <w:szCs w:val="20"/>
                <w:lang w:val="fr-FR" w:eastAsia="fr-FR"/>
              </w:rPr>
              <w:t>0</w:t>
            </w:r>
            <w:r w:rsidR="00224858" w:rsidRPr="00F07504">
              <w:rPr>
                <w:rFonts w:ascii="Times New Roman" w:eastAsia="Times New Roman" w:hAnsi="Times New Roman" w:cs="Times New Roman"/>
                <w:sz w:val="20"/>
                <w:szCs w:val="20"/>
                <w:lang w:val="fr-FR" w:eastAsia="fr-FR"/>
              </w:rPr>
              <w:t xml:space="preserve">.000) </w:t>
            </w:r>
          </w:p>
        </w:tc>
        <w:tc>
          <w:tcPr>
            <w:tcW w:w="2976" w:type="dxa"/>
            <w:tcBorders>
              <w:top w:val="single" w:sz="4" w:space="0" w:color="auto"/>
              <w:left w:val="nil"/>
              <w:right w:val="nil"/>
            </w:tcBorders>
          </w:tcPr>
          <w:p w14:paraId="3C3F803C" w14:textId="0630D964" w:rsidR="00224858" w:rsidRPr="00F07504" w:rsidRDefault="00831FD4"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-19.1741***</w:t>
            </w:r>
          </w:p>
          <w:p w14:paraId="6B2754B6" w14:textId="6EAFB59A" w:rsidR="00224858" w:rsidRPr="00F07504" w:rsidRDefault="00831FD4"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w:t>
            </w:r>
            <w:r w:rsidR="00224858" w:rsidRPr="00F07504">
              <w:rPr>
                <w:rFonts w:ascii="Times New Roman" w:eastAsia="Times New Roman" w:hAnsi="Times New Roman" w:cs="Times New Roman"/>
                <w:sz w:val="20"/>
                <w:szCs w:val="20"/>
                <w:lang w:val="fr-FR" w:eastAsia="fr-FR"/>
              </w:rPr>
              <w:t>(0.</w:t>
            </w:r>
            <w:r w:rsidRPr="00F07504">
              <w:rPr>
                <w:rFonts w:ascii="Times New Roman" w:eastAsia="Times New Roman" w:hAnsi="Times New Roman" w:cs="Times New Roman"/>
                <w:sz w:val="20"/>
                <w:szCs w:val="20"/>
                <w:lang w:val="fr-FR" w:eastAsia="fr-FR"/>
              </w:rPr>
              <w:t>000</w:t>
            </w:r>
            <w:r w:rsidR="00224858" w:rsidRPr="00F07504">
              <w:rPr>
                <w:rFonts w:ascii="Times New Roman" w:eastAsia="Times New Roman" w:hAnsi="Times New Roman" w:cs="Times New Roman"/>
                <w:sz w:val="20"/>
                <w:szCs w:val="20"/>
                <w:lang w:val="fr-FR" w:eastAsia="fr-FR"/>
              </w:rPr>
              <w:t>)</w:t>
            </w:r>
          </w:p>
        </w:tc>
        <w:tc>
          <w:tcPr>
            <w:tcW w:w="1985" w:type="dxa"/>
            <w:tcBorders>
              <w:top w:val="single" w:sz="4" w:space="0" w:color="auto"/>
              <w:left w:val="nil"/>
              <w:right w:val="nil"/>
            </w:tcBorders>
          </w:tcPr>
          <w:p w14:paraId="5EE9BEEE" w14:textId="740D0BA4" w:rsidR="00224858" w:rsidRPr="00F07504" w:rsidRDefault="00831FD4" w:rsidP="00831FD4">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-19.0362***</w:t>
            </w:r>
          </w:p>
          <w:p w14:paraId="484E9131" w14:textId="6EE5E7AC" w:rsidR="00224858" w:rsidRPr="00F07504" w:rsidRDefault="00831FD4" w:rsidP="00831FD4">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w:t>
            </w:r>
            <w:r w:rsidR="00224858" w:rsidRPr="00F07504">
              <w:rPr>
                <w:rFonts w:ascii="Times New Roman" w:eastAsia="Times New Roman" w:hAnsi="Times New Roman" w:cs="Times New Roman"/>
                <w:sz w:val="20"/>
                <w:szCs w:val="20"/>
                <w:lang w:val="fr-FR" w:eastAsia="fr-FR"/>
              </w:rPr>
              <w:t>(</w:t>
            </w:r>
            <w:r w:rsidRPr="00F07504">
              <w:rPr>
                <w:rFonts w:ascii="Times New Roman" w:eastAsia="Times New Roman" w:hAnsi="Times New Roman" w:cs="Times New Roman"/>
                <w:sz w:val="20"/>
                <w:szCs w:val="20"/>
                <w:lang w:val="fr-FR" w:eastAsia="fr-FR"/>
              </w:rPr>
              <w:t>0</w:t>
            </w:r>
            <w:r w:rsidR="00224858" w:rsidRPr="00F07504">
              <w:rPr>
                <w:rFonts w:ascii="Times New Roman" w:eastAsia="Times New Roman" w:hAnsi="Times New Roman" w:cs="Times New Roman"/>
                <w:sz w:val="20"/>
                <w:szCs w:val="20"/>
                <w:lang w:val="fr-FR" w:eastAsia="fr-FR"/>
              </w:rPr>
              <w:t>.000)</w:t>
            </w:r>
          </w:p>
        </w:tc>
      </w:tr>
    </w:tbl>
    <w:p w14:paraId="695B0A45" w14:textId="30CF7F5D" w:rsidR="00224858" w:rsidRPr="00F07504" w:rsidRDefault="00224858" w:rsidP="00224858">
      <w:pPr>
        <w:tabs>
          <w:tab w:val="left" w:pos="360"/>
        </w:tabs>
        <w:spacing w:line="240" w:lineRule="auto"/>
        <w:jc w:val="both"/>
        <w:rPr>
          <w:rFonts w:ascii="Times New Roman" w:hAnsi="Times New Roman" w:cs="Times New Roman"/>
          <w:sz w:val="18"/>
          <w:szCs w:val="18"/>
        </w:rPr>
      </w:pPr>
      <w:bookmarkStart w:id="12" w:name="_Hlk68466207"/>
      <w:r w:rsidRPr="00F07504">
        <w:rPr>
          <w:rFonts w:ascii="Times New Roman" w:hAnsi="Times New Roman" w:cs="Times New Roman"/>
          <w:sz w:val="18"/>
          <w:szCs w:val="18"/>
        </w:rPr>
        <w:t xml:space="preserve">CFR: operating cash flows to total assets ratio, LIQR: working capital to total assets ratio, EFFR: sales to total assets ratio, PROR: net income to total assets </w:t>
      </w:r>
      <w:r w:rsidRPr="00F07504">
        <w:rPr>
          <w:rFonts w:ascii="Times New Roman" w:eastAsiaTheme="minorEastAsia" w:hAnsi="Times New Roman" w:cs="Times New Roman"/>
          <w:sz w:val="18"/>
          <w:szCs w:val="18"/>
        </w:rPr>
        <w:t xml:space="preserve">ratio, and </w:t>
      </w:r>
      <w:r w:rsidR="004820B2">
        <w:rPr>
          <w:rFonts w:ascii="Times New Roman" w:eastAsiaTheme="minorEastAsia" w:hAnsi="Times New Roman" w:cs="Times New Roman"/>
          <w:sz w:val="18"/>
          <w:szCs w:val="18"/>
        </w:rPr>
        <w:t>SOL</w:t>
      </w:r>
      <w:r w:rsidRPr="00F07504">
        <w:rPr>
          <w:rFonts w:ascii="Times New Roman" w:eastAsiaTheme="minorEastAsia" w:hAnsi="Times New Roman" w:cs="Times New Roman"/>
          <w:sz w:val="18"/>
          <w:szCs w:val="18"/>
        </w:rPr>
        <w:t xml:space="preserve">R: </w:t>
      </w:r>
      <w:r w:rsidRPr="00F07504">
        <w:rPr>
          <w:rFonts w:ascii="Times New Roman" w:hAnsi="Times New Roman" w:cs="Times New Roman"/>
          <w:sz w:val="18"/>
          <w:szCs w:val="18"/>
        </w:rPr>
        <w:t>total debts to total assets ratio.</w:t>
      </w:r>
      <w:r w:rsidRPr="00F07504">
        <w:rPr>
          <w:rFonts w:ascii="Times New Roman" w:hAnsi="Times New Roman" w:cs="Times New Roman"/>
          <w:bCs/>
          <w:sz w:val="18"/>
          <w:szCs w:val="18"/>
          <w:lang w:val="en-CA"/>
        </w:rPr>
        <w:t xml:space="preserve"> K* by AIK corresponding to the minimum lag order under Akaike </w:t>
      </w:r>
      <w:r w:rsidRPr="00F07504">
        <w:rPr>
          <w:rFonts w:ascii="Times New Roman" w:hAnsi="Times New Roman" w:cs="Times New Roman"/>
          <w:bCs/>
          <w:color w:val="000000"/>
          <w:sz w:val="18"/>
          <w:szCs w:val="18"/>
          <w:lang w:val="en-CA"/>
        </w:rPr>
        <w:t xml:space="preserve">Information Criterion, </w:t>
      </w:r>
      <w:r w:rsidRPr="00F07504">
        <w:rPr>
          <w:rFonts w:ascii="Times New Roman" w:hAnsi="Times New Roman" w:cs="Times New Roman"/>
          <w:bCs/>
          <w:sz w:val="18"/>
          <w:szCs w:val="18"/>
          <w:lang w:val="en-CA"/>
        </w:rPr>
        <w:t>K* by SC corresponding to the minimum lag order under Schwarz Criterion and K* by HQC corresponding to the minimum lag order under Hann-Quinn Criterion</w:t>
      </w:r>
      <w:r w:rsidRPr="00F07504">
        <w:rPr>
          <w:rStyle w:val="Emphasis"/>
          <w:rFonts w:ascii="Times New Roman" w:hAnsi="Times New Roman" w:cs="Times New Roman"/>
          <w:color w:val="000000"/>
          <w:sz w:val="18"/>
          <w:szCs w:val="18"/>
          <w:lang w:val="en-CA"/>
        </w:rPr>
        <w:t xml:space="preserve">. </w:t>
      </w:r>
      <w:r w:rsidR="00144331" w:rsidRPr="00F07504">
        <w:rPr>
          <w:rFonts w:ascii="Times New Roman" w:eastAsia="Times New Roman" w:hAnsi="Times New Roman" w:cs="Times New Roman"/>
          <w:bCs/>
          <w:sz w:val="18"/>
          <w:szCs w:val="18"/>
          <w:lang w:val="en-GB" w:eastAsia="fr-FR"/>
        </w:rPr>
        <w:t>The null hypothesis is that variable contains a unit root (i.e., non-stationarity). The alternative hypothesis is that the variables are stationary.</w:t>
      </w:r>
      <w:r w:rsidR="00144331" w:rsidRPr="00F07504">
        <w:rPr>
          <w:rFonts w:ascii="Times New Roman" w:hAnsi="Times New Roman" w:cs="Times New Roman"/>
          <w:bCs/>
          <w:sz w:val="18"/>
          <w:szCs w:val="18"/>
          <w:lang w:val="en-CA"/>
        </w:rPr>
        <w:t xml:space="preserve"> </w:t>
      </w:r>
      <w:r w:rsidRPr="00F07504">
        <w:rPr>
          <w:rFonts w:ascii="Times New Roman" w:hAnsi="Times New Roman" w:cs="Times New Roman"/>
          <w:bCs/>
          <w:sz w:val="18"/>
          <w:szCs w:val="18"/>
          <w:lang w:val="en-CA"/>
        </w:rPr>
        <w:t>(***), (**), (*) statistically significant at 1%, 5%, and 10%, respectively. Numbers in parentheses represent p-value.</w:t>
      </w:r>
      <w:r w:rsidR="00144331" w:rsidRPr="00F07504">
        <w:rPr>
          <w:rFonts w:ascii="Times New Roman" w:hAnsi="Times New Roman" w:cs="Times New Roman"/>
          <w:bCs/>
          <w:sz w:val="18"/>
          <w:szCs w:val="18"/>
          <w:lang w:val="en-CA"/>
        </w:rPr>
        <w:t xml:space="preserve"> N = 150 and T = 8.</w:t>
      </w:r>
    </w:p>
    <w:bookmarkEnd w:id="12"/>
    <w:p w14:paraId="0C1153F5" w14:textId="49B63C84" w:rsidR="00247A20" w:rsidRPr="00247A20" w:rsidRDefault="00247A20" w:rsidP="00F07504">
      <w:pPr>
        <w:spacing w:line="240" w:lineRule="auto"/>
        <w:jc w:val="both"/>
        <w:rPr>
          <w:rFonts w:ascii="Times New Roman" w:hAnsi="Times New Roman" w:cs="Times New Roman"/>
          <w:sz w:val="24"/>
          <w:szCs w:val="24"/>
        </w:rPr>
      </w:pPr>
      <w:r w:rsidRPr="00247A20">
        <w:rPr>
          <w:rFonts w:ascii="Times New Roman" w:hAnsi="Times New Roman" w:cs="Times New Roman"/>
          <w:sz w:val="24"/>
          <w:szCs w:val="24"/>
        </w:rPr>
        <w:t xml:space="preserve">In conclusion, the results of the panel stationarity test of Im, Pesaran and Shin (2003) allow us to apply the </w:t>
      </w:r>
      <w:r>
        <w:rPr>
          <w:rFonts w:ascii="Times New Roman" w:hAnsi="Times New Roman" w:cs="Times New Roman"/>
          <w:sz w:val="24"/>
          <w:szCs w:val="24"/>
        </w:rPr>
        <w:t xml:space="preserve">panel </w:t>
      </w:r>
      <w:r w:rsidRPr="00247A20">
        <w:rPr>
          <w:rFonts w:ascii="Times New Roman" w:hAnsi="Times New Roman" w:cs="Times New Roman"/>
          <w:sz w:val="24"/>
          <w:szCs w:val="24"/>
        </w:rPr>
        <w:t>cointegration tests of Pedroni (2004) on the following four models:</w:t>
      </w:r>
    </w:p>
    <w:p w14:paraId="0FCE839F" w14:textId="7332110E" w:rsidR="00247A20" w:rsidRPr="00247A20" w:rsidRDefault="00247A20" w:rsidP="00F07504">
      <w:pPr>
        <w:spacing w:line="240" w:lineRule="auto"/>
        <w:jc w:val="both"/>
        <w:rPr>
          <w:rFonts w:ascii="Times New Roman" w:hAnsi="Times New Roman" w:cs="Times New Roman"/>
          <w:sz w:val="24"/>
          <w:szCs w:val="24"/>
        </w:rPr>
      </w:pPr>
      <w:r w:rsidRPr="00247A20">
        <w:rPr>
          <w:rFonts w:ascii="Times New Roman" w:hAnsi="Times New Roman" w:cs="Times New Roman"/>
          <w:sz w:val="24"/>
          <w:szCs w:val="24"/>
        </w:rPr>
        <w:t>- Model 1 to test the existence of a cointegrati</w:t>
      </w:r>
      <w:r w:rsidR="00210395">
        <w:rPr>
          <w:rFonts w:ascii="Times New Roman" w:hAnsi="Times New Roman" w:cs="Times New Roman"/>
          <w:sz w:val="24"/>
          <w:szCs w:val="24"/>
        </w:rPr>
        <w:t>on</w:t>
      </w:r>
      <w:r w:rsidRPr="00247A20">
        <w:rPr>
          <w:rFonts w:ascii="Times New Roman" w:hAnsi="Times New Roman" w:cs="Times New Roman"/>
          <w:sz w:val="24"/>
          <w:szCs w:val="24"/>
        </w:rPr>
        <w:t xml:space="preserve"> relationship between CFR and LIQR.</w:t>
      </w:r>
    </w:p>
    <w:p w14:paraId="009C2549" w14:textId="5403FF09" w:rsidR="00247A20" w:rsidRPr="00247A20" w:rsidRDefault="00247A20" w:rsidP="00F07504">
      <w:pPr>
        <w:spacing w:line="240" w:lineRule="auto"/>
        <w:jc w:val="both"/>
        <w:rPr>
          <w:rFonts w:ascii="Times New Roman" w:hAnsi="Times New Roman" w:cs="Times New Roman"/>
          <w:sz w:val="24"/>
          <w:szCs w:val="24"/>
        </w:rPr>
      </w:pPr>
      <w:r w:rsidRPr="00247A20">
        <w:rPr>
          <w:rFonts w:ascii="Times New Roman" w:hAnsi="Times New Roman" w:cs="Times New Roman"/>
          <w:sz w:val="24"/>
          <w:szCs w:val="24"/>
        </w:rPr>
        <w:t>- Model 2 to test the existence of a cointegrati</w:t>
      </w:r>
      <w:r w:rsidR="00210395">
        <w:rPr>
          <w:rFonts w:ascii="Times New Roman" w:hAnsi="Times New Roman" w:cs="Times New Roman"/>
          <w:sz w:val="24"/>
          <w:szCs w:val="24"/>
        </w:rPr>
        <w:t>on</w:t>
      </w:r>
      <w:r w:rsidRPr="00247A20">
        <w:rPr>
          <w:rFonts w:ascii="Times New Roman" w:hAnsi="Times New Roman" w:cs="Times New Roman"/>
          <w:sz w:val="24"/>
          <w:szCs w:val="24"/>
        </w:rPr>
        <w:t xml:space="preserve"> relationship between CFR and EFFR.</w:t>
      </w:r>
    </w:p>
    <w:p w14:paraId="014F0FAE" w14:textId="38811922" w:rsidR="00247A20" w:rsidRPr="00247A20" w:rsidRDefault="00247A20" w:rsidP="00F07504">
      <w:pPr>
        <w:spacing w:line="240" w:lineRule="auto"/>
        <w:jc w:val="both"/>
        <w:rPr>
          <w:rFonts w:ascii="Times New Roman" w:hAnsi="Times New Roman" w:cs="Times New Roman"/>
          <w:sz w:val="24"/>
          <w:szCs w:val="24"/>
        </w:rPr>
      </w:pPr>
      <w:r w:rsidRPr="00247A20">
        <w:rPr>
          <w:rFonts w:ascii="Times New Roman" w:hAnsi="Times New Roman" w:cs="Times New Roman"/>
          <w:sz w:val="24"/>
          <w:szCs w:val="24"/>
        </w:rPr>
        <w:t>- Model 3 to test the existence of a cointegrat</w:t>
      </w:r>
      <w:r w:rsidR="00210395">
        <w:rPr>
          <w:rFonts w:ascii="Times New Roman" w:hAnsi="Times New Roman" w:cs="Times New Roman"/>
          <w:sz w:val="24"/>
          <w:szCs w:val="24"/>
        </w:rPr>
        <w:t>ion</w:t>
      </w:r>
      <w:r w:rsidRPr="00247A20">
        <w:rPr>
          <w:rFonts w:ascii="Times New Roman" w:hAnsi="Times New Roman" w:cs="Times New Roman"/>
          <w:sz w:val="24"/>
          <w:szCs w:val="24"/>
        </w:rPr>
        <w:t xml:space="preserve"> relationship between CFR and PROR.</w:t>
      </w:r>
    </w:p>
    <w:p w14:paraId="6DB4C13D" w14:textId="7EDD7DDA" w:rsidR="00781434" w:rsidRDefault="00247A20" w:rsidP="00F07504">
      <w:pPr>
        <w:spacing w:line="240" w:lineRule="auto"/>
        <w:jc w:val="both"/>
        <w:rPr>
          <w:rFonts w:ascii="Times New Roman" w:hAnsi="Times New Roman" w:cs="Times New Roman"/>
          <w:sz w:val="24"/>
          <w:szCs w:val="24"/>
        </w:rPr>
      </w:pPr>
      <w:r w:rsidRPr="00247A20">
        <w:rPr>
          <w:rFonts w:ascii="Times New Roman" w:hAnsi="Times New Roman" w:cs="Times New Roman"/>
          <w:sz w:val="24"/>
          <w:szCs w:val="24"/>
        </w:rPr>
        <w:t>- Model 4 to test the existence of a cointegrati</w:t>
      </w:r>
      <w:r w:rsidR="00210395">
        <w:rPr>
          <w:rFonts w:ascii="Times New Roman" w:hAnsi="Times New Roman" w:cs="Times New Roman"/>
          <w:sz w:val="24"/>
          <w:szCs w:val="24"/>
        </w:rPr>
        <w:t>on</w:t>
      </w:r>
      <w:r w:rsidRPr="00247A20">
        <w:rPr>
          <w:rFonts w:ascii="Times New Roman" w:hAnsi="Times New Roman" w:cs="Times New Roman"/>
          <w:sz w:val="24"/>
          <w:szCs w:val="24"/>
        </w:rPr>
        <w:t xml:space="preserve"> relationship between CFR and </w:t>
      </w:r>
      <w:r w:rsidR="00210395">
        <w:rPr>
          <w:rFonts w:ascii="Times New Roman" w:hAnsi="Times New Roman" w:cs="Times New Roman"/>
          <w:sz w:val="24"/>
          <w:szCs w:val="24"/>
        </w:rPr>
        <w:t>SOL</w:t>
      </w:r>
      <w:r w:rsidRPr="00247A20">
        <w:rPr>
          <w:rFonts w:ascii="Times New Roman" w:hAnsi="Times New Roman" w:cs="Times New Roman"/>
          <w:sz w:val="24"/>
          <w:szCs w:val="24"/>
        </w:rPr>
        <w:t>R.</w:t>
      </w:r>
    </w:p>
    <w:p w14:paraId="53ED3322" w14:textId="77777777" w:rsidR="00CF3B1E" w:rsidRPr="00CF3B1E" w:rsidRDefault="00CF3B1E" w:rsidP="00247A20">
      <w:pPr>
        <w:rPr>
          <w:rFonts w:ascii="Times New Roman" w:hAnsi="Times New Roman" w:cs="Times New Roman"/>
          <w:b/>
          <w:bCs/>
          <w:sz w:val="2"/>
          <w:szCs w:val="2"/>
        </w:rPr>
      </w:pPr>
    </w:p>
    <w:p w14:paraId="62AE3F50" w14:textId="36722473" w:rsidR="00247A20" w:rsidRPr="00F07504" w:rsidRDefault="00247A20" w:rsidP="00247A20">
      <w:pPr>
        <w:rPr>
          <w:rFonts w:ascii="Times New Roman" w:hAnsi="Times New Roman" w:cs="Times New Roman"/>
          <w:b/>
          <w:bCs/>
          <w:sz w:val="28"/>
          <w:szCs w:val="28"/>
        </w:rPr>
      </w:pPr>
      <w:r w:rsidRPr="00F07504">
        <w:rPr>
          <w:rFonts w:ascii="Times New Roman" w:hAnsi="Times New Roman" w:cs="Times New Roman"/>
          <w:b/>
          <w:bCs/>
          <w:sz w:val="28"/>
          <w:szCs w:val="28"/>
        </w:rPr>
        <w:t xml:space="preserve">4.2. Results of </w:t>
      </w:r>
      <w:r w:rsidR="002C4056" w:rsidRPr="00F07504">
        <w:rPr>
          <w:rFonts w:ascii="Times New Roman" w:hAnsi="Times New Roman" w:cs="Times New Roman"/>
          <w:b/>
          <w:bCs/>
          <w:sz w:val="28"/>
          <w:szCs w:val="28"/>
        </w:rPr>
        <w:t xml:space="preserve">panel </w:t>
      </w:r>
      <w:r w:rsidRPr="00F07504">
        <w:rPr>
          <w:rFonts w:ascii="Times New Roman" w:hAnsi="Times New Roman" w:cs="Times New Roman"/>
          <w:b/>
          <w:bCs/>
          <w:sz w:val="28"/>
          <w:szCs w:val="28"/>
        </w:rPr>
        <w:t>cointegration tests</w:t>
      </w:r>
    </w:p>
    <w:p w14:paraId="7D424E38" w14:textId="6F75ECD1" w:rsidR="00247A20" w:rsidRDefault="00A412E5" w:rsidP="00F07504">
      <w:pPr>
        <w:spacing w:line="240" w:lineRule="auto"/>
        <w:jc w:val="both"/>
        <w:rPr>
          <w:rFonts w:ascii="Times New Roman" w:hAnsi="Times New Roman" w:cs="Times New Roman"/>
          <w:sz w:val="24"/>
          <w:szCs w:val="24"/>
        </w:rPr>
      </w:pPr>
      <w:r w:rsidRPr="00A412E5">
        <w:rPr>
          <w:rFonts w:ascii="Times New Roman" w:hAnsi="Times New Roman" w:cs="Times New Roman"/>
          <w:sz w:val="24"/>
          <w:szCs w:val="24"/>
        </w:rPr>
        <w:t>As mentioned above, the panel cointegration test of Pedroni (2004) consists of taking the no</w:t>
      </w:r>
      <w:r w:rsidR="002244C6">
        <w:rPr>
          <w:rFonts w:ascii="Times New Roman" w:hAnsi="Times New Roman" w:cs="Times New Roman"/>
          <w:sz w:val="24"/>
          <w:szCs w:val="24"/>
        </w:rPr>
        <w:t xml:space="preserve"> </w:t>
      </w:r>
      <w:r w:rsidRPr="00A412E5">
        <w:rPr>
          <w:rFonts w:ascii="Times New Roman" w:hAnsi="Times New Roman" w:cs="Times New Roman"/>
          <w:sz w:val="24"/>
          <w:szCs w:val="24"/>
        </w:rPr>
        <w:t xml:space="preserve">cointegration as the null hypothesis and using seven different statistics to test </w:t>
      </w:r>
      <w:r w:rsidR="00502428">
        <w:rPr>
          <w:rFonts w:ascii="Times New Roman" w:hAnsi="Times New Roman" w:cs="Times New Roman"/>
          <w:sz w:val="24"/>
          <w:szCs w:val="24"/>
        </w:rPr>
        <w:t xml:space="preserve">the existence of </w:t>
      </w:r>
      <w:r w:rsidRPr="00A412E5">
        <w:rPr>
          <w:rFonts w:ascii="Times New Roman" w:hAnsi="Times New Roman" w:cs="Times New Roman"/>
          <w:sz w:val="24"/>
          <w:szCs w:val="24"/>
        </w:rPr>
        <w:t>cointegration</w:t>
      </w:r>
      <w:r w:rsidR="00502428">
        <w:rPr>
          <w:rFonts w:ascii="Times New Roman" w:hAnsi="Times New Roman" w:cs="Times New Roman"/>
          <w:sz w:val="24"/>
          <w:szCs w:val="24"/>
        </w:rPr>
        <w:t xml:space="preserve"> relationship between two variables</w:t>
      </w:r>
      <w:r w:rsidRPr="00A412E5">
        <w:rPr>
          <w:rFonts w:ascii="Times New Roman" w:hAnsi="Times New Roman" w:cs="Times New Roman"/>
          <w:sz w:val="24"/>
          <w:szCs w:val="24"/>
        </w:rPr>
        <w:t xml:space="preserve"> on panel data, namely four statistics based on the </w:t>
      </w:r>
      <w:r w:rsidR="007122E6">
        <w:rPr>
          <w:rFonts w:ascii="Times New Roman" w:hAnsi="Times New Roman" w:cs="Times New Roman"/>
          <w:sz w:val="24"/>
          <w:szCs w:val="24"/>
        </w:rPr>
        <w:t>within</w:t>
      </w:r>
      <w:r w:rsidRPr="00A412E5">
        <w:rPr>
          <w:rFonts w:ascii="Times New Roman" w:hAnsi="Times New Roman" w:cs="Times New Roman"/>
          <w:sz w:val="24"/>
          <w:szCs w:val="24"/>
        </w:rPr>
        <w:t xml:space="preserve">-dimension and three statistics based on the </w:t>
      </w:r>
      <w:r w:rsidR="007122E6">
        <w:rPr>
          <w:rFonts w:ascii="Times New Roman" w:hAnsi="Times New Roman" w:cs="Times New Roman"/>
          <w:sz w:val="24"/>
          <w:szCs w:val="24"/>
        </w:rPr>
        <w:t>between</w:t>
      </w:r>
      <w:r w:rsidRPr="00A412E5">
        <w:rPr>
          <w:rFonts w:ascii="Times New Roman" w:hAnsi="Times New Roman" w:cs="Times New Roman"/>
          <w:sz w:val="24"/>
          <w:szCs w:val="24"/>
        </w:rPr>
        <w:t xml:space="preserve">-dimension. Statistically, the rejection of the null hypothesis </w:t>
      </w:r>
      <w:r w:rsidR="00170EF0">
        <w:rPr>
          <w:rFonts w:ascii="Times New Roman" w:hAnsi="Times New Roman" w:cs="Times New Roman"/>
          <w:sz w:val="24"/>
          <w:szCs w:val="24"/>
        </w:rPr>
        <w:t>by</w:t>
      </w:r>
      <w:r w:rsidRPr="00A412E5">
        <w:rPr>
          <w:rFonts w:ascii="Times New Roman" w:hAnsi="Times New Roman" w:cs="Times New Roman"/>
          <w:sz w:val="24"/>
          <w:szCs w:val="24"/>
        </w:rPr>
        <w:t xml:space="preserve"> the test of Pedroni (2004) means that a sufficient number of companies in the </w:t>
      </w:r>
      <w:r w:rsidR="00502428">
        <w:rPr>
          <w:rFonts w:ascii="Times New Roman" w:hAnsi="Times New Roman" w:cs="Times New Roman"/>
          <w:sz w:val="24"/>
          <w:szCs w:val="24"/>
        </w:rPr>
        <w:t xml:space="preserve">study </w:t>
      </w:r>
      <w:r w:rsidRPr="00A412E5">
        <w:rPr>
          <w:rFonts w:ascii="Times New Roman" w:hAnsi="Times New Roman" w:cs="Times New Roman"/>
          <w:sz w:val="24"/>
          <w:szCs w:val="24"/>
        </w:rPr>
        <w:t>sample gives statistics far from the predictions of the theory that their values would be generated under the null hypothesis of no</w:t>
      </w:r>
      <w:r w:rsidR="002244C6">
        <w:rPr>
          <w:rFonts w:ascii="Times New Roman" w:hAnsi="Times New Roman" w:cs="Times New Roman"/>
          <w:sz w:val="24"/>
          <w:szCs w:val="24"/>
        </w:rPr>
        <w:t xml:space="preserve"> </w:t>
      </w:r>
      <w:r w:rsidRPr="00A412E5">
        <w:rPr>
          <w:rFonts w:ascii="Times New Roman" w:hAnsi="Times New Roman" w:cs="Times New Roman"/>
          <w:sz w:val="24"/>
          <w:szCs w:val="24"/>
        </w:rPr>
        <w:t xml:space="preserve">cointegration.  In other words, the rejection of the null hypothesis means that a sufficient number of companies in the sample have statistics values which indicate the existence of a statistically and significantly long-run dynamic equilibrium </w:t>
      </w:r>
      <w:r w:rsidRPr="00A412E5">
        <w:rPr>
          <w:rFonts w:ascii="Times New Roman" w:hAnsi="Times New Roman" w:cs="Times New Roman"/>
          <w:sz w:val="24"/>
          <w:szCs w:val="24"/>
        </w:rPr>
        <w:lastRenderedPageBreak/>
        <w:t xml:space="preserve">relationship (i.e., cointegration relationship) between the two </w:t>
      </w:r>
      <w:r w:rsidR="00502428">
        <w:rPr>
          <w:rFonts w:ascii="Times New Roman" w:hAnsi="Times New Roman" w:cs="Times New Roman"/>
          <w:sz w:val="24"/>
          <w:szCs w:val="24"/>
        </w:rPr>
        <w:t>studied</w:t>
      </w:r>
      <w:r w:rsidRPr="00A412E5">
        <w:rPr>
          <w:rFonts w:ascii="Times New Roman" w:hAnsi="Times New Roman" w:cs="Times New Roman"/>
          <w:sz w:val="24"/>
          <w:szCs w:val="24"/>
        </w:rPr>
        <w:t xml:space="preserve"> variables. Thus, in this study, for each </w:t>
      </w:r>
      <w:r w:rsidR="00502428">
        <w:rPr>
          <w:rFonts w:ascii="Times New Roman" w:hAnsi="Times New Roman" w:cs="Times New Roman"/>
          <w:sz w:val="24"/>
          <w:szCs w:val="24"/>
        </w:rPr>
        <w:t xml:space="preserve">tested </w:t>
      </w:r>
      <w:r w:rsidRPr="00A412E5">
        <w:rPr>
          <w:rFonts w:ascii="Times New Roman" w:hAnsi="Times New Roman" w:cs="Times New Roman"/>
          <w:sz w:val="24"/>
          <w:szCs w:val="24"/>
        </w:rPr>
        <w:t xml:space="preserve">model, the rejection of the null hypothesis indicates the existence of a cointegration relationship between CFR and one of the four ratios which are based on the accounting data, namely LIQR, EFFR, PROR, and </w:t>
      </w:r>
      <w:r w:rsidR="00502428">
        <w:rPr>
          <w:rFonts w:ascii="Times New Roman" w:hAnsi="Times New Roman" w:cs="Times New Roman"/>
          <w:sz w:val="24"/>
          <w:szCs w:val="24"/>
        </w:rPr>
        <w:t>SOL</w:t>
      </w:r>
      <w:r w:rsidRPr="00A412E5">
        <w:rPr>
          <w:rFonts w:ascii="Times New Roman" w:hAnsi="Times New Roman" w:cs="Times New Roman"/>
          <w:sz w:val="24"/>
          <w:szCs w:val="24"/>
        </w:rPr>
        <w:t>R.</w:t>
      </w:r>
    </w:p>
    <w:p w14:paraId="0CE11D71" w14:textId="1FF03121" w:rsidR="0039591E" w:rsidRPr="0039591E" w:rsidRDefault="0039591E" w:rsidP="00F07504">
      <w:pPr>
        <w:spacing w:line="240" w:lineRule="auto"/>
        <w:jc w:val="both"/>
        <w:rPr>
          <w:rFonts w:ascii="Times New Roman" w:hAnsi="Times New Roman" w:cs="Times New Roman"/>
          <w:sz w:val="24"/>
          <w:szCs w:val="24"/>
        </w:rPr>
      </w:pPr>
      <w:r w:rsidRPr="0039591E">
        <w:rPr>
          <w:rFonts w:ascii="Times New Roman" w:hAnsi="Times New Roman" w:cs="Times New Roman"/>
          <w:sz w:val="24"/>
          <w:szCs w:val="24"/>
        </w:rPr>
        <w:t xml:space="preserve">The particularity of </w:t>
      </w:r>
      <w:r w:rsidR="00D86EE5">
        <w:rPr>
          <w:rFonts w:ascii="Times New Roman" w:hAnsi="Times New Roman" w:cs="Times New Roman"/>
          <w:sz w:val="24"/>
          <w:szCs w:val="24"/>
        </w:rPr>
        <w:t xml:space="preserve">the panel cointegration test of </w:t>
      </w:r>
      <w:r w:rsidRPr="0039591E">
        <w:rPr>
          <w:rFonts w:ascii="Times New Roman" w:hAnsi="Times New Roman" w:cs="Times New Roman"/>
          <w:sz w:val="24"/>
          <w:szCs w:val="24"/>
        </w:rPr>
        <w:t>Pedroni</w:t>
      </w:r>
      <w:r w:rsidR="00D86EE5">
        <w:rPr>
          <w:rFonts w:ascii="Times New Roman" w:hAnsi="Times New Roman" w:cs="Times New Roman"/>
          <w:sz w:val="24"/>
          <w:szCs w:val="24"/>
        </w:rPr>
        <w:t xml:space="preserve"> </w:t>
      </w:r>
      <w:r w:rsidRPr="0039591E">
        <w:rPr>
          <w:rFonts w:ascii="Times New Roman" w:hAnsi="Times New Roman" w:cs="Times New Roman"/>
          <w:sz w:val="24"/>
          <w:szCs w:val="24"/>
        </w:rPr>
        <w:t>(2004) lies in the fact that its seven statistics do not always lead to the same results concerning the rejection or non-rejection of the null hypothesis of no</w:t>
      </w:r>
      <w:r w:rsidR="002244C6">
        <w:rPr>
          <w:rFonts w:ascii="Times New Roman" w:hAnsi="Times New Roman" w:cs="Times New Roman"/>
          <w:sz w:val="24"/>
          <w:szCs w:val="24"/>
        </w:rPr>
        <w:t xml:space="preserve"> </w:t>
      </w:r>
      <w:r w:rsidRPr="0039591E">
        <w:rPr>
          <w:rFonts w:ascii="Times New Roman" w:hAnsi="Times New Roman" w:cs="Times New Roman"/>
          <w:sz w:val="24"/>
          <w:szCs w:val="24"/>
        </w:rPr>
        <w:t xml:space="preserve">cointegration. For this reason, we have ranked these seven statistics tests in terms of their robustness considering the specific characteristics of our sample regarding </w:t>
      </w:r>
      <w:r w:rsidR="007530BF">
        <w:rPr>
          <w:rFonts w:ascii="Times New Roman" w:hAnsi="Times New Roman" w:cs="Times New Roman"/>
          <w:sz w:val="24"/>
          <w:szCs w:val="24"/>
        </w:rPr>
        <w:t xml:space="preserve">its </w:t>
      </w:r>
      <w:r w:rsidRPr="0039591E">
        <w:rPr>
          <w:rFonts w:ascii="Times New Roman" w:hAnsi="Times New Roman" w:cs="Times New Roman"/>
          <w:sz w:val="24"/>
          <w:szCs w:val="24"/>
        </w:rPr>
        <w:t xml:space="preserve">size and </w:t>
      </w:r>
      <w:r w:rsidR="007530BF">
        <w:rPr>
          <w:rFonts w:ascii="Times New Roman" w:hAnsi="Times New Roman" w:cs="Times New Roman"/>
          <w:sz w:val="24"/>
          <w:szCs w:val="24"/>
        </w:rPr>
        <w:t xml:space="preserve">the </w:t>
      </w:r>
      <w:r w:rsidRPr="0039591E">
        <w:rPr>
          <w:rFonts w:ascii="Times New Roman" w:hAnsi="Times New Roman" w:cs="Times New Roman"/>
          <w:sz w:val="24"/>
          <w:szCs w:val="24"/>
        </w:rPr>
        <w:t>study period.</w:t>
      </w:r>
    </w:p>
    <w:p w14:paraId="5CC628E8" w14:textId="2C35BB3C" w:rsidR="007156D9" w:rsidRPr="0039591E" w:rsidRDefault="007156D9" w:rsidP="00F07504">
      <w:pPr>
        <w:spacing w:after="160" w:line="240" w:lineRule="auto"/>
        <w:jc w:val="both"/>
        <w:rPr>
          <w:rFonts w:ascii="Times New Roman" w:hAnsi="Times New Roman" w:cs="Times New Roman"/>
          <w:sz w:val="24"/>
          <w:szCs w:val="24"/>
        </w:rPr>
      </w:pPr>
      <w:r w:rsidRPr="0039591E">
        <w:rPr>
          <w:rFonts w:ascii="Times New Roman" w:hAnsi="Times New Roman" w:cs="Times New Roman"/>
          <w:sz w:val="24"/>
          <w:szCs w:val="24"/>
        </w:rPr>
        <w:t xml:space="preserve">First, from the various simulations carried out, Pedroni (1997) has showed that the seven statistics are relevant insofar as they do not suffer from threshold distortion. However, according to Pedroni (2000), the statistics of the </w:t>
      </w:r>
      <w:r w:rsidR="007122E6">
        <w:rPr>
          <w:rFonts w:ascii="Times New Roman" w:hAnsi="Times New Roman" w:cs="Times New Roman"/>
          <w:sz w:val="24"/>
          <w:szCs w:val="24"/>
        </w:rPr>
        <w:t>between</w:t>
      </w:r>
      <w:r w:rsidRPr="0039591E">
        <w:rPr>
          <w:rFonts w:ascii="Times New Roman" w:hAnsi="Times New Roman" w:cs="Times New Roman"/>
          <w:sz w:val="24"/>
          <w:szCs w:val="24"/>
        </w:rPr>
        <w:t>-dimension</w:t>
      </w:r>
      <w:r w:rsidR="007122E6">
        <w:rPr>
          <w:rFonts w:ascii="Times New Roman" w:hAnsi="Times New Roman" w:cs="Times New Roman"/>
          <w:sz w:val="24"/>
          <w:szCs w:val="24"/>
        </w:rPr>
        <w:t xml:space="preserve"> </w:t>
      </w:r>
      <w:r w:rsidRPr="0039591E">
        <w:rPr>
          <w:rFonts w:ascii="Times New Roman" w:hAnsi="Times New Roman" w:cs="Times New Roman"/>
          <w:sz w:val="24"/>
          <w:szCs w:val="24"/>
        </w:rPr>
        <w:t xml:space="preserve">category have several advantages over the statistics of the </w:t>
      </w:r>
      <w:r w:rsidR="007122E6">
        <w:rPr>
          <w:rFonts w:ascii="Times New Roman" w:hAnsi="Times New Roman" w:cs="Times New Roman"/>
          <w:sz w:val="24"/>
          <w:szCs w:val="24"/>
        </w:rPr>
        <w:t>within</w:t>
      </w:r>
      <w:r w:rsidRPr="0039591E">
        <w:rPr>
          <w:rFonts w:ascii="Times New Roman" w:hAnsi="Times New Roman" w:cs="Times New Roman"/>
          <w:sz w:val="24"/>
          <w:szCs w:val="24"/>
        </w:rPr>
        <w:t>-dimension</w:t>
      </w:r>
      <w:r w:rsidR="007122E6">
        <w:rPr>
          <w:rFonts w:ascii="Times New Roman" w:hAnsi="Times New Roman" w:cs="Times New Roman"/>
          <w:sz w:val="24"/>
          <w:szCs w:val="24"/>
        </w:rPr>
        <w:t xml:space="preserve"> </w:t>
      </w:r>
      <w:r w:rsidRPr="0039591E">
        <w:rPr>
          <w:rFonts w:ascii="Times New Roman" w:hAnsi="Times New Roman" w:cs="Times New Roman"/>
          <w:sz w:val="24"/>
          <w:szCs w:val="24"/>
        </w:rPr>
        <w:t xml:space="preserve">category since they assume heterogeneity of the transient dynamics between individuals (i.e., companies). In addition, Pedroni (2000) has showed that for small samples (T≤20), </w:t>
      </w:r>
      <w:r w:rsidR="007122E6">
        <w:rPr>
          <w:rFonts w:ascii="Times New Roman" w:hAnsi="Times New Roman" w:cs="Times New Roman"/>
          <w:sz w:val="24"/>
          <w:szCs w:val="24"/>
        </w:rPr>
        <w:t xml:space="preserve">the </w:t>
      </w:r>
      <w:r w:rsidR="007530BF">
        <w:rPr>
          <w:rFonts w:ascii="Times New Roman" w:hAnsi="Times New Roman" w:cs="Times New Roman"/>
          <w:sz w:val="24"/>
          <w:szCs w:val="24"/>
        </w:rPr>
        <w:t>statistics</w:t>
      </w:r>
      <w:r w:rsidR="007122E6">
        <w:rPr>
          <w:rFonts w:ascii="Times New Roman" w:hAnsi="Times New Roman" w:cs="Times New Roman"/>
          <w:sz w:val="24"/>
          <w:szCs w:val="24"/>
        </w:rPr>
        <w:t xml:space="preserve"> of the between</w:t>
      </w:r>
      <w:r w:rsidRPr="0039591E">
        <w:rPr>
          <w:rFonts w:ascii="Times New Roman" w:hAnsi="Times New Roman" w:cs="Times New Roman"/>
          <w:sz w:val="24"/>
          <w:szCs w:val="24"/>
        </w:rPr>
        <w:t>-dimension</w:t>
      </w:r>
      <w:r w:rsidR="007122E6">
        <w:rPr>
          <w:rFonts w:ascii="Times New Roman" w:hAnsi="Times New Roman" w:cs="Times New Roman"/>
          <w:sz w:val="24"/>
          <w:szCs w:val="24"/>
        </w:rPr>
        <w:t xml:space="preserve"> category</w:t>
      </w:r>
      <w:r w:rsidRPr="0039591E">
        <w:rPr>
          <w:rFonts w:ascii="Times New Roman" w:hAnsi="Times New Roman" w:cs="Times New Roman"/>
          <w:sz w:val="24"/>
          <w:szCs w:val="24"/>
        </w:rPr>
        <w:t xml:space="preserve"> have significantly less distortions than </w:t>
      </w:r>
      <w:r w:rsidR="007122E6">
        <w:rPr>
          <w:rFonts w:ascii="Times New Roman" w:hAnsi="Times New Roman" w:cs="Times New Roman"/>
          <w:sz w:val="24"/>
          <w:szCs w:val="24"/>
        </w:rPr>
        <w:t>the</w:t>
      </w:r>
      <w:r w:rsidR="007530BF">
        <w:rPr>
          <w:rFonts w:ascii="Times New Roman" w:hAnsi="Times New Roman" w:cs="Times New Roman"/>
          <w:sz w:val="24"/>
          <w:szCs w:val="24"/>
        </w:rPr>
        <w:t xml:space="preserve"> statistics</w:t>
      </w:r>
      <w:r w:rsidR="007122E6">
        <w:rPr>
          <w:rFonts w:ascii="Times New Roman" w:hAnsi="Times New Roman" w:cs="Times New Roman"/>
          <w:sz w:val="24"/>
          <w:szCs w:val="24"/>
        </w:rPr>
        <w:t xml:space="preserve"> of the within-</w:t>
      </w:r>
      <w:r w:rsidRPr="0039591E">
        <w:rPr>
          <w:rFonts w:ascii="Times New Roman" w:hAnsi="Times New Roman" w:cs="Times New Roman"/>
          <w:sz w:val="24"/>
          <w:szCs w:val="24"/>
        </w:rPr>
        <w:t>dimension</w:t>
      </w:r>
      <w:r w:rsidR="007122E6">
        <w:rPr>
          <w:rFonts w:ascii="Times New Roman" w:hAnsi="Times New Roman" w:cs="Times New Roman"/>
          <w:sz w:val="24"/>
          <w:szCs w:val="24"/>
        </w:rPr>
        <w:t xml:space="preserve"> category</w:t>
      </w:r>
      <w:r w:rsidRPr="0039591E">
        <w:rPr>
          <w:rFonts w:ascii="Times New Roman" w:hAnsi="Times New Roman" w:cs="Times New Roman"/>
          <w:sz w:val="24"/>
          <w:szCs w:val="24"/>
        </w:rPr>
        <w:t>. Given the relatively heterogeneous nature of our sample (</w:t>
      </w:r>
      <w:r w:rsidR="00317CE8">
        <w:rPr>
          <w:rFonts w:ascii="Times New Roman" w:hAnsi="Times New Roman" w:cs="Times New Roman"/>
          <w:sz w:val="24"/>
          <w:szCs w:val="24"/>
        </w:rPr>
        <w:t xml:space="preserve">i.e., the sample is </w:t>
      </w:r>
      <w:r w:rsidRPr="0039591E">
        <w:rPr>
          <w:rFonts w:ascii="Times New Roman" w:hAnsi="Times New Roman" w:cs="Times New Roman"/>
          <w:sz w:val="24"/>
          <w:szCs w:val="24"/>
        </w:rPr>
        <w:t>homogeneous in terms only of two factors</w:t>
      </w:r>
      <w:r w:rsidR="00317CE8">
        <w:rPr>
          <w:rFonts w:ascii="Times New Roman" w:hAnsi="Times New Roman" w:cs="Times New Roman"/>
          <w:sz w:val="24"/>
          <w:szCs w:val="24"/>
        </w:rPr>
        <w:t xml:space="preserve">, namely the </w:t>
      </w:r>
      <w:r w:rsidRPr="0039591E">
        <w:rPr>
          <w:rFonts w:ascii="Times New Roman" w:hAnsi="Times New Roman" w:cs="Times New Roman"/>
          <w:sz w:val="24"/>
          <w:szCs w:val="24"/>
        </w:rPr>
        <w:t xml:space="preserve">size and </w:t>
      </w:r>
      <w:r w:rsidR="00317CE8">
        <w:rPr>
          <w:rFonts w:ascii="Times New Roman" w:hAnsi="Times New Roman" w:cs="Times New Roman"/>
          <w:sz w:val="24"/>
          <w:szCs w:val="24"/>
        </w:rPr>
        <w:t xml:space="preserve">the </w:t>
      </w:r>
      <w:r w:rsidRPr="0039591E">
        <w:rPr>
          <w:rFonts w:ascii="Times New Roman" w:hAnsi="Times New Roman" w:cs="Times New Roman"/>
          <w:sz w:val="24"/>
          <w:szCs w:val="24"/>
        </w:rPr>
        <w:t>life cycle</w:t>
      </w:r>
      <w:r w:rsidR="00317CE8">
        <w:rPr>
          <w:rFonts w:ascii="Times New Roman" w:hAnsi="Times New Roman" w:cs="Times New Roman"/>
          <w:sz w:val="24"/>
          <w:szCs w:val="24"/>
        </w:rPr>
        <w:t>,</w:t>
      </w:r>
      <w:r w:rsidR="00317CE8" w:rsidRPr="00317CE8">
        <w:t xml:space="preserve"> </w:t>
      </w:r>
      <w:r w:rsidR="00317CE8" w:rsidRPr="00317CE8">
        <w:rPr>
          <w:rFonts w:ascii="Times New Roman" w:hAnsi="Times New Roman" w:cs="Times New Roman"/>
          <w:sz w:val="24"/>
          <w:szCs w:val="24"/>
        </w:rPr>
        <w:t>but it remains heterogeneous with regard to several other factors</w:t>
      </w:r>
      <w:r w:rsidRPr="0039591E">
        <w:rPr>
          <w:rFonts w:ascii="Times New Roman" w:hAnsi="Times New Roman" w:cs="Times New Roman"/>
          <w:sz w:val="24"/>
          <w:szCs w:val="24"/>
        </w:rPr>
        <w:t xml:space="preserve">) as well as the number of observations for each company which is relatively small (T = 8), we have considered that the </w:t>
      </w:r>
      <w:r>
        <w:rPr>
          <w:rFonts w:ascii="Times New Roman" w:hAnsi="Times New Roman" w:cs="Times New Roman"/>
          <w:sz w:val="24"/>
          <w:szCs w:val="24"/>
        </w:rPr>
        <w:t>three</w:t>
      </w:r>
      <w:r w:rsidRPr="0039591E">
        <w:rPr>
          <w:rFonts w:ascii="Times New Roman" w:hAnsi="Times New Roman" w:cs="Times New Roman"/>
          <w:sz w:val="24"/>
          <w:szCs w:val="24"/>
        </w:rPr>
        <w:t xml:space="preserve"> statistics of the </w:t>
      </w:r>
      <w:r w:rsidR="007122E6">
        <w:rPr>
          <w:rFonts w:ascii="Times New Roman" w:hAnsi="Times New Roman" w:cs="Times New Roman"/>
          <w:sz w:val="24"/>
          <w:szCs w:val="24"/>
        </w:rPr>
        <w:t>between</w:t>
      </w:r>
      <w:r w:rsidRPr="0039591E">
        <w:rPr>
          <w:rFonts w:ascii="Times New Roman" w:hAnsi="Times New Roman" w:cs="Times New Roman"/>
          <w:sz w:val="24"/>
          <w:szCs w:val="24"/>
        </w:rPr>
        <w:t xml:space="preserve">-dimension category </w:t>
      </w:r>
      <w:r>
        <w:rPr>
          <w:rFonts w:ascii="Times New Roman" w:hAnsi="Times New Roman" w:cs="Times New Roman"/>
          <w:sz w:val="24"/>
          <w:szCs w:val="24"/>
        </w:rPr>
        <w:t xml:space="preserve">(i.e., group </w:t>
      </w:r>
      <w:r w:rsidR="007530BF">
        <w:rPr>
          <w:rFonts w:ascii="Times New Roman" w:hAnsi="Times New Roman" w:cs="Times New Roman"/>
          <w:sz w:val="24"/>
          <w:szCs w:val="24"/>
        </w:rPr>
        <w:t>R</w:t>
      </w:r>
      <w:r>
        <w:rPr>
          <w:rFonts w:ascii="Times New Roman" w:hAnsi="Times New Roman" w:cs="Times New Roman"/>
          <w:sz w:val="24"/>
          <w:szCs w:val="24"/>
        </w:rPr>
        <w:t xml:space="preserve">ho-statistic, group PP-statistic, and group ADF-statistic) </w:t>
      </w:r>
      <w:r w:rsidRPr="0039591E">
        <w:rPr>
          <w:rFonts w:ascii="Times New Roman" w:hAnsi="Times New Roman" w:cs="Times New Roman"/>
          <w:sz w:val="24"/>
          <w:szCs w:val="24"/>
        </w:rPr>
        <w:t>are more robust to test the null hypothesis of n</w:t>
      </w:r>
      <w:r w:rsidR="002244C6">
        <w:rPr>
          <w:rFonts w:ascii="Times New Roman" w:hAnsi="Times New Roman" w:cs="Times New Roman"/>
          <w:sz w:val="24"/>
          <w:szCs w:val="24"/>
        </w:rPr>
        <w:t xml:space="preserve">o </w:t>
      </w:r>
      <w:r w:rsidRPr="0039591E">
        <w:rPr>
          <w:rFonts w:ascii="Times New Roman" w:hAnsi="Times New Roman" w:cs="Times New Roman"/>
          <w:sz w:val="24"/>
          <w:szCs w:val="24"/>
        </w:rPr>
        <w:t>cointegration in the present study.</w:t>
      </w:r>
    </w:p>
    <w:p w14:paraId="44B02619" w14:textId="753D4BB6" w:rsidR="007156D9" w:rsidRPr="00474BCE" w:rsidRDefault="007156D9" w:rsidP="00F07504">
      <w:pPr>
        <w:spacing w:line="240" w:lineRule="auto"/>
        <w:jc w:val="both"/>
        <w:rPr>
          <w:rFonts w:ascii="Times New Roman" w:hAnsi="Times New Roman" w:cs="Times New Roman"/>
          <w:sz w:val="24"/>
          <w:szCs w:val="24"/>
        </w:rPr>
      </w:pPr>
      <w:r w:rsidRPr="00474BCE">
        <w:rPr>
          <w:rFonts w:ascii="Times New Roman" w:hAnsi="Times New Roman" w:cs="Times New Roman"/>
          <w:sz w:val="24"/>
          <w:szCs w:val="24"/>
        </w:rPr>
        <w:t xml:space="preserve">Therefore, we have first used the result of the three statistics of the </w:t>
      </w:r>
      <w:r w:rsidR="007122E6" w:rsidRPr="00474BCE">
        <w:rPr>
          <w:rFonts w:ascii="Times New Roman" w:hAnsi="Times New Roman" w:cs="Times New Roman"/>
          <w:sz w:val="24"/>
          <w:szCs w:val="24"/>
        </w:rPr>
        <w:t>between</w:t>
      </w:r>
      <w:r w:rsidRPr="00474BCE">
        <w:rPr>
          <w:rFonts w:ascii="Times New Roman" w:hAnsi="Times New Roman" w:cs="Times New Roman"/>
          <w:sz w:val="24"/>
          <w:szCs w:val="24"/>
        </w:rPr>
        <w:t xml:space="preserve">-dimension category to compare the </w:t>
      </w:r>
      <w:r w:rsidR="00474BCE" w:rsidRPr="00474BCE">
        <w:rPr>
          <w:rStyle w:val="A6"/>
          <w:rFonts w:ascii="Times New Roman" w:hAnsi="Times New Roman" w:cs="Times New Roman"/>
          <w:sz w:val="24"/>
          <w:szCs w:val="24"/>
        </w:rPr>
        <w:t>statis</w:t>
      </w:r>
      <w:r w:rsidR="00474BCE" w:rsidRPr="00474BCE">
        <w:rPr>
          <w:rStyle w:val="A6"/>
          <w:rFonts w:ascii="Times New Roman" w:hAnsi="Times New Roman" w:cs="Times New Roman"/>
          <w:sz w:val="24"/>
          <w:szCs w:val="24"/>
        </w:rPr>
        <w:softHyphen/>
        <w:t xml:space="preserve">tical intensity </w:t>
      </w:r>
      <w:r w:rsidRPr="00474BCE">
        <w:rPr>
          <w:rFonts w:ascii="Times New Roman" w:hAnsi="Times New Roman" w:cs="Times New Roman"/>
          <w:sz w:val="24"/>
          <w:szCs w:val="24"/>
        </w:rPr>
        <w:t>of possible cointegration relationships between the ratio based on cash flows (CFR) and one of the four</w:t>
      </w:r>
      <w:r w:rsidR="0024764C" w:rsidRPr="00474BCE">
        <w:rPr>
          <w:rFonts w:ascii="Times New Roman" w:hAnsi="Times New Roman" w:cs="Times New Roman"/>
          <w:sz w:val="24"/>
          <w:szCs w:val="24"/>
        </w:rPr>
        <w:t xml:space="preserve"> </w:t>
      </w:r>
      <w:r w:rsidRPr="00474BCE">
        <w:rPr>
          <w:rFonts w:ascii="Times New Roman" w:hAnsi="Times New Roman" w:cs="Times New Roman"/>
          <w:sz w:val="24"/>
          <w:szCs w:val="24"/>
        </w:rPr>
        <w:t xml:space="preserve">ratios based on accounting data (LIQR, EFFR, PROR, and </w:t>
      </w:r>
      <w:r w:rsidR="00474BCE">
        <w:rPr>
          <w:rFonts w:ascii="Times New Roman" w:hAnsi="Times New Roman" w:cs="Times New Roman"/>
          <w:sz w:val="24"/>
          <w:szCs w:val="24"/>
        </w:rPr>
        <w:t>SOL</w:t>
      </w:r>
      <w:r w:rsidRPr="00474BCE">
        <w:rPr>
          <w:rFonts w:ascii="Times New Roman" w:hAnsi="Times New Roman" w:cs="Times New Roman"/>
          <w:sz w:val="24"/>
          <w:szCs w:val="24"/>
        </w:rPr>
        <w:t xml:space="preserve">R). Second, we have used the result of the four statistics of the </w:t>
      </w:r>
      <w:r w:rsidR="007122E6" w:rsidRPr="00474BCE">
        <w:rPr>
          <w:rFonts w:ascii="Times New Roman" w:hAnsi="Times New Roman" w:cs="Times New Roman"/>
          <w:sz w:val="24"/>
          <w:szCs w:val="24"/>
        </w:rPr>
        <w:t>within</w:t>
      </w:r>
      <w:r w:rsidRPr="00474BCE">
        <w:rPr>
          <w:rFonts w:ascii="Times New Roman" w:hAnsi="Times New Roman" w:cs="Times New Roman"/>
          <w:sz w:val="24"/>
          <w:szCs w:val="24"/>
        </w:rPr>
        <w:t xml:space="preserve">-dimension category. Specifically, it is the number of </w:t>
      </w:r>
      <w:r w:rsidR="00474BCE">
        <w:rPr>
          <w:rFonts w:ascii="Times New Roman" w:hAnsi="Times New Roman" w:cs="Times New Roman"/>
          <w:sz w:val="24"/>
          <w:szCs w:val="24"/>
        </w:rPr>
        <w:t xml:space="preserve">the statistics of the </w:t>
      </w:r>
      <w:r w:rsidR="007122E6" w:rsidRPr="00474BCE">
        <w:rPr>
          <w:rFonts w:ascii="Times New Roman" w:hAnsi="Times New Roman" w:cs="Times New Roman"/>
          <w:sz w:val="24"/>
          <w:szCs w:val="24"/>
        </w:rPr>
        <w:t>between</w:t>
      </w:r>
      <w:r w:rsidRPr="00474BCE">
        <w:rPr>
          <w:rFonts w:ascii="Times New Roman" w:hAnsi="Times New Roman" w:cs="Times New Roman"/>
          <w:sz w:val="24"/>
          <w:szCs w:val="24"/>
        </w:rPr>
        <w:t xml:space="preserve">-dimension </w:t>
      </w:r>
      <w:r w:rsidR="00474BCE">
        <w:rPr>
          <w:rFonts w:ascii="Times New Roman" w:hAnsi="Times New Roman" w:cs="Times New Roman"/>
          <w:sz w:val="24"/>
          <w:szCs w:val="24"/>
        </w:rPr>
        <w:t>category</w:t>
      </w:r>
      <w:r w:rsidRPr="00474BCE">
        <w:rPr>
          <w:rFonts w:ascii="Times New Roman" w:hAnsi="Times New Roman" w:cs="Times New Roman"/>
          <w:sz w:val="24"/>
          <w:szCs w:val="24"/>
        </w:rPr>
        <w:t xml:space="preserve"> that reject the null hypothesis of no</w:t>
      </w:r>
      <w:r w:rsidR="002244C6" w:rsidRPr="00474BCE">
        <w:rPr>
          <w:rFonts w:ascii="Times New Roman" w:hAnsi="Times New Roman" w:cs="Times New Roman"/>
          <w:sz w:val="24"/>
          <w:szCs w:val="24"/>
        </w:rPr>
        <w:t xml:space="preserve"> </w:t>
      </w:r>
      <w:r w:rsidRPr="00474BCE">
        <w:rPr>
          <w:rFonts w:ascii="Times New Roman" w:hAnsi="Times New Roman" w:cs="Times New Roman"/>
          <w:sz w:val="24"/>
          <w:szCs w:val="24"/>
        </w:rPr>
        <w:t xml:space="preserve">cointegration, which will inform us about the powerfulness of each identified cointegration relationship. For example, if the three statistics </w:t>
      </w:r>
      <w:r w:rsidR="00474BCE">
        <w:rPr>
          <w:rFonts w:ascii="Times New Roman" w:hAnsi="Times New Roman" w:cs="Times New Roman"/>
          <w:sz w:val="24"/>
          <w:szCs w:val="24"/>
        </w:rPr>
        <w:t xml:space="preserve">of the </w:t>
      </w:r>
      <w:proofErr w:type="spellStart"/>
      <w:r w:rsidRPr="00474BCE">
        <w:rPr>
          <w:rFonts w:ascii="Times New Roman" w:hAnsi="Times New Roman" w:cs="Times New Roman"/>
          <w:sz w:val="24"/>
          <w:szCs w:val="24"/>
        </w:rPr>
        <w:t>the</w:t>
      </w:r>
      <w:proofErr w:type="spellEnd"/>
      <w:r w:rsidRPr="00474BCE">
        <w:rPr>
          <w:rFonts w:ascii="Times New Roman" w:hAnsi="Times New Roman" w:cs="Times New Roman"/>
          <w:sz w:val="24"/>
          <w:szCs w:val="24"/>
        </w:rPr>
        <w:t xml:space="preserve"> </w:t>
      </w:r>
      <w:r w:rsidR="007122E6" w:rsidRPr="00474BCE">
        <w:rPr>
          <w:rFonts w:ascii="Times New Roman" w:hAnsi="Times New Roman" w:cs="Times New Roman"/>
          <w:sz w:val="24"/>
          <w:szCs w:val="24"/>
        </w:rPr>
        <w:t>between</w:t>
      </w:r>
      <w:r w:rsidRPr="00474BCE">
        <w:rPr>
          <w:rFonts w:ascii="Times New Roman" w:hAnsi="Times New Roman" w:cs="Times New Roman"/>
          <w:sz w:val="24"/>
          <w:szCs w:val="24"/>
        </w:rPr>
        <w:t>-dimension</w:t>
      </w:r>
      <w:r w:rsidR="007122E6" w:rsidRPr="00474BCE">
        <w:rPr>
          <w:rFonts w:ascii="Times New Roman" w:hAnsi="Times New Roman" w:cs="Times New Roman"/>
          <w:sz w:val="24"/>
          <w:szCs w:val="24"/>
        </w:rPr>
        <w:t xml:space="preserve"> </w:t>
      </w:r>
      <w:r w:rsidRPr="00474BCE">
        <w:rPr>
          <w:rFonts w:ascii="Times New Roman" w:hAnsi="Times New Roman" w:cs="Times New Roman"/>
          <w:sz w:val="24"/>
          <w:szCs w:val="24"/>
        </w:rPr>
        <w:t>category reject the null hypothesis of no</w:t>
      </w:r>
      <w:r w:rsidR="002244C6" w:rsidRPr="00474BCE">
        <w:rPr>
          <w:rFonts w:ascii="Times New Roman" w:hAnsi="Times New Roman" w:cs="Times New Roman"/>
          <w:sz w:val="24"/>
          <w:szCs w:val="24"/>
        </w:rPr>
        <w:t xml:space="preserve"> </w:t>
      </w:r>
      <w:r w:rsidRPr="00474BCE">
        <w:rPr>
          <w:rFonts w:ascii="Times New Roman" w:hAnsi="Times New Roman" w:cs="Times New Roman"/>
          <w:sz w:val="24"/>
          <w:szCs w:val="24"/>
        </w:rPr>
        <w:t>cointegration in a first model, then only two out of three statistics in the same category reject the null hypothesis of no</w:t>
      </w:r>
      <w:r w:rsidR="002244C6" w:rsidRPr="00474BCE">
        <w:rPr>
          <w:rFonts w:ascii="Times New Roman" w:hAnsi="Times New Roman" w:cs="Times New Roman"/>
          <w:sz w:val="24"/>
          <w:szCs w:val="24"/>
        </w:rPr>
        <w:t xml:space="preserve"> </w:t>
      </w:r>
      <w:r w:rsidRPr="00474BCE">
        <w:rPr>
          <w:rFonts w:ascii="Times New Roman" w:hAnsi="Times New Roman" w:cs="Times New Roman"/>
          <w:sz w:val="24"/>
          <w:szCs w:val="24"/>
        </w:rPr>
        <w:t xml:space="preserve">cointegration in a second model. In such a case, we can conclude that the cointegration relationship identified between the two variables of the first model is more powerful than that identified between the two variables of the second model. In the case where the number of </w:t>
      </w:r>
      <w:r w:rsidR="00055F05" w:rsidRPr="00474BCE">
        <w:rPr>
          <w:rFonts w:ascii="Times New Roman" w:hAnsi="Times New Roman" w:cs="Times New Roman"/>
          <w:sz w:val="24"/>
          <w:szCs w:val="24"/>
        </w:rPr>
        <w:t>statistics</w:t>
      </w:r>
      <w:r w:rsidRPr="00474BCE">
        <w:rPr>
          <w:rFonts w:ascii="Times New Roman" w:hAnsi="Times New Roman" w:cs="Times New Roman"/>
          <w:sz w:val="24"/>
          <w:szCs w:val="24"/>
        </w:rPr>
        <w:t xml:space="preserve"> of the </w:t>
      </w:r>
      <w:r w:rsidR="007122E6" w:rsidRPr="00474BCE">
        <w:rPr>
          <w:rFonts w:ascii="Times New Roman" w:hAnsi="Times New Roman" w:cs="Times New Roman"/>
          <w:sz w:val="24"/>
          <w:szCs w:val="24"/>
        </w:rPr>
        <w:t>between</w:t>
      </w:r>
      <w:r w:rsidRPr="00474BCE">
        <w:rPr>
          <w:rFonts w:ascii="Times New Roman" w:hAnsi="Times New Roman" w:cs="Times New Roman"/>
          <w:sz w:val="24"/>
          <w:szCs w:val="24"/>
        </w:rPr>
        <w:t>-dimension category which rejected the null hypothesis of no</w:t>
      </w:r>
      <w:r w:rsidR="002244C6" w:rsidRPr="00474BCE">
        <w:rPr>
          <w:rFonts w:ascii="Times New Roman" w:hAnsi="Times New Roman" w:cs="Times New Roman"/>
          <w:sz w:val="24"/>
          <w:szCs w:val="24"/>
        </w:rPr>
        <w:t xml:space="preserve"> </w:t>
      </w:r>
      <w:r w:rsidRPr="00474BCE">
        <w:rPr>
          <w:rFonts w:ascii="Times New Roman" w:hAnsi="Times New Roman" w:cs="Times New Roman"/>
          <w:sz w:val="24"/>
          <w:szCs w:val="24"/>
        </w:rPr>
        <w:t xml:space="preserve">cointegration is the same for both models, then we use the number of </w:t>
      </w:r>
      <w:r w:rsidR="00055F05" w:rsidRPr="00474BCE">
        <w:rPr>
          <w:rFonts w:ascii="Times New Roman" w:hAnsi="Times New Roman" w:cs="Times New Roman"/>
          <w:sz w:val="24"/>
          <w:szCs w:val="24"/>
        </w:rPr>
        <w:t>statistics</w:t>
      </w:r>
      <w:r w:rsidRPr="00474BCE">
        <w:rPr>
          <w:rFonts w:ascii="Times New Roman" w:hAnsi="Times New Roman" w:cs="Times New Roman"/>
          <w:sz w:val="24"/>
          <w:szCs w:val="24"/>
        </w:rPr>
        <w:t xml:space="preserve"> of the </w:t>
      </w:r>
      <w:r w:rsidR="007122E6" w:rsidRPr="00474BCE">
        <w:rPr>
          <w:rFonts w:ascii="Times New Roman" w:hAnsi="Times New Roman" w:cs="Times New Roman"/>
          <w:sz w:val="24"/>
          <w:szCs w:val="24"/>
        </w:rPr>
        <w:t>within</w:t>
      </w:r>
      <w:r w:rsidRPr="00474BCE">
        <w:rPr>
          <w:rFonts w:ascii="Times New Roman" w:hAnsi="Times New Roman" w:cs="Times New Roman"/>
          <w:sz w:val="24"/>
          <w:szCs w:val="24"/>
        </w:rPr>
        <w:t>-dimension category, which reject null hypothesis of no</w:t>
      </w:r>
      <w:r w:rsidR="002244C6" w:rsidRPr="00474BCE">
        <w:rPr>
          <w:rFonts w:ascii="Times New Roman" w:hAnsi="Times New Roman" w:cs="Times New Roman"/>
          <w:sz w:val="24"/>
          <w:szCs w:val="24"/>
        </w:rPr>
        <w:t xml:space="preserve"> </w:t>
      </w:r>
      <w:r w:rsidRPr="00474BCE">
        <w:rPr>
          <w:rFonts w:ascii="Times New Roman" w:hAnsi="Times New Roman" w:cs="Times New Roman"/>
          <w:sz w:val="24"/>
          <w:szCs w:val="24"/>
        </w:rPr>
        <w:t>cointegration, to identify which model shows the most powerful cointegration relationship.</w:t>
      </w:r>
    </w:p>
    <w:p w14:paraId="42352C0F" w14:textId="2A181775" w:rsidR="008C08F2" w:rsidRDefault="008C08F2" w:rsidP="00F07504">
      <w:pPr>
        <w:spacing w:line="240" w:lineRule="auto"/>
        <w:jc w:val="both"/>
        <w:rPr>
          <w:rFonts w:ascii="Times New Roman" w:hAnsi="Times New Roman" w:cs="Times New Roman"/>
          <w:sz w:val="24"/>
          <w:szCs w:val="24"/>
        </w:rPr>
      </w:pPr>
      <w:r w:rsidRPr="008C08F2">
        <w:rPr>
          <w:rFonts w:ascii="Times New Roman" w:hAnsi="Times New Roman" w:cs="Times New Roman"/>
          <w:sz w:val="24"/>
          <w:szCs w:val="24"/>
        </w:rPr>
        <w:t xml:space="preserve">Table </w:t>
      </w:r>
      <w:r>
        <w:rPr>
          <w:rFonts w:ascii="Times New Roman" w:hAnsi="Times New Roman" w:cs="Times New Roman"/>
          <w:sz w:val="24"/>
          <w:szCs w:val="24"/>
        </w:rPr>
        <w:t xml:space="preserve">5 </w:t>
      </w:r>
      <w:r w:rsidRPr="008C08F2">
        <w:rPr>
          <w:rFonts w:ascii="Times New Roman" w:hAnsi="Times New Roman" w:cs="Times New Roman"/>
          <w:sz w:val="24"/>
          <w:szCs w:val="24"/>
        </w:rPr>
        <w:t xml:space="preserve">presents the results of </w:t>
      </w:r>
      <w:r>
        <w:rPr>
          <w:rFonts w:ascii="Times New Roman" w:hAnsi="Times New Roman" w:cs="Times New Roman"/>
          <w:sz w:val="24"/>
          <w:szCs w:val="24"/>
        </w:rPr>
        <w:t xml:space="preserve">panel </w:t>
      </w:r>
      <w:r w:rsidRPr="008C08F2">
        <w:rPr>
          <w:rFonts w:ascii="Times New Roman" w:hAnsi="Times New Roman" w:cs="Times New Roman"/>
          <w:sz w:val="24"/>
          <w:szCs w:val="24"/>
        </w:rPr>
        <w:t xml:space="preserve">cointegration tests </w:t>
      </w:r>
      <w:r w:rsidR="00474BCE">
        <w:rPr>
          <w:rFonts w:ascii="Times New Roman" w:hAnsi="Times New Roman" w:cs="Times New Roman"/>
          <w:sz w:val="24"/>
          <w:szCs w:val="24"/>
        </w:rPr>
        <w:t xml:space="preserve">of </w:t>
      </w:r>
      <w:r w:rsidRPr="008C08F2">
        <w:rPr>
          <w:rFonts w:ascii="Times New Roman" w:hAnsi="Times New Roman" w:cs="Times New Roman"/>
          <w:sz w:val="24"/>
          <w:szCs w:val="24"/>
        </w:rPr>
        <w:t>Pedroni</w:t>
      </w:r>
      <w:r>
        <w:rPr>
          <w:rFonts w:ascii="Times New Roman" w:hAnsi="Times New Roman" w:cs="Times New Roman"/>
          <w:sz w:val="24"/>
          <w:szCs w:val="24"/>
        </w:rPr>
        <w:t xml:space="preserve"> </w:t>
      </w:r>
      <w:r w:rsidRPr="008C08F2">
        <w:rPr>
          <w:rFonts w:ascii="Times New Roman" w:hAnsi="Times New Roman" w:cs="Times New Roman"/>
          <w:sz w:val="24"/>
          <w:szCs w:val="24"/>
        </w:rPr>
        <w:t>(2004) between</w:t>
      </w:r>
      <w:r>
        <w:rPr>
          <w:rFonts w:ascii="Times New Roman" w:hAnsi="Times New Roman" w:cs="Times New Roman"/>
          <w:sz w:val="24"/>
          <w:szCs w:val="24"/>
        </w:rPr>
        <w:t xml:space="preserve"> </w:t>
      </w:r>
      <w:r w:rsidRPr="003F7BBB">
        <w:rPr>
          <w:rFonts w:ascii="Times New Roman" w:hAnsi="Times New Roman" w:cs="Times New Roman"/>
          <w:sz w:val="24"/>
          <w:szCs w:val="24"/>
        </w:rPr>
        <w:t>the ratio based on cash flows (CF</w:t>
      </w:r>
      <w:r>
        <w:rPr>
          <w:rFonts w:ascii="Times New Roman" w:hAnsi="Times New Roman" w:cs="Times New Roman"/>
          <w:sz w:val="24"/>
          <w:szCs w:val="24"/>
        </w:rPr>
        <w:t>R</w:t>
      </w:r>
      <w:r w:rsidRPr="003F7BBB">
        <w:rPr>
          <w:rFonts w:ascii="Times New Roman" w:hAnsi="Times New Roman" w:cs="Times New Roman"/>
          <w:sz w:val="24"/>
          <w:szCs w:val="24"/>
        </w:rPr>
        <w:t>) and the four</w:t>
      </w:r>
      <w:r>
        <w:rPr>
          <w:rFonts w:ascii="Times New Roman" w:hAnsi="Times New Roman" w:cs="Times New Roman"/>
          <w:sz w:val="24"/>
          <w:szCs w:val="24"/>
        </w:rPr>
        <w:t xml:space="preserve"> </w:t>
      </w:r>
      <w:r w:rsidRPr="003F7BBB">
        <w:rPr>
          <w:rFonts w:ascii="Times New Roman" w:hAnsi="Times New Roman" w:cs="Times New Roman"/>
          <w:sz w:val="24"/>
          <w:szCs w:val="24"/>
        </w:rPr>
        <w:t>ratios based on accounting data (LIQ</w:t>
      </w:r>
      <w:r>
        <w:rPr>
          <w:rFonts w:ascii="Times New Roman" w:hAnsi="Times New Roman" w:cs="Times New Roman"/>
          <w:sz w:val="24"/>
          <w:szCs w:val="24"/>
        </w:rPr>
        <w:t>R</w:t>
      </w:r>
      <w:r w:rsidRPr="003F7BBB">
        <w:rPr>
          <w:rFonts w:ascii="Times New Roman" w:hAnsi="Times New Roman" w:cs="Times New Roman"/>
          <w:sz w:val="24"/>
          <w:szCs w:val="24"/>
        </w:rPr>
        <w:t xml:space="preserve">, </w:t>
      </w:r>
      <w:r>
        <w:rPr>
          <w:rFonts w:ascii="Times New Roman" w:hAnsi="Times New Roman" w:cs="Times New Roman"/>
          <w:sz w:val="24"/>
          <w:szCs w:val="24"/>
        </w:rPr>
        <w:t>EFFR</w:t>
      </w:r>
      <w:r w:rsidRPr="003F7BBB">
        <w:rPr>
          <w:rFonts w:ascii="Times New Roman" w:hAnsi="Times New Roman" w:cs="Times New Roman"/>
          <w:sz w:val="24"/>
          <w:szCs w:val="24"/>
        </w:rPr>
        <w:t>,</w:t>
      </w:r>
      <w:r>
        <w:rPr>
          <w:rFonts w:ascii="Times New Roman" w:hAnsi="Times New Roman" w:cs="Times New Roman"/>
          <w:sz w:val="24"/>
          <w:szCs w:val="24"/>
        </w:rPr>
        <w:t xml:space="preserve"> PROR,</w:t>
      </w:r>
      <w:r w:rsidRPr="003F7BBB">
        <w:rPr>
          <w:rFonts w:ascii="Times New Roman" w:hAnsi="Times New Roman" w:cs="Times New Roman"/>
          <w:sz w:val="24"/>
          <w:szCs w:val="24"/>
        </w:rPr>
        <w:t xml:space="preserve"> and </w:t>
      </w:r>
      <w:r w:rsidR="00474BCE">
        <w:rPr>
          <w:rFonts w:ascii="Times New Roman" w:hAnsi="Times New Roman" w:cs="Times New Roman"/>
          <w:sz w:val="24"/>
          <w:szCs w:val="24"/>
        </w:rPr>
        <w:t>SOL</w:t>
      </w:r>
      <w:r>
        <w:rPr>
          <w:rFonts w:ascii="Times New Roman" w:hAnsi="Times New Roman" w:cs="Times New Roman"/>
          <w:sz w:val="24"/>
          <w:szCs w:val="24"/>
        </w:rPr>
        <w:t>R</w:t>
      </w:r>
      <w:r w:rsidRPr="003F7BBB">
        <w:rPr>
          <w:rFonts w:ascii="Times New Roman" w:hAnsi="Times New Roman" w:cs="Times New Roman"/>
          <w:sz w:val="24"/>
          <w:szCs w:val="24"/>
        </w:rPr>
        <w:t>).</w:t>
      </w:r>
      <w:r>
        <w:rPr>
          <w:rFonts w:ascii="Times New Roman" w:hAnsi="Times New Roman" w:cs="Times New Roman"/>
          <w:sz w:val="24"/>
          <w:szCs w:val="24"/>
        </w:rPr>
        <w:t xml:space="preserve"> </w:t>
      </w:r>
    </w:p>
    <w:p w14:paraId="1E8E81EC" w14:textId="77777777" w:rsidR="00F07504" w:rsidRDefault="00F07504" w:rsidP="008C08F2">
      <w:pPr>
        <w:spacing w:before="240" w:line="360" w:lineRule="auto"/>
        <w:jc w:val="center"/>
        <w:rPr>
          <w:rFonts w:ascii="Times New Roman" w:hAnsi="Times New Roman" w:cs="Times New Roman"/>
          <w:b/>
          <w:bCs/>
          <w:sz w:val="24"/>
          <w:szCs w:val="24"/>
        </w:rPr>
      </w:pPr>
    </w:p>
    <w:p w14:paraId="26BD0EE4" w14:textId="454B36FE" w:rsidR="008C08F2" w:rsidRPr="00224858" w:rsidRDefault="008C08F2" w:rsidP="008C08F2">
      <w:pPr>
        <w:spacing w:before="240" w:line="360" w:lineRule="auto"/>
        <w:jc w:val="center"/>
        <w:rPr>
          <w:rFonts w:ascii="Times New Roman" w:eastAsia="Times New Roman" w:hAnsi="Times New Roman" w:cs="Times New Roman"/>
          <w:b/>
          <w:bCs/>
          <w:sz w:val="24"/>
          <w:szCs w:val="24"/>
          <w:lang w:val="en-GB" w:eastAsia="fr-FR"/>
        </w:rPr>
      </w:pPr>
      <w:r w:rsidRPr="00224858">
        <w:rPr>
          <w:rFonts w:ascii="Times New Roman" w:hAnsi="Times New Roman" w:cs="Times New Roman"/>
          <w:b/>
          <w:bCs/>
          <w:sz w:val="24"/>
          <w:szCs w:val="24"/>
        </w:rPr>
        <w:lastRenderedPageBreak/>
        <w:t>T</w:t>
      </w:r>
      <w:r w:rsidR="00F07504">
        <w:rPr>
          <w:rFonts w:ascii="Times New Roman" w:hAnsi="Times New Roman" w:cs="Times New Roman"/>
          <w:b/>
          <w:bCs/>
          <w:sz w:val="24"/>
          <w:szCs w:val="24"/>
        </w:rPr>
        <w:t>able</w:t>
      </w:r>
      <w:r w:rsidRPr="00224858">
        <w:rPr>
          <w:rFonts w:ascii="Times New Roman" w:hAnsi="Times New Roman" w:cs="Times New Roman"/>
          <w:b/>
          <w:bCs/>
          <w:sz w:val="24"/>
          <w:szCs w:val="24"/>
        </w:rPr>
        <w:t xml:space="preserve"> </w:t>
      </w:r>
      <w:r>
        <w:rPr>
          <w:rFonts w:ascii="Times New Roman" w:hAnsi="Times New Roman" w:cs="Times New Roman"/>
          <w:b/>
          <w:bCs/>
          <w:sz w:val="24"/>
          <w:szCs w:val="24"/>
        </w:rPr>
        <w:t>5</w:t>
      </w:r>
      <w:r w:rsidRPr="00224858">
        <w:rPr>
          <w:rFonts w:ascii="Times New Roman" w:hAnsi="Times New Roman" w:cs="Times New Roman"/>
          <w:b/>
          <w:bCs/>
          <w:sz w:val="24"/>
          <w:szCs w:val="24"/>
        </w:rPr>
        <w:t xml:space="preserve">: </w:t>
      </w:r>
      <w:r>
        <w:rPr>
          <w:rFonts w:ascii="Times New Roman" w:hAnsi="Times New Roman" w:cs="Times New Roman"/>
          <w:b/>
          <w:bCs/>
          <w:sz w:val="24"/>
          <w:szCs w:val="24"/>
        </w:rPr>
        <w:t xml:space="preserve">Panel Cointegration Tests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2"/>
        <w:gridCol w:w="1567"/>
        <w:gridCol w:w="1413"/>
        <w:gridCol w:w="1418"/>
      </w:tblGrid>
      <w:tr w:rsidR="008C08F2" w:rsidRPr="00F07504" w14:paraId="7AFE41EC" w14:textId="77777777" w:rsidTr="001C581D">
        <w:trPr>
          <w:trHeight w:val="409"/>
        </w:trPr>
        <w:tc>
          <w:tcPr>
            <w:tcW w:w="3402" w:type="dxa"/>
            <w:tcBorders>
              <w:top w:val="double" w:sz="4" w:space="0" w:color="auto"/>
              <w:left w:val="nil"/>
              <w:bottom w:val="single" w:sz="4" w:space="0" w:color="auto"/>
              <w:right w:val="nil"/>
            </w:tcBorders>
          </w:tcPr>
          <w:p w14:paraId="3DF10490" w14:textId="77777777" w:rsidR="008C08F2" w:rsidRPr="00F07504" w:rsidRDefault="008C08F2" w:rsidP="001C581D">
            <w:pPr>
              <w:spacing w:before="120" w:after="60" w:line="200" w:lineRule="exact"/>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Statistics tests</w:t>
            </w:r>
          </w:p>
        </w:tc>
        <w:tc>
          <w:tcPr>
            <w:tcW w:w="1560" w:type="dxa"/>
            <w:gridSpan w:val="2"/>
            <w:tcBorders>
              <w:top w:val="double" w:sz="4" w:space="0" w:color="auto"/>
              <w:left w:val="nil"/>
              <w:bottom w:val="single" w:sz="4" w:space="0" w:color="auto"/>
              <w:right w:val="nil"/>
            </w:tcBorders>
          </w:tcPr>
          <w:p w14:paraId="6248E9F1"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Model 1</w:t>
            </w:r>
          </w:p>
          <w:p w14:paraId="2243B664"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CFR-LIQR</w:t>
            </w:r>
          </w:p>
        </w:tc>
        <w:tc>
          <w:tcPr>
            <w:tcW w:w="1567" w:type="dxa"/>
            <w:tcBorders>
              <w:top w:val="double" w:sz="4" w:space="0" w:color="auto"/>
              <w:left w:val="nil"/>
              <w:bottom w:val="single" w:sz="4" w:space="0" w:color="auto"/>
              <w:right w:val="nil"/>
            </w:tcBorders>
          </w:tcPr>
          <w:p w14:paraId="1AB8ED20"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Model 2</w:t>
            </w:r>
          </w:p>
          <w:p w14:paraId="436DB373"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CFR-EFFR</w:t>
            </w:r>
          </w:p>
        </w:tc>
        <w:tc>
          <w:tcPr>
            <w:tcW w:w="1413" w:type="dxa"/>
            <w:tcBorders>
              <w:top w:val="double" w:sz="4" w:space="0" w:color="auto"/>
              <w:left w:val="nil"/>
              <w:bottom w:val="single" w:sz="4" w:space="0" w:color="auto"/>
              <w:right w:val="nil"/>
            </w:tcBorders>
          </w:tcPr>
          <w:p w14:paraId="628A1FE9"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Model 3</w:t>
            </w:r>
          </w:p>
          <w:p w14:paraId="67F72561"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CFR-PROR</w:t>
            </w:r>
          </w:p>
        </w:tc>
        <w:tc>
          <w:tcPr>
            <w:tcW w:w="1418" w:type="dxa"/>
            <w:tcBorders>
              <w:top w:val="double" w:sz="4" w:space="0" w:color="auto"/>
              <w:left w:val="nil"/>
              <w:bottom w:val="single" w:sz="4" w:space="0" w:color="auto"/>
              <w:right w:val="nil"/>
            </w:tcBorders>
          </w:tcPr>
          <w:p w14:paraId="0F61DE1F" w14:textId="77777777"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Model 4</w:t>
            </w:r>
          </w:p>
          <w:p w14:paraId="3893039C" w14:textId="136AD304" w:rsidR="008C08F2" w:rsidRPr="00F07504" w:rsidRDefault="008C08F2" w:rsidP="001C581D">
            <w:pPr>
              <w:spacing w:before="120" w:after="60" w:line="200" w:lineRule="exact"/>
              <w:jc w:val="center"/>
              <w:rPr>
                <w:rFonts w:ascii="Times New Roman" w:eastAsia="Times New Roman" w:hAnsi="Times New Roman" w:cs="Times New Roman"/>
                <w:b/>
                <w:bCs/>
                <w:sz w:val="20"/>
                <w:szCs w:val="20"/>
                <w:lang w:eastAsia="fr-FR"/>
              </w:rPr>
            </w:pPr>
            <w:r w:rsidRPr="00F07504">
              <w:rPr>
                <w:rFonts w:ascii="Times New Roman" w:eastAsia="Times New Roman" w:hAnsi="Times New Roman" w:cs="Times New Roman"/>
                <w:b/>
                <w:bCs/>
                <w:sz w:val="20"/>
                <w:szCs w:val="20"/>
                <w:lang w:eastAsia="fr-FR"/>
              </w:rPr>
              <w:t>CFR-</w:t>
            </w:r>
            <w:r w:rsidR="004D0247">
              <w:rPr>
                <w:rFonts w:ascii="Times New Roman" w:eastAsia="Times New Roman" w:hAnsi="Times New Roman" w:cs="Times New Roman"/>
                <w:b/>
                <w:bCs/>
                <w:sz w:val="20"/>
                <w:szCs w:val="20"/>
                <w:lang w:eastAsia="fr-FR"/>
              </w:rPr>
              <w:t>SOL</w:t>
            </w:r>
            <w:r w:rsidRPr="00F07504">
              <w:rPr>
                <w:rFonts w:ascii="Times New Roman" w:eastAsia="Times New Roman" w:hAnsi="Times New Roman" w:cs="Times New Roman"/>
                <w:b/>
                <w:bCs/>
                <w:sz w:val="20"/>
                <w:szCs w:val="20"/>
                <w:lang w:eastAsia="fr-FR"/>
              </w:rPr>
              <w:t>R</w:t>
            </w:r>
          </w:p>
        </w:tc>
      </w:tr>
      <w:tr w:rsidR="008C08F2" w:rsidRPr="00F07504" w14:paraId="76E4D06E" w14:textId="77777777" w:rsidTr="001C581D">
        <w:trPr>
          <w:trHeight w:val="389"/>
        </w:trPr>
        <w:tc>
          <w:tcPr>
            <w:tcW w:w="3402" w:type="dxa"/>
            <w:tcBorders>
              <w:top w:val="single" w:sz="4" w:space="0" w:color="auto"/>
              <w:left w:val="nil"/>
              <w:bottom w:val="single" w:sz="4" w:space="0" w:color="auto"/>
              <w:right w:val="nil"/>
            </w:tcBorders>
          </w:tcPr>
          <w:p w14:paraId="0733FB2A" w14:textId="77777777" w:rsidR="008C08F2" w:rsidRPr="00F07504" w:rsidRDefault="008C08F2" w:rsidP="001C581D">
            <w:pPr>
              <w:rPr>
                <w:rFonts w:ascii="Times New Roman" w:eastAsia="Times New Roman" w:hAnsi="Times New Roman" w:cs="Times New Roman"/>
                <w:sz w:val="20"/>
                <w:szCs w:val="20"/>
                <w:lang w:val="fr-FR" w:eastAsia="fr-FR"/>
              </w:rPr>
            </w:pPr>
            <w:r w:rsidRPr="00F07504">
              <w:rPr>
                <w:rFonts w:ascii="Times New Roman" w:hAnsi="Times New Roman" w:cs="Times New Roman"/>
                <w:b/>
                <w:sz w:val="20"/>
                <w:szCs w:val="20"/>
                <w:lang w:val="en-CA"/>
              </w:rPr>
              <w:t xml:space="preserve">Group statistics (between-dimension) </w:t>
            </w:r>
          </w:p>
        </w:tc>
        <w:tc>
          <w:tcPr>
            <w:tcW w:w="1418" w:type="dxa"/>
            <w:tcBorders>
              <w:top w:val="single" w:sz="4" w:space="0" w:color="auto"/>
              <w:left w:val="nil"/>
              <w:bottom w:val="single" w:sz="4" w:space="0" w:color="auto"/>
              <w:right w:val="nil"/>
            </w:tcBorders>
          </w:tcPr>
          <w:p w14:paraId="70373A9E"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c>
          <w:tcPr>
            <w:tcW w:w="1709" w:type="dxa"/>
            <w:gridSpan w:val="2"/>
            <w:tcBorders>
              <w:top w:val="single" w:sz="4" w:space="0" w:color="auto"/>
              <w:left w:val="nil"/>
              <w:bottom w:val="single" w:sz="4" w:space="0" w:color="auto"/>
              <w:right w:val="nil"/>
            </w:tcBorders>
          </w:tcPr>
          <w:p w14:paraId="11D0C0BA"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c>
          <w:tcPr>
            <w:tcW w:w="1413" w:type="dxa"/>
            <w:tcBorders>
              <w:top w:val="single" w:sz="4" w:space="0" w:color="auto"/>
              <w:left w:val="nil"/>
              <w:bottom w:val="single" w:sz="4" w:space="0" w:color="auto"/>
              <w:right w:val="nil"/>
            </w:tcBorders>
          </w:tcPr>
          <w:p w14:paraId="107E66D5"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c>
          <w:tcPr>
            <w:tcW w:w="1418" w:type="dxa"/>
            <w:tcBorders>
              <w:top w:val="single" w:sz="4" w:space="0" w:color="auto"/>
              <w:left w:val="nil"/>
              <w:bottom w:val="single" w:sz="4" w:space="0" w:color="auto"/>
              <w:right w:val="nil"/>
            </w:tcBorders>
          </w:tcPr>
          <w:p w14:paraId="5C3BA2E3"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r>
      <w:tr w:rsidR="008C08F2" w:rsidRPr="00F07504" w14:paraId="3A4AE0CF" w14:textId="77777777" w:rsidTr="001C581D">
        <w:trPr>
          <w:trHeight w:val="389"/>
        </w:trPr>
        <w:tc>
          <w:tcPr>
            <w:tcW w:w="3402" w:type="dxa"/>
            <w:tcBorders>
              <w:top w:val="single" w:sz="4" w:space="0" w:color="auto"/>
              <w:left w:val="nil"/>
              <w:bottom w:val="single" w:sz="4" w:space="0" w:color="auto"/>
              <w:right w:val="nil"/>
            </w:tcBorders>
          </w:tcPr>
          <w:p w14:paraId="431CF05D" w14:textId="43CC0434" w:rsidR="008C08F2" w:rsidRPr="00F07504" w:rsidRDefault="008C08F2" w:rsidP="001C581D">
            <w:pPr>
              <w:rPr>
                <w:rFonts w:ascii="Times New Roman" w:eastAsia="Times New Roman" w:hAnsi="Times New Roman" w:cs="Times New Roman"/>
                <w:sz w:val="20"/>
                <w:szCs w:val="20"/>
                <w:lang w:val="fr-FR" w:eastAsia="fr-FR"/>
              </w:rPr>
            </w:pPr>
            <w:r w:rsidRPr="00F07504">
              <w:rPr>
                <w:rFonts w:ascii="Times New Roman" w:hAnsi="Times New Roman" w:cs="Times New Roman"/>
                <w:sz w:val="20"/>
                <w:szCs w:val="20"/>
                <w:lang w:val="en-CA"/>
              </w:rPr>
              <w:t xml:space="preserve">Group </w:t>
            </w:r>
            <w:r w:rsidR="00AF26C6">
              <w:rPr>
                <w:rFonts w:ascii="Times New Roman" w:hAnsi="Times New Roman" w:cs="Times New Roman"/>
                <w:sz w:val="20"/>
                <w:szCs w:val="20"/>
                <w:lang w:val="en-CA"/>
              </w:rPr>
              <w:t>R</w:t>
            </w:r>
            <w:r w:rsidRPr="00F07504">
              <w:rPr>
                <w:rFonts w:ascii="Times New Roman" w:hAnsi="Times New Roman" w:cs="Times New Roman"/>
                <w:sz w:val="20"/>
                <w:szCs w:val="20"/>
                <w:lang w:val="en-CA"/>
              </w:rPr>
              <w:t>ho-statistic</w:t>
            </w:r>
          </w:p>
        </w:tc>
        <w:tc>
          <w:tcPr>
            <w:tcW w:w="1418" w:type="dxa"/>
            <w:tcBorders>
              <w:top w:val="single" w:sz="4" w:space="0" w:color="auto"/>
              <w:left w:val="nil"/>
              <w:bottom w:val="single" w:sz="4" w:space="0" w:color="auto"/>
              <w:right w:val="nil"/>
            </w:tcBorders>
          </w:tcPr>
          <w:p w14:paraId="483E08E9"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1.30873</w:t>
            </w:r>
          </w:p>
          <w:p w14:paraId="0EE8A66B"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(0.256)</w:t>
            </w:r>
          </w:p>
        </w:tc>
        <w:tc>
          <w:tcPr>
            <w:tcW w:w="1709" w:type="dxa"/>
            <w:gridSpan w:val="2"/>
            <w:tcBorders>
              <w:top w:val="single" w:sz="4" w:space="0" w:color="auto"/>
              <w:left w:val="nil"/>
              <w:bottom w:val="single" w:sz="4" w:space="0" w:color="auto"/>
              <w:right w:val="nil"/>
            </w:tcBorders>
          </w:tcPr>
          <w:p w14:paraId="0E450D33"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1.17743</w:t>
            </w:r>
          </w:p>
          <w:p w14:paraId="0A180518" w14:textId="190B82A9" w:rsidR="008C08F2" w:rsidRPr="00F07504" w:rsidRDefault="008C08F2" w:rsidP="001C581D">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(0.208)</w:t>
            </w:r>
          </w:p>
        </w:tc>
        <w:tc>
          <w:tcPr>
            <w:tcW w:w="1413" w:type="dxa"/>
            <w:tcBorders>
              <w:top w:val="single" w:sz="4" w:space="0" w:color="auto"/>
              <w:left w:val="nil"/>
              <w:bottom w:val="single" w:sz="4" w:space="0" w:color="auto"/>
              <w:right w:val="nil"/>
            </w:tcBorders>
          </w:tcPr>
          <w:p w14:paraId="56881999"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3.79332***</w:t>
            </w:r>
          </w:p>
          <w:p w14:paraId="3E4ADF0B" w14:textId="77777777" w:rsidR="008C08F2" w:rsidRPr="00F07504" w:rsidRDefault="008C08F2" w:rsidP="001C581D">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(0.000)</w:t>
            </w:r>
          </w:p>
        </w:tc>
        <w:tc>
          <w:tcPr>
            <w:tcW w:w="1418" w:type="dxa"/>
            <w:tcBorders>
              <w:top w:val="single" w:sz="4" w:space="0" w:color="auto"/>
              <w:left w:val="nil"/>
              <w:bottom w:val="single" w:sz="4" w:space="0" w:color="auto"/>
              <w:right w:val="nil"/>
            </w:tcBorders>
          </w:tcPr>
          <w:p w14:paraId="595B8861"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3.35180***</w:t>
            </w:r>
          </w:p>
          <w:p w14:paraId="278BD3D9"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(0.000)</w:t>
            </w:r>
          </w:p>
        </w:tc>
      </w:tr>
      <w:tr w:rsidR="008C08F2" w:rsidRPr="00F07504" w14:paraId="3FA21645" w14:textId="77777777" w:rsidTr="001C581D">
        <w:trPr>
          <w:trHeight w:val="378"/>
        </w:trPr>
        <w:tc>
          <w:tcPr>
            <w:tcW w:w="3402" w:type="dxa"/>
            <w:tcBorders>
              <w:top w:val="single" w:sz="4" w:space="0" w:color="auto"/>
              <w:left w:val="nil"/>
              <w:bottom w:val="single" w:sz="4" w:space="0" w:color="auto"/>
              <w:right w:val="nil"/>
            </w:tcBorders>
          </w:tcPr>
          <w:p w14:paraId="659F28C8" w14:textId="77777777" w:rsidR="008C08F2" w:rsidRPr="00F07504" w:rsidRDefault="008C08F2" w:rsidP="001C581D">
            <w:pPr>
              <w:rPr>
                <w:rFonts w:ascii="Times New Roman" w:eastAsia="Times New Roman" w:hAnsi="Times New Roman" w:cs="Times New Roman"/>
                <w:sz w:val="20"/>
                <w:szCs w:val="20"/>
                <w:lang w:eastAsia="fr-FR"/>
              </w:rPr>
            </w:pPr>
            <w:r w:rsidRPr="00F07504">
              <w:rPr>
                <w:rFonts w:ascii="Times New Roman" w:hAnsi="Times New Roman" w:cs="Times New Roman"/>
                <w:sz w:val="20"/>
                <w:szCs w:val="20"/>
                <w:lang w:val="en-CA"/>
              </w:rPr>
              <w:t>Group PP-statistic</w:t>
            </w:r>
          </w:p>
        </w:tc>
        <w:tc>
          <w:tcPr>
            <w:tcW w:w="1418" w:type="dxa"/>
            <w:tcBorders>
              <w:top w:val="single" w:sz="4" w:space="0" w:color="auto"/>
              <w:left w:val="nil"/>
              <w:bottom w:val="single" w:sz="4" w:space="0" w:color="auto"/>
              <w:right w:val="nil"/>
            </w:tcBorders>
          </w:tcPr>
          <w:p w14:paraId="25EC7AB7"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-9.86613***</w:t>
            </w:r>
          </w:p>
          <w:p w14:paraId="7C2C9432"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hAnsi="Times New Roman" w:cs="Times New Roman"/>
                <w:sz w:val="20"/>
                <w:szCs w:val="20"/>
              </w:rPr>
              <w:t>(0.000)</w:t>
            </w:r>
          </w:p>
        </w:tc>
        <w:tc>
          <w:tcPr>
            <w:tcW w:w="1709" w:type="dxa"/>
            <w:gridSpan w:val="2"/>
            <w:tcBorders>
              <w:top w:val="single" w:sz="4" w:space="0" w:color="auto"/>
              <w:left w:val="nil"/>
              <w:bottom w:val="single" w:sz="4" w:space="0" w:color="auto"/>
              <w:right w:val="nil"/>
            </w:tcBorders>
          </w:tcPr>
          <w:p w14:paraId="553E3A93"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-14.2156***</w:t>
            </w:r>
          </w:p>
          <w:p w14:paraId="4F59EF58" w14:textId="4BE0CBA7" w:rsidR="008C08F2" w:rsidRPr="00F07504" w:rsidRDefault="008C08F2" w:rsidP="001C581D">
            <w:pPr>
              <w:spacing w:line="200" w:lineRule="exact"/>
              <w:rPr>
                <w:rFonts w:ascii="Times New Roman" w:hAnsi="Times New Roman" w:cs="Times New Roman"/>
                <w:sz w:val="20"/>
                <w:szCs w:val="20"/>
              </w:rPr>
            </w:pPr>
            <w:r w:rsidRPr="00F07504">
              <w:rPr>
                <w:rFonts w:ascii="Times New Roman" w:eastAsia="Times New Roman" w:hAnsi="Times New Roman" w:cs="Times New Roman"/>
                <w:sz w:val="20"/>
                <w:szCs w:val="20"/>
                <w:lang w:val="fr-FR" w:eastAsia="fr-FR"/>
              </w:rPr>
              <w:t xml:space="preserve">        (0.000)</w:t>
            </w:r>
          </w:p>
        </w:tc>
        <w:tc>
          <w:tcPr>
            <w:tcW w:w="1413" w:type="dxa"/>
            <w:tcBorders>
              <w:top w:val="single" w:sz="4" w:space="0" w:color="auto"/>
              <w:left w:val="nil"/>
              <w:bottom w:val="single" w:sz="4" w:space="0" w:color="auto"/>
              <w:right w:val="nil"/>
            </w:tcBorders>
          </w:tcPr>
          <w:p w14:paraId="483FE9EC"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-22.7761***</w:t>
            </w:r>
          </w:p>
          <w:p w14:paraId="56FDCC3D" w14:textId="77777777" w:rsidR="008C08F2" w:rsidRPr="00F07504" w:rsidRDefault="008C08F2" w:rsidP="001C581D">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c>
          <w:tcPr>
            <w:tcW w:w="1418" w:type="dxa"/>
            <w:tcBorders>
              <w:top w:val="single" w:sz="4" w:space="0" w:color="auto"/>
              <w:left w:val="nil"/>
              <w:bottom w:val="single" w:sz="4" w:space="0" w:color="auto"/>
              <w:right w:val="nil"/>
            </w:tcBorders>
          </w:tcPr>
          <w:p w14:paraId="61912144"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-31.8634***</w:t>
            </w:r>
          </w:p>
          <w:p w14:paraId="17B61721"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(0.000)</w:t>
            </w:r>
          </w:p>
        </w:tc>
      </w:tr>
      <w:tr w:rsidR="008C08F2" w:rsidRPr="00F07504" w14:paraId="1EA15DBD" w14:textId="77777777" w:rsidTr="001C581D">
        <w:trPr>
          <w:trHeight w:val="568"/>
        </w:trPr>
        <w:tc>
          <w:tcPr>
            <w:tcW w:w="3402" w:type="dxa"/>
            <w:tcBorders>
              <w:top w:val="single" w:sz="4" w:space="0" w:color="auto"/>
              <w:left w:val="nil"/>
              <w:bottom w:val="single" w:sz="4" w:space="0" w:color="auto"/>
              <w:right w:val="nil"/>
            </w:tcBorders>
          </w:tcPr>
          <w:p w14:paraId="483D2145" w14:textId="77777777" w:rsidR="008C08F2" w:rsidRPr="00F07504" w:rsidRDefault="008C08F2" w:rsidP="001C581D">
            <w:pPr>
              <w:rPr>
                <w:rFonts w:ascii="Times New Roman" w:eastAsia="Times New Roman" w:hAnsi="Times New Roman" w:cs="Times New Roman"/>
                <w:sz w:val="18"/>
                <w:szCs w:val="18"/>
                <w:lang w:eastAsia="fr-FR"/>
              </w:rPr>
            </w:pPr>
            <w:r w:rsidRPr="00F07504">
              <w:rPr>
                <w:rFonts w:ascii="Times New Roman" w:hAnsi="Times New Roman" w:cs="Times New Roman"/>
                <w:sz w:val="20"/>
                <w:szCs w:val="20"/>
                <w:lang w:val="en-CA"/>
              </w:rPr>
              <w:t>Group ADF-statistic</w:t>
            </w:r>
          </w:p>
        </w:tc>
        <w:tc>
          <w:tcPr>
            <w:tcW w:w="1418" w:type="dxa"/>
            <w:tcBorders>
              <w:top w:val="single" w:sz="4" w:space="0" w:color="auto"/>
              <w:left w:val="nil"/>
              <w:bottom w:val="single" w:sz="4" w:space="0" w:color="auto"/>
              <w:right w:val="nil"/>
            </w:tcBorders>
          </w:tcPr>
          <w:p w14:paraId="6C32237D"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-20.8287***</w:t>
            </w:r>
          </w:p>
          <w:p w14:paraId="5A8860EE" w14:textId="77777777" w:rsidR="008C08F2" w:rsidRPr="00F07504" w:rsidRDefault="008C08F2" w:rsidP="001C581D">
            <w:pPr>
              <w:spacing w:line="200" w:lineRule="exact"/>
              <w:jc w:val="center"/>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(0.000)</w:t>
            </w:r>
          </w:p>
        </w:tc>
        <w:tc>
          <w:tcPr>
            <w:tcW w:w="1709" w:type="dxa"/>
            <w:gridSpan w:val="2"/>
            <w:tcBorders>
              <w:top w:val="single" w:sz="4" w:space="0" w:color="auto"/>
              <w:left w:val="nil"/>
              <w:bottom w:val="single" w:sz="4" w:space="0" w:color="auto"/>
              <w:right w:val="nil"/>
            </w:tcBorders>
          </w:tcPr>
          <w:p w14:paraId="3CFB614E"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-11.3486***</w:t>
            </w:r>
          </w:p>
          <w:p w14:paraId="12D0B4D2" w14:textId="6A7A61DB" w:rsidR="008C08F2" w:rsidRPr="00F07504" w:rsidRDefault="008C08F2" w:rsidP="001C581D">
            <w:pPr>
              <w:spacing w:line="200" w:lineRule="exact"/>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 xml:space="preserve">        (0.000)</w:t>
            </w:r>
          </w:p>
        </w:tc>
        <w:tc>
          <w:tcPr>
            <w:tcW w:w="1413" w:type="dxa"/>
            <w:tcBorders>
              <w:top w:val="single" w:sz="4" w:space="0" w:color="auto"/>
              <w:left w:val="nil"/>
              <w:bottom w:val="single" w:sz="4" w:space="0" w:color="auto"/>
              <w:right w:val="nil"/>
            </w:tcBorders>
          </w:tcPr>
          <w:p w14:paraId="6BB59AB4"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eastAsia="Times New Roman" w:hAnsi="Times New Roman" w:cs="Times New Roman"/>
                <w:sz w:val="18"/>
                <w:szCs w:val="18"/>
                <w:lang w:val="fr-FR" w:eastAsia="fr-FR"/>
              </w:rPr>
              <w:t xml:space="preserve">  -25.4553</w:t>
            </w:r>
            <w:r w:rsidRPr="00F07504">
              <w:rPr>
                <w:rFonts w:ascii="Times New Roman" w:hAnsi="Times New Roman" w:cs="Times New Roman"/>
                <w:sz w:val="20"/>
                <w:szCs w:val="20"/>
              </w:rPr>
              <w:t>***</w:t>
            </w:r>
          </w:p>
          <w:p w14:paraId="30FCD0FF" w14:textId="77777777" w:rsidR="008C08F2" w:rsidRPr="00F07504" w:rsidRDefault="008C08F2" w:rsidP="001C581D">
            <w:pPr>
              <w:spacing w:line="200" w:lineRule="exact"/>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 xml:space="preserve">      (0.000)</w:t>
            </w:r>
            <w:r w:rsidRPr="00F07504">
              <w:rPr>
                <w:rFonts w:ascii="Times New Roman" w:eastAsia="Times New Roman" w:hAnsi="Times New Roman" w:cs="Times New Roman"/>
                <w:sz w:val="18"/>
                <w:szCs w:val="18"/>
                <w:lang w:val="fr-FR" w:eastAsia="fr-FR"/>
              </w:rPr>
              <w:t xml:space="preserve">                     </w:t>
            </w:r>
          </w:p>
        </w:tc>
        <w:tc>
          <w:tcPr>
            <w:tcW w:w="1418" w:type="dxa"/>
            <w:tcBorders>
              <w:top w:val="single" w:sz="4" w:space="0" w:color="auto"/>
              <w:left w:val="nil"/>
              <w:bottom w:val="single" w:sz="4" w:space="0" w:color="auto"/>
              <w:right w:val="nil"/>
            </w:tcBorders>
          </w:tcPr>
          <w:p w14:paraId="6DEA85CC"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-23.5862***</w:t>
            </w:r>
          </w:p>
          <w:p w14:paraId="591BE808" w14:textId="77777777" w:rsidR="008C08F2" w:rsidRPr="00F07504" w:rsidRDefault="008C08F2" w:rsidP="001C581D">
            <w:pPr>
              <w:spacing w:line="200" w:lineRule="exact"/>
              <w:jc w:val="center"/>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(0.000)</w:t>
            </w:r>
          </w:p>
        </w:tc>
      </w:tr>
      <w:tr w:rsidR="008C08F2" w:rsidRPr="00F07504" w14:paraId="2B64916F" w14:textId="77777777" w:rsidTr="001C581D">
        <w:trPr>
          <w:trHeight w:val="389"/>
        </w:trPr>
        <w:tc>
          <w:tcPr>
            <w:tcW w:w="3402" w:type="dxa"/>
            <w:tcBorders>
              <w:top w:val="single" w:sz="4" w:space="0" w:color="auto"/>
              <w:left w:val="nil"/>
              <w:bottom w:val="single" w:sz="4" w:space="0" w:color="auto"/>
              <w:right w:val="nil"/>
            </w:tcBorders>
          </w:tcPr>
          <w:p w14:paraId="2F95E58A" w14:textId="77777777" w:rsidR="008C08F2" w:rsidRPr="00F07504" w:rsidRDefault="008C08F2" w:rsidP="001C581D">
            <w:pPr>
              <w:rPr>
                <w:rFonts w:ascii="Times New Roman" w:eastAsia="Times New Roman" w:hAnsi="Times New Roman" w:cs="Times New Roman"/>
                <w:sz w:val="20"/>
                <w:szCs w:val="20"/>
                <w:lang w:val="fr-FR" w:eastAsia="fr-FR"/>
              </w:rPr>
            </w:pPr>
            <w:r w:rsidRPr="00F07504">
              <w:rPr>
                <w:rFonts w:ascii="Times New Roman" w:hAnsi="Times New Roman" w:cs="Times New Roman"/>
                <w:b/>
                <w:sz w:val="20"/>
                <w:szCs w:val="20"/>
                <w:lang w:val="en-CA"/>
              </w:rPr>
              <w:t xml:space="preserve">Panel statistics (within-dimension) </w:t>
            </w:r>
          </w:p>
        </w:tc>
        <w:tc>
          <w:tcPr>
            <w:tcW w:w="1418" w:type="dxa"/>
            <w:tcBorders>
              <w:top w:val="single" w:sz="4" w:space="0" w:color="auto"/>
              <w:left w:val="nil"/>
              <w:bottom w:val="single" w:sz="4" w:space="0" w:color="auto"/>
              <w:right w:val="nil"/>
            </w:tcBorders>
          </w:tcPr>
          <w:p w14:paraId="2493BCB8"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c>
          <w:tcPr>
            <w:tcW w:w="1709" w:type="dxa"/>
            <w:gridSpan w:val="2"/>
            <w:tcBorders>
              <w:top w:val="single" w:sz="4" w:space="0" w:color="auto"/>
              <w:left w:val="nil"/>
              <w:bottom w:val="single" w:sz="4" w:space="0" w:color="auto"/>
              <w:right w:val="nil"/>
            </w:tcBorders>
          </w:tcPr>
          <w:p w14:paraId="52BBB3A9"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c>
          <w:tcPr>
            <w:tcW w:w="1413" w:type="dxa"/>
            <w:tcBorders>
              <w:top w:val="single" w:sz="4" w:space="0" w:color="auto"/>
              <w:left w:val="nil"/>
              <w:bottom w:val="single" w:sz="4" w:space="0" w:color="auto"/>
              <w:right w:val="nil"/>
            </w:tcBorders>
          </w:tcPr>
          <w:p w14:paraId="05E84BEA"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c>
          <w:tcPr>
            <w:tcW w:w="1418" w:type="dxa"/>
            <w:tcBorders>
              <w:top w:val="single" w:sz="4" w:space="0" w:color="auto"/>
              <w:left w:val="nil"/>
              <w:bottom w:val="single" w:sz="4" w:space="0" w:color="auto"/>
              <w:right w:val="nil"/>
            </w:tcBorders>
          </w:tcPr>
          <w:p w14:paraId="3BB50A9A"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p>
        </w:tc>
      </w:tr>
      <w:tr w:rsidR="008C08F2" w:rsidRPr="00F07504" w14:paraId="5285F852" w14:textId="77777777" w:rsidTr="001C581D">
        <w:trPr>
          <w:trHeight w:val="389"/>
        </w:trPr>
        <w:tc>
          <w:tcPr>
            <w:tcW w:w="3402" w:type="dxa"/>
            <w:tcBorders>
              <w:top w:val="single" w:sz="4" w:space="0" w:color="auto"/>
              <w:left w:val="nil"/>
              <w:bottom w:val="single" w:sz="4" w:space="0" w:color="auto"/>
              <w:right w:val="nil"/>
            </w:tcBorders>
          </w:tcPr>
          <w:p w14:paraId="4C2C20D9" w14:textId="77777777" w:rsidR="008C08F2" w:rsidRPr="00F07504" w:rsidRDefault="008C08F2" w:rsidP="001C581D">
            <w:pPr>
              <w:rPr>
                <w:rFonts w:ascii="Times New Roman" w:eastAsia="Times New Roman" w:hAnsi="Times New Roman" w:cs="Times New Roman"/>
                <w:sz w:val="20"/>
                <w:szCs w:val="20"/>
                <w:lang w:val="fr-FR" w:eastAsia="fr-FR"/>
              </w:rPr>
            </w:pPr>
            <w:r w:rsidRPr="00F07504">
              <w:rPr>
                <w:rFonts w:ascii="Times New Roman" w:hAnsi="Times New Roman" w:cs="Times New Roman"/>
                <w:sz w:val="20"/>
                <w:szCs w:val="20"/>
                <w:lang w:val="en-CA"/>
              </w:rPr>
              <w:t>Panel v-statistic</w:t>
            </w:r>
          </w:p>
        </w:tc>
        <w:tc>
          <w:tcPr>
            <w:tcW w:w="1418" w:type="dxa"/>
            <w:tcBorders>
              <w:top w:val="single" w:sz="4" w:space="0" w:color="auto"/>
              <w:left w:val="nil"/>
              <w:bottom w:val="single" w:sz="4" w:space="0" w:color="auto"/>
              <w:right w:val="nil"/>
            </w:tcBorders>
          </w:tcPr>
          <w:p w14:paraId="53F4F049"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1.73752</w:t>
            </w:r>
          </w:p>
          <w:p w14:paraId="76B2F6FC"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(0.187)</w:t>
            </w:r>
          </w:p>
        </w:tc>
        <w:tc>
          <w:tcPr>
            <w:tcW w:w="1709" w:type="dxa"/>
            <w:gridSpan w:val="2"/>
            <w:tcBorders>
              <w:top w:val="single" w:sz="4" w:space="0" w:color="auto"/>
              <w:left w:val="nil"/>
              <w:bottom w:val="single" w:sz="4" w:space="0" w:color="auto"/>
              <w:right w:val="nil"/>
            </w:tcBorders>
          </w:tcPr>
          <w:p w14:paraId="4ABA12EA"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2.04556**</w:t>
            </w:r>
          </w:p>
          <w:p w14:paraId="5F746E1A" w14:textId="77777777" w:rsidR="008C08F2" w:rsidRPr="00F07504" w:rsidRDefault="008C08F2" w:rsidP="001C581D">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(0.048)</w:t>
            </w:r>
          </w:p>
        </w:tc>
        <w:tc>
          <w:tcPr>
            <w:tcW w:w="1413" w:type="dxa"/>
            <w:tcBorders>
              <w:top w:val="single" w:sz="4" w:space="0" w:color="auto"/>
              <w:left w:val="nil"/>
              <w:bottom w:val="single" w:sz="4" w:space="0" w:color="auto"/>
              <w:right w:val="nil"/>
            </w:tcBorders>
          </w:tcPr>
          <w:p w14:paraId="10B0C625"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2.33673*</w:t>
            </w:r>
          </w:p>
          <w:p w14:paraId="68AE4617" w14:textId="77777777" w:rsidR="008C08F2" w:rsidRPr="00F07504" w:rsidRDefault="008C08F2" w:rsidP="001C581D">
            <w:pPr>
              <w:spacing w:line="200" w:lineRule="exact"/>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 xml:space="preserve">     (0.076)</w:t>
            </w:r>
          </w:p>
        </w:tc>
        <w:tc>
          <w:tcPr>
            <w:tcW w:w="1418" w:type="dxa"/>
            <w:tcBorders>
              <w:top w:val="single" w:sz="4" w:space="0" w:color="auto"/>
              <w:left w:val="nil"/>
              <w:bottom w:val="single" w:sz="4" w:space="0" w:color="auto"/>
              <w:right w:val="nil"/>
            </w:tcBorders>
          </w:tcPr>
          <w:p w14:paraId="00C3D998"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5.65733***</w:t>
            </w:r>
          </w:p>
          <w:p w14:paraId="747F4BA5" w14:textId="77777777" w:rsidR="008C08F2" w:rsidRPr="00F07504" w:rsidRDefault="008C08F2" w:rsidP="001C581D">
            <w:pPr>
              <w:spacing w:line="200" w:lineRule="exact"/>
              <w:jc w:val="center"/>
              <w:rPr>
                <w:rFonts w:ascii="Times New Roman" w:eastAsia="Times New Roman" w:hAnsi="Times New Roman" w:cs="Times New Roman"/>
                <w:sz w:val="20"/>
                <w:szCs w:val="20"/>
                <w:lang w:val="fr-FR" w:eastAsia="fr-FR"/>
              </w:rPr>
            </w:pPr>
            <w:r w:rsidRPr="00F07504">
              <w:rPr>
                <w:rFonts w:ascii="Times New Roman" w:eastAsia="Times New Roman" w:hAnsi="Times New Roman" w:cs="Times New Roman"/>
                <w:sz w:val="20"/>
                <w:szCs w:val="20"/>
                <w:lang w:val="fr-FR" w:eastAsia="fr-FR"/>
              </w:rPr>
              <w:t>(0.000)</w:t>
            </w:r>
          </w:p>
        </w:tc>
      </w:tr>
      <w:tr w:rsidR="008C08F2" w:rsidRPr="00F07504" w14:paraId="2510C829" w14:textId="77777777" w:rsidTr="001C581D">
        <w:trPr>
          <w:trHeight w:val="378"/>
        </w:trPr>
        <w:tc>
          <w:tcPr>
            <w:tcW w:w="3402" w:type="dxa"/>
            <w:tcBorders>
              <w:top w:val="single" w:sz="4" w:space="0" w:color="auto"/>
              <w:left w:val="nil"/>
              <w:bottom w:val="single" w:sz="4" w:space="0" w:color="auto"/>
              <w:right w:val="nil"/>
            </w:tcBorders>
          </w:tcPr>
          <w:p w14:paraId="78943F12" w14:textId="58F2864B" w:rsidR="008C08F2" w:rsidRPr="00F07504" w:rsidRDefault="008C08F2" w:rsidP="001C581D">
            <w:pPr>
              <w:rPr>
                <w:rFonts w:ascii="Times New Roman" w:eastAsia="Times New Roman" w:hAnsi="Times New Roman" w:cs="Times New Roman"/>
                <w:sz w:val="20"/>
                <w:szCs w:val="20"/>
                <w:lang w:eastAsia="fr-FR"/>
              </w:rPr>
            </w:pPr>
            <w:r w:rsidRPr="00F07504">
              <w:rPr>
                <w:rFonts w:ascii="Times New Roman" w:hAnsi="Times New Roman" w:cs="Times New Roman"/>
                <w:sz w:val="20"/>
                <w:szCs w:val="20"/>
                <w:lang w:val="en-CA"/>
              </w:rPr>
              <w:t xml:space="preserve">Panel </w:t>
            </w:r>
            <w:r w:rsidR="00AF26C6">
              <w:rPr>
                <w:rFonts w:ascii="Times New Roman" w:hAnsi="Times New Roman" w:cs="Times New Roman"/>
                <w:sz w:val="20"/>
                <w:szCs w:val="20"/>
                <w:lang w:val="en-CA"/>
              </w:rPr>
              <w:t>R</w:t>
            </w:r>
            <w:r w:rsidRPr="00F07504">
              <w:rPr>
                <w:rFonts w:ascii="Times New Roman" w:hAnsi="Times New Roman" w:cs="Times New Roman"/>
                <w:sz w:val="20"/>
                <w:szCs w:val="20"/>
                <w:lang w:val="en-CA"/>
              </w:rPr>
              <w:t>ho -statistic</w:t>
            </w:r>
          </w:p>
        </w:tc>
        <w:tc>
          <w:tcPr>
            <w:tcW w:w="1418" w:type="dxa"/>
            <w:tcBorders>
              <w:top w:val="single" w:sz="4" w:space="0" w:color="auto"/>
              <w:left w:val="nil"/>
              <w:bottom w:val="single" w:sz="4" w:space="0" w:color="auto"/>
              <w:right w:val="nil"/>
            </w:tcBorders>
          </w:tcPr>
          <w:p w14:paraId="6A449B35"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-6.38876***</w:t>
            </w:r>
          </w:p>
          <w:p w14:paraId="65034241"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hAnsi="Times New Roman" w:cs="Times New Roman"/>
                <w:sz w:val="20"/>
                <w:szCs w:val="20"/>
              </w:rPr>
              <w:t>(0.000)</w:t>
            </w:r>
          </w:p>
        </w:tc>
        <w:tc>
          <w:tcPr>
            <w:tcW w:w="1709" w:type="dxa"/>
            <w:gridSpan w:val="2"/>
            <w:tcBorders>
              <w:top w:val="single" w:sz="4" w:space="0" w:color="auto"/>
              <w:left w:val="nil"/>
              <w:bottom w:val="single" w:sz="4" w:space="0" w:color="auto"/>
              <w:right w:val="nil"/>
            </w:tcBorders>
          </w:tcPr>
          <w:p w14:paraId="49119712"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-9.44711***</w:t>
            </w:r>
          </w:p>
          <w:p w14:paraId="42DD771D" w14:textId="77777777" w:rsidR="008C08F2" w:rsidRPr="00F07504" w:rsidRDefault="008C08F2" w:rsidP="001C581D">
            <w:pPr>
              <w:spacing w:line="200" w:lineRule="exact"/>
              <w:rPr>
                <w:rFonts w:ascii="Times New Roman" w:hAnsi="Times New Roman" w:cs="Times New Roman"/>
                <w:sz w:val="20"/>
                <w:szCs w:val="20"/>
              </w:rPr>
            </w:pPr>
            <w:r w:rsidRPr="00F07504">
              <w:rPr>
                <w:rFonts w:ascii="Times New Roman" w:eastAsia="Times New Roman" w:hAnsi="Times New Roman" w:cs="Times New Roman"/>
                <w:sz w:val="20"/>
                <w:szCs w:val="20"/>
                <w:lang w:val="fr-FR" w:eastAsia="fr-FR"/>
              </w:rPr>
              <w:t xml:space="preserve">            (0.000)</w:t>
            </w:r>
          </w:p>
        </w:tc>
        <w:tc>
          <w:tcPr>
            <w:tcW w:w="1413" w:type="dxa"/>
            <w:tcBorders>
              <w:top w:val="single" w:sz="4" w:space="0" w:color="auto"/>
              <w:left w:val="nil"/>
              <w:bottom w:val="single" w:sz="4" w:space="0" w:color="auto"/>
              <w:right w:val="nil"/>
            </w:tcBorders>
          </w:tcPr>
          <w:p w14:paraId="452F6AC0"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-19.2256***</w:t>
            </w:r>
          </w:p>
          <w:p w14:paraId="471F3213" w14:textId="77777777" w:rsidR="008C08F2" w:rsidRPr="00F07504" w:rsidRDefault="008C08F2" w:rsidP="001C581D">
            <w:pPr>
              <w:spacing w:line="200" w:lineRule="exact"/>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 xml:space="preserve">      (0.000)</w:t>
            </w:r>
          </w:p>
        </w:tc>
        <w:tc>
          <w:tcPr>
            <w:tcW w:w="1418" w:type="dxa"/>
            <w:tcBorders>
              <w:top w:val="single" w:sz="4" w:space="0" w:color="auto"/>
              <w:left w:val="nil"/>
              <w:bottom w:val="single" w:sz="4" w:space="0" w:color="auto"/>
              <w:right w:val="nil"/>
            </w:tcBorders>
          </w:tcPr>
          <w:p w14:paraId="12D0D314"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eastAsia="fr-FR"/>
              </w:rPr>
              <w:t>-26.4778***</w:t>
            </w:r>
          </w:p>
          <w:p w14:paraId="703E6760" w14:textId="77777777" w:rsidR="008C08F2" w:rsidRPr="00F07504" w:rsidRDefault="008C08F2" w:rsidP="001C581D">
            <w:pPr>
              <w:spacing w:line="200" w:lineRule="exact"/>
              <w:jc w:val="center"/>
              <w:rPr>
                <w:rFonts w:ascii="Times New Roman" w:eastAsia="Times New Roman" w:hAnsi="Times New Roman" w:cs="Times New Roman"/>
                <w:sz w:val="20"/>
                <w:szCs w:val="20"/>
                <w:lang w:eastAsia="fr-FR"/>
              </w:rPr>
            </w:pPr>
            <w:r w:rsidRPr="00F07504">
              <w:rPr>
                <w:rFonts w:ascii="Times New Roman" w:eastAsia="Times New Roman" w:hAnsi="Times New Roman" w:cs="Times New Roman"/>
                <w:sz w:val="20"/>
                <w:szCs w:val="20"/>
                <w:lang w:val="fr-FR" w:eastAsia="fr-FR"/>
              </w:rPr>
              <w:t>(0.000)</w:t>
            </w:r>
          </w:p>
        </w:tc>
      </w:tr>
      <w:tr w:rsidR="008C08F2" w:rsidRPr="00F07504" w14:paraId="56A7589E" w14:textId="77777777" w:rsidTr="001C581D">
        <w:trPr>
          <w:trHeight w:val="568"/>
        </w:trPr>
        <w:tc>
          <w:tcPr>
            <w:tcW w:w="3402" w:type="dxa"/>
            <w:tcBorders>
              <w:top w:val="single" w:sz="4" w:space="0" w:color="auto"/>
              <w:left w:val="nil"/>
              <w:bottom w:val="single" w:sz="4" w:space="0" w:color="auto"/>
              <w:right w:val="nil"/>
            </w:tcBorders>
          </w:tcPr>
          <w:p w14:paraId="0FDB9128" w14:textId="77777777" w:rsidR="008C08F2" w:rsidRPr="00F07504" w:rsidRDefault="008C08F2" w:rsidP="001C581D">
            <w:pPr>
              <w:rPr>
                <w:rFonts w:ascii="Times New Roman" w:eastAsia="Times New Roman" w:hAnsi="Times New Roman" w:cs="Times New Roman"/>
                <w:sz w:val="20"/>
                <w:szCs w:val="20"/>
                <w:lang w:eastAsia="fr-FR"/>
              </w:rPr>
            </w:pPr>
            <w:r w:rsidRPr="00F07504">
              <w:rPr>
                <w:rFonts w:ascii="Times New Roman" w:hAnsi="Times New Roman" w:cs="Times New Roman"/>
                <w:sz w:val="20"/>
                <w:szCs w:val="20"/>
              </w:rPr>
              <w:t>Panel PP-statistic</w:t>
            </w:r>
          </w:p>
        </w:tc>
        <w:tc>
          <w:tcPr>
            <w:tcW w:w="1418" w:type="dxa"/>
            <w:tcBorders>
              <w:top w:val="single" w:sz="4" w:space="0" w:color="auto"/>
              <w:left w:val="nil"/>
              <w:bottom w:val="single" w:sz="4" w:space="0" w:color="auto"/>
              <w:right w:val="nil"/>
            </w:tcBorders>
          </w:tcPr>
          <w:p w14:paraId="755C7136"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-17.3447***</w:t>
            </w:r>
          </w:p>
          <w:p w14:paraId="767021F8" w14:textId="77777777" w:rsidR="008C08F2" w:rsidRPr="00F07504" w:rsidRDefault="008C08F2" w:rsidP="001C581D">
            <w:pPr>
              <w:spacing w:line="200" w:lineRule="exact"/>
              <w:jc w:val="center"/>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(0.000)</w:t>
            </w:r>
          </w:p>
        </w:tc>
        <w:tc>
          <w:tcPr>
            <w:tcW w:w="1709" w:type="dxa"/>
            <w:gridSpan w:val="2"/>
            <w:tcBorders>
              <w:top w:val="single" w:sz="4" w:space="0" w:color="auto"/>
              <w:left w:val="nil"/>
              <w:bottom w:val="single" w:sz="4" w:space="0" w:color="auto"/>
              <w:right w:val="nil"/>
            </w:tcBorders>
          </w:tcPr>
          <w:p w14:paraId="46D422F3"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-19.0878***</w:t>
            </w:r>
          </w:p>
          <w:p w14:paraId="534DA7DB" w14:textId="77777777" w:rsidR="008C08F2" w:rsidRPr="00F07504" w:rsidRDefault="008C08F2" w:rsidP="001C581D">
            <w:pPr>
              <w:spacing w:line="200" w:lineRule="exact"/>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 xml:space="preserve">            (0.000)</w:t>
            </w:r>
          </w:p>
        </w:tc>
        <w:tc>
          <w:tcPr>
            <w:tcW w:w="1413" w:type="dxa"/>
            <w:tcBorders>
              <w:top w:val="single" w:sz="4" w:space="0" w:color="auto"/>
              <w:left w:val="nil"/>
              <w:bottom w:val="single" w:sz="4" w:space="0" w:color="auto"/>
              <w:right w:val="nil"/>
            </w:tcBorders>
          </w:tcPr>
          <w:p w14:paraId="652D65C2"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eastAsia="Times New Roman" w:hAnsi="Times New Roman" w:cs="Times New Roman"/>
                <w:sz w:val="18"/>
                <w:szCs w:val="18"/>
                <w:lang w:val="fr-FR" w:eastAsia="fr-FR"/>
              </w:rPr>
              <w:t xml:space="preserve">  -26.3952</w:t>
            </w:r>
            <w:r w:rsidRPr="00F07504">
              <w:rPr>
                <w:rFonts w:ascii="Times New Roman" w:hAnsi="Times New Roman" w:cs="Times New Roman"/>
                <w:sz w:val="20"/>
                <w:szCs w:val="20"/>
              </w:rPr>
              <w:t>***</w:t>
            </w:r>
          </w:p>
          <w:p w14:paraId="19A59E38" w14:textId="77777777" w:rsidR="008C08F2" w:rsidRPr="00F07504" w:rsidRDefault="008C08F2" w:rsidP="001C581D">
            <w:pPr>
              <w:spacing w:line="200" w:lineRule="exact"/>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 xml:space="preserve">      (0.000)</w:t>
            </w:r>
            <w:r w:rsidRPr="00F07504">
              <w:rPr>
                <w:rFonts w:ascii="Times New Roman" w:eastAsia="Times New Roman" w:hAnsi="Times New Roman" w:cs="Times New Roman"/>
                <w:sz w:val="18"/>
                <w:szCs w:val="18"/>
                <w:lang w:val="fr-FR" w:eastAsia="fr-FR"/>
              </w:rPr>
              <w:t xml:space="preserve">                     </w:t>
            </w:r>
          </w:p>
        </w:tc>
        <w:tc>
          <w:tcPr>
            <w:tcW w:w="1418" w:type="dxa"/>
            <w:tcBorders>
              <w:top w:val="single" w:sz="4" w:space="0" w:color="auto"/>
              <w:left w:val="nil"/>
              <w:bottom w:val="single" w:sz="4" w:space="0" w:color="auto"/>
              <w:right w:val="nil"/>
            </w:tcBorders>
          </w:tcPr>
          <w:p w14:paraId="01B37C8D"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-35.6521***</w:t>
            </w:r>
          </w:p>
          <w:p w14:paraId="5DBDD528" w14:textId="77777777" w:rsidR="008C08F2" w:rsidRPr="00F07504" w:rsidRDefault="008C08F2" w:rsidP="001C581D">
            <w:pPr>
              <w:spacing w:line="200" w:lineRule="exact"/>
              <w:jc w:val="center"/>
              <w:rPr>
                <w:rFonts w:ascii="Times New Roman" w:eastAsia="Times New Roman" w:hAnsi="Times New Roman" w:cs="Times New Roman"/>
                <w:sz w:val="18"/>
                <w:szCs w:val="18"/>
                <w:lang w:eastAsia="fr-FR"/>
              </w:rPr>
            </w:pPr>
            <w:r w:rsidRPr="00F07504">
              <w:rPr>
                <w:rFonts w:ascii="Times New Roman" w:hAnsi="Times New Roman" w:cs="Times New Roman"/>
                <w:sz w:val="20"/>
                <w:szCs w:val="20"/>
              </w:rPr>
              <w:t>(0.000)</w:t>
            </w:r>
          </w:p>
        </w:tc>
      </w:tr>
      <w:tr w:rsidR="008C08F2" w:rsidRPr="00F07504" w14:paraId="4260DE50" w14:textId="77777777" w:rsidTr="001C581D">
        <w:trPr>
          <w:trHeight w:val="568"/>
        </w:trPr>
        <w:tc>
          <w:tcPr>
            <w:tcW w:w="3402" w:type="dxa"/>
            <w:tcBorders>
              <w:top w:val="single" w:sz="4" w:space="0" w:color="auto"/>
              <w:left w:val="nil"/>
              <w:bottom w:val="single" w:sz="4" w:space="0" w:color="auto"/>
              <w:right w:val="nil"/>
            </w:tcBorders>
          </w:tcPr>
          <w:p w14:paraId="6CFF8441" w14:textId="77777777" w:rsidR="008C08F2" w:rsidRPr="00F07504" w:rsidRDefault="008C08F2" w:rsidP="001C581D">
            <w:pPr>
              <w:rPr>
                <w:rFonts w:ascii="Times New Roman" w:hAnsi="Times New Roman" w:cs="Times New Roman"/>
                <w:b/>
                <w:sz w:val="20"/>
                <w:szCs w:val="20"/>
                <w:lang w:val="en-CA"/>
              </w:rPr>
            </w:pPr>
            <w:r w:rsidRPr="00F07504">
              <w:rPr>
                <w:rFonts w:ascii="Times New Roman" w:hAnsi="Times New Roman" w:cs="Times New Roman"/>
                <w:b/>
                <w:sz w:val="20"/>
                <w:szCs w:val="20"/>
                <w:lang w:val="en-CA"/>
              </w:rPr>
              <w:t xml:space="preserve"> </w:t>
            </w:r>
            <w:r w:rsidRPr="00F07504">
              <w:rPr>
                <w:rFonts w:ascii="Times New Roman" w:hAnsi="Times New Roman" w:cs="Times New Roman"/>
                <w:sz w:val="20"/>
                <w:szCs w:val="20"/>
              </w:rPr>
              <w:t>Panel ADF-statistic</w:t>
            </w:r>
          </w:p>
        </w:tc>
        <w:tc>
          <w:tcPr>
            <w:tcW w:w="1418" w:type="dxa"/>
            <w:tcBorders>
              <w:top w:val="single" w:sz="4" w:space="0" w:color="auto"/>
              <w:left w:val="nil"/>
              <w:bottom w:val="single" w:sz="4" w:space="0" w:color="auto"/>
              <w:right w:val="nil"/>
            </w:tcBorders>
          </w:tcPr>
          <w:p w14:paraId="2181B02B"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-23.3889***</w:t>
            </w:r>
          </w:p>
          <w:p w14:paraId="07503386"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(0.000)</w:t>
            </w:r>
          </w:p>
        </w:tc>
        <w:tc>
          <w:tcPr>
            <w:tcW w:w="1709" w:type="dxa"/>
            <w:gridSpan w:val="2"/>
            <w:tcBorders>
              <w:top w:val="single" w:sz="4" w:space="0" w:color="auto"/>
              <w:left w:val="nil"/>
              <w:bottom w:val="single" w:sz="4" w:space="0" w:color="auto"/>
              <w:right w:val="nil"/>
            </w:tcBorders>
          </w:tcPr>
          <w:p w14:paraId="2AD53D40"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-15.7621***</w:t>
            </w:r>
          </w:p>
          <w:p w14:paraId="519B821C"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(0.000)</w:t>
            </w:r>
          </w:p>
        </w:tc>
        <w:tc>
          <w:tcPr>
            <w:tcW w:w="1413" w:type="dxa"/>
            <w:tcBorders>
              <w:top w:val="single" w:sz="4" w:space="0" w:color="auto"/>
              <w:left w:val="nil"/>
              <w:bottom w:val="single" w:sz="4" w:space="0" w:color="auto"/>
              <w:right w:val="nil"/>
            </w:tcBorders>
          </w:tcPr>
          <w:p w14:paraId="55DB5F69" w14:textId="77777777" w:rsidR="008C08F2" w:rsidRPr="00F07504" w:rsidRDefault="008C08F2" w:rsidP="001C581D">
            <w:pPr>
              <w:spacing w:line="200" w:lineRule="exact"/>
              <w:jc w:val="center"/>
              <w:rPr>
                <w:rFonts w:ascii="Times New Roman" w:eastAsia="Times New Roman" w:hAnsi="Times New Roman" w:cs="Times New Roman"/>
                <w:sz w:val="18"/>
                <w:szCs w:val="18"/>
                <w:lang w:val="fr-FR" w:eastAsia="fr-FR"/>
              </w:rPr>
            </w:pPr>
            <w:r w:rsidRPr="00F07504">
              <w:rPr>
                <w:rFonts w:ascii="Times New Roman" w:eastAsia="Times New Roman" w:hAnsi="Times New Roman" w:cs="Times New Roman"/>
                <w:sz w:val="18"/>
                <w:szCs w:val="18"/>
                <w:lang w:val="fr-FR" w:eastAsia="fr-FR"/>
              </w:rPr>
              <w:t>-26.9343***</w:t>
            </w:r>
          </w:p>
          <w:p w14:paraId="5BE826EB" w14:textId="77777777" w:rsidR="008C08F2" w:rsidRPr="00F07504" w:rsidRDefault="008C08F2" w:rsidP="001C581D">
            <w:pPr>
              <w:spacing w:line="200" w:lineRule="exact"/>
              <w:jc w:val="center"/>
              <w:rPr>
                <w:rFonts w:ascii="Times New Roman" w:eastAsia="Times New Roman" w:hAnsi="Times New Roman" w:cs="Times New Roman"/>
                <w:sz w:val="18"/>
                <w:szCs w:val="18"/>
                <w:lang w:val="fr-FR" w:eastAsia="fr-FR"/>
              </w:rPr>
            </w:pPr>
            <w:r w:rsidRPr="00F07504">
              <w:rPr>
                <w:rFonts w:ascii="Times New Roman" w:eastAsia="Times New Roman" w:hAnsi="Times New Roman" w:cs="Times New Roman"/>
                <w:sz w:val="18"/>
                <w:szCs w:val="18"/>
                <w:lang w:val="fr-FR" w:eastAsia="fr-FR"/>
              </w:rPr>
              <w:t>(0.000)</w:t>
            </w:r>
          </w:p>
        </w:tc>
        <w:tc>
          <w:tcPr>
            <w:tcW w:w="1418" w:type="dxa"/>
            <w:tcBorders>
              <w:top w:val="single" w:sz="4" w:space="0" w:color="auto"/>
              <w:left w:val="nil"/>
              <w:bottom w:val="single" w:sz="4" w:space="0" w:color="auto"/>
              <w:right w:val="nil"/>
            </w:tcBorders>
          </w:tcPr>
          <w:p w14:paraId="7429F529"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-30.4467***</w:t>
            </w:r>
          </w:p>
          <w:p w14:paraId="08AF2666" w14:textId="77777777" w:rsidR="008C08F2" w:rsidRPr="00F07504" w:rsidRDefault="008C08F2" w:rsidP="001C581D">
            <w:pPr>
              <w:spacing w:line="200" w:lineRule="exact"/>
              <w:jc w:val="center"/>
              <w:rPr>
                <w:rFonts w:ascii="Times New Roman" w:hAnsi="Times New Roman" w:cs="Times New Roman"/>
                <w:sz w:val="20"/>
                <w:szCs w:val="20"/>
              </w:rPr>
            </w:pPr>
            <w:r w:rsidRPr="00F07504">
              <w:rPr>
                <w:rFonts w:ascii="Times New Roman" w:hAnsi="Times New Roman" w:cs="Times New Roman"/>
                <w:sz w:val="20"/>
                <w:szCs w:val="20"/>
              </w:rPr>
              <w:t>(0.000)</w:t>
            </w:r>
          </w:p>
        </w:tc>
      </w:tr>
    </w:tbl>
    <w:p w14:paraId="193D72F0" w14:textId="7B53D05F" w:rsidR="008C08F2" w:rsidRPr="00F07504" w:rsidRDefault="008C08F2" w:rsidP="008C08F2">
      <w:pPr>
        <w:tabs>
          <w:tab w:val="left" w:pos="360"/>
        </w:tabs>
        <w:spacing w:line="240" w:lineRule="auto"/>
        <w:jc w:val="both"/>
        <w:rPr>
          <w:b/>
          <w:sz w:val="18"/>
          <w:szCs w:val="18"/>
        </w:rPr>
      </w:pPr>
      <w:r w:rsidRPr="00F07504">
        <w:rPr>
          <w:rFonts w:ascii="Times New Roman" w:hAnsi="Times New Roman" w:cs="Times New Roman"/>
          <w:sz w:val="18"/>
          <w:szCs w:val="18"/>
        </w:rPr>
        <w:t xml:space="preserve">CFR: operating cash flows to total assets ratio, LIQR: working capital to total assets ratio, EFFR: sales to total assets ratio, PROR: net income to total assets </w:t>
      </w:r>
      <w:r w:rsidRPr="00F07504">
        <w:rPr>
          <w:rFonts w:ascii="Times New Roman" w:eastAsiaTheme="minorEastAsia" w:hAnsi="Times New Roman" w:cs="Times New Roman"/>
          <w:sz w:val="18"/>
          <w:szCs w:val="18"/>
        </w:rPr>
        <w:t xml:space="preserve">ratio, and </w:t>
      </w:r>
      <w:r w:rsidR="004D0247">
        <w:rPr>
          <w:rFonts w:ascii="Times New Roman" w:eastAsiaTheme="minorEastAsia" w:hAnsi="Times New Roman" w:cs="Times New Roman"/>
          <w:sz w:val="18"/>
          <w:szCs w:val="18"/>
        </w:rPr>
        <w:t>SOL</w:t>
      </w:r>
      <w:r w:rsidRPr="00F07504">
        <w:rPr>
          <w:rFonts w:ascii="Times New Roman" w:eastAsiaTheme="minorEastAsia" w:hAnsi="Times New Roman" w:cs="Times New Roman"/>
          <w:sz w:val="18"/>
          <w:szCs w:val="18"/>
        </w:rPr>
        <w:t xml:space="preserve">R: </w:t>
      </w:r>
      <w:r w:rsidRPr="00F07504">
        <w:rPr>
          <w:rFonts w:ascii="Times New Roman" w:hAnsi="Times New Roman" w:cs="Times New Roman"/>
          <w:sz w:val="18"/>
          <w:szCs w:val="18"/>
        </w:rPr>
        <w:t>total debts to total assets ratio.</w:t>
      </w:r>
      <w:r w:rsidRPr="00F07504">
        <w:rPr>
          <w:rFonts w:ascii="Times New Roman" w:hAnsi="Times New Roman" w:cs="Times New Roman"/>
          <w:bCs/>
          <w:sz w:val="18"/>
          <w:szCs w:val="18"/>
          <w:lang w:val="en-CA"/>
        </w:rPr>
        <w:t xml:space="preserve"> </w:t>
      </w:r>
      <w:r w:rsidRPr="00F07504">
        <w:rPr>
          <w:rFonts w:ascii="Times New Roman" w:eastAsia="Times New Roman" w:hAnsi="Times New Roman" w:cs="Times New Roman"/>
          <w:bCs/>
          <w:sz w:val="18"/>
          <w:szCs w:val="18"/>
          <w:lang w:val="en-GB" w:eastAsia="fr-FR"/>
        </w:rPr>
        <w:t>The null hypothesis is no cointegration. The alternative hypothesis is that the two variables are cointegrated</w:t>
      </w:r>
      <w:r w:rsidR="00E81C86" w:rsidRPr="00F07504">
        <w:rPr>
          <w:rFonts w:ascii="Times New Roman" w:eastAsia="Times New Roman" w:hAnsi="Times New Roman" w:cs="Times New Roman"/>
          <w:bCs/>
          <w:sz w:val="18"/>
          <w:szCs w:val="18"/>
          <w:lang w:val="en-GB" w:eastAsia="fr-FR"/>
        </w:rPr>
        <w:t>.</w:t>
      </w:r>
      <w:r w:rsidRPr="00F07504">
        <w:rPr>
          <w:rFonts w:ascii="Times New Roman" w:hAnsi="Times New Roman" w:cs="Times New Roman"/>
          <w:bCs/>
          <w:sz w:val="18"/>
          <w:szCs w:val="18"/>
          <w:lang w:val="en-CA"/>
        </w:rPr>
        <w:t xml:space="preserve"> (***), (**), (*) statistically significant at 1%, 5%, and 10%, respectively. Numbers in parentheses represent p-value. N = 150 and T = 8.</w:t>
      </w:r>
    </w:p>
    <w:p w14:paraId="59BF5BE4" w14:textId="69BB4643" w:rsidR="00A17A59" w:rsidRDefault="00A17A59" w:rsidP="00F07504">
      <w:pPr>
        <w:spacing w:line="240" w:lineRule="auto"/>
        <w:jc w:val="both"/>
        <w:rPr>
          <w:rFonts w:ascii="Times New Roman" w:hAnsi="Times New Roman" w:cs="Times New Roman"/>
          <w:sz w:val="24"/>
          <w:szCs w:val="24"/>
        </w:rPr>
      </w:pPr>
      <w:r w:rsidRPr="00A17A59">
        <w:rPr>
          <w:rFonts w:ascii="Times New Roman" w:hAnsi="Times New Roman" w:cs="Times New Roman"/>
          <w:sz w:val="24"/>
          <w:szCs w:val="24"/>
        </w:rPr>
        <w:t>First, we note that for model</w:t>
      </w:r>
      <w:r w:rsidR="004D0247">
        <w:rPr>
          <w:rFonts w:ascii="Times New Roman" w:hAnsi="Times New Roman" w:cs="Times New Roman"/>
          <w:sz w:val="24"/>
          <w:szCs w:val="24"/>
        </w:rPr>
        <w:t xml:space="preserve"> </w:t>
      </w:r>
      <w:r w:rsidRPr="00A17A59">
        <w:rPr>
          <w:rFonts w:ascii="Times New Roman" w:hAnsi="Times New Roman" w:cs="Times New Roman"/>
          <w:sz w:val="24"/>
          <w:szCs w:val="24"/>
        </w:rPr>
        <w:t>1 (CF</w:t>
      </w:r>
      <w:r>
        <w:rPr>
          <w:rFonts w:ascii="Times New Roman" w:hAnsi="Times New Roman" w:cs="Times New Roman"/>
          <w:sz w:val="24"/>
          <w:szCs w:val="24"/>
        </w:rPr>
        <w:t>R</w:t>
      </w:r>
      <w:r w:rsidRPr="00A17A59">
        <w:rPr>
          <w:rFonts w:ascii="Times New Roman" w:hAnsi="Times New Roman" w:cs="Times New Roman"/>
          <w:sz w:val="24"/>
          <w:szCs w:val="24"/>
        </w:rPr>
        <w:t>-LIQ</w:t>
      </w:r>
      <w:r>
        <w:rPr>
          <w:rFonts w:ascii="Times New Roman" w:hAnsi="Times New Roman" w:cs="Times New Roman"/>
          <w:sz w:val="24"/>
          <w:szCs w:val="24"/>
        </w:rPr>
        <w:t>R</w:t>
      </w:r>
      <w:r w:rsidRPr="00A17A59">
        <w:rPr>
          <w:rFonts w:ascii="Times New Roman" w:hAnsi="Times New Roman" w:cs="Times New Roman"/>
          <w:sz w:val="24"/>
          <w:szCs w:val="24"/>
        </w:rPr>
        <w:t xml:space="preserve">), there are five statistics which reject the null hypothesis of no cointegration at the 1% significance level, namely two statistics of the between-dimension category (i.e., group PP-statistic and group ADF-statistic) and three statistics of the within-dimension category (i.e., panel </w:t>
      </w:r>
      <w:r w:rsidR="004D0247">
        <w:rPr>
          <w:rFonts w:ascii="Times New Roman" w:hAnsi="Times New Roman" w:cs="Times New Roman"/>
          <w:sz w:val="24"/>
          <w:szCs w:val="24"/>
        </w:rPr>
        <w:t>R</w:t>
      </w:r>
      <w:r w:rsidRPr="00A17A59">
        <w:rPr>
          <w:rFonts w:ascii="Times New Roman" w:hAnsi="Times New Roman" w:cs="Times New Roman"/>
          <w:sz w:val="24"/>
          <w:szCs w:val="24"/>
        </w:rPr>
        <w:t xml:space="preserve">ho-statistic, panel PP-statistic, and panel ADF- statistic). However, the group </w:t>
      </w:r>
      <w:r w:rsidR="00A00209">
        <w:rPr>
          <w:rFonts w:ascii="Times New Roman" w:hAnsi="Times New Roman" w:cs="Times New Roman"/>
          <w:sz w:val="24"/>
          <w:szCs w:val="24"/>
        </w:rPr>
        <w:t>R</w:t>
      </w:r>
      <w:r w:rsidRPr="00A17A59">
        <w:rPr>
          <w:rFonts w:ascii="Times New Roman" w:hAnsi="Times New Roman" w:cs="Times New Roman"/>
          <w:sz w:val="24"/>
          <w:szCs w:val="24"/>
        </w:rPr>
        <w:t>ho-statistic of the between-dimension category and the panel v-statistic of the within-dimension category do not reject the null hypothesis of no cointegration. Overall, these results allow us to conclude th</w:t>
      </w:r>
      <w:r w:rsidR="00A00209">
        <w:rPr>
          <w:rFonts w:ascii="Times New Roman" w:hAnsi="Times New Roman" w:cs="Times New Roman"/>
          <w:sz w:val="24"/>
          <w:szCs w:val="24"/>
        </w:rPr>
        <w:t>e existence of</w:t>
      </w:r>
      <w:r w:rsidRPr="00A17A59">
        <w:rPr>
          <w:rFonts w:ascii="Times New Roman" w:hAnsi="Times New Roman" w:cs="Times New Roman"/>
          <w:sz w:val="24"/>
          <w:szCs w:val="24"/>
        </w:rPr>
        <w:t xml:space="preserve"> a cointegration relationship between CFR and LIQR, and so the hypothesis 1 is accepted.</w:t>
      </w:r>
    </w:p>
    <w:p w14:paraId="56BDC041" w14:textId="0BC621EA" w:rsidR="00F07504" w:rsidRDefault="00F44340" w:rsidP="00F07504">
      <w:pPr>
        <w:spacing w:line="240" w:lineRule="auto"/>
        <w:jc w:val="both"/>
        <w:rPr>
          <w:rFonts w:ascii="Times New Roman" w:hAnsi="Times New Roman" w:cs="Times New Roman"/>
          <w:sz w:val="24"/>
          <w:szCs w:val="24"/>
        </w:rPr>
      </w:pPr>
      <w:r w:rsidRPr="00F44340">
        <w:rPr>
          <w:rFonts w:ascii="Times New Roman" w:hAnsi="Times New Roman" w:cs="Times New Roman"/>
          <w:sz w:val="24"/>
          <w:szCs w:val="24"/>
        </w:rPr>
        <w:t xml:space="preserve">Subsequently, for model 2 (CFR -EFFR), the results show that all the </w:t>
      </w:r>
      <w:r w:rsidR="00A00209">
        <w:rPr>
          <w:rFonts w:ascii="Times New Roman" w:hAnsi="Times New Roman" w:cs="Times New Roman"/>
          <w:sz w:val="24"/>
          <w:szCs w:val="24"/>
        </w:rPr>
        <w:t>statistics</w:t>
      </w:r>
      <w:r w:rsidRPr="00F44340">
        <w:rPr>
          <w:rFonts w:ascii="Times New Roman" w:hAnsi="Times New Roman" w:cs="Times New Roman"/>
          <w:sz w:val="24"/>
          <w:szCs w:val="24"/>
        </w:rPr>
        <w:t xml:space="preserve"> except the group </w:t>
      </w:r>
      <w:r w:rsidR="00A00209">
        <w:rPr>
          <w:rFonts w:ascii="Times New Roman" w:hAnsi="Times New Roman" w:cs="Times New Roman"/>
          <w:sz w:val="24"/>
          <w:szCs w:val="24"/>
        </w:rPr>
        <w:t>R</w:t>
      </w:r>
      <w:r w:rsidRPr="00F44340">
        <w:rPr>
          <w:rFonts w:ascii="Times New Roman" w:hAnsi="Times New Roman" w:cs="Times New Roman"/>
          <w:sz w:val="24"/>
          <w:szCs w:val="24"/>
        </w:rPr>
        <w:t>ho-statistic</w:t>
      </w:r>
      <w:r w:rsidR="00A00209">
        <w:rPr>
          <w:rFonts w:ascii="Times New Roman" w:hAnsi="Times New Roman" w:cs="Times New Roman"/>
          <w:sz w:val="24"/>
          <w:szCs w:val="24"/>
        </w:rPr>
        <w:t xml:space="preserve"> </w:t>
      </w:r>
      <w:r w:rsidRPr="00F44340">
        <w:rPr>
          <w:rFonts w:ascii="Times New Roman" w:hAnsi="Times New Roman" w:cs="Times New Roman"/>
          <w:sz w:val="24"/>
          <w:szCs w:val="24"/>
        </w:rPr>
        <w:t xml:space="preserve">of the between-dimension category reject the null hypothesis of no cointegration at a significance level of 1% and 5 %. Thus, we can conclude that CRF and EFFR are cointegrated. In other words, these results support the validation of Hypothesis 2. </w:t>
      </w:r>
    </w:p>
    <w:p w14:paraId="19FDE4C0" w14:textId="2F8207F7" w:rsidR="00A17A59" w:rsidRDefault="00F44340" w:rsidP="00F07504">
      <w:pPr>
        <w:spacing w:line="240" w:lineRule="auto"/>
        <w:jc w:val="both"/>
        <w:rPr>
          <w:rFonts w:ascii="Times New Roman" w:hAnsi="Times New Roman" w:cs="Times New Roman"/>
          <w:sz w:val="24"/>
          <w:szCs w:val="24"/>
        </w:rPr>
      </w:pPr>
      <w:r w:rsidRPr="00F44340">
        <w:rPr>
          <w:rFonts w:ascii="Times New Roman" w:hAnsi="Times New Roman" w:cs="Times New Roman"/>
          <w:sz w:val="24"/>
          <w:szCs w:val="24"/>
        </w:rPr>
        <w:lastRenderedPageBreak/>
        <w:t xml:space="preserve">Then, for model 3 (CFR-PROR), we notice that the three </w:t>
      </w:r>
      <w:r w:rsidR="00A00209">
        <w:rPr>
          <w:rFonts w:ascii="Times New Roman" w:hAnsi="Times New Roman" w:cs="Times New Roman"/>
          <w:sz w:val="24"/>
          <w:szCs w:val="24"/>
        </w:rPr>
        <w:t>statistics</w:t>
      </w:r>
      <w:r w:rsidRPr="00F44340">
        <w:rPr>
          <w:rFonts w:ascii="Times New Roman" w:hAnsi="Times New Roman" w:cs="Times New Roman"/>
          <w:sz w:val="24"/>
          <w:szCs w:val="24"/>
        </w:rPr>
        <w:t xml:space="preserve"> of the between-dimension category reject the null hypothesis of no cointegration at a significance level of 1 %. For the within-dimension category, the panel v-statistic test rejects the null hypothesis at a significance level of</w:t>
      </w:r>
      <w:r w:rsidR="008120EB">
        <w:rPr>
          <w:rFonts w:ascii="Times New Roman" w:hAnsi="Times New Roman" w:cs="Times New Roman"/>
          <w:sz w:val="24"/>
          <w:szCs w:val="24"/>
        </w:rPr>
        <w:t xml:space="preserve"> </w:t>
      </w:r>
      <w:r w:rsidRPr="00F44340">
        <w:rPr>
          <w:rFonts w:ascii="Times New Roman" w:hAnsi="Times New Roman" w:cs="Times New Roman"/>
          <w:sz w:val="24"/>
          <w:szCs w:val="24"/>
        </w:rPr>
        <w:t xml:space="preserve">10%, and the other three </w:t>
      </w:r>
      <w:r w:rsidR="00A00209">
        <w:rPr>
          <w:rFonts w:ascii="Times New Roman" w:hAnsi="Times New Roman" w:cs="Times New Roman"/>
          <w:sz w:val="24"/>
          <w:szCs w:val="24"/>
        </w:rPr>
        <w:t>statistics</w:t>
      </w:r>
      <w:r w:rsidRPr="00F44340">
        <w:rPr>
          <w:rFonts w:ascii="Times New Roman" w:hAnsi="Times New Roman" w:cs="Times New Roman"/>
          <w:sz w:val="24"/>
          <w:szCs w:val="24"/>
        </w:rPr>
        <w:t xml:space="preserve"> (i.e., panel </w:t>
      </w:r>
      <w:r w:rsidR="00A00209">
        <w:rPr>
          <w:rFonts w:ascii="Times New Roman" w:hAnsi="Times New Roman" w:cs="Times New Roman"/>
          <w:sz w:val="24"/>
          <w:szCs w:val="24"/>
        </w:rPr>
        <w:t>R</w:t>
      </w:r>
      <w:r w:rsidRPr="00F44340">
        <w:rPr>
          <w:rFonts w:ascii="Times New Roman" w:hAnsi="Times New Roman" w:cs="Times New Roman"/>
          <w:sz w:val="24"/>
          <w:szCs w:val="24"/>
        </w:rPr>
        <w:t xml:space="preserve">ho-statistic, panel PP-statistic, and panel ADF-statistic) reject it at a significance level of 1%. These results </w:t>
      </w:r>
      <w:r w:rsidR="00A00209" w:rsidRPr="00F44340">
        <w:rPr>
          <w:rFonts w:ascii="Times New Roman" w:hAnsi="Times New Roman" w:cs="Times New Roman"/>
          <w:sz w:val="24"/>
          <w:szCs w:val="24"/>
        </w:rPr>
        <w:t>indicate</w:t>
      </w:r>
      <w:r w:rsidRPr="00F44340">
        <w:rPr>
          <w:rFonts w:ascii="Times New Roman" w:hAnsi="Times New Roman" w:cs="Times New Roman"/>
          <w:sz w:val="24"/>
          <w:szCs w:val="24"/>
        </w:rPr>
        <w:t xml:space="preserve"> the existence of a cointegration relationship between CFR and PROR. Thus, we conclude that hypothesis 3 is also accepted.</w:t>
      </w:r>
    </w:p>
    <w:p w14:paraId="3C904CFB" w14:textId="3F06FCF7" w:rsidR="007156D9" w:rsidRDefault="00077D51" w:rsidP="00F07504">
      <w:pPr>
        <w:spacing w:after="160" w:line="240" w:lineRule="auto"/>
        <w:jc w:val="both"/>
        <w:rPr>
          <w:rFonts w:ascii="Times New Roman" w:hAnsi="Times New Roman" w:cs="Times New Roman"/>
          <w:sz w:val="24"/>
          <w:szCs w:val="24"/>
        </w:rPr>
      </w:pPr>
      <w:r w:rsidRPr="00077D51">
        <w:rPr>
          <w:rFonts w:ascii="Times New Roman" w:hAnsi="Times New Roman" w:cs="Times New Roman"/>
          <w:sz w:val="24"/>
          <w:szCs w:val="24"/>
        </w:rPr>
        <w:t xml:space="preserve">Finally, </w:t>
      </w:r>
      <w:r>
        <w:rPr>
          <w:rFonts w:ascii="Times New Roman" w:hAnsi="Times New Roman" w:cs="Times New Roman"/>
          <w:sz w:val="24"/>
          <w:szCs w:val="24"/>
        </w:rPr>
        <w:t xml:space="preserve">with regard to </w:t>
      </w:r>
      <w:r w:rsidRPr="00077D51">
        <w:rPr>
          <w:rFonts w:ascii="Times New Roman" w:hAnsi="Times New Roman" w:cs="Times New Roman"/>
          <w:sz w:val="24"/>
          <w:szCs w:val="24"/>
        </w:rPr>
        <w:t>model 4 (CFR-</w:t>
      </w:r>
      <w:r w:rsidR="00A00209">
        <w:rPr>
          <w:rFonts w:ascii="Times New Roman" w:hAnsi="Times New Roman" w:cs="Times New Roman"/>
          <w:sz w:val="24"/>
          <w:szCs w:val="24"/>
        </w:rPr>
        <w:t>SOL</w:t>
      </w:r>
      <w:r w:rsidRPr="00077D51">
        <w:rPr>
          <w:rFonts w:ascii="Times New Roman" w:hAnsi="Times New Roman" w:cs="Times New Roman"/>
          <w:sz w:val="24"/>
          <w:szCs w:val="24"/>
        </w:rPr>
        <w:t xml:space="preserve">R), the results show that </w:t>
      </w:r>
      <w:r>
        <w:rPr>
          <w:rFonts w:ascii="Times New Roman" w:hAnsi="Times New Roman" w:cs="Times New Roman"/>
          <w:sz w:val="24"/>
          <w:szCs w:val="24"/>
        </w:rPr>
        <w:t>CFR</w:t>
      </w:r>
      <w:r w:rsidRPr="00077D51">
        <w:rPr>
          <w:rFonts w:ascii="Times New Roman" w:hAnsi="Times New Roman" w:cs="Times New Roman"/>
          <w:sz w:val="24"/>
          <w:szCs w:val="24"/>
        </w:rPr>
        <w:t xml:space="preserve"> and </w:t>
      </w:r>
      <w:r w:rsidR="00A00209">
        <w:rPr>
          <w:rFonts w:ascii="Times New Roman" w:hAnsi="Times New Roman" w:cs="Times New Roman"/>
          <w:sz w:val="24"/>
          <w:szCs w:val="24"/>
        </w:rPr>
        <w:t>SOL</w:t>
      </w:r>
      <w:r>
        <w:rPr>
          <w:rFonts w:ascii="Times New Roman" w:hAnsi="Times New Roman" w:cs="Times New Roman"/>
          <w:sz w:val="24"/>
          <w:szCs w:val="24"/>
        </w:rPr>
        <w:t>R</w:t>
      </w:r>
      <w:r w:rsidRPr="00077D51">
        <w:rPr>
          <w:rFonts w:ascii="Times New Roman" w:hAnsi="Times New Roman" w:cs="Times New Roman"/>
          <w:sz w:val="24"/>
          <w:szCs w:val="24"/>
        </w:rPr>
        <w:t xml:space="preserve"> are cointegrated since the three statistics of the between-dimension category as well as the four statistics of the within-dimension category reject the null hypothesis of no cointegration </w:t>
      </w:r>
      <w:bookmarkStart w:id="13" w:name="_Hlk70613760"/>
      <w:r w:rsidRPr="00077D51">
        <w:rPr>
          <w:rFonts w:ascii="Times New Roman" w:hAnsi="Times New Roman" w:cs="Times New Roman"/>
          <w:sz w:val="24"/>
          <w:szCs w:val="24"/>
        </w:rPr>
        <w:t xml:space="preserve">at </w:t>
      </w:r>
      <w:r w:rsidRPr="00F44340">
        <w:rPr>
          <w:rFonts w:ascii="Times New Roman" w:hAnsi="Times New Roman" w:cs="Times New Roman"/>
          <w:sz w:val="24"/>
          <w:szCs w:val="24"/>
        </w:rPr>
        <w:t>a significance level of 1 %</w:t>
      </w:r>
      <w:r>
        <w:rPr>
          <w:rFonts w:ascii="Times New Roman" w:hAnsi="Times New Roman" w:cs="Times New Roman"/>
          <w:sz w:val="24"/>
          <w:szCs w:val="24"/>
        </w:rPr>
        <w:t>.</w:t>
      </w:r>
      <w:r w:rsidRPr="00077D51">
        <w:rPr>
          <w:rFonts w:ascii="Times New Roman" w:hAnsi="Times New Roman" w:cs="Times New Roman"/>
          <w:sz w:val="24"/>
          <w:szCs w:val="24"/>
        </w:rPr>
        <w:t xml:space="preserve"> </w:t>
      </w:r>
      <w:bookmarkEnd w:id="13"/>
      <w:r w:rsidRPr="00077D51">
        <w:rPr>
          <w:rFonts w:ascii="Times New Roman" w:hAnsi="Times New Roman" w:cs="Times New Roman"/>
          <w:sz w:val="24"/>
          <w:szCs w:val="24"/>
        </w:rPr>
        <w:t xml:space="preserve">Thus, </w:t>
      </w:r>
      <w:r>
        <w:rPr>
          <w:rFonts w:ascii="Times New Roman" w:hAnsi="Times New Roman" w:cs="Times New Roman"/>
          <w:sz w:val="24"/>
          <w:szCs w:val="24"/>
        </w:rPr>
        <w:t>the results allow us to accept</w:t>
      </w:r>
      <w:r w:rsidRPr="00077D51">
        <w:rPr>
          <w:rFonts w:ascii="Times New Roman" w:hAnsi="Times New Roman" w:cs="Times New Roman"/>
          <w:sz w:val="24"/>
          <w:szCs w:val="24"/>
        </w:rPr>
        <w:t xml:space="preserve"> hypothesis 4</w:t>
      </w:r>
      <w:r>
        <w:rPr>
          <w:rFonts w:ascii="Times New Roman" w:hAnsi="Times New Roman" w:cs="Times New Roman"/>
          <w:sz w:val="24"/>
          <w:szCs w:val="24"/>
        </w:rPr>
        <w:t>.</w:t>
      </w:r>
    </w:p>
    <w:p w14:paraId="4795EC68" w14:textId="6033E295" w:rsidR="0074415B" w:rsidRDefault="00693C5F" w:rsidP="00F07504">
      <w:pPr>
        <w:spacing w:line="240" w:lineRule="auto"/>
        <w:jc w:val="both"/>
      </w:pPr>
      <w:r w:rsidRPr="00693C5F">
        <w:rPr>
          <w:rFonts w:ascii="Times New Roman" w:hAnsi="Times New Roman" w:cs="Times New Roman"/>
          <w:sz w:val="24"/>
          <w:szCs w:val="24"/>
        </w:rPr>
        <w:t xml:space="preserve">Regarding the powerfulness of the cointegration relationships among the four tested models, we can deduct from the results of the group statistics (i.e., </w:t>
      </w:r>
      <w:r>
        <w:rPr>
          <w:rFonts w:ascii="Times New Roman" w:hAnsi="Times New Roman" w:cs="Times New Roman"/>
          <w:sz w:val="24"/>
          <w:szCs w:val="24"/>
        </w:rPr>
        <w:t>statistics</w:t>
      </w:r>
      <w:r w:rsidRPr="00693C5F">
        <w:rPr>
          <w:rFonts w:ascii="Times New Roman" w:hAnsi="Times New Roman" w:cs="Times New Roman"/>
          <w:sz w:val="24"/>
          <w:szCs w:val="24"/>
        </w:rPr>
        <w:t xml:space="preserve"> of the between-dimension category) that the cointegration relationships for the models (CFR-PROR) and (CFR-</w:t>
      </w:r>
      <w:r w:rsidR="00A00209">
        <w:rPr>
          <w:rFonts w:ascii="Times New Roman" w:hAnsi="Times New Roman" w:cs="Times New Roman"/>
          <w:sz w:val="24"/>
          <w:szCs w:val="24"/>
        </w:rPr>
        <w:t>SOL</w:t>
      </w:r>
      <w:r w:rsidRPr="00693C5F">
        <w:rPr>
          <w:rFonts w:ascii="Times New Roman" w:hAnsi="Times New Roman" w:cs="Times New Roman"/>
          <w:sz w:val="24"/>
          <w:szCs w:val="24"/>
        </w:rPr>
        <w:t>R) are more powerful than those for the models (CFR-LIQR) and (CFR-EFFR). Indeed, for the models (CFR-PROR) and (CFR-</w:t>
      </w:r>
      <w:r w:rsidR="00A00209">
        <w:rPr>
          <w:rFonts w:ascii="Times New Roman" w:hAnsi="Times New Roman" w:cs="Times New Roman"/>
          <w:sz w:val="24"/>
          <w:szCs w:val="24"/>
        </w:rPr>
        <w:t>SOL</w:t>
      </w:r>
      <w:r w:rsidRPr="00693C5F">
        <w:rPr>
          <w:rFonts w:ascii="Times New Roman" w:hAnsi="Times New Roman" w:cs="Times New Roman"/>
          <w:sz w:val="24"/>
          <w:szCs w:val="24"/>
        </w:rPr>
        <w:t>R), the three statistics of the between-dimension category (</w:t>
      </w:r>
      <w:r w:rsidR="00F56EA2">
        <w:rPr>
          <w:rFonts w:ascii="Times New Roman" w:hAnsi="Times New Roman" w:cs="Times New Roman"/>
          <w:sz w:val="24"/>
          <w:szCs w:val="24"/>
        </w:rPr>
        <w:t xml:space="preserve">i.e., </w:t>
      </w:r>
      <w:r w:rsidRPr="00693C5F">
        <w:rPr>
          <w:rFonts w:ascii="Times New Roman" w:hAnsi="Times New Roman" w:cs="Times New Roman"/>
          <w:sz w:val="24"/>
          <w:szCs w:val="24"/>
        </w:rPr>
        <w:t xml:space="preserve">group </w:t>
      </w:r>
      <w:r w:rsidR="00A00209">
        <w:rPr>
          <w:rFonts w:ascii="Times New Roman" w:hAnsi="Times New Roman" w:cs="Times New Roman"/>
          <w:sz w:val="24"/>
          <w:szCs w:val="24"/>
        </w:rPr>
        <w:t>R</w:t>
      </w:r>
      <w:r w:rsidRPr="00693C5F">
        <w:rPr>
          <w:rFonts w:ascii="Times New Roman" w:hAnsi="Times New Roman" w:cs="Times New Roman"/>
          <w:sz w:val="24"/>
          <w:szCs w:val="24"/>
        </w:rPr>
        <w:t xml:space="preserve">ho-statistic, group PP-statistic, and group ADF-statistic) reject the null hypothesis of no cointegration at a 1 % significance level. While for the models </w:t>
      </w:r>
      <w:r w:rsidR="00A00209">
        <w:rPr>
          <w:rFonts w:ascii="Times New Roman" w:hAnsi="Times New Roman" w:cs="Times New Roman"/>
          <w:sz w:val="24"/>
          <w:szCs w:val="24"/>
        </w:rPr>
        <w:t>(</w:t>
      </w:r>
      <w:r w:rsidRPr="00693C5F">
        <w:rPr>
          <w:rFonts w:ascii="Times New Roman" w:hAnsi="Times New Roman" w:cs="Times New Roman"/>
          <w:sz w:val="24"/>
          <w:szCs w:val="24"/>
        </w:rPr>
        <w:t>CFR-LIQR) and (CFR-EFFR), only two statistics of the between-dimension category (</w:t>
      </w:r>
      <w:r w:rsidR="00F56EA2">
        <w:rPr>
          <w:rFonts w:ascii="Times New Roman" w:hAnsi="Times New Roman" w:cs="Times New Roman"/>
          <w:sz w:val="24"/>
          <w:szCs w:val="24"/>
        </w:rPr>
        <w:t xml:space="preserve">i.e., </w:t>
      </w:r>
      <w:r w:rsidRPr="00693C5F">
        <w:rPr>
          <w:rFonts w:ascii="Times New Roman" w:hAnsi="Times New Roman" w:cs="Times New Roman"/>
          <w:sz w:val="24"/>
          <w:szCs w:val="24"/>
        </w:rPr>
        <w:t>group PP-statistic and group ADF-statistic) reject the null hypothesis of no cointegration at a 1% significance level.</w:t>
      </w:r>
      <w:r w:rsidR="0074415B" w:rsidRPr="0074415B">
        <w:t xml:space="preserve"> </w:t>
      </w:r>
    </w:p>
    <w:p w14:paraId="49288310" w14:textId="2EC4623E" w:rsidR="0074415B" w:rsidRDefault="0074415B" w:rsidP="00F07504">
      <w:pPr>
        <w:spacing w:line="240" w:lineRule="auto"/>
        <w:jc w:val="both"/>
        <w:rPr>
          <w:rFonts w:ascii="Times New Roman" w:hAnsi="Times New Roman" w:cs="Times New Roman"/>
          <w:sz w:val="24"/>
          <w:szCs w:val="24"/>
        </w:rPr>
      </w:pPr>
      <w:r w:rsidRPr="00F56EA2">
        <w:rPr>
          <w:rFonts w:ascii="Times New Roman" w:hAnsi="Times New Roman" w:cs="Times New Roman"/>
          <w:sz w:val="24"/>
          <w:szCs w:val="24"/>
        </w:rPr>
        <w:t xml:space="preserve">Thereafter, looking at the results of the statistics of the within-dimension category, we can infer that the cointegration relationship between CFR and </w:t>
      </w:r>
      <w:r w:rsidR="00A00209">
        <w:rPr>
          <w:rFonts w:ascii="Times New Roman" w:hAnsi="Times New Roman" w:cs="Times New Roman"/>
          <w:sz w:val="24"/>
          <w:szCs w:val="24"/>
        </w:rPr>
        <w:t>SOL</w:t>
      </w:r>
      <w:r w:rsidRPr="00F56EA2">
        <w:rPr>
          <w:rFonts w:ascii="Times New Roman" w:hAnsi="Times New Roman" w:cs="Times New Roman"/>
          <w:sz w:val="24"/>
          <w:szCs w:val="24"/>
        </w:rPr>
        <w:t>R (model 4) is slightly more powerful than that between CFR and PROR (model 3)</w:t>
      </w:r>
      <w:r>
        <w:rPr>
          <w:rFonts w:ascii="Times New Roman" w:hAnsi="Times New Roman" w:cs="Times New Roman"/>
          <w:sz w:val="24"/>
          <w:szCs w:val="24"/>
        </w:rPr>
        <w:t>.</w:t>
      </w:r>
      <w:r w:rsidRPr="00F56EA2">
        <w:rPr>
          <w:rFonts w:ascii="Times New Roman" w:hAnsi="Times New Roman" w:cs="Times New Roman"/>
          <w:sz w:val="24"/>
          <w:szCs w:val="24"/>
        </w:rPr>
        <w:t xml:space="preserve"> In fact, for the model (CFR-</w:t>
      </w:r>
      <w:r w:rsidR="00A00209">
        <w:rPr>
          <w:rFonts w:ascii="Times New Roman" w:hAnsi="Times New Roman" w:cs="Times New Roman"/>
          <w:sz w:val="24"/>
          <w:szCs w:val="24"/>
        </w:rPr>
        <w:t>SOL</w:t>
      </w:r>
      <w:r w:rsidRPr="00F56EA2">
        <w:rPr>
          <w:rFonts w:ascii="Times New Roman" w:hAnsi="Times New Roman" w:cs="Times New Roman"/>
          <w:sz w:val="24"/>
          <w:szCs w:val="24"/>
        </w:rPr>
        <w:t xml:space="preserve">R), the four panel-statistics (i.e., statistics of the within-dimension category, namely panel v-statistic panel </w:t>
      </w:r>
      <w:r w:rsidR="00A00209">
        <w:rPr>
          <w:rFonts w:ascii="Times New Roman" w:hAnsi="Times New Roman" w:cs="Times New Roman"/>
          <w:sz w:val="24"/>
          <w:szCs w:val="24"/>
        </w:rPr>
        <w:t>R</w:t>
      </w:r>
      <w:r w:rsidRPr="00F56EA2">
        <w:rPr>
          <w:rFonts w:ascii="Times New Roman" w:hAnsi="Times New Roman" w:cs="Times New Roman"/>
          <w:sz w:val="24"/>
          <w:szCs w:val="24"/>
        </w:rPr>
        <w:t>ho-statistic, panel PP-statistic, and panel ADF-statistic) reject the null hypothesis of no cointegration at a significance level of 1 %.  Nevertheless, for the model (CFR-PROR), we notice that only three statistics of the within-dimension category (</w:t>
      </w:r>
      <w:r>
        <w:rPr>
          <w:rFonts w:ascii="Times New Roman" w:hAnsi="Times New Roman" w:cs="Times New Roman"/>
          <w:sz w:val="24"/>
          <w:szCs w:val="24"/>
        </w:rPr>
        <w:t xml:space="preserve">i.e., </w:t>
      </w:r>
      <w:r w:rsidRPr="00F56EA2">
        <w:rPr>
          <w:rFonts w:ascii="Times New Roman" w:hAnsi="Times New Roman" w:cs="Times New Roman"/>
          <w:sz w:val="24"/>
          <w:szCs w:val="24"/>
        </w:rPr>
        <w:t xml:space="preserve">panel </w:t>
      </w:r>
      <w:r w:rsidR="00A00209">
        <w:rPr>
          <w:rFonts w:ascii="Times New Roman" w:hAnsi="Times New Roman" w:cs="Times New Roman"/>
          <w:sz w:val="24"/>
          <w:szCs w:val="24"/>
        </w:rPr>
        <w:t>R</w:t>
      </w:r>
      <w:r w:rsidRPr="00F56EA2">
        <w:rPr>
          <w:rFonts w:ascii="Times New Roman" w:hAnsi="Times New Roman" w:cs="Times New Roman"/>
          <w:sz w:val="24"/>
          <w:szCs w:val="24"/>
        </w:rPr>
        <w:t>ho-statistic, panel PP-statistic, and panel ADF-statistic) reject the null hypothesis of no cointegration at a 1% significance level.</w:t>
      </w:r>
    </w:p>
    <w:p w14:paraId="4FDFF9C6" w14:textId="4CA1D82D" w:rsidR="0039591E" w:rsidRDefault="0074415B" w:rsidP="00F07504">
      <w:pPr>
        <w:spacing w:line="240" w:lineRule="auto"/>
        <w:jc w:val="both"/>
        <w:rPr>
          <w:rFonts w:ascii="Times New Roman" w:hAnsi="Times New Roman" w:cs="Times New Roman"/>
          <w:sz w:val="24"/>
          <w:szCs w:val="24"/>
        </w:rPr>
      </w:pPr>
      <w:r w:rsidRPr="0074415B">
        <w:rPr>
          <w:rFonts w:ascii="Times New Roman" w:hAnsi="Times New Roman" w:cs="Times New Roman"/>
          <w:sz w:val="24"/>
          <w:szCs w:val="24"/>
        </w:rPr>
        <w:t xml:space="preserve">We recall that for the both models (CFR-LIQR) and (CFR-EFFR), we have found that two statistics of the between-dimension category reject the null hypothesis of no cointegration at a significance level of 1%. This means, that we use the same line of reasoning based on the number </w:t>
      </w:r>
      <w:r w:rsidR="00A00209">
        <w:rPr>
          <w:rFonts w:ascii="Times New Roman" w:hAnsi="Times New Roman" w:cs="Times New Roman"/>
          <w:sz w:val="24"/>
          <w:szCs w:val="24"/>
        </w:rPr>
        <w:t xml:space="preserve">of </w:t>
      </w:r>
      <w:r w:rsidRPr="0074415B">
        <w:rPr>
          <w:rFonts w:ascii="Times New Roman" w:hAnsi="Times New Roman" w:cs="Times New Roman"/>
          <w:sz w:val="24"/>
          <w:szCs w:val="24"/>
        </w:rPr>
        <w:t>panel-statistics (i.e., statistics of the within-dimension category), to compare the powerfulness of the cointegration relationships between the</w:t>
      </w:r>
      <w:r w:rsidR="00A00209">
        <w:rPr>
          <w:rFonts w:ascii="Times New Roman" w:hAnsi="Times New Roman" w:cs="Times New Roman"/>
          <w:sz w:val="24"/>
          <w:szCs w:val="24"/>
        </w:rPr>
        <w:t>se two</w:t>
      </w:r>
      <w:r w:rsidRPr="0074415B">
        <w:rPr>
          <w:rFonts w:ascii="Times New Roman" w:hAnsi="Times New Roman" w:cs="Times New Roman"/>
          <w:sz w:val="24"/>
          <w:szCs w:val="24"/>
        </w:rPr>
        <w:t xml:space="preserve"> models.</w:t>
      </w:r>
      <w:r>
        <w:rPr>
          <w:rFonts w:ascii="Times New Roman" w:hAnsi="Times New Roman" w:cs="Times New Roman"/>
          <w:sz w:val="24"/>
          <w:szCs w:val="24"/>
        </w:rPr>
        <w:t xml:space="preserve"> </w:t>
      </w:r>
      <w:r w:rsidRPr="0074415B">
        <w:rPr>
          <w:rFonts w:ascii="Times New Roman" w:hAnsi="Times New Roman" w:cs="Times New Roman"/>
          <w:sz w:val="24"/>
          <w:szCs w:val="24"/>
        </w:rPr>
        <w:t xml:space="preserve">For this, we notice that for the model (CFR-EFFR), the four statistics of the within-dimension category (i.e., panel v-statistic, panel </w:t>
      </w:r>
      <w:r w:rsidR="0008497E">
        <w:rPr>
          <w:rFonts w:ascii="Times New Roman" w:hAnsi="Times New Roman" w:cs="Times New Roman"/>
          <w:sz w:val="24"/>
          <w:szCs w:val="24"/>
        </w:rPr>
        <w:t>R</w:t>
      </w:r>
      <w:r w:rsidRPr="0074415B">
        <w:rPr>
          <w:rFonts w:ascii="Times New Roman" w:hAnsi="Times New Roman" w:cs="Times New Roman"/>
          <w:sz w:val="24"/>
          <w:szCs w:val="24"/>
        </w:rPr>
        <w:t xml:space="preserve">ho-statistic, panel PP-statistic, and panel ADF-statistic) reject the null hypothesis of no cointegration at a significance level of 1 % and 5 %. However, for the model (CFR-LIQR) only three statistics of the within-dimension category (i.e., panel </w:t>
      </w:r>
      <w:r w:rsidR="0008497E">
        <w:rPr>
          <w:rFonts w:ascii="Times New Roman" w:hAnsi="Times New Roman" w:cs="Times New Roman"/>
          <w:sz w:val="24"/>
          <w:szCs w:val="24"/>
        </w:rPr>
        <w:t>R</w:t>
      </w:r>
      <w:r w:rsidRPr="0074415B">
        <w:rPr>
          <w:rFonts w:ascii="Times New Roman" w:hAnsi="Times New Roman" w:cs="Times New Roman"/>
          <w:sz w:val="24"/>
          <w:szCs w:val="24"/>
        </w:rPr>
        <w:t>ho-statistic, panel PP-statistic, and panel ADF-statistic) reject the null hypothesis of no cointegration at a 1 % significance level. Thus, we conclude from these results that the cointegration relationship between CFR and EFFR (model 2) is more powerful than that between CFR and LIQR (model 1).</w:t>
      </w:r>
    </w:p>
    <w:p w14:paraId="358CBEF2" w14:textId="208D0CAD" w:rsidR="0074415B" w:rsidRDefault="001E267A" w:rsidP="00F07504">
      <w:pPr>
        <w:spacing w:line="240" w:lineRule="auto"/>
        <w:jc w:val="both"/>
        <w:rPr>
          <w:rFonts w:ascii="Times New Roman" w:hAnsi="Times New Roman" w:cs="Times New Roman"/>
          <w:sz w:val="24"/>
          <w:szCs w:val="24"/>
        </w:rPr>
      </w:pPr>
      <w:r w:rsidRPr="001E267A">
        <w:rPr>
          <w:rFonts w:ascii="Times New Roman" w:hAnsi="Times New Roman" w:cs="Times New Roman"/>
          <w:sz w:val="24"/>
          <w:szCs w:val="24"/>
        </w:rPr>
        <w:t>As a conclusion, our ranking according to the powerfulness of the cointegration relationships among the four tested models is as follows: in the first position, we find the model (CFR-</w:t>
      </w:r>
      <w:r w:rsidR="0008497E">
        <w:rPr>
          <w:rFonts w:ascii="Times New Roman" w:hAnsi="Times New Roman" w:cs="Times New Roman"/>
          <w:sz w:val="24"/>
          <w:szCs w:val="24"/>
        </w:rPr>
        <w:t>SOL</w:t>
      </w:r>
      <w:r w:rsidRPr="001E267A">
        <w:rPr>
          <w:rFonts w:ascii="Times New Roman" w:hAnsi="Times New Roman" w:cs="Times New Roman"/>
          <w:sz w:val="24"/>
          <w:szCs w:val="24"/>
        </w:rPr>
        <w:t xml:space="preserve">R) which displays the most powerful cointegration relationship. Then, </w:t>
      </w:r>
      <w:r w:rsidR="00AD3048" w:rsidRPr="001E267A">
        <w:rPr>
          <w:rFonts w:ascii="Times New Roman" w:hAnsi="Times New Roman" w:cs="Times New Roman"/>
          <w:sz w:val="24"/>
          <w:szCs w:val="24"/>
        </w:rPr>
        <w:t>the model</w:t>
      </w:r>
      <w:r w:rsidRPr="001E267A">
        <w:rPr>
          <w:rFonts w:ascii="Times New Roman" w:hAnsi="Times New Roman" w:cs="Times New Roman"/>
          <w:sz w:val="24"/>
          <w:szCs w:val="24"/>
        </w:rPr>
        <w:t xml:space="preserve"> (CFR-PROR) which </w:t>
      </w:r>
      <w:r w:rsidRPr="001E267A">
        <w:rPr>
          <w:rFonts w:ascii="Times New Roman" w:hAnsi="Times New Roman" w:cs="Times New Roman"/>
          <w:sz w:val="24"/>
          <w:szCs w:val="24"/>
        </w:rPr>
        <w:lastRenderedPageBreak/>
        <w:t>is positioned in the second position. Next, we have the model (CFR-EFFR) in the third position. Finally, the model (RCF - LIQ</w:t>
      </w:r>
      <w:r w:rsidR="0008497E">
        <w:rPr>
          <w:rFonts w:ascii="Times New Roman" w:hAnsi="Times New Roman" w:cs="Times New Roman"/>
          <w:sz w:val="24"/>
          <w:szCs w:val="24"/>
        </w:rPr>
        <w:t>R</w:t>
      </w:r>
      <w:r w:rsidRPr="001E267A">
        <w:rPr>
          <w:rFonts w:ascii="Times New Roman" w:hAnsi="Times New Roman" w:cs="Times New Roman"/>
          <w:sz w:val="24"/>
          <w:szCs w:val="24"/>
        </w:rPr>
        <w:t xml:space="preserve">) occupies the fourth and last position since it displays the </w:t>
      </w:r>
      <w:r w:rsidR="00AD3048" w:rsidRPr="001E267A">
        <w:rPr>
          <w:rFonts w:ascii="Times New Roman" w:hAnsi="Times New Roman" w:cs="Times New Roman"/>
          <w:sz w:val="24"/>
          <w:szCs w:val="24"/>
        </w:rPr>
        <w:t>weakest</w:t>
      </w:r>
      <w:r w:rsidRPr="001E267A">
        <w:rPr>
          <w:rFonts w:ascii="Times New Roman" w:hAnsi="Times New Roman" w:cs="Times New Roman"/>
          <w:sz w:val="24"/>
          <w:szCs w:val="24"/>
        </w:rPr>
        <w:t xml:space="preserve"> </w:t>
      </w:r>
      <w:r w:rsidR="00AD3048" w:rsidRPr="001E267A">
        <w:rPr>
          <w:rFonts w:ascii="Times New Roman" w:hAnsi="Times New Roman" w:cs="Times New Roman"/>
          <w:sz w:val="24"/>
          <w:szCs w:val="24"/>
        </w:rPr>
        <w:t>cointegration</w:t>
      </w:r>
      <w:r w:rsidRPr="001E267A">
        <w:rPr>
          <w:rFonts w:ascii="Times New Roman" w:hAnsi="Times New Roman" w:cs="Times New Roman"/>
          <w:sz w:val="24"/>
          <w:szCs w:val="24"/>
        </w:rPr>
        <w:t xml:space="preserve"> relationship among the four tested models.</w:t>
      </w:r>
    </w:p>
    <w:p w14:paraId="3F2826ED" w14:textId="77777777" w:rsidR="00F07504" w:rsidRPr="00F07504" w:rsidRDefault="00F07504" w:rsidP="00F07504">
      <w:pPr>
        <w:spacing w:line="240" w:lineRule="auto"/>
        <w:jc w:val="both"/>
        <w:rPr>
          <w:rFonts w:ascii="Times New Roman" w:hAnsi="Times New Roman" w:cs="Times New Roman"/>
          <w:sz w:val="6"/>
          <w:szCs w:val="6"/>
        </w:rPr>
      </w:pPr>
    </w:p>
    <w:p w14:paraId="15B7A49C" w14:textId="510105BB" w:rsidR="00E11A58" w:rsidRPr="00F07504" w:rsidRDefault="00E11A58" w:rsidP="00F07504">
      <w:pPr>
        <w:ind w:firstLine="720"/>
        <w:rPr>
          <w:rFonts w:ascii="Times New Roman" w:hAnsi="Times New Roman" w:cs="Times New Roman"/>
          <w:b/>
          <w:bCs/>
          <w:sz w:val="30"/>
          <w:szCs w:val="30"/>
        </w:rPr>
      </w:pPr>
      <w:r w:rsidRPr="0033331D">
        <w:rPr>
          <w:rFonts w:ascii="Times New Roman" w:hAnsi="Times New Roman" w:cs="Times New Roman"/>
          <w:b/>
          <w:bCs/>
          <w:sz w:val="30"/>
          <w:szCs w:val="30"/>
        </w:rPr>
        <w:t>5. R</w:t>
      </w:r>
      <w:r w:rsidR="00F07504" w:rsidRPr="0033331D">
        <w:rPr>
          <w:rFonts w:ascii="Times New Roman" w:hAnsi="Times New Roman" w:cs="Times New Roman"/>
          <w:b/>
          <w:bCs/>
          <w:sz w:val="30"/>
          <w:szCs w:val="30"/>
        </w:rPr>
        <w:t>obustness</w:t>
      </w:r>
      <w:r w:rsidRPr="0033331D">
        <w:rPr>
          <w:rFonts w:ascii="Times New Roman" w:hAnsi="Times New Roman" w:cs="Times New Roman"/>
          <w:b/>
          <w:bCs/>
          <w:sz w:val="30"/>
          <w:szCs w:val="30"/>
        </w:rPr>
        <w:t xml:space="preserve"> A</w:t>
      </w:r>
      <w:r w:rsidR="00F07504" w:rsidRPr="0033331D">
        <w:rPr>
          <w:rFonts w:ascii="Times New Roman" w:hAnsi="Times New Roman" w:cs="Times New Roman"/>
          <w:b/>
          <w:bCs/>
          <w:sz w:val="30"/>
          <w:szCs w:val="30"/>
        </w:rPr>
        <w:t>nalysis</w:t>
      </w:r>
    </w:p>
    <w:p w14:paraId="3A154A3C" w14:textId="2024491D" w:rsidR="00CA1512" w:rsidRPr="00F07504" w:rsidRDefault="00CA1512" w:rsidP="00F07504">
      <w:pPr>
        <w:spacing w:line="240" w:lineRule="auto"/>
        <w:jc w:val="both"/>
        <w:rPr>
          <w:rFonts w:ascii="Times New Roman" w:hAnsi="Times New Roman" w:cs="Times New Roman"/>
          <w:sz w:val="24"/>
          <w:szCs w:val="24"/>
        </w:rPr>
      </w:pPr>
      <w:r w:rsidRPr="00F07504">
        <w:rPr>
          <w:rFonts w:ascii="Times New Roman" w:hAnsi="Times New Roman" w:cs="Times New Roman"/>
          <w:sz w:val="24"/>
          <w:szCs w:val="24"/>
        </w:rPr>
        <w:t xml:space="preserve">The robustness analysis consists of the use of the dynamic panel econometrics techniques to estimate the four panel correction models (PECM). In this study, we have considered a maximum lag of </w:t>
      </w:r>
      <w:r w:rsidR="007876FB" w:rsidRPr="00F07504">
        <w:rPr>
          <w:rFonts w:ascii="Times New Roman" w:hAnsi="Times New Roman" w:cs="Times New Roman"/>
          <w:sz w:val="24"/>
          <w:szCs w:val="24"/>
        </w:rPr>
        <w:t xml:space="preserve">one, which gave the following </w:t>
      </w:r>
      <w:r w:rsidRPr="00F07504">
        <w:rPr>
          <w:rFonts w:ascii="Times New Roman" w:hAnsi="Times New Roman" w:cs="Times New Roman"/>
          <w:sz w:val="24"/>
          <w:szCs w:val="24"/>
        </w:rPr>
        <w:t>specification of the PECM</w:t>
      </w:r>
      <w:r w:rsidR="007876FB" w:rsidRPr="00F07504">
        <w:rPr>
          <w:rFonts w:ascii="Times New Roman" w:hAnsi="Times New Roman" w:cs="Times New Roman"/>
          <w:sz w:val="24"/>
          <w:szCs w:val="24"/>
        </w:rPr>
        <w:t>:</w:t>
      </w:r>
    </w:p>
    <w:p w14:paraId="2B159775" w14:textId="77777777" w:rsidR="004F1678" w:rsidRPr="00F07504" w:rsidRDefault="004F1678" w:rsidP="00F07504">
      <w:pPr>
        <w:spacing w:line="240" w:lineRule="auto"/>
        <w:jc w:val="both"/>
        <w:rPr>
          <w:rFonts w:ascii="Times New Roman" w:hAnsi="Times New Roman" w:cs="Times New Roman"/>
          <w:sz w:val="24"/>
          <w:szCs w:val="24"/>
        </w:rPr>
      </w:pPr>
    </w:p>
    <w:p w14:paraId="3BB7033B" w14:textId="5032390D" w:rsidR="007876FB" w:rsidRPr="00CF3B1E" w:rsidRDefault="00CF3B1E" w:rsidP="00F07504">
      <w:pPr>
        <w:spacing w:line="240" w:lineRule="auto"/>
        <w:jc w:val="both"/>
        <w:rPr>
          <w:rFonts w:ascii="Times New Roman" w:hAnsi="Times New Roman" w:cs="Times New Roman"/>
          <w:iCs/>
          <w:sz w:val="24"/>
          <w:szCs w:val="24"/>
        </w:rPr>
      </w:pPr>
      <m:oMathPara>
        <m:oMath>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RBAD</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acc>
                    <m:accPr>
                      <m:ctrlPr>
                        <w:rPr>
                          <w:rFonts w:ascii="Cambria Math" w:hAnsi="Cambria Math" w:cs="Times New Roman"/>
                          <w:iCs/>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RBAD</m:t>
                  </m:r>
                </m:e>
                <m:sub>
                  <m:r>
                    <m:rPr>
                      <m:sty m:val="p"/>
                    </m:rPr>
                    <w:rPr>
                      <w:rFonts w:ascii="Cambria Math" w:hAnsi="Cambria Math" w:cs="Times New Roman"/>
                      <w:sz w:val="24"/>
                      <w:szCs w:val="24"/>
                    </w:rPr>
                    <m:t>i,t-1</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m:oMathPara>
    </w:p>
    <w:p w14:paraId="762B7275" w14:textId="77777777" w:rsidR="001C581D" w:rsidRPr="00C4366E" w:rsidRDefault="001C581D" w:rsidP="00F07504">
      <w:pPr>
        <w:tabs>
          <w:tab w:val="left" w:pos="360"/>
        </w:tabs>
        <w:spacing w:line="240" w:lineRule="auto"/>
        <w:jc w:val="both"/>
        <w:rPr>
          <w:rFonts w:ascii="Times New Roman" w:hAnsi="Times New Roman" w:cs="Times New Roman"/>
          <w:sz w:val="24"/>
          <w:szCs w:val="24"/>
        </w:rPr>
      </w:pPr>
      <w:r w:rsidRPr="00C4366E">
        <w:rPr>
          <w:rFonts w:ascii="Times New Roman" w:hAnsi="Times New Roman" w:cs="Times New Roman"/>
          <w:sz w:val="24"/>
          <w:szCs w:val="24"/>
        </w:rPr>
        <w:t>with,</w:t>
      </w:r>
    </w:p>
    <w:p w14:paraId="7BD2ECDC" w14:textId="55DD752D" w:rsidR="001C581D" w:rsidRPr="00CF3B1E" w:rsidRDefault="001C581D" w:rsidP="00F07504">
      <w:pPr>
        <w:tabs>
          <w:tab w:val="left" w:pos="360"/>
        </w:tabs>
        <w:spacing w:line="240" w:lineRule="auto"/>
        <w:jc w:val="both"/>
        <w:rPr>
          <w:rFonts w:ascii="Times New Roman" w:hAnsi="Times New Roman" w:cs="Times New Roman"/>
          <w:sz w:val="24"/>
          <w:szCs w:val="24"/>
        </w:rPr>
      </w:pPr>
      <w:bookmarkStart w:id="14" w:name="_Hlk69830604"/>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w:t>
      </w:r>
      <w:r w:rsidRPr="00CF3B1E">
        <w:rPr>
          <w:rFonts w:ascii="Times New Roman" w:eastAsiaTheme="minorEastAsia" w:hAnsi="Times New Roman" w:cs="Times New Roman"/>
          <w:sz w:val="24"/>
          <w:szCs w:val="24"/>
        </w:rPr>
        <w:t xml:space="preserve"> Ratio based on cash flows (i.e., </w:t>
      </w:r>
      <w:r w:rsidRPr="00CF3B1E">
        <w:rPr>
          <w:rFonts w:ascii="Times New Roman" w:hAnsi="Times New Roman" w:cs="Times New Roman"/>
          <w:sz w:val="24"/>
          <w:szCs w:val="24"/>
        </w:rPr>
        <w:t xml:space="preserve">operating cash flows to total assets ratio) of company </w:t>
      </w:r>
      <w:proofErr w:type="spellStart"/>
      <w:r w:rsidRPr="00CF3B1E">
        <w:rPr>
          <w:rFonts w:ascii="Times New Roman" w:hAnsi="Times New Roman" w:cs="Times New Roman"/>
          <w:sz w:val="24"/>
          <w:szCs w:val="24"/>
        </w:rPr>
        <w:t>i</w:t>
      </w:r>
      <w:proofErr w:type="spellEnd"/>
      <w:r w:rsidRPr="00CF3B1E">
        <w:rPr>
          <w:rFonts w:ascii="Times New Roman" w:hAnsi="Times New Roman" w:cs="Times New Roman"/>
          <w:sz w:val="24"/>
          <w:szCs w:val="24"/>
        </w:rPr>
        <w:t xml:space="preserve"> for year t.</w:t>
      </w:r>
    </w:p>
    <w:p w14:paraId="65D5A596" w14:textId="324FC0F8" w:rsidR="001C581D" w:rsidRPr="00CF3B1E" w:rsidRDefault="001C581D" w:rsidP="00F07504">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RBAD</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oMath>
      <w:r w:rsidRPr="00CF3B1E">
        <w:rPr>
          <w:rFonts w:ascii="Times New Roman" w:hAnsi="Times New Roman" w:cs="Times New Roman"/>
          <w:sz w:val="24"/>
          <w:szCs w:val="24"/>
        </w:rPr>
        <w:t xml:space="preserve">: </w:t>
      </w:r>
      <w:r w:rsidRPr="00CF3B1E">
        <w:rPr>
          <w:rFonts w:ascii="Times New Roman" w:eastAsiaTheme="minorEastAsia" w:hAnsi="Times New Roman" w:cs="Times New Roman"/>
          <w:sz w:val="24"/>
          <w:szCs w:val="24"/>
        </w:rPr>
        <w:t xml:space="preserve"> ratio based on accounting data </w:t>
      </w:r>
      <w:r w:rsidRPr="00CF3B1E">
        <w:rPr>
          <w:rFonts w:ascii="Times New Roman" w:hAnsi="Times New Roman" w:cs="Times New Roman"/>
          <w:sz w:val="24"/>
          <w:szCs w:val="24"/>
        </w:rPr>
        <w:t>(i.e., LIQR, EFFR, PROR,</w:t>
      </w:r>
      <w:r w:rsidR="00C4366E" w:rsidRPr="00CF3B1E">
        <w:rPr>
          <w:rFonts w:ascii="Times New Roman" w:hAnsi="Times New Roman" w:cs="Times New Roman"/>
          <w:sz w:val="24"/>
          <w:szCs w:val="24"/>
        </w:rPr>
        <w:t xml:space="preserve"> and</w:t>
      </w:r>
      <w:r w:rsidRPr="00CF3B1E">
        <w:rPr>
          <w:rFonts w:ascii="Times New Roman" w:hAnsi="Times New Roman" w:cs="Times New Roman"/>
          <w:sz w:val="24"/>
          <w:szCs w:val="24"/>
        </w:rPr>
        <w:t xml:space="preserve"> </w:t>
      </w:r>
      <w:r w:rsidR="00C4366E" w:rsidRPr="00CF3B1E">
        <w:rPr>
          <w:rFonts w:ascii="Times New Roman" w:hAnsi="Times New Roman" w:cs="Times New Roman"/>
          <w:sz w:val="24"/>
          <w:szCs w:val="24"/>
        </w:rPr>
        <w:t>SOL</w:t>
      </w:r>
      <w:r w:rsidRPr="00CF3B1E">
        <w:rPr>
          <w:rFonts w:ascii="Times New Roman" w:hAnsi="Times New Roman" w:cs="Times New Roman"/>
          <w:sz w:val="24"/>
          <w:szCs w:val="24"/>
        </w:rPr>
        <w:t xml:space="preserve">R) </w:t>
      </w:r>
      <w:r w:rsidRPr="00CF3B1E">
        <w:rPr>
          <w:rFonts w:ascii="Times New Roman" w:eastAsiaTheme="minorEastAsia" w:hAnsi="Times New Roman" w:cs="Times New Roman"/>
          <w:sz w:val="24"/>
          <w:szCs w:val="24"/>
        </w:rPr>
        <w:t xml:space="preserve">of company </w:t>
      </w:r>
      <w:proofErr w:type="spellStart"/>
      <w:r w:rsidRPr="00CF3B1E">
        <w:rPr>
          <w:rFonts w:ascii="Times New Roman" w:eastAsiaTheme="minorEastAsia" w:hAnsi="Times New Roman" w:cs="Times New Roman"/>
          <w:sz w:val="24"/>
          <w:szCs w:val="24"/>
        </w:rPr>
        <w:t>i</w:t>
      </w:r>
      <w:proofErr w:type="spellEnd"/>
      <w:r w:rsidRPr="00CF3B1E">
        <w:rPr>
          <w:rFonts w:ascii="Times New Roman" w:eastAsiaTheme="minorEastAsia" w:hAnsi="Times New Roman" w:cs="Times New Roman"/>
          <w:sz w:val="24"/>
          <w:szCs w:val="24"/>
        </w:rPr>
        <w:t xml:space="preserve"> for year t.</w:t>
      </w:r>
    </w:p>
    <w:bookmarkEnd w:id="14"/>
    <w:p w14:paraId="73050E7F" w14:textId="72855811" w:rsidR="001C581D" w:rsidRPr="00CF3B1E" w:rsidRDefault="001C581D" w:rsidP="00F07504">
      <w:pPr>
        <w:tabs>
          <w:tab w:val="left" w:pos="360"/>
        </w:tabs>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w:t>
      </w:r>
      <w:r w:rsidRPr="00CF3B1E">
        <w:rPr>
          <w:rFonts w:ascii="Times New Roman" w:eastAsiaTheme="minorEastAsia" w:hAnsi="Times New Roman" w:cs="Times New Roman"/>
          <w:sz w:val="24"/>
          <w:szCs w:val="24"/>
        </w:rPr>
        <w:t xml:space="preserve"> Ratio based on cash flows (i.e., </w:t>
      </w:r>
      <w:r w:rsidRPr="00CF3B1E">
        <w:rPr>
          <w:rFonts w:ascii="Times New Roman" w:hAnsi="Times New Roman" w:cs="Times New Roman"/>
          <w:sz w:val="24"/>
          <w:szCs w:val="24"/>
        </w:rPr>
        <w:t xml:space="preserve">operating cash flows to total assets ratio) of company </w:t>
      </w:r>
      <w:proofErr w:type="spellStart"/>
      <w:r w:rsidRPr="00CF3B1E">
        <w:rPr>
          <w:rFonts w:ascii="Times New Roman" w:hAnsi="Times New Roman" w:cs="Times New Roman"/>
          <w:sz w:val="24"/>
          <w:szCs w:val="24"/>
        </w:rPr>
        <w:t>i</w:t>
      </w:r>
      <w:proofErr w:type="spellEnd"/>
      <w:r w:rsidRPr="00CF3B1E">
        <w:rPr>
          <w:rFonts w:ascii="Times New Roman" w:hAnsi="Times New Roman" w:cs="Times New Roman"/>
          <w:sz w:val="24"/>
          <w:szCs w:val="24"/>
        </w:rPr>
        <w:t xml:space="preserve"> for year t-1.</w:t>
      </w:r>
    </w:p>
    <w:p w14:paraId="240A1F77" w14:textId="538AADB5" w:rsidR="001C581D" w:rsidRPr="00CF3B1E" w:rsidRDefault="001C581D" w:rsidP="00F07504">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RBAD</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 xml:space="preserve"> </m:t>
        </m:r>
      </m:oMath>
      <w:r w:rsidRPr="00CF3B1E">
        <w:rPr>
          <w:rFonts w:ascii="Times New Roman" w:hAnsi="Times New Roman" w:cs="Times New Roman"/>
          <w:sz w:val="24"/>
          <w:szCs w:val="24"/>
        </w:rPr>
        <w:t xml:space="preserve">: </w:t>
      </w:r>
      <w:r w:rsidRPr="00CF3B1E">
        <w:rPr>
          <w:rFonts w:ascii="Times New Roman" w:eastAsiaTheme="minorEastAsia" w:hAnsi="Times New Roman" w:cs="Times New Roman"/>
          <w:sz w:val="24"/>
          <w:szCs w:val="24"/>
        </w:rPr>
        <w:t xml:space="preserve"> ratio based on accounting data </w:t>
      </w:r>
      <w:r w:rsidRPr="00CF3B1E">
        <w:rPr>
          <w:rFonts w:ascii="Times New Roman" w:hAnsi="Times New Roman" w:cs="Times New Roman"/>
          <w:sz w:val="24"/>
          <w:szCs w:val="24"/>
        </w:rPr>
        <w:t>(i.e., LIQR, EFFR, PROR,</w:t>
      </w:r>
      <w:r w:rsidR="00C4366E" w:rsidRPr="00CF3B1E">
        <w:rPr>
          <w:rFonts w:ascii="Times New Roman" w:hAnsi="Times New Roman" w:cs="Times New Roman"/>
          <w:sz w:val="24"/>
          <w:szCs w:val="24"/>
        </w:rPr>
        <w:t xml:space="preserve"> and SOL</w:t>
      </w:r>
      <w:r w:rsidRPr="00CF3B1E">
        <w:rPr>
          <w:rFonts w:ascii="Times New Roman" w:hAnsi="Times New Roman" w:cs="Times New Roman"/>
          <w:sz w:val="24"/>
          <w:szCs w:val="24"/>
        </w:rPr>
        <w:t xml:space="preserve">R) </w:t>
      </w:r>
      <w:r w:rsidRPr="00CF3B1E">
        <w:rPr>
          <w:rFonts w:ascii="Times New Roman" w:eastAsiaTheme="minorEastAsia" w:hAnsi="Times New Roman" w:cs="Times New Roman"/>
          <w:sz w:val="24"/>
          <w:szCs w:val="24"/>
        </w:rPr>
        <w:t xml:space="preserve">of company </w:t>
      </w:r>
      <w:proofErr w:type="spellStart"/>
      <w:r w:rsidRPr="00CF3B1E">
        <w:rPr>
          <w:rFonts w:ascii="Times New Roman" w:eastAsiaTheme="minorEastAsia" w:hAnsi="Times New Roman" w:cs="Times New Roman"/>
          <w:sz w:val="24"/>
          <w:szCs w:val="24"/>
        </w:rPr>
        <w:t>i</w:t>
      </w:r>
      <w:proofErr w:type="spellEnd"/>
      <w:r w:rsidRPr="00CF3B1E">
        <w:rPr>
          <w:rFonts w:ascii="Times New Roman" w:eastAsiaTheme="minorEastAsia" w:hAnsi="Times New Roman" w:cs="Times New Roman"/>
          <w:sz w:val="24"/>
          <w:szCs w:val="24"/>
        </w:rPr>
        <w:t xml:space="preserve"> for year t-1.</w:t>
      </w:r>
    </w:p>
    <w:p w14:paraId="3627FBC7" w14:textId="4820DED2" w:rsidR="00115163" w:rsidRPr="00CF3B1E" w:rsidRDefault="00115163" w:rsidP="00F07504">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w:t>
      </w:r>
      <w:r w:rsidRPr="00CF3B1E">
        <w:rPr>
          <w:rFonts w:ascii="Times New Roman" w:eastAsiaTheme="minorEastAsia" w:hAnsi="Times New Roman" w:cs="Times New Roman"/>
          <w:sz w:val="24"/>
          <w:szCs w:val="24"/>
        </w:rPr>
        <w:t xml:space="preserve"> the speed of adjustment coefficient or the error-correction coefficient.</w:t>
      </w:r>
    </w:p>
    <w:p w14:paraId="0D5F7134" w14:textId="2F127DFB" w:rsidR="00115163" w:rsidRPr="00CF3B1E" w:rsidRDefault="00115163" w:rsidP="00F07504">
      <w:pPr>
        <w:tabs>
          <w:tab w:val="left" w:pos="360"/>
        </w:tabs>
        <w:spacing w:line="240" w:lineRule="auto"/>
        <w:jc w:val="both"/>
        <w:rPr>
          <w:rFonts w:ascii="Times New Roman" w:eastAsiaTheme="minorEastAsia" w:hAnsi="Times New Roman" w:cs="Times New Roman"/>
          <w:sz w:val="24"/>
          <w:szCs w:val="24"/>
        </w:rPr>
      </w:pPr>
      <w:r w:rsidRPr="00CF3B1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m:t>
        </m:r>
      </m:oMath>
      <w:r w:rsidRPr="00CF3B1E">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m:t>
        </m:r>
      </m:oMath>
      <w:r w:rsidR="00C4366E" w:rsidRPr="00CF3B1E">
        <w:rPr>
          <w:rFonts w:ascii="Times New Roman" w:eastAsiaTheme="minorEastAsia" w:hAnsi="Times New Roman" w:cs="Times New Roman"/>
          <w:sz w:val="24"/>
          <w:szCs w:val="24"/>
        </w:rPr>
        <w:t xml:space="preserve">are </w:t>
      </w:r>
      <w:r w:rsidRPr="00CF3B1E">
        <w:rPr>
          <w:rFonts w:ascii="Times New Roman" w:eastAsiaTheme="minorEastAsia" w:hAnsi="Times New Roman" w:cs="Times New Roman"/>
          <w:sz w:val="24"/>
          <w:szCs w:val="24"/>
        </w:rPr>
        <w:t>the constant and the short-run relationship coefficient, respectively.</w:t>
      </w:r>
    </w:p>
    <w:p w14:paraId="2E09DD39" w14:textId="20ACD59C" w:rsidR="00115163" w:rsidRPr="00CF3B1E" w:rsidRDefault="00115163" w:rsidP="00F07504">
      <w:pPr>
        <w:tabs>
          <w:tab w:val="left" w:pos="360"/>
        </w:tabs>
        <w:spacing w:line="240" w:lineRule="auto"/>
        <w:jc w:val="both"/>
        <w:rPr>
          <w:rFonts w:ascii="Times New Roman" w:eastAsiaTheme="minorEastAsia" w:hAnsi="Times New Roman" w:cs="Times New Roman"/>
          <w:sz w:val="24"/>
          <w:szCs w:val="24"/>
        </w:rPr>
      </w:pPr>
      <w:r w:rsidRPr="00CF3B1E">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m:t>
        </m:r>
      </m:oMath>
      <w:r w:rsidRPr="00CF3B1E">
        <w:rPr>
          <w:rFonts w:ascii="Times New Roman" w:eastAsiaTheme="minorEastAsia" w:hAnsi="Times New Roman" w:cs="Times New Roman"/>
          <w:sz w:val="24"/>
          <w:szCs w:val="24"/>
        </w:rPr>
        <w:t>: white noise.</w:t>
      </w:r>
    </w:p>
    <w:p w14:paraId="7B19802A" w14:textId="187674D4" w:rsidR="0074415B" w:rsidRPr="00CF3B1E" w:rsidRDefault="00115163" w:rsidP="00F07504">
      <w:pPr>
        <w:spacing w:line="240" w:lineRule="auto"/>
        <w:jc w:val="both"/>
        <w:rPr>
          <w:rFonts w:ascii="Times New Roman" w:hAnsi="Times New Roman" w:cs="Times New Roman"/>
          <w:sz w:val="24"/>
          <w:szCs w:val="24"/>
        </w:rPr>
      </w:pPr>
      <w:r w:rsidRPr="00CF3B1E">
        <w:rPr>
          <w:rFonts w:ascii="Times New Roman" w:hAnsi="Times New Roman" w:cs="Times New Roman"/>
          <w:sz w:val="24"/>
          <w:szCs w:val="24"/>
        </w:rPr>
        <w:t xml:space="preserve">- </w:t>
      </w:r>
      <w:proofErr w:type="spellStart"/>
      <w:r w:rsidR="001C581D" w:rsidRPr="00CF3B1E">
        <w:rPr>
          <w:rFonts w:ascii="Times New Roman" w:hAnsi="Times New Roman" w:cs="Times New Roman"/>
          <w:sz w:val="24"/>
          <w:szCs w:val="24"/>
        </w:rPr>
        <w:t>i</w:t>
      </w:r>
      <w:proofErr w:type="spellEnd"/>
      <w:r w:rsidR="001C581D" w:rsidRPr="00CF3B1E">
        <w:rPr>
          <w:rFonts w:ascii="Times New Roman" w:hAnsi="Times New Roman" w:cs="Times New Roman"/>
          <w:sz w:val="24"/>
          <w:szCs w:val="24"/>
        </w:rPr>
        <w:t xml:space="preserve"> =1,2…, N denotes companies and t =1, 2…, T denotes year.</w:t>
      </w:r>
    </w:p>
    <w:p w14:paraId="3809C5C2" w14:textId="77777777" w:rsidR="00D41C90" w:rsidRDefault="004F1678" w:rsidP="00F07504">
      <w:pPr>
        <w:spacing w:line="240" w:lineRule="auto"/>
        <w:jc w:val="both"/>
        <w:rPr>
          <w:rFonts w:ascii="Times New Roman" w:hAnsi="Times New Roman" w:cs="Times New Roman"/>
          <w:sz w:val="24"/>
          <w:szCs w:val="24"/>
        </w:rPr>
      </w:pPr>
      <w:r w:rsidRPr="00F07504">
        <w:rPr>
          <w:rFonts w:ascii="Times New Roman" w:hAnsi="Times New Roman" w:cs="Times New Roman"/>
          <w:sz w:val="24"/>
          <w:szCs w:val="24"/>
        </w:rPr>
        <w:t>In this specification of the PECM, the short-run relationship is explained by β and the long-run relationship is explained by λ which is the error-correction coefficient.</w:t>
      </w:r>
      <w:r w:rsidR="00C4366E">
        <w:rPr>
          <w:rFonts w:ascii="Times New Roman" w:hAnsi="Times New Roman" w:cs="Times New Roman"/>
          <w:sz w:val="24"/>
          <w:szCs w:val="24"/>
        </w:rPr>
        <w:t xml:space="preserve"> </w:t>
      </w:r>
      <w:r w:rsidR="0071560B" w:rsidRPr="00F07504">
        <w:rPr>
          <w:rFonts w:ascii="Times New Roman" w:hAnsi="Times New Roman" w:cs="Times New Roman"/>
          <w:sz w:val="24"/>
          <w:szCs w:val="24"/>
        </w:rPr>
        <w:t xml:space="preserve">We recall that the estimation of each PECM </w:t>
      </w:r>
      <w:r w:rsidRPr="00F07504">
        <w:rPr>
          <w:rFonts w:ascii="Times New Roman" w:hAnsi="Times New Roman" w:cs="Times New Roman"/>
          <w:sz w:val="24"/>
          <w:szCs w:val="24"/>
        </w:rPr>
        <w:t xml:space="preserve">allows </w:t>
      </w:r>
      <w:r w:rsidR="0071560B" w:rsidRPr="00F07504">
        <w:rPr>
          <w:rFonts w:ascii="Times New Roman" w:hAnsi="Times New Roman" w:cs="Times New Roman"/>
          <w:sz w:val="24"/>
          <w:szCs w:val="24"/>
        </w:rPr>
        <w:t>to</w:t>
      </w:r>
      <w:r w:rsidR="00766E2A" w:rsidRPr="00F07504">
        <w:rPr>
          <w:rFonts w:ascii="Times New Roman" w:hAnsi="Times New Roman" w:cs="Times New Roman"/>
          <w:sz w:val="24"/>
          <w:szCs w:val="24"/>
        </w:rPr>
        <w:t xml:space="preserve"> </w:t>
      </w:r>
      <w:r w:rsidR="0071560B" w:rsidRPr="00F07504">
        <w:rPr>
          <w:rFonts w:ascii="Times New Roman" w:hAnsi="Times New Roman" w:cs="Times New Roman"/>
          <w:sz w:val="24"/>
          <w:szCs w:val="24"/>
        </w:rPr>
        <w:t>capture</w:t>
      </w:r>
      <w:r w:rsidRPr="00F07504">
        <w:rPr>
          <w:rFonts w:ascii="Times New Roman" w:hAnsi="Times New Roman" w:cs="Times New Roman"/>
          <w:sz w:val="24"/>
          <w:szCs w:val="24"/>
        </w:rPr>
        <w:t xml:space="preserve"> </w:t>
      </w:r>
      <w:r w:rsidR="0071560B" w:rsidRPr="00F07504">
        <w:rPr>
          <w:rFonts w:ascii="Times New Roman" w:hAnsi="Times New Roman" w:cs="Times New Roman"/>
          <w:sz w:val="24"/>
          <w:szCs w:val="24"/>
        </w:rPr>
        <w:t xml:space="preserve">the </w:t>
      </w:r>
      <w:r w:rsidRPr="00F07504">
        <w:rPr>
          <w:rFonts w:ascii="Times New Roman" w:hAnsi="Times New Roman" w:cs="Times New Roman"/>
          <w:sz w:val="24"/>
          <w:szCs w:val="24"/>
        </w:rPr>
        <w:t>possibility that the short-run relationship between the ratio based on cash flows (</w:t>
      </w:r>
      <w:r w:rsidR="0029181B" w:rsidRPr="00F07504">
        <w:rPr>
          <w:rFonts w:ascii="Times New Roman" w:hAnsi="Times New Roman" w:cs="Times New Roman"/>
          <w:sz w:val="24"/>
          <w:szCs w:val="24"/>
        </w:rPr>
        <w:t xml:space="preserve">i.e., </w:t>
      </w:r>
      <w:r w:rsidRPr="00F07504">
        <w:rPr>
          <w:rFonts w:ascii="Times New Roman" w:hAnsi="Times New Roman" w:cs="Times New Roman"/>
          <w:sz w:val="24"/>
          <w:szCs w:val="24"/>
        </w:rPr>
        <w:t xml:space="preserve">CFR) and </w:t>
      </w:r>
      <w:r w:rsidR="00C4366E">
        <w:rPr>
          <w:rFonts w:ascii="Times New Roman" w:hAnsi="Times New Roman" w:cs="Times New Roman"/>
          <w:sz w:val="24"/>
          <w:szCs w:val="24"/>
        </w:rPr>
        <w:t>one of the four</w:t>
      </w:r>
      <w:r w:rsidRPr="00F07504">
        <w:rPr>
          <w:rFonts w:ascii="Times New Roman" w:hAnsi="Times New Roman" w:cs="Times New Roman"/>
          <w:sz w:val="24"/>
          <w:szCs w:val="24"/>
        </w:rPr>
        <w:t xml:space="preserve"> ratio</w:t>
      </w:r>
      <w:r w:rsidR="00C4366E">
        <w:rPr>
          <w:rFonts w:ascii="Times New Roman" w:hAnsi="Times New Roman" w:cs="Times New Roman"/>
          <w:sz w:val="24"/>
          <w:szCs w:val="24"/>
        </w:rPr>
        <w:t>s</w:t>
      </w:r>
      <w:r w:rsidRPr="00F07504">
        <w:rPr>
          <w:rFonts w:ascii="Times New Roman" w:hAnsi="Times New Roman" w:cs="Times New Roman"/>
          <w:sz w:val="24"/>
          <w:szCs w:val="24"/>
        </w:rPr>
        <w:t xml:space="preserve"> based on accounting data (</w:t>
      </w:r>
      <w:r w:rsidR="0029181B" w:rsidRPr="00F07504">
        <w:rPr>
          <w:rFonts w:ascii="Times New Roman" w:hAnsi="Times New Roman" w:cs="Times New Roman"/>
          <w:sz w:val="24"/>
          <w:szCs w:val="24"/>
        </w:rPr>
        <w:t xml:space="preserve">i.e., </w:t>
      </w:r>
      <w:r w:rsidRPr="00F07504">
        <w:rPr>
          <w:rFonts w:ascii="Times New Roman" w:hAnsi="Times New Roman" w:cs="Times New Roman"/>
          <w:sz w:val="24"/>
          <w:szCs w:val="24"/>
        </w:rPr>
        <w:t xml:space="preserve">LIQR, EFFR, PROR, and </w:t>
      </w:r>
      <w:r w:rsidR="00C4366E">
        <w:rPr>
          <w:rFonts w:ascii="Times New Roman" w:hAnsi="Times New Roman" w:cs="Times New Roman"/>
          <w:sz w:val="24"/>
          <w:szCs w:val="24"/>
        </w:rPr>
        <w:t>SOL</w:t>
      </w:r>
      <w:r w:rsidRPr="00F07504">
        <w:rPr>
          <w:rFonts w:ascii="Times New Roman" w:hAnsi="Times New Roman" w:cs="Times New Roman"/>
          <w:sz w:val="24"/>
          <w:szCs w:val="24"/>
        </w:rPr>
        <w:t xml:space="preserve">R) reflects a fundamentally different phenomenon from that which characterizes the long-run </w:t>
      </w:r>
      <w:r w:rsidR="00C4366E">
        <w:rPr>
          <w:rFonts w:ascii="Times New Roman" w:hAnsi="Times New Roman" w:cs="Times New Roman"/>
          <w:sz w:val="24"/>
          <w:szCs w:val="24"/>
        </w:rPr>
        <w:t xml:space="preserve">equilibrium </w:t>
      </w:r>
      <w:r w:rsidRPr="00F07504">
        <w:rPr>
          <w:rFonts w:ascii="Times New Roman" w:hAnsi="Times New Roman" w:cs="Times New Roman"/>
          <w:sz w:val="24"/>
          <w:szCs w:val="24"/>
        </w:rPr>
        <w:t>relationship between these two ratios.</w:t>
      </w:r>
      <w:r w:rsidR="00766E2A" w:rsidRPr="00F07504">
        <w:rPr>
          <w:rFonts w:ascii="Times New Roman" w:hAnsi="Times New Roman" w:cs="Times New Roman"/>
          <w:sz w:val="24"/>
          <w:szCs w:val="24"/>
        </w:rPr>
        <w:t xml:space="preserve"> Statistically, this possibility is tested by identifying a coefficient λ which is significantly different from zero. In addition, the estimation of each PECM allows to ensure that there is a long-</w:t>
      </w:r>
      <w:r w:rsidR="0029181B" w:rsidRPr="00F07504">
        <w:rPr>
          <w:rFonts w:ascii="Times New Roman" w:hAnsi="Times New Roman" w:cs="Times New Roman"/>
          <w:sz w:val="24"/>
          <w:szCs w:val="24"/>
        </w:rPr>
        <w:t>run</w:t>
      </w:r>
      <w:r w:rsidR="00766E2A" w:rsidRPr="00F07504">
        <w:rPr>
          <w:rFonts w:ascii="Times New Roman" w:hAnsi="Times New Roman" w:cs="Times New Roman"/>
          <w:sz w:val="24"/>
          <w:szCs w:val="24"/>
        </w:rPr>
        <w:t xml:space="preserve"> equilibrium relationship </w:t>
      </w:r>
      <w:r w:rsidR="0029181B" w:rsidRPr="00F07504">
        <w:rPr>
          <w:rFonts w:ascii="Times New Roman" w:hAnsi="Times New Roman" w:cs="Times New Roman"/>
          <w:sz w:val="24"/>
          <w:szCs w:val="24"/>
        </w:rPr>
        <w:t xml:space="preserve">(i.e., cointegration relationship) </w:t>
      </w:r>
      <w:r w:rsidR="00766E2A" w:rsidRPr="00F07504">
        <w:rPr>
          <w:rFonts w:ascii="Times New Roman" w:hAnsi="Times New Roman" w:cs="Times New Roman"/>
          <w:sz w:val="24"/>
          <w:szCs w:val="24"/>
        </w:rPr>
        <w:t xml:space="preserve">between </w:t>
      </w:r>
      <w:r w:rsidR="0029181B" w:rsidRPr="00F07504">
        <w:rPr>
          <w:rFonts w:ascii="Times New Roman" w:hAnsi="Times New Roman" w:cs="Times New Roman"/>
          <w:sz w:val="24"/>
          <w:szCs w:val="24"/>
        </w:rPr>
        <w:t xml:space="preserve">the ratio based on cash flows (i.e., CFR) and </w:t>
      </w:r>
      <w:r w:rsidR="00D41C90">
        <w:rPr>
          <w:rFonts w:ascii="Times New Roman" w:hAnsi="Times New Roman" w:cs="Times New Roman"/>
          <w:sz w:val="24"/>
          <w:szCs w:val="24"/>
        </w:rPr>
        <w:t>one of the four</w:t>
      </w:r>
      <w:r w:rsidR="00D41C90" w:rsidRPr="00F07504">
        <w:rPr>
          <w:rFonts w:ascii="Times New Roman" w:hAnsi="Times New Roman" w:cs="Times New Roman"/>
          <w:sz w:val="24"/>
          <w:szCs w:val="24"/>
        </w:rPr>
        <w:t xml:space="preserve"> ratio</w:t>
      </w:r>
      <w:r w:rsidR="00D41C90">
        <w:rPr>
          <w:rFonts w:ascii="Times New Roman" w:hAnsi="Times New Roman" w:cs="Times New Roman"/>
          <w:sz w:val="24"/>
          <w:szCs w:val="24"/>
        </w:rPr>
        <w:t>s</w:t>
      </w:r>
      <w:r w:rsidR="00D41C90" w:rsidRPr="00F07504">
        <w:rPr>
          <w:rFonts w:ascii="Times New Roman" w:hAnsi="Times New Roman" w:cs="Times New Roman"/>
          <w:sz w:val="24"/>
          <w:szCs w:val="24"/>
        </w:rPr>
        <w:t xml:space="preserve"> based on accounting data </w:t>
      </w:r>
      <w:r w:rsidR="0029181B" w:rsidRPr="00F07504">
        <w:rPr>
          <w:rFonts w:ascii="Times New Roman" w:hAnsi="Times New Roman" w:cs="Times New Roman"/>
          <w:sz w:val="24"/>
          <w:szCs w:val="24"/>
        </w:rPr>
        <w:t xml:space="preserve">(i.e., LIQR, EFFR, PROR, and </w:t>
      </w:r>
      <w:r w:rsidR="00D41C90">
        <w:rPr>
          <w:rFonts w:ascii="Times New Roman" w:hAnsi="Times New Roman" w:cs="Times New Roman"/>
          <w:sz w:val="24"/>
          <w:szCs w:val="24"/>
        </w:rPr>
        <w:t>SOL</w:t>
      </w:r>
      <w:r w:rsidR="0029181B" w:rsidRPr="00F07504">
        <w:rPr>
          <w:rFonts w:ascii="Times New Roman" w:hAnsi="Times New Roman" w:cs="Times New Roman"/>
          <w:sz w:val="24"/>
          <w:szCs w:val="24"/>
        </w:rPr>
        <w:t xml:space="preserve">R). For this, we should identify a </w:t>
      </w:r>
      <w:bookmarkStart w:id="15" w:name="_Hlk69833633"/>
      <w:r w:rsidR="0029181B" w:rsidRPr="00F07504">
        <w:rPr>
          <w:rFonts w:ascii="Times New Roman" w:hAnsi="Times New Roman" w:cs="Times New Roman"/>
          <w:sz w:val="24"/>
          <w:szCs w:val="24"/>
        </w:rPr>
        <w:t>coefficient λ which is negative and significantly different from zero</w:t>
      </w:r>
      <w:bookmarkEnd w:id="15"/>
      <w:r w:rsidR="0029181B" w:rsidRPr="00F07504">
        <w:rPr>
          <w:rFonts w:ascii="Times New Roman" w:hAnsi="Times New Roman" w:cs="Times New Roman"/>
          <w:sz w:val="24"/>
          <w:szCs w:val="24"/>
        </w:rPr>
        <w:t>. Indeed, if the coefficient λ is not negative and significantly different from zero,</w:t>
      </w:r>
      <w:r w:rsidR="00285A4E" w:rsidRPr="00F07504">
        <w:rPr>
          <w:rFonts w:ascii="Times New Roman" w:hAnsi="Times New Roman" w:cs="Times New Roman"/>
          <w:sz w:val="24"/>
          <w:szCs w:val="24"/>
        </w:rPr>
        <w:t xml:space="preserve"> then </w:t>
      </w:r>
      <w:r w:rsidR="0029181B" w:rsidRPr="00F07504">
        <w:rPr>
          <w:rFonts w:ascii="Times New Roman" w:hAnsi="Times New Roman" w:cs="Times New Roman"/>
          <w:sz w:val="24"/>
          <w:szCs w:val="24"/>
        </w:rPr>
        <w:t>we can conclude that</w:t>
      </w:r>
      <w:r w:rsidR="00285A4E" w:rsidRPr="00F07504">
        <w:rPr>
          <w:rFonts w:ascii="Times New Roman" w:hAnsi="Times New Roman" w:cs="Times New Roman"/>
          <w:sz w:val="24"/>
          <w:szCs w:val="24"/>
        </w:rPr>
        <w:t xml:space="preserve"> </w:t>
      </w:r>
      <w:r w:rsidR="00285A4E" w:rsidRPr="00F07504">
        <w:rPr>
          <w:rFonts w:ascii="Times New Roman" w:hAnsi="Times New Roman" w:cs="Times New Roman"/>
          <w:sz w:val="24"/>
          <w:szCs w:val="24"/>
        </w:rPr>
        <w:lastRenderedPageBreak/>
        <w:t xml:space="preserve">the PECM </w:t>
      </w:r>
      <w:r w:rsidR="00D41C90">
        <w:rPr>
          <w:rFonts w:ascii="Times New Roman" w:hAnsi="Times New Roman" w:cs="Times New Roman"/>
          <w:sz w:val="24"/>
          <w:szCs w:val="24"/>
        </w:rPr>
        <w:t xml:space="preserve">estimation </w:t>
      </w:r>
      <w:r w:rsidR="0029181B" w:rsidRPr="00F07504">
        <w:rPr>
          <w:rFonts w:ascii="Times New Roman" w:hAnsi="Times New Roman" w:cs="Times New Roman"/>
          <w:sz w:val="24"/>
          <w:szCs w:val="24"/>
        </w:rPr>
        <w:t>should be rejected</w:t>
      </w:r>
      <w:r w:rsidR="00285A4E" w:rsidRPr="00F07504">
        <w:rPr>
          <w:rFonts w:ascii="Times New Roman" w:hAnsi="Times New Roman" w:cs="Times New Roman"/>
          <w:sz w:val="24"/>
          <w:szCs w:val="24"/>
        </w:rPr>
        <w:t xml:space="preserve"> and so there is no cointegration since </w:t>
      </w:r>
      <w:r w:rsidR="0029181B" w:rsidRPr="00F07504">
        <w:rPr>
          <w:rFonts w:ascii="Times New Roman" w:hAnsi="Times New Roman" w:cs="Times New Roman"/>
          <w:sz w:val="24"/>
          <w:szCs w:val="24"/>
        </w:rPr>
        <w:t>in such a case the error correction mechanism would</w:t>
      </w:r>
      <w:r w:rsidR="00285A4E" w:rsidRPr="00F07504">
        <w:rPr>
          <w:rFonts w:ascii="Times New Roman" w:hAnsi="Times New Roman" w:cs="Times New Roman"/>
          <w:sz w:val="24"/>
          <w:szCs w:val="24"/>
        </w:rPr>
        <w:t xml:space="preserve"> </w:t>
      </w:r>
      <w:r w:rsidR="0029181B" w:rsidRPr="00F07504">
        <w:rPr>
          <w:rFonts w:ascii="Times New Roman" w:hAnsi="Times New Roman" w:cs="Times New Roman"/>
          <w:sz w:val="24"/>
          <w:szCs w:val="24"/>
        </w:rPr>
        <w:t>go in the opposite direction and move away from the long-</w:t>
      </w:r>
      <w:r w:rsidR="00285A4E" w:rsidRPr="00F07504">
        <w:rPr>
          <w:rFonts w:ascii="Times New Roman" w:hAnsi="Times New Roman" w:cs="Times New Roman"/>
          <w:sz w:val="24"/>
          <w:szCs w:val="24"/>
        </w:rPr>
        <w:t>run equilibrium target.</w:t>
      </w:r>
      <w:r w:rsidR="00D75879" w:rsidRPr="00F07504">
        <w:rPr>
          <w:rFonts w:ascii="Times New Roman" w:hAnsi="Times New Roman" w:cs="Times New Roman"/>
          <w:sz w:val="24"/>
          <w:szCs w:val="24"/>
        </w:rPr>
        <w:t xml:space="preserve"> </w:t>
      </w:r>
    </w:p>
    <w:p w14:paraId="75F469F0" w14:textId="7D8864D3" w:rsidR="00E81C86" w:rsidRPr="00F07504" w:rsidRDefault="00D75879" w:rsidP="00F07504">
      <w:pPr>
        <w:spacing w:line="240" w:lineRule="auto"/>
        <w:jc w:val="both"/>
        <w:rPr>
          <w:rFonts w:ascii="Times New Roman" w:hAnsi="Times New Roman" w:cs="Times New Roman"/>
          <w:sz w:val="24"/>
          <w:szCs w:val="24"/>
        </w:rPr>
      </w:pPr>
      <w:r w:rsidRPr="00F07504">
        <w:rPr>
          <w:rFonts w:ascii="Times New Roman" w:hAnsi="Times New Roman" w:cs="Times New Roman"/>
          <w:sz w:val="24"/>
          <w:szCs w:val="24"/>
        </w:rPr>
        <w:t xml:space="preserve">In this study, we have used the approach of Pesaran, Shin and Smith (1999) to estimate our </w:t>
      </w:r>
      <w:r w:rsidR="00D41C90" w:rsidRPr="00F07504">
        <w:rPr>
          <w:rFonts w:ascii="Times New Roman" w:hAnsi="Times New Roman" w:cs="Times New Roman"/>
          <w:sz w:val="24"/>
          <w:szCs w:val="24"/>
        </w:rPr>
        <w:t>four</w:t>
      </w:r>
      <w:r w:rsidR="00D41C90">
        <w:rPr>
          <w:rFonts w:ascii="Times New Roman" w:hAnsi="Times New Roman" w:cs="Times New Roman"/>
          <w:sz w:val="24"/>
          <w:szCs w:val="24"/>
        </w:rPr>
        <w:t xml:space="preserve"> </w:t>
      </w:r>
      <w:r w:rsidR="00D41C90" w:rsidRPr="00F07504">
        <w:rPr>
          <w:rFonts w:ascii="Times New Roman" w:hAnsi="Times New Roman" w:cs="Times New Roman"/>
          <w:sz w:val="24"/>
          <w:szCs w:val="24"/>
        </w:rPr>
        <w:t>panel</w:t>
      </w:r>
      <w:r w:rsidRPr="00F07504">
        <w:rPr>
          <w:rFonts w:ascii="Times New Roman" w:hAnsi="Times New Roman" w:cs="Times New Roman"/>
          <w:sz w:val="24"/>
          <w:szCs w:val="24"/>
        </w:rPr>
        <w:t xml:space="preserve"> error</w:t>
      </w:r>
      <w:r w:rsidR="00F02233" w:rsidRPr="00F07504">
        <w:rPr>
          <w:rFonts w:ascii="Times New Roman" w:hAnsi="Times New Roman" w:cs="Times New Roman"/>
          <w:sz w:val="24"/>
          <w:szCs w:val="24"/>
        </w:rPr>
        <w:t>-</w:t>
      </w:r>
      <w:r w:rsidRPr="00F07504">
        <w:rPr>
          <w:rFonts w:ascii="Times New Roman" w:hAnsi="Times New Roman" w:cs="Times New Roman"/>
          <w:sz w:val="24"/>
          <w:szCs w:val="24"/>
        </w:rPr>
        <w:t>correction models</w:t>
      </w:r>
      <w:r w:rsidR="00F47E68" w:rsidRPr="00F07504">
        <w:rPr>
          <w:rFonts w:ascii="Times New Roman" w:hAnsi="Times New Roman" w:cs="Times New Roman"/>
          <w:sz w:val="24"/>
          <w:szCs w:val="24"/>
        </w:rPr>
        <w:t xml:space="preserve"> (PECM)</w:t>
      </w:r>
      <w:r w:rsidRPr="00F07504">
        <w:rPr>
          <w:rFonts w:ascii="Times New Roman" w:hAnsi="Times New Roman" w:cs="Times New Roman"/>
          <w:sz w:val="24"/>
          <w:szCs w:val="24"/>
        </w:rPr>
        <w:t>.</w:t>
      </w:r>
      <w:r w:rsidR="00D41C90">
        <w:rPr>
          <w:rFonts w:ascii="Times New Roman" w:hAnsi="Times New Roman" w:cs="Times New Roman"/>
          <w:sz w:val="24"/>
          <w:szCs w:val="24"/>
        </w:rPr>
        <w:t xml:space="preserve"> </w:t>
      </w:r>
      <w:r w:rsidRPr="00F07504">
        <w:rPr>
          <w:rFonts w:ascii="Times New Roman" w:hAnsi="Times New Roman" w:cs="Times New Roman"/>
          <w:sz w:val="24"/>
          <w:szCs w:val="24"/>
        </w:rPr>
        <w:t>In the literature</w:t>
      </w:r>
      <w:r w:rsidR="00F02233" w:rsidRPr="00F07504">
        <w:rPr>
          <w:rFonts w:ascii="Times New Roman" w:hAnsi="Times New Roman" w:cs="Times New Roman"/>
          <w:sz w:val="24"/>
          <w:szCs w:val="24"/>
        </w:rPr>
        <w:t xml:space="preserve"> on PECM</w:t>
      </w:r>
      <w:r w:rsidRPr="00F07504">
        <w:rPr>
          <w:rFonts w:ascii="Times New Roman" w:hAnsi="Times New Roman" w:cs="Times New Roman"/>
          <w:sz w:val="24"/>
          <w:szCs w:val="24"/>
        </w:rPr>
        <w:t xml:space="preserve">, there are three </w:t>
      </w:r>
      <w:r w:rsidR="00F02233" w:rsidRPr="00F07504">
        <w:rPr>
          <w:rFonts w:ascii="Times New Roman" w:hAnsi="Times New Roman" w:cs="Times New Roman"/>
          <w:sz w:val="24"/>
          <w:szCs w:val="24"/>
        </w:rPr>
        <w:t xml:space="preserve">estimation </w:t>
      </w:r>
      <w:r w:rsidRPr="00F07504">
        <w:rPr>
          <w:rFonts w:ascii="Times New Roman" w:hAnsi="Times New Roman" w:cs="Times New Roman"/>
          <w:sz w:val="24"/>
          <w:szCs w:val="24"/>
        </w:rPr>
        <w:t>techniques</w:t>
      </w:r>
      <w:r w:rsidR="00F02233" w:rsidRPr="00F07504">
        <w:rPr>
          <w:rFonts w:ascii="Times New Roman" w:hAnsi="Times New Roman" w:cs="Times New Roman"/>
          <w:sz w:val="24"/>
          <w:szCs w:val="24"/>
        </w:rPr>
        <w:t>, namely, the</w:t>
      </w:r>
      <w:r w:rsidRPr="00F07504">
        <w:rPr>
          <w:rFonts w:ascii="Times New Roman" w:hAnsi="Times New Roman" w:cs="Times New Roman"/>
          <w:sz w:val="24"/>
          <w:szCs w:val="24"/>
        </w:rPr>
        <w:t xml:space="preserve"> DFE (</w:t>
      </w:r>
      <w:r w:rsidR="00F02233" w:rsidRPr="00F07504">
        <w:rPr>
          <w:rFonts w:ascii="Times New Roman" w:hAnsi="Times New Roman" w:cs="Times New Roman"/>
          <w:sz w:val="24"/>
          <w:szCs w:val="24"/>
        </w:rPr>
        <w:t>i.e., D</w:t>
      </w:r>
      <w:r w:rsidRPr="00F07504">
        <w:rPr>
          <w:rFonts w:ascii="Times New Roman" w:hAnsi="Times New Roman" w:cs="Times New Roman"/>
          <w:sz w:val="24"/>
          <w:szCs w:val="24"/>
        </w:rPr>
        <w:t xml:space="preserve">ynamic </w:t>
      </w:r>
      <w:r w:rsidR="00F02233" w:rsidRPr="00F07504">
        <w:rPr>
          <w:rFonts w:ascii="Times New Roman" w:hAnsi="Times New Roman" w:cs="Times New Roman"/>
          <w:sz w:val="24"/>
          <w:szCs w:val="24"/>
        </w:rPr>
        <w:t>F</w:t>
      </w:r>
      <w:r w:rsidRPr="00F07504">
        <w:rPr>
          <w:rFonts w:ascii="Times New Roman" w:hAnsi="Times New Roman" w:cs="Times New Roman"/>
          <w:sz w:val="24"/>
          <w:szCs w:val="24"/>
        </w:rPr>
        <w:t>ixed-effects</w:t>
      </w:r>
      <w:r w:rsidR="00A45B22" w:rsidRPr="00F07504">
        <w:rPr>
          <w:rFonts w:ascii="Times New Roman" w:hAnsi="Times New Roman" w:cs="Times New Roman"/>
          <w:sz w:val="24"/>
          <w:szCs w:val="24"/>
        </w:rPr>
        <w:t xml:space="preserve"> estimator</w:t>
      </w:r>
      <w:r w:rsidRPr="00F07504">
        <w:rPr>
          <w:rFonts w:ascii="Times New Roman" w:hAnsi="Times New Roman" w:cs="Times New Roman"/>
          <w:sz w:val="24"/>
          <w:szCs w:val="24"/>
        </w:rPr>
        <w:t xml:space="preserve">), </w:t>
      </w:r>
      <w:r w:rsidR="00F02233" w:rsidRPr="00F07504">
        <w:rPr>
          <w:rFonts w:ascii="Times New Roman" w:hAnsi="Times New Roman" w:cs="Times New Roman"/>
          <w:sz w:val="24"/>
          <w:szCs w:val="24"/>
        </w:rPr>
        <w:t>the</w:t>
      </w:r>
      <w:r w:rsidRPr="00F07504">
        <w:rPr>
          <w:rFonts w:ascii="Times New Roman" w:hAnsi="Times New Roman" w:cs="Times New Roman"/>
          <w:sz w:val="24"/>
          <w:szCs w:val="24"/>
        </w:rPr>
        <w:t xml:space="preserve"> PMG (</w:t>
      </w:r>
      <w:r w:rsidR="00F02233" w:rsidRPr="00F07504">
        <w:rPr>
          <w:rFonts w:ascii="Times New Roman" w:hAnsi="Times New Roman" w:cs="Times New Roman"/>
          <w:sz w:val="24"/>
          <w:szCs w:val="24"/>
        </w:rPr>
        <w:t xml:space="preserve">i.e., </w:t>
      </w:r>
      <w:r w:rsidR="00A45B22" w:rsidRPr="00F07504">
        <w:rPr>
          <w:rFonts w:ascii="Times New Roman" w:hAnsi="Times New Roman" w:cs="Times New Roman"/>
          <w:sz w:val="24"/>
          <w:szCs w:val="24"/>
        </w:rPr>
        <w:t>P</w:t>
      </w:r>
      <w:r w:rsidRPr="00F07504">
        <w:rPr>
          <w:rFonts w:ascii="Times New Roman" w:hAnsi="Times New Roman" w:cs="Times New Roman"/>
          <w:sz w:val="24"/>
          <w:szCs w:val="24"/>
        </w:rPr>
        <w:t xml:space="preserve">ooled </w:t>
      </w:r>
      <w:r w:rsidR="00A45B22" w:rsidRPr="00F07504">
        <w:rPr>
          <w:rFonts w:ascii="Times New Roman" w:hAnsi="Times New Roman" w:cs="Times New Roman"/>
          <w:sz w:val="24"/>
          <w:szCs w:val="24"/>
        </w:rPr>
        <w:t>M</w:t>
      </w:r>
      <w:r w:rsidRPr="00F07504">
        <w:rPr>
          <w:rFonts w:ascii="Times New Roman" w:hAnsi="Times New Roman" w:cs="Times New Roman"/>
          <w:sz w:val="24"/>
          <w:szCs w:val="24"/>
        </w:rPr>
        <w:t xml:space="preserve">ean </w:t>
      </w:r>
      <w:r w:rsidR="00A45B22" w:rsidRPr="00F07504">
        <w:rPr>
          <w:rFonts w:ascii="Times New Roman" w:hAnsi="Times New Roman" w:cs="Times New Roman"/>
          <w:sz w:val="24"/>
          <w:szCs w:val="24"/>
        </w:rPr>
        <w:t>G</w:t>
      </w:r>
      <w:r w:rsidRPr="00F07504">
        <w:rPr>
          <w:rFonts w:ascii="Times New Roman" w:hAnsi="Times New Roman" w:cs="Times New Roman"/>
          <w:sz w:val="24"/>
          <w:szCs w:val="24"/>
        </w:rPr>
        <w:t>roup estimat</w:t>
      </w:r>
      <w:r w:rsidR="00A45B22" w:rsidRPr="00F07504">
        <w:rPr>
          <w:rFonts w:ascii="Times New Roman" w:hAnsi="Times New Roman" w:cs="Times New Roman"/>
          <w:sz w:val="24"/>
          <w:szCs w:val="24"/>
        </w:rPr>
        <w:t>or</w:t>
      </w:r>
      <w:r w:rsidRPr="00F07504">
        <w:rPr>
          <w:rFonts w:ascii="Times New Roman" w:hAnsi="Times New Roman" w:cs="Times New Roman"/>
          <w:sz w:val="24"/>
          <w:szCs w:val="24"/>
        </w:rPr>
        <w:t>)</w:t>
      </w:r>
      <w:r w:rsidR="00A45B22" w:rsidRPr="00F07504">
        <w:rPr>
          <w:rFonts w:ascii="Times New Roman" w:hAnsi="Times New Roman" w:cs="Times New Roman"/>
          <w:sz w:val="24"/>
          <w:szCs w:val="24"/>
        </w:rPr>
        <w:t>,</w:t>
      </w:r>
      <w:r w:rsidRPr="00F07504">
        <w:rPr>
          <w:rFonts w:ascii="Times New Roman" w:hAnsi="Times New Roman" w:cs="Times New Roman"/>
          <w:sz w:val="24"/>
          <w:szCs w:val="24"/>
        </w:rPr>
        <w:t xml:space="preserve"> </w:t>
      </w:r>
      <w:r w:rsidR="00A45B22" w:rsidRPr="00F07504">
        <w:rPr>
          <w:rFonts w:ascii="Times New Roman" w:hAnsi="Times New Roman" w:cs="Times New Roman"/>
          <w:sz w:val="24"/>
          <w:szCs w:val="24"/>
        </w:rPr>
        <w:t>and MG</w:t>
      </w:r>
      <w:r w:rsidR="00B04D95" w:rsidRPr="00F07504">
        <w:rPr>
          <w:rFonts w:ascii="Times New Roman" w:hAnsi="Times New Roman" w:cs="Times New Roman"/>
          <w:sz w:val="24"/>
          <w:szCs w:val="24"/>
        </w:rPr>
        <w:t xml:space="preserve"> </w:t>
      </w:r>
      <w:r w:rsidRPr="00F07504">
        <w:rPr>
          <w:rFonts w:ascii="Times New Roman" w:hAnsi="Times New Roman" w:cs="Times New Roman"/>
          <w:sz w:val="24"/>
          <w:szCs w:val="24"/>
        </w:rPr>
        <w:t>(</w:t>
      </w:r>
      <w:r w:rsidR="00B04D95" w:rsidRPr="00F07504">
        <w:rPr>
          <w:rFonts w:ascii="Times New Roman" w:hAnsi="Times New Roman" w:cs="Times New Roman"/>
          <w:sz w:val="24"/>
          <w:szCs w:val="24"/>
        </w:rPr>
        <w:t xml:space="preserve">i.e., </w:t>
      </w:r>
      <w:r w:rsidR="00A45B22" w:rsidRPr="00F07504">
        <w:rPr>
          <w:rFonts w:ascii="Times New Roman" w:hAnsi="Times New Roman" w:cs="Times New Roman"/>
          <w:sz w:val="24"/>
          <w:szCs w:val="24"/>
        </w:rPr>
        <w:t>M</w:t>
      </w:r>
      <w:r w:rsidRPr="00F07504">
        <w:rPr>
          <w:rFonts w:ascii="Times New Roman" w:hAnsi="Times New Roman" w:cs="Times New Roman"/>
          <w:sz w:val="24"/>
          <w:szCs w:val="24"/>
        </w:rPr>
        <w:t xml:space="preserve">ean </w:t>
      </w:r>
      <w:r w:rsidR="00A45B22" w:rsidRPr="00F07504">
        <w:rPr>
          <w:rFonts w:ascii="Times New Roman" w:hAnsi="Times New Roman" w:cs="Times New Roman"/>
          <w:sz w:val="24"/>
          <w:szCs w:val="24"/>
        </w:rPr>
        <w:t>G</w:t>
      </w:r>
      <w:r w:rsidRPr="00F07504">
        <w:rPr>
          <w:rFonts w:ascii="Times New Roman" w:hAnsi="Times New Roman" w:cs="Times New Roman"/>
          <w:sz w:val="24"/>
          <w:szCs w:val="24"/>
        </w:rPr>
        <w:t>roup estimat</w:t>
      </w:r>
      <w:r w:rsidR="00A45B22" w:rsidRPr="00F07504">
        <w:rPr>
          <w:rFonts w:ascii="Times New Roman" w:hAnsi="Times New Roman" w:cs="Times New Roman"/>
          <w:sz w:val="24"/>
          <w:szCs w:val="24"/>
        </w:rPr>
        <w:t>or</w:t>
      </w:r>
      <w:r w:rsidRPr="00F07504">
        <w:rPr>
          <w:rFonts w:ascii="Times New Roman" w:hAnsi="Times New Roman" w:cs="Times New Roman"/>
          <w:sz w:val="24"/>
          <w:szCs w:val="24"/>
        </w:rPr>
        <w:t>).</w:t>
      </w:r>
      <w:r w:rsidR="004B4C21" w:rsidRPr="00F07504">
        <w:rPr>
          <w:rFonts w:ascii="Times New Roman" w:hAnsi="Times New Roman" w:cs="Times New Roman"/>
          <w:sz w:val="24"/>
          <w:szCs w:val="24"/>
        </w:rPr>
        <w:t xml:space="preserve"> </w:t>
      </w:r>
      <w:r w:rsidR="005C5BC4">
        <w:rPr>
          <w:rFonts w:ascii="Times New Roman" w:hAnsi="Times New Roman" w:cs="Times New Roman"/>
          <w:sz w:val="24"/>
          <w:szCs w:val="24"/>
        </w:rPr>
        <w:t>W</w:t>
      </w:r>
      <w:r w:rsidR="004B4C21" w:rsidRPr="00F07504">
        <w:rPr>
          <w:rFonts w:ascii="Times New Roman" w:hAnsi="Times New Roman" w:cs="Times New Roman"/>
          <w:sz w:val="24"/>
          <w:szCs w:val="24"/>
        </w:rPr>
        <w:t xml:space="preserve">e </w:t>
      </w:r>
      <w:r w:rsidR="005C5BC4">
        <w:rPr>
          <w:rFonts w:ascii="Times New Roman" w:hAnsi="Times New Roman" w:cs="Times New Roman"/>
          <w:sz w:val="24"/>
          <w:szCs w:val="24"/>
        </w:rPr>
        <w:t xml:space="preserve">only </w:t>
      </w:r>
      <w:r w:rsidR="004B4C21" w:rsidRPr="00F07504">
        <w:rPr>
          <w:rFonts w:ascii="Times New Roman" w:hAnsi="Times New Roman" w:cs="Times New Roman"/>
          <w:sz w:val="24"/>
          <w:szCs w:val="24"/>
        </w:rPr>
        <w:t>present</w:t>
      </w:r>
      <w:r w:rsidR="005C5BC4">
        <w:rPr>
          <w:rFonts w:ascii="Times New Roman" w:hAnsi="Times New Roman" w:cs="Times New Roman"/>
          <w:sz w:val="24"/>
          <w:szCs w:val="24"/>
        </w:rPr>
        <w:t xml:space="preserve"> </w:t>
      </w:r>
      <w:r w:rsidR="004B4C21" w:rsidRPr="00F07504">
        <w:rPr>
          <w:rFonts w:ascii="Times New Roman" w:hAnsi="Times New Roman" w:cs="Times New Roman"/>
          <w:sz w:val="24"/>
          <w:szCs w:val="24"/>
        </w:rPr>
        <w:t xml:space="preserve">the results </w:t>
      </w:r>
      <w:r w:rsidR="005C5BC4">
        <w:rPr>
          <w:rFonts w:ascii="Times New Roman" w:hAnsi="Times New Roman" w:cs="Times New Roman"/>
          <w:sz w:val="24"/>
          <w:szCs w:val="24"/>
        </w:rPr>
        <w:t xml:space="preserve">of </w:t>
      </w:r>
      <w:r w:rsidR="004B4C21" w:rsidRPr="00F07504">
        <w:rPr>
          <w:rFonts w:ascii="Times New Roman" w:hAnsi="Times New Roman" w:cs="Times New Roman"/>
          <w:sz w:val="24"/>
          <w:szCs w:val="24"/>
        </w:rPr>
        <w:t xml:space="preserve">the dynamic fixed-effects estimator (DFE) since the other two estimation techniques (i.e., PMG and MG) </w:t>
      </w:r>
      <w:r w:rsidR="005C5BC4">
        <w:rPr>
          <w:rFonts w:ascii="Times New Roman" w:hAnsi="Times New Roman" w:cs="Times New Roman"/>
          <w:sz w:val="24"/>
          <w:szCs w:val="24"/>
        </w:rPr>
        <w:t xml:space="preserve">habitually </w:t>
      </w:r>
      <w:r w:rsidR="004B4C21" w:rsidRPr="00F07504">
        <w:rPr>
          <w:rFonts w:ascii="Times New Roman" w:hAnsi="Times New Roman" w:cs="Times New Roman"/>
          <w:sz w:val="24"/>
          <w:szCs w:val="24"/>
        </w:rPr>
        <w:t xml:space="preserve">lead to same findings regarding the sign and the significance of the </w:t>
      </w:r>
      <w:r w:rsidR="005C5BC4">
        <w:rPr>
          <w:rFonts w:ascii="Times New Roman" w:hAnsi="Times New Roman" w:cs="Times New Roman"/>
          <w:sz w:val="24"/>
          <w:szCs w:val="24"/>
        </w:rPr>
        <w:t xml:space="preserve">error-correction </w:t>
      </w:r>
      <w:r w:rsidR="004B4C21" w:rsidRPr="00F07504">
        <w:rPr>
          <w:rFonts w:ascii="Times New Roman" w:hAnsi="Times New Roman" w:cs="Times New Roman"/>
          <w:sz w:val="24"/>
          <w:szCs w:val="24"/>
        </w:rPr>
        <w:t xml:space="preserve">coefficient λ. </w:t>
      </w:r>
    </w:p>
    <w:p w14:paraId="3CF90BE2" w14:textId="0E372E35" w:rsidR="00C55319" w:rsidRPr="00F07504" w:rsidRDefault="00A357B4" w:rsidP="00F07504">
      <w:pPr>
        <w:spacing w:line="240" w:lineRule="auto"/>
        <w:jc w:val="both"/>
        <w:rPr>
          <w:rFonts w:ascii="Times New Roman" w:hAnsi="Times New Roman" w:cs="Times New Roman"/>
          <w:sz w:val="24"/>
          <w:szCs w:val="24"/>
        </w:rPr>
      </w:pPr>
      <w:r w:rsidRPr="00F07504">
        <w:rPr>
          <w:rFonts w:ascii="Times New Roman" w:hAnsi="Times New Roman" w:cs="Times New Roman"/>
          <w:sz w:val="24"/>
          <w:szCs w:val="24"/>
        </w:rPr>
        <w:t xml:space="preserve">Table </w:t>
      </w:r>
      <w:r w:rsidR="00C55319" w:rsidRPr="00F07504">
        <w:rPr>
          <w:rFonts w:ascii="Times New Roman" w:hAnsi="Times New Roman" w:cs="Times New Roman"/>
          <w:sz w:val="24"/>
          <w:szCs w:val="24"/>
        </w:rPr>
        <w:t>6</w:t>
      </w:r>
      <w:r w:rsidRPr="00F07504">
        <w:rPr>
          <w:rFonts w:ascii="Times New Roman" w:hAnsi="Times New Roman" w:cs="Times New Roman"/>
          <w:sz w:val="24"/>
          <w:szCs w:val="24"/>
        </w:rPr>
        <w:t xml:space="preserve"> presents the results of the PECM estimation by the DFE technique</w:t>
      </w:r>
      <w:r w:rsidR="00C55319" w:rsidRPr="00F07504">
        <w:rPr>
          <w:rFonts w:ascii="Times New Roman" w:hAnsi="Times New Roman" w:cs="Times New Roman"/>
          <w:sz w:val="24"/>
          <w:szCs w:val="24"/>
        </w:rPr>
        <w:t xml:space="preserve"> for the following models:</w:t>
      </w:r>
    </w:p>
    <w:p w14:paraId="59256209" w14:textId="3F1D7422" w:rsidR="00C55319" w:rsidRPr="005C5BC4" w:rsidRDefault="00C55319" w:rsidP="00F07504">
      <w:pPr>
        <w:spacing w:line="240" w:lineRule="auto"/>
        <w:jc w:val="both"/>
        <w:rPr>
          <w:rFonts w:ascii="Times New Roman" w:hAnsi="Times New Roman" w:cs="Times New Roman"/>
          <w:sz w:val="24"/>
          <w:szCs w:val="24"/>
        </w:rPr>
      </w:pPr>
      <w:r w:rsidRPr="005C5BC4">
        <w:rPr>
          <w:rFonts w:ascii="Times New Roman" w:hAnsi="Times New Roman" w:cs="Times New Roman"/>
          <w:sz w:val="24"/>
          <w:szCs w:val="24"/>
        </w:rPr>
        <w:t>PECM 1:</w:t>
      </w:r>
      <w:r w:rsidR="005C5BC4">
        <w:rPr>
          <w:rFonts w:ascii="Times New Roman" w:hAnsi="Times New Roman" w:cs="Times New Roman"/>
          <w:sz w:val="24"/>
          <w:szCs w:val="24"/>
        </w:rPr>
        <w:t xml:space="preserve">   </w:t>
      </w:r>
      <w:r w:rsidR="00303D4D" w:rsidRPr="005C5BC4">
        <w:rPr>
          <w:rFonts w:ascii="Times New Roman" w:hAnsi="Times New Roman" w:cs="Times New Roman"/>
          <w:sz w:val="24"/>
          <w:szCs w:val="24"/>
        </w:rPr>
        <w:t xml:space="preserv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LIQR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LIQR</m:t>
                </m:r>
              </m:e>
              <m:sub>
                <m:r>
                  <m:rPr>
                    <m:sty m:val="p"/>
                  </m:rPr>
                  <w:rPr>
                    <w:rFonts w:ascii="Cambria Math" w:hAnsi="Cambria Math" w:cs="Times New Roman"/>
                    <w:sz w:val="24"/>
                    <w:szCs w:val="24"/>
                  </w:rPr>
                  <m:t>i,t-1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0CF0D0C6" w14:textId="449D71F6" w:rsidR="00C55319" w:rsidRPr="005C5BC4" w:rsidRDefault="00C55319" w:rsidP="00F07504">
      <w:pPr>
        <w:spacing w:line="240" w:lineRule="auto"/>
        <w:jc w:val="both"/>
        <w:rPr>
          <w:rFonts w:ascii="Times New Roman" w:hAnsi="Times New Roman" w:cs="Times New Roman"/>
          <w:sz w:val="24"/>
          <w:szCs w:val="24"/>
        </w:rPr>
      </w:pPr>
      <w:r w:rsidRPr="005C5BC4">
        <w:rPr>
          <w:rFonts w:ascii="Times New Roman" w:hAnsi="Times New Roman" w:cs="Times New Roman"/>
          <w:sz w:val="24"/>
          <w:szCs w:val="24"/>
        </w:rPr>
        <w:t>PECM 2:</w:t>
      </w:r>
      <w:r w:rsidR="005C5BC4">
        <w:rPr>
          <w:rFonts w:ascii="Times New Roman" w:hAnsi="Times New Roman" w:cs="Times New Roman"/>
          <w:sz w:val="24"/>
          <w:szCs w:val="24"/>
        </w:rPr>
        <w:t xml:space="preserve">   </w:t>
      </w:r>
      <w:r w:rsidR="00303D4D" w:rsidRPr="005C5BC4">
        <w:rPr>
          <w:rFonts w:ascii="Times New Roman" w:hAnsi="Times New Roman" w:cs="Times New Roman"/>
          <w:sz w:val="24"/>
          <w:szCs w:val="24"/>
        </w:rPr>
        <w:t xml:space="preserv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EFFR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EFFR</m:t>
                </m:r>
              </m:e>
              <m:sub>
                <m:r>
                  <m:rPr>
                    <m:sty m:val="p"/>
                  </m:rPr>
                  <w:rPr>
                    <w:rFonts w:ascii="Cambria Math" w:hAnsi="Cambria Math" w:cs="Times New Roman"/>
                    <w:sz w:val="24"/>
                    <w:szCs w:val="24"/>
                  </w:rPr>
                  <m:t>i,t-1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0987C9FF" w14:textId="0F71580A" w:rsidR="00C55319" w:rsidRPr="005C5BC4" w:rsidRDefault="00C55319" w:rsidP="00F07504">
      <w:pPr>
        <w:spacing w:line="240" w:lineRule="auto"/>
        <w:jc w:val="both"/>
        <w:rPr>
          <w:rFonts w:ascii="Times New Roman" w:hAnsi="Times New Roman" w:cs="Times New Roman"/>
          <w:sz w:val="24"/>
          <w:szCs w:val="24"/>
        </w:rPr>
      </w:pPr>
      <w:r w:rsidRPr="005C5BC4">
        <w:rPr>
          <w:rFonts w:ascii="Times New Roman" w:hAnsi="Times New Roman" w:cs="Times New Roman"/>
          <w:sz w:val="24"/>
          <w:szCs w:val="24"/>
        </w:rPr>
        <w:t>PECM 3:</w:t>
      </w:r>
      <w:r w:rsidR="005C5BC4">
        <w:rPr>
          <w:rFonts w:ascii="Times New Roman" w:hAnsi="Times New Roman" w:cs="Times New Roman"/>
          <w:sz w:val="24"/>
          <w:szCs w:val="24"/>
        </w:rPr>
        <w:t xml:space="preserve">   </w:t>
      </w:r>
      <w:r w:rsidR="00303D4D" w:rsidRPr="005C5BC4">
        <w:rPr>
          <w:rFonts w:ascii="Times New Roman" w:hAnsi="Times New Roman" w:cs="Times New Roman"/>
          <w:sz w:val="24"/>
          <w:szCs w:val="24"/>
        </w:rPr>
        <w:t xml:space="preserv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PROR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PROR</m:t>
                </m:r>
              </m:e>
              <m:sub>
                <m:r>
                  <m:rPr>
                    <m:sty m:val="p"/>
                  </m:rPr>
                  <w:rPr>
                    <w:rFonts w:ascii="Cambria Math" w:hAnsi="Cambria Math" w:cs="Times New Roman"/>
                    <w:sz w:val="24"/>
                    <w:szCs w:val="24"/>
                  </w:rPr>
                  <m:t>i,t-1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4189B9BE" w14:textId="07210EDB" w:rsidR="00C55319" w:rsidRPr="005C5BC4" w:rsidRDefault="00C55319" w:rsidP="00F07504">
      <w:pPr>
        <w:spacing w:line="240" w:lineRule="auto"/>
        <w:jc w:val="both"/>
        <w:rPr>
          <w:rFonts w:ascii="Times New Roman" w:hAnsi="Times New Roman" w:cs="Times New Roman"/>
          <w:sz w:val="24"/>
          <w:szCs w:val="24"/>
        </w:rPr>
      </w:pPr>
      <w:r w:rsidRPr="005C5BC4">
        <w:rPr>
          <w:rFonts w:ascii="Times New Roman" w:hAnsi="Times New Roman" w:cs="Times New Roman"/>
          <w:sz w:val="24"/>
          <w:szCs w:val="24"/>
        </w:rPr>
        <w:t>PECM 4:</w:t>
      </w:r>
      <w:r w:rsidR="005C5BC4">
        <w:rPr>
          <w:rFonts w:ascii="Times New Roman" w:hAnsi="Times New Roman" w:cs="Times New Roman"/>
          <w:sz w:val="24"/>
          <w:szCs w:val="24"/>
        </w:rPr>
        <w:t xml:space="preserve">   </w:t>
      </w:r>
      <w:r w:rsidR="00303D4D" w:rsidRPr="005C5BC4">
        <w:rPr>
          <w:rFonts w:ascii="Times New Roman" w:hAnsi="Times New Roman" w:cs="Times New Roman"/>
          <w:sz w:val="24"/>
          <w:szCs w:val="24"/>
        </w:rPr>
        <w:t xml:space="preserv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SOLR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CFR</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SOLR</m:t>
                </m:r>
              </m:e>
              <m:sub>
                <m:r>
                  <m:rPr>
                    <m:sty m:val="p"/>
                  </m:rPr>
                  <w:rPr>
                    <w:rFonts w:ascii="Cambria Math" w:hAnsi="Cambria Math" w:cs="Times New Roman"/>
                    <w:sz w:val="24"/>
                    <w:szCs w:val="24"/>
                  </w:rPr>
                  <m:t>i,t-1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p>
    <w:p w14:paraId="4583671C" w14:textId="77777777" w:rsidR="00E81C86" w:rsidRPr="005C5BC4" w:rsidRDefault="00E81C86" w:rsidP="00E81C86">
      <w:pPr>
        <w:spacing w:before="240" w:line="360" w:lineRule="auto"/>
        <w:jc w:val="center"/>
        <w:rPr>
          <w:rFonts w:ascii="Times New Roman" w:hAnsi="Times New Roman" w:cs="Times New Roman"/>
          <w:b/>
          <w:bCs/>
          <w:sz w:val="2"/>
          <w:szCs w:val="2"/>
        </w:rPr>
      </w:pPr>
    </w:p>
    <w:p w14:paraId="22FDB20D" w14:textId="3079C1D5" w:rsidR="00E81C86" w:rsidRPr="00E81C86" w:rsidRDefault="00E81C86" w:rsidP="00E81C86">
      <w:pPr>
        <w:spacing w:before="240" w:line="360" w:lineRule="auto"/>
        <w:jc w:val="center"/>
        <w:rPr>
          <w:rFonts w:ascii="Times New Roman" w:eastAsia="Times New Roman" w:hAnsi="Times New Roman" w:cs="Times New Roman"/>
          <w:b/>
          <w:bCs/>
          <w:sz w:val="24"/>
          <w:szCs w:val="24"/>
          <w:lang w:val="en-GB" w:eastAsia="fr-FR"/>
        </w:rPr>
      </w:pPr>
      <w:r w:rsidRPr="00E81C86">
        <w:rPr>
          <w:rFonts w:ascii="Times New Roman" w:hAnsi="Times New Roman" w:cs="Times New Roman"/>
          <w:b/>
          <w:bCs/>
          <w:sz w:val="24"/>
          <w:szCs w:val="24"/>
        </w:rPr>
        <w:t>T</w:t>
      </w:r>
      <w:r w:rsidR="00303D4D">
        <w:rPr>
          <w:rFonts w:ascii="Times New Roman" w:hAnsi="Times New Roman" w:cs="Times New Roman"/>
          <w:b/>
          <w:bCs/>
          <w:sz w:val="24"/>
          <w:szCs w:val="24"/>
        </w:rPr>
        <w:t xml:space="preserve">able </w:t>
      </w:r>
      <w:r w:rsidRPr="00E81C86">
        <w:rPr>
          <w:rFonts w:ascii="Times New Roman" w:hAnsi="Times New Roman" w:cs="Times New Roman"/>
          <w:b/>
          <w:bCs/>
          <w:sz w:val="24"/>
          <w:szCs w:val="24"/>
        </w:rPr>
        <w:t xml:space="preserve">6: PECM Estimation by DFE </w:t>
      </w:r>
      <w:r>
        <w:rPr>
          <w:rFonts w:ascii="Times New Roman" w:hAnsi="Times New Roman" w:cs="Times New Roman"/>
          <w:b/>
          <w:bCs/>
          <w:sz w:val="24"/>
          <w:szCs w:val="24"/>
        </w:rPr>
        <w:t>T</w:t>
      </w:r>
      <w:r w:rsidRPr="00E81C86">
        <w:rPr>
          <w:rFonts w:ascii="Times New Roman" w:hAnsi="Times New Roman" w:cs="Times New Roman"/>
          <w:b/>
          <w:bCs/>
          <w:sz w:val="24"/>
          <w:szCs w:val="24"/>
        </w:rPr>
        <w:t xml:space="preserve">echnique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2"/>
        <w:gridCol w:w="1567"/>
        <w:gridCol w:w="1413"/>
        <w:gridCol w:w="1418"/>
      </w:tblGrid>
      <w:tr w:rsidR="00E81C86" w:rsidRPr="005C5BC4" w14:paraId="501B0BA9" w14:textId="77777777" w:rsidTr="0038147C">
        <w:trPr>
          <w:trHeight w:val="409"/>
        </w:trPr>
        <w:tc>
          <w:tcPr>
            <w:tcW w:w="3402" w:type="dxa"/>
            <w:tcBorders>
              <w:top w:val="double" w:sz="4" w:space="0" w:color="auto"/>
              <w:left w:val="nil"/>
              <w:bottom w:val="single" w:sz="4" w:space="0" w:color="auto"/>
              <w:right w:val="nil"/>
            </w:tcBorders>
          </w:tcPr>
          <w:p w14:paraId="79A4700A" w14:textId="77777777" w:rsidR="00E81C86" w:rsidRPr="005C5BC4" w:rsidRDefault="00E81C86" w:rsidP="0038147C">
            <w:pPr>
              <w:spacing w:before="120" w:after="60" w:line="200" w:lineRule="exact"/>
              <w:rPr>
                <w:rFonts w:ascii="Times New Roman" w:eastAsia="Times New Roman" w:hAnsi="Times New Roman" w:cs="Times New Roman"/>
                <w:b/>
                <w:bCs/>
                <w:lang w:eastAsia="fr-FR"/>
              </w:rPr>
            </w:pPr>
            <w:r w:rsidRPr="005C5BC4">
              <w:rPr>
                <w:rFonts w:ascii="Times New Roman" w:eastAsia="Times New Roman" w:hAnsi="Times New Roman" w:cs="Times New Roman"/>
                <w:b/>
                <w:bCs/>
                <w:lang w:eastAsia="fr-FR"/>
              </w:rPr>
              <w:t>Panel Error-Correction Model</w:t>
            </w:r>
          </w:p>
        </w:tc>
        <w:tc>
          <w:tcPr>
            <w:tcW w:w="1560" w:type="dxa"/>
            <w:gridSpan w:val="2"/>
            <w:tcBorders>
              <w:top w:val="double" w:sz="4" w:space="0" w:color="auto"/>
              <w:left w:val="nil"/>
              <w:bottom w:val="single" w:sz="4" w:space="0" w:color="auto"/>
              <w:right w:val="nil"/>
            </w:tcBorders>
          </w:tcPr>
          <w:p w14:paraId="346B2F3D" w14:textId="77777777" w:rsidR="00E81C86" w:rsidRPr="005C5BC4" w:rsidRDefault="00E81C86" w:rsidP="0038147C">
            <w:pPr>
              <w:spacing w:before="120" w:after="60" w:line="200" w:lineRule="exact"/>
              <w:jc w:val="center"/>
              <w:rPr>
                <w:rFonts w:ascii="Times New Roman" w:eastAsia="Times New Roman" w:hAnsi="Times New Roman" w:cs="Times New Roman"/>
                <w:b/>
                <w:bCs/>
                <w:lang w:eastAsia="fr-FR"/>
              </w:rPr>
            </w:pPr>
            <m:oMathPara>
              <m:oMath>
                <m:r>
                  <m:rPr>
                    <m:sty m:val="bi"/>
                  </m:rPr>
                  <w:rPr>
                    <w:rFonts w:ascii="Cambria Math" w:eastAsia="Times New Roman" w:hAnsi="Cambria Math" w:cs="Times New Roman"/>
                    <w:lang w:eastAsia="fr-FR"/>
                  </w:rPr>
                  <m:t>α</m:t>
                </m:r>
              </m:oMath>
            </m:oMathPara>
          </w:p>
        </w:tc>
        <w:tc>
          <w:tcPr>
            <w:tcW w:w="1567" w:type="dxa"/>
            <w:tcBorders>
              <w:top w:val="double" w:sz="4" w:space="0" w:color="auto"/>
              <w:left w:val="nil"/>
              <w:bottom w:val="single" w:sz="4" w:space="0" w:color="auto"/>
              <w:right w:val="nil"/>
            </w:tcBorders>
          </w:tcPr>
          <w:p w14:paraId="0EFFF787" w14:textId="77777777" w:rsidR="00E81C86" w:rsidRPr="005C5BC4" w:rsidRDefault="00E81C86" w:rsidP="0038147C">
            <w:pPr>
              <w:spacing w:before="120" w:after="60" w:line="200" w:lineRule="exact"/>
              <w:jc w:val="center"/>
              <w:rPr>
                <w:rFonts w:ascii="Times New Roman" w:eastAsia="Times New Roman" w:hAnsi="Times New Roman" w:cs="Times New Roman"/>
                <w:b/>
                <w:bCs/>
                <w:lang w:eastAsia="fr-FR"/>
              </w:rPr>
            </w:pPr>
            <w:r w:rsidRPr="005C5BC4">
              <w:rPr>
                <w:rFonts w:ascii="Times New Roman" w:eastAsia="Times New Roman" w:hAnsi="Times New Roman" w:cs="Times New Roman"/>
                <w:b/>
                <w:bCs/>
                <w:lang w:eastAsia="fr-FR"/>
              </w:rPr>
              <w:t xml:space="preserve"> </w:t>
            </w:r>
            <m:oMath>
              <m:r>
                <m:rPr>
                  <m:sty m:val="bi"/>
                </m:rPr>
                <w:rPr>
                  <w:rFonts w:ascii="Cambria Math" w:eastAsia="Times New Roman" w:hAnsi="Cambria Math" w:cs="Times New Roman"/>
                  <w:lang w:eastAsia="fr-FR"/>
                </w:rPr>
                <m:t>δ</m:t>
              </m:r>
            </m:oMath>
          </w:p>
        </w:tc>
        <w:tc>
          <w:tcPr>
            <w:tcW w:w="1413" w:type="dxa"/>
            <w:tcBorders>
              <w:top w:val="double" w:sz="4" w:space="0" w:color="auto"/>
              <w:left w:val="nil"/>
              <w:bottom w:val="single" w:sz="4" w:space="0" w:color="auto"/>
              <w:right w:val="nil"/>
            </w:tcBorders>
          </w:tcPr>
          <w:p w14:paraId="0CC7AAA5" w14:textId="77777777" w:rsidR="00E81C86" w:rsidRPr="005C5BC4" w:rsidRDefault="00E81C86" w:rsidP="0038147C">
            <w:pPr>
              <w:spacing w:before="120" w:after="60" w:line="200" w:lineRule="exact"/>
              <w:jc w:val="center"/>
              <w:rPr>
                <w:rFonts w:ascii="Times New Roman" w:eastAsia="Times New Roman" w:hAnsi="Times New Roman" w:cs="Times New Roman"/>
                <w:b/>
                <w:bCs/>
                <w:lang w:eastAsia="fr-FR"/>
              </w:rPr>
            </w:pPr>
            <w:r w:rsidRPr="005C5BC4">
              <w:rPr>
                <w:rFonts w:ascii="Times New Roman" w:eastAsia="Times New Roman" w:hAnsi="Times New Roman" w:cs="Times New Roman"/>
                <w:b/>
                <w:bCs/>
                <w:lang w:eastAsia="fr-FR"/>
              </w:rPr>
              <w:t>λ</w:t>
            </w:r>
          </w:p>
        </w:tc>
        <w:tc>
          <w:tcPr>
            <w:tcW w:w="1418" w:type="dxa"/>
            <w:tcBorders>
              <w:top w:val="double" w:sz="4" w:space="0" w:color="auto"/>
              <w:left w:val="nil"/>
              <w:bottom w:val="single" w:sz="4" w:space="0" w:color="auto"/>
              <w:right w:val="nil"/>
            </w:tcBorders>
          </w:tcPr>
          <w:p w14:paraId="62EA430C" w14:textId="77777777" w:rsidR="00E81C86" w:rsidRPr="005C5BC4" w:rsidRDefault="00E81C86" w:rsidP="0038147C">
            <w:pPr>
              <w:spacing w:before="120" w:after="60" w:line="200" w:lineRule="exact"/>
              <w:jc w:val="center"/>
              <w:rPr>
                <w:rFonts w:ascii="Times New Roman" w:eastAsia="Times New Roman" w:hAnsi="Times New Roman" w:cs="Times New Roman"/>
                <w:b/>
                <w:bCs/>
                <w:lang w:eastAsia="fr-FR"/>
              </w:rPr>
            </w:pPr>
            <w:r w:rsidRPr="005C5BC4">
              <w:rPr>
                <w:rFonts w:ascii="Times New Roman" w:eastAsia="Times New Roman" w:hAnsi="Times New Roman" w:cs="Times New Roman"/>
                <w:b/>
                <w:bCs/>
                <w:lang w:eastAsia="fr-FR"/>
              </w:rPr>
              <w:t>F-test</w:t>
            </w:r>
          </w:p>
        </w:tc>
      </w:tr>
      <w:tr w:rsidR="00E81C86" w:rsidRPr="005C5BC4" w14:paraId="117E7DCF" w14:textId="77777777" w:rsidTr="0038147C">
        <w:trPr>
          <w:trHeight w:val="389"/>
        </w:trPr>
        <w:tc>
          <w:tcPr>
            <w:tcW w:w="3402" w:type="dxa"/>
            <w:tcBorders>
              <w:top w:val="single" w:sz="4" w:space="0" w:color="auto"/>
              <w:left w:val="nil"/>
              <w:bottom w:val="single" w:sz="4" w:space="0" w:color="auto"/>
              <w:right w:val="nil"/>
            </w:tcBorders>
          </w:tcPr>
          <w:p w14:paraId="1B9B0DE7" w14:textId="1A43ACF2" w:rsidR="00E81C86" w:rsidRPr="005C5BC4" w:rsidRDefault="00E81C86" w:rsidP="0038147C">
            <w:pPr>
              <w:rPr>
                <w:rFonts w:ascii="Times New Roman" w:eastAsia="Times New Roman" w:hAnsi="Times New Roman" w:cs="Times New Roman"/>
                <w:lang w:val="fr-FR" w:eastAsia="fr-FR"/>
              </w:rPr>
            </w:pPr>
            <w:r w:rsidRPr="005C5BC4">
              <w:rPr>
                <w:rFonts w:ascii="Times New Roman" w:hAnsi="Times New Roman" w:cs="Times New Roman"/>
                <w:lang w:val="en-CA"/>
              </w:rPr>
              <w:t>PECM 1</w:t>
            </w:r>
          </w:p>
        </w:tc>
        <w:tc>
          <w:tcPr>
            <w:tcW w:w="1418" w:type="dxa"/>
            <w:tcBorders>
              <w:top w:val="single" w:sz="4" w:space="0" w:color="auto"/>
              <w:left w:val="nil"/>
              <w:bottom w:val="single" w:sz="4" w:space="0" w:color="auto"/>
              <w:right w:val="nil"/>
            </w:tcBorders>
          </w:tcPr>
          <w:p w14:paraId="26710839"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1.774***</w:t>
            </w:r>
          </w:p>
          <w:p w14:paraId="59553A1D"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(0.000)</w:t>
            </w:r>
          </w:p>
        </w:tc>
        <w:tc>
          <w:tcPr>
            <w:tcW w:w="1709" w:type="dxa"/>
            <w:gridSpan w:val="2"/>
            <w:tcBorders>
              <w:top w:val="single" w:sz="4" w:space="0" w:color="auto"/>
              <w:left w:val="nil"/>
              <w:bottom w:val="single" w:sz="4" w:space="0" w:color="auto"/>
              <w:right w:val="nil"/>
            </w:tcBorders>
          </w:tcPr>
          <w:p w14:paraId="35A34859"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1.481**</w:t>
            </w:r>
          </w:p>
          <w:p w14:paraId="541B41B1" w14:textId="77777777" w:rsidR="00E81C86" w:rsidRPr="005C5BC4" w:rsidRDefault="00E81C86" w:rsidP="0038147C">
            <w:pPr>
              <w:spacing w:line="200" w:lineRule="exact"/>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(0.032)</w:t>
            </w:r>
          </w:p>
        </w:tc>
        <w:tc>
          <w:tcPr>
            <w:tcW w:w="1413" w:type="dxa"/>
            <w:tcBorders>
              <w:top w:val="single" w:sz="4" w:space="0" w:color="auto"/>
              <w:left w:val="nil"/>
              <w:bottom w:val="single" w:sz="4" w:space="0" w:color="auto"/>
              <w:right w:val="nil"/>
            </w:tcBorders>
          </w:tcPr>
          <w:p w14:paraId="34B40874"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-0.558**</w:t>
            </w:r>
          </w:p>
          <w:p w14:paraId="79B52C38" w14:textId="77777777" w:rsidR="00E81C86" w:rsidRPr="005C5BC4" w:rsidRDefault="00E81C86" w:rsidP="0038147C">
            <w:pPr>
              <w:spacing w:line="200" w:lineRule="exact"/>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(0.026)</w:t>
            </w:r>
          </w:p>
        </w:tc>
        <w:tc>
          <w:tcPr>
            <w:tcW w:w="1418" w:type="dxa"/>
            <w:tcBorders>
              <w:top w:val="single" w:sz="4" w:space="0" w:color="auto"/>
              <w:left w:val="nil"/>
              <w:bottom w:val="single" w:sz="4" w:space="0" w:color="auto"/>
              <w:right w:val="nil"/>
            </w:tcBorders>
          </w:tcPr>
          <w:p w14:paraId="366E57A1"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4.844</w:t>
            </w:r>
          </w:p>
          <w:p w14:paraId="42249BEC"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(0.000)</w:t>
            </w:r>
          </w:p>
        </w:tc>
      </w:tr>
      <w:tr w:rsidR="00E81C86" w:rsidRPr="005C5BC4" w14:paraId="235CC24E" w14:textId="77777777" w:rsidTr="0038147C">
        <w:trPr>
          <w:trHeight w:val="378"/>
        </w:trPr>
        <w:tc>
          <w:tcPr>
            <w:tcW w:w="3402" w:type="dxa"/>
            <w:tcBorders>
              <w:top w:val="single" w:sz="4" w:space="0" w:color="auto"/>
              <w:left w:val="nil"/>
              <w:bottom w:val="single" w:sz="4" w:space="0" w:color="auto"/>
              <w:right w:val="nil"/>
            </w:tcBorders>
          </w:tcPr>
          <w:p w14:paraId="3CAD3635" w14:textId="314E7B09" w:rsidR="00E81C86" w:rsidRPr="005C5BC4" w:rsidRDefault="00E81C86" w:rsidP="0038147C">
            <w:pPr>
              <w:rPr>
                <w:rFonts w:ascii="Times New Roman" w:eastAsia="Times New Roman" w:hAnsi="Times New Roman" w:cs="Times New Roman"/>
                <w:lang w:eastAsia="fr-FR"/>
              </w:rPr>
            </w:pPr>
            <w:r w:rsidRPr="005C5BC4">
              <w:rPr>
                <w:rFonts w:ascii="Times New Roman" w:hAnsi="Times New Roman" w:cs="Times New Roman"/>
                <w:lang w:val="en-CA"/>
              </w:rPr>
              <w:t>PECM 2</w:t>
            </w:r>
          </w:p>
        </w:tc>
        <w:tc>
          <w:tcPr>
            <w:tcW w:w="1418" w:type="dxa"/>
            <w:tcBorders>
              <w:top w:val="single" w:sz="4" w:space="0" w:color="auto"/>
              <w:left w:val="nil"/>
              <w:bottom w:val="single" w:sz="4" w:space="0" w:color="auto"/>
              <w:right w:val="nil"/>
            </w:tcBorders>
          </w:tcPr>
          <w:p w14:paraId="5C055815" w14:textId="77777777" w:rsidR="00E81C86" w:rsidRPr="005C5BC4" w:rsidRDefault="00E81C86" w:rsidP="0038147C">
            <w:pPr>
              <w:spacing w:line="200" w:lineRule="exact"/>
              <w:jc w:val="center"/>
              <w:rPr>
                <w:rFonts w:ascii="Times New Roman" w:hAnsi="Times New Roman" w:cs="Times New Roman"/>
              </w:rPr>
            </w:pPr>
            <w:r w:rsidRPr="005C5BC4">
              <w:rPr>
                <w:rFonts w:ascii="Times New Roman" w:hAnsi="Times New Roman" w:cs="Times New Roman"/>
              </w:rPr>
              <w:t>0.976**</w:t>
            </w:r>
          </w:p>
          <w:p w14:paraId="54110CBF" w14:textId="77777777" w:rsidR="00E81C86" w:rsidRPr="005C5BC4" w:rsidRDefault="00E81C86" w:rsidP="0038147C">
            <w:pPr>
              <w:spacing w:line="200" w:lineRule="exact"/>
              <w:jc w:val="center"/>
              <w:rPr>
                <w:rFonts w:ascii="Times New Roman" w:eastAsia="Times New Roman" w:hAnsi="Times New Roman" w:cs="Times New Roman"/>
                <w:lang w:eastAsia="fr-FR"/>
              </w:rPr>
            </w:pPr>
            <w:r w:rsidRPr="005C5BC4">
              <w:rPr>
                <w:rFonts w:ascii="Times New Roman" w:hAnsi="Times New Roman" w:cs="Times New Roman"/>
              </w:rPr>
              <w:t>(0.015)</w:t>
            </w:r>
          </w:p>
        </w:tc>
        <w:tc>
          <w:tcPr>
            <w:tcW w:w="1709" w:type="dxa"/>
            <w:gridSpan w:val="2"/>
            <w:tcBorders>
              <w:top w:val="single" w:sz="4" w:space="0" w:color="auto"/>
              <w:left w:val="nil"/>
              <w:bottom w:val="single" w:sz="4" w:space="0" w:color="auto"/>
              <w:right w:val="nil"/>
            </w:tcBorders>
          </w:tcPr>
          <w:p w14:paraId="2D22E38A" w14:textId="77777777" w:rsidR="00E81C86" w:rsidRPr="005C5BC4" w:rsidRDefault="00E81C86" w:rsidP="0038147C">
            <w:pPr>
              <w:spacing w:line="200" w:lineRule="exact"/>
              <w:jc w:val="center"/>
              <w:rPr>
                <w:rFonts w:ascii="Times New Roman" w:hAnsi="Times New Roman" w:cs="Times New Roman"/>
              </w:rPr>
            </w:pPr>
            <w:r w:rsidRPr="005C5BC4">
              <w:rPr>
                <w:rFonts w:ascii="Times New Roman" w:hAnsi="Times New Roman" w:cs="Times New Roman"/>
              </w:rPr>
              <w:t xml:space="preserve">      1.228**</w:t>
            </w:r>
          </w:p>
          <w:p w14:paraId="2E7FEB0B" w14:textId="77777777" w:rsidR="00E81C86" w:rsidRPr="005C5BC4" w:rsidRDefault="00E81C86" w:rsidP="0038147C">
            <w:pPr>
              <w:spacing w:line="200" w:lineRule="exact"/>
              <w:rPr>
                <w:rFonts w:ascii="Times New Roman" w:hAnsi="Times New Roman" w:cs="Times New Roman"/>
              </w:rPr>
            </w:pPr>
            <w:r w:rsidRPr="005C5BC4">
              <w:rPr>
                <w:rFonts w:ascii="Times New Roman" w:eastAsia="Times New Roman" w:hAnsi="Times New Roman" w:cs="Times New Roman"/>
                <w:lang w:val="fr-FR" w:eastAsia="fr-FR"/>
              </w:rPr>
              <w:t xml:space="preserve">            (0.041)</w:t>
            </w:r>
          </w:p>
        </w:tc>
        <w:tc>
          <w:tcPr>
            <w:tcW w:w="1413" w:type="dxa"/>
            <w:tcBorders>
              <w:top w:val="single" w:sz="4" w:space="0" w:color="auto"/>
              <w:left w:val="nil"/>
              <w:bottom w:val="single" w:sz="4" w:space="0" w:color="auto"/>
              <w:right w:val="nil"/>
            </w:tcBorders>
          </w:tcPr>
          <w:p w14:paraId="7C68CA87" w14:textId="77777777" w:rsidR="00E81C86" w:rsidRPr="005C5BC4" w:rsidRDefault="00E81C86" w:rsidP="0038147C">
            <w:pPr>
              <w:spacing w:line="200" w:lineRule="exact"/>
              <w:jc w:val="center"/>
              <w:rPr>
                <w:rFonts w:ascii="Times New Roman" w:eastAsia="Times New Roman" w:hAnsi="Times New Roman" w:cs="Times New Roman"/>
                <w:lang w:eastAsia="fr-FR"/>
              </w:rPr>
            </w:pPr>
            <w:r w:rsidRPr="005C5BC4">
              <w:rPr>
                <w:rFonts w:ascii="Times New Roman" w:eastAsia="Times New Roman" w:hAnsi="Times New Roman" w:cs="Times New Roman"/>
                <w:lang w:eastAsia="fr-FR"/>
              </w:rPr>
              <w:t>-0.439**</w:t>
            </w:r>
          </w:p>
          <w:p w14:paraId="5B2E8C76" w14:textId="77777777" w:rsidR="00E81C86" w:rsidRPr="005C5BC4" w:rsidRDefault="00E81C86" w:rsidP="0038147C">
            <w:pPr>
              <w:spacing w:line="200" w:lineRule="exact"/>
              <w:rPr>
                <w:rFonts w:ascii="Times New Roman" w:eastAsia="Times New Roman" w:hAnsi="Times New Roman" w:cs="Times New Roman"/>
                <w:lang w:eastAsia="fr-FR"/>
              </w:rPr>
            </w:pPr>
            <w:r w:rsidRPr="005C5BC4">
              <w:rPr>
                <w:rFonts w:ascii="Times New Roman" w:eastAsia="Times New Roman" w:hAnsi="Times New Roman" w:cs="Times New Roman"/>
                <w:lang w:val="fr-FR" w:eastAsia="fr-FR"/>
              </w:rPr>
              <w:t xml:space="preserve">      (0.039)</w:t>
            </w:r>
          </w:p>
        </w:tc>
        <w:tc>
          <w:tcPr>
            <w:tcW w:w="1418" w:type="dxa"/>
            <w:tcBorders>
              <w:top w:val="single" w:sz="4" w:space="0" w:color="auto"/>
              <w:left w:val="nil"/>
              <w:bottom w:val="single" w:sz="4" w:space="0" w:color="auto"/>
              <w:right w:val="nil"/>
            </w:tcBorders>
          </w:tcPr>
          <w:p w14:paraId="23CF689B" w14:textId="77777777" w:rsidR="00E81C86" w:rsidRPr="005C5BC4" w:rsidRDefault="00E81C86" w:rsidP="0038147C">
            <w:pPr>
              <w:spacing w:line="200" w:lineRule="exact"/>
              <w:jc w:val="center"/>
              <w:rPr>
                <w:rFonts w:ascii="Times New Roman" w:eastAsia="Times New Roman" w:hAnsi="Times New Roman" w:cs="Times New Roman"/>
                <w:lang w:eastAsia="fr-FR"/>
              </w:rPr>
            </w:pPr>
            <w:r w:rsidRPr="005C5BC4">
              <w:rPr>
                <w:rFonts w:ascii="Times New Roman" w:eastAsia="Times New Roman" w:hAnsi="Times New Roman" w:cs="Times New Roman"/>
                <w:lang w:eastAsia="fr-FR"/>
              </w:rPr>
              <w:t>4.007</w:t>
            </w:r>
          </w:p>
          <w:p w14:paraId="66ECBEB3" w14:textId="77777777" w:rsidR="00E81C86" w:rsidRPr="005C5BC4" w:rsidRDefault="00E81C86" w:rsidP="0038147C">
            <w:pPr>
              <w:spacing w:line="200" w:lineRule="exact"/>
              <w:jc w:val="center"/>
              <w:rPr>
                <w:rFonts w:ascii="Times New Roman" w:eastAsia="Times New Roman" w:hAnsi="Times New Roman" w:cs="Times New Roman"/>
                <w:lang w:eastAsia="fr-FR"/>
              </w:rPr>
            </w:pPr>
            <w:r w:rsidRPr="005C5BC4">
              <w:rPr>
                <w:rFonts w:ascii="Times New Roman" w:eastAsia="Times New Roman" w:hAnsi="Times New Roman" w:cs="Times New Roman"/>
                <w:lang w:val="fr-FR" w:eastAsia="fr-FR"/>
              </w:rPr>
              <w:t>(0.000)</w:t>
            </w:r>
          </w:p>
        </w:tc>
      </w:tr>
      <w:tr w:rsidR="00E81C86" w:rsidRPr="005C5BC4" w14:paraId="14F94411" w14:textId="77777777" w:rsidTr="0038147C">
        <w:trPr>
          <w:trHeight w:val="568"/>
        </w:trPr>
        <w:tc>
          <w:tcPr>
            <w:tcW w:w="3402" w:type="dxa"/>
            <w:tcBorders>
              <w:top w:val="single" w:sz="4" w:space="0" w:color="auto"/>
              <w:left w:val="nil"/>
              <w:bottom w:val="single" w:sz="4" w:space="0" w:color="auto"/>
              <w:right w:val="nil"/>
            </w:tcBorders>
          </w:tcPr>
          <w:p w14:paraId="3896E5AE" w14:textId="2AD2C7CF" w:rsidR="00E81C86" w:rsidRPr="005C5BC4" w:rsidRDefault="00E81C86" w:rsidP="0038147C">
            <w:pPr>
              <w:rPr>
                <w:rFonts w:ascii="Times New Roman" w:eastAsia="Times New Roman" w:hAnsi="Times New Roman" w:cs="Times New Roman"/>
                <w:lang w:eastAsia="fr-FR"/>
              </w:rPr>
            </w:pPr>
            <w:r w:rsidRPr="005C5BC4">
              <w:rPr>
                <w:rFonts w:ascii="Times New Roman" w:hAnsi="Times New Roman" w:cs="Times New Roman"/>
                <w:lang w:val="en-CA"/>
              </w:rPr>
              <w:t>PECM 3</w:t>
            </w:r>
          </w:p>
        </w:tc>
        <w:tc>
          <w:tcPr>
            <w:tcW w:w="1418" w:type="dxa"/>
            <w:tcBorders>
              <w:top w:val="single" w:sz="4" w:space="0" w:color="auto"/>
              <w:left w:val="nil"/>
              <w:bottom w:val="single" w:sz="4" w:space="0" w:color="auto"/>
              <w:right w:val="nil"/>
            </w:tcBorders>
          </w:tcPr>
          <w:p w14:paraId="0FF618A9" w14:textId="77777777" w:rsidR="00E81C86" w:rsidRPr="005C5BC4" w:rsidRDefault="00E81C86" w:rsidP="0038147C">
            <w:pPr>
              <w:spacing w:line="200" w:lineRule="exact"/>
              <w:jc w:val="center"/>
              <w:rPr>
                <w:rFonts w:ascii="Times New Roman" w:hAnsi="Times New Roman" w:cs="Times New Roman"/>
              </w:rPr>
            </w:pPr>
            <w:r w:rsidRPr="005C5BC4">
              <w:rPr>
                <w:rFonts w:ascii="Times New Roman" w:hAnsi="Times New Roman" w:cs="Times New Roman"/>
              </w:rPr>
              <w:t xml:space="preserve"> 2.796***</w:t>
            </w:r>
          </w:p>
          <w:p w14:paraId="6F1CB3B4" w14:textId="77777777" w:rsidR="00E81C86" w:rsidRPr="005C5BC4" w:rsidRDefault="00E81C86" w:rsidP="0038147C">
            <w:pPr>
              <w:spacing w:line="200" w:lineRule="exact"/>
              <w:jc w:val="center"/>
              <w:rPr>
                <w:rFonts w:ascii="Times New Roman" w:eastAsia="Times New Roman" w:hAnsi="Times New Roman" w:cs="Times New Roman"/>
                <w:lang w:eastAsia="fr-FR"/>
              </w:rPr>
            </w:pPr>
            <w:r w:rsidRPr="005C5BC4">
              <w:rPr>
                <w:rFonts w:ascii="Times New Roman" w:hAnsi="Times New Roman" w:cs="Times New Roman"/>
              </w:rPr>
              <w:t>(0.000)</w:t>
            </w:r>
          </w:p>
        </w:tc>
        <w:tc>
          <w:tcPr>
            <w:tcW w:w="1709" w:type="dxa"/>
            <w:gridSpan w:val="2"/>
            <w:tcBorders>
              <w:top w:val="single" w:sz="4" w:space="0" w:color="auto"/>
              <w:left w:val="nil"/>
              <w:bottom w:val="single" w:sz="4" w:space="0" w:color="auto"/>
              <w:right w:val="nil"/>
            </w:tcBorders>
          </w:tcPr>
          <w:p w14:paraId="3B26F5F4" w14:textId="77777777" w:rsidR="00E81C86" w:rsidRPr="005C5BC4" w:rsidRDefault="00E81C86" w:rsidP="0038147C">
            <w:pPr>
              <w:spacing w:line="200" w:lineRule="exact"/>
              <w:jc w:val="center"/>
              <w:rPr>
                <w:rFonts w:ascii="Times New Roman" w:hAnsi="Times New Roman" w:cs="Times New Roman"/>
              </w:rPr>
            </w:pPr>
            <w:r w:rsidRPr="005C5BC4">
              <w:rPr>
                <w:rFonts w:ascii="Times New Roman" w:hAnsi="Times New Roman" w:cs="Times New Roman"/>
              </w:rPr>
              <w:t xml:space="preserve">       3.294***</w:t>
            </w:r>
          </w:p>
          <w:p w14:paraId="60B66B54" w14:textId="77777777" w:rsidR="00E81C86" w:rsidRPr="005C5BC4" w:rsidRDefault="00E81C86" w:rsidP="0038147C">
            <w:pPr>
              <w:spacing w:line="200" w:lineRule="exact"/>
              <w:rPr>
                <w:rFonts w:ascii="Times New Roman" w:eastAsia="Times New Roman" w:hAnsi="Times New Roman" w:cs="Times New Roman"/>
                <w:lang w:eastAsia="fr-FR"/>
              </w:rPr>
            </w:pPr>
            <w:r w:rsidRPr="005C5BC4">
              <w:rPr>
                <w:rFonts w:ascii="Times New Roman" w:hAnsi="Times New Roman" w:cs="Times New Roman"/>
              </w:rPr>
              <w:t xml:space="preserve">            (0.000)</w:t>
            </w:r>
          </w:p>
        </w:tc>
        <w:tc>
          <w:tcPr>
            <w:tcW w:w="1413" w:type="dxa"/>
            <w:tcBorders>
              <w:top w:val="single" w:sz="4" w:space="0" w:color="auto"/>
              <w:left w:val="nil"/>
              <w:bottom w:val="single" w:sz="4" w:space="0" w:color="auto"/>
              <w:right w:val="nil"/>
            </w:tcBorders>
          </w:tcPr>
          <w:p w14:paraId="51405F9D" w14:textId="77777777" w:rsidR="00E81C86" w:rsidRPr="005C5BC4" w:rsidRDefault="00E81C86" w:rsidP="0038147C">
            <w:pPr>
              <w:spacing w:line="200" w:lineRule="exact"/>
              <w:jc w:val="center"/>
              <w:rPr>
                <w:rFonts w:ascii="Times New Roman" w:hAnsi="Times New Roman" w:cs="Times New Roman"/>
              </w:rPr>
            </w:pPr>
            <w:r w:rsidRPr="005C5BC4">
              <w:rPr>
                <w:rFonts w:ascii="Times New Roman" w:eastAsia="Times New Roman" w:hAnsi="Times New Roman" w:cs="Times New Roman"/>
                <w:lang w:val="fr-FR" w:eastAsia="fr-FR"/>
              </w:rPr>
              <w:t xml:space="preserve">  -0.911</w:t>
            </w:r>
            <w:r w:rsidRPr="005C5BC4">
              <w:rPr>
                <w:rFonts w:ascii="Times New Roman" w:hAnsi="Times New Roman" w:cs="Times New Roman"/>
              </w:rPr>
              <w:t>***</w:t>
            </w:r>
          </w:p>
          <w:p w14:paraId="2DA0EBAB" w14:textId="77777777" w:rsidR="00E81C86" w:rsidRPr="005C5BC4" w:rsidRDefault="00E81C86" w:rsidP="0038147C">
            <w:pPr>
              <w:spacing w:line="200" w:lineRule="exact"/>
              <w:rPr>
                <w:rFonts w:ascii="Times New Roman" w:eastAsia="Times New Roman" w:hAnsi="Times New Roman" w:cs="Times New Roman"/>
                <w:lang w:eastAsia="fr-FR"/>
              </w:rPr>
            </w:pPr>
            <w:r w:rsidRPr="005C5BC4">
              <w:rPr>
                <w:rFonts w:ascii="Times New Roman" w:hAnsi="Times New Roman" w:cs="Times New Roman"/>
              </w:rPr>
              <w:t xml:space="preserve">      (0.000)</w:t>
            </w:r>
            <w:r w:rsidRPr="005C5BC4">
              <w:rPr>
                <w:rFonts w:ascii="Times New Roman" w:eastAsia="Times New Roman" w:hAnsi="Times New Roman" w:cs="Times New Roman"/>
                <w:lang w:val="fr-FR" w:eastAsia="fr-FR"/>
              </w:rPr>
              <w:t xml:space="preserve">                     </w:t>
            </w:r>
          </w:p>
        </w:tc>
        <w:tc>
          <w:tcPr>
            <w:tcW w:w="1418" w:type="dxa"/>
            <w:tcBorders>
              <w:top w:val="single" w:sz="4" w:space="0" w:color="auto"/>
              <w:left w:val="nil"/>
              <w:bottom w:val="single" w:sz="4" w:space="0" w:color="auto"/>
              <w:right w:val="nil"/>
            </w:tcBorders>
          </w:tcPr>
          <w:p w14:paraId="117DCC9A" w14:textId="77777777" w:rsidR="00E81C86" w:rsidRPr="005C5BC4" w:rsidRDefault="00E81C86" w:rsidP="0038147C">
            <w:pPr>
              <w:spacing w:line="200" w:lineRule="exact"/>
              <w:jc w:val="center"/>
              <w:rPr>
                <w:rFonts w:ascii="Times New Roman" w:hAnsi="Times New Roman" w:cs="Times New Roman"/>
              </w:rPr>
            </w:pPr>
            <w:r w:rsidRPr="005C5BC4">
              <w:rPr>
                <w:rFonts w:ascii="Times New Roman" w:hAnsi="Times New Roman" w:cs="Times New Roman"/>
              </w:rPr>
              <w:t>5.752</w:t>
            </w:r>
          </w:p>
          <w:p w14:paraId="221EDC61" w14:textId="77777777" w:rsidR="00E81C86" w:rsidRPr="005C5BC4" w:rsidRDefault="00E81C86" w:rsidP="0038147C">
            <w:pPr>
              <w:spacing w:line="200" w:lineRule="exact"/>
              <w:jc w:val="center"/>
              <w:rPr>
                <w:rFonts w:ascii="Times New Roman" w:eastAsia="Times New Roman" w:hAnsi="Times New Roman" w:cs="Times New Roman"/>
                <w:lang w:eastAsia="fr-FR"/>
              </w:rPr>
            </w:pPr>
            <w:r w:rsidRPr="005C5BC4">
              <w:rPr>
                <w:rFonts w:ascii="Times New Roman" w:hAnsi="Times New Roman" w:cs="Times New Roman"/>
              </w:rPr>
              <w:t>(0.000)</w:t>
            </w:r>
          </w:p>
        </w:tc>
      </w:tr>
      <w:tr w:rsidR="00E81C86" w:rsidRPr="005C5BC4" w14:paraId="556D5A4A" w14:textId="77777777" w:rsidTr="0038147C">
        <w:trPr>
          <w:trHeight w:val="389"/>
        </w:trPr>
        <w:tc>
          <w:tcPr>
            <w:tcW w:w="3402" w:type="dxa"/>
            <w:tcBorders>
              <w:top w:val="single" w:sz="4" w:space="0" w:color="auto"/>
              <w:left w:val="nil"/>
              <w:bottom w:val="single" w:sz="4" w:space="0" w:color="auto"/>
              <w:right w:val="nil"/>
            </w:tcBorders>
          </w:tcPr>
          <w:p w14:paraId="39B4F6F3" w14:textId="73482B3C" w:rsidR="00E81C86" w:rsidRPr="005C5BC4" w:rsidRDefault="00E81C86" w:rsidP="0038147C">
            <w:pPr>
              <w:rPr>
                <w:rFonts w:ascii="Times New Roman" w:eastAsia="Times New Roman" w:hAnsi="Times New Roman" w:cs="Times New Roman"/>
                <w:bCs/>
                <w:lang w:val="fr-FR" w:eastAsia="fr-FR"/>
              </w:rPr>
            </w:pPr>
            <w:r w:rsidRPr="005C5BC4">
              <w:rPr>
                <w:rFonts w:ascii="Times New Roman" w:hAnsi="Times New Roman" w:cs="Times New Roman"/>
                <w:bCs/>
                <w:lang w:val="en-CA"/>
              </w:rPr>
              <w:t>PECM 4</w:t>
            </w:r>
          </w:p>
        </w:tc>
        <w:tc>
          <w:tcPr>
            <w:tcW w:w="1418" w:type="dxa"/>
            <w:tcBorders>
              <w:top w:val="single" w:sz="4" w:space="0" w:color="auto"/>
              <w:left w:val="nil"/>
              <w:bottom w:val="single" w:sz="4" w:space="0" w:color="auto"/>
              <w:right w:val="nil"/>
            </w:tcBorders>
          </w:tcPr>
          <w:p w14:paraId="6E7299A6"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2.349***</w:t>
            </w:r>
          </w:p>
          <w:p w14:paraId="3D7D592F"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(0.000)</w:t>
            </w:r>
          </w:p>
        </w:tc>
        <w:tc>
          <w:tcPr>
            <w:tcW w:w="1709" w:type="dxa"/>
            <w:gridSpan w:val="2"/>
            <w:tcBorders>
              <w:top w:val="single" w:sz="4" w:space="0" w:color="auto"/>
              <w:left w:val="nil"/>
              <w:bottom w:val="single" w:sz="4" w:space="0" w:color="auto"/>
              <w:right w:val="nil"/>
            </w:tcBorders>
          </w:tcPr>
          <w:p w14:paraId="0CD33EDD"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2.715***</w:t>
            </w:r>
          </w:p>
          <w:p w14:paraId="1F1F4F25"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(0.002)</w:t>
            </w:r>
          </w:p>
        </w:tc>
        <w:tc>
          <w:tcPr>
            <w:tcW w:w="1413" w:type="dxa"/>
            <w:tcBorders>
              <w:top w:val="single" w:sz="4" w:space="0" w:color="auto"/>
              <w:left w:val="nil"/>
              <w:bottom w:val="single" w:sz="4" w:space="0" w:color="auto"/>
              <w:right w:val="nil"/>
            </w:tcBorders>
          </w:tcPr>
          <w:p w14:paraId="0F2C1463"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 xml:space="preserve">  -0.978***</w:t>
            </w:r>
          </w:p>
          <w:p w14:paraId="2916DA8E"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(0.000)</w:t>
            </w:r>
          </w:p>
        </w:tc>
        <w:tc>
          <w:tcPr>
            <w:tcW w:w="1418" w:type="dxa"/>
            <w:tcBorders>
              <w:top w:val="single" w:sz="4" w:space="0" w:color="auto"/>
              <w:left w:val="nil"/>
              <w:bottom w:val="single" w:sz="4" w:space="0" w:color="auto"/>
              <w:right w:val="nil"/>
            </w:tcBorders>
          </w:tcPr>
          <w:p w14:paraId="6CCB4317"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4.913</w:t>
            </w:r>
          </w:p>
          <w:p w14:paraId="4CD9AA76" w14:textId="77777777" w:rsidR="00E81C86" w:rsidRPr="005C5BC4" w:rsidRDefault="00E81C86" w:rsidP="0038147C">
            <w:pPr>
              <w:spacing w:line="200" w:lineRule="exact"/>
              <w:jc w:val="center"/>
              <w:rPr>
                <w:rFonts w:ascii="Times New Roman" w:eastAsia="Times New Roman" w:hAnsi="Times New Roman" w:cs="Times New Roman"/>
                <w:lang w:val="fr-FR" w:eastAsia="fr-FR"/>
              </w:rPr>
            </w:pPr>
            <w:r w:rsidRPr="005C5BC4">
              <w:rPr>
                <w:rFonts w:ascii="Times New Roman" w:eastAsia="Times New Roman" w:hAnsi="Times New Roman" w:cs="Times New Roman"/>
                <w:lang w:val="fr-FR" w:eastAsia="fr-FR"/>
              </w:rPr>
              <w:t>(0.000)</w:t>
            </w:r>
          </w:p>
        </w:tc>
      </w:tr>
    </w:tbl>
    <w:p w14:paraId="5F2DB886" w14:textId="77777777" w:rsidR="00E81C86" w:rsidRPr="00303D4D" w:rsidRDefault="00E81C86" w:rsidP="00E81C86">
      <w:pPr>
        <w:tabs>
          <w:tab w:val="left" w:pos="360"/>
        </w:tabs>
        <w:spacing w:line="240" w:lineRule="auto"/>
        <w:jc w:val="both"/>
        <w:rPr>
          <w:b/>
          <w:sz w:val="18"/>
          <w:szCs w:val="18"/>
        </w:rPr>
      </w:pPr>
      <w:r w:rsidRPr="00303D4D">
        <w:rPr>
          <w:rFonts w:ascii="Times New Roman" w:hAnsi="Times New Roman" w:cs="Times New Roman"/>
          <w:bCs/>
          <w:sz w:val="18"/>
          <w:szCs w:val="18"/>
          <w:lang w:val="en-CA"/>
        </w:rPr>
        <w:t>(***), (**), (*) statistically significant at 1%, 5%, and 10%, respectively. Numbers in parentheses represent p-value. N = 150 and T = 8.</w:t>
      </w:r>
    </w:p>
    <w:p w14:paraId="53548FF8" w14:textId="60D2915D" w:rsidR="00C55319" w:rsidRDefault="00A357B4" w:rsidP="00303D4D">
      <w:pPr>
        <w:spacing w:line="240" w:lineRule="auto"/>
        <w:jc w:val="both"/>
        <w:rPr>
          <w:rFonts w:ascii="Times New Roman" w:hAnsi="Times New Roman" w:cs="Times New Roman"/>
          <w:sz w:val="24"/>
          <w:szCs w:val="24"/>
        </w:rPr>
      </w:pPr>
      <w:r w:rsidRPr="00A357B4">
        <w:rPr>
          <w:rFonts w:ascii="Times New Roman" w:hAnsi="Times New Roman" w:cs="Times New Roman"/>
          <w:sz w:val="24"/>
          <w:szCs w:val="24"/>
        </w:rPr>
        <w:t xml:space="preserve">These results indicate that the error-correction coefficients λ for </w:t>
      </w:r>
      <w:r w:rsidR="005C5BC4">
        <w:rPr>
          <w:rFonts w:ascii="Times New Roman" w:hAnsi="Times New Roman" w:cs="Times New Roman"/>
          <w:sz w:val="24"/>
          <w:szCs w:val="24"/>
        </w:rPr>
        <w:t>the</w:t>
      </w:r>
      <w:r w:rsidRPr="00A357B4">
        <w:rPr>
          <w:rFonts w:ascii="Times New Roman" w:hAnsi="Times New Roman" w:cs="Times New Roman"/>
          <w:sz w:val="24"/>
          <w:szCs w:val="24"/>
        </w:rPr>
        <w:t xml:space="preserve"> four </w:t>
      </w:r>
      <w:r w:rsidR="005C5BC4">
        <w:rPr>
          <w:rFonts w:ascii="Times New Roman" w:hAnsi="Times New Roman" w:cs="Times New Roman"/>
          <w:sz w:val="24"/>
          <w:szCs w:val="24"/>
        </w:rPr>
        <w:t xml:space="preserve">estimated </w:t>
      </w:r>
      <w:r w:rsidRPr="00A357B4">
        <w:rPr>
          <w:rFonts w:ascii="Times New Roman" w:hAnsi="Times New Roman" w:cs="Times New Roman"/>
          <w:sz w:val="24"/>
          <w:szCs w:val="24"/>
        </w:rPr>
        <w:t>PECM are significantly different from zero at 1 % significance level for the models (CFR-PROR) and (CFR-</w:t>
      </w:r>
      <w:r w:rsidR="005C5BC4">
        <w:rPr>
          <w:rFonts w:ascii="Times New Roman" w:hAnsi="Times New Roman" w:cs="Times New Roman"/>
          <w:sz w:val="24"/>
          <w:szCs w:val="24"/>
        </w:rPr>
        <w:t>SOL</w:t>
      </w:r>
      <w:r w:rsidRPr="00A357B4">
        <w:rPr>
          <w:rFonts w:ascii="Times New Roman" w:hAnsi="Times New Roman" w:cs="Times New Roman"/>
          <w:sz w:val="24"/>
          <w:szCs w:val="24"/>
        </w:rPr>
        <w:t xml:space="preserve">R) and at 5 % significance level for the models (CFR-LIQR) and (CFR-EFFR).  Thus, these results show that the short-run relationship of the ratio based on cash flows (i.e., CFR) with each ratio based on accounting data (i.e., LIQR, EFFR, PROR, and </w:t>
      </w:r>
      <w:r w:rsidR="000643B1">
        <w:rPr>
          <w:rFonts w:ascii="Times New Roman" w:hAnsi="Times New Roman" w:cs="Times New Roman"/>
          <w:sz w:val="24"/>
          <w:szCs w:val="24"/>
        </w:rPr>
        <w:t>SOL</w:t>
      </w:r>
      <w:r w:rsidRPr="00A357B4">
        <w:rPr>
          <w:rFonts w:ascii="Times New Roman" w:hAnsi="Times New Roman" w:cs="Times New Roman"/>
          <w:sz w:val="24"/>
          <w:szCs w:val="24"/>
        </w:rPr>
        <w:t xml:space="preserve">R) differs from their long-run equilibrium relationship. In addition, the results </w:t>
      </w:r>
      <w:r w:rsidR="000643B1">
        <w:rPr>
          <w:rFonts w:ascii="Times New Roman" w:hAnsi="Times New Roman" w:cs="Times New Roman"/>
          <w:sz w:val="24"/>
          <w:szCs w:val="24"/>
        </w:rPr>
        <w:t xml:space="preserve">of table 6 </w:t>
      </w:r>
      <w:r w:rsidRPr="00A357B4">
        <w:rPr>
          <w:rFonts w:ascii="Times New Roman" w:hAnsi="Times New Roman" w:cs="Times New Roman"/>
          <w:sz w:val="24"/>
          <w:szCs w:val="24"/>
        </w:rPr>
        <w:t xml:space="preserve">show that the </w:t>
      </w:r>
      <w:r>
        <w:rPr>
          <w:rFonts w:ascii="Times New Roman" w:hAnsi="Times New Roman" w:cs="Times New Roman"/>
          <w:sz w:val="24"/>
          <w:szCs w:val="24"/>
        </w:rPr>
        <w:t>c</w:t>
      </w:r>
      <w:r w:rsidRPr="00A357B4">
        <w:rPr>
          <w:rFonts w:ascii="Times New Roman" w:hAnsi="Times New Roman" w:cs="Times New Roman"/>
          <w:sz w:val="24"/>
          <w:szCs w:val="24"/>
        </w:rPr>
        <w:t xml:space="preserve">oefficients λ for </w:t>
      </w:r>
      <w:r w:rsidR="000643B1">
        <w:rPr>
          <w:rFonts w:ascii="Times New Roman" w:hAnsi="Times New Roman" w:cs="Times New Roman"/>
          <w:sz w:val="24"/>
          <w:szCs w:val="24"/>
        </w:rPr>
        <w:t>the</w:t>
      </w:r>
      <w:r w:rsidRPr="00A357B4">
        <w:rPr>
          <w:rFonts w:ascii="Times New Roman" w:hAnsi="Times New Roman" w:cs="Times New Roman"/>
          <w:sz w:val="24"/>
          <w:szCs w:val="24"/>
        </w:rPr>
        <w:t xml:space="preserve"> four </w:t>
      </w:r>
      <w:r w:rsidR="000643B1">
        <w:rPr>
          <w:rFonts w:ascii="Times New Roman" w:hAnsi="Times New Roman" w:cs="Times New Roman"/>
          <w:sz w:val="24"/>
          <w:szCs w:val="24"/>
        </w:rPr>
        <w:lastRenderedPageBreak/>
        <w:t xml:space="preserve">estimated </w:t>
      </w:r>
      <w:r w:rsidRPr="00A357B4">
        <w:rPr>
          <w:rFonts w:ascii="Times New Roman" w:hAnsi="Times New Roman" w:cs="Times New Roman"/>
          <w:sz w:val="24"/>
          <w:szCs w:val="24"/>
        </w:rPr>
        <w:t>PECM are all statistically and significantly negative. Overall, these results confirm the existence of cointegration relationships for our four tested models, as we already have found by the panel cointegration tests of Pedroni (2004) in the previous section.</w:t>
      </w:r>
    </w:p>
    <w:p w14:paraId="0B05BC74" w14:textId="77777777" w:rsidR="00303D4D" w:rsidRPr="00303D4D" w:rsidRDefault="00303D4D" w:rsidP="00303D4D">
      <w:pPr>
        <w:spacing w:line="240" w:lineRule="auto"/>
        <w:jc w:val="both"/>
        <w:rPr>
          <w:rFonts w:ascii="Times New Roman" w:hAnsi="Times New Roman" w:cs="Times New Roman"/>
          <w:sz w:val="6"/>
          <w:szCs w:val="6"/>
        </w:rPr>
      </w:pPr>
    </w:p>
    <w:p w14:paraId="5021045F" w14:textId="17333B60" w:rsidR="002F5F74" w:rsidRPr="00303D4D" w:rsidRDefault="002F5F74" w:rsidP="00303D4D">
      <w:pPr>
        <w:ind w:firstLine="720"/>
        <w:rPr>
          <w:rFonts w:ascii="Times New Roman" w:hAnsi="Times New Roman" w:cs="Times New Roman"/>
          <w:b/>
          <w:bCs/>
          <w:sz w:val="30"/>
          <w:szCs w:val="30"/>
        </w:rPr>
      </w:pPr>
      <w:r w:rsidRPr="00303D4D">
        <w:rPr>
          <w:rFonts w:ascii="Times New Roman" w:hAnsi="Times New Roman" w:cs="Times New Roman"/>
          <w:b/>
          <w:bCs/>
          <w:sz w:val="30"/>
          <w:szCs w:val="30"/>
        </w:rPr>
        <w:t>6. C</w:t>
      </w:r>
      <w:r w:rsidR="00303D4D" w:rsidRPr="00303D4D">
        <w:rPr>
          <w:rFonts w:ascii="Times New Roman" w:hAnsi="Times New Roman" w:cs="Times New Roman"/>
          <w:b/>
          <w:bCs/>
          <w:sz w:val="30"/>
          <w:szCs w:val="30"/>
        </w:rPr>
        <w:t>onclusion</w:t>
      </w:r>
    </w:p>
    <w:p w14:paraId="1821EE1D" w14:textId="44C8C784" w:rsidR="00B27327" w:rsidRDefault="003A4929" w:rsidP="00303D4D">
      <w:pPr>
        <w:spacing w:line="240" w:lineRule="auto"/>
        <w:jc w:val="both"/>
        <w:rPr>
          <w:rFonts w:ascii="Times New Roman" w:hAnsi="Times New Roman" w:cs="Times New Roman"/>
          <w:sz w:val="24"/>
          <w:szCs w:val="24"/>
        </w:rPr>
      </w:pPr>
      <w:r w:rsidRPr="003A4929">
        <w:rPr>
          <w:rFonts w:ascii="Times New Roman" w:hAnsi="Times New Roman" w:cs="Times New Roman"/>
          <w:sz w:val="24"/>
          <w:szCs w:val="24"/>
        </w:rPr>
        <w:t xml:space="preserve">This study is an extension of the financial literature devoted to a heated debate on the uselessness of cash flows as an indicator of the company's financial health. Overall, the literature review shows that the various studies on this topic have </w:t>
      </w:r>
      <w:r w:rsidR="00081BE6" w:rsidRPr="003A4929">
        <w:rPr>
          <w:rFonts w:ascii="Times New Roman" w:hAnsi="Times New Roman" w:cs="Times New Roman"/>
          <w:sz w:val="24"/>
          <w:szCs w:val="24"/>
        </w:rPr>
        <w:t>generated</w:t>
      </w:r>
      <w:r w:rsidRPr="003A4929">
        <w:rPr>
          <w:rFonts w:ascii="Times New Roman" w:hAnsi="Times New Roman" w:cs="Times New Roman"/>
          <w:sz w:val="24"/>
          <w:szCs w:val="24"/>
        </w:rPr>
        <w:t xml:space="preserve"> highly contrasting results.  In the present paper, we have used current developments in dynamic panel data econometrics techniques to alleviate methodological and econometric shortcomings noted in previous studies. To the best of our knowledge, this study constitutes the first research work</w:t>
      </w:r>
      <w:r w:rsidR="00081BE6">
        <w:rPr>
          <w:rFonts w:ascii="Times New Roman" w:hAnsi="Times New Roman" w:cs="Times New Roman"/>
          <w:sz w:val="24"/>
          <w:szCs w:val="24"/>
        </w:rPr>
        <w:t xml:space="preserve"> </w:t>
      </w:r>
      <w:r w:rsidRPr="003A4929">
        <w:rPr>
          <w:rFonts w:ascii="Times New Roman" w:hAnsi="Times New Roman" w:cs="Times New Roman"/>
          <w:sz w:val="24"/>
          <w:szCs w:val="24"/>
        </w:rPr>
        <w:t>that proposed to re-examine the relevance of cash flows as an indicator of the company's financial health via the cointegration tests on panel data. More precisely, we have tested the existence of a long-run equilibrium relationship</w:t>
      </w:r>
      <w:r w:rsidR="00E07D81">
        <w:rPr>
          <w:rFonts w:ascii="Times New Roman" w:hAnsi="Times New Roman" w:cs="Times New Roman"/>
          <w:sz w:val="24"/>
          <w:szCs w:val="24"/>
        </w:rPr>
        <w:t>s</w:t>
      </w:r>
      <w:r w:rsidRPr="003A4929">
        <w:rPr>
          <w:rFonts w:ascii="Times New Roman" w:hAnsi="Times New Roman" w:cs="Times New Roman"/>
          <w:sz w:val="24"/>
          <w:szCs w:val="24"/>
        </w:rPr>
        <w:t xml:space="preserve"> (i.e., cointegration relationship</w:t>
      </w:r>
      <w:r w:rsidR="00E07D81">
        <w:rPr>
          <w:rFonts w:ascii="Times New Roman" w:hAnsi="Times New Roman" w:cs="Times New Roman"/>
          <w:sz w:val="24"/>
          <w:szCs w:val="24"/>
        </w:rPr>
        <w:t>s</w:t>
      </w:r>
      <w:r w:rsidRPr="003A4929">
        <w:rPr>
          <w:rFonts w:ascii="Times New Roman" w:hAnsi="Times New Roman" w:cs="Times New Roman"/>
          <w:sz w:val="24"/>
          <w:szCs w:val="24"/>
        </w:rPr>
        <w:t xml:space="preserve">) between a ratio based on cash flows (i.e., operating cash flows to total assets ratio) and four ratios based on accounting data which are commonly known as relevant </w:t>
      </w:r>
      <w:r w:rsidRPr="008436BD">
        <w:rPr>
          <w:rFonts w:ascii="Times New Roman" w:hAnsi="Times New Roman" w:cs="Times New Roman"/>
          <w:sz w:val="24"/>
          <w:szCs w:val="24"/>
        </w:rPr>
        <w:t xml:space="preserve">indicators regarding the company's financial health through the following </w:t>
      </w:r>
      <w:r w:rsidR="002E1040" w:rsidRPr="008436BD">
        <w:rPr>
          <w:rFonts w:ascii="Times New Roman" w:hAnsi="Times New Roman" w:cs="Times New Roman"/>
          <w:sz w:val="24"/>
          <w:szCs w:val="24"/>
        </w:rPr>
        <w:t xml:space="preserve">particular </w:t>
      </w:r>
      <w:r w:rsidRPr="008436BD">
        <w:rPr>
          <w:rFonts w:ascii="Times New Roman" w:hAnsi="Times New Roman" w:cs="Times New Roman"/>
          <w:sz w:val="24"/>
          <w:szCs w:val="24"/>
        </w:rPr>
        <w:t>aspects: liquidity (i.e., working capital to total assets ratio),</w:t>
      </w:r>
      <w:r w:rsidR="00CC27C3">
        <w:rPr>
          <w:rFonts w:ascii="Times New Roman" w:hAnsi="Times New Roman" w:cs="Times New Roman"/>
          <w:sz w:val="24"/>
          <w:szCs w:val="24"/>
        </w:rPr>
        <w:t xml:space="preserve"> operational </w:t>
      </w:r>
      <w:r w:rsidRPr="008436BD">
        <w:rPr>
          <w:rFonts w:ascii="Times New Roman" w:hAnsi="Times New Roman" w:cs="Times New Roman"/>
          <w:sz w:val="24"/>
          <w:szCs w:val="24"/>
        </w:rPr>
        <w:t xml:space="preserve">efficiency (i.e., asset turnover ratio), profitability (i.e., return on assets ratio), and </w:t>
      </w:r>
      <w:r w:rsidR="00081BE6">
        <w:rPr>
          <w:rFonts w:ascii="Times New Roman" w:hAnsi="Times New Roman" w:cs="Times New Roman"/>
          <w:sz w:val="24"/>
          <w:szCs w:val="24"/>
        </w:rPr>
        <w:t>solvency</w:t>
      </w:r>
      <w:r w:rsidRPr="008436BD">
        <w:rPr>
          <w:rFonts w:ascii="Times New Roman" w:hAnsi="Times New Roman" w:cs="Times New Roman"/>
          <w:sz w:val="24"/>
          <w:szCs w:val="24"/>
        </w:rPr>
        <w:t xml:space="preserve"> (i.e., debt-assets ratio).</w:t>
      </w:r>
      <w:r w:rsidR="002E1040" w:rsidRPr="008436BD">
        <w:rPr>
          <w:rFonts w:ascii="Times New Roman" w:hAnsi="Times New Roman" w:cs="Times New Roman"/>
          <w:sz w:val="24"/>
          <w:szCs w:val="24"/>
        </w:rPr>
        <w:t xml:space="preserve"> </w:t>
      </w:r>
      <w:r w:rsidR="008436BD" w:rsidRPr="008436BD">
        <w:rPr>
          <w:rFonts w:ascii="Times New Roman" w:hAnsi="Times New Roman" w:cs="Times New Roman"/>
          <w:sz w:val="24"/>
          <w:szCs w:val="24"/>
        </w:rPr>
        <w:t>Thus, we have tested four research hypotheses which state that cash flows have explanatory power regarding one of these four aspects of a company's financial health mentioned above.</w:t>
      </w:r>
      <w:r w:rsidR="0024764C" w:rsidRPr="0024764C">
        <w:t xml:space="preserve"> </w:t>
      </w:r>
      <w:r w:rsidR="0024764C" w:rsidRPr="0024764C">
        <w:rPr>
          <w:rFonts w:ascii="Times New Roman" w:hAnsi="Times New Roman" w:cs="Times New Roman"/>
          <w:sz w:val="24"/>
          <w:szCs w:val="24"/>
        </w:rPr>
        <w:t>In our empirical methodology, we have first used the test of Im, Pesaran and Shin (2003) to test the stationarity on our panel data. Subsequently, we have opted for the test of Pedroni (2004) in order to test the existence of a cointegration relation</w:t>
      </w:r>
      <w:r w:rsidR="00081BE6">
        <w:rPr>
          <w:rFonts w:ascii="Times New Roman" w:hAnsi="Times New Roman" w:cs="Times New Roman"/>
          <w:sz w:val="24"/>
          <w:szCs w:val="24"/>
        </w:rPr>
        <w:t>ship</w:t>
      </w:r>
      <w:r w:rsidR="0024764C" w:rsidRPr="0024764C">
        <w:rPr>
          <w:rFonts w:ascii="Times New Roman" w:hAnsi="Times New Roman" w:cs="Times New Roman"/>
          <w:sz w:val="24"/>
          <w:szCs w:val="24"/>
        </w:rPr>
        <w:t xml:space="preserve"> between </w:t>
      </w:r>
      <w:r w:rsidR="0024764C" w:rsidRPr="003F7BBB">
        <w:rPr>
          <w:rFonts w:ascii="Times New Roman" w:hAnsi="Times New Roman" w:cs="Times New Roman"/>
          <w:sz w:val="24"/>
          <w:szCs w:val="24"/>
        </w:rPr>
        <w:t>the ratio based on cash flows (CF</w:t>
      </w:r>
      <w:r w:rsidR="0024764C">
        <w:rPr>
          <w:rFonts w:ascii="Times New Roman" w:hAnsi="Times New Roman" w:cs="Times New Roman"/>
          <w:sz w:val="24"/>
          <w:szCs w:val="24"/>
        </w:rPr>
        <w:t>R</w:t>
      </w:r>
      <w:r w:rsidR="0024764C" w:rsidRPr="003F7BBB">
        <w:rPr>
          <w:rFonts w:ascii="Times New Roman" w:hAnsi="Times New Roman" w:cs="Times New Roman"/>
          <w:sz w:val="24"/>
          <w:szCs w:val="24"/>
        </w:rPr>
        <w:t>) and one of the four ratios based on accounting data (LIQ</w:t>
      </w:r>
      <w:r w:rsidR="0024764C">
        <w:rPr>
          <w:rFonts w:ascii="Times New Roman" w:hAnsi="Times New Roman" w:cs="Times New Roman"/>
          <w:sz w:val="24"/>
          <w:szCs w:val="24"/>
        </w:rPr>
        <w:t>R</w:t>
      </w:r>
      <w:r w:rsidR="0024764C" w:rsidRPr="003F7BBB">
        <w:rPr>
          <w:rFonts w:ascii="Times New Roman" w:hAnsi="Times New Roman" w:cs="Times New Roman"/>
          <w:sz w:val="24"/>
          <w:szCs w:val="24"/>
        </w:rPr>
        <w:t xml:space="preserve">, </w:t>
      </w:r>
      <w:r w:rsidR="0024764C">
        <w:rPr>
          <w:rFonts w:ascii="Times New Roman" w:hAnsi="Times New Roman" w:cs="Times New Roman"/>
          <w:sz w:val="24"/>
          <w:szCs w:val="24"/>
        </w:rPr>
        <w:t>EFFR</w:t>
      </w:r>
      <w:r w:rsidR="0024764C" w:rsidRPr="003F7BBB">
        <w:rPr>
          <w:rFonts w:ascii="Times New Roman" w:hAnsi="Times New Roman" w:cs="Times New Roman"/>
          <w:sz w:val="24"/>
          <w:szCs w:val="24"/>
        </w:rPr>
        <w:t>,</w:t>
      </w:r>
      <w:r w:rsidR="0024764C">
        <w:rPr>
          <w:rFonts w:ascii="Times New Roman" w:hAnsi="Times New Roman" w:cs="Times New Roman"/>
          <w:sz w:val="24"/>
          <w:szCs w:val="24"/>
        </w:rPr>
        <w:t xml:space="preserve"> PROR,</w:t>
      </w:r>
      <w:r w:rsidR="0024764C" w:rsidRPr="003F7BBB">
        <w:rPr>
          <w:rFonts w:ascii="Times New Roman" w:hAnsi="Times New Roman" w:cs="Times New Roman"/>
          <w:sz w:val="24"/>
          <w:szCs w:val="24"/>
        </w:rPr>
        <w:t xml:space="preserve"> and </w:t>
      </w:r>
      <w:r w:rsidR="00081BE6">
        <w:rPr>
          <w:rFonts w:ascii="Times New Roman" w:hAnsi="Times New Roman" w:cs="Times New Roman"/>
          <w:sz w:val="24"/>
          <w:szCs w:val="24"/>
        </w:rPr>
        <w:t>SOL</w:t>
      </w:r>
      <w:r w:rsidR="0024764C">
        <w:rPr>
          <w:rFonts w:ascii="Times New Roman" w:hAnsi="Times New Roman" w:cs="Times New Roman"/>
          <w:sz w:val="24"/>
          <w:szCs w:val="24"/>
        </w:rPr>
        <w:t>R</w:t>
      </w:r>
      <w:r w:rsidR="0024764C" w:rsidRPr="003F7BBB">
        <w:rPr>
          <w:rFonts w:ascii="Times New Roman" w:hAnsi="Times New Roman" w:cs="Times New Roman"/>
          <w:sz w:val="24"/>
          <w:szCs w:val="24"/>
        </w:rPr>
        <w:t>).</w:t>
      </w:r>
      <w:r w:rsidR="00BD5B67">
        <w:rPr>
          <w:rFonts w:ascii="Times New Roman" w:hAnsi="Times New Roman" w:cs="Times New Roman"/>
          <w:sz w:val="24"/>
          <w:szCs w:val="24"/>
        </w:rPr>
        <w:t xml:space="preserve"> </w:t>
      </w:r>
      <w:r w:rsidR="00BD5B67" w:rsidRPr="00BD5B67">
        <w:rPr>
          <w:rFonts w:ascii="Times New Roman" w:hAnsi="Times New Roman" w:cs="Times New Roman"/>
          <w:sz w:val="24"/>
          <w:szCs w:val="24"/>
        </w:rPr>
        <w:t xml:space="preserve">We have applied these two </w:t>
      </w:r>
      <w:r w:rsidR="00081BE6">
        <w:rPr>
          <w:rFonts w:ascii="Times New Roman" w:hAnsi="Times New Roman" w:cs="Times New Roman"/>
          <w:sz w:val="24"/>
          <w:szCs w:val="24"/>
        </w:rPr>
        <w:t xml:space="preserve">panel </w:t>
      </w:r>
      <w:r w:rsidR="00BD5B67" w:rsidRPr="00BD5B67">
        <w:rPr>
          <w:rFonts w:ascii="Times New Roman" w:hAnsi="Times New Roman" w:cs="Times New Roman"/>
          <w:sz w:val="24"/>
          <w:szCs w:val="24"/>
        </w:rPr>
        <w:t xml:space="preserve">tests on a sample of 150 companies over a period of 8 years (i.e., 2010 to 2017), which gave us 1200 observations in panel data (company-year). We have ensured a certain level of homogeneity in our sample by considering two factors, namely, </w:t>
      </w:r>
      <w:r w:rsidR="00BD5B67" w:rsidRPr="00650B6D">
        <w:rPr>
          <w:rFonts w:ascii="Times New Roman" w:hAnsi="Times New Roman" w:cs="Times New Roman"/>
          <w:sz w:val="24"/>
          <w:szCs w:val="24"/>
        </w:rPr>
        <w:t>the size and the life cycle of the compan</w:t>
      </w:r>
      <w:r w:rsidR="00081BE6">
        <w:rPr>
          <w:rFonts w:ascii="Times New Roman" w:hAnsi="Times New Roman" w:cs="Times New Roman"/>
          <w:sz w:val="24"/>
          <w:szCs w:val="24"/>
        </w:rPr>
        <w:t>y</w:t>
      </w:r>
      <w:r w:rsidR="00BD5B67" w:rsidRPr="00BD5B67">
        <w:rPr>
          <w:rFonts w:ascii="Times New Roman" w:hAnsi="Times New Roman" w:cs="Times New Roman"/>
          <w:sz w:val="24"/>
          <w:szCs w:val="24"/>
        </w:rPr>
        <w:t>.</w:t>
      </w:r>
      <w:r w:rsidR="00B27327">
        <w:rPr>
          <w:rFonts w:ascii="Times New Roman" w:hAnsi="Times New Roman" w:cs="Times New Roman"/>
          <w:sz w:val="24"/>
          <w:szCs w:val="24"/>
        </w:rPr>
        <w:t xml:space="preserve"> </w:t>
      </w:r>
    </w:p>
    <w:p w14:paraId="18BBC9CB" w14:textId="17E28457" w:rsidR="00A64C27" w:rsidRDefault="002C4056" w:rsidP="00303D4D">
      <w:pPr>
        <w:spacing w:line="240" w:lineRule="auto"/>
        <w:jc w:val="both"/>
        <w:rPr>
          <w:rFonts w:ascii="Times New Roman" w:hAnsi="Times New Roman" w:cs="Times New Roman"/>
          <w:sz w:val="24"/>
          <w:szCs w:val="24"/>
        </w:rPr>
      </w:pPr>
      <w:r w:rsidRPr="002C4056">
        <w:rPr>
          <w:rFonts w:ascii="Times New Roman" w:hAnsi="Times New Roman" w:cs="Times New Roman"/>
          <w:sz w:val="24"/>
          <w:szCs w:val="24"/>
        </w:rPr>
        <w:t xml:space="preserve">The results of the tests of Im, Pesaran and Shin (2003) have showed that </w:t>
      </w:r>
      <w:r>
        <w:rPr>
          <w:rFonts w:ascii="Times New Roman" w:hAnsi="Times New Roman" w:cs="Times New Roman"/>
          <w:sz w:val="24"/>
          <w:szCs w:val="24"/>
        </w:rPr>
        <w:t>our</w:t>
      </w:r>
      <w:r w:rsidRPr="002C4056">
        <w:rPr>
          <w:rFonts w:ascii="Times New Roman" w:hAnsi="Times New Roman" w:cs="Times New Roman"/>
          <w:sz w:val="24"/>
          <w:szCs w:val="24"/>
        </w:rPr>
        <w:t xml:space="preserve"> five variables (</w:t>
      </w:r>
      <w:r>
        <w:rPr>
          <w:rFonts w:ascii="Times New Roman" w:hAnsi="Times New Roman" w:cs="Times New Roman"/>
          <w:sz w:val="24"/>
          <w:szCs w:val="24"/>
        </w:rPr>
        <w:t>CFR</w:t>
      </w:r>
      <w:r w:rsidRPr="002C4056">
        <w:rPr>
          <w:rFonts w:ascii="Times New Roman" w:hAnsi="Times New Roman" w:cs="Times New Roman"/>
          <w:sz w:val="24"/>
          <w:szCs w:val="24"/>
        </w:rPr>
        <w:t>, LIQ</w:t>
      </w:r>
      <w:r>
        <w:rPr>
          <w:rFonts w:ascii="Times New Roman" w:hAnsi="Times New Roman" w:cs="Times New Roman"/>
          <w:sz w:val="24"/>
          <w:szCs w:val="24"/>
        </w:rPr>
        <w:t>R</w:t>
      </w:r>
      <w:r w:rsidRPr="002C4056">
        <w:rPr>
          <w:rFonts w:ascii="Times New Roman" w:hAnsi="Times New Roman" w:cs="Times New Roman"/>
          <w:sz w:val="24"/>
          <w:szCs w:val="24"/>
        </w:rPr>
        <w:t xml:space="preserve">, </w:t>
      </w:r>
      <w:r>
        <w:rPr>
          <w:rFonts w:ascii="Times New Roman" w:hAnsi="Times New Roman" w:cs="Times New Roman"/>
          <w:sz w:val="24"/>
          <w:szCs w:val="24"/>
        </w:rPr>
        <w:t>EFFR</w:t>
      </w:r>
      <w:r w:rsidRPr="002C4056">
        <w:rPr>
          <w:rFonts w:ascii="Times New Roman" w:hAnsi="Times New Roman" w:cs="Times New Roman"/>
          <w:sz w:val="24"/>
          <w:szCs w:val="24"/>
        </w:rPr>
        <w:t xml:space="preserve">, </w:t>
      </w:r>
      <w:r>
        <w:rPr>
          <w:rFonts w:ascii="Times New Roman" w:hAnsi="Times New Roman" w:cs="Times New Roman"/>
          <w:sz w:val="24"/>
          <w:szCs w:val="24"/>
        </w:rPr>
        <w:t>PROR,</w:t>
      </w:r>
      <w:r w:rsidRPr="002C4056">
        <w:rPr>
          <w:rFonts w:ascii="Times New Roman" w:hAnsi="Times New Roman" w:cs="Times New Roman"/>
          <w:sz w:val="24"/>
          <w:szCs w:val="24"/>
        </w:rPr>
        <w:t xml:space="preserve"> and </w:t>
      </w:r>
      <w:r w:rsidR="00081BE6">
        <w:rPr>
          <w:rFonts w:ascii="Times New Roman" w:hAnsi="Times New Roman" w:cs="Times New Roman"/>
          <w:sz w:val="24"/>
          <w:szCs w:val="24"/>
        </w:rPr>
        <w:t>SOL</w:t>
      </w:r>
      <w:r>
        <w:rPr>
          <w:rFonts w:ascii="Times New Roman" w:hAnsi="Times New Roman" w:cs="Times New Roman"/>
          <w:sz w:val="24"/>
          <w:szCs w:val="24"/>
        </w:rPr>
        <w:t>R</w:t>
      </w:r>
      <w:r w:rsidRPr="002C4056">
        <w:rPr>
          <w:rFonts w:ascii="Times New Roman" w:hAnsi="Times New Roman" w:cs="Times New Roman"/>
          <w:sz w:val="24"/>
          <w:szCs w:val="24"/>
        </w:rPr>
        <w:t xml:space="preserve">) are integrated of order 1 </w:t>
      </w:r>
      <w:r w:rsidRPr="00077D51">
        <w:rPr>
          <w:rFonts w:ascii="Times New Roman" w:hAnsi="Times New Roman" w:cs="Times New Roman"/>
          <w:sz w:val="24"/>
          <w:szCs w:val="24"/>
        </w:rPr>
        <w:t xml:space="preserve">at </w:t>
      </w:r>
      <w:r w:rsidRPr="00F44340">
        <w:rPr>
          <w:rFonts w:ascii="Times New Roman" w:hAnsi="Times New Roman" w:cs="Times New Roman"/>
          <w:sz w:val="24"/>
          <w:szCs w:val="24"/>
        </w:rPr>
        <w:t>a significance level of 1 %</w:t>
      </w:r>
      <w:r>
        <w:rPr>
          <w:rFonts w:ascii="Times New Roman" w:hAnsi="Times New Roman" w:cs="Times New Roman"/>
          <w:sz w:val="24"/>
          <w:szCs w:val="24"/>
        </w:rPr>
        <w:t>.</w:t>
      </w:r>
      <w:r w:rsidRPr="002C4056">
        <w:rPr>
          <w:rFonts w:ascii="Times New Roman" w:hAnsi="Times New Roman" w:cs="Times New Roman"/>
          <w:sz w:val="24"/>
          <w:szCs w:val="24"/>
        </w:rPr>
        <w:t xml:space="preserve"> These results </w:t>
      </w:r>
      <w:r>
        <w:rPr>
          <w:rFonts w:ascii="Times New Roman" w:hAnsi="Times New Roman" w:cs="Times New Roman"/>
          <w:sz w:val="24"/>
          <w:szCs w:val="24"/>
        </w:rPr>
        <w:t xml:space="preserve">have </w:t>
      </w:r>
      <w:r w:rsidRPr="002C4056">
        <w:rPr>
          <w:rFonts w:ascii="Times New Roman" w:hAnsi="Times New Roman" w:cs="Times New Roman"/>
          <w:sz w:val="24"/>
          <w:szCs w:val="24"/>
        </w:rPr>
        <w:t>allowed us to</w:t>
      </w:r>
      <w:r>
        <w:rPr>
          <w:rFonts w:ascii="Times New Roman" w:hAnsi="Times New Roman" w:cs="Times New Roman"/>
          <w:sz w:val="24"/>
          <w:szCs w:val="24"/>
        </w:rPr>
        <w:t xml:space="preserve"> </w:t>
      </w:r>
      <w:r w:rsidRPr="00247A20">
        <w:rPr>
          <w:rFonts w:ascii="Times New Roman" w:hAnsi="Times New Roman" w:cs="Times New Roman"/>
          <w:sz w:val="24"/>
          <w:szCs w:val="24"/>
        </w:rPr>
        <w:t xml:space="preserve">apply the </w:t>
      </w:r>
      <w:r>
        <w:rPr>
          <w:rFonts w:ascii="Times New Roman" w:hAnsi="Times New Roman" w:cs="Times New Roman"/>
          <w:sz w:val="24"/>
          <w:szCs w:val="24"/>
        </w:rPr>
        <w:t xml:space="preserve">panel </w:t>
      </w:r>
      <w:r w:rsidRPr="00247A20">
        <w:rPr>
          <w:rFonts w:ascii="Times New Roman" w:hAnsi="Times New Roman" w:cs="Times New Roman"/>
          <w:sz w:val="24"/>
          <w:szCs w:val="24"/>
        </w:rPr>
        <w:t xml:space="preserve">cointegration tests of Pedroni (2004) on </w:t>
      </w:r>
      <w:r>
        <w:rPr>
          <w:rFonts w:ascii="Times New Roman" w:hAnsi="Times New Roman" w:cs="Times New Roman"/>
          <w:sz w:val="24"/>
          <w:szCs w:val="24"/>
        </w:rPr>
        <w:t>the</w:t>
      </w:r>
      <w:r w:rsidRPr="00247A20">
        <w:rPr>
          <w:rFonts w:ascii="Times New Roman" w:hAnsi="Times New Roman" w:cs="Times New Roman"/>
          <w:sz w:val="24"/>
          <w:szCs w:val="24"/>
        </w:rPr>
        <w:t xml:space="preserve"> four models</w:t>
      </w:r>
      <w:r>
        <w:rPr>
          <w:rFonts w:ascii="Times New Roman" w:hAnsi="Times New Roman" w:cs="Times New Roman"/>
          <w:sz w:val="24"/>
          <w:szCs w:val="24"/>
        </w:rPr>
        <w:t>, namely (CFR</w:t>
      </w:r>
      <w:r w:rsidR="00AC0847">
        <w:rPr>
          <w:rFonts w:ascii="Times New Roman" w:hAnsi="Times New Roman" w:cs="Times New Roman"/>
          <w:sz w:val="24"/>
          <w:szCs w:val="24"/>
        </w:rPr>
        <w:t>-</w:t>
      </w:r>
      <w:r>
        <w:rPr>
          <w:rFonts w:ascii="Times New Roman" w:hAnsi="Times New Roman" w:cs="Times New Roman"/>
          <w:sz w:val="24"/>
          <w:szCs w:val="24"/>
        </w:rPr>
        <w:t>LIQR), (CFR</w:t>
      </w:r>
      <w:r w:rsidR="00AC0847">
        <w:rPr>
          <w:rFonts w:ascii="Times New Roman" w:hAnsi="Times New Roman" w:cs="Times New Roman"/>
          <w:sz w:val="24"/>
          <w:szCs w:val="24"/>
        </w:rPr>
        <w:t>-</w:t>
      </w:r>
      <w:r>
        <w:rPr>
          <w:rFonts w:ascii="Times New Roman" w:hAnsi="Times New Roman" w:cs="Times New Roman"/>
          <w:sz w:val="24"/>
          <w:szCs w:val="24"/>
        </w:rPr>
        <w:t>EFFR), (CFR</w:t>
      </w:r>
      <w:r w:rsidR="00AC0847">
        <w:rPr>
          <w:rFonts w:ascii="Times New Roman" w:hAnsi="Times New Roman" w:cs="Times New Roman"/>
          <w:sz w:val="24"/>
          <w:szCs w:val="24"/>
        </w:rPr>
        <w:t>-</w:t>
      </w:r>
      <w:r>
        <w:rPr>
          <w:rFonts w:ascii="Times New Roman" w:hAnsi="Times New Roman" w:cs="Times New Roman"/>
          <w:sz w:val="24"/>
          <w:szCs w:val="24"/>
        </w:rPr>
        <w:t>PROR), and (CFR</w:t>
      </w:r>
      <w:r w:rsidR="00AC0847">
        <w:rPr>
          <w:rFonts w:ascii="Times New Roman" w:hAnsi="Times New Roman" w:cs="Times New Roman"/>
          <w:sz w:val="24"/>
          <w:szCs w:val="24"/>
        </w:rPr>
        <w:t>-SOL</w:t>
      </w:r>
      <w:r>
        <w:rPr>
          <w:rFonts w:ascii="Times New Roman" w:hAnsi="Times New Roman" w:cs="Times New Roman"/>
          <w:sz w:val="24"/>
          <w:szCs w:val="24"/>
        </w:rPr>
        <w:t>R).</w:t>
      </w:r>
      <w:r w:rsidR="00B27327">
        <w:rPr>
          <w:rFonts w:ascii="Times New Roman" w:hAnsi="Times New Roman" w:cs="Times New Roman"/>
          <w:sz w:val="24"/>
          <w:szCs w:val="24"/>
        </w:rPr>
        <w:t xml:space="preserve"> </w:t>
      </w:r>
      <w:r w:rsidRPr="002C4056">
        <w:rPr>
          <w:rFonts w:ascii="Times New Roman" w:hAnsi="Times New Roman" w:cs="Times New Roman"/>
          <w:sz w:val="24"/>
          <w:szCs w:val="24"/>
        </w:rPr>
        <w:t>The results of the tests of Pedroni (2004) have indicated the existence of cointegration relationships between CF</w:t>
      </w:r>
      <w:r>
        <w:rPr>
          <w:rFonts w:ascii="Times New Roman" w:hAnsi="Times New Roman" w:cs="Times New Roman"/>
          <w:sz w:val="24"/>
          <w:szCs w:val="24"/>
        </w:rPr>
        <w:t>R</w:t>
      </w:r>
      <w:r w:rsidRPr="002C4056">
        <w:rPr>
          <w:rFonts w:ascii="Times New Roman" w:hAnsi="Times New Roman" w:cs="Times New Roman"/>
          <w:sz w:val="24"/>
          <w:szCs w:val="24"/>
        </w:rPr>
        <w:t xml:space="preserve"> and the four ratios that measure the </w:t>
      </w:r>
      <w:r>
        <w:rPr>
          <w:rFonts w:ascii="Times New Roman" w:hAnsi="Times New Roman" w:cs="Times New Roman"/>
          <w:sz w:val="24"/>
          <w:szCs w:val="24"/>
        </w:rPr>
        <w:t xml:space="preserve">company’s </w:t>
      </w:r>
      <w:r w:rsidRPr="002C4056">
        <w:rPr>
          <w:rFonts w:ascii="Times New Roman" w:hAnsi="Times New Roman" w:cs="Times New Roman"/>
          <w:sz w:val="24"/>
          <w:szCs w:val="24"/>
        </w:rPr>
        <w:t>financial health (</w:t>
      </w:r>
      <w:r>
        <w:rPr>
          <w:rFonts w:ascii="Times New Roman" w:hAnsi="Times New Roman" w:cs="Times New Roman"/>
          <w:sz w:val="24"/>
          <w:szCs w:val="24"/>
        </w:rPr>
        <w:t xml:space="preserve">i.e., </w:t>
      </w:r>
      <w:r w:rsidRPr="002C4056">
        <w:rPr>
          <w:rFonts w:ascii="Times New Roman" w:hAnsi="Times New Roman" w:cs="Times New Roman"/>
          <w:sz w:val="24"/>
          <w:szCs w:val="24"/>
        </w:rPr>
        <w:t>LIQ</w:t>
      </w:r>
      <w:r>
        <w:rPr>
          <w:rFonts w:ascii="Times New Roman" w:hAnsi="Times New Roman" w:cs="Times New Roman"/>
          <w:sz w:val="24"/>
          <w:szCs w:val="24"/>
        </w:rPr>
        <w:t>R</w:t>
      </w:r>
      <w:r w:rsidRPr="002C4056">
        <w:rPr>
          <w:rFonts w:ascii="Times New Roman" w:hAnsi="Times New Roman" w:cs="Times New Roman"/>
          <w:sz w:val="24"/>
          <w:szCs w:val="24"/>
        </w:rPr>
        <w:t xml:space="preserve">, </w:t>
      </w:r>
      <w:r>
        <w:rPr>
          <w:rFonts w:ascii="Times New Roman" w:hAnsi="Times New Roman" w:cs="Times New Roman"/>
          <w:sz w:val="24"/>
          <w:szCs w:val="24"/>
        </w:rPr>
        <w:t>EFFR</w:t>
      </w:r>
      <w:r w:rsidRPr="002C4056">
        <w:rPr>
          <w:rFonts w:ascii="Times New Roman" w:hAnsi="Times New Roman" w:cs="Times New Roman"/>
          <w:sz w:val="24"/>
          <w:szCs w:val="24"/>
        </w:rPr>
        <w:t xml:space="preserve">, </w:t>
      </w:r>
      <w:r>
        <w:rPr>
          <w:rFonts w:ascii="Times New Roman" w:hAnsi="Times New Roman" w:cs="Times New Roman"/>
          <w:sz w:val="24"/>
          <w:szCs w:val="24"/>
        </w:rPr>
        <w:t>PROR,</w:t>
      </w:r>
      <w:r w:rsidRPr="002C4056">
        <w:rPr>
          <w:rFonts w:ascii="Times New Roman" w:hAnsi="Times New Roman" w:cs="Times New Roman"/>
          <w:sz w:val="24"/>
          <w:szCs w:val="24"/>
        </w:rPr>
        <w:t xml:space="preserve"> </w:t>
      </w:r>
      <w:r w:rsidRPr="00170F52">
        <w:rPr>
          <w:rFonts w:ascii="Times New Roman" w:hAnsi="Times New Roman" w:cs="Times New Roman"/>
          <w:sz w:val="24"/>
          <w:szCs w:val="24"/>
        </w:rPr>
        <w:t xml:space="preserve">and </w:t>
      </w:r>
      <w:r w:rsidR="00AC0847">
        <w:rPr>
          <w:rFonts w:ascii="Times New Roman" w:hAnsi="Times New Roman" w:cs="Times New Roman"/>
          <w:sz w:val="24"/>
          <w:szCs w:val="24"/>
        </w:rPr>
        <w:t>SOL</w:t>
      </w:r>
      <w:r w:rsidRPr="00170F52">
        <w:rPr>
          <w:rFonts w:ascii="Times New Roman" w:hAnsi="Times New Roman" w:cs="Times New Roman"/>
          <w:sz w:val="24"/>
          <w:szCs w:val="24"/>
        </w:rPr>
        <w:t xml:space="preserve">R). Overall, the results of the tests of Pedroni (2004) have permitted us to accept the four research hypotheses thus confirming the usefulness of the informational content of cash flows to explain and predict the company’s financial health in terms of </w:t>
      </w:r>
      <w:r w:rsidR="00B27327" w:rsidRPr="00170F52">
        <w:rPr>
          <w:rFonts w:ascii="Times New Roman" w:hAnsi="Times New Roman" w:cs="Times New Roman"/>
          <w:sz w:val="24"/>
          <w:szCs w:val="24"/>
        </w:rPr>
        <w:t xml:space="preserve">the following aspects: liquidity, </w:t>
      </w:r>
      <w:r w:rsidR="00CC27C3">
        <w:rPr>
          <w:rFonts w:ascii="Times New Roman" w:hAnsi="Times New Roman" w:cs="Times New Roman"/>
          <w:sz w:val="24"/>
          <w:szCs w:val="24"/>
        </w:rPr>
        <w:t xml:space="preserve">operational </w:t>
      </w:r>
      <w:r w:rsidR="00B27327" w:rsidRPr="00170F52">
        <w:rPr>
          <w:rFonts w:ascii="Times New Roman" w:hAnsi="Times New Roman" w:cs="Times New Roman"/>
          <w:sz w:val="24"/>
          <w:szCs w:val="24"/>
        </w:rPr>
        <w:t xml:space="preserve">efficiency, profitability, and </w:t>
      </w:r>
      <w:r w:rsidR="00AC0847">
        <w:rPr>
          <w:rFonts w:ascii="Times New Roman" w:hAnsi="Times New Roman" w:cs="Times New Roman"/>
          <w:sz w:val="24"/>
          <w:szCs w:val="24"/>
        </w:rPr>
        <w:t>solvency</w:t>
      </w:r>
      <w:r w:rsidR="00B27327" w:rsidRPr="00170F52">
        <w:rPr>
          <w:rFonts w:ascii="Times New Roman" w:hAnsi="Times New Roman" w:cs="Times New Roman"/>
          <w:sz w:val="24"/>
          <w:szCs w:val="24"/>
        </w:rPr>
        <w:t>.</w:t>
      </w:r>
      <w:r w:rsidR="006942D4" w:rsidRPr="00170F52">
        <w:rPr>
          <w:rFonts w:ascii="Times New Roman" w:hAnsi="Times New Roman" w:cs="Times New Roman"/>
          <w:sz w:val="24"/>
          <w:szCs w:val="24"/>
        </w:rPr>
        <w:t xml:space="preserve"> However, we have found that the seven </w:t>
      </w:r>
      <w:r w:rsidR="00AC0847">
        <w:rPr>
          <w:rFonts w:ascii="Times New Roman" w:hAnsi="Times New Roman" w:cs="Times New Roman"/>
          <w:sz w:val="24"/>
          <w:szCs w:val="24"/>
        </w:rPr>
        <w:t>statistics</w:t>
      </w:r>
      <w:r w:rsidR="006942D4" w:rsidRPr="00170F52">
        <w:rPr>
          <w:rFonts w:ascii="Times New Roman" w:hAnsi="Times New Roman" w:cs="Times New Roman"/>
          <w:sz w:val="24"/>
          <w:szCs w:val="24"/>
        </w:rPr>
        <w:t xml:space="preserve"> </w:t>
      </w:r>
      <w:r w:rsidR="00AC0847" w:rsidRPr="00170F52">
        <w:rPr>
          <w:rFonts w:ascii="Times New Roman" w:hAnsi="Times New Roman" w:cs="Times New Roman"/>
          <w:sz w:val="24"/>
          <w:szCs w:val="24"/>
        </w:rPr>
        <w:t xml:space="preserve">of </w:t>
      </w:r>
      <w:r w:rsidR="00AC0847">
        <w:rPr>
          <w:rFonts w:ascii="Times New Roman" w:hAnsi="Times New Roman" w:cs="Times New Roman"/>
          <w:sz w:val="24"/>
          <w:szCs w:val="24"/>
        </w:rPr>
        <w:t xml:space="preserve">the test of </w:t>
      </w:r>
      <w:r w:rsidR="006942D4" w:rsidRPr="00170F52">
        <w:rPr>
          <w:rFonts w:ascii="Times New Roman" w:hAnsi="Times New Roman" w:cs="Times New Roman"/>
          <w:sz w:val="24"/>
          <w:szCs w:val="24"/>
        </w:rPr>
        <w:t xml:space="preserve">Pedroni (2004) </w:t>
      </w:r>
      <w:r w:rsidR="00AC0847" w:rsidRPr="00170F52">
        <w:rPr>
          <w:rFonts w:ascii="Times New Roman" w:hAnsi="Times New Roman" w:cs="Times New Roman"/>
          <w:sz w:val="24"/>
          <w:szCs w:val="24"/>
        </w:rPr>
        <w:t xml:space="preserve">(i.e., three statistics of the between-dimension category and four statistics of the within-dimension category) </w:t>
      </w:r>
      <w:r w:rsidR="006942D4" w:rsidRPr="00170F52">
        <w:rPr>
          <w:rFonts w:ascii="Times New Roman" w:hAnsi="Times New Roman" w:cs="Times New Roman"/>
          <w:sz w:val="24"/>
          <w:szCs w:val="24"/>
        </w:rPr>
        <w:t xml:space="preserve">have not given the same results concerning the rejection of the null hypothesis of no cointegration. Thus, we have used the number of </w:t>
      </w:r>
      <w:r w:rsidR="00AC0847">
        <w:rPr>
          <w:rFonts w:ascii="Times New Roman" w:hAnsi="Times New Roman" w:cs="Times New Roman"/>
          <w:sz w:val="24"/>
          <w:szCs w:val="24"/>
        </w:rPr>
        <w:t>statistics</w:t>
      </w:r>
      <w:r w:rsidR="006942D4" w:rsidRPr="00170F52">
        <w:rPr>
          <w:rFonts w:ascii="Times New Roman" w:hAnsi="Times New Roman" w:cs="Times New Roman"/>
          <w:sz w:val="24"/>
          <w:szCs w:val="24"/>
        </w:rPr>
        <w:t xml:space="preserve"> ((with priority to the number of statistics of the between-dimension category) that reject the null hypothesis as well as their significance level to compare the powerfulness of the cointegration relationships identified between the ratio based on cash flow (CFR) and the four ratios based on accounting data (LIQR, EFFR, PROR, and </w:t>
      </w:r>
      <w:r w:rsidR="00AC0847">
        <w:rPr>
          <w:rFonts w:ascii="Times New Roman" w:hAnsi="Times New Roman" w:cs="Times New Roman"/>
          <w:sz w:val="24"/>
          <w:szCs w:val="24"/>
        </w:rPr>
        <w:t>SOL</w:t>
      </w:r>
      <w:r w:rsidR="006942D4" w:rsidRPr="00170F52">
        <w:rPr>
          <w:rFonts w:ascii="Times New Roman" w:hAnsi="Times New Roman" w:cs="Times New Roman"/>
          <w:sz w:val="24"/>
          <w:szCs w:val="24"/>
        </w:rPr>
        <w:t xml:space="preserve">R). The results of this comparison have allowed us to establish the </w:t>
      </w:r>
      <w:r w:rsidR="006942D4" w:rsidRPr="00170F52">
        <w:rPr>
          <w:rFonts w:ascii="Times New Roman" w:hAnsi="Times New Roman" w:cs="Times New Roman"/>
          <w:sz w:val="24"/>
          <w:szCs w:val="24"/>
        </w:rPr>
        <w:lastRenderedPageBreak/>
        <w:t>following ranking: 1st rank: the model (CFR -</w:t>
      </w:r>
      <w:r w:rsidR="00AC0847">
        <w:rPr>
          <w:rFonts w:ascii="Times New Roman" w:hAnsi="Times New Roman" w:cs="Times New Roman"/>
          <w:sz w:val="24"/>
          <w:szCs w:val="24"/>
        </w:rPr>
        <w:t>SOL</w:t>
      </w:r>
      <w:r w:rsidR="006942D4" w:rsidRPr="00170F52">
        <w:rPr>
          <w:rFonts w:ascii="Times New Roman" w:hAnsi="Times New Roman" w:cs="Times New Roman"/>
          <w:sz w:val="24"/>
          <w:szCs w:val="24"/>
        </w:rPr>
        <w:t>R) which displays the most powerful cointegration relationship; 2nd rank:  the model (CFR -PROR); 3rd rank: the model (CFR - EFFR), and 4th rank: the model (CFR - LIQR) which displays the weakest cointegration relationship among the four tested models.</w:t>
      </w:r>
      <w:r w:rsidR="006D2888" w:rsidRPr="00170F52">
        <w:rPr>
          <w:rFonts w:ascii="Times New Roman" w:hAnsi="Times New Roman" w:cs="Times New Roman"/>
          <w:sz w:val="24"/>
          <w:szCs w:val="24"/>
        </w:rPr>
        <w:t xml:space="preserve"> </w:t>
      </w:r>
      <w:r w:rsidR="00ED2F6B" w:rsidRPr="00170F52">
        <w:rPr>
          <w:rFonts w:ascii="Times New Roman" w:hAnsi="Times New Roman" w:cs="Times New Roman"/>
          <w:sz w:val="24"/>
          <w:szCs w:val="24"/>
        </w:rPr>
        <w:t xml:space="preserve">Given that the debt-assets ratio </w:t>
      </w:r>
      <w:r w:rsidR="00170F52">
        <w:rPr>
          <w:rFonts w:ascii="Times New Roman" w:hAnsi="Times New Roman" w:cs="Times New Roman"/>
          <w:sz w:val="24"/>
          <w:szCs w:val="24"/>
        </w:rPr>
        <w:t>(</w:t>
      </w:r>
      <w:r w:rsidR="00AC0847">
        <w:rPr>
          <w:rFonts w:ascii="Times New Roman" w:hAnsi="Times New Roman" w:cs="Times New Roman"/>
          <w:sz w:val="24"/>
          <w:szCs w:val="24"/>
        </w:rPr>
        <w:t>SOL</w:t>
      </w:r>
      <w:r w:rsidR="00170F52">
        <w:rPr>
          <w:rFonts w:ascii="Times New Roman" w:hAnsi="Times New Roman" w:cs="Times New Roman"/>
          <w:sz w:val="24"/>
          <w:szCs w:val="24"/>
        </w:rPr>
        <w:t xml:space="preserve">R) </w:t>
      </w:r>
      <w:r w:rsidR="00ED2F6B" w:rsidRPr="00170F52">
        <w:rPr>
          <w:rFonts w:ascii="Times New Roman" w:hAnsi="Times New Roman" w:cs="Times New Roman"/>
          <w:sz w:val="24"/>
          <w:szCs w:val="24"/>
        </w:rPr>
        <w:t>is also called long-term solvency ratio,</w:t>
      </w:r>
      <w:r w:rsidR="00170F52" w:rsidRPr="00170F52">
        <w:rPr>
          <w:rFonts w:ascii="Times New Roman" w:hAnsi="Times New Roman" w:cs="Times New Roman"/>
          <w:sz w:val="24"/>
          <w:szCs w:val="24"/>
        </w:rPr>
        <w:t xml:space="preserve"> </w:t>
      </w:r>
      <w:r w:rsidR="00ED2F6B" w:rsidRPr="00170F52">
        <w:rPr>
          <w:rFonts w:ascii="Times New Roman" w:hAnsi="Times New Roman" w:cs="Times New Roman"/>
          <w:sz w:val="24"/>
          <w:szCs w:val="24"/>
        </w:rPr>
        <w:t>so we have concluded from this ranking that the explanatory power of cash flows with regard to the solvency of the company is more powerful than that with regard to its profitability,</w:t>
      </w:r>
      <w:r w:rsidR="00CC27C3">
        <w:rPr>
          <w:rFonts w:ascii="Times New Roman" w:hAnsi="Times New Roman" w:cs="Times New Roman"/>
          <w:sz w:val="24"/>
          <w:szCs w:val="24"/>
        </w:rPr>
        <w:t xml:space="preserve"> </w:t>
      </w:r>
      <w:r w:rsidR="00ED2F6B" w:rsidRPr="00170F52">
        <w:rPr>
          <w:rFonts w:ascii="Times New Roman" w:hAnsi="Times New Roman" w:cs="Times New Roman"/>
          <w:sz w:val="24"/>
          <w:szCs w:val="24"/>
        </w:rPr>
        <w:t>its</w:t>
      </w:r>
      <w:r w:rsidR="00CC27C3">
        <w:rPr>
          <w:rFonts w:ascii="Times New Roman" w:hAnsi="Times New Roman" w:cs="Times New Roman"/>
          <w:sz w:val="24"/>
          <w:szCs w:val="24"/>
        </w:rPr>
        <w:t xml:space="preserve"> operational </w:t>
      </w:r>
      <w:r w:rsidR="00ED2F6B" w:rsidRPr="00170F52">
        <w:rPr>
          <w:rFonts w:ascii="Times New Roman" w:hAnsi="Times New Roman" w:cs="Times New Roman"/>
          <w:sz w:val="24"/>
          <w:szCs w:val="24"/>
        </w:rPr>
        <w:t>efficiency, or its liquidity.</w:t>
      </w:r>
      <w:r w:rsidR="00ED2F6B">
        <w:t xml:space="preserve">   </w:t>
      </w:r>
      <w:r w:rsidR="00797C76" w:rsidRPr="00797C76">
        <w:rPr>
          <w:rFonts w:ascii="Times New Roman" w:hAnsi="Times New Roman" w:cs="Times New Roman"/>
          <w:sz w:val="24"/>
          <w:szCs w:val="24"/>
        </w:rPr>
        <w:t>This finding is consistent with studies that have confirmed the usefulness of cash flows in business failure prediction. Indeed, bankruptcy is supposed to occur when the company has a serious solvency problem. Specifically, when the value of the company becomes too low for a funder (common shareholders, creditors, and preferred shareholders) to agree to continue funding it in the event of default. It is in such a context that cash flows become very useful in predicting the company bankruptcy, since according to the fundamental analysis the value of the company is equal to the discounted sum of future cash flows generated by all of its current investment projects.</w:t>
      </w:r>
      <w:r w:rsidR="00A85932">
        <w:rPr>
          <w:rFonts w:ascii="Times New Roman" w:hAnsi="Times New Roman" w:cs="Times New Roman"/>
          <w:sz w:val="24"/>
          <w:szCs w:val="24"/>
        </w:rPr>
        <w:t xml:space="preserve"> </w:t>
      </w:r>
      <w:r w:rsidR="00A85932" w:rsidRPr="00A85932">
        <w:rPr>
          <w:rFonts w:ascii="Times New Roman" w:hAnsi="Times New Roman" w:cs="Times New Roman"/>
          <w:sz w:val="24"/>
          <w:szCs w:val="24"/>
        </w:rPr>
        <w:t>We recall also that the other aspects of company's financial health namely its liquidity, its management efficiency, and its profitability are all important determinants in the business failure prediction. The results of our study reinforce the idea on the usefulness of cash flows to predict the company bankruptcy since we have detected cointegration relationships between CFR and the three other ratios which measure the company's financial which are LIQR (i.e., liquidity), EFFR (i.e., operational efficiency), and PROR (i.e., profitability).</w:t>
      </w:r>
      <w:r w:rsidR="00F47E68">
        <w:rPr>
          <w:rFonts w:ascii="Times New Roman" w:hAnsi="Times New Roman" w:cs="Times New Roman"/>
          <w:sz w:val="24"/>
          <w:szCs w:val="24"/>
        </w:rPr>
        <w:t xml:space="preserve"> </w:t>
      </w:r>
    </w:p>
    <w:p w14:paraId="36FE57E4" w14:textId="2D322A4C" w:rsidR="00971DA2" w:rsidRDefault="00F47E68" w:rsidP="00303D4D">
      <w:pPr>
        <w:spacing w:line="240" w:lineRule="auto"/>
        <w:jc w:val="both"/>
        <w:rPr>
          <w:rFonts w:ascii="Times New Roman" w:hAnsi="Times New Roman" w:cs="Times New Roman"/>
          <w:sz w:val="24"/>
          <w:szCs w:val="24"/>
        </w:rPr>
      </w:pPr>
      <w:r w:rsidRPr="00F47E68">
        <w:rPr>
          <w:rFonts w:ascii="Times New Roman" w:hAnsi="Times New Roman" w:cs="Times New Roman"/>
          <w:sz w:val="24"/>
          <w:szCs w:val="24"/>
        </w:rPr>
        <w:t>In order to analyze the robustness of our results, we have used the approach of Pesaran, Shin and Smith (1999) to estimate panel error correction models (PECM) by the dynamic fixed-effects (DFE) technique. The results have indicated, that the</w:t>
      </w:r>
      <w:r w:rsidR="00AC0847">
        <w:rPr>
          <w:rFonts w:ascii="Times New Roman" w:hAnsi="Times New Roman" w:cs="Times New Roman"/>
          <w:sz w:val="24"/>
          <w:szCs w:val="24"/>
        </w:rPr>
        <w:t xml:space="preserve"> </w:t>
      </w:r>
      <w:r w:rsidRPr="00F47E68">
        <w:rPr>
          <w:rFonts w:ascii="Times New Roman" w:hAnsi="Times New Roman" w:cs="Times New Roman"/>
          <w:sz w:val="24"/>
          <w:szCs w:val="24"/>
        </w:rPr>
        <w:t xml:space="preserve">error-correction coefficients λ for </w:t>
      </w:r>
      <w:r w:rsidR="00AC0847">
        <w:rPr>
          <w:rFonts w:ascii="Times New Roman" w:hAnsi="Times New Roman" w:cs="Times New Roman"/>
          <w:sz w:val="24"/>
          <w:szCs w:val="24"/>
        </w:rPr>
        <w:t>the</w:t>
      </w:r>
      <w:r w:rsidRPr="00F47E68">
        <w:rPr>
          <w:rFonts w:ascii="Times New Roman" w:hAnsi="Times New Roman" w:cs="Times New Roman"/>
          <w:sz w:val="24"/>
          <w:szCs w:val="24"/>
        </w:rPr>
        <w:t xml:space="preserve"> four estimated PECM are statistically and significantly negative</w:t>
      </w:r>
      <w:r w:rsidR="00AC0847" w:rsidRPr="00AC0847">
        <w:rPr>
          <w:rFonts w:ascii="Times New Roman" w:hAnsi="Times New Roman" w:cs="Times New Roman"/>
          <w:sz w:val="24"/>
          <w:szCs w:val="24"/>
        </w:rPr>
        <w:t xml:space="preserve"> </w:t>
      </w:r>
      <w:r w:rsidR="00AC0847">
        <w:rPr>
          <w:rFonts w:ascii="Times New Roman" w:hAnsi="Times New Roman" w:cs="Times New Roman"/>
          <w:sz w:val="24"/>
          <w:szCs w:val="24"/>
        </w:rPr>
        <w:t>and</w:t>
      </w:r>
      <w:r w:rsidR="00AC0847" w:rsidRPr="00A357B4">
        <w:rPr>
          <w:rFonts w:ascii="Times New Roman" w:hAnsi="Times New Roman" w:cs="Times New Roman"/>
          <w:sz w:val="24"/>
          <w:szCs w:val="24"/>
        </w:rPr>
        <w:t xml:space="preserve"> different from zero</w:t>
      </w:r>
      <w:r w:rsidRPr="00F47E68">
        <w:rPr>
          <w:rFonts w:ascii="Times New Roman" w:hAnsi="Times New Roman" w:cs="Times New Roman"/>
          <w:sz w:val="24"/>
          <w:szCs w:val="24"/>
        </w:rPr>
        <w:t xml:space="preserve">, thus confirming the results of the panel cointegration tests of Pedroni (2004). In other words, the PECM estimations are supportive of the existence of a long-run equilibrium relationships between the ratio based on cash flow (CFR) and the four ratios based on accounting data, namely: LIQR, EFFE, PROR, and </w:t>
      </w:r>
      <w:r w:rsidR="00AC0847">
        <w:rPr>
          <w:rFonts w:ascii="Times New Roman" w:hAnsi="Times New Roman" w:cs="Times New Roman"/>
          <w:sz w:val="24"/>
          <w:szCs w:val="24"/>
        </w:rPr>
        <w:t>SOL</w:t>
      </w:r>
      <w:r w:rsidRPr="00F47E68">
        <w:rPr>
          <w:rFonts w:ascii="Times New Roman" w:hAnsi="Times New Roman" w:cs="Times New Roman"/>
          <w:sz w:val="24"/>
          <w:szCs w:val="24"/>
        </w:rPr>
        <w:t>R.</w:t>
      </w:r>
      <w:r w:rsidR="00971DA2">
        <w:rPr>
          <w:rFonts w:ascii="Times New Roman" w:hAnsi="Times New Roman" w:cs="Times New Roman"/>
          <w:sz w:val="24"/>
          <w:szCs w:val="24"/>
        </w:rPr>
        <w:t xml:space="preserve"> </w:t>
      </w:r>
    </w:p>
    <w:p w14:paraId="6AF1D579" w14:textId="77777777" w:rsidR="00E12229" w:rsidRDefault="00971DA2" w:rsidP="002054D8">
      <w:pPr>
        <w:spacing w:line="240" w:lineRule="auto"/>
        <w:jc w:val="both"/>
      </w:pPr>
      <w:r w:rsidRPr="00971DA2">
        <w:rPr>
          <w:rFonts w:ascii="Times New Roman" w:hAnsi="Times New Roman" w:cs="Times New Roman"/>
          <w:sz w:val="24"/>
          <w:szCs w:val="24"/>
        </w:rPr>
        <w:t xml:space="preserve">In short, these are the main results of this study. Of course, the results would be more robust if we had been able to remedy the problem of inter-individual dependence raised by </w:t>
      </w:r>
      <w:bookmarkStart w:id="16" w:name="_Hlk71047508"/>
      <w:r w:rsidRPr="00971DA2">
        <w:rPr>
          <w:rFonts w:ascii="Times New Roman" w:hAnsi="Times New Roman" w:cs="Times New Roman"/>
          <w:sz w:val="24"/>
          <w:szCs w:val="24"/>
        </w:rPr>
        <w:t>Moon and Perron (2004)</w:t>
      </w:r>
      <w:bookmarkEnd w:id="16"/>
      <w:r w:rsidRPr="00971DA2">
        <w:rPr>
          <w:rFonts w:ascii="Times New Roman" w:hAnsi="Times New Roman" w:cs="Times New Roman"/>
          <w:sz w:val="24"/>
          <w:szCs w:val="24"/>
        </w:rPr>
        <w:t>. The most widely used technique to alleviate the effects of such a problem is the demeaning data approach, which consists in the adjustment of the data by subtracting the sample mean of each observation. However, the demeaned approach is not very appropriate for financial data since it tends to stationary the series at the level, which no longer allows the application of cointegration tests on panel data.</w:t>
      </w:r>
      <w:r w:rsidR="00E12229" w:rsidRPr="00E12229">
        <w:t xml:space="preserve"> </w:t>
      </w:r>
    </w:p>
    <w:p w14:paraId="1CA41F56" w14:textId="113DF448" w:rsidR="002054D8" w:rsidRDefault="002054D8" w:rsidP="002054D8">
      <w:pPr>
        <w:autoSpaceDE w:val="0"/>
        <w:autoSpaceDN w:val="0"/>
        <w:adjustRightInd w:val="0"/>
        <w:spacing w:after="0" w:line="240" w:lineRule="auto"/>
        <w:jc w:val="both"/>
        <w:textAlignment w:val="bottom"/>
        <w:rPr>
          <w:rFonts w:ascii="Times New Roman" w:hAnsi="Times New Roman" w:cs="Times New Roman"/>
          <w:sz w:val="24"/>
          <w:szCs w:val="24"/>
        </w:rPr>
      </w:pPr>
      <w:r w:rsidRPr="002054D8">
        <w:rPr>
          <w:rFonts w:ascii="Times New Roman" w:hAnsi="Times New Roman" w:cs="Times New Roman"/>
          <w:sz w:val="24"/>
          <w:szCs w:val="24"/>
        </w:rPr>
        <w:t>As a future avenue of research, we suggest re-examining the empirical validation of the present study</w:t>
      </w:r>
      <w:r>
        <w:rPr>
          <w:rFonts w:ascii="Times New Roman" w:hAnsi="Times New Roman" w:cs="Times New Roman"/>
          <w:sz w:val="24"/>
          <w:szCs w:val="24"/>
        </w:rPr>
        <w:t xml:space="preserve"> </w:t>
      </w:r>
      <w:r w:rsidRPr="002054D8">
        <w:rPr>
          <w:rFonts w:ascii="Times New Roman" w:hAnsi="Times New Roman" w:cs="Times New Roman"/>
          <w:sz w:val="24"/>
          <w:szCs w:val="24"/>
        </w:rPr>
        <w:t>by the use of the second-generation dynamic panel tests, which admit the hypothesis of interindividual dependencies, particular</w:t>
      </w:r>
      <w:r>
        <w:rPr>
          <w:rFonts w:ascii="Times New Roman" w:hAnsi="Times New Roman" w:cs="Times New Roman"/>
          <w:sz w:val="24"/>
          <w:szCs w:val="24"/>
        </w:rPr>
        <w:t>ly</w:t>
      </w:r>
      <w:r w:rsidRPr="002054D8">
        <w:rPr>
          <w:rFonts w:ascii="Times New Roman" w:hAnsi="Times New Roman" w:cs="Times New Roman"/>
          <w:sz w:val="24"/>
          <w:szCs w:val="24"/>
        </w:rPr>
        <w:t>, the panel stationarity test of Choi (2006) and the panel cointegration test of Banerjee and Carrion-</w:t>
      </w:r>
      <w:proofErr w:type="spellStart"/>
      <w:r w:rsidRPr="002054D8">
        <w:rPr>
          <w:rFonts w:ascii="Times New Roman" w:hAnsi="Times New Roman" w:cs="Times New Roman"/>
          <w:sz w:val="24"/>
          <w:szCs w:val="24"/>
        </w:rPr>
        <w:t>i</w:t>
      </w:r>
      <w:proofErr w:type="spellEnd"/>
      <w:r w:rsidRPr="002054D8">
        <w:rPr>
          <w:rFonts w:ascii="Times New Roman" w:hAnsi="Times New Roman" w:cs="Times New Roman"/>
          <w:sz w:val="24"/>
          <w:szCs w:val="24"/>
        </w:rPr>
        <w:t>-Silvestre (2006 and 2011).</w:t>
      </w:r>
    </w:p>
    <w:p w14:paraId="0C512D29" w14:textId="77777777" w:rsidR="002054D8" w:rsidRDefault="002054D8" w:rsidP="00303D4D">
      <w:pPr>
        <w:autoSpaceDE w:val="0"/>
        <w:autoSpaceDN w:val="0"/>
        <w:adjustRightInd w:val="0"/>
        <w:spacing w:after="0"/>
        <w:jc w:val="both"/>
        <w:textAlignment w:val="bottom"/>
        <w:rPr>
          <w:rFonts w:ascii="Times New Roman" w:hAnsi="Times New Roman" w:cs="Times New Roman"/>
          <w:sz w:val="24"/>
          <w:szCs w:val="24"/>
        </w:rPr>
      </w:pPr>
    </w:p>
    <w:p w14:paraId="447F58F1" w14:textId="77777777" w:rsidR="002054D8" w:rsidRDefault="002054D8" w:rsidP="00303D4D">
      <w:pPr>
        <w:autoSpaceDE w:val="0"/>
        <w:autoSpaceDN w:val="0"/>
        <w:adjustRightInd w:val="0"/>
        <w:spacing w:after="0"/>
        <w:jc w:val="both"/>
        <w:textAlignment w:val="bottom"/>
        <w:rPr>
          <w:rFonts w:ascii="Times New Roman" w:eastAsia="PMingLiU" w:hAnsi="Times New Roman" w:cs="Times New Roman"/>
          <w:b/>
          <w:color w:val="000000"/>
          <w:sz w:val="30"/>
          <w:szCs w:val="30"/>
          <w:lang w:eastAsia="zh-TW"/>
        </w:rPr>
      </w:pPr>
    </w:p>
    <w:p w14:paraId="35F0B094" w14:textId="77777777" w:rsidR="002054D8" w:rsidRDefault="002054D8" w:rsidP="00303D4D">
      <w:pPr>
        <w:autoSpaceDE w:val="0"/>
        <w:autoSpaceDN w:val="0"/>
        <w:adjustRightInd w:val="0"/>
        <w:spacing w:after="0"/>
        <w:jc w:val="both"/>
        <w:textAlignment w:val="bottom"/>
        <w:rPr>
          <w:rFonts w:ascii="Times New Roman" w:eastAsia="PMingLiU" w:hAnsi="Times New Roman" w:cs="Times New Roman"/>
          <w:b/>
          <w:color w:val="000000"/>
          <w:sz w:val="30"/>
          <w:szCs w:val="30"/>
          <w:lang w:eastAsia="zh-TW"/>
        </w:rPr>
      </w:pPr>
    </w:p>
    <w:p w14:paraId="020ED24F" w14:textId="77777777" w:rsidR="002054D8" w:rsidRDefault="002054D8" w:rsidP="00303D4D">
      <w:pPr>
        <w:autoSpaceDE w:val="0"/>
        <w:autoSpaceDN w:val="0"/>
        <w:adjustRightInd w:val="0"/>
        <w:spacing w:after="0"/>
        <w:jc w:val="both"/>
        <w:textAlignment w:val="bottom"/>
        <w:rPr>
          <w:rFonts w:ascii="Times New Roman" w:eastAsia="PMingLiU" w:hAnsi="Times New Roman" w:cs="Times New Roman"/>
          <w:b/>
          <w:color w:val="000000"/>
          <w:sz w:val="30"/>
          <w:szCs w:val="30"/>
          <w:lang w:eastAsia="zh-TW"/>
        </w:rPr>
      </w:pPr>
    </w:p>
    <w:p w14:paraId="7F04A5D5" w14:textId="6DB2DE80" w:rsidR="00303D4D" w:rsidRPr="00303D4D" w:rsidRDefault="00303D4D" w:rsidP="00303D4D">
      <w:pPr>
        <w:autoSpaceDE w:val="0"/>
        <w:autoSpaceDN w:val="0"/>
        <w:adjustRightInd w:val="0"/>
        <w:spacing w:after="0"/>
        <w:jc w:val="both"/>
        <w:textAlignment w:val="bottom"/>
        <w:rPr>
          <w:rFonts w:ascii="Times New Roman" w:eastAsia="PMingLiU" w:hAnsi="Times New Roman" w:cs="Times New Roman"/>
          <w:b/>
          <w:color w:val="000000"/>
          <w:sz w:val="30"/>
          <w:szCs w:val="30"/>
          <w:lang w:eastAsia="zh-TW"/>
        </w:rPr>
      </w:pPr>
      <w:r w:rsidRPr="00303D4D">
        <w:rPr>
          <w:rFonts w:ascii="Times New Roman" w:eastAsia="PMingLiU" w:hAnsi="Times New Roman" w:cs="Times New Roman"/>
          <w:b/>
          <w:color w:val="000000"/>
          <w:sz w:val="30"/>
          <w:szCs w:val="30"/>
          <w:lang w:eastAsia="zh-TW"/>
        </w:rPr>
        <w:lastRenderedPageBreak/>
        <w:t>References</w:t>
      </w:r>
    </w:p>
    <w:p w14:paraId="705AD0F7" w14:textId="745982B9" w:rsidR="00303D4D" w:rsidRPr="00091375" w:rsidRDefault="00303D4D" w:rsidP="00303D4D">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 xml:space="preserve">[1] </w:t>
      </w:r>
      <w:r w:rsidRPr="00091375">
        <w:rPr>
          <w:rFonts w:ascii="Times New Roman" w:hAnsi="Times New Roman" w:cs="Times New Roman"/>
          <w:sz w:val="24"/>
          <w:szCs w:val="24"/>
        </w:rPr>
        <w:t xml:space="preserve">Altman, E.I. (1968). Financial Ratios, Discriminant </w:t>
      </w:r>
      <w:r w:rsidR="007C398A" w:rsidRPr="00091375">
        <w:rPr>
          <w:rFonts w:ascii="Times New Roman" w:hAnsi="Times New Roman" w:cs="Times New Roman"/>
          <w:sz w:val="24"/>
          <w:szCs w:val="24"/>
        </w:rPr>
        <w:t>analysis,</w:t>
      </w:r>
      <w:r w:rsidRPr="00091375">
        <w:rPr>
          <w:rFonts w:ascii="Times New Roman" w:hAnsi="Times New Roman" w:cs="Times New Roman"/>
          <w:sz w:val="24"/>
          <w:szCs w:val="24"/>
        </w:rPr>
        <w:t xml:space="preserve"> and the </w:t>
      </w:r>
      <w:r w:rsidR="007C398A" w:rsidRPr="00091375">
        <w:rPr>
          <w:rFonts w:ascii="Times New Roman" w:hAnsi="Times New Roman" w:cs="Times New Roman"/>
          <w:sz w:val="24"/>
          <w:szCs w:val="24"/>
        </w:rPr>
        <w:t>p</w:t>
      </w:r>
      <w:r w:rsidRPr="00091375">
        <w:rPr>
          <w:rFonts w:ascii="Times New Roman" w:hAnsi="Times New Roman" w:cs="Times New Roman"/>
          <w:sz w:val="24"/>
          <w:szCs w:val="24"/>
        </w:rPr>
        <w:t xml:space="preserve">rediction of </w:t>
      </w:r>
      <w:r w:rsidR="007C398A" w:rsidRPr="00091375">
        <w:rPr>
          <w:rFonts w:ascii="Times New Roman" w:hAnsi="Times New Roman" w:cs="Times New Roman"/>
          <w:sz w:val="24"/>
          <w:szCs w:val="24"/>
        </w:rPr>
        <w:t>c</w:t>
      </w:r>
      <w:r w:rsidRPr="00091375">
        <w:rPr>
          <w:rFonts w:ascii="Times New Roman" w:hAnsi="Times New Roman" w:cs="Times New Roman"/>
          <w:sz w:val="24"/>
          <w:szCs w:val="24"/>
        </w:rPr>
        <w:t xml:space="preserve">orporate </w:t>
      </w:r>
      <w:r w:rsidR="007C398A" w:rsidRPr="00091375">
        <w:rPr>
          <w:rFonts w:ascii="Times New Roman" w:hAnsi="Times New Roman" w:cs="Times New Roman"/>
          <w:sz w:val="24"/>
          <w:szCs w:val="24"/>
        </w:rPr>
        <w:t>b</w:t>
      </w:r>
      <w:r w:rsidRPr="00091375">
        <w:rPr>
          <w:rFonts w:ascii="Times New Roman" w:hAnsi="Times New Roman" w:cs="Times New Roman"/>
          <w:sz w:val="24"/>
          <w:szCs w:val="24"/>
        </w:rPr>
        <w:t>ankruptcy</w:t>
      </w:r>
      <w:r w:rsidR="007C398A" w:rsidRPr="00091375">
        <w:rPr>
          <w:rFonts w:ascii="Times New Roman" w:hAnsi="Times New Roman" w:cs="Times New Roman"/>
          <w:sz w:val="24"/>
          <w:szCs w:val="24"/>
        </w:rPr>
        <w:t xml:space="preserve">. </w:t>
      </w:r>
      <w:r w:rsidRPr="00091375">
        <w:rPr>
          <w:rFonts w:ascii="Times New Roman" w:hAnsi="Times New Roman" w:cs="Times New Roman"/>
          <w:sz w:val="24"/>
          <w:szCs w:val="24"/>
        </w:rPr>
        <w:t xml:space="preserve">The Journal of Finance, </w:t>
      </w:r>
      <w:r w:rsidR="007C398A" w:rsidRPr="00091375">
        <w:rPr>
          <w:rFonts w:ascii="Times New Roman" w:hAnsi="Times New Roman" w:cs="Times New Roman"/>
          <w:sz w:val="24"/>
          <w:szCs w:val="24"/>
        </w:rPr>
        <w:t>v</w:t>
      </w:r>
      <w:r w:rsidRPr="00091375">
        <w:rPr>
          <w:rFonts w:ascii="Times New Roman" w:hAnsi="Times New Roman" w:cs="Times New Roman"/>
          <w:sz w:val="24"/>
          <w:szCs w:val="24"/>
        </w:rPr>
        <w:t>ol.</w:t>
      </w:r>
      <w:r w:rsidR="007C398A" w:rsidRPr="00091375">
        <w:rPr>
          <w:rFonts w:ascii="Times New Roman" w:hAnsi="Times New Roman" w:cs="Times New Roman"/>
          <w:sz w:val="24"/>
          <w:szCs w:val="24"/>
        </w:rPr>
        <w:t xml:space="preserve"> 23</w:t>
      </w:r>
      <w:r w:rsidRPr="00091375">
        <w:rPr>
          <w:rFonts w:ascii="Times New Roman" w:hAnsi="Times New Roman" w:cs="Times New Roman"/>
          <w:sz w:val="24"/>
          <w:szCs w:val="24"/>
        </w:rPr>
        <w:t xml:space="preserve">, </w:t>
      </w:r>
      <w:r w:rsidR="007C398A" w:rsidRPr="00091375">
        <w:rPr>
          <w:rFonts w:ascii="Times New Roman" w:hAnsi="Times New Roman" w:cs="Times New Roman"/>
          <w:sz w:val="24"/>
          <w:szCs w:val="24"/>
        </w:rPr>
        <w:t>n</w:t>
      </w:r>
      <w:r w:rsidRPr="00091375">
        <w:rPr>
          <w:rFonts w:ascii="Times New Roman" w:hAnsi="Times New Roman" w:cs="Times New Roman"/>
          <w:sz w:val="24"/>
          <w:szCs w:val="24"/>
        </w:rPr>
        <w:t>o. 4, pp.</w:t>
      </w:r>
      <w:r w:rsidR="007C398A" w:rsidRPr="00091375">
        <w:rPr>
          <w:rFonts w:ascii="Times New Roman" w:hAnsi="Times New Roman" w:cs="Times New Roman"/>
          <w:sz w:val="24"/>
          <w:szCs w:val="24"/>
        </w:rPr>
        <w:t xml:space="preserve"> </w:t>
      </w:r>
      <w:r w:rsidRPr="00091375">
        <w:rPr>
          <w:rFonts w:ascii="Times New Roman" w:hAnsi="Times New Roman" w:cs="Times New Roman"/>
          <w:sz w:val="24"/>
          <w:szCs w:val="24"/>
        </w:rPr>
        <w:t>589</w:t>
      </w:r>
      <w:r w:rsidR="007C398A" w:rsidRPr="00091375">
        <w:rPr>
          <w:rFonts w:ascii="Times New Roman" w:hAnsi="Times New Roman" w:cs="Times New Roman"/>
          <w:sz w:val="24"/>
          <w:szCs w:val="24"/>
        </w:rPr>
        <w:t xml:space="preserve"> </w:t>
      </w:r>
      <w:r w:rsidRPr="00091375">
        <w:rPr>
          <w:rFonts w:ascii="Times New Roman" w:hAnsi="Times New Roman" w:cs="Times New Roman"/>
          <w:sz w:val="24"/>
          <w:szCs w:val="24"/>
        </w:rPr>
        <w:t>-</w:t>
      </w:r>
      <w:r w:rsidR="007C398A" w:rsidRPr="00091375">
        <w:rPr>
          <w:rFonts w:ascii="Times New Roman" w:hAnsi="Times New Roman" w:cs="Times New Roman"/>
          <w:sz w:val="24"/>
          <w:szCs w:val="24"/>
        </w:rPr>
        <w:t xml:space="preserve"> </w:t>
      </w:r>
      <w:r w:rsidRPr="00091375">
        <w:rPr>
          <w:rFonts w:ascii="Times New Roman" w:hAnsi="Times New Roman" w:cs="Times New Roman"/>
          <w:sz w:val="24"/>
          <w:szCs w:val="24"/>
        </w:rPr>
        <w:t>609.</w:t>
      </w:r>
    </w:p>
    <w:p w14:paraId="6DAF543A" w14:textId="77777777" w:rsidR="003B23B7" w:rsidRPr="00091375" w:rsidRDefault="00303D4D" w:rsidP="00C5104A">
      <w:pPr>
        <w:autoSpaceDE w:val="0"/>
        <w:autoSpaceDN w:val="0"/>
        <w:adjustRightInd w:val="0"/>
        <w:spacing w:after="0" w:line="240" w:lineRule="auto"/>
        <w:jc w:val="both"/>
        <w:textAlignment w:val="bottom"/>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 xml:space="preserve">[2] </w:t>
      </w:r>
      <w:r w:rsidRPr="00091375">
        <w:rPr>
          <w:rFonts w:ascii="Times New Roman" w:hAnsi="Times New Roman" w:cs="Times New Roman"/>
          <w:sz w:val="24"/>
          <w:szCs w:val="24"/>
        </w:rPr>
        <w:t>Arthur, N., Czernkowski, R., and Chen, M. (2007). The persistence of cash flow components into future earnings. Working Paper, University of Sydney</w:t>
      </w:r>
      <w:r w:rsidRPr="00091375">
        <w:rPr>
          <w:rFonts w:ascii="Times New Roman" w:eastAsia="Times New Roman" w:hAnsi="Times New Roman" w:cs="Times New Roman"/>
          <w:sz w:val="24"/>
          <w:szCs w:val="24"/>
          <w:lang w:val="en-CA" w:eastAsia="fr-CA"/>
        </w:rPr>
        <w:t>.</w:t>
      </w:r>
      <w:r w:rsidR="00C5104A" w:rsidRPr="00091375">
        <w:rPr>
          <w:rFonts w:ascii="Times New Roman" w:hAnsi="Times New Roman" w:cs="Times New Roman"/>
          <w:sz w:val="24"/>
          <w:szCs w:val="24"/>
        </w:rPr>
        <w:t xml:space="preserve"> </w:t>
      </w:r>
    </w:p>
    <w:p w14:paraId="7E325BB8" w14:textId="3DA6AC9D" w:rsidR="00C5104A" w:rsidRPr="00091375" w:rsidRDefault="003B23B7" w:rsidP="00C5104A">
      <w:pPr>
        <w:autoSpaceDE w:val="0"/>
        <w:autoSpaceDN w:val="0"/>
        <w:adjustRightInd w:val="0"/>
        <w:spacing w:after="0" w:line="240" w:lineRule="auto"/>
        <w:jc w:val="both"/>
        <w:textAlignment w:val="bottom"/>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Banerjee, A. </w:t>
      </w:r>
      <w:r w:rsidR="00836A89" w:rsidRPr="00091375">
        <w:rPr>
          <w:rFonts w:ascii="Times New Roman" w:hAnsi="Times New Roman" w:cs="Times New Roman"/>
          <w:sz w:val="24"/>
          <w:szCs w:val="24"/>
        </w:rPr>
        <w:t xml:space="preserve">and </w:t>
      </w:r>
      <w:r w:rsidRPr="00091375">
        <w:rPr>
          <w:rFonts w:ascii="Times New Roman" w:hAnsi="Times New Roman" w:cs="Times New Roman"/>
          <w:sz w:val="24"/>
          <w:szCs w:val="24"/>
        </w:rPr>
        <w:t>Carrion-</w:t>
      </w:r>
      <w:proofErr w:type="spellStart"/>
      <w:r w:rsidRPr="00091375">
        <w:rPr>
          <w:rFonts w:ascii="Times New Roman" w:hAnsi="Times New Roman" w:cs="Times New Roman"/>
          <w:sz w:val="24"/>
          <w:szCs w:val="24"/>
        </w:rPr>
        <w:t>i</w:t>
      </w:r>
      <w:proofErr w:type="spellEnd"/>
      <w:r w:rsidRPr="00091375">
        <w:rPr>
          <w:rFonts w:ascii="Times New Roman" w:hAnsi="Times New Roman" w:cs="Times New Roman"/>
          <w:sz w:val="24"/>
          <w:szCs w:val="24"/>
        </w:rPr>
        <w:t xml:space="preserve">-Silvestre J.L. (2006). Cointegration in panel data with breaks and cross-section dependence. Working Paper Series, no.591, European Central Bank. </w:t>
      </w:r>
    </w:p>
    <w:p w14:paraId="2E1142AF" w14:textId="78CD2227" w:rsidR="00C5104A" w:rsidRPr="00091375" w:rsidRDefault="00C5104A" w:rsidP="00C5104A">
      <w:pPr>
        <w:autoSpaceDE w:val="0"/>
        <w:autoSpaceDN w:val="0"/>
        <w:adjustRightInd w:val="0"/>
        <w:spacing w:after="0" w:line="240" w:lineRule="auto"/>
        <w:jc w:val="both"/>
        <w:textAlignment w:val="bottom"/>
        <w:rPr>
          <w:rFonts w:ascii="Times New Roman" w:eastAsia="PMingLiU" w:hAnsi="Times New Roman" w:cs="Times New Roman"/>
          <w:b/>
          <w:color w:val="000000"/>
          <w:sz w:val="24"/>
          <w:szCs w:val="24"/>
          <w:lang w:eastAsia="zh-TW"/>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4</w:t>
      </w: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Banerjee, </w:t>
      </w:r>
      <w:r w:rsidR="00836A89" w:rsidRPr="00091375">
        <w:rPr>
          <w:rFonts w:ascii="Times New Roman" w:hAnsi="Times New Roman" w:cs="Times New Roman"/>
          <w:sz w:val="24"/>
          <w:szCs w:val="24"/>
        </w:rPr>
        <w:t>A.</w:t>
      </w:r>
      <w:r w:rsidRPr="00091375">
        <w:rPr>
          <w:rFonts w:ascii="Times New Roman" w:hAnsi="Times New Roman" w:cs="Times New Roman"/>
          <w:sz w:val="24"/>
          <w:szCs w:val="24"/>
        </w:rPr>
        <w:t xml:space="preserve"> and Carrion-</w:t>
      </w:r>
      <w:proofErr w:type="spellStart"/>
      <w:r w:rsidRPr="00091375">
        <w:rPr>
          <w:rFonts w:ascii="Times New Roman" w:hAnsi="Times New Roman" w:cs="Times New Roman"/>
          <w:sz w:val="24"/>
          <w:szCs w:val="24"/>
        </w:rPr>
        <w:t>i</w:t>
      </w:r>
      <w:proofErr w:type="spellEnd"/>
      <w:r w:rsidRPr="00091375">
        <w:rPr>
          <w:rFonts w:ascii="Times New Roman" w:hAnsi="Times New Roman" w:cs="Times New Roman"/>
          <w:sz w:val="24"/>
          <w:szCs w:val="24"/>
        </w:rPr>
        <w:t xml:space="preserve">-Silvestre, J.L. (2011). Testing for </w:t>
      </w:r>
      <w:r w:rsidR="00836A89" w:rsidRPr="00091375">
        <w:rPr>
          <w:rFonts w:ascii="Times New Roman" w:hAnsi="Times New Roman" w:cs="Times New Roman"/>
          <w:sz w:val="24"/>
          <w:szCs w:val="24"/>
        </w:rPr>
        <w:t>p</w:t>
      </w:r>
      <w:r w:rsidRPr="00091375">
        <w:rPr>
          <w:rFonts w:ascii="Times New Roman" w:hAnsi="Times New Roman" w:cs="Times New Roman"/>
          <w:sz w:val="24"/>
          <w:szCs w:val="24"/>
        </w:rPr>
        <w:t xml:space="preserve">anel </w:t>
      </w:r>
      <w:r w:rsidR="00836A89" w:rsidRPr="00091375">
        <w:rPr>
          <w:rFonts w:ascii="Times New Roman" w:hAnsi="Times New Roman" w:cs="Times New Roman"/>
          <w:sz w:val="24"/>
          <w:szCs w:val="24"/>
        </w:rPr>
        <w:t>c</w:t>
      </w:r>
      <w:r w:rsidRPr="00091375">
        <w:rPr>
          <w:rFonts w:ascii="Times New Roman" w:hAnsi="Times New Roman" w:cs="Times New Roman"/>
          <w:sz w:val="24"/>
          <w:szCs w:val="24"/>
        </w:rPr>
        <w:t xml:space="preserve">ointegration using </w:t>
      </w:r>
      <w:r w:rsidR="00836A89" w:rsidRPr="00091375">
        <w:rPr>
          <w:rFonts w:ascii="Times New Roman" w:hAnsi="Times New Roman" w:cs="Times New Roman"/>
          <w:sz w:val="24"/>
          <w:szCs w:val="24"/>
        </w:rPr>
        <w:t>c</w:t>
      </w:r>
      <w:r w:rsidRPr="00091375">
        <w:rPr>
          <w:rFonts w:ascii="Times New Roman" w:hAnsi="Times New Roman" w:cs="Times New Roman"/>
          <w:sz w:val="24"/>
          <w:szCs w:val="24"/>
        </w:rPr>
        <w:t xml:space="preserve">ommon </w:t>
      </w:r>
      <w:r w:rsidR="00836A89" w:rsidRPr="00091375">
        <w:rPr>
          <w:rFonts w:ascii="Times New Roman" w:hAnsi="Times New Roman" w:cs="Times New Roman"/>
          <w:sz w:val="24"/>
          <w:szCs w:val="24"/>
        </w:rPr>
        <w:t>c</w:t>
      </w:r>
      <w:r w:rsidRPr="00091375">
        <w:rPr>
          <w:rFonts w:ascii="Times New Roman" w:hAnsi="Times New Roman" w:cs="Times New Roman"/>
          <w:sz w:val="24"/>
          <w:szCs w:val="24"/>
        </w:rPr>
        <w:t xml:space="preserve">orrelated </w:t>
      </w:r>
      <w:r w:rsidR="00836A89" w:rsidRPr="00091375">
        <w:rPr>
          <w:rFonts w:ascii="Times New Roman" w:hAnsi="Times New Roman" w:cs="Times New Roman"/>
          <w:sz w:val="24"/>
          <w:szCs w:val="24"/>
        </w:rPr>
        <w:t>e</w:t>
      </w:r>
      <w:r w:rsidRPr="00091375">
        <w:rPr>
          <w:rFonts w:ascii="Times New Roman" w:hAnsi="Times New Roman" w:cs="Times New Roman"/>
          <w:sz w:val="24"/>
          <w:szCs w:val="24"/>
        </w:rPr>
        <w:t xml:space="preserve">ffects </w:t>
      </w:r>
      <w:r w:rsidR="00836A89" w:rsidRPr="00091375">
        <w:rPr>
          <w:rFonts w:ascii="Times New Roman" w:hAnsi="Times New Roman" w:cs="Times New Roman"/>
          <w:sz w:val="24"/>
          <w:szCs w:val="24"/>
        </w:rPr>
        <w:t>e</w:t>
      </w:r>
      <w:r w:rsidRPr="00091375">
        <w:rPr>
          <w:rFonts w:ascii="Times New Roman" w:hAnsi="Times New Roman" w:cs="Times New Roman"/>
          <w:sz w:val="24"/>
          <w:szCs w:val="24"/>
        </w:rPr>
        <w:t>stimators. Working Paper, University of Barcelona.</w:t>
      </w:r>
    </w:p>
    <w:p w14:paraId="3F3A6E7A" w14:textId="7328D81C" w:rsidR="00CF32C4" w:rsidRPr="00091375" w:rsidRDefault="007C398A" w:rsidP="007C398A">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5</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Beaver, W.H. (1966). Financial ratios as predictors of failure. Journal of Accounting Research (Supplement), pp.71 - 111. </w:t>
      </w:r>
    </w:p>
    <w:p w14:paraId="1F63B17E" w14:textId="37530201" w:rsidR="007C398A" w:rsidRPr="00091375" w:rsidRDefault="00CF32C4" w:rsidP="007C398A">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6</w:t>
      </w:r>
      <w:r w:rsidRPr="00091375">
        <w:rPr>
          <w:rFonts w:ascii="Times New Roman" w:eastAsia="Times New Roman" w:hAnsi="Times New Roman" w:cs="Times New Roman"/>
          <w:sz w:val="24"/>
          <w:szCs w:val="24"/>
          <w:lang w:val="en-CA" w:eastAsia="fr-CA"/>
        </w:rPr>
        <w:t xml:space="preserve">] </w:t>
      </w:r>
      <w:r w:rsidR="007C398A" w:rsidRPr="00091375">
        <w:rPr>
          <w:rFonts w:ascii="Times New Roman" w:hAnsi="Times New Roman" w:cs="Times New Roman"/>
          <w:sz w:val="24"/>
          <w:szCs w:val="24"/>
        </w:rPr>
        <w:t>Blum, M. (1974). Failing company discriminant analysis. Journal of Accounting Research, Spring, pp.1 - 25.</w:t>
      </w:r>
    </w:p>
    <w:p w14:paraId="2761C4FA" w14:textId="63F131EB" w:rsidR="00CF32C4" w:rsidRPr="00091375" w:rsidRDefault="00CF32C4" w:rsidP="00CF32C4">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7</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Bowen, R. M., Burgstahler D., and Daley L.A. (1986). Evidence on the relationships between earnings and various measures of cash flow. The Accounting Review, vol. 61, no. 4, pp.713 - 725.</w:t>
      </w:r>
      <w:r w:rsidRPr="00091375">
        <w:rPr>
          <w:rFonts w:ascii="Times New Roman" w:eastAsia="Times New Roman" w:hAnsi="Times New Roman" w:cs="Times New Roman"/>
          <w:sz w:val="24"/>
          <w:szCs w:val="24"/>
          <w:lang w:val="en-CA" w:eastAsia="fr-CA"/>
        </w:rPr>
        <w:t xml:space="preserve"> [</w:t>
      </w:r>
      <w:r w:rsidR="00836A89" w:rsidRPr="00091375">
        <w:rPr>
          <w:rFonts w:ascii="Times New Roman" w:eastAsia="Times New Roman" w:hAnsi="Times New Roman" w:cs="Times New Roman"/>
          <w:sz w:val="24"/>
          <w:szCs w:val="24"/>
          <w:lang w:val="en-CA" w:eastAsia="fr-CA"/>
        </w:rPr>
        <w:t>8</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Burgstahler, D., Jiambalvo J., and </w:t>
      </w:r>
      <w:proofErr w:type="spellStart"/>
      <w:r w:rsidRPr="00091375">
        <w:rPr>
          <w:rFonts w:ascii="Times New Roman" w:hAnsi="Times New Roman" w:cs="Times New Roman"/>
          <w:sz w:val="24"/>
          <w:szCs w:val="24"/>
        </w:rPr>
        <w:t>Pyo</w:t>
      </w:r>
      <w:proofErr w:type="spellEnd"/>
      <w:r w:rsidRPr="00091375">
        <w:rPr>
          <w:rFonts w:ascii="Times New Roman" w:hAnsi="Times New Roman" w:cs="Times New Roman"/>
          <w:sz w:val="24"/>
          <w:szCs w:val="24"/>
        </w:rPr>
        <w:t xml:space="preserve"> Y. (1998). The informativeness of cash flows for future cash flows. Working paper, University of Washington.</w:t>
      </w:r>
    </w:p>
    <w:p w14:paraId="130DBCDD" w14:textId="38B9F6FA" w:rsidR="00482F06" w:rsidRPr="00091375" w:rsidRDefault="00CF32C4" w:rsidP="00CF32C4">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9</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Bushman, R. M., Lerman A., and X. F. Zhang, X.F. (2016). The changing landscape of accrual accounting. Journal of Accounting Research, vol. 54, no. 1, pp. 41-78.</w:t>
      </w:r>
    </w:p>
    <w:p w14:paraId="6F177E61" w14:textId="4DA39C28" w:rsidR="00482F06" w:rsidRPr="00091375" w:rsidRDefault="00482F06" w:rsidP="00482F06">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10</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Brooks, J. E. (1981). An Empirical investigation of the usefulness of earnings in predicting future enterprise cash flows. Working Paper, Michigan State University. </w:t>
      </w:r>
    </w:p>
    <w:p w14:paraId="7AA221BB" w14:textId="2FBC0F61" w:rsidR="00482F06" w:rsidRPr="00091375" w:rsidRDefault="00482F06" w:rsidP="00482F06">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11</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Casey, C.J. and Bartczak, N.J. (1984). Cash Flow - It’s Not The Bottom Line’, Harvard Business Review, pp.61</w:t>
      </w:r>
      <w:r w:rsidR="00E324D1" w:rsidRPr="00091375">
        <w:rPr>
          <w:rFonts w:ascii="Times New Roman" w:hAnsi="Times New Roman" w:cs="Times New Roman"/>
          <w:sz w:val="24"/>
          <w:szCs w:val="24"/>
        </w:rPr>
        <w:t xml:space="preserve"> – </w:t>
      </w:r>
      <w:r w:rsidRPr="00091375">
        <w:rPr>
          <w:rFonts w:ascii="Times New Roman" w:hAnsi="Times New Roman" w:cs="Times New Roman"/>
          <w:sz w:val="24"/>
          <w:szCs w:val="24"/>
        </w:rPr>
        <w:t>66</w:t>
      </w:r>
      <w:r w:rsidR="00E324D1" w:rsidRPr="00091375">
        <w:rPr>
          <w:rFonts w:ascii="Times New Roman" w:hAnsi="Times New Roman" w:cs="Times New Roman"/>
          <w:sz w:val="24"/>
          <w:szCs w:val="24"/>
        </w:rPr>
        <w:t>.</w:t>
      </w:r>
    </w:p>
    <w:p w14:paraId="204F0D65" w14:textId="16E50E24" w:rsidR="00E324D1" w:rsidRPr="00091375" w:rsidRDefault="00E324D1" w:rsidP="00E324D1">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12</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Casey, C. and Bartczak, N. (1985). Using operating cash flow data to predict financial distress: Some extensions. Journal of Accounting Research, vol. 23, no. 1, pp.384- 401.</w:t>
      </w:r>
      <w:r w:rsidRPr="00091375">
        <w:rPr>
          <w:rFonts w:ascii="Times New Roman" w:eastAsia="Times New Roman" w:hAnsi="Times New Roman" w:cs="Times New Roman"/>
          <w:sz w:val="24"/>
          <w:szCs w:val="24"/>
          <w:lang w:val="en-CA" w:eastAsia="fr-CA"/>
        </w:rPr>
        <w:t xml:space="preserve"> </w:t>
      </w:r>
    </w:p>
    <w:p w14:paraId="67AFB3A2" w14:textId="6037E138" w:rsidR="00E324D1" w:rsidRPr="00091375" w:rsidRDefault="00E324D1" w:rsidP="00E324D1">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13</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Chen, C. W., </w:t>
      </w:r>
      <w:proofErr w:type="spellStart"/>
      <w:r w:rsidRPr="00091375">
        <w:rPr>
          <w:rFonts w:ascii="Times New Roman" w:hAnsi="Times New Roman" w:cs="Times New Roman"/>
          <w:sz w:val="24"/>
          <w:szCs w:val="24"/>
        </w:rPr>
        <w:t>Melessa</w:t>
      </w:r>
      <w:proofErr w:type="spellEnd"/>
      <w:r w:rsidRPr="00091375">
        <w:rPr>
          <w:rFonts w:ascii="Times New Roman" w:hAnsi="Times New Roman" w:cs="Times New Roman"/>
          <w:sz w:val="24"/>
          <w:szCs w:val="24"/>
        </w:rPr>
        <w:t>, S., and Mergenthaler, R. (2017). Revisiting measurement error in surrogate measures of operating cash flows: Have we solved the problem? Working paper</w:t>
      </w:r>
    </w:p>
    <w:p w14:paraId="50716129" w14:textId="354C2E66" w:rsidR="00662C86" w:rsidRPr="00091375" w:rsidRDefault="00E324D1" w:rsidP="00662C86">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14</w:t>
      </w:r>
      <w:r w:rsidRPr="00091375">
        <w:rPr>
          <w:rFonts w:ascii="Times New Roman" w:eastAsia="Times New Roman" w:hAnsi="Times New Roman" w:cs="Times New Roman"/>
          <w:sz w:val="24"/>
          <w:szCs w:val="24"/>
          <w:lang w:val="en-CA" w:eastAsia="fr-CA"/>
        </w:rPr>
        <w:t xml:space="preserve">] </w:t>
      </w:r>
      <w:r w:rsidR="006D019B" w:rsidRPr="00091375">
        <w:rPr>
          <w:rFonts w:ascii="Times New Roman" w:hAnsi="Times New Roman" w:cs="Times New Roman"/>
          <w:sz w:val="24"/>
          <w:szCs w:val="24"/>
        </w:rPr>
        <w:t>Choi, I. (2006). Combination unit root tests for cross-sectionally correlated panels</w:t>
      </w:r>
      <w:r w:rsidR="00C5104A" w:rsidRPr="00091375">
        <w:rPr>
          <w:rFonts w:ascii="Times New Roman" w:hAnsi="Times New Roman" w:cs="Times New Roman"/>
          <w:sz w:val="24"/>
          <w:szCs w:val="24"/>
        </w:rPr>
        <w:t xml:space="preserve">. </w:t>
      </w:r>
      <w:r w:rsidR="006D019B" w:rsidRPr="00091375">
        <w:rPr>
          <w:rFonts w:ascii="Times New Roman" w:hAnsi="Times New Roman" w:cs="Times New Roman"/>
          <w:sz w:val="24"/>
          <w:szCs w:val="24"/>
        </w:rPr>
        <w:t xml:space="preserve">in D. </w:t>
      </w:r>
      <w:proofErr w:type="spellStart"/>
      <w:r w:rsidR="006D019B" w:rsidRPr="00091375">
        <w:rPr>
          <w:rFonts w:ascii="Times New Roman" w:hAnsi="Times New Roman" w:cs="Times New Roman"/>
          <w:sz w:val="24"/>
          <w:szCs w:val="24"/>
        </w:rPr>
        <w:t>Corbae</w:t>
      </w:r>
      <w:proofErr w:type="spellEnd"/>
      <w:r w:rsidR="006D019B" w:rsidRPr="00091375">
        <w:rPr>
          <w:rFonts w:ascii="Times New Roman" w:hAnsi="Times New Roman" w:cs="Times New Roman"/>
          <w:sz w:val="24"/>
          <w:szCs w:val="24"/>
        </w:rPr>
        <w:t xml:space="preserve">, S.N. </w:t>
      </w:r>
      <w:proofErr w:type="spellStart"/>
      <w:r w:rsidR="006D019B" w:rsidRPr="00091375">
        <w:rPr>
          <w:rFonts w:ascii="Times New Roman" w:hAnsi="Times New Roman" w:cs="Times New Roman"/>
          <w:sz w:val="24"/>
          <w:szCs w:val="24"/>
        </w:rPr>
        <w:t>Durlauf</w:t>
      </w:r>
      <w:proofErr w:type="spellEnd"/>
      <w:r w:rsidR="006D019B" w:rsidRPr="00091375">
        <w:rPr>
          <w:rFonts w:ascii="Times New Roman" w:hAnsi="Times New Roman" w:cs="Times New Roman"/>
          <w:sz w:val="24"/>
          <w:szCs w:val="24"/>
        </w:rPr>
        <w:t>&amp; B.E. Hansen (eds), Econometric Theory and Practice: Frontiers of Analysis and Applied Research, Cambridge University Press, pp. 311- 333.</w:t>
      </w:r>
      <w:r w:rsidR="00662C86" w:rsidRPr="00091375">
        <w:rPr>
          <w:rFonts w:ascii="Times New Roman" w:hAnsi="Times New Roman" w:cs="Times New Roman"/>
          <w:sz w:val="24"/>
          <w:szCs w:val="24"/>
        </w:rPr>
        <w:t xml:space="preserve"> </w:t>
      </w:r>
    </w:p>
    <w:p w14:paraId="33B1D637" w14:textId="188D05AB" w:rsidR="00662C86" w:rsidRPr="00091375" w:rsidRDefault="00662C86" w:rsidP="00662C86">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15</w:t>
      </w:r>
      <w:r w:rsidRPr="00091375">
        <w:rPr>
          <w:rFonts w:ascii="Times New Roman" w:eastAsia="Times New Roman" w:hAnsi="Times New Roman" w:cs="Times New Roman"/>
          <w:sz w:val="24"/>
          <w:szCs w:val="24"/>
          <w:lang w:val="en-CA" w:eastAsia="fr-CA"/>
        </w:rPr>
        <w:t xml:space="preserve">] </w:t>
      </w:r>
      <w:proofErr w:type="spellStart"/>
      <w:r w:rsidRPr="00091375">
        <w:rPr>
          <w:rFonts w:ascii="Times New Roman" w:hAnsi="Times New Roman" w:cs="Times New Roman"/>
          <w:sz w:val="24"/>
          <w:szCs w:val="24"/>
        </w:rPr>
        <w:t>Chotkunakitti</w:t>
      </w:r>
      <w:proofErr w:type="spellEnd"/>
      <w:r w:rsidRPr="00091375">
        <w:rPr>
          <w:rFonts w:ascii="Times New Roman" w:hAnsi="Times New Roman" w:cs="Times New Roman"/>
          <w:sz w:val="24"/>
          <w:szCs w:val="24"/>
        </w:rPr>
        <w:t>, P. (2005). Cash flows and accrual accounting in predicting future cash flow of Thai listed companies. DBA thesis, Southern Cross University Lismore, NSW.</w:t>
      </w:r>
    </w:p>
    <w:p w14:paraId="60945432" w14:textId="09D620C5" w:rsidR="00C807AE" w:rsidRPr="00091375" w:rsidRDefault="00E324D1" w:rsidP="00C807AE">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16</w:t>
      </w:r>
      <w:r w:rsidRPr="00091375">
        <w:rPr>
          <w:rFonts w:ascii="Times New Roman" w:eastAsia="Times New Roman" w:hAnsi="Times New Roman" w:cs="Times New Roman"/>
          <w:sz w:val="24"/>
          <w:szCs w:val="24"/>
          <w:lang w:val="en-CA" w:eastAsia="fr-CA"/>
        </w:rPr>
        <w:t xml:space="preserve">] </w:t>
      </w:r>
      <w:r w:rsidR="006F09F2" w:rsidRPr="00091375">
        <w:rPr>
          <w:rFonts w:ascii="Times New Roman" w:hAnsi="Times New Roman" w:cs="Times New Roman"/>
          <w:sz w:val="24"/>
          <w:szCs w:val="24"/>
        </w:rPr>
        <w:t>Deakin, E.B. (1972), A discriminant analysis of predictors of business failure’, Journal of Accounting Research, pp.167-179.</w:t>
      </w:r>
      <w:r w:rsidR="00C807AE" w:rsidRPr="00091375">
        <w:rPr>
          <w:rFonts w:ascii="Times New Roman" w:eastAsia="Times New Roman" w:hAnsi="Times New Roman" w:cs="Times New Roman"/>
          <w:sz w:val="24"/>
          <w:szCs w:val="24"/>
          <w:lang w:val="en-CA" w:eastAsia="fr-CA"/>
        </w:rPr>
        <w:t xml:space="preserve"> </w:t>
      </w:r>
    </w:p>
    <w:p w14:paraId="100250C2" w14:textId="1130461B" w:rsidR="006B5937" w:rsidRPr="00091375" w:rsidRDefault="00C807AE" w:rsidP="006B5937">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17</w:t>
      </w:r>
      <w:r w:rsidRPr="00091375">
        <w:rPr>
          <w:rFonts w:ascii="Times New Roman" w:eastAsia="Times New Roman" w:hAnsi="Times New Roman" w:cs="Times New Roman"/>
          <w:sz w:val="24"/>
          <w:szCs w:val="24"/>
          <w:lang w:val="en-CA" w:eastAsia="fr-CA"/>
        </w:rPr>
        <w:t xml:space="preserve">] </w:t>
      </w:r>
      <w:proofErr w:type="spellStart"/>
      <w:r w:rsidRPr="00091375">
        <w:rPr>
          <w:rFonts w:ascii="Times New Roman" w:hAnsi="Times New Roman" w:cs="Times New Roman"/>
          <w:sz w:val="24"/>
          <w:szCs w:val="24"/>
        </w:rPr>
        <w:t>Dechow</w:t>
      </w:r>
      <w:proofErr w:type="spellEnd"/>
      <w:r w:rsidRPr="00091375">
        <w:rPr>
          <w:rFonts w:ascii="Times New Roman" w:hAnsi="Times New Roman" w:cs="Times New Roman"/>
          <w:sz w:val="24"/>
          <w:szCs w:val="24"/>
        </w:rPr>
        <w:t>, P. M. (1994). Accounting earnings and cash flows as measures of firm performance: The role of accounting accruals. Journal of Accounting and Economics, vol. 18, no. 1, pp. 3 - 42.</w:t>
      </w:r>
      <w:r w:rsidR="00662C86" w:rsidRPr="00091375">
        <w:rPr>
          <w:rFonts w:ascii="Times New Roman" w:eastAsia="Times New Roman" w:hAnsi="Times New Roman" w:cs="Times New Roman"/>
          <w:sz w:val="24"/>
          <w:szCs w:val="24"/>
          <w:lang w:val="en-CA" w:eastAsia="fr-CA"/>
        </w:rPr>
        <w:t xml:space="preserve"> [</w:t>
      </w:r>
      <w:r w:rsidR="00836A89" w:rsidRPr="00091375">
        <w:rPr>
          <w:rFonts w:ascii="Times New Roman" w:eastAsia="Times New Roman" w:hAnsi="Times New Roman" w:cs="Times New Roman"/>
          <w:sz w:val="24"/>
          <w:szCs w:val="24"/>
          <w:lang w:val="en-CA" w:eastAsia="fr-CA"/>
        </w:rPr>
        <w:t>18</w:t>
      </w:r>
      <w:r w:rsidR="00662C86" w:rsidRPr="00091375">
        <w:rPr>
          <w:rFonts w:ascii="Times New Roman" w:eastAsia="Times New Roman" w:hAnsi="Times New Roman" w:cs="Times New Roman"/>
          <w:sz w:val="24"/>
          <w:szCs w:val="24"/>
          <w:lang w:val="en-CA" w:eastAsia="fr-CA"/>
        </w:rPr>
        <w:t xml:space="preserve">] </w:t>
      </w:r>
      <w:proofErr w:type="spellStart"/>
      <w:r w:rsidR="006B5937" w:rsidRPr="00091375">
        <w:rPr>
          <w:rFonts w:ascii="Times New Roman" w:hAnsi="Times New Roman" w:cs="Times New Roman"/>
          <w:sz w:val="24"/>
          <w:szCs w:val="24"/>
        </w:rPr>
        <w:t>Dechow</w:t>
      </w:r>
      <w:proofErr w:type="spellEnd"/>
      <w:r w:rsidR="006B5937" w:rsidRPr="00091375">
        <w:rPr>
          <w:rFonts w:ascii="Times New Roman" w:hAnsi="Times New Roman" w:cs="Times New Roman"/>
          <w:sz w:val="24"/>
          <w:szCs w:val="24"/>
        </w:rPr>
        <w:t>, P. M., Kothari, S.P., and Watts, R.L. (1998). The relation between earnings and cash flows. Journal of Accounting and Economics, vol. 25, no. 2, pp.133-168.</w:t>
      </w:r>
      <w:r w:rsidR="006B5937" w:rsidRPr="00091375">
        <w:rPr>
          <w:rFonts w:ascii="Times New Roman" w:eastAsia="Times New Roman" w:hAnsi="Times New Roman" w:cs="Times New Roman"/>
          <w:sz w:val="24"/>
          <w:szCs w:val="24"/>
          <w:lang w:val="en-CA" w:eastAsia="fr-CA"/>
        </w:rPr>
        <w:t xml:space="preserve"> </w:t>
      </w:r>
    </w:p>
    <w:p w14:paraId="1465DE81" w14:textId="63F993F5" w:rsidR="006B5937" w:rsidRPr="00091375" w:rsidRDefault="006B5937" w:rsidP="006B5937">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19</w:t>
      </w:r>
      <w:r w:rsidRPr="00091375">
        <w:rPr>
          <w:rFonts w:ascii="Times New Roman" w:eastAsia="Times New Roman" w:hAnsi="Times New Roman" w:cs="Times New Roman"/>
          <w:sz w:val="24"/>
          <w:szCs w:val="24"/>
          <w:lang w:val="en-CA" w:eastAsia="fr-CA"/>
        </w:rPr>
        <w:t xml:space="preserve">] </w:t>
      </w:r>
      <w:proofErr w:type="spellStart"/>
      <w:r w:rsidRPr="00091375">
        <w:rPr>
          <w:rFonts w:ascii="Times New Roman" w:hAnsi="Times New Roman" w:cs="Times New Roman"/>
          <w:sz w:val="24"/>
          <w:szCs w:val="24"/>
        </w:rPr>
        <w:t>Ebaid</w:t>
      </w:r>
      <w:proofErr w:type="spellEnd"/>
      <w:r w:rsidRPr="00091375">
        <w:rPr>
          <w:rFonts w:ascii="Times New Roman" w:hAnsi="Times New Roman" w:cs="Times New Roman"/>
          <w:sz w:val="24"/>
          <w:szCs w:val="24"/>
        </w:rPr>
        <w:t>, I. E. (2011). Accruals and the prediction of future cash flows: empirical evidence from an emerging market. Management Research Review, vol. 34, no. 7, pp. 1-32.</w:t>
      </w:r>
    </w:p>
    <w:p w14:paraId="5849BF8A" w14:textId="28506341" w:rsidR="004900ED" w:rsidRPr="00091375" w:rsidRDefault="006B5937" w:rsidP="006B5937">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20</w:t>
      </w:r>
      <w:r w:rsidRPr="00091375">
        <w:rPr>
          <w:rFonts w:ascii="Times New Roman" w:eastAsia="Times New Roman" w:hAnsi="Times New Roman" w:cs="Times New Roman"/>
          <w:sz w:val="24"/>
          <w:szCs w:val="24"/>
          <w:lang w:val="en-CA" w:eastAsia="fr-CA"/>
        </w:rPr>
        <w:t xml:space="preserve">] </w:t>
      </w:r>
      <w:r w:rsidR="004900ED" w:rsidRPr="00091375">
        <w:rPr>
          <w:rFonts w:ascii="Times New Roman" w:hAnsi="Times New Roman" w:cs="Times New Roman"/>
          <w:sz w:val="24"/>
          <w:szCs w:val="24"/>
        </w:rPr>
        <w:t xml:space="preserve">Finger, C. A. (1994). The ability of earnings to predict future earnings and cash flow. Journal of Accounting Research, vol. 32, no. 2, pp. 210-223. </w:t>
      </w:r>
    </w:p>
    <w:p w14:paraId="51BE5648" w14:textId="692B01CF" w:rsidR="004900ED" w:rsidRPr="00091375" w:rsidRDefault="004900ED" w:rsidP="006B5937">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21</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Greenberg, R.R., Johnson, G.L., and Ramesh, K. (1986). Earnings versus cash flow as a predictor of future cash flow measures. Journal of Accounting, Auditing &amp; Finance, vol. 1, no. 4, pp.266-277. </w:t>
      </w:r>
    </w:p>
    <w:p w14:paraId="0228234D" w14:textId="4DD694FC" w:rsidR="00662C86" w:rsidRPr="00091375" w:rsidRDefault="004900ED" w:rsidP="006B5937">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22</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 xml:space="preserve">Holmen, J. (1988). Using financial ratios to predict bankruptcy: an evaluation of classic </w:t>
      </w:r>
      <w:r w:rsidRPr="00091375">
        <w:rPr>
          <w:rFonts w:ascii="Times New Roman" w:hAnsi="Times New Roman" w:cs="Times New Roman"/>
          <w:sz w:val="24"/>
          <w:szCs w:val="24"/>
        </w:rPr>
        <w:lastRenderedPageBreak/>
        <w:t>models using recent evidence. Akron Business and Economic Review, vol. 19, no. 1, pp. 52-63.</w:t>
      </w:r>
    </w:p>
    <w:p w14:paraId="7EEF8E91" w14:textId="073AF8D1" w:rsidR="00D7109E" w:rsidRPr="00091375" w:rsidRDefault="00662C86" w:rsidP="00D7109E">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23</w:t>
      </w:r>
      <w:r w:rsidRPr="00091375">
        <w:rPr>
          <w:rFonts w:ascii="Times New Roman" w:eastAsia="Times New Roman" w:hAnsi="Times New Roman" w:cs="Times New Roman"/>
          <w:sz w:val="24"/>
          <w:szCs w:val="24"/>
          <w:lang w:val="en-CA" w:eastAsia="fr-CA"/>
        </w:rPr>
        <w:t xml:space="preserve">] </w:t>
      </w:r>
      <w:r w:rsidR="001A5E92" w:rsidRPr="00091375">
        <w:rPr>
          <w:rFonts w:ascii="Times New Roman" w:hAnsi="Times New Roman" w:cs="Times New Roman"/>
          <w:sz w:val="24"/>
          <w:szCs w:val="24"/>
        </w:rPr>
        <w:t>Im K.S., Pesaran M.H., and Shin, Y. (2003). Testing for unit roots in heterogeneous panels. Journal of Econometrics, vol.115, pp. 53-74.</w:t>
      </w:r>
      <w:r w:rsidR="001A5E92" w:rsidRPr="00091375">
        <w:rPr>
          <w:rFonts w:ascii="Times New Roman" w:eastAsia="Times New Roman" w:hAnsi="Times New Roman" w:cs="Times New Roman"/>
          <w:sz w:val="24"/>
          <w:szCs w:val="24"/>
          <w:lang w:val="en-CA" w:eastAsia="fr-CA"/>
        </w:rPr>
        <w:t xml:space="preserve"> [4] </w:t>
      </w:r>
      <w:r w:rsidR="001A5E92" w:rsidRPr="00091375">
        <w:rPr>
          <w:rFonts w:ascii="Times New Roman" w:hAnsi="Times New Roman" w:cs="Times New Roman"/>
          <w:sz w:val="24"/>
          <w:szCs w:val="24"/>
        </w:rPr>
        <w:t>Blum, M. (1974). Failing company discriminant analysis. Journal of Accounting Research, Spring, pp.1 - 25.</w:t>
      </w:r>
      <w:r w:rsidR="00D7109E" w:rsidRPr="00091375">
        <w:rPr>
          <w:rFonts w:ascii="Times New Roman" w:eastAsia="Times New Roman" w:hAnsi="Times New Roman" w:cs="Times New Roman"/>
          <w:sz w:val="24"/>
          <w:szCs w:val="24"/>
          <w:lang w:val="en-CA" w:eastAsia="fr-CA"/>
        </w:rPr>
        <w:t xml:space="preserve"> </w:t>
      </w:r>
    </w:p>
    <w:p w14:paraId="6C1F4AB0" w14:textId="3624F3A8" w:rsidR="00D7109E" w:rsidRPr="00091375" w:rsidRDefault="00D7109E"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24</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Kim, M., and </w:t>
      </w:r>
      <w:proofErr w:type="spellStart"/>
      <w:r w:rsidRPr="00091375">
        <w:rPr>
          <w:rFonts w:ascii="Times New Roman" w:hAnsi="Times New Roman" w:cs="Times New Roman"/>
          <w:sz w:val="24"/>
          <w:szCs w:val="24"/>
        </w:rPr>
        <w:t>Kross</w:t>
      </w:r>
      <w:proofErr w:type="spellEnd"/>
      <w:r w:rsidRPr="00091375">
        <w:rPr>
          <w:rFonts w:ascii="Times New Roman" w:hAnsi="Times New Roman" w:cs="Times New Roman"/>
          <w:sz w:val="24"/>
          <w:szCs w:val="24"/>
        </w:rPr>
        <w:t>. W. (2005). The ability of earnings to predict future operating cash flows has been increasing—not decreasing. Journal of Accounting Research, vol. 43, no. 5, pp. 753-780.</w:t>
      </w:r>
    </w:p>
    <w:p w14:paraId="13C92846" w14:textId="08D02B51" w:rsidR="00D7109E" w:rsidRPr="00091375" w:rsidRDefault="001A5E92" w:rsidP="001A5E92">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25</w:t>
      </w:r>
      <w:r w:rsidRPr="00091375">
        <w:rPr>
          <w:rFonts w:ascii="Times New Roman" w:eastAsia="Times New Roman" w:hAnsi="Times New Roman" w:cs="Times New Roman"/>
          <w:sz w:val="24"/>
          <w:szCs w:val="24"/>
          <w:lang w:val="en-CA" w:eastAsia="fr-CA"/>
        </w:rPr>
        <w:t xml:space="preserve">] </w:t>
      </w:r>
      <w:proofErr w:type="spellStart"/>
      <w:r w:rsidRPr="00091375">
        <w:rPr>
          <w:rFonts w:ascii="Times New Roman" w:hAnsi="Times New Roman" w:cs="Times New Roman"/>
          <w:sz w:val="24"/>
          <w:szCs w:val="24"/>
        </w:rPr>
        <w:t>Lorek</w:t>
      </w:r>
      <w:proofErr w:type="spellEnd"/>
      <w:r w:rsidRPr="00091375">
        <w:rPr>
          <w:rFonts w:ascii="Times New Roman" w:hAnsi="Times New Roman" w:cs="Times New Roman"/>
          <w:sz w:val="24"/>
          <w:szCs w:val="24"/>
        </w:rPr>
        <w:t>, K.S. and Willinger, G.L. (1996). A multivariate time-series prediction model for cash-flow data. The Accounting Review, vol. 71, no. 1, pp. 81-102.</w:t>
      </w:r>
      <w:r w:rsidR="00D7109E" w:rsidRPr="00091375">
        <w:rPr>
          <w:rFonts w:ascii="Times New Roman" w:hAnsi="Times New Roman" w:cs="Times New Roman"/>
          <w:sz w:val="24"/>
          <w:szCs w:val="24"/>
        </w:rPr>
        <w:t xml:space="preserve"> </w:t>
      </w:r>
    </w:p>
    <w:p w14:paraId="301788E3" w14:textId="036419FE" w:rsidR="00D7109E" w:rsidRPr="00091375" w:rsidRDefault="00D7109E" w:rsidP="001A5E92">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26</w:t>
      </w:r>
      <w:r w:rsidRPr="00091375">
        <w:rPr>
          <w:rFonts w:ascii="Times New Roman" w:eastAsia="Times New Roman" w:hAnsi="Times New Roman" w:cs="Times New Roman"/>
          <w:sz w:val="24"/>
          <w:szCs w:val="24"/>
          <w:lang w:val="en-CA" w:eastAsia="fr-CA"/>
        </w:rPr>
        <w:t xml:space="preserve">] </w:t>
      </w:r>
      <w:proofErr w:type="spellStart"/>
      <w:r w:rsidRPr="00091375">
        <w:rPr>
          <w:rFonts w:ascii="Times New Roman" w:hAnsi="Times New Roman" w:cs="Times New Roman"/>
          <w:sz w:val="24"/>
          <w:szCs w:val="24"/>
        </w:rPr>
        <w:t>Lorek</w:t>
      </w:r>
      <w:proofErr w:type="spellEnd"/>
      <w:r w:rsidRPr="00091375">
        <w:rPr>
          <w:rFonts w:ascii="Times New Roman" w:hAnsi="Times New Roman" w:cs="Times New Roman"/>
          <w:sz w:val="24"/>
          <w:szCs w:val="24"/>
        </w:rPr>
        <w:t xml:space="preserve">, K.S., and Willinger, G.L. (2009). New evidence pertaining to the prediction of operating cash flows. Review of Quantitative Finance and Accounting, vol. 32, no. 1, pp. 1-15. </w:t>
      </w:r>
    </w:p>
    <w:p w14:paraId="1BE95A1D" w14:textId="05ED1D56" w:rsidR="001A5E92" w:rsidRPr="00091375" w:rsidRDefault="00D7109E" w:rsidP="001A5E92">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27</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Moon, H.R. and Perron, B. (2004). Testing for a unit root in panels with dynamic factors. Journal of Econometrics, vol. 122, pp. 81-126.</w:t>
      </w:r>
    </w:p>
    <w:p w14:paraId="588E719F" w14:textId="69378FD0" w:rsidR="001A5E92" w:rsidRPr="00091375" w:rsidRDefault="001A5E92" w:rsidP="001A5E92">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28</w:t>
      </w:r>
      <w:r w:rsidRPr="00091375">
        <w:rPr>
          <w:rFonts w:ascii="Times New Roman" w:eastAsia="Times New Roman" w:hAnsi="Times New Roman" w:cs="Times New Roman"/>
          <w:sz w:val="24"/>
          <w:szCs w:val="24"/>
          <w:lang w:val="en-CA" w:eastAsia="fr-CA"/>
        </w:rPr>
        <w:t xml:space="preserve">] </w:t>
      </w:r>
      <w:r w:rsidRPr="00091375">
        <w:rPr>
          <w:rFonts w:ascii="Times New Roman" w:hAnsi="Times New Roman" w:cs="Times New Roman"/>
          <w:sz w:val="24"/>
          <w:szCs w:val="24"/>
        </w:rPr>
        <w:t>Murdoch, B. and Krause, P. (1989). An empirical investigation of the predictive power of accrual and cash flow data in forecasting operating cash flow. Akron Business and Economic Review, vol. 20, no. 3, pp. 100-113.</w:t>
      </w:r>
    </w:p>
    <w:p w14:paraId="1BC92921" w14:textId="5792FB5F" w:rsidR="00D7109E" w:rsidRPr="00091375" w:rsidRDefault="001A5E92" w:rsidP="00D7109E">
      <w:pPr>
        <w:widowControl w:val="0"/>
        <w:adjustRightInd w:val="0"/>
        <w:spacing w:after="0" w:line="240" w:lineRule="auto"/>
        <w:jc w:val="both"/>
        <w:textAlignment w:val="top"/>
        <w:rPr>
          <w:rFonts w:ascii="Times New Roman" w:eastAsia="Times New Roman" w:hAnsi="Times New Roman" w:cs="Times New Roman"/>
          <w:sz w:val="24"/>
          <w:szCs w:val="24"/>
          <w:lang w:val="en-CA" w:eastAsia="fr-CA"/>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29</w:t>
      </w:r>
      <w:r w:rsidRPr="00091375">
        <w:rPr>
          <w:rFonts w:ascii="Times New Roman" w:eastAsia="Times New Roman" w:hAnsi="Times New Roman" w:cs="Times New Roman"/>
          <w:sz w:val="24"/>
          <w:szCs w:val="24"/>
          <w:lang w:val="en-CA" w:eastAsia="fr-CA"/>
        </w:rPr>
        <w:t>]</w:t>
      </w:r>
      <w:r w:rsidR="00D7109E" w:rsidRPr="00091375">
        <w:rPr>
          <w:rFonts w:ascii="Times New Roman" w:eastAsia="Times New Roman" w:hAnsi="Times New Roman" w:cs="Times New Roman"/>
          <w:sz w:val="24"/>
          <w:szCs w:val="24"/>
          <w:lang w:val="en-CA" w:eastAsia="fr-CA"/>
        </w:rPr>
        <w:t xml:space="preserve"> </w:t>
      </w:r>
      <w:r w:rsidR="00D7109E" w:rsidRPr="00091375">
        <w:rPr>
          <w:rFonts w:ascii="Times New Roman" w:hAnsi="Times New Roman" w:cs="Times New Roman"/>
          <w:sz w:val="24"/>
          <w:szCs w:val="24"/>
        </w:rPr>
        <w:t>Murdoch, B. and Krause, P. (1990). Further evidence on the comparative ability of accounting data to predict operating cash flows. The Mid - Atlantic Journal of Business, vol. 26, no. 2, pp. 1</w:t>
      </w:r>
      <w:proofErr w:type="gramStart"/>
      <w:r w:rsidR="00D7109E" w:rsidRPr="00091375">
        <w:rPr>
          <w:rFonts w:ascii="Times New Roman" w:hAnsi="Times New Roman" w:cs="Times New Roman"/>
          <w:sz w:val="24"/>
          <w:szCs w:val="24"/>
        </w:rPr>
        <w:t>-</w:t>
      </w:r>
      <w:r w:rsidR="001F73E1" w:rsidRPr="00091375">
        <w:rPr>
          <w:rFonts w:ascii="Times New Roman" w:eastAsia="Times New Roman" w:hAnsi="Times New Roman" w:cs="Times New Roman"/>
          <w:sz w:val="24"/>
          <w:szCs w:val="24"/>
          <w:lang w:val="en-CA" w:eastAsia="fr-CA"/>
        </w:rPr>
        <w:t>[</w:t>
      </w:r>
      <w:proofErr w:type="gramEnd"/>
      <w:r w:rsidR="00836A89" w:rsidRPr="00091375">
        <w:rPr>
          <w:rFonts w:ascii="Times New Roman" w:eastAsia="Times New Roman" w:hAnsi="Times New Roman" w:cs="Times New Roman"/>
          <w:sz w:val="24"/>
          <w:szCs w:val="24"/>
          <w:lang w:val="en-CA" w:eastAsia="fr-CA"/>
        </w:rPr>
        <w:t>30</w:t>
      </w:r>
      <w:r w:rsidR="001F73E1" w:rsidRPr="00091375">
        <w:rPr>
          <w:rFonts w:ascii="Times New Roman" w:eastAsia="Times New Roman" w:hAnsi="Times New Roman" w:cs="Times New Roman"/>
          <w:sz w:val="24"/>
          <w:szCs w:val="24"/>
          <w:lang w:val="en-CA" w:eastAsia="fr-CA"/>
        </w:rPr>
        <w:t xml:space="preserve">] </w:t>
      </w:r>
      <w:r w:rsidR="001F73E1" w:rsidRPr="00091375">
        <w:rPr>
          <w:rFonts w:ascii="Times New Roman" w:hAnsi="Times New Roman" w:cs="Times New Roman"/>
          <w:sz w:val="24"/>
          <w:szCs w:val="24"/>
        </w:rPr>
        <w:t xml:space="preserve">Nam, S., </w:t>
      </w:r>
      <w:proofErr w:type="spellStart"/>
      <w:r w:rsidR="001F73E1" w:rsidRPr="00091375">
        <w:rPr>
          <w:rFonts w:ascii="Times New Roman" w:hAnsi="Times New Roman" w:cs="Times New Roman"/>
          <w:sz w:val="24"/>
          <w:szCs w:val="24"/>
        </w:rPr>
        <w:t>Brochet</w:t>
      </w:r>
      <w:proofErr w:type="spellEnd"/>
      <w:r w:rsidR="001F73E1" w:rsidRPr="00091375">
        <w:rPr>
          <w:rFonts w:ascii="Times New Roman" w:hAnsi="Times New Roman" w:cs="Times New Roman"/>
          <w:sz w:val="24"/>
          <w:szCs w:val="24"/>
        </w:rPr>
        <w:t>, F., and Ronen, J. (2012). The predictive value of accruals and consequences for market anomalies. Journal of Accounting, Auditing &amp; Finance, vol. 27, no. 2, pp.151-176.</w:t>
      </w:r>
    </w:p>
    <w:p w14:paraId="239BEBBB" w14:textId="2267D7B2" w:rsidR="00E02AF0" w:rsidRPr="00091375" w:rsidRDefault="00D7109E"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31</w:t>
      </w:r>
      <w:r w:rsidRPr="00091375">
        <w:rPr>
          <w:rFonts w:ascii="Times New Roman" w:eastAsia="Times New Roman" w:hAnsi="Times New Roman" w:cs="Times New Roman"/>
          <w:sz w:val="24"/>
          <w:szCs w:val="24"/>
          <w:lang w:val="en-CA" w:eastAsia="fr-CA"/>
        </w:rPr>
        <w:t>]</w:t>
      </w:r>
      <w:r w:rsidR="00E02AF0" w:rsidRPr="00091375">
        <w:rPr>
          <w:rFonts w:ascii="Times New Roman" w:hAnsi="Times New Roman" w:cs="Times New Roman"/>
          <w:sz w:val="24"/>
          <w:szCs w:val="24"/>
        </w:rPr>
        <w:t xml:space="preserve"> </w:t>
      </w:r>
      <w:proofErr w:type="spellStart"/>
      <w:r w:rsidR="00E02AF0" w:rsidRPr="00091375">
        <w:rPr>
          <w:rFonts w:ascii="Times New Roman" w:hAnsi="Times New Roman" w:cs="Times New Roman"/>
          <w:sz w:val="24"/>
          <w:szCs w:val="24"/>
        </w:rPr>
        <w:t>Pae</w:t>
      </w:r>
      <w:proofErr w:type="spellEnd"/>
      <w:r w:rsidR="00E02AF0" w:rsidRPr="00091375">
        <w:rPr>
          <w:rFonts w:ascii="Times New Roman" w:hAnsi="Times New Roman" w:cs="Times New Roman"/>
          <w:sz w:val="24"/>
          <w:szCs w:val="24"/>
        </w:rPr>
        <w:t xml:space="preserve"> J. (2005). Expected accrual models: the impact of operating cash flows and reversals of accruals. Review of Quantitative Finance and Accounting, vol. 24, no. 1, pp. 5-22. </w:t>
      </w:r>
    </w:p>
    <w:p w14:paraId="20EE9D65" w14:textId="13EE54CC" w:rsidR="00E02AF0" w:rsidRPr="00091375" w:rsidRDefault="00E02AF0"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32</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Pedroni, P. (1997). On the role of cross-sectional dependency in panel unit root and panel cointegration exchange rate studies. Working Paper, Indiana University.</w:t>
      </w:r>
    </w:p>
    <w:p w14:paraId="7AEE135E" w14:textId="2350D3E5" w:rsidR="00E02AF0" w:rsidRPr="00091375" w:rsidRDefault="00E02AF0" w:rsidP="00D7109E">
      <w:pPr>
        <w:widowControl w:val="0"/>
        <w:adjustRightInd w:val="0"/>
        <w:spacing w:after="0" w:line="240" w:lineRule="auto"/>
        <w:jc w:val="both"/>
        <w:textAlignment w:val="top"/>
        <w:rPr>
          <w:rFonts w:ascii="Times New Roman" w:hAnsi="Times New Roman" w:cs="Times New Roman"/>
          <w:sz w:val="24"/>
          <w:szCs w:val="24"/>
        </w:rPr>
      </w:pPr>
      <w:bookmarkStart w:id="17" w:name="_Hlk71209605"/>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33</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w:t>
      </w:r>
      <w:bookmarkEnd w:id="17"/>
      <w:r w:rsidRPr="00091375">
        <w:rPr>
          <w:rFonts w:ascii="Times New Roman" w:hAnsi="Times New Roman" w:cs="Times New Roman"/>
          <w:sz w:val="24"/>
          <w:szCs w:val="24"/>
        </w:rPr>
        <w:t xml:space="preserve">Pedroni, P. (1999). Critical values for cointegration tests in heterogeneous panels with multiple regressors. Oxford Bulletin of Economics &amp; Statistics, vol. 61, pp. 653-670. </w:t>
      </w:r>
    </w:p>
    <w:p w14:paraId="3FA6FDE5" w14:textId="629F336D" w:rsidR="00E02AF0" w:rsidRPr="00091375" w:rsidRDefault="00E02AF0"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34</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Pedroni, P. (2000). Fully-modified OLS for heterogeneous cointegration panel. Advances in Econometrics, vol. 15, pp. 93-130. </w:t>
      </w:r>
    </w:p>
    <w:p w14:paraId="5B9EE098" w14:textId="609F440E" w:rsidR="00E02AF0" w:rsidRPr="00091375" w:rsidRDefault="00E02AF0"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35</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Pedroni, P. (2004): Panel Cointegration. Asymptotic and Finite Sample Properties of Pooled Time Series Tests with an Application to the PPP Hypothesis, Econometric Theory, 20, 3, 597-625. </w:t>
      </w:r>
    </w:p>
    <w:p w14:paraId="0E10CB46" w14:textId="77777777" w:rsidR="00D41C90" w:rsidRDefault="00E02AF0" w:rsidP="00D7109E">
      <w:pPr>
        <w:widowControl w:val="0"/>
        <w:adjustRightInd w:val="0"/>
        <w:spacing w:after="0" w:line="240" w:lineRule="auto"/>
        <w:jc w:val="both"/>
        <w:textAlignment w:val="top"/>
        <w:rPr>
          <w:rFonts w:ascii="Times New Roman" w:hAnsi="Times New Roman" w:cs="Times New Roman"/>
          <w:color w:val="000000"/>
          <w:sz w:val="24"/>
          <w:szCs w:val="24"/>
        </w:rPr>
      </w:pPr>
      <w:r w:rsidRPr="00D41C90">
        <w:rPr>
          <w:rFonts w:ascii="Times New Roman" w:eastAsia="Times New Roman" w:hAnsi="Times New Roman" w:cs="Times New Roman"/>
          <w:sz w:val="24"/>
          <w:szCs w:val="24"/>
          <w:lang w:val="en-CA" w:eastAsia="fr-CA"/>
        </w:rPr>
        <w:t>[</w:t>
      </w:r>
      <w:r w:rsidR="00836A89" w:rsidRPr="00D41C90">
        <w:rPr>
          <w:rFonts w:ascii="Times New Roman" w:eastAsia="Times New Roman" w:hAnsi="Times New Roman" w:cs="Times New Roman"/>
          <w:sz w:val="24"/>
          <w:szCs w:val="24"/>
          <w:lang w:val="en-CA" w:eastAsia="fr-CA"/>
        </w:rPr>
        <w:t>36</w:t>
      </w:r>
      <w:r w:rsidRPr="00D41C90">
        <w:rPr>
          <w:rFonts w:ascii="Times New Roman" w:eastAsia="Times New Roman" w:hAnsi="Times New Roman" w:cs="Times New Roman"/>
          <w:sz w:val="24"/>
          <w:szCs w:val="24"/>
          <w:lang w:val="en-CA" w:eastAsia="fr-CA"/>
        </w:rPr>
        <w:t>]</w:t>
      </w:r>
      <w:r w:rsidRPr="00D41C90">
        <w:rPr>
          <w:rFonts w:ascii="Times New Roman" w:hAnsi="Times New Roman" w:cs="Times New Roman"/>
          <w:sz w:val="24"/>
          <w:szCs w:val="24"/>
        </w:rPr>
        <w:t xml:space="preserve"> </w:t>
      </w:r>
      <w:proofErr w:type="spellStart"/>
      <w:r w:rsidRPr="00D41C90">
        <w:rPr>
          <w:rFonts w:ascii="Times New Roman" w:hAnsi="Times New Roman" w:cs="Times New Roman"/>
          <w:sz w:val="24"/>
          <w:szCs w:val="24"/>
        </w:rPr>
        <w:t>Penham</w:t>
      </w:r>
      <w:proofErr w:type="spellEnd"/>
      <w:r w:rsidRPr="00D41C90">
        <w:rPr>
          <w:rFonts w:ascii="Times New Roman" w:hAnsi="Times New Roman" w:cs="Times New Roman"/>
          <w:sz w:val="24"/>
          <w:szCs w:val="24"/>
        </w:rPr>
        <w:t>, S.H. and Yehuda, N. (2009). The pricing of earnings and cash flows and the affirmation of accrual accounting. Review of Accounting Studies, vol. 14, no. 4, pp. 453-479.</w:t>
      </w:r>
      <w:r w:rsidR="00D41C90" w:rsidRPr="00D41C90">
        <w:rPr>
          <w:rFonts w:ascii="Times New Roman" w:hAnsi="Times New Roman" w:cs="Times New Roman"/>
          <w:color w:val="000000"/>
          <w:sz w:val="24"/>
          <w:szCs w:val="24"/>
        </w:rPr>
        <w:t xml:space="preserve"> </w:t>
      </w:r>
    </w:p>
    <w:p w14:paraId="22090BC5" w14:textId="5FF9C82C" w:rsidR="00E02AF0" w:rsidRPr="00D41C90" w:rsidRDefault="00D41C90" w:rsidP="00D7109E">
      <w:pPr>
        <w:widowControl w:val="0"/>
        <w:adjustRightInd w:val="0"/>
        <w:spacing w:after="0" w:line="240" w:lineRule="auto"/>
        <w:jc w:val="both"/>
        <w:textAlignment w:val="top"/>
        <w:rPr>
          <w:rFonts w:ascii="Times New Roman" w:hAnsi="Times New Roman" w:cs="Times New Roman"/>
          <w:sz w:val="24"/>
          <w:szCs w:val="24"/>
        </w:rPr>
      </w:pPr>
      <w:r w:rsidRPr="00D41C90">
        <w:rPr>
          <w:rFonts w:ascii="Times New Roman" w:eastAsia="Times New Roman" w:hAnsi="Times New Roman" w:cs="Times New Roman"/>
          <w:sz w:val="24"/>
          <w:szCs w:val="24"/>
          <w:lang w:val="en-CA" w:eastAsia="fr-CA"/>
        </w:rPr>
        <w:t>[3</w:t>
      </w:r>
      <w:r>
        <w:rPr>
          <w:rFonts w:ascii="Times New Roman" w:eastAsia="Times New Roman" w:hAnsi="Times New Roman" w:cs="Times New Roman"/>
          <w:sz w:val="24"/>
          <w:szCs w:val="24"/>
          <w:lang w:val="en-CA" w:eastAsia="fr-CA"/>
        </w:rPr>
        <w:t>7</w:t>
      </w:r>
      <w:r w:rsidRPr="00D41C90">
        <w:rPr>
          <w:rFonts w:ascii="Times New Roman" w:eastAsia="Times New Roman" w:hAnsi="Times New Roman" w:cs="Times New Roman"/>
          <w:sz w:val="24"/>
          <w:szCs w:val="24"/>
          <w:lang w:val="en-CA" w:eastAsia="fr-CA"/>
        </w:rPr>
        <w:t>]</w:t>
      </w:r>
      <w:r w:rsidRPr="00D41C90">
        <w:rPr>
          <w:rFonts w:ascii="Times New Roman" w:hAnsi="Times New Roman" w:cs="Times New Roman"/>
          <w:sz w:val="24"/>
          <w:szCs w:val="24"/>
        </w:rPr>
        <w:t xml:space="preserve"> </w:t>
      </w:r>
      <w:r w:rsidRPr="00D41C90">
        <w:rPr>
          <w:rFonts w:ascii="Times New Roman" w:hAnsi="Times New Roman" w:cs="Times New Roman"/>
          <w:color w:val="000000"/>
          <w:sz w:val="24"/>
          <w:szCs w:val="24"/>
        </w:rPr>
        <w:t>Pesaran, M.H., Shin</w:t>
      </w:r>
      <w:r>
        <w:rPr>
          <w:rFonts w:ascii="Times New Roman" w:hAnsi="Times New Roman" w:cs="Times New Roman"/>
          <w:color w:val="000000"/>
          <w:sz w:val="24"/>
          <w:szCs w:val="24"/>
        </w:rPr>
        <w:t xml:space="preserve"> Y.,</w:t>
      </w:r>
      <w:r w:rsidRPr="00D41C90">
        <w:rPr>
          <w:rFonts w:ascii="Times New Roman" w:hAnsi="Times New Roman" w:cs="Times New Roman"/>
          <w:color w:val="000000"/>
          <w:sz w:val="24"/>
          <w:szCs w:val="24"/>
        </w:rPr>
        <w:t xml:space="preserve"> and Smith</w:t>
      </w:r>
      <w:r w:rsidR="00254B64">
        <w:rPr>
          <w:rFonts w:ascii="Times New Roman" w:hAnsi="Times New Roman" w:cs="Times New Roman"/>
          <w:color w:val="000000"/>
          <w:sz w:val="24"/>
          <w:szCs w:val="24"/>
        </w:rPr>
        <w:t>, R.P.</w:t>
      </w:r>
      <w:r w:rsidRPr="00D41C90">
        <w:rPr>
          <w:rFonts w:ascii="Times New Roman" w:hAnsi="Times New Roman" w:cs="Times New Roman"/>
          <w:color w:val="000000"/>
          <w:sz w:val="24"/>
          <w:szCs w:val="24"/>
        </w:rPr>
        <w:t xml:space="preserve"> (1999). Pooled mean group estimation of dynamic heterogeneous panels. </w:t>
      </w:r>
      <w:r w:rsidRPr="00254B64">
        <w:rPr>
          <w:rFonts w:ascii="Times New Roman" w:hAnsi="Times New Roman" w:cs="Times New Roman"/>
          <w:color w:val="000000"/>
          <w:sz w:val="24"/>
          <w:szCs w:val="24"/>
        </w:rPr>
        <w:t>Journal of the American Statistical Association,</w:t>
      </w:r>
      <w:r w:rsidR="00254B64">
        <w:rPr>
          <w:rFonts w:ascii="Times New Roman" w:hAnsi="Times New Roman" w:cs="Times New Roman"/>
          <w:color w:val="000000"/>
          <w:sz w:val="24"/>
          <w:szCs w:val="24"/>
        </w:rPr>
        <w:t xml:space="preserve"> vol.</w:t>
      </w:r>
      <w:r w:rsidRPr="00D41C90">
        <w:rPr>
          <w:rFonts w:ascii="Times New Roman" w:hAnsi="Times New Roman" w:cs="Times New Roman"/>
          <w:color w:val="000000"/>
          <w:sz w:val="24"/>
          <w:szCs w:val="24"/>
        </w:rPr>
        <w:t xml:space="preserve"> 94</w:t>
      </w:r>
      <w:r w:rsidR="00254B64">
        <w:rPr>
          <w:rFonts w:ascii="Times New Roman" w:hAnsi="Times New Roman" w:cs="Times New Roman"/>
          <w:color w:val="000000"/>
          <w:sz w:val="24"/>
          <w:szCs w:val="24"/>
        </w:rPr>
        <w:t xml:space="preserve">, pp. </w:t>
      </w:r>
      <w:r w:rsidRPr="00D41C90">
        <w:rPr>
          <w:rFonts w:ascii="Times New Roman" w:hAnsi="Times New Roman" w:cs="Times New Roman"/>
          <w:color w:val="000000"/>
          <w:sz w:val="24"/>
          <w:szCs w:val="24"/>
        </w:rPr>
        <w:t>621-634.</w:t>
      </w:r>
    </w:p>
    <w:p w14:paraId="263910F1" w14:textId="329B6987" w:rsidR="00E02AF0" w:rsidRPr="00091375" w:rsidRDefault="00E02AF0"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w:t>
      </w:r>
      <w:r w:rsidR="00D41C90">
        <w:rPr>
          <w:rFonts w:ascii="Times New Roman" w:eastAsia="Times New Roman" w:hAnsi="Times New Roman" w:cs="Times New Roman"/>
          <w:sz w:val="24"/>
          <w:szCs w:val="24"/>
          <w:lang w:val="en-CA" w:eastAsia="fr-CA"/>
        </w:rPr>
        <w:t>8</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Saint-Pierre, J. (1985).</w:t>
      </w:r>
      <w:r w:rsidR="00760C81">
        <w:rPr>
          <w:rFonts w:ascii="Times New Roman" w:hAnsi="Times New Roman" w:cs="Times New Roman"/>
          <w:sz w:val="24"/>
          <w:szCs w:val="24"/>
        </w:rPr>
        <w:t xml:space="preserve"> Le </w:t>
      </w:r>
      <w:proofErr w:type="spellStart"/>
      <w:r w:rsidR="00760C81">
        <w:rPr>
          <w:rFonts w:ascii="Times New Roman" w:hAnsi="Times New Roman" w:cs="Times New Roman"/>
          <w:sz w:val="24"/>
          <w:szCs w:val="24"/>
        </w:rPr>
        <w:t>contenu</w:t>
      </w:r>
      <w:proofErr w:type="spellEnd"/>
      <w:r w:rsidR="00760C81">
        <w:rPr>
          <w:rFonts w:ascii="Times New Roman" w:hAnsi="Times New Roman" w:cs="Times New Roman"/>
          <w:sz w:val="24"/>
          <w:szCs w:val="24"/>
        </w:rPr>
        <w:t xml:space="preserve"> </w:t>
      </w:r>
      <w:proofErr w:type="spellStart"/>
      <w:r w:rsidR="00760C81">
        <w:rPr>
          <w:rFonts w:ascii="Times New Roman" w:hAnsi="Times New Roman" w:cs="Times New Roman"/>
          <w:sz w:val="24"/>
          <w:szCs w:val="24"/>
        </w:rPr>
        <w:t>informatif</w:t>
      </w:r>
      <w:proofErr w:type="spellEnd"/>
      <w:r w:rsidR="00760C81">
        <w:rPr>
          <w:rFonts w:ascii="Times New Roman" w:hAnsi="Times New Roman" w:cs="Times New Roman"/>
          <w:sz w:val="24"/>
          <w:szCs w:val="24"/>
        </w:rPr>
        <w:t xml:space="preserve"> des flux </w:t>
      </w:r>
      <w:proofErr w:type="spellStart"/>
      <w:r w:rsidR="00760C81">
        <w:rPr>
          <w:rFonts w:ascii="Times New Roman" w:hAnsi="Times New Roman" w:cs="Times New Roman"/>
          <w:sz w:val="24"/>
          <w:szCs w:val="24"/>
        </w:rPr>
        <w:t>monétaires</w:t>
      </w:r>
      <w:proofErr w:type="spellEnd"/>
      <w:r w:rsidR="00760C81">
        <w:rPr>
          <w:rFonts w:ascii="Times New Roman" w:hAnsi="Times New Roman" w:cs="Times New Roman"/>
          <w:sz w:val="24"/>
          <w:szCs w:val="24"/>
        </w:rPr>
        <w:t>. CA</w:t>
      </w:r>
      <w:r w:rsidR="00E76D51">
        <w:rPr>
          <w:rFonts w:ascii="Times New Roman" w:hAnsi="Times New Roman" w:cs="Times New Roman"/>
          <w:sz w:val="24"/>
          <w:szCs w:val="24"/>
        </w:rPr>
        <w:t xml:space="preserve"> Magazine, August, pp. 66 - 70.</w:t>
      </w:r>
    </w:p>
    <w:p w14:paraId="7A13111B" w14:textId="2F5EFD25" w:rsidR="007201B5" w:rsidRPr="00091375" w:rsidRDefault="007201B5"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836A89" w:rsidRPr="00091375">
        <w:rPr>
          <w:rFonts w:ascii="Times New Roman" w:eastAsia="Times New Roman" w:hAnsi="Times New Roman" w:cs="Times New Roman"/>
          <w:sz w:val="24"/>
          <w:szCs w:val="24"/>
          <w:lang w:val="en-CA" w:eastAsia="fr-CA"/>
        </w:rPr>
        <w:t>3</w:t>
      </w:r>
      <w:r w:rsidR="00D41C90">
        <w:rPr>
          <w:rFonts w:ascii="Times New Roman" w:eastAsia="Times New Roman" w:hAnsi="Times New Roman" w:cs="Times New Roman"/>
          <w:sz w:val="24"/>
          <w:szCs w:val="24"/>
          <w:lang w:val="en-CA" w:eastAsia="fr-CA"/>
        </w:rPr>
        <w:t>9</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w:t>
      </w:r>
      <w:r w:rsidR="00E02AF0" w:rsidRPr="00091375">
        <w:rPr>
          <w:rFonts w:ascii="Times New Roman" w:hAnsi="Times New Roman" w:cs="Times New Roman"/>
          <w:sz w:val="24"/>
          <w:szCs w:val="24"/>
        </w:rPr>
        <w:t>Seng, D. (2006). Earnings versus cash flows as predictors of future cash flows: New Zealand evidence. Working Paper, University of Otago.</w:t>
      </w:r>
      <w:r w:rsidRPr="00091375">
        <w:rPr>
          <w:rFonts w:ascii="Times New Roman" w:hAnsi="Times New Roman" w:cs="Times New Roman"/>
          <w:sz w:val="24"/>
          <w:szCs w:val="24"/>
        </w:rPr>
        <w:t xml:space="preserve"> </w:t>
      </w:r>
    </w:p>
    <w:p w14:paraId="74A8832E" w14:textId="4CFCEEB6" w:rsidR="007201B5" w:rsidRPr="00091375" w:rsidRDefault="007201B5"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D41C90">
        <w:rPr>
          <w:rFonts w:ascii="Times New Roman" w:eastAsia="Times New Roman" w:hAnsi="Times New Roman" w:cs="Times New Roman"/>
          <w:sz w:val="24"/>
          <w:szCs w:val="24"/>
          <w:lang w:val="en-CA" w:eastAsia="fr-CA"/>
        </w:rPr>
        <w:t>40</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Subramanyam, K.R. and Venkatachalam, M. (2007). Earnings, cash flows, and ex post intrinsic value of equity. The Accounting Review, vol. 82, no. 2, pp. 457- 481. </w:t>
      </w:r>
    </w:p>
    <w:p w14:paraId="45E30464" w14:textId="54F2E813" w:rsidR="00D7109E" w:rsidRDefault="007201B5" w:rsidP="00D7109E">
      <w:pPr>
        <w:widowControl w:val="0"/>
        <w:adjustRightInd w:val="0"/>
        <w:spacing w:after="0" w:line="240" w:lineRule="auto"/>
        <w:jc w:val="both"/>
        <w:textAlignment w:val="top"/>
        <w:rPr>
          <w:rFonts w:ascii="Times New Roman" w:hAnsi="Times New Roman" w:cs="Times New Roman"/>
          <w:sz w:val="24"/>
          <w:szCs w:val="24"/>
        </w:rPr>
      </w:pPr>
      <w:r w:rsidRPr="00091375">
        <w:rPr>
          <w:rFonts w:ascii="Times New Roman" w:eastAsia="Times New Roman" w:hAnsi="Times New Roman" w:cs="Times New Roman"/>
          <w:sz w:val="24"/>
          <w:szCs w:val="24"/>
          <w:lang w:val="en-CA" w:eastAsia="fr-CA"/>
        </w:rPr>
        <w:t>[</w:t>
      </w:r>
      <w:r w:rsidR="00D41C90">
        <w:rPr>
          <w:rFonts w:ascii="Times New Roman" w:eastAsia="Times New Roman" w:hAnsi="Times New Roman" w:cs="Times New Roman"/>
          <w:sz w:val="24"/>
          <w:szCs w:val="24"/>
          <w:lang w:val="en-CA" w:eastAsia="fr-CA"/>
        </w:rPr>
        <w:t>41</w:t>
      </w:r>
      <w:r w:rsidRPr="00091375">
        <w:rPr>
          <w:rFonts w:ascii="Times New Roman" w:eastAsia="Times New Roman" w:hAnsi="Times New Roman" w:cs="Times New Roman"/>
          <w:sz w:val="24"/>
          <w:szCs w:val="24"/>
          <w:lang w:val="en-CA" w:eastAsia="fr-CA"/>
        </w:rPr>
        <w:t>]</w:t>
      </w:r>
      <w:r w:rsidRPr="00091375">
        <w:rPr>
          <w:rFonts w:ascii="Times New Roman" w:hAnsi="Times New Roman" w:cs="Times New Roman"/>
          <w:sz w:val="24"/>
          <w:szCs w:val="24"/>
        </w:rPr>
        <w:t xml:space="preserve"> Waldron, M.A., and Jordan, C.E. (2010). The comparative predictive abilities of accrual earnings and cash flows in periods of economic turbulence: the case of the bubble. The Journal of Applied Business Research, vol. 26, no. 1, pp. 85-97.</w:t>
      </w:r>
    </w:p>
    <w:p w14:paraId="780A8DCD" w14:textId="13BE965A" w:rsidR="007201B5" w:rsidRDefault="007201B5" w:rsidP="00D7109E">
      <w:pPr>
        <w:widowControl w:val="0"/>
        <w:adjustRightInd w:val="0"/>
        <w:spacing w:after="0" w:line="240" w:lineRule="auto"/>
        <w:jc w:val="both"/>
        <w:textAlignment w:val="top"/>
        <w:rPr>
          <w:rFonts w:ascii="Times New Roman" w:hAnsi="Times New Roman" w:cs="Times New Roman"/>
          <w:sz w:val="24"/>
          <w:szCs w:val="24"/>
        </w:rPr>
      </w:pPr>
    </w:p>
    <w:p w14:paraId="119AA5A2" w14:textId="74D0EE65" w:rsidR="00580965" w:rsidRDefault="00580965" w:rsidP="00580965">
      <w:pPr>
        <w:rPr>
          <w:rFonts w:ascii="Times New Roman" w:hAnsi="Times New Roman" w:cs="Times New Roman"/>
          <w:sz w:val="24"/>
          <w:szCs w:val="24"/>
        </w:rPr>
      </w:pPr>
    </w:p>
    <w:sectPr w:rsidR="005809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EA20" w14:textId="77777777" w:rsidR="003D0A8F" w:rsidRDefault="003D0A8F" w:rsidP="00D92DF7">
      <w:pPr>
        <w:spacing w:after="0" w:line="240" w:lineRule="auto"/>
      </w:pPr>
      <w:r>
        <w:separator/>
      </w:r>
    </w:p>
  </w:endnote>
  <w:endnote w:type="continuationSeparator" w:id="0">
    <w:p w14:paraId="5F470F93" w14:textId="77777777" w:rsidR="003D0A8F" w:rsidRDefault="003D0A8F" w:rsidP="00D9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83248"/>
      <w:docPartObj>
        <w:docPartGallery w:val="Page Numbers (Bottom of Page)"/>
        <w:docPartUnique/>
      </w:docPartObj>
    </w:sdtPr>
    <w:sdtEndPr>
      <w:rPr>
        <w:noProof/>
      </w:rPr>
    </w:sdtEndPr>
    <w:sdtContent>
      <w:p w14:paraId="356AA832" w14:textId="7BC5A95D" w:rsidR="009A7AD4" w:rsidRDefault="009A7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F4F8D" w14:textId="77777777" w:rsidR="009A7AD4" w:rsidRDefault="009A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8BE5" w14:textId="77777777" w:rsidR="003D0A8F" w:rsidRDefault="003D0A8F" w:rsidP="00D92DF7">
      <w:pPr>
        <w:spacing w:after="0" w:line="240" w:lineRule="auto"/>
      </w:pPr>
      <w:r>
        <w:separator/>
      </w:r>
    </w:p>
  </w:footnote>
  <w:footnote w:type="continuationSeparator" w:id="0">
    <w:p w14:paraId="2CA61EB1" w14:textId="77777777" w:rsidR="003D0A8F" w:rsidRDefault="003D0A8F" w:rsidP="00D92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87"/>
    <w:rsid w:val="000121C0"/>
    <w:rsid w:val="00041938"/>
    <w:rsid w:val="00044017"/>
    <w:rsid w:val="0004611C"/>
    <w:rsid w:val="00055F05"/>
    <w:rsid w:val="0006311C"/>
    <w:rsid w:val="000643B1"/>
    <w:rsid w:val="00075414"/>
    <w:rsid w:val="00075B6C"/>
    <w:rsid w:val="00077D51"/>
    <w:rsid w:val="00080194"/>
    <w:rsid w:val="00081BE6"/>
    <w:rsid w:val="0008497E"/>
    <w:rsid w:val="00091375"/>
    <w:rsid w:val="000F2195"/>
    <w:rsid w:val="0010521C"/>
    <w:rsid w:val="00115163"/>
    <w:rsid w:val="00117CE8"/>
    <w:rsid w:val="001323F7"/>
    <w:rsid w:val="00144331"/>
    <w:rsid w:val="00170EF0"/>
    <w:rsid w:val="00170F52"/>
    <w:rsid w:val="00186387"/>
    <w:rsid w:val="0019089C"/>
    <w:rsid w:val="0019298B"/>
    <w:rsid w:val="001A5C23"/>
    <w:rsid w:val="001A5E92"/>
    <w:rsid w:val="001C581D"/>
    <w:rsid w:val="001D0200"/>
    <w:rsid w:val="001E267A"/>
    <w:rsid w:val="001E6C0B"/>
    <w:rsid w:val="001E6F19"/>
    <w:rsid w:val="001F73E1"/>
    <w:rsid w:val="002054D8"/>
    <w:rsid w:val="00210395"/>
    <w:rsid w:val="002244C6"/>
    <w:rsid w:val="00224858"/>
    <w:rsid w:val="00246D12"/>
    <w:rsid w:val="0024764C"/>
    <w:rsid w:val="00247A20"/>
    <w:rsid w:val="00247AB4"/>
    <w:rsid w:val="00254B64"/>
    <w:rsid w:val="00254DBF"/>
    <w:rsid w:val="00280ED6"/>
    <w:rsid w:val="00285A4E"/>
    <w:rsid w:val="0029181B"/>
    <w:rsid w:val="002A00D4"/>
    <w:rsid w:val="002B39FD"/>
    <w:rsid w:val="002C4056"/>
    <w:rsid w:val="002E1040"/>
    <w:rsid w:val="002E505D"/>
    <w:rsid w:val="002E6182"/>
    <w:rsid w:val="002F5F74"/>
    <w:rsid w:val="00303D4D"/>
    <w:rsid w:val="00317CE8"/>
    <w:rsid w:val="00332C6F"/>
    <w:rsid w:val="0033331D"/>
    <w:rsid w:val="003372D4"/>
    <w:rsid w:val="003420BC"/>
    <w:rsid w:val="00351151"/>
    <w:rsid w:val="0035688F"/>
    <w:rsid w:val="003723D7"/>
    <w:rsid w:val="0038147C"/>
    <w:rsid w:val="00392B80"/>
    <w:rsid w:val="0039591E"/>
    <w:rsid w:val="003A2E72"/>
    <w:rsid w:val="003A4929"/>
    <w:rsid w:val="003B23B7"/>
    <w:rsid w:val="003C0F21"/>
    <w:rsid w:val="003D0A8F"/>
    <w:rsid w:val="003D1C16"/>
    <w:rsid w:val="003E5244"/>
    <w:rsid w:val="003F6722"/>
    <w:rsid w:val="003F7BBB"/>
    <w:rsid w:val="00407D79"/>
    <w:rsid w:val="00414040"/>
    <w:rsid w:val="00444AAA"/>
    <w:rsid w:val="00450E4F"/>
    <w:rsid w:val="00451ED3"/>
    <w:rsid w:val="004620F0"/>
    <w:rsid w:val="00474BCE"/>
    <w:rsid w:val="00477CE6"/>
    <w:rsid w:val="004820B2"/>
    <w:rsid w:val="00482F06"/>
    <w:rsid w:val="004900ED"/>
    <w:rsid w:val="004B4C21"/>
    <w:rsid w:val="004C79E4"/>
    <w:rsid w:val="004D0247"/>
    <w:rsid w:val="004D1D65"/>
    <w:rsid w:val="004E6B2A"/>
    <w:rsid w:val="004F1678"/>
    <w:rsid w:val="00502428"/>
    <w:rsid w:val="0051180C"/>
    <w:rsid w:val="005261E8"/>
    <w:rsid w:val="00534A14"/>
    <w:rsid w:val="0053649B"/>
    <w:rsid w:val="00536A02"/>
    <w:rsid w:val="005376C9"/>
    <w:rsid w:val="00574DF3"/>
    <w:rsid w:val="00577D05"/>
    <w:rsid w:val="00580965"/>
    <w:rsid w:val="00580B14"/>
    <w:rsid w:val="005C5BC4"/>
    <w:rsid w:val="005D6BA7"/>
    <w:rsid w:val="005E1EE7"/>
    <w:rsid w:val="00604704"/>
    <w:rsid w:val="00605ECF"/>
    <w:rsid w:val="00610D3E"/>
    <w:rsid w:val="006257C5"/>
    <w:rsid w:val="006471AF"/>
    <w:rsid w:val="00650B6D"/>
    <w:rsid w:val="00662C86"/>
    <w:rsid w:val="00666CCC"/>
    <w:rsid w:val="00692733"/>
    <w:rsid w:val="006927D8"/>
    <w:rsid w:val="00693C5F"/>
    <w:rsid w:val="006942D4"/>
    <w:rsid w:val="0069434E"/>
    <w:rsid w:val="006B5937"/>
    <w:rsid w:val="006C1DAA"/>
    <w:rsid w:val="006D019B"/>
    <w:rsid w:val="006D2888"/>
    <w:rsid w:val="006E07AA"/>
    <w:rsid w:val="006E5F5F"/>
    <w:rsid w:val="006F09F2"/>
    <w:rsid w:val="00700216"/>
    <w:rsid w:val="00703C93"/>
    <w:rsid w:val="00707464"/>
    <w:rsid w:val="007122E6"/>
    <w:rsid w:val="0071560B"/>
    <w:rsid w:val="007156D9"/>
    <w:rsid w:val="007201B5"/>
    <w:rsid w:val="00726E73"/>
    <w:rsid w:val="00730B62"/>
    <w:rsid w:val="0073216B"/>
    <w:rsid w:val="0074415B"/>
    <w:rsid w:val="00746D26"/>
    <w:rsid w:val="007530BF"/>
    <w:rsid w:val="00760C81"/>
    <w:rsid w:val="00764A9C"/>
    <w:rsid w:val="00766E2A"/>
    <w:rsid w:val="00770A43"/>
    <w:rsid w:val="00781434"/>
    <w:rsid w:val="007876FB"/>
    <w:rsid w:val="00790997"/>
    <w:rsid w:val="00797C76"/>
    <w:rsid w:val="007B2C52"/>
    <w:rsid w:val="007B30A9"/>
    <w:rsid w:val="007C398A"/>
    <w:rsid w:val="007D34D3"/>
    <w:rsid w:val="007E0F12"/>
    <w:rsid w:val="007F4000"/>
    <w:rsid w:val="00802428"/>
    <w:rsid w:val="008120EB"/>
    <w:rsid w:val="00831FD4"/>
    <w:rsid w:val="00834DE9"/>
    <w:rsid w:val="008364AB"/>
    <w:rsid w:val="00836A89"/>
    <w:rsid w:val="008436BD"/>
    <w:rsid w:val="00874225"/>
    <w:rsid w:val="0087505D"/>
    <w:rsid w:val="008916D4"/>
    <w:rsid w:val="00892FCE"/>
    <w:rsid w:val="00897275"/>
    <w:rsid w:val="008A7F3D"/>
    <w:rsid w:val="008B545E"/>
    <w:rsid w:val="008C08F2"/>
    <w:rsid w:val="008C1C00"/>
    <w:rsid w:val="008C41AB"/>
    <w:rsid w:val="008D09B6"/>
    <w:rsid w:val="008F4B30"/>
    <w:rsid w:val="009206CD"/>
    <w:rsid w:val="009208D1"/>
    <w:rsid w:val="00921589"/>
    <w:rsid w:val="00921E4F"/>
    <w:rsid w:val="0095563C"/>
    <w:rsid w:val="0096481A"/>
    <w:rsid w:val="00971DA2"/>
    <w:rsid w:val="009A7AD4"/>
    <w:rsid w:val="009C2586"/>
    <w:rsid w:val="009C7007"/>
    <w:rsid w:val="009D73AA"/>
    <w:rsid w:val="009E71C1"/>
    <w:rsid w:val="00A00209"/>
    <w:rsid w:val="00A0511A"/>
    <w:rsid w:val="00A178C0"/>
    <w:rsid w:val="00A17A59"/>
    <w:rsid w:val="00A17B22"/>
    <w:rsid w:val="00A33879"/>
    <w:rsid w:val="00A357B4"/>
    <w:rsid w:val="00A412E5"/>
    <w:rsid w:val="00A41FF0"/>
    <w:rsid w:val="00A45B22"/>
    <w:rsid w:val="00A512C4"/>
    <w:rsid w:val="00A64C27"/>
    <w:rsid w:val="00A72B1A"/>
    <w:rsid w:val="00A73700"/>
    <w:rsid w:val="00A85039"/>
    <w:rsid w:val="00A85932"/>
    <w:rsid w:val="00A97247"/>
    <w:rsid w:val="00AA02D1"/>
    <w:rsid w:val="00AA2D5E"/>
    <w:rsid w:val="00AC0847"/>
    <w:rsid w:val="00AC2001"/>
    <w:rsid w:val="00AD21A0"/>
    <w:rsid w:val="00AD3048"/>
    <w:rsid w:val="00AD4052"/>
    <w:rsid w:val="00AF26C6"/>
    <w:rsid w:val="00B01FBE"/>
    <w:rsid w:val="00B04D95"/>
    <w:rsid w:val="00B22FB5"/>
    <w:rsid w:val="00B27327"/>
    <w:rsid w:val="00B400BA"/>
    <w:rsid w:val="00B45EAA"/>
    <w:rsid w:val="00B73E72"/>
    <w:rsid w:val="00BA7CEF"/>
    <w:rsid w:val="00BB015C"/>
    <w:rsid w:val="00BC45EE"/>
    <w:rsid w:val="00BD5B67"/>
    <w:rsid w:val="00C05C3F"/>
    <w:rsid w:val="00C2159F"/>
    <w:rsid w:val="00C30121"/>
    <w:rsid w:val="00C4366E"/>
    <w:rsid w:val="00C50058"/>
    <w:rsid w:val="00C5104A"/>
    <w:rsid w:val="00C55319"/>
    <w:rsid w:val="00C563D3"/>
    <w:rsid w:val="00C75ED9"/>
    <w:rsid w:val="00C77906"/>
    <w:rsid w:val="00C802C6"/>
    <w:rsid w:val="00C807AE"/>
    <w:rsid w:val="00C90CB6"/>
    <w:rsid w:val="00CA1512"/>
    <w:rsid w:val="00CC27C3"/>
    <w:rsid w:val="00CE0270"/>
    <w:rsid w:val="00CE0CB0"/>
    <w:rsid w:val="00CE68B5"/>
    <w:rsid w:val="00CF32C4"/>
    <w:rsid w:val="00CF3B1E"/>
    <w:rsid w:val="00D05787"/>
    <w:rsid w:val="00D35B4C"/>
    <w:rsid w:val="00D3616C"/>
    <w:rsid w:val="00D41C90"/>
    <w:rsid w:val="00D7109E"/>
    <w:rsid w:val="00D75879"/>
    <w:rsid w:val="00D86EE5"/>
    <w:rsid w:val="00D92DF7"/>
    <w:rsid w:val="00D945B2"/>
    <w:rsid w:val="00DA16D2"/>
    <w:rsid w:val="00DA24B0"/>
    <w:rsid w:val="00DB29D2"/>
    <w:rsid w:val="00DE422C"/>
    <w:rsid w:val="00E02AF0"/>
    <w:rsid w:val="00E07D81"/>
    <w:rsid w:val="00E11A58"/>
    <w:rsid w:val="00E12229"/>
    <w:rsid w:val="00E1544E"/>
    <w:rsid w:val="00E156E7"/>
    <w:rsid w:val="00E167BE"/>
    <w:rsid w:val="00E324D1"/>
    <w:rsid w:val="00E50CD4"/>
    <w:rsid w:val="00E61D60"/>
    <w:rsid w:val="00E761F0"/>
    <w:rsid w:val="00E76D51"/>
    <w:rsid w:val="00E81C86"/>
    <w:rsid w:val="00E93261"/>
    <w:rsid w:val="00E946BA"/>
    <w:rsid w:val="00ED1698"/>
    <w:rsid w:val="00ED2F6B"/>
    <w:rsid w:val="00ED40C0"/>
    <w:rsid w:val="00F014CE"/>
    <w:rsid w:val="00F02233"/>
    <w:rsid w:val="00F07504"/>
    <w:rsid w:val="00F32726"/>
    <w:rsid w:val="00F40E2B"/>
    <w:rsid w:val="00F44340"/>
    <w:rsid w:val="00F47E68"/>
    <w:rsid w:val="00F56EA2"/>
    <w:rsid w:val="00F6363B"/>
    <w:rsid w:val="00F71A07"/>
    <w:rsid w:val="00F83385"/>
    <w:rsid w:val="00F85697"/>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41F"/>
  <w15:chartTrackingRefBased/>
  <w15:docId w15:val="{D5CAD12E-61C3-4F77-909D-3EA37ED1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186387"/>
  </w:style>
  <w:style w:type="character" w:customStyle="1" w:styleId="ts-alignment-element-highlighted">
    <w:name w:val="ts-alignment-element-highlighted"/>
    <w:basedOn w:val="DefaultParagraphFont"/>
    <w:rsid w:val="00186387"/>
  </w:style>
  <w:style w:type="paragraph" w:styleId="Header">
    <w:name w:val="header"/>
    <w:basedOn w:val="Normal"/>
    <w:link w:val="HeaderChar"/>
    <w:uiPriority w:val="99"/>
    <w:unhideWhenUsed/>
    <w:rsid w:val="00D9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F7"/>
  </w:style>
  <w:style w:type="paragraph" w:styleId="Footer">
    <w:name w:val="footer"/>
    <w:basedOn w:val="Normal"/>
    <w:link w:val="FooterChar"/>
    <w:uiPriority w:val="99"/>
    <w:unhideWhenUsed/>
    <w:rsid w:val="00D9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F7"/>
  </w:style>
  <w:style w:type="table" w:styleId="TableGrid">
    <w:name w:val="Table Grid"/>
    <w:basedOn w:val="TableNormal"/>
    <w:uiPriority w:val="59"/>
    <w:unhideWhenUsed/>
    <w:rsid w:val="008C1C00"/>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7D8"/>
    <w:rPr>
      <w:color w:val="808080"/>
    </w:rPr>
  </w:style>
  <w:style w:type="table" w:styleId="TableSimple1">
    <w:name w:val="Table Simple 1"/>
    <w:basedOn w:val="TableNormal"/>
    <w:rsid w:val="00D05787"/>
    <w:pPr>
      <w:spacing w:after="0" w:line="240" w:lineRule="auto"/>
    </w:pPr>
    <w:rPr>
      <w:rFonts w:ascii="Times New Roman" w:eastAsia="Times New Roman" w:hAnsi="Times New Roman" w:cs="Times New Roman"/>
      <w:sz w:val="20"/>
      <w:szCs w:val="20"/>
      <w:lang w:val="fr-CA" w:eastAsia="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basedOn w:val="DefaultParagraphFont"/>
    <w:qFormat/>
    <w:rsid w:val="00781434"/>
    <w:rPr>
      <w:b/>
      <w:bCs/>
      <w:i w:val="0"/>
      <w:iCs w:val="0"/>
    </w:rPr>
  </w:style>
  <w:style w:type="paragraph" w:customStyle="1" w:styleId="HeadingNumbering1">
    <w:name w:val="Heading Numbering 1"/>
    <w:basedOn w:val="Normal"/>
    <w:link w:val="HeadingNumbering1Char"/>
    <w:qFormat/>
    <w:rsid w:val="00BA7CEF"/>
    <w:pPr>
      <w:widowControl w:val="0"/>
      <w:numPr>
        <w:numId w:val="1"/>
      </w:numPr>
      <w:adjustRightInd w:val="0"/>
      <w:spacing w:after="0"/>
      <w:jc w:val="both"/>
      <w:textAlignment w:val="baseline"/>
    </w:pPr>
    <w:rPr>
      <w:rFonts w:ascii="Times New Roman" w:eastAsia="PMingLiU" w:hAnsi="Times New Roman" w:cs="Times New Roman"/>
      <w:b/>
      <w:sz w:val="30"/>
      <w:szCs w:val="30"/>
      <w:lang w:eastAsia="zh-TW"/>
    </w:rPr>
  </w:style>
  <w:style w:type="paragraph" w:customStyle="1" w:styleId="HeadingNumbering2">
    <w:name w:val="Heading Numbering 2"/>
    <w:basedOn w:val="HeadingNumbering1"/>
    <w:qFormat/>
    <w:rsid w:val="00BA7CEF"/>
    <w:pPr>
      <w:numPr>
        <w:ilvl w:val="1"/>
      </w:numPr>
      <w:tabs>
        <w:tab w:val="num" w:pos="360"/>
      </w:tabs>
      <w:ind w:left="720"/>
    </w:pPr>
    <w:rPr>
      <w:sz w:val="24"/>
    </w:rPr>
  </w:style>
  <w:style w:type="character" w:customStyle="1" w:styleId="HeadingNumbering1Char">
    <w:name w:val="Heading Numbering 1 Char"/>
    <w:link w:val="HeadingNumbering1"/>
    <w:rsid w:val="00BA7CEF"/>
    <w:rPr>
      <w:rFonts w:ascii="Times New Roman" w:eastAsia="PMingLiU" w:hAnsi="Times New Roman" w:cs="Times New Roman"/>
      <w:b/>
      <w:sz w:val="30"/>
      <w:szCs w:val="30"/>
      <w:lang w:eastAsia="zh-TW"/>
    </w:rPr>
  </w:style>
  <w:style w:type="paragraph" w:customStyle="1" w:styleId="HeadingNumbering3">
    <w:name w:val="Heading Numbering 3"/>
    <w:basedOn w:val="HeadingNumbering1"/>
    <w:qFormat/>
    <w:rsid w:val="00BA7CEF"/>
    <w:pPr>
      <w:numPr>
        <w:ilvl w:val="2"/>
      </w:numPr>
      <w:tabs>
        <w:tab w:val="num" w:pos="360"/>
      </w:tabs>
      <w:ind w:left="720"/>
    </w:pPr>
    <w:rPr>
      <w:sz w:val="24"/>
    </w:rPr>
  </w:style>
  <w:style w:type="character" w:customStyle="1" w:styleId="A6">
    <w:name w:val="A6"/>
    <w:uiPriority w:val="99"/>
    <w:rsid w:val="00D35B4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8FB7-C74C-48A8-9FA3-F2DB3187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19</Pages>
  <Words>8960</Words>
  <Characters>49283</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cp:lastPrinted>2021-04-05T03:20:00Z</cp:lastPrinted>
  <dcterms:created xsi:type="dcterms:W3CDTF">2021-05-06T20:47:00Z</dcterms:created>
  <dcterms:modified xsi:type="dcterms:W3CDTF">2021-05-07T20:34:00Z</dcterms:modified>
</cp:coreProperties>
</file>