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2D" w:rsidRPr="00DE44E1" w:rsidRDefault="00DE5AAF" w:rsidP="00DE5AAF">
      <w:pPr>
        <w:pStyle w:val="Titolo"/>
        <w:tabs>
          <w:tab w:val="left" w:pos="425"/>
        </w:tabs>
        <w:rPr>
          <w:rFonts w:ascii="Times New Roman" w:hAnsi="Times New Roman"/>
          <w:b/>
          <w:bCs/>
          <w:sz w:val="24"/>
          <w:szCs w:val="24"/>
          <w:lang w:val="en-US"/>
        </w:rPr>
      </w:pPr>
      <w:r w:rsidRPr="00DE44E1">
        <w:rPr>
          <w:rFonts w:ascii="Times New Roman" w:hAnsi="Times New Roman"/>
          <w:b/>
          <w:bCs/>
          <w:sz w:val="24"/>
          <w:szCs w:val="24"/>
          <w:lang w:val="en-US"/>
        </w:rPr>
        <w:t>EXPECTED COST OF FINANCIAL DISTRESS IN SME</w:t>
      </w:r>
      <w:r w:rsidR="00675D6A" w:rsidRPr="00DE44E1">
        <w:rPr>
          <w:rFonts w:ascii="Times New Roman" w:hAnsi="Times New Roman"/>
          <w:b/>
          <w:bCs/>
          <w:sz w:val="24"/>
          <w:szCs w:val="24"/>
          <w:lang w:val="en-US"/>
        </w:rPr>
        <w:t>s</w:t>
      </w:r>
      <w:r w:rsidR="00EB3EF8" w:rsidRPr="00DE44E1">
        <w:rPr>
          <w:rFonts w:ascii="Times New Roman" w:hAnsi="Times New Roman"/>
          <w:b/>
          <w:bCs/>
          <w:sz w:val="24"/>
          <w:szCs w:val="24"/>
          <w:lang w:val="en-US"/>
        </w:rPr>
        <w:t xml:space="preserve">. </w:t>
      </w:r>
      <w:r w:rsidRPr="00DE44E1">
        <w:rPr>
          <w:rFonts w:ascii="Times New Roman" w:hAnsi="Times New Roman"/>
          <w:b/>
          <w:bCs/>
          <w:sz w:val="24"/>
          <w:szCs w:val="24"/>
          <w:lang w:val="en-US"/>
        </w:rPr>
        <w:t xml:space="preserve">A </w:t>
      </w:r>
      <w:r w:rsidR="001462C6" w:rsidRPr="00DE44E1">
        <w:rPr>
          <w:rFonts w:ascii="Times New Roman" w:hAnsi="Times New Roman"/>
          <w:b/>
          <w:bCs/>
          <w:sz w:val="24"/>
          <w:szCs w:val="24"/>
          <w:lang w:val="en-US"/>
        </w:rPr>
        <w:t>GERMAN-ITALIAN</w:t>
      </w:r>
      <w:r w:rsidRPr="00DE44E1">
        <w:rPr>
          <w:rFonts w:ascii="Times New Roman" w:hAnsi="Times New Roman"/>
          <w:b/>
          <w:bCs/>
          <w:sz w:val="24"/>
          <w:szCs w:val="24"/>
          <w:lang w:val="en-US"/>
        </w:rPr>
        <w:t xml:space="preserve"> </w:t>
      </w:r>
      <w:r w:rsidR="001462C6" w:rsidRPr="00DE44E1">
        <w:rPr>
          <w:rFonts w:ascii="Times New Roman" w:hAnsi="Times New Roman"/>
          <w:b/>
          <w:bCs/>
          <w:sz w:val="24"/>
          <w:szCs w:val="24"/>
          <w:lang w:val="en-US"/>
        </w:rPr>
        <w:t>COMPARISON</w:t>
      </w:r>
    </w:p>
    <w:p w:rsidR="005461ED" w:rsidRPr="00DE44E1" w:rsidRDefault="005461ED" w:rsidP="005461ED">
      <w:pPr>
        <w:spacing w:after="0" w:line="240" w:lineRule="auto"/>
        <w:ind w:left="705"/>
        <w:rPr>
          <w:rFonts w:ascii="Times New Roman" w:hAnsi="Times New Roman"/>
          <w:sz w:val="24"/>
          <w:szCs w:val="24"/>
          <w:lang w:val="en-US"/>
        </w:rPr>
      </w:pPr>
    </w:p>
    <w:p w:rsidR="0012778B" w:rsidRPr="00DE44E1" w:rsidRDefault="0012778B" w:rsidP="004760D1">
      <w:pPr>
        <w:widowControl w:val="0"/>
        <w:tabs>
          <w:tab w:val="left" w:pos="425"/>
        </w:tabs>
        <w:spacing w:after="0" w:line="240" w:lineRule="auto"/>
        <w:jc w:val="both"/>
        <w:rPr>
          <w:rFonts w:ascii="Times New Roman" w:hAnsi="Times New Roman"/>
          <w:smallCaps/>
          <w:lang w:val="en-US"/>
        </w:rPr>
      </w:pPr>
    </w:p>
    <w:p w:rsidR="005461ED" w:rsidRPr="00DE44E1" w:rsidRDefault="005461ED" w:rsidP="004760D1">
      <w:pPr>
        <w:widowControl w:val="0"/>
        <w:tabs>
          <w:tab w:val="left" w:pos="425"/>
        </w:tabs>
        <w:spacing w:after="0" w:line="240" w:lineRule="auto"/>
        <w:jc w:val="both"/>
        <w:rPr>
          <w:rFonts w:ascii="Times New Roman" w:hAnsi="Times New Roman"/>
          <w:smallCaps/>
          <w:lang w:val="en-US"/>
        </w:rPr>
      </w:pPr>
    </w:p>
    <w:p w:rsidR="003456A5" w:rsidRPr="00DE44E1" w:rsidRDefault="003456A5" w:rsidP="003456A5">
      <w:pPr>
        <w:spacing w:after="0" w:line="240" w:lineRule="auto"/>
        <w:jc w:val="both"/>
        <w:rPr>
          <w:rFonts w:ascii="Times New Roman" w:hAnsi="Times New Roman"/>
          <w:sz w:val="24"/>
          <w:szCs w:val="24"/>
          <w:lang w:val="en-US"/>
        </w:rPr>
      </w:pPr>
      <w:r w:rsidRPr="00DE44E1">
        <w:rPr>
          <w:rFonts w:ascii="Times New Roman" w:hAnsi="Times New Roman"/>
          <w:b/>
          <w:sz w:val="24"/>
          <w:szCs w:val="24"/>
          <w:lang w:val="en-US"/>
        </w:rPr>
        <w:t>JEL Classification</w:t>
      </w:r>
      <w:r w:rsidRPr="00DE44E1">
        <w:rPr>
          <w:rFonts w:ascii="Times New Roman" w:hAnsi="Times New Roman"/>
          <w:sz w:val="24"/>
          <w:szCs w:val="24"/>
          <w:lang w:val="en-US"/>
        </w:rPr>
        <w:t>: C33, G32</w:t>
      </w:r>
    </w:p>
    <w:p w:rsidR="003456A5" w:rsidRDefault="003456A5" w:rsidP="004760D1">
      <w:pPr>
        <w:widowControl w:val="0"/>
        <w:tabs>
          <w:tab w:val="left" w:pos="425"/>
        </w:tabs>
        <w:spacing w:after="0" w:line="240" w:lineRule="auto"/>
        <w:rPr>
          <w:rFonts w:ascii="Times New Roman" w:hAnsi="Times New Roman"/>
          <w:b/>
          <w:bCs/>
          <w:sz w:val="24"/>
          <w:szCs w:val="24"/>
          <w:lang w:val="en-US"/>
        </w:rPr>
      </w:pPr>
    </w:p>
    <w:p w:rsidR="00413595" w:rsidRPr="00DE44E1" w:rsidRDefault="00413595" w:rsidP="004760D1">
      <w:pPr>
        <w:widowControl w:val="0"/>
        <w:tabs>
          <w:tab w:val="left" w:pos="425"/>
        </w:tabs>
        <w:spacing w:after="0" w:line="240" w:lineRule="auto"/>
        <w:rPr>
          <w:rFonts w:ascii="Times New Roman" w:hAnsi="Times New Roman"/>
          <w:b/>
          <w:bCs/>
          <w:lang w:val="en-US"/>
        </w:rPr>
      </w:pPr>
      <w:r w:rsidRPr="00DE44E1">
        <w:rPr>
          <w:rFonts w:ascii="Times New Roman" w:hAnsi="Times New Roman"/>
          <w:b/>
          <w:bCs/>
          <w:sz w:val="24"/>
          <w:szCs w:val="24"/>
          <w:lang w:val="en-US"/>
        </w:rPr>
        <w:t>Abstract</w:t>
      </w:r>
    </w:p>
    <w:p w:rsidR="00413595" w:rsidRPr="00DE44E1" w:rsidRDefault="00413595" w:rsidP="00EB3EF8">
      <w:pPr>
        <w:widowControl w:val="0"/>
        <w:tabs>
          <w:tab w:val="left" w:pos="425"/>
        </w:tabs>
        <w:spacing w:after="0" w:line="240" w:lineRule="auto"/>
        <w:jc w:val="both"/>
        <w:rPr>
          <w:rFonts w:ascii="Times New Roman" w:hAnsi="Times New Roman"/>
          <w:sz w:val="24"/>
          <w:szCs w:val="24"/>
          <w:lang w:val="en-US"/>
        </w:rPr>
      </w:pPr>
      <w:r w:rsidRPr="00DE44E1">
        <w:rPr>
          <w:rFonts w:ascii="Times New Roman" w:hAnsi="Times New Roman"/>
          <w:b/>
          <w:bCs/>
          <w:sz w:val="24"/>
          <w:szCs w:val="24"/>
          <w:lang w:val="en-US"/>
        </w:rPr>
        <w:t>Objectives</w:t>
      </w:r>
      <w:r w:rsidR="00EB3EF8" w:rsidRPr="00DE44E1">
        <w:rPr>
          <w:rFonts w:ascii="Times New Roman" w:hAnsi="Times New Roman"/>
          <w:b/>
          <w:bCs/>
          <w:sz w:val="24"/>
          <w:szCs w:val="24"/>
          <w:lang w:val="en-US"/>
        </w:rPr>
        <w:t xml:space="preserve"> - </w:t>
      </w:r>
      <w:r w:rsidR="004E316C" w:rsidRPr="00DE44E1">
        <w:rPr>
          <w:rFonts w:ascii="Times New Roman" w:hAnsi="Times New Roman"/>
          <w:sz w:val="24"/>
          <w:szCs w:val="24"/>
          <w:lang w:val="en-US"/>
        </w:rPr>
        <w:t>The aim of our study is to identify a number of qualitative and quantitative elements that affect financial distress costs between Italian and German small and medium-sized enterprises (SMEs).</w:t>
      </w:r>
    </w:p>
    <w:p w:rsidR="00413595" w:rsidRPr="00DE44E1" w:rsidRDefault="00413595" w:rsidP="00EB3EF8">
      <w:pPr>
        <w:tabs>
          <w:tab w:val="left" w:pos="425"/>
        </w:tabs>
        <w:spacing w:after="0" w:line="240" w:lineRule="auto"/>
        <w:jc w:val="both"/>
        <w:rPr>
          <w:rFonts w:ascii="Times New Roman" w:hAnsi="Times New Roman"/>
          <w:sz w:val="24"/>
          <w:szCs w:val="24"/>
          <w:lang w:val="en-US"/>
        </w:rPr>
      </w:pPr>
      <w:r w:rsidRPr="00DE44E1">
        <w:rPr>
          <w:rFonts w:ascii="Times New Roman" w:hAnsi="Times New Roman"/>
          <w:b/>
          <w:bCs/>
          <w:sz w:val="24"/>
          <w:szCs w:val="24"/>
          <w:lang w:val="en-US"/>
        </w:rPr>
        <w:t>Methodology</w:t>
      </w:r>
      <w:r w:rsidR="00EB3EF8" w:rsidRPr="00DE44E1">
        <w:rPr>
          <w:rFonts w:ascii="Times New Roman" w:hAnsi="Times New Roman"/>
          <w:b/>
          <w:bCs/>
          <w:sz w:val="24"/>
          <w:szCs w:val="24"/>
          <w:lang w:val="en-US"/>
        </w:rPr>
        <w:t xml:space="preserve"> - </w:t>
      </w:r>
      <w:r w:rsidR="000A1F31" w:rsidRPr="00DE44E1">
        <w:rPr>
          <w:rFonts w:ascii="Times New Roman" w:hAnsi="Times New Roman"/>
          <w:sz w:val="24"/>
          <w:szCs w:val="24"/>
          <w:lang w:val="en-US"/>
        </w:rPr>
        <w:t xml:space="preserve">We propose a model that interprets “expected costs” as the product between “expected financial distress likelihood” and “total amount of financial distress costs due to insolvency”. </w:t>
      </w:r>
      <w:r w:rsidR="00E8532F" w:rsidRPr="00DE44E1">
        <w:rPr>
          <w:rFonts w:ascii="Times New Roman" w:hAnsi="Times New Roman"/>
          <w:sz w:val="24"/>
          <w:szCs w:val="24"/>
          <w:lang w:val="en-US"/>
        </w:rPr>
        <w:t>The model is estimated using panel data methodology on samples from two European countries (Italy and Germany).</w:t>
      </w:r>
    </w:p>
    <w:p w:rsidR="00B24807" w:rsidRPr="00DE44E1" w:rsidRDefault="00413595" w:rsidP="00EB3EF8">
      <w:pPr>
        <w:widowControl w:val="0"/>
        <w:tabs>
          <w:tab w:val="left" w:pos="425"/>
        </w:tabs>
        <w:spacing w:after="0" w:line="240" w:lineRule="auto"/>
        <w:jc w:val="both"/>
        <w:rPr>
          <w:rFonts w:ascii="Times New Roman" w:hAnsi="Times New Roman"/>
          <w:sz w:val="24"/>
          <w:szCs w:val="24"/>
          <w:lang w:val="en-US"/>
        </w:rPr>
      </w:pPr>
      <w:r w:rsidRPr="00DE44E1">
        <w:rPr>
          <w:rFonts w:ascii="Times New Roman" w:hAnsi="Times New Roman"/>
          <w:b/>
          <w:bCs/>
          <w:sz w:val="24"/>
          <w:szCs w:val="24"/>
          <w:lang w:val="en-US"/>
        </w:rPr>
        <w:t>Findings</w:t>
      </w:r>
      <w:r w:rsidR="00EB3EF8" w:rsidRPr="00DE44E1">
        <w:rPr>
          <w:rFonts w:ascii="Times New Roman" w:hAnsi="Times New Roman"/>
          <w:b/>
          <w:bCs/>
          <w:sz w:val="24"/>
          <w:szCs w:val="24"/>
          <w:lang w:val="en-US"/>
        </w:rPr>
        <w:t xml:space="preserve"> - </w:t>
      </w:r>
      <w:r w:rsidR="00E8532F" w:rsidRPr="00DE44E1">
        <w:rPr>
          <w:rFonts w:ascii="Times New Roman" w:hAnsi="Times New Roman"/>
          <w:sz w:val="24"/>
          <w:szCs w:val="24"/>
          <w:lang w:val="en-US"/>
        </w:rPr>
        <w:t xml:space="preserve">The results indicate that </w:t>
      </w:r>
      <w:r w:rsidR="001E273E" w:rsidRPr="00DE44E1">
        <w:rPr>
          <w:rFonts w:ascii="Times New Roman" w:hAnsi="Times New Roman"/>
          <w:sz w:val="24"/>
          <w:szCs w:val="24"/>
          <w:lang w:val="en-US"/>
        </w:rPr>
        <w:t xml:space="preserve">expected costs </w:t>
      </w:r>
      <w:r w:rsidR="00E8532F" w:rsidRPr="00DE44E1">
        <w:rPr>
          <w:rFonts w:ascii="Times New Roman" w:hAnsi="Times New Roman"/>
          <w:sz w:val="24"/>
          <w:szCs w:val="24"/>
          <w:lang w:val="en-US"/>
        </w:rPr>
        <w:t>depend on the use derivative financial instruments, use intangible assets and to relation with local banks (small local banks rat</w:t>
      </w:r>
      <w:r w:rsidR="00F47CC4" w:rsidRPr="00DE44E1">
        <w:rPr>
          <w:rFonts w:ascii="Times New Roman" w:hAnsi="Times New Roman"/>
          <w:sz w:val="24"/>
          <w:szCs w:val="24"/>
          <w:lang w:val="en-US"/>
        </w:rPr>
        <w:t>her than large banking groups); in particular, the results obtained from cross</w:t>
      </w:r>
      <w:r w:rsidR="00F47CC4" w:rsidRPr="00DE44E1">
        <w:rPr>
          <w:rFonts w:ascii="Cambria Math" w:hAnsi="Cambria Math" w:cs="Cambria Math"/>
          <w:sz w:val="24"/>
          <w:szCs w:val="24"/>
          <w:lang w:val="en-US"/>
        </w:rPr>
        <w:t>‐</w:t>
      </w:r>
      <w:r w:rsidR="00F47CC4" w:rsidRPr="00DE44E1">
        <w:rPr>
          <w:rFonts w:ascii="Times New Roman" w:hAnsi="Times New Roman"/>
          <w:sz w:val="24"/>
          <w:szCs w:val="24"/>
          <w:lang w:val="en-US"/>
        </w:rPr>
        <w:t xml:space="preserve">country comparison shows that German SMEs </w:t>
      </w:r>
      <w:r w:rsidR="001462C6" w:rsidRPr="00DE44E1">
        <w:rPr>
          <w:rFonts w:ascii="Times New Roman" w:hAnsi="Times New Roman"/>
          <w:sz w:val="24"/>
          <w:szCs w:val="24"/>
          <w:lang w:val="en-US"/>
        </w:rPr>
        <w:t xml:space="preserve">(or Mittelstand companies) </w:t>
      </w:r>
      <w:r w:rsidR="00F47CC4" w:rsidRPr="00DE44E1">
        <w:rPr>
          <w:rFonts w:ascii="Times New Roman" w:hAnsi="Times New Roman"/>
          <w:sz w:val="24"/>
          <w:szCs w:val="24"/>
          <w:lang w:val="en-US"/>
        </w:rPr>
        <w:t>have characteristics that limit financial distress costs.</w:t>
      </w:r>
    </w:p>
    <w:p w:rsidR="00403819" w:rsidRPr="00DE44E1" w:rsidRDefault="00413595" w:rsidP="00EB3EF8">
      <w:pPr>
        <w:widowControl w:val="0"/>
        <w:tabs>
          <w:tab w:val="left" w:pos="425"/>
        </w:tabs>
        <w:spacing w:after="0" w:line="240" w:lineRule="auto"/>
        <w:jc w:val="both"/>
        <w:rPr>
          <w:rFonts w:ascii="Times New Roman" w:hAnsi="Times New Roman"/>
          <w:sz w:val="24"/>
          <w:szCs w:val="24"/>
          <w:lang w:val="en-US"/>
        </w:rPr>
      </w:pPr>
      <w:r w:rsidRPr="00DE44E1">
        <w:rPr>
          <w:rFonts w:ascii="Times New Roman" w:hAnsi="Times New Roman"/>
          <w:b/>
          <w:bCs/>
          <w:sz w:val="24"/>
          <w:szCs w:val="24"/>
          <w:lang w:val="en-US"/>
        </w:rPr>
        <w:t>Research limits</w:t>
      </w:r>
      <w:r w:rsidR="00EB3EF8" w:rsidRPr="00DE44E1">
        <w:rPr>
          <w:rFonts w:ascii="Times New Roman" w:hAnsi="Times New Roman"/>
          <w:b/>
          <w:bCs/>
          <w:sz w:val="24"/>
          <w:szCs w:val="24"/>
          <w:lang w:val="en-US"/>
        </w:rPr>
        <w:t xml:space="preserve"> - </w:t>
      </w:r>
      <w:r w:rsidR="00AE742D" w:rsidRPr="00DE44E1">
        <w:rPr>
          <w:rFonts w:ascii="Times New Roman" w:hAnsi="Times New Roman"/>
          <w:sz w:val="24"/>
          <w:szCs w:val="24"/>
          <w:lang w:val="en-US"/>
        </w:rPr>
        <w:t>It should be emphasized that the present work limits its field of investigation to a few variables without fully addressing other elements of uncertainty</w:t>
      </w:r>
      <w:r w:rsidR="00403819" w:rsidRPr="00DE44E1">
        <w:rPr>
          <w:rFonts w:ascii="Times New Roman" w:hAnsi="Times New Roman"/>
          <w:sz w:val="24"/>
          <w:szCs w:val="24"/>
          <w:lang w:val="en-US"/>
        </w:rPr>
        <w:t xml:space="preserve"> which may adversely affect the expected cost of financial distress in SMEs.</w:t>
      </w:r>
    </w:p>
    <w:p w:rsidR="00413595" w:rsidRPr="00DE44E1" w:rsidRDefault="00413595" w:rsidP="00EB3EF8">
      <w:pPr>
        <w:widowControl w:val="0"/>
        <w:tabs>
          <w:tab w:val="left" w:pos="425"/>
        </w:tabs>
        <w:spacing w:after="0" w:line="240" w:lineRule="auto"/>
        <w:jc w:val="both"/>
        <w:rPr>
          <w:rFonts w:ascii="Times New Roman" w:hAnsi="Times New Roman"/>
          <w:sz w:val="24"/>
          <w:szCs w:val="24"/>
          <w:lang w:val="en-US"/>
        </w:rPr>
      </w:pPr>
      <w:r w:rsidRPr="00DE44E1">
        <w:rPr>
          <w:rFonts w:ascii="Times New Roman" w:hAnsi="Times New Roman"/>
          <w:b/>
          <w:bCs/>
          <w:sz w:val="24"/>
          <w:szCs w:val="24"/>
          <w:lang w:val="en-US"/>
        </w:rPr>
        <w:t>Practical implications</w:t>
      </w:r>
      <w:r w:rsidR="00EB3EF8" w:rsidRPr="00DE44E1">
        <w:rPr>
          <w:rFonts w:ascii="Times New Roman" w:hAnsi="Times New Roman"/>
          <w:b/>
          <w:bCs/>
          <w:sz w:val="24"/>
          <w:szCs w:val="24"/>
          <w:lang w:val="en-US"/>
        </w:rPr>
        <w:t xml:space="preserve"> - </w:t>
      </w:r>
      <w:r w:rsidR="009D4597" w:rsidRPr="00DE44E1">
        <w:rPr>
          <w:rFonts w:ascii="Times New Roman" w:hAnsi="Times New Roman"/>
          <w:sz w:val="24"/>
          <w:szCs w:val="24"/>
          <w:lang w:val="en-US"/>
        </w:rPr>
        <w:t>This work will be useful to stimulate debate on policies to support SMEs.</w:t>
      </w:r>
    </w:p>
    <w:p w:rsidR="00413595" w:rsidRPr="00DE44E1" w:rsidRDefault="00413595" w:rsidP="00EB3EF8">
      <w:pPr>
        <w:widowControl w:val="0"/>
        <w:tabs>
          <w:tab w:val="left" w:pos="425"/>
        </w:tabs>
        <w:spacing w:after="0" w:line="240" w:lineRule="auto"/>
        <w:jc w:val="both"/>
        <w:rPr>
          <w:rFonts w:ascii="Times New Roman" w:hAnsi="Times New Roman"/>
          <w:sz w:val="24"/>
          <w:szCs w:val="24"/>
          <w:lang w:val="en-US"/>
        </w:rPr>
      </w:pPr>
      <w:r w:rsidRPr="00DE44E1">
        <w:rPr>
          <w:rFonts w:ascii="Times New Roman" w:hAnsi="Times New Roman"/>
          <w:b/>
          <w:bCs/>
          <w:sz w:val="24"/>
          <w:szCs w:val="24"/>
          <w:lang w:val="en-US"/>
        </w:rPr>
        <w:t>Originality of the study</w:t>
      </w:r>
      <w:r w:rsidR="00EB3EF8" w:rsidRPr="00DE44E1">
        <w:rPr>
          <w:rFonts w:ascii="Times New Roman" w:hAnsi="Times New Roman"/>
          <w:b/>
          <w:bCs/>
          <w:sz w:val="24"/>
          <w:szCs w:val="24"/>
          <w:lang w:val="en-US"/>
        </w:rPr>
        <w:t xml:space="preserve"> - </w:t>
      </w:r>
      <w:r w:rsidR="00E1226B" w:rsidRPr="00DE44E1">
        <w:rPr>
          <w:rFonts w:ascii="Times New Roman" w:hAnsi="Times New Roman"/>
          <w:sz w:val="24"/>
          <w:szCs w:val="24"/>
          <w:lang w:val="en-US"/>
        </w:rPr>
        <w:t xml:space="preserve">The originality of this study is to focus on determinants of financial distress </w:t>
      </w:r>
      <w:r w:rsidR="00AF269C" w:rsidRPr="00DE44E1">
        <w:rPr>
          <w:rFonts w:ascii="Times New Roman" w:hAnsi="Times New Roman"/>
          <w:sz w:val="24"/>
          <w:szCs w:val="24"/>
          <w:lang w:val="en-US"/>
        </w:rPr>
        <w:t xml:space="preserve">in SMEs </w:t>
      </w:r>
      <w:r w:rsidR="00E1226B" w:rsidRPr="00DE44E1">
        <w:rPr>
          <w:rFonts w:ascii="Times New Roman" w:hAnsi="Times New Roman"/>
          <w:sz w:val="24"/>
          <w:szCs w:val="24"/>
          <w:lang w:val="en-US"/>
        </w:rPr>
        <w:t>using panel data methodology.</w:t>
      </w:r>
    </w:p>
    <w:p w:rsidR="003456A5" w:rsidRDefault="003456A5" w:rsidP="004760D1">
      <w:pPr>
        <w:widowControl w:val="0"/>
        <w:tabs>
          <w:tab w:val="left" w:pos="425"/>
        </w:tabs>
        <w:spacing w:after="0" w:line="240" w:lineRule="auto"/>
        <w:jc w:val="both"/>
        <w:rPr>
          <w:rFonts w:ascii="Times New Roman" w:hAnsi="Times New Roman"/>
          <w:b/>
          <w:bCs/>
          <w:sz w:val="24"/>
          <w:szCs w:val="24"/>
          <w:lang w:val="en-US"/>
        </w:rPr>
      </w:pPr>
    </w:p>
    <w:p w:rsidR="00413595" w:rsidRDefault="00EB3EF8" w:rsidP="004760D1">
      <w:pPr>
        <w:widowControl w:val="0"/>
        <w:tabs>
          <w:tab w:val="left" w:pos="425"/>
        </w:tabs>
        <w:spacing w:after="0" w:line="240" w:lineRule="auto"/>
        <w:jc w:val="both"/>
        <w:rPr>
          <w:rFonts w:ascii="Times New Roman" w:hAnsi="Times New Roman"/>
          <w:sz w:val="24"/>
          <w:szCs w:val="24"/>
          <w:lang w:val="en-US"/>
        </w:rPr>
      </w:pPr>
      <w:r w:rsidRPr="00DE44E1">
        <w:rPr>
          <w:rFonts w:ascii="Times New Roman" w:hAnsi="Times New Roman"/>
          <w:b/>
          <w:bCs/>
          <w:sz w:val="24"/>
          <w:szCs w:val="24"/>
          <w:lang w:val="en-US"/>
        </w:rPr>
        <w:t>Key</w:t>
      </w:r>
      <w:r w:rsidR="00413595" w:rsidRPr="00DE44E1">
        <w:rPr>
          <w:rFonts w:ascii="Times New Roman" w:hAnsi="Times New Roman"/>
          <w:b/>
          <w:bCs/>
          <w:sz w:val="24"/>
          <w:szCs w:val="24"/>
          <w:lang w:val="en-US"/>
        </w:rPr>
        <w:t>words</w:t>
      </w:r>
      <w:r w:rsidR="00413595" w:rsidRPr="00DE44E1">
        <w:rPr>
          <w:rFonts w:ascii="Times New Roman" w:hAnsi="Times New Roman"/>
          <w:sz w:val="24"/>
          <w:szCs w:val="24"/>
          <w:lang w:val="en-US"/>
        </w:rPr>
        <w:t xml:space="preserve">: </w:t>
      </w:r>
      <w:r w:rsidRPr="00DE44E1">
        <w:rPr>
          <w:rFonts w:ascii="Times New Roman" w:hAnsi="Times New Roman"/>
          <w:sz w:val="24"/>
          <w:szCs w:val="24"/>
          <w:lang w:val="en-US"/>
        </w:rPr>
        <w:t>Cross</w:t>
      </w:r>
      <w:r w:rsidR="00956F09" w:rsidRPr="00DE44E1">
        <w:rPr>
          <w:rFonts w:ascii="Cambria Math" w:hAnsi="Cambria Math" w:cs="Cambria Math"/>
          <w:sz w:val="24"/>
          <w:szCs w:val="24"/>
          <w:lang w:val="en-US"/>
        </w:rPr>
        <w:t>‐</w:t>
      </w:r>
      <w:r w:rsidR="00956F09" w:rsidRPr="00DE44E1">
        <w:rPr>
          <w:rFonts w:ascii="Times New Roman" w:hAnsi="Times New Roman"/>
          <w:sz w:val="24"/>
          <w:szCs w:val="24"/>
          <w:lang w:val="en-US"/>
        </w:rPr>
        <w:t xml:space="preserve">country comparison, </w:t>
      </w:r>
      <w:r w:rsidRPr="00DE44E1">
        <w:rPr>
          <w:rFonts w:ascii="Times New Roman" w:hAnsi="Times New Roman"/>
          <w:sz w:val="24"/>
          <w:szCs w:val="24"/>
          <w:lang w:val="en-US"/>
        </w:rPr>
        <w:t>Derivative</w:t>
      </w:r>
      <w:r w:rsidR="003B0CC2" w:rsidRPr="00DE44E1">
        <w:rPr>
          <w:rFonts w:ascii="Times New Roman" w:hAnsi="Times New Roman"/>
          <w:sz w:val="24"/>
          <w:szCs w:val="24"/>
          <w:lang w:val="en-US"/>
        </w:rPr>
        <w:t xml:space="preserve"> instrument</w:t>
      </w:r>
      <w:r w:rsidR="00956F09" w:rsidRPr="00DE44E1">
        <w:rPr>
          <w:rFonts w:ascii="Times New Roman" w:hAnsi="Times New Roman"/>
          <w:sz w:val="24"/>
          <w:szCs w:val="24"/>
          <w:lang w:val="en-US"/>
        </w:rPr>
        <w:t>,</w:t>
      </w:r>
      <w:r w:rsidR="002F2E0B" w:rsidRPr="00DE44E1">
        <w:rPr>
          <w:rFonts w:ascii="Times New Roman" w:hAnsi="Times New Roman"/>
          <w:sz w:val="24"/>
          <w:szCs w:val="24"/>
          <w:lang w:val="en-US"/>
        </w:rPr>
        <w:t xml:space="preserve"> </w:t>
      </w:r>
      <w:r w:rsidRPr="00DE44E1">
        <w:rPr>
          <w:rFonts w:ascii="Times New Roman" w:hAnsi="Times New Roman"/>
          <w:sz w:val="24"/>
          <w:szCs w:val="24"/>
          <w:lang w:val="en-US"/>
        </w:rPr>
        <w:t>Expected</w:t>
      </w:r>
      <w:r w:rsidR="00956F09" w:rsidRPr="00DE44E1">
        <w:rPr>
          <w:rFonts w:ascii="Times New Roman" w:hAnsi="Times New Roman"/>
          <w:sz w:val="24"/>
          <w:szCs w:val="24"/>
          <w:lang w:val="en-US"/>
        </w:rPr>
        <w:t xml:space="preserve"> cost, </w:t>
      </w:r>
      <w:r w:rsidRPr="00DE44E1">
        <w:rPr>
          <w:rFonts w:ascii="Times New Roman" w:hAnsi="Times New Roman"/>
          <w:sz w:val="24"/>
          <w:szCs w:val="24"/>
          <w:lang w:val="en-US"/>
        </w:rPr>
        <w:t>Financial</w:t>
      </w:r>
      <w:r w:rsidR="00956F09" w:rsidRPr="00DE44E1">
        <w:rPr>
          <w:rFonts w:ascii="Times New Roman" w:hAnsi="Times New Roman"/>
          <w:sz w:val="24"/>
          <w:szCs w:val="24"/>
          <w:lang w:val="en-US"/>
        </w:rPr>
        <w:t xml:space="preserve"> distress, </w:t>
      </w:r>
      <w:r w:rsidR="005933A8" w:rsidRPr="00DE44E1">
        <w:rPr>
          <w:rFonts w:ascii="Times New Roman" w:hAnsi="Times New Roman"/>
          <w:sz w:val="24"/>
          <w:szCs w:val="24"/>
          <w:lang w:val="en-US"/>
        </w:rPr>
        <w:t>SME</w:t>
      </w:r>
    </w:p>
    <w:p w:rsidR="003456A5" w:rsidRDefault="003456A5" w:rsidP="004760D1">
      <w:pPr>
        <w:widowControl w:val="0"/>
        <w:tabs>
          <w:tab w:val="left" w:pos="425"/>
        </w:tabs>
        <w:spacing w:after="0" w:line="240" w:lineRule="auto"/>
        <w:jc w:val="both"/>
        <w:rPr>
          <w:rFonts w:ascii="Times New Roman" w:hAnsi="Times New Roman"/>
          <w:sz w:val="24"/>
          <w:szCs w:val="24"/>
          <w:lang w:val="en-US"/>
        </w:rPr>
      </w:pPr>
    </w:p>
    <w:p w:rsidR="00413595" w:rsidRPr="00DE44E1" w:rsidRDefault="00413595" w:rsidP="004760D1">
      <w:pPr>
        <w:pStyle w:val="Titolo1"/>
        <w:keepNext w:val="0"/>
        <w:widowControl w:val="0"/>
        <w:tabs>
          <w:tab w:val="left" w:pos="425"/>
        </w:tabs>
        <w:spacing w:line="240" w:lineRule="auto"/>
        <w:ind w:firstLine="426"/>
        <w:rPr>
          <w:rFonts w:ascii="Times New Roman" w:hAnsi="Times New Roman"/>
          <w:sz w:val="24"/>
          <w:szCs w:val="24"/>
          <w:lang w:val="en-US"/>
        </w:rPr>
      </w:pPr>
    </w:p>
    <w:p w:rsidR="00413595" w:rsidRDefault="0041359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070377" w:rsidRDefault="00070377" w:rsidP="004760D1">
      <w:pPr>
        <w:widowControl w:val="0"/>
        <w:tabs>
          <w:tab w:val="left" w:pos="425"/>
        </w:tabs>
        <w:spacing w:after="0" w:line="240" w:lineRule="auto"/>
        <w:ind w:firstLine="426"/>
        <w:rPr>
          <w:rFonts w:ascii="Times New Roman" w:hAnsi="Times New Roman"/>
          <w:sz w:val="24"/>
          <w:szCs w:val="24"/>
          <w:lang w:val="en-US"/>
        </w:rPr>
      </w:pPr>
    </w:p>
    <w:p w:rsidR="00070377" w:rsidRDefault="00070377" w:rsidP="004760D1">
      <w:pPr>
        <w:widowControl w:val="0"/>
        <w:tabs>
          <w:tab w:val="left" w:pos="425"/>
        </w:tabs>
        <w:spacing w:after="0" w:line="240" w:lineRule="auto"/>
        <w:ind w:firstLine="426"/>
        <w:rPr>
          <w:rFonts w:ascii="Times New Roman" w:hAnsi="Times New Roman"/>
          <w:sz w:val="24"/>
          <w:szCs w:val="24"/>
          <w:lang w:val="en-US"/>
        </w:rPr>
      </w:pPr>
    </w:p>
    <w:p w:rsidR="00C5313D" w:rsidRDefault="00C5313D" w:rsidP="004760D1">
      <w:pPr>
        <w:widowControl w:val="0"/>
        <w:tabs>
          <w:tab w:val="left" w:pos="425"/>
        </w:tabs>
        <w:spacing w:after="0" w:line="240" w:lineRule="auto"/>
        <w:ind w:firstLine="426"/>
        <w:rPr>
          <w:rFonts w:ascii="Times New Roman" w:hAnsi="Times New Roman"/>
          <w:sz w:val="24"/>
          <w:szCs w:val="24"/>
          <w:lang w:val="en-US"/>
        </w:rPr>
      </w:pPr>
    </w:p>
    <w:p w:rsidR="00070377" w:rsidRDefault="00070377" w:rsidP="004760D1">
      <w:pPr>
        <w:widowControl w:val="0"/>
        <w:tabs>
          <w:tab w:val="left" w:pos="425"/>
        </w:tabs>
        <w:spacing w:after="0" w:line="240" w:lineRule="auto"/>
        <w:ind w:firstLine="426"/>
        <w:rPr>
          <w:rFonts w:ascii="Times New Roman" w:hAnsi="Times New Roman"/>
          <w:sz w:val="24"/>
          <w:szCs w:val="24"/>
          <w:lang w:val="en-US"/>
        </w:rPr>
      </w:pPr>
    </w:p>
    <w:p w:rsidR="00070377" w:rsidRPr="00DE44E1" w:rsidRDefault="00070377" w:rsidP="00070377">
      <w:pPr>
        <w:pStyle w:val="Titolo"/>
        <w:tabs>
          <w:tab w:val="left" w:pos="425"/>
        </w:tabs>
        <w:rPr>
          <w:rFonts w:ascii="Times New Roman" w:hAnsi="Times New Roman"/>
          <w:b/>
          <w:bCs/>
          <w:sz w:val="24"/>
          <w:szCs w:val="24"/>
          <w:lang w:val="en-US"/>
        </w:rPr>
      </w:pPr>
      <w:r w:rsidRPr="00DE44E1">
        <w:rPr>
          <w:rFonts w:ascii="Times New Roman" w:hAnsi="Times New Roman"/>
          <w:b/>
          <w:bCs/>
          <w:sz w:val="24"/>
          <w:szCs w:val="24"/>
          <w:lang w:val="en-US"/>
        </w:rPr>
        <w:lastRenderedPageBreak/>
        <w:t>EXPECTED COST OF FINANCIAL DISTRESS IN SMEs. A GERMAN-ITALIAN COMPARISON</w:t>
      </w:r>
    </w:p>
    <w:p w:rsidR="00070377" w:rsidRDefault="00070377"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3456A5" w:rsidRDefault="003456A5" w:rsidP="004760D1">
      <w:pPr>
        <w:widowControl w:val="0"/>
        <w:tabs>
          <w:tab w:val="left" w:pos="425"/>
        </w:tabs>
        <w:spacing w:after="0" w:line="240" w:lineRule="auto"/>
        <w:ind w:firstLine="426"/>
        <w:rPr>
          <w:rFonts w:ascii="Times New Roman" w:hAnsi="Times New Roman"/>
          <w:sz w:val="24"/>
          <w:szCs w:val="24"/>
          <w:lang w:val="en-US"/>
        </w:rPr>
      </w:pPr>
    </w:p>
    <w:p w:rsidR="00413595" w:rsidRPr="00DE44E1" w:rsidRDefault="004D7E9C" w:rsidP="004760D1">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DE44E1">
        <w:rPr>
          <w:rFonts w:ascii="Times New Roman" w:hAnsi="Times New Roman"/>
          <w:sz w:val="24"/>
          <w:szCs w:val="24"/>
          <w:lang w:val="en-US"/>
        </w:rPr>
        <w:t>Introduction</w:t>
      </w:r>
      <w:r w:rsidR="005F5EF8" w:rsidRPr="00DE44E1">
        <w:rPr>
          <w:rFonts w:ascii="Times New Roman" w:hAnsi="Times New Roman"/>
          <w:sz w:val="24"/>
          <w:szCs w:val="24"/>
          <w:lang w:val="en-US"/>
        </w:rPr>
        <w:t xml:space="preserve"> </w:t>
      </w:r>
    </w:p>
    <w:p w:rsidR="00A76A9B" w:rsidRPr="00DE44E1" w:rsidRDefault="00403819" w:rsidP="00403819">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This study is finalized </w:t>
      </w:r>
      <w:r w:rsidR="00063DF8" w:rsidRPr="00063DF8">
        <w:rPr>
          <w:rFonts w:ascii="Times New Roman" w:hAnsi="Times New Roman"/>
          <w:sz w:val="24"/>
          <w:szCs w:val="24"/>
          <w:lang w:val="en-US"/>
        </w:rPr>
        <w:t>to identify a number of qualitative and quantitative elements that affect financial distress costs</w:t>
      </w:r>
      <w:r w:rsidR="00063DF8">
        <w:rPr>
          <w:rFonts w:ascii="Times New Roman" w:hAnsi="Times New Roman"/>
          <w:sz w:val="24"/>
          <w:szCs w:val="24"/>
          <w:lang w:val="en-US"/>
        </w:rPr>
        <w:t xml:space="preserve"> of SMEs. </w:t>
      </w:r>
      <w:r w:rsidRPr="00DE44E1">
        <w:rPr>
          <w:rFonts w:ascii="Times New Roman" w:hAnsi="Times New Roman"/>
          <w:sz w:val="24"/>
          <w:szCs w:val="24"/>
          <w:lang w:val="en-US"/>
        </w:rPr>
        <w:t>The survey model analyzes SME samples from two European countries, Italy and Germany, whose financial and entrepreneurial systems show significant differences.</w:t>
      </w:r>
      <w:r w:rsidR="00063DF8">
        <w:rPr>
          <w:rFonts w:ascii="Times New Roman" w:hAnsi="Times New Roman"/>
          <w:sz w:val="24"/>
          <w:szCs w:val="24"/>
          <w:lang w:val="en-US"/>
        </w:rPr>
        <w:t xml:space="preserve"> </w:t>
      </w:r>
      <w:r w:rsidRPr="00DE44E1">
        <w:rPr>
          <w:rFonts w:ascii="Times New Roman" w:hAnsi="Times New Roman"/>
          <w:sz w:val="24"/>
          <w:szCs w:val="24"/>
          <w:lang w:val="en-US"/>
        </w:rPr>
        <w:t xml:space="preserve">Data were extracted from BvD databases and panel data methodology was used to control for potential endogeneity and unobservable heterogeneity. </w:t>
      </w:r>
    </w:p>
    <w:p w:rsidR="00D969F9" w:rsidRPr="00DE44E1" w:rsidRDefault="002671F1" w:rsidP="00890B38">
      <w:pPr>
        <w:widowControl w:val="0"/>
        <w:tabs>
          <w:tab w:val="left" w:pos="425"/>
        </w:tabs>
        <w:spacing w:after="0" w:line="240" w:lineRule="auto"/>
        <w:ind w:firstLine="426"/>
        <w:jc w:val="both"/>
        <w:rPr>
          <w:rFonts w:ascii="Times New Roman" w:hAnsi="Times New Roman"/>
          <w:color w:val="000000" w:themeColor="text1"/>
          <w:sz w:val="24"/>
          <w:szCs w:val="24"/>
          <w:lang w:val="en-US"/>
        </w:rPr>
      </w:pPr>
      <w:r w:rsidRPr="00DE44E1">
        <w:rPr>
          <w:rFonts w:ascii="Times New Roman" w:hAnsi="Times New Roman"/>
          <w:sz w:val="24"/>
          <w:szCs w:val="24"/>
          <w:lang w:val="en-US"/>
        </w:rPr>
        <w:t>The results obtained applying survey model revealing that parameters are significant and with the expected signs.</w:t>
      </w:r>
      <w:r w:rsidR="00063DF8">
        <w:rPr>
          <w:rFonts w:ascii="Times New Roman" w:hAnsi="Times New Roman"/>
          <w:sz w:val="24"/>
          <w:szCs w:val="24"/>
          <w:lang w:val="en-US"/>
        </w:rPr>
        <w:t xml:space="preserve"> </w:t>
      </w:r>
      <w:r w:rsidR="00D969F9" w:rsidRPr="00DE44E1">
        <w:rPr>
          <w:rFonts w:ascii="Times New Roman" w:hAnsi="Times New Roman"/>
          <w:sz w:val="24"/>
          <w:szCs w:val="24"/>
          <w:lang w:val="en-US"/>
        </w:rPr>
        <w:t xml:space="preserve">More specifically, the expected financial distress costs decrease in relation SME’s ability to provide themselves with intangible assets, derivative financial instruments and small partner banks (local banks rather than international </w:t>
      </w:r>
      <w:r w:rsidR="00D969F9" w:rsidRPr="00DE44E1">
        <w:rPr>
          <w:rFonts w:ascii="Times New Roman" w:hAnsi="Times New Roman"/>
          <w:color w:val="000000" w:themeColor="text1"/>
          <w:sz w:val="24"/>
          <w:szCs w:val="24"/>
          <w:lang w:val="en-US"/>
        </w:rPr>
        <w:t xml:space="preserve">banking groups). </w:t>
      </w:r>
    </w:p>
    <w:p w:rsidR="00F30487" w:rsidRPr="00DE44E1" w:rsidRDefault="00F30487" w:rsidP="00F30487">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color w:val="000000" w:themeColor="text1"/>
          <w:sz w:val="24"/>
          <w:szCs w:val="24"/>
          <w:lang w:val="en-US"/>
        </w:rPr>
        <w:t xml:space="preserve">Financial distress means severe liquidity problems that cannot be resolved without a sizable rescaling of the entity’s operations or structure (Foster, 2005). Financial distress refers to the inability of the firm to pay current obligations on the dates they are due (Baldwin &amp; Mason, 1983). Any enterprise is susceptible to financial distress if it has frequent cash shortages and few revenue streams. Therefore, small enterprises are more likely to experience financial distress. Companies facing </w:t>
      </w:r>
      <w:r w:rsidRPr="00DE44E1">
        <w:rPr>
          <w:rFonts w:ascii="Times New Roman" w:hAnsi="Times New Roman"/>
          <w:sz w:val="24"/>
          <w:szCs w:val="24"/>
          <w:lang w:val="en-US"/>
        </w:rPr>
        <w:t xml:space="preserve">insolvency often liquidate assets to settle debts. However, small enterprises have few assets to sell </w:t>
      </w:r>
      <w:r w:rsidRPr="00DE44E1">
        <w:rPr>
          <w:rFonts w:ascii="Times New Roman" w:hAnsi="Times New Roman"/>
          <w:color w:val="000000" w:themeColor="text1"/>
          <w:sz w:val="24"/>
          <w:szCs w:val="24"/>
          <w:lang w:val="en-US"/>
        </w:rPr>
        <w:t>and tend to fall victim to secured creditors who focus on debt collection to the detriment of the firm (Gopinath, 1995). Several streams of research have explored financial distress. The literature on organizational decline describes this phenomenon in terms of a loss of slack or the surplus resources that cushion the firm against environmental jolts.</w:t>
      </w:r>
    </w:p>
    <w:p w:rsidR="00860BD9" w:rsidRPr="00DE44E1" w:rsidRDefault="008169D0" w:rsidP="00860BD9">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In line with studies by Keasey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(2015), we develop a definition of financial distress based on financial criteria. </w:t>
      </w:r>
      <w:r w:rsidR="00860BD9" w:rsidRPr="00DE44E1">
        <w:rPr>
          <w:rFonts w:ascii="Times New Roman" w:hAnsi="Times New Roman"/>
          <w:sz w:val="24"/>
          <w:szCs w:val="24"/>
          <w:lang w:val="en-US"/>
        </w:rPr>
        <w:t xml:space="preserve">Thus, using an approximation of the Keasey </w:t>
      </w:r>
      <w:r w:rsidR="00860BD9" w:rsidRPr="00DE44E1">
        <w:rPr>
          <w:rFonts w:ascii="Times New Roman" w:hAnsi="Times New Roman"/>
          <w:i/>
          <w:sz w:val="24"/>
          <w:szCs w:val="24"/>
          <w:lang w:val="en-US"/>
        </w:rPr>
        <w:t>et al</w:t>
      </w:r>
      <w:r w:rsidR="00860BD9" w:rsidRPr="00DE44E1">
        <w:rPr>
          <w:rFonts w:ascii="Times New Roman" w:hAnsi="Times New Roman"/>
          <w:sz w:val="24"/>
          <w:szCs w:val="24"/>
          <w:lang w:val="en-US"/>
        </w:rPr>
        <w:t>. (2015) concept of business failure, we consider as financial distress companies those that meet some of the following conditions: (i) its earnings before interest and taxes depreciation and amortization (E</w:t>
      </w:r>
      <w:r w:rsidR="0041097B" w:rsidRPr="00DE44E1">
        <w:rPr>
          <w:rFonts w:ascii="Times New Roman" w:hAnsi="Times New Roman"/>
          <w:sz w:val="24"/>
          <w:szCs w:val="24"/>
          <w:lang w:val="en-US"/>
        </w:rPr>
        <w:t>bitda</w:t>
      </w:r>
      <w:r w:rsidR="00860BD9" w:rsidRPr="00DE44E1">
        <w:rPr>
          <w:rFonts w:ascii="Times New Roman" w:hAnsi="Times New Roman"/>
          <w:sz w:val="24"/>
          <w:szCs w:val="24"/>
          <w:lang w:val="en-US"/>
        </w:rPr>
        <w:t xml:space="preserve">) are lower than its financial expenses for two consecutive years; and/or (ii) </w:t>
      </w:r>
      <w:r w:rsidR="00E23385" w:rsidRPr="00DE44E1">
        <w:rPr>
          <w:rFonts w:ascii="Times New Roman" w:hAnsi="Times New Roman"/>
          <w:sz w:val="24"/>
          <w:szCs w:val="24"/>
          <w:lang w:val="en-US"/>
        </w:rPr>
        <w:t xml:space="preserve">increase in the debt-to-net worth formula for two consecutive periods </w:t>
      </w:r>
      <w:r w:rsidR="00E23385" w:rsidRPr="00DE44E1">
        <w:rPr>
          <w:rFonts w:ascii="Times New Roman" w:hAnsi="Times New Roman"/>
          <w:color w:val="000000" w:themeColor="text1"/>
          <w:sz w:val="24"/>
          <w:szCs w:val="24"/>
          <w:lang w:val="en-US"/>
        </w:rPr>
        <w:t xml:space="preserve">with concomitant decrease of the denominator. </w:t>
      </w:r>
      <w:r w:rsidR="00860BD9" w:rsidRPr="00DE44E1">
        <w:rPr>
          <w:rFonts w:ascii="Times New Roman" w:hAnsi="Times New Roman"/>
          <w:color w:val="000000" w:themeColor="text1"/>
          <w:sz w:val="24"/>
          <w:szCs w:val="24"/>
          <w:lang w:val="en-US"/>
        </w:rPr>
        <w:t>Other previous studies on business failure have used those proxies (</w:t>
      </w:r>
      <w:r w:rsidR="001869B5" w:rsidRPr="00DE44E1">
        <w:rPr>
          <w:rFonts w:ascii="Times New Roman" w:hAnsi="Times New Roman"/>
          <w:color w:val="000000" w:themeColor="text1"/>
          <w:sz w:val="24"/>
          <w:szCs w:val="24"/>
          <w:lang w:val="en-US"/>
        </w:rPr>
        <w:t xml:space="preserve">Manzaneque </w:t>
      </w:r>
      <w:r w:rsidR="001869B5" w:rsidRPr="00DE44E1">
        <w:rPr>
          <w:rFonts w:ascii="Times New Roman" w:hAnsi="Times New Roman"/>
          <w:i/>
          <w:color w:val="000000" w:themeColor="text1"/>
          <w:sz w:val="24"/>
          <w:szCs w:val="24"/>
          <w:lang w:val="en-US"/>
        </w:rPr>
        <w:t>et al</w:t>
      </w:r>
      <w:r w:rsidR="001869B5" w:rsidRPr="00DE44E1">
        <w:rPr>
          <w:rFonts w:ascii="Times New Roman" w:hAnsi="Times New Roman"/>
          <w:color w:val="000000" w:themeColor="text1"/>
          <w:sz w:val="24"/>
          <w:szCs w:val="24"/>
          <w:lang w:val="en-US"/>
        </w:rPr>
        <w:t>., 201</w:t>
      </w:r>
      <w:r w:rsidR="00860BD9" w:rsidRPr="00DE44E1">
        <w:rPr>
          <w:rFonts w:ascii="Times New Roman" w:hAnsi="Times New Roman"/>
          <w:color w:val="000000" w:themeColor="text1"/>
          <w:sz w:val="24"/>
          <w:szCs w:val="24"/>
          <w:lang w:val="en-US"/>
        </w:rPr>
        <w:t>6).</w:t>
      </w:r>
    </w:p>
    <w:p w:rsidR="00336D06" w:rsidRPr="00DE44E1" w:rsidRDefault="002163FA" w:rsidP="00336D06">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Post-crises financial costs are heavily influenced by a number of variables that characterize firm activity: intangible capital, financial partner type (local or not) and provision of financial derivative instruments; </w:t>
      </w:r>
      <w:r w:rsidR="00336D06" w:rsidRPr="00DE44E1">
        <w:rPr>
          <w:rFonts w:ascii="Times New Roman" w:hAnsi="Times New Roman"/>
          <w:sz w:val="24"/>
          <w:szCs w:val="24"/>
          <w:lang w:val="en-US"/>
        </w:rPr>
        <w:t>while the first two variables are useful to reduce informational asymmetries and thus to facilitate access to (re)financing, the third variable reduces the likelihood of financial crisis.</w:t>
      </w:r>
    </w:p>
    <w:p w:rsidR="001C635E" w:rsidRPr="00DE44E1" w:rsidRDefault="008B35D7" w:rsidP="008B35D7">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The remainder of the </w:t>
      </w:r>
      <w:r w:rsidR="00822E12" w:rsidRPr="00DE44E1">
        <w:rPr>
          <w:rFonts w:ascii="Times New Roman" w:hAnsi="Times New Roman"/>
          <w:sz w:val="24"/>
          <w:szCs w:val="24"/>
          <w:lang w:val="en-US"/>
        </w:rPr>
        <w:t>work</w:t>
      </w:r>
      <w:r w:rsidRPr="00DE44E1">
        <w:rPr>
          <w:rFonts w:ascii="Times New Roman" w:hAnsi="Times New Roman"/>
          <w:sz w:val="24"/>
          <w:szCs w:val="24"/>
          <w:lang w:val="en-US"/>
        </w:rPr>
        <w:t xml:space="preserve"> is organized as follows. Section 2 explains </w:t>
      </w:r>
      <w:r w:rsidR="00AC2340" w:rsidRPr="00DE44E1">
        <w:rPr>
          <w:rFonts w:ascii="Times New Roman" w:hAnsi="Times New Roman"/>
          <w:sz w:val="24"/>
          <w:szCs w:val="24"/>
          <w:lang w:val="en-US"/>
        </w:rPr>
        <w:t>literature reviews</w:t>
      </w:r>
      <w:r w:rsidRPr="00DE44E1">
        <w:rPr>
          <w:rFonts w:ascii="Times New Roman" w:hAnsi="Times New Roman"/>
          <w:sz w:val="24"/>
          <w:szCs w:val="24"/>
          <w:lang w:val="en-US"/>
        </w:rPr>
        <w:t xml:space="preserve">. </w:t>
      </w:r>
      <w:r w:rsidR="0043678F" w:rsidRPr="00DE44E1">
        <w:rPr>
          <w:rFonts w:ascii="Times New Roman" w:hAnsi="Times New Roman"/>
          <w:sz w:val="24"/>
          <w:szCs w:val="24"/>
          <w:lang w:val="en-US"/>
        </w:rPr>
        <w:t xml:space="preserve">Section 3 explains our hypotheses and present the model (borrowed, partly, by Keasey </w:t>
      </w:r>
      <w:r w:rsidR="0043678F" w:rsidRPr="00DE44E1">
        <w:rPr>
          <w:rFonts w:ascii="Times New Roman" w:hAnsi="Times New Roman"/>
          <w:i/>
          <w:sz w:val="24"/>
          <w:szCs w:val="24"/>
          <w:lang w:val="en-US"/>
        </w:rPr>
        <w:t>et al</w:t>
      </w:r>
      <w:r w:rsidR="0043678F" w:rsidRPr="00DE44E1">
        <w:rPr>
          <w:rFonts w:ascii="Times New Roman" w:hAnsi="Times New Roman"/>
          <w:sz w:val="24"/>
          <w:szCs w:val="24"/>
          <w:lang w:val="en-US"/>
        </w:rPr>
        <w:t xml:space="preserve">., 2015 and </w:t>
      </w:r>
      <w:r w:rsidR="008019AD" w:rsidRPr="00DE44E1">
        <w:rPr>
          <w:rFonts w:ascii="Times New Roman" w:hAnsi="Times New Roman"/>
          <w:sz w:val="24"/>
          <w:szCs w:val="24"/>
          <w:lang w:val="en-US"/>
        </w:rPr>
        <w:t xml:space="preserve">Quintiliani, </w:t>
      </w:r>
      <w:r w:rsidR="0034399D" w:rsidRPr="00DE44E1">
        <w:rPr>
          <w:rFonts w:ascii="Times New Roman" w:hAnsi="Times New Roman"/>
          <w:sz w:val="24"/>
          <w:szCs w:val="24"/>
          <w:lang w:val="en-US"/>
        </w:rPr>
        <w:t>2017</w:t>
      </w:r>
      <w:r w:rsidR="00381A26" w:rsidRPr="00DE44E1">
        <w:rPr>
          <w:rFonts w:ascii="Times New Roman" w:hAnsi="Times New Roman"/>
          <w:sz w:val="24"/>
          <w:szCs w:val="24"/>
          <w:lang w:val="en-US"/>
        </w:rPr>
        <w:t>a</w:t>
      </w:r>
      <w:r w:rsidR="005C7DE7" w:rsidRPr="00DE44E1">
        <w:rPr>
          <w:rFonts w:ascii="Times New Roman" w:hAnsi="Times New Roman"/>
          <w:sz w:val="24"/>
          <w:szCs w:val="24"/>
          <w:lang w:val="en-US"/>
        </w:rPr>
        <w:t xml:space="preserve">). </w:t>
      </w:r>
      <w:r w:rsidRPr="00DE44E1">
        <w:rPr>
          <w:rFonts w:ascii="Times New Roman" w:hAnsi="Times New Roman"/>
          <w:sz w:val="24"/>
          <w:szCs w:val="24"/>
          <w:lang w:val="en-US"/>
        </w:rPr>
        <w:t>The re</w:t>
      </w:r>
      <w:r w:rsidR="005C630D" w:rsidRPr="00DE44E1">
        <w:rPr>
          <w:rFonts w:ascii="Times New Roman" w:hAnsi="Times New Roman"/>
          <w:sz w:val="24"/>
          <w:szCs w:val="24"/>
          <w:lang w:val="en-US"/>
        </w:rPr>
        <w:t>sults and conclu</w:t>
      </w:r>
      <w:r w:rsidR="005C7DE7" w:rsidRPr="00DE44E1">
        <w:rPr>
          <w:rFonts w:ascii="Times New Roman" w:hAnsi="Times New Roman"/>
          <w:sz w:val="24"/>
          <w:szCs w:val="24"/>
          <w:lang w:val="en-US"/>
        </w:rPr>
        <w:t>sions are discussed in Section 4</w:t>
      </w:r>
      <w:r w:rsidR="005C630D" w:rsidRPr="00DE44E1">
        <w:rPr>
          <w:rFonts w:ascii="Times New Roman" w:hAnsi="Times New Roman"/>
          <w:sz w:val="24"/>
          <w:szCs w:val="24"/>
          <w:lang w:val="en-US"/>
        </w:rPr>
        <w:t>.</w:t>
      </w:r>
    </w:p>
    <w:p w:rsidR="001A7A40" w:rsidRPr="00DE44E1" w:rsidRDefault="001A7A40" w:rsidP="008B35D7">
      <w:pPr>
        <w:widowControl w:val="0"/>
        <w:tabs>
          <w:tab w:val="left" w:pos="425"/>
        </w:tabs>
        <w:spacing w:after="0" w:line="240" w:lineRule="auto"/>
        <w:ind w:firstLine="426"/>
        <w:jc w:val="both"/>
        <w:rPr>
          <w:rFonts w:ascii="Times New Roman" w:hAnsi="Times New Roman"/>
          <w:sz w:val="24"/>
          <w:szCs w:val="24"/>
          <w:lang w:val="en-US"/>
        </w:rPr>
      </w:pPr>
    </w:p>
    <w:p w:rsidR="00890B38" w:rsidRPr="00DE44E1" w:rsidRDefault="00A36518" w:rsidP="00890B38">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DE44E1">
        <w:rPr>
          <w:rFonts w:ascii="Times New Roman" w:hAnsi="Times New Roman"/>
          <w:sz w:val="24"/>
          <w:szCs w:val="24"/>
          <w:lang w:val="en-US"/>
        </w:rPr>
        <w:t>Theoretical Background</w:t>
      </w:r>
    </w:p>
    <w:p w:rsidR="00F8550A" w:rsidRPr="00DE44E1" w:rsidRDefault="00E60C78" w:rsidP="006542DB">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 common causes of financial distress and business failure are often a complicated mix of problems and symptoms but the common causes of SMEs’ failure and financial distress can be examined from different perspectives:</w:t>
      </w:r>
    </w:p>
    <w:p w:rsidR="00F8550A" w:rsidRPr="00DE44E1" w:rsidRDefault="00EB3EF8" w:rsidP="00EB3EF8">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the capital structure;</w:t>
      </w:r>
    </w:p>
    <w:p w:rsidR="00F8550A" w:rsidRPr="00DE44E1" w:rsidRDefault="00EB3EF8" w:rsidP="00EB3EF8">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 xml:space="preserve">the degree of bank localism; </w:t>
      </w:r>
    </w:p>
    <w:p w:rsidR="008A07AC" w:rsidRPr="00DE44E1" w:rsidRDefault="00EB3EF8" w:rsidP="00EB3EF8">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the size of the bank, the rating models adopted and, the degree of customer relationship;</w:t>
      </w:r>
    </w:p>
    <w:p w:rsidR="00BA4AC7" w:rsidRPr="00DE44E1" w:rsidRDefault="00EB3EF8" w:rsidP="00EB3EF8">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the endowment of invisible intangible assets;</w:t>
      </w:r>
    </w:p>
    <w:p w:rsidR="00C31FAF" w:rsidRPr="00DE44E1" w:rsidRDefault="00EB3EF8" w:rsidP="00EB3EF8">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the endowment of derivative financial instruments;</w:t>
      </w:r>
    </w:p>
    <w:p w:rsidR="009F10B2" w:rsidRPr="00DE44E1" w:rsidRDefault="00EB3EF8" w:rsidP="00EB3EF8">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the country’s system.</w:t>
      </w:r>
    </w:p>
    <w:p w:rsidR="00185CBF" w:rsidRPr="00DE44E1" w:rsidRDefault="00B92D86" w:rsidP="006542DB">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Much of the literature agrees that SMEs are characterized by the high probability of financial </w:t>
      </w:r>
      <w:r w:rsidRPr="00DE44E1">
        <w:rPr>
          <w:rFonts w:ascii="Times New Roman" w:hAnsi="Times New Roman"/>
          <w:sz w:val="24"/>
          <w:szCs w:val="24"/>
          <w:lang w:val="en-US"/>
        </w:rPr>
        <w:lastRenderedPageBreak/>
        <w:t xml:space="preserve">distress; this phenomenon is justified by their typical </w:t>
      </w:r>
      <w:r w:rsidR="00560424" w:rsidRPr="00DE44E1">
        <w:rPr>
          <w:rFonts w:ascii="Times New Roman" w:hAnsi="Times New Roman"/>
          <w:sz w:val="24"/>
          <w:szCs w:val="24"/>
          <w:lang w:val="en-US"/>
        </w:rPr>
        <w:t>capital</w:t>
      </w:r>
      <w:r w:rsidRPr="00DE44E1">
        <w:rPr>
          <w:rFonts w:ascii="Times New Roman" w:hAnsi="Times New Roman"/>
          <w:sz w:val="24"/>
          <w:szCs w:val="24"/>
          <w:lang w:val="en-US"/>
        </w:rPr>
        <w:t xml:space="preserve"> structure (Keasey and Watson, 1993; Andrade and Kaplan, 1998; Frank and Goyal, 2009; Mac an Bhaird, 2010).</w:t>
      </w:r>
      <w:r w:rsidR="00EC1225" w:rsidRPr="00DE44E1">
        <w:rPr>
          <w:rFonts w:ascii="Times New Roman" w:hAnsi="Times New Roman"/>
          <w:sz w:val="24"/>
          <w:szCs w:val="24"/>
          <w:lang w:val="en-US"/>
        </w:rPr>
        <w:t xml:space="preserve"> </w:t>
      </w:r>
      <w:r w:rsidR="008814DB" w:rsidRPr="00DE44E1">
        <w:rPr>
          <w:rFonts w:ascii="Times New Roman" w:hAnsi="Times New Roman"/>
          <w:sz w:val="24"/>
          <w:szCs w:val="24"/>
          <w:lang w:val="en-US"/>
        </w:rPr>
        <w:t xml:space="preserve">Capital structure theory begins with the Modigliani and Miller (1958) paradox of “capital structure </w:t>
      </w:r>
      <w:r w:rsidR="0016345A" w:rsidRPr="00DE44E1">
        <w:rPr>
          <w:rFonts w:ascii="Times New Roman" w:hAnsi="Times New Roman"/>
          <w:sz w:val="24"/>
          <w:szCs w:val="24"/>
          <w:lang w:val="en-US"/>
        </w:rPr>
        <w:t>irrelevance</w:t>
      </w:r>
      <w:r w:rsidR="008814DB" w:rsidRPr="00DE44E1">
        <w:rPr>
          <w:rFonts w:ascii="Times New Roman" w:hAnsi="Times New Roman"/>
          <w:sz w:val="24"/>
          <w:szCs w:val="24"/>
          <w:lang w:val="en-US"/>
        </w:rPr>
        <w:t>”</w:t>
      </w:r>
      <w:r w:rsidR="0016345A" w:rsidRPr="00DE44E1">
        <w:rPr>
          <w:rFonts w:ascii="Times New Roman" w:hAnsi="Times New Roman"/>
          <w:sz w:val="24"/>
          <w:szCs w:val="24"/>
          <w:lang w:val="en-US"/>
        </w:rPr>
        <w:t>,</w:t>
      </w:r>
      <w:r w:rsidR="008814DB" w:rsidRPr="00DE44E1">
        <w:rPr>
          <w:rFonts w:ascii="Times New Roman" w:hAnsi="Times New Roman"/>
          <w:sz w:val="24"/>
          <w:szCs w:val="24"/>
          <w:lang w:val="en-US"/>
        </w:rPr>
        <w:t xml:space="preserve"> where firm value is not affected by its financing mix. Since then, corporate finance literature has grown enormously and basically distinguishes between two main theoretical approaches</w:t>
      </w:r>
      <w:r w:rsidR="0016345A" w:rsidRPr="00DE44E1">
        <w:t xml:space="preserve"> (</w:t>
      </w:r>
      <w:r w:rsidR="0016345A" w:rsidRPr="00DE44E1">
        <w:rPr>
          <w:rFonts w:ascii="Times New Roman" w:hAnsi="Times New Roman"/>
          <w:sz w:val="24"/>
          <w:szCs w:val="24"/>
          <w:lang w:val="en-US"/>
        </w:rPr>
        <w:t xml:space="preserve">Balios </w:t>
      </w:r>
      <w:r w:rsidR="0016345A" w:rsidRPr="00DE44E1">
        <w:rPr>
          <w:rFonts w:ascii="Times New Roman" w:hAnsi="Times New Roman"/>
          <w:i/>
          <w:sz w:val="24"/>
          <w:szCs w:val="24"/>
          <w:lang w:val="en-US"/>
        </w:rPr>
        <w:t>et al</w:t>
      </w:r>
      <w:r w:rsidR="0086406D" w:rsidRPr="00DE44E1">
        <w:rPr>
          <w:rFonts w:ascii="Times New Roman" w:hAnsi="Times New Roman"/>
          <w:sz w:val="24"/>
          <w:szCs w:val="24"/>
          <w:lang w:val="en-US"/>
        </w:rPr>
        <w:t>., 2015</w:t>
      </w:r>
      <w:r w:rsidR="0016345A" w:rsidRPr="00DE44E1">
        <w:rPr>
          <w:rFonts w:ascii="Times New Roman" w:hAnsi="Times New Roman"/>
          <w:sz w:val="24"/>
          <w:szCs w:val="24"/>
          <w:lang w:val="en-US"/>
        </w:rPr>
        <w:t>): i)</w:t>
      </w:r>
      <w:r w:rsidR="008814DB" w:rsidRPr="00DE44E1">
        <w:rPr>
          <w:rFonts w:ascii="Times New Roman" w:hAnsi="Times New Roman"/>
          <w:sz w:val="24"/>
          <w:szCs w:val="24"/>
          <w:lang w:val="en-US"/>
        </w:rPr>
        <w:t xml:space="preserve"> the trade-off theory, </w:t>
      </w:r>
      <w:r w:rsidR="0016345A" w:rsidRPr="00DE44E1">
        <w:rPr>
          <w:rFonts w:ascii="Times New Roman" w:hAnsi="Times New Roman"/>
          <w:sz w:val="24"/>
          <w:szCs w:val="24"/>
          <w:lang w:val="en-US"/>
        </w:rPr>
        <w:t xml:space="preserve">ii) </w:t>
      </w:r>
      <w:r w:rsidR="008814DB" w:rsidRPr="00DE44E1">
        <w:rPr>
          <w:rFonts w:ascii="Times New Roman" w:hAnsi="Times New Roman"/>
          <w:sz w:val="24"/>
          <w:szCs w:val="24"/>
          <w:lang w:val="en-US"/>
        </w:rPr>
        <w:t xml:space="preserve">the pecking order theory. The core of the trade-off theory refers to the balancing process of benefits of debt (tax shield, reduction of agency costs of equity, lower issuance costs) and costs of debt (direct and indirect financial distress costs, rising agency costs of debt) which leads to the concept of an optimal capital structure. </w:t>
      </w:r>
      <w:r w:rsidR="00EB57BB" w:rsidRPr="00DE44E1">
        <w:rPr>
          <w:rFonts w:ascii="Times New Roman" w:hAnsi="Times New Roman"/>
          <w:sz w:val="24"/>
          <w:szCs w:val="24"/>
          <w:lang w:val="en-US"/>
        </w:rPr>
        <w:t xml:space="preserve">The pecking order theory emerges from the pioneering studies of Myers (1984), and Myers and Majluf (1984); these studies focus particularly on the concept of information asymmetries. Studies on information asymmetries have seen many authors focus on SMEs. Within this </w:t>
      </w:r>
      <w:r w:rsidR="008915F5" w:rsidRPr="00DE44E1">
        <w:rPr>
          <w:rFonts w:ascii="Times New Roman" w:hAnsi="Times New Roman"/>
          <w:sz w:val="24"/>
          <w:szCs w:val="24"/>
          <w:lang w:val="en-US"/>
        </w:rPr>
        <w:t xml:space="preserve">line </w:t>
      </w:r>
      <w:r w:rsidR="00EB57BB" w:rsidRPr="00DE44E1">
        <w:rPr>
          <w:rFonts w:ascii="Times New Roman" w:hAnsi="Times New Roman"/>
          <w:sz w:val="24"/>
          <w:szCs w:val="24"/>
          <w:lang w:val="en-US"/>
        </w:rPr>
        <w:t>of studies, there are several prospects of investigation: agency costs of equity</w:t>
      </w:r>
      <w:r w:rsidR="005E0707" w:rsidRPr="00DE44E1">
        <w:rPr>
          <w:rFonts w:ascii="Times New Roman" w:hAnsi="Times New Roman"/>
          <w:sz w:val="24"/>
          <w:szCs w:val="24"/>
          <w:lang w:val="en-US"/>
        </w:rPr>
        <w:t xml:space="preserve"> and agency costs of debt</w:t>
      </w:r>
      <w:r w:rsidR="00BE0694" w:rsidRPr="00DE44E1">
        <w:rPr>
          <w:rFonts w:ascii="Times New Roman" w:hAnsi="Times New Roman"/>
          <w:sz w:val="24"/>
          <w:szCs w:val="24"/>
          <w:lang w:val="en-US"/>
        </w:rPr>
        <w:t>.</w:t>
      </w:r>
      <w:r w:rsidR="00EB57BB" w:rsidRPr="00DE44E1">
        <w:rPr>
          <w:rFonts w:ascii="Times New Roman" w:hAnsi="Times New Roman"/>
          <w:sz w:val="24"/>
          <w:szCs w:val="24"/>
          <w:lang w:val="en-US"/>
        </w:rPr>
        <w:t xml:space="preserve"> </w:t>
      </w:r>
      <w:r w:rsidR="00BE0694" w:rsidRPr="00DE44E1">
        <w:rPr>
          <w:rFonts w:ascii="Times New Roman" w:hAnsi="Times New Roman"/>
          <w:sz w:val="24"/>
          <w:szCs w:val="24"/>
          <w:lang w:val="en-US"/>
        </w:rPr>
        <w:t xml:space="preserve">In this respect, </w:t>
      </w:r>
      <w:r w:rsidR="00D70511" w:rsidRPr="00DE44E1">
        <w:rPr>
          <w:rFonts w:ascii="Times New Roman" w:hAnsi="Times New Roman"/>
          <w:sz w:val="24"/>
          <w:szCs w:val="24"/>
          <w:lang w:val="en-US"/>
        </w:rPr>
        <w:t xml:space="preserve">precious are the studies of Scott (1977), </w:t>
      </w:r>
      <w:r w:rsidR="00EB57BB" w:rsidRPr="00DE44E1">
        <w:rPr>
          <w:rFonts w:ascii="Times New Roman" w:hAnsi="Times New Roman"/>
          <w:sz w:val="24"/>
          <w:szCs w:val="24"/>
          <w:lang w:val="en-US"/>
        </w:rPr>
        <w:t xml:space="preserve">Ang </w:t>
      </w:r>
      <w:r w:rsidR="00EB57BB" w:rsidRPr="00DE44E1">
        <w:rPr>
          <w:rFonts w:ascii="Times New Roman" w:hAnsi="Times New Roman"/>
          <w:i/>
          <w:sz w:val="24"/>
          <w:szCs w:val="24"/>
          <w:lang w:val="en-US"/>
        </w:rPr>
        <w:t>et al</w:t>
      </w:r>
      <w:r w:rsidR="00EB57BB" w:rsidRPr="00DE44E1">
        <w:rPr>
          <w:rFonts w:ascii="Times New Roman" w:hAnsi="Times New Roman"/>
          <w:sz w:val="24"/>
          <w:szCs w:val="24"/>
          <w:lang w:val="en-US"/>
        </w:rPr>
        <w:t>. (1982), Pettit and Singer (1985),</w:t>
      </w:r>
      <w:r w:rsidR="00914CC1" w:rsidRPr="00DE44E1">
        <w:rPr>
          <w:rFonts w:ascii="Times New Roman" w:hAnsi="Times New Roman"/>
          <w:sz w:val="24"/>
          <w:szCs w:val="24"/>
          <w:lang w:val="en-US"/>
        </w:rPr>
        <w:t xml:space="preserve"> </w:t>
      </w:r>
      <w:r w:rsidR="00EB57BB" w:rsidRPr="00DE44E1">
        <w:rPr>
          <w:rFonts w:ascii="Times New Roman" w:hAnsi="Times New Roman"/>
          <w:sz w:val="24"/>
          <w:szCs w:val="24"/>
          <w:lang w:val="en-US"/>
        </w:rPr>
        <w:t xml:space="preserve">van der Wijst (1989), </w:t>
      </w:r>
      <w:r w:rsidR="008915F5" w:rsidRPr="00DE44E1">
        <w:rPr>
          <w:rFonts w:ascii="Times New Roman" w:hAnsi="Times New Roman"/>
          <w:sz w:val="24"/>
          <w:szCs w:val="24"/>
          <w:lang w:val="en-US"/>
        </w:rPr>
        <w:t xml:space="preserve">Harris and Raviv (1990), </w:t>
      </w:r>
      <w:r w:rsidR="00D70511" w:rsidRPr="00DE44E1">
        <w:rPr>
          <w:rFonts w:ascii="Times New Roman" w:hAnsi="Times New Roman"/>
          <w:sz w:val="24"/>
          <w:szCs w:val="24"/>
          <w:lang w:val="en-US"/>
        </w:rPr>
        <w:t>Ang (1991, 1992)</w:t>
      </w:r>
      <w:r w:rsidR="00EB57BB" w:rsidRPr="00DE44E1">
        <w:rPr>
          <w:rFonts w:ascii="Times New Roman" w:hAnsi="Times New Roman"/>
          <w:sz w:val="24"/>
          <w:szCs w:val="24"/>
          <w:lang w:val="en-US"/>
        </w:rPr>
        <w:t xml:space="preserve">, </w:t>
      </w:r>
      <w:r w:rsidR="00D70511" w:rsidRPr="00DE44E1">
        <w:rPr>
          <w:rFonts w:ascii="Times New Roman" w:hAnsi="Times New Roman"/>
          <w:sz w:val="24"/>
          <w:szCs w:val="24"/>
          <w:lang w:val="en-US"/>
        </w:rPr>
        <w:t xml:space="preserve">Holmes and Kent (1991), </w:t>
      </w:r>
      <w:r w:rsidR="00914CC1" w:rsidRPr="00DE44E1">
        <w:rPr>
          <w:rFonts w:ascii="Times New Roman" w:hAnsi="Times New Roman"/>
          <w:sz w:val="24"/>
          <w:szCs w:val="24"/>
          <w:lang w:val="en-US"/>
        </w:rPr>
        <w:t xml:space="preserve">Psillaki (1995), </w:t>
      </w:r>
      <w:r w:rsidR="00D70511" w:rsidRPr="00DE44E1">
        <w:rPr>
          <w:rFonts w:ascii="Times New Roman" w:hAnsi="Times New Roman"/>
          <w:sz w:val="24"/>
          <w:szCs w:val="24"/>
          <w:lang w:val="en-US"/>
        </w:rPr>
        <w:t xml:space="preserve">Michaelas </w:t>
      </w:r>
      <w:r w:rsidR="00D70511" w:rsidRPr="00DE44E1">
        <w:rPr>
          <w:rFonts w:ascii="Times New Roman" w:hAnsi="Times New Roman"/>
          <w:i/>
          <w:sz w:val="24"/>
          <w:szCs w:val="24"/>
          <w:lang w:val="en-US"/>
        </w:rPr>
        <w:t>et al</w:t>
      </w:r>
      <w:r w:rsidR="00D70511" w:rsidRPr="00DE44E1">
        <w:rPr>
          <w:rFonts w:ascii="Times New Roman" w:hAnsi="Times New Roman"/>
          <w:sz w:val="24"/>
          <w:szCs w:val="24"/>
          <w:lang w:val="en-US"/>
        </w:rPr>
        <w:t xml:space="preserve">. (1999), Boot and Thakor (2000), Watson and Wilson (2002), Hall </w:t>
      </w:r>
      <w:r w:rsidR="00D70511" w:rsidRPr="00DE44E1">
        <w:rPr>
          <w:rFonts w:ascii="Times New Roman" w:hAnsi="Times New Roman"/>
          <w:i/>
          <w:sz w:val="24"/>
          <w:szCs w:val="24"/>
          <w:lang w:val="en-US"/>
        </w:rPr>
        <w:t>et al</w:t>
      </w:r>
      <w:r w:rsidR="00D70511" w:rsidRPr="00DE44E1">
        <w:rPr>
          <w:rFonts w:ascii="Times New Roman" w:hAnsi="Times New Roman"/>
          <w:sz w:val="24"/>
          <w:szCs w:val="24"/>
          <w:lang w:val="en-US"/>
        </w:rPr>
        <w:t>. (2004), Sogorb-Mira (2005),</w:t>
      </w:r>
      <w:r w:rsidR="008542C1" w:rsidRPr="00DE44E1">
        <w:rPr>
          <w:rFonts w:ascii="Times New Roman" w:hAnsi="Times New Roman"/>
          <w:sz w:val="24"/>
          <w:szCs w:val="24"/>
          <w:lang w:val="en-US"/>
        </w:rPr>
        <w:t xml:space="preserve"> </w:t>
      </w:r>
      <w:r w:rsidR="00D70511" w:rsidRPr="00DE44E1">
        <w:rPr>
          <w:rFonts w:ascii="Times New Roman" w:hAnsi="Times New Roman"/>
          <w:sz w:val="24"/>
          <w:szCs w:val="24"/>
          <w:lang w:val="en-US"/>
        </w:rPr>
        <w:t>Daskalakis and Psillaki (2008),</w:t>
      </w:r>
      <w:r w:rsidR="008915F5" w:rsidRPr="00DE44E1">
        <w:rPr>
          <w:rFonts w:ascii="Times New Roman" w:hAnsi="Times New Roman"/>
          <w:sz w:val="24"/>
          <w:szCs w:val="24"/>
          <w:lang w:val="en-US"/>
        </w:rPr>
        <w:t xml:space="preserve"> </w:t>
      </w:r>
      <w:r w:rsidR="00EB57BB" w:rsidRPr="00DE44E1">
        <w:rPr>
          <w:rFonts w:ascii="Times New Roman" w:hAnsi="Times New Roman"/>
          <w:sz w:val="24"/>
          <w:szCs w:val="24"/>
          <w:lang w:val="en-US"/>
        </w:rPr>
        <w:t xml:space="preserve">Frank and Goyal (2009), </w:t>
      </w:r>
      <w:r w:rsidR="008915F5" w:rsidRPr="00DE44E1">
        <w:rPr>
          <w:rFonts w:ascii="Times New Roman" w:hAnsi="Times New Roman"/>
          <w:sz w:val="24"/>
          <w:szCs w:val="24"/>
          <w:lang w:val="en-US"/>
        </w:rPr>
        <w:t xml:space="preserve">Psillaki and Daskalakis (2009), </w:t>
      </w:r>
      <w:r w:rsidR="00EB57BB" w:rsidRPr="00DE44E1">
        <w:rPr>
          <w:rFonts w:ascii="Times New Roman" w:hAnsi="Times New Roman"/>
          <w:sz w:val="24"/>
          <w:szCs w:val="24"/>
          <w:lang w:val="en-US"/>
        </w:rPr>
        <w:t>and Balios et al. (2015).</w:t>
      </w:r>
    </w:p>
    <w:p w:rsidR="00056527" w:rsidRPr="00DE44E1" w:rsidRDefault="00056527" w:rsidP="00865CC4">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 theoretical debate about financial distress is rooted in the studies that explore the causes of credit rationing. In short, studies suggest a series of variables in computing bankruptcy likelihood.</w:t>
      </w:r>
      <w:r w:rsidR="00EC1225" w:rsidRPr="00DE44E1">
        <w:rPr>
          <w:rFonts w:ascii="Times New Roman" w:hAnsi="Times New Roman"/>
          <w:sz w:val="24"/>
          <w:szCs w:val="24"/>
          <w:lang w:val="en-US"/>
        </w:rPr>
        <w:t xml:space="preserve"> </w:t>
      </w:r>
      <w:r w:rsidRPr="00DE44E1">
        <w:rPr>
          <w:rFonts w:ascii="Times New Roman" w:hAnsi="Times New Roman"/>
          <w:sz w:val="24"/>
          <w:szCs w:val="24"/>
          <w:lang w:val="en-US"/>
        </w:rPr>
        <w:t xml:space="preserve">For instance, Diamond (1984), Fama (1985), Diamond (1991), Berger and Mester (1997), Cesarini and Ferri (1997), </w:t>
      </w:r>
      <w:r w:rsidR="00D638B0" w:rsidRPr="00DE44E1">
        <w:rPr>
          <w:rFonts w:ascii="Times New Roman" w:hAnsi="Times New Roman"/>
          <w:sz w:val="24"/>
          <w:szCs w:val="24"/>
          <w:lang w:val="en-US"/>
        </w:rPr>
        <w:t xml:space="preserve">Uzzi and Gillespie (1999), </w:t>
      </w:r>
      <w:r w:rsidRPr="00DE44E1">
        <w:rPr>
          <w:rFonts w:ascii="Times New Roman" w:hAnsi="Times New Roman"/>
          <w:sz w:val="24"/>
          <w:szCs w:val="24"/>
          <w:lang w:val="en-US"/>
        </w:rPr>
        <w:t xml:space="preserve">Goddard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(2001), De Laurentis (2001), </w:t>
      </w:r>
      <w:r w:rsidR="00D638B0" w:rsidRPr="00DE44E1">
        <w:rPr>
          <w:rFonts w:ascii="Times New Roman" w:hAnsi="Times New Roman"/>
          <w:sz w:val="24"/>
          <w:szCs w:val="24"/>
          <w:lang w:val="en-US"/>
        </w:rPr>
        <w:t xml:space="preserve">DeYoung </w:t>
      </w:r>
      <w:r w:rsidR="00D638B0" w:rsidRPr="00DE44E1">
        <w:rPr>
          <w:rFonts w:ascii="Times New Roman" w:hAnsi="Times New Roman"/>
          <w:i/>
          <w:sz w:val="24"/>
          <w:szCs w:val="24"/>
          <w:lang w:val="en-US"/>
        </w:rPr>
        <w:t>et al</w:t>
      </w:r>
      <w:r w:rsidR="00D638B0" w:rsidRPr="00DE44E1">
        <w:rPr>
          <w:rFonts w:ascii="Times New Roman" w:hAnsi="Times New Roman"/>
          <w:sz w:val="24"/>
          <w:szCs w:val="24"/>
          <w:lang w:val="en-US"/>
        </w:rPr>
        <w:t xml:space="preserve">. (2004), </w:t>
      </w:r>
      <w:r w:rsidRPr="00DE44E1">
        <w:rPr>
          <w:rFonts w:ascii="Times New Roman" w:hAnsi="Times New Roman"/>
          <w:sz w:val="24"/>
          <w:szCs w:val="24"/>
          <w:lang w:val="en-US"/>
        </w:rPr>
        <w:t>De Bruyn and Ferri (2005), and De Laurentis (2011) suggest to investigate the degree of bank localism</w:t>
      </w:r>
      <w:r w:rsidR="00D638B0" w:rsidRPr="00DE44E1">
        <w:rPr>
          <w:rFonts w:ascii="Times New Roman" w:hAnsi="Times New Roman"/>
          <w:sz w:val="24"/>
          <w:szCs w:val="24"/>
          <w:lang w:val="en-US"/>
        </w:rPr>
        <w:t xml:space="preserve"> (bank proximity)</w:t>
      </w:r>
      <w:r w:rsidRPr="00DE44E1">
        <w:rPr>
          <w:rFonts w:ascii="Times New Roman" w:hAnsi="Times New Roman"/>
          <w:sz w:val="24"/>
          <w:szCs w:val="24"/>
          <w:lang w:val="en-US"/>
        </w:rPr>
        <w:t>.</w:t>
      </w:r>
      <w:r w:rsidR="00EC1225" w:rsidRPr="00DE44E1">
        <w:rPr>
          <w:rFonts w:ascii="Times New Roman" w:hAnsi="Times New Roman"/>
          <w:sz w:val="24"/>
          <w:szCs w:val="24"/>
          <w:lang w:val="en-US"/>
        </w:rPr>
        <w:t xml:space="preserve"> </w:t>
      </w:r>
      <w:r w:rsidRPr="00DE44E1">
        <w:rPr>
          <w:rFonts w:ascii="Times New Roman" w:hAnsi="Times New Roman"/>
          <w:sz w:val="24"/>
          <w:szCs w:val="24"/>
          <w:lang w:val="en-US"/>
        </w:rPr>
        <w:t xml:space="preserve">Other authors suggest to investigating the size of the bank, the rating models adopted and, the degree of customer relationship (Jayaratne and Wolken, 1999; Berger and Udell, 2002; Stein, 2002; Takats, 2004; Berger </w:t>
      </w:r>
      <w:r w:rsidRPr="00DE44E1">
        <w:rPr>
          <w:rFonts w:ascii="Times New Roman" w:hAnsi="Times New Roman"/>
          <w:i/>
          <w:sz w:val="24"/>
          <w:szCs w:val="24"/>
          <w:lang w:val="en-US"/>
        </w:rPr>
        <w:t>et al</w:t>
      </w:r>
      <w:r w:rsidRPr="00DE44E1">
        <w:rPr>
          <w:rFonts w:ascii="Times New Roman" w:hAnsi="Times New Roman"/>
          <w:sz w:val="24"/>
          <w:szCs w:val="24"/>
          <w:lang w:val="en-US"/>
        </w:rPr>
        <w:t>., 2005</w:t>
      </w:r>
      <w:r w:rsidR="00865CC4" w:rsidRPr="00DE44E1">
        <w:rPr>
          <w:rFonts w:ascii="Times New Roman" w:hAnsi="Times New Roman"/>
          <w:sz w:val="24"/>
          <w:szCs w:val="24"/>
          <w:lang w:val="en-US"/>
        </w:rPr>
        <w:t xml:space="preserve">; Berger and Udell, 2006; </w:t>
      </w:r>
      <w:r w:rsidR="00D638B0" w:rsidRPr="00DE44E1">
        <w:rPr>
          <w:rFonts w:ascii="Times New Roman" w:hAnsi="Times New Roman"/>
          <w:sz w:val="24"/>
          <w:szCs w:val="24"/>
          <w:lang w:val="en-US"/>
        </w:rPr>
        <w:t xml:space="preserve">Modina </w:t>
      </w:r>
      <w:r w:rsidR="00D638B0" w:rsidRPr="00DE44E1">
        <w:rPr>
          <w:rFonts w:ascii="Times New Roman" w:hAnsi="Times New Roman"/>
          <w:i/>
          <w:sz w:val="24"/>
          <w:szCs w:val="24"/>
          <w:lang w:val="en-US"/>
        </w:rPr>
        <w:t>et al</w:t>
      </w:r>
      <w:r w:rsidR="00D638B0" w:rsidRPr="00DE44E1">
        <w:rPr>
          <w:rFonts w:ascii="Times New Roman" w:hAnsi="Times New Roman"/>
          <w:sz w:val="24"/>
          <w:szCs w:val="24"/>
          <w:lang w:val="en-US"/>
        </w:rPr>
        <w:t>., 2013; Formisano, 2016).</w:t>
      </w:r>
    </w:p>
    <w:p w:rsidR="008915F5" w:rsidRPr="00DE44E1" w:rsidRDefault="009D6872" w:rsidP="00E73C57">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 endowment of intangible assets not visible on the financial statements can affect the financial distress of the enterprise. In this regard there are two different schools of thought. The first current of thought states</w:t>
      </w:r>
      <w:r w:rsidR="00012F27" w:rsidRPr="00DE44E1">
        <w:rPr>
          <w:rFonts w:ascii="Times New Roman" w:hAnsi="Times New Roman"/>
          <w:sz w:val="24"/>
          <w:szCs w:val="24"/>
          <w:lang w:val="en-US"/>
        </w:rPr>
        <w:t xml:space="preserve"> </w:t>
      </w:r>
      <w:r w:rsidR="00D638B0" w:rsidRPr="00DE44E1">
        <w:rPr>
          <w:rFonts w:ascii="Times New Roman" w:hAnsi="Times New Roman"/>
          <w:sz w:val="24"/>
          <w:szCs w:val="24"/>
          <w:lang w:val="en-US"/>
        </w:rPr>
        <w:t>(</w:t>
      </w:r>
      <w:r w:rsidR="00012F27" w:rsidRPr="00DE44E1">
        <w:rPr>
          <w:rFonts w:ascii="Times New Roman" w:hAnsi="Times New Roman"/>
          <w:sz w:val="24"/>
          <w:szCs w:val="24"/>
          <w:lang w:val="en-US"/>
        </w:rPr>
        <w:t xml:space="preserve">Harris and Raviv, 1991; </w:t>
      </w:r>
      <w:r w:rsidR="00D638B0" w:rsidRPr="00DE44E1">
        <w:rPr>
          <w:rFonts w:ascii="Times New Roman" w:hAnsi="Times New Roman"/>
          <w:sz w:val="24"/>
          <w:szCs w:val="24"/>
          <w:lang w:val="en-US"/>
        </w:rPr>
        <w:t xml:space="preserve">Degryse and Ongena, 2002; Frank and Goyal, 2003; </w:t>
      </w:r>
      <w:r w:rsidR="00012F27" w:rsidRPr="00DE44E1">
        <w:rPr>
          <w:rFonts w:ascii="Times New Roman" w:hAnsi="Times New Roman"/>
          <w:sz w:val="24"/>
          <w:szCs w:val="24"/>
          <w:lang w:val="en-US"/>
        </w:rPr>
        <w:t xml:space="preserve">Berry, 2004; Cohen, 2005; Heiens </w:t>
      </w:r>
      <w:r w:rsidR="00012F27" w:rsidRPr="00DE44E1">
        <w:rPr>
          <w:rFonts w:ascii="Times New Roman" w:hAnsi="Times New Roman"/>
          <w:i/>
          <w:sz w:val="24"/>
          <w:szCs w:val="24"/>
          <w:lang w:val="en-US"/>
        </w:rPr>
        <w:t>et al</w:t>
      </w:r>
      <w:r w:rsidR="00012F27" w:rsidRPr="00DE44E1">
        <w:rPr>
          <w:rFonts w:ascii="Times New Roman" w:hAnsi="Times New Roman"/>
          <w:sz w:val="24"/>
          <w:szCs w:val="24"/>
          <w:lang w:val="en-US"/>
        </w:rPr>
        <w:t xml:space="preserve">., 2007; Hulten and Hao, 2008; </w:t>
      </w:r>
      <w:r w:rsidR="00D638B0" w:rsidRPr="00DE44E1">
        <w:rPr>
          <w:rFonts w:ascii="Times New Roman" w:hAnsi="Times New Roman"/>
          <w:sz w:val="24"/>
          <w:szCs w:val="24"/>
          <w:lang w:val="en-US"/>
        </w:rPr>
        <w:t xml:space="preserve">Parsons and Titman, 2009; </w:t>
      </w:r>
      <w:r w:rsidR="00012F27" w:rsidRPr="00DE44E1">
        <w:rPr>
          <w:rFonts w:ascii="Times New Roman" w:hAnsi="Times New Roman"/>
          <w:sz w:val="24"/>
          <w:szCs w:val="24"/>
          <w:lang w:val="en-US"/>
        </w:rPr>
        <w:t xml:space="preserve">Fukao </w:t>
      </w:r>
      <w:r w:rsidR="00012F27" w:rsidRPr="00DE44E1">
        <w:rPr>
          <w:rFonts w:ascii="Times New Roman" w:hAnsi="Times New Roman"/>
          <w:i/>
          <w:sz w:val="24"/>
          <w:szCs w:val="24"/>
          <w:lang w:val="en-US"/>
        </w:rPr>
        <w:t>et al</w:t>
      </w:r>
      <w:r w:rsidR="00012F27" w:rsidRPr="00DE44E1">
        <w:rPr>
          <w:rFonts w:ascii="Times New Roman" w:hAnsi="Times New Roman"/>
          <w:sz w:val="24"/>
          <w:szCs w:val="24"/>
          <w:lang w:val="en-US"/>
        </w:rPr>
        <w:t xml:space="preserve">., 2009; Degryse </w:t>
      </w:r>
      <w:r w:rsidR="00012F27" w:rsidRPr="00DE44E1">
        <w:rPr>
          <w:rFonts w:ascii="Times New Roman" w:hAnsi="Times New Roman"/>
          <w:i/>
          <w:sz w:val="24"/>
          <w:szCs w:val="24"/>
          <w:lang w:val="en-US"/>
        </w:rPr>
        <w:t>et al</w:t>
      </w:r>
      <w:r w:rsidR="00012F27" w:rsidRPr="00DE44E1">
        <w:rPr>
          <w:rFonts w:ascii="Times New Roman" w:hAnsi="Times New Roman"/>
          <w:sz w:val="24"/>
          <w:szCs w:val="24"/>
          <w:lang w:val="en-US"/>
        </w:rPr>
        <w:t xml:space="preserve">., 2010; Roulstone, 2011; </w:t>
      </w:r>
      <w:r w:rsidR="00D638B0" w:rsidRPr="00DE44E1">
        <w:rPr>
          <w:rFonts w:ascii="Times New Roman" w:hAnsi="Times New Roman"/>
          <w:sz w:val="24"/>
          <w:szCs w:val="24"/>
          <w:lang w:val="en-US"/>
        </w:rPr>
        <w:t xml:space="preserve">Campello and Giambona, 2011; </w:t>
      </w:r>
      <w:r w:rsidR="00012F27" w:rsidRPr="00DE44E1">
        <w:rPr>
          <w:rFonts w:ascii="Times New Roman" w:hAnsi="Times New Roman"/>
          <w:sz w:val="24"/>
          <w:szCs w:val="24"/>
          <w:lang w:val="en-US"/>
        </w:rPr>
        <w:t xml:space="preserve">Marrocu </w:t>
      </w:r>
      <w:r w:rsidR="00012F27" w:rsidRPr="00DE44E1">
        <w:rPr>
          <w:rFonts w:ascii="Times New Roman" w:hAnsi="Times New Roman"/>
          <w:i/>
          <w:sz w:val="24"/>
          <w:szCs w:val="24"/>
          <w:lang w:val="en-US"/>
        </w:rPr>
        <w:t>et al</w:t>
      </w:r>
      <w:r w:rsidR="00012F27" w:rsidRPr="00DE44E1">
        <w:rPr>
          <w:rFonts w:ascii="Times New Roman" w:hAnsi="Times New Roman"/>
          <w:sz w:val="24"/>
          <w:szCs w:val="24"/>
          <w:lang w:val="en-US"/>
        </w:rPr>
        <w:t xml:space="preserve">., 2012; </w:t>
      </w:r>
      <w:r w:rsidR="00D638B0" w:rsidRPr="00DE44E1">
        <w:rPr>
          <w:rFonts w:ascii="Times New Roman" w:hAnsi="Times New Roman"/>
          <w:sz w:val="24"/>
          <w:szCs w:val="24"/>
          <w:lang w:val="en-US"/>
        </w:rPr>
        <w:t xml:space="preserve">Koksal </w:t>
      </w:r>
      <w:r w:rsidR="00D638B0" w:rsidRPr="00DE44E1">
        <w:rPr>
          <w:rFonts w:ascii="Times New Roman" w:hAnsi="Times New Roman"/>
          <w:i/>
          <w:sz w:val="24"/>
          <w:szCs w:val="24"/>
          <w:lang w:val="en-US"/>
        </w:rPr>
        <w:t>et al</w:t>
      </w:r>
      <w:r w:rsidR="00D638B0" w:rsidRPr="00DE44E1">
        <w:rPr>
          <w:rFonts w:ascii="Times New Roman" w:hAnsi="Times New Roman"/>
          <w:sz w:val="24"/>
          <w:szCs w:val="24"/>
          <w:lang w:val="en-US"/>
        </w:rPr>
        <w:t xml:space="preserve">., 2013; </w:t>
      </w:r>
      <w:r w:rsidR="00012F27" w:rsidRPr="00DE44E1">
        <w:rPr>
          <w:rFonts w:ascii="Times New Roman" w:hAnsi="Times New Roman"/>
          <w:sz w:val="24"/>
          <w:szCs w:val="24"/>
          <w:lang w:val="en-US"/>
        </w:rPr>
        <w:t xml:space="preserve">Lim </w:t>
      </w:r>
      <w:r w:rsidR="00012F27" w:rsidRPr="00DE44E1">
        <w:rPr>
          <w:rFonts w:ascii="Times New Roman" w:hAnsi="Times New Roman"/>
          <w:i/>
          <w:sz w:val="24"/>
          <w:szCs w:val="24"/>
          <w:lang w:val="en-US"/>
        </w:rPr>
        <w:t>et al</w:t>
      </w:r>
      <w:r w:rsidR="00012F27" w:rsidRPr="00DE44E1">
        <w:rPr>
          <w:rFonts w:ascii="Times New Roman" w:hAnsi="Times New Roman"/>
          <w:sz w:val="24"/>
          <w:szCs w:val="24"/>
          <w:lang w:val="en-US"/>
        </w:rPr>
        <w:t xml:space="preserve">., 2014; </w:t>
      </w:r>
      <w:r w:rsidR="00D638B0" w:rsidRPr="00DE44E1">
        <w:rPr>
          <w:rFonts w:ascii="Times New Roman" w:hAnsi="Times New Roman"/>
          <w:sz w:val="24"/>
          <w:szCs w:val="24"/>
          <w:lang w:val="en-US"/>
        </w:rPr>
        <w:t xml:space="preserve">Bulot </w:t>
      </w:r>
      <w:r w:rsidR="00D638B0" w:rsidRPr="00DE44E1">
        <w:rPr>
          <w:rFonts w:ascii="Times New Roman" w:hAnsi="Times New Roman"/>
          <w:i/>
          <w:sz w:val="24"/>
          <w:szCs w:val="24"/>
          <w:lang w:val="en-US"/>
        </w:rPr>
        <w:t>et al</w:t>
      </w:r>
      <w:r w:rsidR="00D638B0" w:rsidRPr="00DE44E1">
        <w:rPr>
          <w:rFonts w:ascii="Times New Roman" w:hAnsi="Times New Roman"/>
          <w:sz w:val="24"/>
          <w:szCs w:val="24"/>
          <w:lang w:val="en-US"/>
        </w:rPr>
        <w:t>., 2015; C</w:t>
      </w:r>
      <w:r w:rsidR="00012F27" w:rsidRPr="00DE44E1">
        <w:rPr>
          <w:rFonts w:ascii="Times New Roman" w:hAnsi="Times New Roman"/>
          <w:sz w:val="24"/>
          <w:szCs w:val="24"/>
          <w:lang w:val="en-US"/>
        </w:rPr>
        <w:t>ucculelli and Bettinelli, 2015)</w:t>
      </w:r>
      <w:r w:rsidRPr="00DE44E1">
        <w:rPr>
          <w:rFonts w:ascii="Times New Roman" w:hAnsi="Times New Roman"/>
          <w:sz w:val="24"/>
          <w:szCs w:val="24"/>
          <w:lang w:val="en-US"/>
        </w:rPr>
        <w:t>: «Firm specific skills, invisible in the budget and that escapes from the traditional analysis, are strategic factors to get out of the business crisis or to alleviate bankruptcy</w:t>
      </w:r>
      <w:r w:rsidR="002402CA" w:rsidRPr="00DE44E1">
        <w:rPr>
          <w:rFonts w:ascii="Times New Roman" w:hAnsi="Times New Roman"/>
          <w:sz w:val="24"/>
          <w:szCs w:val="24"/>
          <w:lang w:val="en-US"/>
        </w:rPr>
        <w:t>/financial distress</w:t>
      </w:r>
      <w:r w:rsidRPr="00DE44E1">
        <w:rPr>
          <w:rFonts w:ascii="Times New Roman" w:hAnsi="Times New Roman"/>
          <w:sz w:val="24"/>
          <w:szCs w:val="24"/>
          <w:lang w:val="en-US"/>
        </w:rPr>
        <w:t xml:space="preserve"> costs».</w:t>
      </w:r>
      <w:r w:rsidR="003E392A" w:rsidRPr="00DE44E1">
        <w:rPr>
          <w:rFonts w:ascii="Times New Roman" w:hAnsi="Times New Roman"/>
          <w:sz w:val="24"/>
          <w:szCs w:val="24"/>
          <w:lang w:val="en-US"/>
        </w:rPr>
        <w:t xml:space="preserve"> More specifically, part of this school of thought states that firm specific skills it allows to get (re)financing under economic conditions to restructure their business. </w:t>
      </w:r>
      <w:r w:rsidRPr="00DE44E1">
        <w:rPr>
          <w:rFonts w:ascii="Times New Roman" w:hAnsi="Times New Roman"/>
          <w:sz w:val="24"/>
          <w:szCs w:val="24"/>
          <w:lang w:val="en-US"/>
        </w:rPr>
        <w:t>The second school of thought, on the other hand, points out that intangibles not visible at the accounting le</w:t>
      </w:r>
      <w:r w:rsidR="003E392A" w:rsidRPr="00DE44E1">
        <w:rPr>
          <w:rFonts w:ascii="Times New Roman" w:hAnsi="Times New Roman"/>
          <w:sz w:val="24"/>
          <w:szCs w:val="24"/>
          <w:lang w:val="en-US"/>
        </w:rPr>
        <w:t xml:space="preserve">vel are a source of problems </w:t>
      </w:r>
      <w:r w:rsidRPr="00DE44E1">
        <w:rPr>
          <w:rFonts w:ascii="Times New Roman" w:hAnsi="Times New Roman"/>
          <w:sz w:val="24"/>
          <w:szCs w:val="24"/>
          <w:lang w:val="en-US"/>
        </w:rPr>
        <w:t>which ultimately re</w:t>
      </w:r>
      <w:r w:rsidR="00E4112C" w:rsidRPr="00DE44E1">
        <w:rPr>
          <w:rFonts w:ascii="Times New Roman" w:hAnsi="Times New Roman"/>
          <w:sz w:val="24"/>
          <w:szCs w:val="24"/>
          <w:lang w:val="en-US"/>
        </w:rPr>
        <w:t>flect negatively on the company’</w:t>
      </w:r>
      <w:r w:rsidRPr="00DE44E1">
        <w:rPr>
          <w:rFonts w:ascii="Times New Roman" w:hAnsi="Times New Roman"/>
          <w:sz w:val="24"/>
          <w:szCs w:val="24"/>
          <w:lang w:val="en-US"/>
        </w:rPr>
        <w:t>s ability to contain financial distress costs. In this regard some authors point out that the high intangible capital endowment, since it is not easily perceivable and quantifiable by stakeholders outside the firm, it determines significant information asymmetries between shareholders/management and third lenders</w:t>
      </w:r>
      <w:r w:rsidR="006B1FC8" w:rsidRPr="00DE44E1">
        <w:rPr>
          <w:rFonts w:ascii="Times New Roman" w:hAnsi="Times New Roman"/>
          <w:sz w:val="24"/>
          <w:szCs w:val="24"/>
          <w:lang w:val="en-US"/>
        </w:rPr>
        <w:t xml:space="preserve"> (Warner, 1977; Haugen and Senbet, 1988; Cutler and Summers, 1988; Giammarino, 1989; Altinkilic and Hansen, 2000; Thorburn, 2000; Jostarndt and Sautner, 2010; Gennaioli and Rossi, 2010).</w:t>
      </w:r>
      <w:r w:rsidRPr="00DE44E1">
        <w:rPr>
          <w:rFonts w:ascii="Times New Roman" w:hAnsi="Times New Roman"/>
          <w:sz w:val="24"/>
          <w:szCs w:val="24"/>
          <w:lang w:val="en-US"/>
        </w:rPr>
        <w:t xml:space="preserve"> These information asymmetries increase when the lender adopts transaction-based banking model rather than relationship-based model, which favour the collection of quantitative and standardized information (hard information). Other authors point out that distressed firms with plenty of intangible assets sustain high indirect costs of bankruptcy</w:t>
      </w:r>
      <w:r w:rsidR="00E73C57" w:rsidRPr="00DE44E1">
        <w:rPr>
          <w:rFonts w:ascii="Times New Roman" w:hAnsi="Times New Roman"/>
          <w:sz w:val="24"/>
          <w:szCs w:val="24"/>
          <w:lang w:val="en-US"/>
        </w:rPr>
        <w:t xml:space="preserve"> </w:t>
      </w:r>
      <w:r w:rsidR="003A1712" w:rsidRPr="00DE44E1">
        <w:rPr>
          <w:rFonts w:ascii="Times New Roman" w:hAnsi="Times New Roman"/>
          <w:sz w:val="24"/>
          <w:szCs w:val="24"/>
          <w:lang w:val="en-US"/>
        </w:rPr>
        <w:t xml:space="preserve">(Gilson </w:t>
      </w:r>
      <w:r w:rsidR="003A1712" w:rsidRPr="00DE44E1">
        <w:rPr>
          <w:rFonts w:ascii="Times New Roman" w:hAnsi="Times New Roman"/>
          <w:i/>
          <w:sz w:val="24"/>
          <w:szCs w:val="24"/>
          <w:lang w:val="en-US"/>
        </w:rPr>
        <w:t>et al</w:t>
      </w:r>
      <w:r w:rsidR="003A1712" w:rsidRPr="00DE44E1">
        <w:rPr>
          <w:rFonts w:ascii="Times New Roman" w:hAnsi="Times New Roman"/>
          <w:sz w:val="24"/>
          <w:szCs w:val="24"/>
          <w:lang w:val="en-US"/>
        </w:rPr>
        <w:t>., 1990;</w:t>
      </w:r>
      <w:r w:rsidR="003A1712" w:rsidRPr="00DE44E1">
        <w:t xml:space="preserve"> </w:t>
      </w:r>
      <w:r w:rsidR="003A1712" w:rsidRPr="00DE44E1">
        <w:rPr>
          <w:rFonts w:ascii="Times New Roman" w:hAnsi="Times New Roman"/>
          <w:sz w:val="24"/>
          <w:szCs w:val="24"/>
          <w:lang w:val="en-US"/>
        </w:rPr>
        <w:t xml:space="preserve">Asquith </w:t>
      </w:r>
      <w:r w:rsidR="003A1712" w:rsidRPr="00DE44E1">
        <w:rPr>
          <w:rFonts w:ascii="Times New Roman" w:hAnsi="Times New Roman"/>
          <w:i/>
          <w:sz w:val="24"/>
          <w:szCs w:val="24"/>
          <w:lang w:val="en-US"/>
        </w:rPr>
        <w:t>et al</w:t>
      </w:r>
      <w:r w:rsidR="003A1712" w:rsidRPr="00DE44E1">
        <w:rPr>
          <w:rFonts w:ascii="Times New Roman" w:hAnsi="Times New Roman"/>
          <w:sz w:val="24"/>
          <w:szCs w:val="24"/>
          <w:lang w:val="en-US"/>
        </w:rPr>
        <w:t>., 1994;</w:t>
      </w:r>
      <w:r w:rsidR="00E73C57" w:rsidRPr="00DE44E1">
        <w:rPr>
          <w:rFonts w:ascii="Times New Roman" w:hAnsi="Times New Roman"/>
          <w:sz w:val="24"/>
          <w:szCs w:val="24"/>
          <w:lang w:val="en-US"/>
        </w:rPr>
        <w:t xml:space="preserve"> Alves and Martins, 2014).</w:t>
      </w:r>
    </w:p>
    <w:p w:rsidR="00A6754F" w:rsidRPr="00DE44E1" w:rsidRDefault="00112DFE" w:rsidP="00B61456">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The theoretical debate about financial distress it lights up further with the analysis of the role of derivatives. Empirical studies show that bankruptcy costs is a further source of incentive for the use of derivatives. </w:t>
      </w:r>
      <w:r w:rsidR="00B61456" w:rsidRPr="00DE44E1">
        <w:rPr>
          <w:rFonts w:ascii="Times New Roman" w:hAnsi="Times New Roman"/>
          <w:sz w:val="24"/>
          <w:szCs w:val="24"/>
          <w:lang w:val="en-US"/>
        </w:rPr>
        <w:t xml:space="preserve">Many empirical studies indicate that the use of derivatives is positively reflected on the creation of firm value. Hedging financial risks (currency, interest rate and commodity risk) reduces the volatility of cash flows and therefore allows for attracting funding to get out of the </w:t>
      </w:r>
      <w:r w:rsidR="00B61456" w:rsidRPr="00DE44E1">
        <w:rPr>
          <w:rFonts w:ascii="Times New Roman" w:hAnsi="Times New Roman"/>
          <w:sz w:val="24"/>
          <w:szCs w:val="24"/>
          <w:lang w:val="en-US"/>
        </w:rPr>
        <w:lastRenderedPageBreak/>
        <w:t xml:space="preserve">financial crisis or to mitigate exit costs from the market. Such evidence emerges from numerous studies; between these: Stulz (1984), Hoshi </w:t>
      </w:r>
      <w:r w:rsidR="00B61456" w:rsidRPr="00DE44E1">
        <w:rPr>
          <w:rFonts w:ascii="Times New Roman" w:hAnsi="Times New Roman"/>
          <w:i/>
          <w:sz w:val="24"/>
          <w:szCs w:val="24"/>
          <w:lang w:val="en-US"/>
        </w:rPr>
        <w:t>et al</w:t>
      </w:r>
      <w:r w:rsidR="00B61456" w:rsidRPr="00DE44E1">
        <w:rPr>
          <w:rFonts w:ascii="Times New Roman" w:hAnsi="Times New Roman"/>
          <w:sz w:val="24"/>
          <w:szCs w:val="24"/>
          <w:lang w:val="en-US"/>
        </w:rPr>
        <w:t xml:space="preserve">. (1991), Bessembinder (1991), Dobson and Soenen (1993), Froot </w:t>
      </w:r>
      <w:r w:rsidR="00B61456" w:rsidRPr="00DE44E1">
        <w:rPr>
          <w:rFonts w:ascii="Times New Roman" w:hAnsi="Times New Roman"/>
          <w:i/>
          <w:sz w:val="24"/>
          <w:szCs w:val="24"/>
          <w:lang w:val="en-US"/>
        </w:rPr>
        <w:t>et al</w:t>
      </w:r>
      <w:r w:rsidR="00B61456" w:rsidRPr="00DE44E1">
        <w:rPr>
          <w:rFonts w:ascii="Times New Roman" w:hAnsi="Times New Roman"/>
          <w:sz w:val="24"/>
          <w:szCs w:val="24"/>
          <w:lang w:val="en-US"/>
        </w:rPr>
        <w:t xml:space="preserve">. (1993), Geczy </w:t>
      </w:r>
      <w:r w:rsidR="00B61456" w:rsidRPr="00DE44E1">
        <w:rPr>
          <w:rFonts w:ascii="Times New Roman" w:hAnsi="Times New Roman"/>
          <w:i/>
          <w:sz w:val="24"/>
          <w:szCs w:val="24"/>
          <w:lang w:val="en-US"/>
        </w:rPr>
        <w:t>et al</w:t>
      </w:r>
      <w:r w:rsidR="00B61456" w:rsidRPr="00DE44E1">
        <w:rPr>
          <w:rFonts w:ascii="Times New Roman" w:hAnsi="Times New Roman"/>
          <w:sz w:val="24"/>
          <w:szCs w:val="24"/>
          <w:lang w:val="en-US"/>
        </w:rPr>
        <w:t xml:space="preserve">. (1997), Gay and Nam (1998), Minton and Schrand (1999), Haushalter (2000), Mello and Parsons (2000), Allayannis and Ofek (2001), and Haushalter </w:t>
      </w:r>
      <w:r w:rsidR="00B61456" w:rsidRPr="00DE44E1">
        <w:rPr>
          <w:rFonts w:ascii="Times New Roman" w:hAnsi="Times New Roman"/>
          <w:i/>
          <w:sz w:val="24"/>
          <w:szCs w:val="24"/>
          <w:lang w:val="en-US"/>
        </w:rPr>
        <w:t>et al</w:t>
      </w:r>
      <w:r w:rsidR="00B61456" w:rsidRPr="00DE44E1">
        <w:rPr>
          <w:rFonts w:ascii="Times New Roman" w:hAnsi="Times New Roman"/>
          <w:sz w:val="24"/>
          <w:szCs w:val="24"/>
          <w:lang w:val="en-US"/>
        </w:rPr>
        <w:t>. (2002).</w:t>
      </w:r>
    </w:p>
    <w:p w:rsidR="0087339C" w:rsidRPr="00DE44E1" w:rsidRDefault="0087339C" w:rsidP="00E73C57">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Our analysis of literature ends with a further aspect: </w:t>
      </w:r>
      <w:r w:rsidR="00C31FAF" w:rsidRPr="00DE44E1">
        <w:rPr>
          <w:rFonts w:ascii="Times New Roman" w:hAnsi="Times New Roman"/>
          <w:sz w:val="24"/>
          <w:szCs w:val="24"/>
          <w:lang w:val="en-US"/>
        </w:rPr>
        <w:t>the country’s system</w:t>
      </w:r>
      <w:r w:rsidRPr="00DE44E1">
        <w:rPr>
          <w:rFonts w:ascii="Times New Roman" w:hAnsi="Times New Roman"/>
          <w:sz w:val="24"/>
          <w:szCs w:val="24"/>
          <w:lang w:val="en-US"/>
        </w:rPr>
        <w:t xml:space="preserve">. The aspects analyzed so far in the literature have to be interpreted in relation </w:t>
      </w:r>
      <w:r w:rsidR="0048541A" w:rsidRPr="00DE44E1">
        <w:rPr>
          <w:rFonts w:ascii="Times New Roman" w:hAnsi="Times New Roman"/>
          <w:sz w:val="24"/>
          <w:szCs w:val="24"/>
          <w:lang w:val="en-US"/>
        </w:rPr>
        <w:t xml:space="preserve">to the political, financial and entrepreneurial system of the country. </w:t>
      </w:r>
      <w:r w:rsidR="00B31B4B" w:rsidRPr="00DE44E1">
        <w:rPr>
          <w:rFonts w:ascii="Times New Roman" w:hAnsi="Times New Roman"/>
          <w:sz w:val="24"/>
          <w:szCs w:val="24"/>
          <w:lang w:val="en-US"/>
        </w:rPr>
        <w:t>German SMEs (so-called Mittelstand) have their own peculiarities to Italian SMEs. Their business policies tend to be especially long-term. The “German Mittelstand” companies are some of the most innovative in Europe: 54% of them launched an innovation onto the market in the 1999 - 2006 period. The “German Mittelstand” relies on sound financing models - chiefly equity and bank loans. The high equity ratio and a cautious approach to expansion enable the companies to undertake medium-term and long-term investments, even in times of crisis. Government supports the “German Mittelstand” on key issues like investment in R&amp;D, the skills shortage, foreign trade and investment, financing needs, company start-ups and company hand-overs. The empirical evidence indicates that Germany’s Mittelstand is exploiting its full potential to raise funds via alternative financing instruments</w:t>
      </w:r>
      <w:r w:rsidR="009D7B0F" w:rsidRPr="00DE44E1">
        <w:t xml:space="preserve"> (</w:t>
      </w:r>
      <w:r w:rsidR="009D7B0F" w:rsidRPr="00DE44E1">
        <w:rPr>
          <w:rFonts w:ascii="Times New Roman" w:hAnsi="Times New Roman"/>
          <w:sz w:val="24"/>
          <w:szCs w:val="24"/>
          <w:lang w:val="en-US"/>
        </w:rPr>
        <w:t>Casey and O’Toole, 2014)</w:t>
      </w:r>
      <w:r w:rsidR="00B31B4B" w:rsidRPr="00DE44E1">
        <w:rPr>
          <w:rFonts w:ascii="Times New Roman" w:hAnsi="Times New Roman"/>
          <w:sz w:val="24"/>
          <w:szCs w:val="24"/>
          <w:lang w:val="en-US"/>
        </w:rPr>
        <w:t xml:space="preserve">. </w:t>
      </w:r>
      <w:r w:rsidR="005F13E3" w:rsidRPr="00DE44E1">
        <w:rPr>
          <w:rFonts w:ascii="Times New Roman" w:hAnsi="Times New Roman"/>
          <w:sz w:val="24"/>
          <w:szCs w:val="24"/>
          <w:lang w:val="en-US"/>
        </w:rPr>
        <w:t xml:space="preserve">It should be noted, in particular, German government’s policy to achieve a tax and accounting system capable of encouraging the use of derivatives. </w:t>
      </w:r>
      <w:r w:rsidR="00B31B4B" w:rsidRPr="00DE44E1">
        <w:rPr>
          <w:rFonts w:ascii="Times New Roman" w:hAnsi="Times New Roman"/>
          <w:sz w:val="24"/>
          <w:szCs w:val="24"/>
          <w:lang w:val="en-US"/>
        </w:rPr>
        <w:t>The same is true for the use of public support programmes given.</w:t>
      </w:r>
      <w:r w:rsidR="003F6614" w:rsidRPr="00DE44E1">
        <w:rPr>
          <w:rFonts w:ascii="Times New Roman" w:hAnsi="Times New Roman"/>
          <w:sz w:val="24"/>
          <w:szCs w:val="24"/>
          <w:lang w:val="en-US"/>
        </w:rPr>
        <w:t xml:space="preserve"> </w:t>
      </w:r>
      <w:r w:rsidR="001720B7" w:rsidRPr="00DE44E1">
        <w:rPr>
          <w:rFonts w:ascii="Times New Roman" w:hAnsi="Times New Roman"/>
          <w:sz w:val="24"/>
          <w:szCs w:val="24"/>
          <w:lang w:val="en-US"/>
        </w:rPr>
        <w:t>Unlike bank-firm relationships in Italy, Germany ones have own features</w:t>
      </w:r>
      <w:r w:rsidR="00F53F4E" w:rsidRPr="00DE44E1">
        <w:rPr>
          <w:rFonts w:ascii="Times New Roman" w:hAnsi="Times New Roman"/>
          <w:sz w:val="24"/>
          <w:szCs w:val="24"/>
          <w:lang w:val="en-US"/>
        </w:rPr>
        <w:t xml:space="preserve"> (</w:t>
      </w:r>
      <w:r w:rsidR="00121461" w:rsidRPr="00DE44E1">
        <w:rPr>
          <w:rFonts w:ascii="Times New Roman" w:hAnsi="Times New Roman"/>
          <w:sz w:val="24"/>
          <w:szCs w:val="24"/>
          <w:lang w:val="en-US"/>
        </w:rPr>
        <w:t xml:space="preserve">Audretsch and Elston, 1997; Hainz and Wiegand, 2013): </w:t>
      </w:r>
      <w:r w:rsidR="001720B7" w:rsidRPr="00DE44E1">
        <w:rPr>
          <w:rFonts w:ascii="Times New Roman" w:hAnsi="Times New Roman"/>
          <w:sz w:val="24"/>
          <w:szCs w:val="24"/>
          <w:lang w:val="en-US"/>
        </w:rPr>
        <w:t>i) Mittelstand companies have close, confidential and long-term-oriented relationship with on</w:t>
      </w:r>
      <w:r w:rsidR="003F6614" w:rsidRPr="00DE44E1">
        <w:rPr>
          <w:rFonts w:ascii="Times New Roman" w:hAnsi="Times New Roman"/>
          <w:sz w:val="24"/>
          <w:szCs w:val="24"/>
          <w:lang w:val="en-US"/>
        </w:rPr>
        <w:t>e main bank, their “</w:t>
      </w:r>
      <w:r w:rsidR="001720B7" w:rsidRPr="00DE44E1">
        <w:rPr>
          <w:rFonts w:ascii="Times New Roman" w:hAnsi="Times New Roman"/>
          <w:sz w:val="24"/>
          <w:szCs w:val="24"/>
          <w:lang w:val="en-US"/>
        </w:rPr>
        <w:t>house bank</w:t>
      </w:r>
      <w:r w:rsidR="003F6614" w:rsidRPr="00DE44E1">
        <w:rPr>
          <w:rFonts w:ascii="Times New Roman" w:hAnsi="Times New Roman"/>
          <w:sz w:val="24"/>
          <w:szCs w:val="24"/>
          <w:lang w:val="en-US"/>
        </w:rPr>
        <w:t>”</w:t>
      </w:r>
      <w:r w:rsidR="001720B7" w:rsidRPr="00DE44E1">
        <w:rPr>
          <w:rFonts w:ascii="Times New Roman" w:hAnsi="Times New Roman"/>
          <w:sz w:val="24"/>
          <w:szCs w:val="24"/>
          <w:lang w:val="en-US"/>
        </w:rPr>
        <w:t>; ii)</w:t>
      </w:r>
      <w:r w:rsidR="003F6614" w:rsidRPr="00DE44E1">
        <w:rPr>
          <w:rFonts w:ascii="Times New Roman" w:hAnsi="Times New Roman"/>
          <w:sz w:val="24"/>
          <w:szCs w:val="24"/>
          <w:lang w:val="en-US"/>
        </w:rPr>
        <w:t xml:space="preserve"> </w:t>
      </w:r>
      <w:r w:rsidR="00F4565D" w:rsidRPr="00DE44E1">
        <w:rPr>
          <w:rFonts w:ascii="Times New Roman" w:hAnsi="Times New Roman"/>
          <w:sz w:val="24"/>
          <w:szCs w:val="24"/>
          <w:lang w:val="en-US"/>
        </w:rPr>
        <w:t>c</w:t>
      </w:r>
      <w:r w:rsidR="001720B7" w:rsidRPr="00DE44E1">
        <w:rPr>
          <w:rFonts w:ascii="Times New Roman" w:hAnsi="Times New Roman"/>
          <w:sz w:val="24"/>
          <w:szCs w:val="24"/>
          <w:lang w:val="en-US"/>
        </w:rPr>
        <w:t>ompanies are willing to disclose</w:t>
      </w:r>
      <w:r w:rsidR="00F4565D" w:rsidRPr="00DE44E1">
        <w:rPr>
          <w:rFonts w:ascii="Times New Roman" w:hAnsi="Times New Roman"/>
          <w:sz w:val="24"/>
          <w:szCs w:val="24"/>
          <w:lang w:val="en-US"/>
        </w:rPr>
        <w:t xml:space="preserve"> sensitive economic data; iii) r</w:t>
      </w:r>
      <w:r w:rsidR="001720B7" w:rsidRPr="00DE44E1">
        <w:rPr>
          <w:rFonts w:ascii="Times New Roman" w:hAnsi="Times New Roman"/>
          <w:sz w:val="24"/>
          <w:szCs w:val="24"/>
          <w:lang w:val="en-US"/>
        </w:rPr>
        <w:t>elatively easy access to long-term bank loans, even under difficu</w:t>
      </w:r>
      <w:r w:rsidR="00F4565D" w:rsidRPr="00DE44E1">
        <w:rPr>
          <w:rFonts w:ascii="Times New Roman" w:hAnsi="Times New Roman"/>
          <w:sz w:val="24"/>
          <w:szCs w:val="24"/>
          <w:lang w:val="en-US"/>
        </w:rPr>
        <w:t>lt economic circumstances; iv) b</w:t>
      </w:r>
      <w:r w:rsidR="001720B7" w:rsidRPr="00DE44E1">
        <w:rPr>
          <w:rFonts w:ascii="Times New Roman" w:hAnsi="Times New Roman"/>
          <w:sz w:val="24"/>
          <w:szCs w:val="24"/>
          <w:lang w:val="en-US"/>
        </w:rPr>
        <w:t>road supply of public (financial) support programmes on national and Land</w:t>
      </w:r>
      <w:r w:rsidR="004025CA" w:rsidRPr="00DE44E1">
        <w:rPr>
          <w:rFonts w:ascii="Times New Roman" w:hAnsi="Times New Roman"/>
          <w:sz w:val="24"/>
          <w:szCs w:val="24"/>
          <w:lang w:val="en-US"/>
        </w:rPr>
        <w:t>-</w:t>
      </w:r>
      <w:r w:rsidR="001720B7" w:rsidRPr="00DE44E1">
        <w:rPr>
          <w:rFonts w:ascii="Times New Roman" w:hAnsi="Times New Roman"/>
          <w:sz w:val="24"/>
          <w:szCs w:val="24"/>
          <w:lang w:val="en-US"/>
        </w:rPr>
        <w:t>level, d</w:t>
      </w:r>
      <w:r w:rsidR="004025CA" w:rsidRPr="00DE44E1">
        <w:rPr>
          <w:rFonts w:ascii="Times New Roman" w:hAnsi="Times New Roman"/>
          <w:sz w:val="24"/>
          <w:szCs w:val="24"/>
          <w:lang w:val="en-US"/>
        </w:rPr>
        <w:t>elive</w:t>
      </w:r>
      <w:r w:rsidR="00F4565D" w:rsidRPr="00DE44E1">
        <w:rPr>
          <w:rFonts w:ascii="Times New Roman" w:hAnsi="Times New Roman"/>
          <w:sz w:val="24"/>
          <w:szCs w:val="24"/>
          <w:lang w:val="en-US"/>
        </w:rPr>
        <w:t>red mainly via house banks; v) t</w:t>
      </w:r>
      <w:r w:rsidR="004025CA" w:rsidRPr="00DE44E1">
        <w:rPr>
          <w:rFonts w:ascii="Times New Roman" w:hAnsi="Times New Roman"/>
          <w:sz w:val="24"/>
          <w:szCs w:val="24"/>
          <w:lang w:val="en-US"/>
        </w:rPr>
        <w:t>he German “house bank” system valorize soft information in rating systems (through-the-cycle ratings).</w:t>
      </w:r>
    </w:p>
    <w:p w:rsidR="004025CA" w:rsidRPr="00DE44E1" w:rsidRDefault="004025CA" w:rsidP="00E73C57">
      <w:pPr>
        <w:widowControl w:val="0"/>
        <w:tabs>
          <w:tab w:val="left" w:pos="425"/>
        </w:tabs>
        <w:spacing w:after="0" w:line="240" w:lineRule="auto"/>
        <w:ind w:firstLine="426"/>
        <w:jc w:val="both"/>
        <w:rPr>
          <w:rFonts w:ascii="Times New Roman" w:hAnsi="Times New Roman"/>
          <w:sz w:val="24"/>
          <w:szCs w:val="24"/>
          <w:lang w:val="en-US"/>
        </w:rPr>
      </w:pPr>
    </w:p>
    <w:p w:rsidR="00413595" w:rsidRPr="00DE44E1" w:rsidRDefault="00B05990" w:rsidP="00B05990">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DE44E1">
        <w:rPr>
          <w:rFonts w:ascii="Times New Roman" w:hAnsi="Times New Roman"/>
          <w:sz w:val="24"/>
          <w:szCs w:val="24"/>
          <w:lang w:val="en-US"/>
        </w:rPr>
        <w:t>Research hypothesis</w:t>
      </w:r>
      <w:r w:rsidR="009E441B" w:rsidRPr="00DE44E1">
        <w:rPr>
          <w:rFonts w:ascii="Times New Roman" w:hAnsi="Times New Roman"/>
          <w:sz w:val="24"/>
          <w:szCs w:val="24"/>
          <w:lang w:val="en-US"/>
        </w:rPr>
        <w:t xml:space="preserve">, </w:t>
      </w:r>
      <w:r w:rsidR="00A36518" w:rsidRPr="00DE44E1">
        <w:rPr>
          <w:rFonts w:ascii="Times New Roman" w:hAnsi="Times New Roman"/>
          <w:sz w:val="24"/>
          <w:szCs w:val="24"/>
          <w:lang w:val="en-US"/>
        </w:rPr>
        <w:t>data and empirical model</w:t>
      </w:r>
    </w:p>
    <w:p w:rsidR="00FD21F8" w:rsidRPr="00DE44E1" w:rsidRDefault="00DF666D"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Most of the data used in the paper are taken from databases maintained by Bureau Van Dijk: Amadeus (a high quality European database), Aida and Mint Italy. From these databases, we gather information on the firm specific data, ownership data, and accounting data for every German and Italian company that satisfies a maximum size threshold. </w:t>
      </w:r>
    </w:p>
    <w:p w:rsidR="00F75119" w:rsidRPr="00DE44E1" w:rsidRDefault="00DF666D"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For Germany and Italy, the databases includes all companies that meet the following criteria: (1) revenues not exceeding €20 m, (2) less than 250 employees, (3) organized in the form of Ltd. Our sample period starts in 1999 (the first year for which we can gather ownership data from the DVDs) and ends in 2006 (the last year before the outbreak of the crisis).</w:t>
      </w:r>
    </w:p>
    <w:p w:rsidR="00B95804" w:rsidRPr="00DE44E1" w:rsidRDefault="00BC6763"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Statistics are based on a sample of approximately </w:t>
      </w:r>
      <w:r w:rsidR="0031630D" w:rsidRPr="00DE44E1">
        <w:rPr>
          <w:rFonts w:ascii="Times New Roman" w:hAnsi="Times New Roman"/>
          <w:sz w:val="24"/>
          <w:szCs w:val="24"/>
          <w:lang w:val="en-US"/>
        </w:rPr>
        <w:t xml:space="preserve">37.787 </w:t>
      </w:r>
      <w:r w:rsidRPr="00DE44E1">
        <w:rPr>
          <w:rFonts w:ascii="Times New Roman" w:hAnsi="Times New Roman"/>
          <w:sz w:val="24"/>
          <w:szCs w:val="24"/>
          <w:lang w:val="en-US"/>
        </w:rPr>
        <w:t xml:space="preserve">SMEs and covers </w:t>
      </w:r>
      <w:r w:rsidR="00F75119" w:rsidRPr="00DE44E1">
        <w:rPr>
          <w:rFonts w:ascii="Times New Roman" w:hAnsi="Times New Roman"/>
          <w:sz w:val="24"/>
          <w:szCs w:val="24"/>
          <w:lang w:val="en-US"/>
        </w:rPr>
        <w:t xml:space="preserve">the </w:t>
      </w:r>
      <w:r w:rsidR="0031630D" w:rsidRPr="00DE44E1">
        <w:rPr>
          <w:rFonts w:ascii="Times New Roman" w:hAnsi="Times New Roman"/>
          <w:sz w:val="24"/>
          <w:szCs w:val="24"/>
          <w:lang w:val="en-US"/>
        </w:rPr>
        <w:t>38</w:t>
      </w:r>
      <w:r w:rsidR="00F75119" w:rsidRPr="00DE44E1">
        <w:rPr>
          <w:rFonts w:ascii="Times New Roman" w:hAnsi="Times New Roman"/>
          <w:sz w:val="24"/>
          <w:szCs w:val="24"/>
          <w:lang w:val="en-US"/>
        </w:rPr>
        <w:t xml:space="preserve">% </w:t>
      </w:r>
      <w:r w:rsidRPr="00DE44E1">
        <w:rPr>
          <w:rFonts w:ascii="Times New Roman" w:hAnsi="Times New Roman"/>
          <w:sz w:val="24"/>
          <w:szCs w:val="24"/>
          <w:lang w:val="en-US"/>
        </w:rPr>
        <w:t xml:space="preserve">of the universe of </w:t>
      </w:r>
      <w:r w:rsidR="00F53F4E" w:rsidRPr="00DE44E1">
        <w:rPr>
          <w:rFonts w:ascii="Times New Roman" w:hAnsi="Times New Roman"/>
          <w:sz w:val="24"/>
          <w:szCs w:val="24"/>
          <w:lang w:val="en-US"/>
        </w:rPr>
        <w:t xml:space="preserve">small and medium sized enterprises </w:t>
      </w:r>
      <w:r w:rsidRPr="00DE44E1">
        <w:rPr>
          <w:rFonts w:ascii="Times New Roman" w:hAnsi="Times New Roman"/>
          <w:sz w:val="24"/>
          <w:szCs w:val="24"/>
          <w:lang w:val="en-US"/>
        </w:rPr>
        <w:t>active in Italy and in Germany</w:t>
      </w:r>
      <w:r w:rsidR="00F75119" w:rsidRPr="00DE44E1">
        <w:rPr>
          <w:rFonts w:ascii="Times New Roman" w:hAnsi="Times New Roman"/>
          <w:sz w:val="24"/>
          <w:szCs w:val="24"/>
          <w:lang w:val="en-US"/>
        </w:rPr>
        <w:t xml:space="preserve"> at the end of 2006</w:t>
      </w:r>
      <w:r w:rsidRPr="00DE44E1">
        <w:rPr>
          <w:rFonts w:ascii="Times New Roman" w:hAnsi="Times New Roman"/>
          <w:sz w:val="24"/>
          <w:szCs w:val="24"/>
          <w:lang w:val="en-US"/>
        </w:rPr>
        <w:t>. T</w:t>
      </w:r>
      <w:r w:rsidR="00F75119" w:rsidRPr="00DE44E1">
        <w:rPr>
          <w:rFonts w:ascii="Times New Roman" w:hAnsi="Times New Roman"/>
          <w:sz w:val="24"/>
          <w:szCs w:val="24"/>
          <w:lang w:val="en-US"/>
        </w:rPr>
        <w:t xml:space="preserve">he investigation has required 385.671 statistic observations. </w:t>
      </w:r>
    </w:p>
    <w:p w:rsidR="000D4945" w:rsidRPr="00DE44E1" w:rsidRDefault="00D4389F"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We consider two measures of </w:t>
      </w:r>
      <w:r w:rsidR="00D8742E" w:rsidRPr="00DE44E1">
        <w:rPr>
          <w:rFonts w:ascii="Times New Roman" w:hAnsi="Times New Roman"/>
          <w:sz w:val="24"/>
          <w:szCs w:val="24"/>
          <w:lang w:val="en-US"/>
        </w:rPr>
        <w:t>risk of bankruptcy</w:t>
      </w:r>
      <w:r w:rsidR="0003121A" w:rsidRPr="00DE44E1">
        <w:rPr>
          <w:rFonts w:ascii="Times New Roman" w:hAnsi="Times New Roman"/>
          <w:sz w:val="24"/>
          <w:szCs w:val="24"/>
          <w:lang w:val="en-US"/>
        </w:rPr>
        <w:t xml:space="preserve">. </w:t>
      </w:r>
      <w:r w:rsidRPr="00DE44E1">
        <w:rPr>
          <w:rFonts w:ascii="Times New Roman" w:hAnsi="Times New Roman"/>
          <w:sz w:val="24"/>
          <w:szCs w:val="24"/>
          <w:lang w:val="en-US"/>
        </w:rPr>
        <w:t>The first measure, Ebitda, is a measure of the degree of financial stress.</w:t>
      </w:r>
      <w:r w:rsidR="00D8742E" w:rsidRPr="00DE44E1">
        <w:rPr>
          <w:rFonts w:ascii="Times New Roman" w:hAnsi="Times New Roman"/>
          <w:sz w:val="24"/>
          <w:szCs w:val="24"/>
          <w:lang w:val="en-US"/>
        </w:rPr>
        <w:t xml:space="preserve"> </w:t>
      </w:r>
      <w:r w:rsidR="00984D25" w:rsidRPr="00DE44E1">
        <w:rPr>
          <w:rFonts w:ascii="Times New Roman" w:hAnsi="Times New Roman"/>
          <w:sz w:val="24"/>
          <w:szCs w:val="24"/>
          <w:lang w:val="en-US"/>
        </w:rPr>
        <w:t xml:space="preserve">The intuition is simple: the lower the </w:t>
      </w:r>
      <w:r w:rsidR="0041097B" w:rsidRPr="00DE44E1">
        <w:rPr>
          <w:rFonts w:ascii="Times New Roman" w:hAnsi="Times New Roman"/>
          <w:sz w:val="24"/>
          <w:szCs w:val="24"/>
          <w:lang w:val="en-US"/>
        </w:rPr>
        <w:t>Ebitda</w:t>
      </w:r>
      <w:r w:rsidR="00984D25" w:rsidRPr="00DE44E1">
        <w:rPr>
          <w:rFonts w:ascii="Times New Roman" w:hAnsi="Times New Roman"/>
          <w:sz w:val="24"/>
          <w:szCs w:val="24"/>
          <w:lang w:val="en-US"/>
        </w:rPr>
        <w:t>, the greater the company’s inability to cover financial expenses.</w:t>
      </w:r>
      <w:r w:rsidR="0092441F" w:rsidRPr="00DE44E1">
        <w:rPr>
          <w:rFonts w:ascii="Times New Roman" w:hAnsi="Times New Roman"/>
          <w:sz w:val="24"/>
          <w:szCs w:val="24"/>
          <w:lang w:val="en-US"/>
        </w:rPr>
        <w:t xml:space="preserve"> </w:t>
      </w:r>
      <w:r w:rsidR="00D8742E" w:rsidRPr="00DE44E1">
        <w:rPr>
          <w:rFonts w:ascii="Times New Roman" w:hAnsi="Times New Roman"/>
          <w:sz w:val="24"/>
          <w:szCs w:val="24"/>
          <w:lang w:val="en-US"/>
        </w:rPr>
        <w:t>The second, debt-to-net worth, is a m</w:t>
      </w:r>
      <w:r w:rsidR="001E1CEB" w:rsidRPr="00DE44E1">
        <w:rPr>
          <w:rFonts w:ascii="Times New Roman" w:hAnsi="Times New Roman"/>
          <w:sz w:val="24"/>
          <w:szCs w:val="24"/>
          <w:lang w:val="en-US"/>
        </w:rPr>
        <w:t>easure of the degree of fragility of the entire financial structure</w:t>
      </w:r>
      <w:r w:rsidR="0092441F" w:rsidRPr="00DE44E1">
        <w:rPr>
          <w:rFonts w:ascii="Times New Roman" w:hAnsi="Times New Roman"/>
          <w:sz w:val="24"/>
          <w:szCs w:val="24"/>
          <w:lang w:val="en-US"/>
        </w:rPr>
        <w:t>; we classifyas deteriorated the financial structure that introduces a increasing in the debt-to-net worth formula for two consecutive periods with concomitant decrease of the denominator.</w:t>
      </w:r>
      <w:r w:rsidR="00C05A59" w:rsidRPr="00DE44E1">
        <w:rPr>
          <w:rFonts w:ascii="Times New Roman" w:hAnsi="Times New Roman"/>
          <w:sz w:val="24"/>
          <w:szCs w:val="24"/>
          <w:lang w:val="en-US"/>
        </w:rPr>
        <w:t xml:space="preserve"> A firm is also considered as financially distressed in the year that immediately follows these events.</w:t>
      </w:r>
    </w:p>
    <w:p w:rsidR="00BD2D6B" w:rsidRPr="00DE44E1" w:rsidRDefault="00B95DC8" w:rsidP="00B95DC8">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From this classification, we can build a variable that captures the probability, ranging from 0 to 1, of a </w:t>
      </w:r>
      <w:r w:rsidR="004938DF" w:rsidRPr="00DE44E1">
        <w:rPr>
          <w:rFonts w:ascii="Times New Roman" w:hAnsi="Times New Roman"/>
          <w:sz w:val="24"/>
          <w:szCs w:val="24"/>
          <w:lang w:val="en-US"/>
        </w:rPr>
        <w:t>firm</w:t>
      </w:r>
      <w:r w:rsidRPr="00DE44E1">
        <w:rPr>
          <w:rFonts w:ascii="Times New Roman" w:hAnsi="Times New Roman"/>
          <w:sz w:val="24"/>
          <w:szCs w:val="24"/>
          <w:lang w:val="en-US"/>
        </w:rPr>
        <w:t xml:space="preserve"> becoming financially distressed. We expect this financial distress likelihood to have a positive impact on the cost of financial distress. </w:t>
      </w:r>
    </w:p>
    <w:p w:rsidR="00DC4B1F" w:rsidRPr="00DE44E1" w:rsidRDefault="00403819" w:rsidP="00673B9A">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In the light of our considerations, we formulate four research hypotheses</w:t>
      </w:r>
      <w:r w:rsidR="00DC4B1F" w:rsidRPr="00DE44E1">
        <w:rPr>
          <w:rFonts w:ascii="Times New Roman" w:hAnsi="Times New Roman"/>
          <w:sz w:val="24"/>
          <w:szCs w:val="24"/>
          <w:lang w:val="en-US"/>
        </w:rPr>
        <w:t>.</w:t>
      </w:r>
    </w:p>
    <w:p w:rsidR="00437521" w:rsidRPr="00DE44E1" w:rsidRDefault="00B95DC8" w:rsidP="00BD2D6B">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w:t>
      </w:r>
      <w:r w:rsidR="00BD2D6B" w:rsidRPr="00DE44E1">
        <w:rPr>
          <w:rFonts w:ascii="Times New Roman" w:hAnsi="Times New Roman"/>
          <w:sz w:val="24"/>
          <w:szCs w:val="24"/>
          <w:lang w:val="en-US"/>
        </w:rPr>
        <w:t>refore, our first hypothesis is</w:t>
      </w:r>
      <w:r w:rsidR="00B141CB" w:rsidRPr="00DE44E1">
        <w:rPr>
          <w:rFonts w:ascii="Times New Roman" w:hAnsi="Times New Roman"/>
          <w:sz w:val="24"/>
          <w:szCs w:val="24"/>
          <w:lang w:val="en-US"/>
        </w:rPr>
        <w:t xml:space="preserve"> [</w:t>
      </w:r>
      <w:r w:rsidR="00960515" w:rsidRPr="00DE44E1">
        <w:rPr>
          <w:rFonts w:ascii="Times New Roman" w:hAnsi="Times New Roman"/>
          <w:i/>
          <w:sz w:val="24"/>
          <w:szCs w:val="24"/>
          <w:lang w:val="en-US"/>
        </w:rPr>
        <w:t>H</w:t>
      </w:r>
      <w:r w:rsidR="00B141CB" w:rsidRPr="00DE44E1">
        <w:rPr>
          <w:rFonts w:ascii="Times New Roman" w:hAnsi="Times New Roman"/>
          <w:i/>
          <w:sz w:val="24"/>
          <w:szCs w:val="24"/>
          <w:lang w:val="en-US"/>
        </w:rPr>
        <w:t>1</w:t>
      </w:r>
      <w:r w:rsidR="00B141CB" w:rsidRPr="00DE44E1">
        <w:rPr>
          <w:rFonts w:ascii="Times New Roman" w:hAnsi="Times New Roman"/>
          <w:sz w:val="24"/>
          <w:szCs w:val="24"/>
          <w:lang w:val="en-US"/>
        </w:rPr>
        <w:t>]</w:t>
      </w:r>
      <w:r w:rsidR="008B47E1" w:rsidRPr="00DE44E1">
        <w:rPr>
          <w:rFonts w:ascii="Times New Roman" w:hAnsi="Times New Roman"/>
          <w:sz w:val="24"/>
          <w:szCs w:val="24"/>
          <w:lang w:val="en-US"/>
        </w:rPr>
        <w:t>:</w:t>
      </w:r>
      <w:r w:rsidR="009E03E3" w:rsidRPr="00DE44E1">
        <w:rPr>
          <w:rFonts w:ascii="Times New Roman" w:hAnsi="Times New Roman"/>
          <w:sz w:val="24"/>
          <w:szCs w:val="24"/>
          <w:lang w:val="en-US"/>
        </w:rPr>
        <w:t xml:space="preserve"> </w:t>
      </w:r>
      <w:r w:rsidR="008B47E1" w:rsidRPr="00DE44E1">
        <w:rPr>
          <w:rFonts w:ascii="Times New Roman" w:hAnsi="Times New Roman"/>
          <w:sz w:val="24"/>
          <w:szCs w:val="24"/>
          <w:lang w:val="en-US"/>
        </w:rPr>
        <w:t>«</w:t>
      </w:r>
      <w:r w:rsidR="009E03E3" w:rsidRPr="00DE44E1">
        <w:rPr>
          <w:rFonts w:ascii="Times New Roman" w:hAnsi="Times New Roman"/>
          <w:sz w:val="24"/>
          <w:szCs w:val="24"/>
          <w:lang w:val="en-US"/>
        </w:rPr>
        <w:t xml:space="preserve">There is a positive relationship between financial distress likelihood and (ex-ante) financial distress costs. This relationship is considered valid regardless of </w:t>
      </w:r>
      <w:r w:rsidR="009E03E3" w:rsidRPr="00DE44E1">
        <w:rPr>
          <w:rFonts w:ascii="Times New Roman" w:hAnsi="Times New Roman"/>
          <w:sz w:val="24"/>
          <w:szCs w:val="24"/>
          <w:lang w:val="en-US"/>
        </w:rPr>
        <w:lastRenderedPageBreak/>
        <w:t>the country of origin of the enterprise</w:t>
      </w:r>
      <w:r w:rsidR="008B47E1" w:rsidRPr="00DE44E1">
        <w:rPr>
          <w:rFonts w:ascii="Times New Roman" w:hAnsi="Times New Roman"/>
          <w:sz w:val="24"/>
          <w:szCs w:val="24"/>
          <w:lang w:val="en-US"/>
        </w:rPr>
        <w:t>».</w:t>
      </w:r>
    </w:p>
    <w:p w:rsidR="00B95DC8" w:rsidRPr="00DE44E1" w:rsidRDefault="00437521" w:rsidP="0043752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The analysis continues with the formulation of further three research hypotheses that show, regardless of the country of origin of the enterprise, the negative relationship with the expected financial distress costs (ExpFDC): </w:t>
      </w:r>
      <w:r w:rsidR="008B47E1" w:rsidRPr="00DE44E1">
        <w:rPr>
          <w:rFonts w:ascii="Times New Roman" w:hAnsi="Times New Roman"/>
          <w:sz w:val="24"/>
          <w:szCs w:val="24"/>
          <w:lang w:val="en-US"/>
        </w:rPr>
        <w:t>I</w:t>
      </w:r>
      <w:r w:rsidRPr="00DE44E1">
        <w:rPr>
          <w:rFonts w:ascii="Times New Roman" w:hAnsi="Times New Roman"/>
          <w:sz w:val="24"/>
          <w:szCs w:val="24"/>
          <w:lang w:val="en-US"/>
        </w:rPr>
        <w:t xml:space="preserve">ntangible assets (hypothesis 2), </w:t>
      </w:r>
      <w:r w:rsidR="00B95DC8" w:rsidRPr="00DE44E1">
        <w:rPr>
          <w:rFonts w:ascii="Times New Roman" w:hAnsi="Times New Roman"/>
          <w:sz w:val="24"/>
          <w:szCs w:val="24"/>
          <w:lang w:val="en-US"/>
        </w:rPr>
        <w:t>Banking localism (hypothesis 3)</w:t>
      </w:r>
      <w:r w:rsidRPr="00DE44E1">
        <w:rPr>
          <w:rFonts w:ascii="Times New Roman" w:hAnsi="Times New Roman"/>
          <w:sz w:val="24"/>
          <w:szCs w:val="24"/>
          <w:lang w:val="en-US"/>
        </w:rPr>
        <w:t xml:space="preserve"> and </w:t>
      </w:r>
      <w:r w:rsidR="00B95DC8" w:rsidRPr="00DE44E1">
        <w:rPr>
          <w:rFonts w:ascii="Times New Roman" w:hAnsi="Times New Roman"/>
          <w:sz w:val="24"/>
          <w:szCs w:val="24"/>
          <w:lang w:val="en-US"/>
        </w:rPr>
        <w:t>Derivative financial instruments (hypothesis 4).</w:t>
      </w:r>
    </w:p>
    <w:p w:rsidR="002C0795" w:rsidRPr="00DE44E1" w:rsidRDefault="008B47E1" w:rsidP="00CF4596">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With reference to the hypothesis 2 it is believed that the endowment of intangible assets (invisible as regards accounts) on the total assets of a firm [INTAN] </w:t>
      </w:r>
      <w:r w:rsidR="002C0795" w:rsidRPr="00DE44E1">
        <w:rPr>
          <w:rFonts w:ascii="Times New Roman" w:hAnsi="Times New Roman"/>
          <w:sz w:val="24"/>
          <w:szCs w:val="24"/>
          <w:lang w:val="en-US"/>
        </w:rPr>
        <w:t>is a measure of its ability to do according to a long-term strategic logic and value oriented and so to get (re)financing under economic conditions to restructure the business.</w:t>
      </w:r>
    </w:p>
    <w:p w:rsidR="00CC4260" w:rsidRDefault="002A50C0"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For the enterprises subject to restructuring, there are some focal aspects</w:t>
      </w:r>
      <w:r w:rsidR="00405A91" w:rsidRPr="00DE44E1">
        <w:rPr>
          <w:rFonts w:ascii="Times New Roman" w:hAnsi="Times New Roman"/>
          <w:sz w:val="24"/>
          <w:szCs w:val="24"/>
          <w:lang w:val="en-US"/>
        </w:rPr>
        <w:t xml:space="preserve"> (Lenz, 1981; McNair </w:t>
      </w:r>
      <w:r w:rsidR="00405A91" w:rsidRPr="00DE44E1">
        <w:rPr>
          <w:rFonts w:ascii="Times New Roman" w:hAnsi="Times New Roman"/>
          <w:i/>
          <w:sz w:val="24"/>
          <w:szCs w:val="24"/>
          <w:lang w:val="en-US"/>
        </w:rPr>
        <w:t>et al</w:t>
      </w:r>
      <w:r w:rsidR="00405A91" w:rsidRPr="00DE44E1">
        <w:rPr>
          <w:rFonts w:ascii="Times New Roman" w:hAnsi="Times New Roman"/>
          <w:sz w:val="24"/>
          <w:szCs w:val="24"/>
          <w:lang w:val="en-US"/>
        </w:rPr>
        <w:t xml:space="preserve">.,1990; Neely, 1999; Bontisa </w:t>
      </w:r>
      <w:r w:rsidR="00405A91" w:rsidRPr="00DE44E1">
        <w:rPr>
          <w:rFonts w:ascii="Times New Roman" w:hAnsi="Times New Roman"/>
          <w:i/>
          <w:sz w:val="24"/>
          <w:szCs w:val="24"/>
          <w:lang w:val="en-US"/>
        </w:rPr>
        <w:t>et al</w:t>
      </w:r>
      <w:r w:rsidR="00405A91" w:rsidRPr="00DE44E1">
        <w:rPr>
          <w:rFonts w:ascii="Times New Roman" w:hAnsi="Times New Roman"/>
          <w:sz w:val="24"/>
          <w:szCs w:val="24"/>
          <w:lang w:val="en-US"/>
        </w:rPr>
        <w:t xml:space="preserve">., 1999; Buckmaster, 2000; Unger, 2000; Joia, 2000; Ching and Yang, 2000; Harris and Ogbonna, 2001; Dubrovski, 2001; Hoque </w:t>
      </w:r>
      <w:r w:rsidR="00405A91" w:rsidRPr="00DE44E1">
        <w:rPr>
          <w:rFonts w:ascii="Times New Roman" w:hAnsi="Times New Roman"/>
          <w:i/>
          <w:sz w:val="24"/>
          <w:szCs w:val="24"/>
          <w:lang w:val="en-US"/>
        </w:rPr>
        <w:t>et al</w:t>
      </w:r>
      <w:bookmarkStart w:id="0" w:name="_GoBack"/>
      <w:bookmarkEnd w:id="0"/>
      <w:r w:rsidR="00405A91" w:rsidRPr="00DE44E1">
        <w:rPr>
          <w:rFonts w:ascii="Times New Roman" w:hAnsi="Times New Roman"/>
          <w:sz w:val="24"/>
          <w:szCs w:val="24"/>
          <w:lang w:val="en-US"/>
        </w:rPr>
        <w:t xml:space="preserve">., 2001; Schwarz </w:t>
      </w:r>
      <w:r w:rsidR="00405A91" w:rsidRPr="00DE44E1">
        <w:rPr>
          <w:rFonts w:ascii="Times New Roman" w:hAnsi="Times New Roman"/>
          <w:i/>
          <w:sz w:val="24"/>
          <w:szCs w:val="24"/>
          <w:lang w:val="en-US"/>
        </w:rPr>
        <w:t>et al</w:t>
      </w:r>
      <w:r w:rsidR="00405A91" w:rsidRPr="00DE44E1">
        <w:rPr>
          <w:rFonts w:ascii="Times New Roman" w:hAnsi="Times New Roman"/>
          <w:sz w:val="24"/>
          <w:szCs w:val="24"/>
          <w:lang w:val="en-US"/>
        </w:rPr>
        <w:t>., 2002; Catasis and Gröjer, 2003; Katcher, 2003):</w:t>
      </w:r>
      <w:r w:rsidRPr="00DE44E1">
        <w:rPr>
          <w:rFonts w:ascii="Times New Roman" w:hAnsi="Times New Roman"/>
          <w:sz w:val="24"/>
          <w:szCs w:val="24"/>
          <w:lang w:val="en-US"/>
        </w:rPr>
        <w:t xml:space="preserve"> clientele’s quality, contractual power with the suppliers, reliability of the plans and sustainability of the investments, R&amp;D investment, </w:t>
      </w:r>
      <w:r w:rsidR="00CC4260" w:rsidRPr="00DE44E1">
        <w:rPr>
          <w:rFonts w:ascii="Times New Roman" w:hAnsi="Times New Roman"/>
          <w:sz w:val="24"/>
          <w:szCs w:val="24"/>
          <w:lang w:val="en-US"/>
        </w:rPr>
        <w:t>process control systems</w:t>
      </w:r>
      <w:r w:rsidRPr="00DE44E1">
        <w:rPr>
          <w:rFonts w:ascii="Times New Roman" w:hAnsi="Times New Roman"/>
          <w:sz w:val="24"/>
          <w:szCs w:val="24"/>
          <w:lang w:val="en-US"/>
        </w:rPr>
        <w:t xml:space="preserve">, management skills, credibility of management, brand development, </w:t>
      </w:r>
      <w:r w:rsidR="00CC4260" w:rsidRPr="00DE44E1">
        <w:rPr>
          <w:rFonts w:ascii="Times New Roman" w:hAnsi="Times New Roman"/>
          <w:sz w:val="24"/>
          <w:szCs w:val="24"/>
          <w:lang w:val="en-US"/>
        </w:rPr>
        <w:t>i</w:t>
      </w:r>
      <w:r w:rsidRPr="00DE44E1">
        <w:rPr>
          <w:rFonts w:ascii="Times New Roman" w:hAnsi="Times New Roman"/>
          <w:sz w:val="24"/>
          <w:szCs w:val="24"/>
          <w:lang w:val="en-US"/>
        </w:rPr>
        <w:t>nvestment in training</w:t>
      </w:r>
      <w:r w:rsidR="006226B5" w:rsidRPr="00DE44E1">
        <w:rPr>
          <w:rFonts w:ascii="Times New Roman" w:hAnsi="Times New Roman"/>
          <w:sz w:val="24"/>
          <w:szCs w:val="24"/>
          <w:lang w:val="en-US"/>
        </w:rPr>
        <w:t>, after sales, entrepreneurship and management experience, business continuity, and governance.</w:t>
      </w:r>
      <w:r w:rsidR="00070377">
        <w:rPr>
          <w:rFonts w:ascii="Times New Roman" w:hAnsi="Times New Roman"/>
          <w:sz w:val="24"/>
          <w:szCs w:val="24"/>
          <w:lang w:val="en-US"/>
        </w:rPr>
        <w:t xml:space="preserve"> </w:t>
      </w:r>
      <w:r w:rsidR="008B47E1" w:rsidRPr="00DE44E1">
        <w:rPr>
          <w:rFonts w:ascii="Times New Roman" w:hAnsi="Times New Roman"/>
          <w:sz w:val="24"/>
          <w:szCs w:val="24"/>
          <w:lang w:val="en-US"/>
        </w:rPr>
        <w:t xml:space="preserve">Such data </w:t>
      </w:r>
      <w:proofErr w:type="gramStart"/>
      <w:r w:rsidR="008B47E1" w:rsidRPr="00DE44E1">
        <w:rPr>
          <w:rFonts w:ascii="Times New Roman" w:hAnsi="Times New Roman"/>
          <w:sz w:val="24"/>
          <w:szCs w:val="24"/>
          <w:lang w:val="en-US"/>
        </w:rPr>
        <w:t>have been picked</w:t>
      </w:r>
      <w:proofErr w:type="gramEnd"/>
      <w:r w:rsidR="008B47E1" w:rsidRPr="00DE44E1">
        <w:rPr>
          <w:rFonts w:ascii="Times New Roman" w:hAnsi="Times New Roman"/>
          <w:sz w:val="24"/>
          <w:szCs w:val="24"/>
          <w:lang w:val="en-US"/>
        </w:rPr>
        <w:t xml:space="preserve"> after an access to </w:t>
      </w:r>
      <w:proofErr w:type="spellStart"/>
      <w:r w:rsidR="006C28B3" w:rsidRPr="00DE44E1">
        <w:rPr>
          <w:rFonts w:ascii="Times New Roman" w:hAnsi="Times New Roman"/>
          <w:sz w:val="24"/>
          <w:szCs w:val="24"/>
          <w:lang w:val="en-US"/>
        </w:rPr>
        <w:t>BvD</w:t>
      </w:r>
      <w:proofErr w:type="spellEnd"/>
      <w:r w:rsidR="006C28B3" w:rsidRPr="00DE44E1">
        <w:rPr>
          <w:rFonts w:ascii="Times New Roman" w:hAnsi="Times New Roman"/>
          <w:sz w:val="24"/>
          <w:szCs w:val="24"/>
          <w:lang w:val="en-US"/>
        </w:rPr>
        <w:t xml:space="preserve"> databases</w:t>
      </w:r>
      <w:r w:rsidR="00DC2AF0" w:rsidRPr="00DE44E1">
        <w:rPr>
          <w:rFonts w:ascii="Times New Roman" w:hAnsi="Times New Roman"/>
          <w:sz w:val="24"/>
          <w:szCs w:val="24"/>
          <w:lang w:val="en-US"/>
        </w:rPr>
        <w:t>.</w:t>
      </w:r>
      <w:r w:rsidR="00070377">
        <w:rPr>
          <w:rFonts w:ascii="Times New Roman" w:hAnsi="Times New Roman"/>
          <w:sz w:val="24"/>
          <w:szCs w:val="24"/>
          <w:lang w:val="en-US"/>
        </w:rPr>
        <w:t xml:space="preserve"> </w:t>
      </w:r>
      <w:r w:rsidR="008B47E1" w:rsidRPr="00DE44E1">
        <w:rPr>
          <w:rFonts w:ascii="Times New Roman" w:hAnsi="Times New Roman"/>
          <w:sz w:val="24"/>
          <w:szCs w:val="24"/>
          <w:lang w:val="en-US"/>
        </w:rPr>
        <w:t xml:space="preserve">The data have opportunely been quantified through a scoring and normalization process and in order to get homogeneous values among </w:t>
      </w:r>
      <w:proofErr w:type="gramStart"/>
      <w:r w:rsidR="008B47E1" w:rsidRPr="00DE44E1">
        <w:rPr>
          <w:rFonts w:ascii="Times New Roman" w:hAnsi="Times New Roman"/>
          <w:sz w:val="24"/>
          <w:szCs w:val="24"/>
          <w:lang w:val="en-US"/>
        </w:rPr>
        <w:t>0</w:t>
      </w:r>
      <w:proofErr w:type="gramEnd"/>
      <w:r w:rsidR="008B47E1" w:rsidRPr="00DE44E1">
        <w:rPr>
          <w:rFonts w:ascii="Times New Roman" w:hAnsi="Times New Roman"/>
          <w:sz w:val="24"/>
          <w:szCs w:val="24"/>
          <w:lang w:val="en-US"/>
        </w:rPr>
        <w:t xml:space="preserve"> and 1 (Min. 0 </w:t>
      </w:r>
      <w:r w:rsidR="004760D1" w:rsidRPr="00DE44E1">
        <w:rPr>
          <w:rFonts w:ascii="Times New Roman" w:hAnsi="Times New Roman"/>
          <w:sz w:val="24"/>
          <w:szCs w:val="24"/>
          <w:lang w:val="en-US"/>
        </w:rPr>
        <w:t>-</w:t>
      </w:r>
      <w:r w:rsidR="008B47E1" w:rsidRPr="00DE44E1">
        <w:rPr>
          <w:rFonts w:ascii="Times New Roman" w:hAnsi="Times New Roman"/>
          <w:sz w:val="24"/>
          <w:szCs w:val="24"/>
          <w:lang w:val="en-US"/>
        </w:rPr>
        <w:t xml:space="preserve"> Max 1). </w:t>
      </w:r>
      <w:r w:rsidR="00CC4260" w:rsidRPr="00DE44E1">
        <w:rPr>
          <w:rFonts w:ascii="Times New Roman" w:hAnsi="Times New Roman"/>
          <w:sz w:val="24"/>
          <w:szCs w:val="24"/>
          <w:lang w:val="en-US"/>
        </w:rPr>
        <w:t>Table 1 highlights the main results of the normalization process.</w:t>
      </w:r>
    </w:p>
    <w:p w:rsidR="003456A5" w:rsidRDefault="003456A5" w:rsidP="003456A5">
      <w:pPr>
        <w:spacing w:after="120" w:line="240" w:lineRule="auto"/>
        <w:rPr>
          <w:rFonts w:ascii="Times New Roman" w:hAnsi="Times New Roman"/>
          <w:b/>
        </w:rPr>
      </w:pPr>
    </w:p>
    <w:p w:rsidR="003456A5" w:rsidRPr="00DE44E1" w:rsidRDefault="003456A5" w:rsidP="003456A5">
      <w:pPr>
        <w:spacing w:after="120" w:line="240" w:lineRule="auto"/>
        <w:rPr>
          <w:rFonts w:ascii="Times New Roman" w:hAnsi="Times New Roman"/>
          <w:sz w:val="24"/>
          <w:szCs w:val="24"/>
          <w:lang w:val="en-US"/>
        </w:rPr>
      </w:pPr>
      <w:proofErr w:type="spellStart"/>
      <w:r w:rsidRPr="00DE44E1">
        <w:rPr>
          <w:rFonts w:ascii="Times New Roman" w:hAnsi="Times New Roman"/>
          <w:b/>
        </w:rPr>
        <w:t>Table</w:t>
      </w:r>
      <w:proofErr w:type="spellEnd"/>
      <w:r w:rsidRPr="00DE44E1">
        <w:rPr>
          <w:rFonts w:ascii="Times New Roman" w:hAnsi="Times New Roman"/>
          <w:b/>
        </w:rPr>
        <w:t xml:space="preserve"> 1</w:t>
      </w:r>
      <w:r w:rsidRPr="00DE44E1">
        <w:rPr>
          <w:rFonts w:ascii="Times New Roman" w:hAnsi="Times New Roman"/>
        </w:rPr>
        <w:t xml:space="preserve">. </w:t>
      </w:r>
      <w:proofErr w:type="spellStart"/>
      <w:r w:rsidRPr="00DE44E1">
        <w:rPr>
          <w:rFonts w:ascii="Times New Roman" w:hAnsi="Times New Roman"/>
        </w:rPr>
        <w:t>Normalization</w:t>
      </w:r>
      <w:proofErr w:type="spellEnd"/>
      <w:r w:rsidRPr="00DE44E1">
        <w:rPr>
          <w:rFonts w:ascii="Times New Roman" w:hAnsi="Times New Roman"/>
        </w:rPr>
        <w:t xml:space="preserve"> </w:t>
      </w:r>
      <w:proofErr w:type="spellStart"/>
      <w:r w:rsidRPr="00DE44E1">
        <w:rPr>
          <w:rFonts w:ascii="Times New Roman" w:hAnsi="Times New Roman"/>
        </w:rPr>
        <w:t>process</w:t>
      </w:r>
      <w:proofErr w:type="spellEnd"/>
    </w:p>
    <w:tbl>
      <w:tblPr>
        <w:tblStyle w:val="Tabellasemplice-2"/>
        <w:tblW w:w="5000" w:type="pct"/>
        <w:tblLayout w:type="fixed"/>
        <w:tblLook w:val="04A0" w:firstRow="1" w:lastRow="0" w:firstColumn="1" w:lastColumn="0" w:noHBand="0" w:noVBand="1"/>
      </w:tblPr>
      <w:tblGrid>
        <w:gridCol w:w="1701"/>
        <w:gridCol w:w="1417"/>
        <w:gridCol w:w="1417"/>
        <w:gridCol w:w="1419"/>
        <w:gridCol w:w="1417"/>
        <w:gridCol w:w="1049"/>
        <w:gridCol w:w="1218"/>
      </w:tblGrid>
      <w:tr w:rsidR="003456A5" w:rsidRPr="00DE44E1" w:rsidTr="00295A5F">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882" w:type="pct"/>
            <w:vAlign w:val="center"/>
            <w:hideMark/>
          </w:tcPr>
          <w:p w:rsidR="003456A5" w:rsidRPr="00DE44E1" w:rsidRDefault="003456A5" w:rsidP="00295A5F">
            <w:pPr>
              <w:spacing w:after="0" w:line="240" w:lineRule="auto"/>
              <w:jc w:val="center"/>
              <w:rPr>
                <w:rFonts w:ascii="Times New Roman" w:eastAsia="Times New Roman" w:hAnsi="Times New Roman"/>
                <w:bCs w:val="0"/>
                <w:sz w:val="20"/>
                <w:szCs w:val="20"/>
                <w:lang w:eastAsia="it-IT"/>
              </w:rPr>
            </w:pPr>
            <w:proofErr w:type="spellStart"/>
            <w:r w:rsidRPr="00DE44E1">
              <w:rPr>
                <w:rFonts w:ascii="Times New Roman" w:eastAsia="Times New Roman" w:hAnsi="Times New Roman"/>
                <w:bCs w:val="0"/>
                <w:sz w:val="20"/>
                <w:szCs w:val="20"/>
                <w:lang w:eastAsia="it-IT"/>
              </w:rPr>
              <w:t>Focal</w:t>
            </w:r>
            <w:proofErr w:type="spellEnd"/>
            <w:r w:rsidRPr="00DE44E1">
              <w:rPr>
                <w:rFonts w:ascii="Times New Roman" w:eastAsia="Times New Roman" w:hAnsi="Times New Roman"/>
                <w:bCs w:val="0"/>
                <w:sz w:val="20"/>
                <w:szCs w:val="20"/>
                <w:lang w:eastAsia="it-IT"/>
              </w:rPr>
              <w:t xml:space="preserve"> </w:t>
            </w:r>
            <w:proofErr w:type="spellStart"/>
            <w:r w:rsidRPr="00DE44E1">
              <w:rPr>
                <w:rFonts w:ascii="Times New Roman" w:eastAsia="Times New Roman" w:hAnsi="Times New Roman"/>
                <w:bCs w:val="0"/>
                <w:sz w:val="20"/>
                <w:szCs w:val="20"/>
                <w:lang w:eastAsia="it-IT"/>
              </w:rPr>
              <w:t>aspects</w:t>
            </w:r>
            <w:proofErr w:type="spellEnd"/>
          </w:p>
        </w:tc>
        <w:tc>
          <w:tcPr>
            <w:tcW w:w="735" w:type="pct"/>
            <w:vAlign w:val="center"/>
            <w:hideMark/>
          </w:tcPr>
          <w:p w:rsidR="003456A5" w:rsidRPr="00DE44E1" w:rsidRDefault="003456A5" w:rsidP="00295A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it-IT"/>
              </w:rPr>
            </w:pPr>
            <w:proofErr w:type="spellStart"/>
            <w:r w:rsidRPr="00DE44E1">
              <w:rPr>
                <w:rFonts w:ascii="Times New Roman" w:eastAsia="Times New Roman" w:hAnsi="Times New Roman"/>
                <w:bCs w:val="0"/>
                <w:sz w:val="20"/>
                <w:szCs w:val="20"/>
                <w:lang w:eastAsia="it-IT"/>
              </w:rPr>
              <w:t>Scoring</w:t>
            </w:r>
            <w:proofErr w:type="spellEnd"/>
          </w:p>
        </w:tc>
        <w:tc>
          <w:tcPr>
            <w:tcW w:w="735" w:type="pct"/>
            <w:vAlign w:val="center"/>
            <w:hideMark/>
          </w:tcPr>
          <w:p w:rsidR="003456A5" w:rsidRPr="00DE44E1" w:rsidRDefault="003456A5" w:rsidP="00295A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it-IT"/>
              </w:rPr>
            </w:pPr>
            <w:r w:rsidRPr="00DE44E1">
              <w:rPr>
                <w:rFonts w:ascii="Times New Roman" w:eastAsia="Times New Roman" w:hAnsi="Times New Roman"/>
                <w:bCs w:val="0"/>
                <w:sz w:val="20"/>
                <w:szCs w:val="20"/>
                <w:lang w:eastAsia="it-IT"/>
              </w:rPr>
              <w:t xml:space="preserve">N. </w:t>
            </w:r>
            <w:proofErr w:type="spellStart"/>
            <w:r w:rsidRPr="00DE44E1">
              <w:rPr>
                <w:rFonts w:ascii="Times New Roman" w:eastAsia="Times New Roman" w:hAnsi="Times New Roman"/>
                <w:bCs w:val="0"/>
                <w:sz w:val="20"/>
                <w:szCs w:val="20"/>
                <w:lang w:eastAsia="it-IT"/>
              </w:rPr>
              <w:t>Observations</w:t>
            </w:r>
            <w:proofErr w:type="spellEnd"/>
            <w:r w:rsidRPr="00DE44E1">
              <w:rPr>
                <w:rFonts w:ascii="Times New Roman" w:eastAsia="Times New Roman" w:hAnsi="Times New Roman"/>
                <w:bCs w:val="0"/>
                <w:sz w:val="20"/>
                <w:szCs w:val="20"/>
                <w:lang w:eastAsia="it-IT"/>
              </w:rPr>
              <w:t xml:space="preserve"> Total      sample</w:t>
            </w:r>
          </w:p>
        </w:tc>
        <w:tc>
          <w:tcPr>
            <w:tcW w:w="736" w:type="pct"/>
            <w:vAlign w:val="center"/>
            <w:hideMark/>
          </w:tcPr>
          <w:p w:rsidR="003456A5" w:rsidRPr="00DE44E1" w:rsidRDefault="003456A5" w:rsidP="00295A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it-IT"/>
              </w:rPr>
            </w:pPr>
            <w:r w:rsidRPr="00DE44E1">
              <w:rPr>
                <w:rFonts w:ascii="Times New Roman" w:eastAsia="Times New Roman" w:hAnsi="Times New Roman"/>
                <w:bCs w:val="0"/>
                <w:sz w:val="20"/>
                <w:szCs w:val="20"/>
                <w:lang w:eastAsia="it-IT"/>
              </w:rPr>
              <w:t xml:space="preserve">N. </w:t>
            </w:r>
            <w:proofErr w:type="spellStart"/>
            <w:r w:rsidRPr="00DE44E1">
              <w:rPr>
                <w:rFonts w:ascii="Times New Roman" w:eastAsia="Times New Roman" w:hAnsi="Times New Roman"/>
                <w:bCs w:val="0"/>
                <w:sz w:val="20"/>
                <w:szCs w:val="20"/>
                <w:lang w:eastAsia="it-IT"/>
              </w:rPr>
              <w:t>Observations</w:t>
            </w:r>
            <w:proofErr w:type="spellEnd"/>
            <w:r w:rsidRPr="00DE44E1">
              <w:rPr>
                <w:rFonts w:ascii="Times New Roman" w:eastAsia="Times New Roman" w:hAnsi="Times New Roman"/>
                <w:bCs w:val="0"/>
                <w:sz w:val="20"/>
                <w:szCs w:val="20"/>
                <w:lang w:eastAsia="it-IT"/>
              </w:rPr>
              <w:t xml:space="preserve"> </w:t>
            </w:r>
            <w:proofErr w:type="spellStart"/>
            <w:r w:rsidRPr="00DE44E1">
              <w:rPr>
                <w:rFonts w:ascii="Times New Roman" w:eastAsia="Times New Roman" w:hAnsi="Times New Roman"/>
                <w:bCs w:val="0"/>
                <w:sz w:val="20"/>
                <w:szCs w:val="20"/>
                <w:lang w:eastAsia="it-IT"/>
              </w:rPr>
              <w:t>Italian</w:t>
            </w:r>
            <w:proofErr w:type="spellEnd"/>
            <w:r w:rsidRPr="00DE44E1">
              <w:rPr>
                <w:rFonts w:ascii="Times New Roman" w:eastAsia="Times New Roman" w:hAnsi="Times New Roman"/>
                <w:bCs w:val="0"/>
                <w:sz w:val="20"/>
                <w:szCs w:val="20"/>
                <w:lang w:eastAsia="it-IT"/>
              </w:rPr>
              <w:t xml:space="preserve"> sample</w:t>
            </w:r>
          </w:p>
        </w:tc>
        <w:tc>
          <w:tcPr>
            <w:tcW w:w="735" w:type="pct"/>
            <w:vAlign w:val="center"/>
            <w:hideMark/>
          </w:tcPr>
          <w:p w:rsidR="003456A5" w:rsidRPr="00DE44E1" w:rsidRDefault="003456A5" w:rsidP="00295A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it-IT"/>
              </w:rPr>
            </w:pPr>
            <w:r w:rsidRPr="00DE44E1">
              <w:rPr>
                <w:rFonts w:ascii="Times New Roman" w:eastAsia="Times New Roman" w:hAnsi="Times New Roman"/>
                <w:bCs w:val="0"/>
                <w:sz w:val="20"/>
                <w:szCs w:val="20"/>
                <w:lang w:eastAsia="it-IT"/>
              </w:rPr>
              <w:t xml:space="preserve">N. </w:t>
            </w:r>
            <w:proofErr w:type="spellStart"/>
            <w:r w:rsidRPr="00DE44E1">
              <w:rPr>
                <w:rFonts w:ascii="Times New Roman" w:eastAsia="Times New Roman" w:hAnsi="Times New Roman"/>
                <w:bCs w:val="0"/>
                <w:sz w:val="20"/>
                <w:szCs w:val="20"/>
                <w:lang w:eastAsia="it-IT"/>
              </w:rPr>
              <w:t>Observations</w:t>
            </w:r>
            <w:proofErr w:type="spellEnd"/>
            <w:r w:rsidRPr="00DE44E1">
              <w:rPr>
                <w:rFonts w:ascii="Times New Roman" w:eastAsia="Times New Roman" w:hAnsi="Times New Roman"/>
                <w:bCs w:val="0"/>
                <w:sz w:val="20"/>
                <w:szCs w:val="20"/>
                <w:lang w:eastAsia="it-IT"/>
              </w:rPr>
              <w:t xml:space="preserve"> </w:t>
            </w:r>
            <w:proofErr w:type="spellStart"/>
            <w:r w:rsidRPr="00DE44E1">
              <w:rPr>
                <w:rFonts w:ascii="Times New Roman" w:eastAsia="Times New Roman" w:hAnsi="Times New Roman"/>
                <w:bCs w:val="0"/>
                <w:sz w:val="20"/>
                <w:szCs w:val="20"/>
                <w:lang w:eastAsia="it-IT"/>
              </w:rPr>
              <w:t>German</w:t>
            </w:r>
            <w:proofErr w:type="spellEnd"/>
            <w:r w:rsidRPr="00DE44E1">
              <w:rPr>
                <w:rFonts w:ascii="Times New Roman" w:eastAsia="Times New Roman" w:hAnsi="Times New Roman"/>
                <w:bCs w:val="0"/>
                <w:sz w:val="20"/>
                <w:szCs w:val="20"/>
                <w:lang w:eastAsia="it-IT"/>
              </w:rPr>
              <w:t xml:space="preserve"> sample</w:t>
            </w:r>
          </w:p>
        </w:tc>
        <w:tc>
          <w:tcPr>
            <w:tcW w:w="544" w:type="pct"/>
            <w:vAlign w:val="center"/>
            <w:hideMark/>
          </w:tcPr>
          <w:p w:rsidR="003456A5" w:rsidRPr="00DE44E1" w:rsidRDefault="003456A5" w:rsidP="00295A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it-IT"/>
              </w:rPr>
            </w:pPr>
            <w:proofErr w:type="spellStart"/>
            <w:r w:rsidRPr="00DE44E1">
              <w:rPr>
                <w:rFonts w:ascii="Times New Roman" w:eastAsia="Times New Roman" w:hAnsi="Times New Roman"/>
                <w:bCs w:val="0"/>
                <w:sz w:val="20"/>
                <w:szCs w:val="20"/>
                <w:lang w:eastAsia="it-IT"/>
              </w:rPr>
              <w:t>Average</w:t>
            </w:r>
            <w:proofErr w:type="spellEnd"/>
            <w:r w:rsidRPr="00DE44E1">
              <w:rPr>
                <w:rFonts w:ascii="Times New Roman" w:eastAsia="Times New Roman" w:hAnsi="Times New Roman"/>
                <w:bCs w:val="0"/>
                <w:sz w:val="20"/>
                <w:szCs w:val="20"/>
                <w:lang w:eastAsia="it-IT"/>
              </w:rPr>
              <w:t xml:space="preserve"> score Total sample</w:t>
            </w:r>
          </w:p>
        </w:tc>
        <w:tc>
          <w:tcPr>
            <w:tcW w:w="632" w:type="pct"/>
            <w:vAlign w:val="center"/>
            <w:hideMark/>
          </w:tcPr>
          <w:p w:rsidR="003456A5" w:rsidRPr="00DE44E1" w:rsidRDefault="003456A5" w:rsidP="00295A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it-IT"/>
              </w:rPr>
            </w:pPr>
            <w:proofErr w:type="spellStart"/>
            <w:r w:rsidRPr="00DE44E1">
              <w:rPr>
                <w:rFonts w:ascii="Times New Roman" w:eastAsia="Times New Roman" w:hAnsi="Times New Roman"/>
                <w:bCs w:val="0"/>
                <w:sz w:val="20"/>
                <w:szCs w:val="20"/>
                <w:lang w:eastAsia="it-IT"/>
              </w:rPr>
              <w:t>Norm</w:t>
            </w:r>
            <w:proofErr w:type="spellEnd"/>
            <w:r w:rsidRPr="00DE44E1">
              <w:rPr>
                <w:rFonts w:ascii="Times New Roman" w:eastAsia="Times New Roman" w:hAnsi="Times New Roman"/>
                <w:bCs w:val="0"/>
                <w:sz w:val="20"/>
                <w:szCs w:val="20"/>
                <w:lang w:eastAsia="it-IT"/>
              </w:rPr>
              <w:t xml:space="preserve"> (0-1) Total sample</w:t>
            </w:r>
          </w:p>
        </w:tc>
      </w:tr>
      <w:tr w:rsidR="003456A5" w:rsidRPr="00DE44E1" w:rsidTr="00295A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Clientele’s</w:t>
            </w:r>
            <w:proofErr w:type="spellEnd"/>
            <w:r w:rsidRPr="00DE44E1">
              <w:rPr>
                <w:rFonts w:ascii="Times New Roman" w:eastAsia="Times New Roman" w:hAnsi="Times New Roman"/>
                <w:b w:val="0"/>
                <w:color w:val="000000"/>
                <w:sz w:val="20"/>
                <w:szCs w:val="20"/>
                <w:lang w:eastAsia="it-IT"/>
              </w:rPr>
              <w:t xml:space="preserve"> </w:t>
            </w:r>
            <w:proofErr w:type="spellStart"/>
            <w:r w:rsidRPr="00DE44E1">
              <w:rPr>
                <w:rFonts w:ascii="Times New Roman" w:eastAsia="Times New Roman" w:hAnsi="Times New Roman"/>
                <w:b w:val="0"/>
                <w:color w:val="000000"/>
                <w:sz w:val="20"/>
                <w:szCs w:val="20"/>
                <w:lang w:eastAsia="it-IT"/>
              </w:rPr>
              <w:t>quality</w:t>
            </w:r>
            <w:proofErr w:type="spellEnd"/>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44</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29</w:t>
            </w:r>
          </w:p>
        </w:tc>
        <w:tc>
          <w:tcPr>
            <w:tcW w:w="632"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0.20161</w:t>
            </w:r>
          </w:p>
        </w:tc>
      </w:tr>
      <w:tr w:rsidR="003456A5" w:rsidRPr="00DE44E1" w:rsidTr="00295A5F">
        <w:trPr>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Contractual</w:t>
            </w:r>
            <w:proofErr w:type="spellEnd"/>
            <w:r w:rsidRPr="00DE44E1">
              <w:rPr>
                <w:rFonts w:ascii="Times New Roman" w:eastAsia="Times New Roman" w:hAnsi="Times New Roman"/>
                <w:b w:val="0"/>
                <w:color w:val="000000"/>
                <w:sz w:val="20"/>
                <w:szCs w:val="20"/>
                <w:lang w:eastAsia="it-IT"/>
              </w:rPr>
              <w:t xml:space="preserve"> </w:t>
            </w:r>
            <w:proofErr w:type="spellStart"/>
            <w:r w:rsidRPr="00DE44E1">
              <w:rPr>
                <w:rFonts w:ascii="Times New Roman" w:eastAsia="Times New Roman" w:hAnsi="Times New Roman"/>
                <w:b w:val="0"/>
                <w:color w:val="000000"/>
                <w:sz w:val="20"/>
                <w:szCs w:val="20"/>
                <w:lang w:eastAsia="it-IT"/>
              </w:rPr>
              <w:t>power</w:t>
            </w:r>
            <w:proofErr w:type="spellEnd"/>
            <w:r w:rsidRPr="00DE44E1">
              <w:rPr>
                <w:rFonts w:ascii="Times New Roman" w:eastAsia="Times New Roman" w:hAnsi="Times New Roman"/>
                <w:b w:val="0"/>
                <w:color w:val="000000"/>
                <w:sz w:val="20"/>
                <w:szCs w:val="20"/>
                <w:lang w:eastAsia="it-IT"/>
              </w:rPr>
              <w:t xml:space="preserve"> with the </w:t>
            </w:r>
            <w:proofErr w:type="spellStart"/>
            <w:r w:rsidRPr="00DE44E1">
              <w:rPr>
                <w:rFonts w:ascii="Times New Roman" w:eastAsia="Times New Roman" w:hAnsi="Times New Roman"/>
                <w:b w:val="0"/>
                <w:color w:val="000000"/>
                <w:sz w:val="20"/>
                <w:szCs w:val="20"/>
                <w:lang w:eastAsia="it-IT"/>
              </w:rPr>
              <w:t>suppliers</w:t>
            </w:r>
            <w:proofErr w:type="spellEnd"/>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44</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33</w:t>
            </w:r>
          </w:p>
        </w:tc>
        <w:tc>
          <w:tcPr>
            <w:tcW w:w="632"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0.45641</w:t>
            </w:r>
          </w:p>
        </w:tc>
      </w:tr>
      <w:tr w:rsidR="003456A5" w:rsidRPr="00DE44E1" w:rsidTr="00295A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r w:rsidRPr="00DE44E1">
              <w:rPr>
                <w:rFonts w:ascii="Times New Roman" w:eastAsia="Times New Roman" w:hAnsi="Times New Roman"/>
                <w:b w:val="0"/>
                <w:color w:val="000000"/>
                <w:sz w:val="20"/>
                <w:szCs w:val="20"/>
                <w:lang w:eastAsia="it-IT"/>
              </w:rPr>
              <w:t xml:space="preserve">Reliability of the </w:t>
            </w:r>
            <w:proofErr w:type="spellStart"/>
            <w:r w:rsidRPr="00DE44E1">
              <w:rPr>
                <w:rFonts w:ascii="Times New Roman" w:eastAsia="Times New Roman" w:hAnsi="Times New Roman"/>
                <w:b w:val="0"/>
                <w:color w:val="000000"/>
                <w:sz w:val="20"/>
                <w:szCs w:val="20"/>
                <w:lang w:eastAsia="it-IT"/>
              </w:rPr>
              <w:t>plans</w:t>
            </w:r>
            <w:proofErr w:type="spellEnd"/>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44</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30</w:t>
            </w:r>
          </w:p>
        </w:tc>
        <w:tc>
          <w:tcPr>
            <w:tcW w:w="632"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0.43323</w:t>
            </w:r>
          </w:p>
        </w:tc>
      </w:tr>
      <w:tr w:rsidR="003456A5" w:rsidRPr="00DE44E1" w:rsidTr="00295A5F">
        <w:trPr>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r w:rsidRPr="00DE44E1">
              <w:rPr>
                <w:rFonts w:ascii="Times New Roman" w:eastAsia="Times New Roman" w:hAnsi="Times New Roman"/>
                <w:b w:val="0"/>
                <w:color w:val="000000"/>
                <w:sz w:val="20"/>
                <w:szCs w:val="20"/>
                <w:lang w:eastAsia="it-IT"/>
              </w:rPr>
              <w:t xml:space="preserve">R&amp;D </w:t>
            </w:r>
            <w:proofErr w:type="spellStart"/>
            <w:r w:rsidRPr="00DE44E1">
              <w:rPr>
                <w:rFonts w:ascii="Times New Roman" w:eastAsia="Times New Roman" w:hAnsi="Times New Roman"/>
                <w:b w:val="0"/>
                <w:color w:val="000000"/>
                <w:sz w:val="20"/>
                <w:szCs w:val="20"/>
                <w:lang w:eastAsia="it-IT"/>
              </w:rPr>
              <w:t>investment</w:t>
            </w:r>
            <w:proofErr w:type="spellEnd"/>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44</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35</w:t>
            </w:r>
          </w:p>
        </w:tc>
        <w:tc>
          <w:tcPr>
            <w:tcW w:w="632"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0.59692</w:t>
            </w:r>
          </w:p>
        </w:tc>
      </w:tr>
      <w:tr w:rsidR="003456A5" w:rsidRPr="00DE44E1" w:rsidTr="00295A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Process</w:t>
            </w:r>
            <w:proofErr w:type="spellEnd"/>
            <w:r w:rsidRPr="00DE44E1">
              <w:rPr>
                <w:rFonts w:ascii="Times New Roman" w:eastAsia="Times New Roman" w:hAnsi="Times New Roman"/>
                <w:b w:val="0"/>
                <w:color w:val="000000"/>
                <w:sz w:val="20"/>
                <w:szCs w:val="20"/>
                <w:lang w:eastAsia="it-IT"/>
              </w:rPr>
              <w:t xml:space="preserve"> Control Systems</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44</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32</w:t>
            </w:r>
          </w:p>
        </w:tc>
        <w:tc>
          <w:tcPr>
            <w:tcW w:w="632"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0.40006</w:t>
            </w:r>
          </w:p>
        </w:tc>
      </w:tr>
      <w:tr w:rsidR="003456A5" w:rsidRPr="00DE44E1" w:rsidTr="00295A5F">
        <w:trPr>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Investment</w:t>
            </w:r>
            <w:proofErr w:type="spellEnd"/>
            <w:r w:rsidRPr="00DE44E1">
              <w:rPr>
                <w:rFonts w:ascii="Times New Roman" w:eastAsia="Times New Roman" w:hAnsi="Times New Roman"/>
                <w:b w:val="0"/>
                <w:color w:val="000000"/>
                <w:sz w:val="20"/>
                <w:szCs w:val="20"/>
                <w:lang w:eastAsia="it-IT"/>
              </w:rPr>
              <w:t xml:space="preserve"> in training</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44</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34</w:t>
            </w:r>
          </w:p>
        </w:tc>
        <w:tc>
          <w:tcPr>
            <w:tcW w:w="632"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0.56014</w:t>
            </w:r>
          </w:p>
        </w:tc>
      </w:tr>
      <w:tr w:rsidR="003456A5" w:rsidRPr="00DE44E1" w:rsidTr="00295A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Sustainability</w:t>
            </w:r>
            <w:proofErr w:type="spellEnd"/>
            <w:r w:rsidRPr="00DE44E1">
              <w:rPr>
                <w:rFonts w:ascii="Times New Roman" w:eastAsia="Times New Roman" w:hAnsi="Times New Roman"/>
                <w:b w:val="0"/>
                <w:color w:val="000000"/>
                <w:sz w:val="20"/>
                <w:szCs w:val="20"/>
                <w:lang w:eastAsia="it-IT"/>
              </w:rPr>
              <w:t xml:space="preserve"> of the </w:t>
            </w:r>
            <w:proofErr w:type="spellStart"/>
            <w:r w:rsidRPr="00DE44E1">
              <w:rPr>
                <w:rFonts w:ascii="Times New Roman" w:eastAsia="Times New Roman" w:hAnsi="Times New Roman"/>
                <w:b w:val="0"/>
                <w:color w:val="000000"/>
                <w:sz w:val="20"/>
                <w:szCs w:val="20"/>
                <w:lang w:eastAsia="it-IT"/>
              </w:rPr>
              <w:t>investments</w:t>
            </w:r>
            <w:proofErr w:type="spellEnd"/>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44</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31</w:t>
            </w:r>
          </w:p>
        </w:tc>
        <w:tc>
          <w:tcPr>
            <w:tcW w:w="632"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0.48897</w:t>
            </w:r>
          </w:p>
        </w:tc>
      </w:tr>
      <w:tr w:rsidR="003456A5" w:rsidRPr="00DE44E1" w:rsidTr="00295A5F">
        <w:trPr>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r w:rsidRPr="00DE44E1">
              <w:rPr>
                <w:rFonts w:ascii="Times New Roman" w:eastAsia="Times New Roman" w:hAnsi="Times New Roman"/>
                <w:b w:val="0"/>
                <w:color w:val="000000"/>
                <w:sz w:val="20"/>
                <w:szCs w:val="20"/>
                <w:lang w:eastAsia="it-IT"/>
              </w:rPr>
              <w:t xml:space="preserve">Brand </w:t>
            </w:r>
            <w:proofErr w:type="spellStart"/>
            <w:r w:rsidRPr="00DE44E1">
              <w:rPr>
                <w:rFonts w:ascii="Times New Roman" w:eastAsia="Times New Roman" w:hAnsi="Times New Roman"/>
                <w:b w:val="0"/>
                <w:color w:val="000000"/>
                <w:sz w:val="20"/>
                <w:szCs w:val="20"/>
                <w:lang w:eastAsia="it-IT"/>
              </w:rPr>
              <w:t>development</w:t>
            </w:r>
            <w:proofErr w:type="spellEnd"/>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45</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w:t>
            </w:r>
          </w:p>
        </w:tc>
        <w:tc>
          <w:tcPr>
            <w:tcW w:w="632" w:type="pct"/>
            <w:noWrap/>
            <w:vAlign w:val="center"/>
            <w:hideMark/>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0.78961</w:t>
            </w:r>
          </w:p>
        </w:tc>
      </w:tr>
      <w:tr w:rsidR="003456A5" w:rsidRPr="00DE44E1" w:rsidTr="00295A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hideMark/>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Credibility</w:t>
            </w:r>
            <w:proofErr w:type="spellEnd"/>
            <w:r w:rsidRPr="00DE44E1">
              <w:rPr>
                <w:rFonts w:ascii="Times New Roman" w:eastAsia="Times New Roman" w:hAnsi="Times New Roman"/>
                <w:b w:val="0"/>
                <w:color w:val="000000"/>
                <w:sz w:val="20"/>
                <w:szCs w:val="20"/>
                <w:lang w:eastAsia="it-IT"/>
              </w:rPr>
              <w:t xml:space="preserve"> of management</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45</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40</w:t>
            </w:r>
          </w:p>
        </w:tc>
        <w:tc>
          <w:tcPr>
            <w:tcW w:w="632" w:type="pct"/>
            <w:noWrap/>
            <w:vAlign w:val="center"/>
            <w:hideMark/>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0.80010</w:t>
            </w:r>
          </w:p>
        </w:tc>
      </w:tr>
      <w:tr w:rsidR="003456A5" w:rsidRPr="00DE44E1" w:rsidTr="00295A5F">
        <w:trPr>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After</w:t>
            </w:r>
            <w:proofErr w:type="spellEnd"/>
            <w:r w:rsidRPr="00DE44E1">
              <w:rPr>
                <w:rFonts w:ascii="Times New Roman" w:eastAsia="Times New Roman" w:hAnsi="Times New Roman"/>
                <w:b w:val="0"/>
                <w:color w:val="000000"/>
                <w:sz w:val="20"/>
                <w:szCs w:val="20"/>
                <w:lang w:eastAsia="it-IT"/>
              </w:rPr>
              <w:t xml:space="preserve"> Sales</w:t>
            </w:r>
          </w:p>
        </w:tc>
        <w:tc>
          <w:tcPr>
            <w:tcW w:w="735"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45</w:t>
            </w:r>
          </w:p>
        </w:tc>
        <w:tc>
          <w:tcPr>
            <w:tcW w:w="735"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43</w:t>
            </w:r>
          </w:p>
        </w:tc>
        <w:tc>
          <w:tcPr>
            <w:tcW w:w="632"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0.89988</w:t>
            </w:r>
          </w:p>
        </w:tc>
      </w:tr>
      <w:tr w:rsidR="003456A5" w:rsidRPr="00DE44E1" w:rsidTr="00295A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proofErr w:type="spellStart"/>
            <w:r w:rsidRPr="00DE44E1">
              <w:rPr>
                <w:rFonts w:ascii="Times New Roman" w:eastAsia="Times New Roman" w:hAnsi="Times New Roman"/>
                <w:b w:val="0"/>
                <w:color w:val="000000"/>
                <w:sz w:val="20"/>
                <w:szCs w:val="20"/>
                <w:lang w:eastAsia="it-IT"/>
              </w:rPr>
              <w:t>Entrepreneurship</w:t>
            </w:r>
            <w:proofErr w:type="spellEnd"/>
            <w:r w:rsidRPr="00DE44E1">
              <w:rPr>
                <w:rFonts w:ascii="Times New Roman" w:eastAsia="Times New Roman" w:hAnsi="Times New Roman"/>
                <w:b w:val="0"/>
                <w:color w:val="000000"/>
                <w:sz w:val="20"/>
                <w:szCs w:val="20"/>
                <w:lang w:eastAsia="it-IT"/>
              </w:rPr>
              <w:t xml:space="preserve"> and management </w:t>
            </w:r>
            <w:proofErr w:type="spellStart"/>
            <w:r w:rsidRPr="00DE44E1">
              <w:rPr>
                <w:rFonts w:ascii="Times New Roman" w:eastAsia="Times New Roman" w:hAnsi="Times New Roman"/>
                <w:b w:val="0"/>
                <w:color w:val="000000"/>
                <w:sz w:val="20"/>
                <w:szCs w:val="20"/>
                <w:lang w:eastAsia="it-IT"/>
              </w:rPr>
              <w:t>experience</w:t>
            </w:r>
            <w:proofErr w:type="spellEnd"/>
          </w:p>
        </w:tc>
        <w:tc>
          <w:tcPr>
            <w:tcW w:w="735"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45</w:t>
            </w:r>
          </w:p>
        </w:tc>
        <w:tc>
          <w:tcPr>
            <w:tcW w:w="735"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41</w:t>
            </w:r>
          </w:p>
        </w:tc>
        <w:tc>
          <w:tcPr>
            <w:tcW w:w="632"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0.82243</w:t>
            </w:r>
          </w:p>
        </w:tc>
      </w:tr>
      <w:tr w:rsidR="003456A5" w:rsidRPr="00DE44E1" w:rsidTr="00295A5F">
        <w:trPr>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r w:rsidRPr="00DE44E1">
              <w:rPr>
                <w:rFonts w:ascii="Times New Roman" w:eastAsia="Times New Roman" w:hAnsi="Times New Roman"/>
                <w:b w:val="0"/>
                <w:color w:val="000000"/>
                <w:sz w:val="20"/>
                <w:szCs w:val="20"/>
                <w:lang w:eastAsia="it-IT"/>
              </w:rPr>
              <w:t xml:space="preserve">Business </w:t>
            </w:r>
            <w:proofErr w:type="spellStart"/>
            <w:r w:rsidRPr="00DE44E1">
              <w:rPr>
                <w:rFonts w:ascii="Times New Roman" w:eastAsia="Times New Roman" w:hAnsi="Times New Roman"/>
                <w:b w:val="0"/>
                <w:color w:val="000000"/>
                <w:sz w:val="20"/>
                <w:szCs w:val="20"/>
                <w:lang w:eastAsia="it-IT"/>
              </w:rPr>
              <w:t>continuity</w:t>
            </w:r>
            <w:proofErr w:type="spellEnd"/>
          </w:p>
        </w:tc>
        <w:tc>
          <w:tcPr>
            <w:tcW w:w="735"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45</w:t>
            </w:r>
          </w:p>
        </w:tc>
        <w:tc>
          <w:tcPr>
            <w:tcW w:w="735"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39</w:t>
            </w:r>
          </w:p>
        </w:tc>
        <w:tc>
          <w:tcPr>
            <w:tcW w:w="632" w:type="pct"/>
            <w:noWrap/>
            <w:vAlign w:val="center"/>
          </w:tcPr>
          <w:p w:rsidR="003456A5" w:rsidRPr="00DE44E1" w:rsidRDefault="003456A5" w:rsidP="00295A5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0.78013</w:t>
            </w:r>
          </w:p>
        </w:tc>
      </w:tr>
      <w:tr w:rsidR="003456A5" w:rsidRPr="00DE44E1" w:rsidTr="00295A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2" w:type="pct"/>
            <w:noWrap/>
            <w:vAlign w:val="center"/>
          </w:tcPr>
          <w:p w:rsidR="003456A5" w:rsidRPr="00DE44E1" w:rsidRDefault="003456A5" w:rsidP="00295A5F">
            <w:pPr>
              <w:spacing w:after="0" w:line="240" w:lineRule="auto"/>
              <w:rPr>
                <w:rFonts w:ascii="Times New Roman" w:eastAsia="Times New Roman" w:hAnsi="Times New Roman"/>
                <w:b w:val="0"/>
                <w:color w:val="000000"/>
                <w:sz w:val="20"/>
                <w:szCs w:val="20"/>
                <w:lang w:eastAsia="it-IT"/>
              </w:rPr>
            </w:pPr>
            <w:r w:rsidRPr="00DE44E1">
              <w:rPr>
                <w:rFonts w:ascii="Times New Roman" w:eastAsia="Times New Roman" w:hAnsi="Times New Roman"/>
                <w:b w:val="0"/>
                <w:color w:val="000000"/>
                <w:sz w:val="20"/>
                <w:szCs w:val="20"/>
                <w:lang w:eastAsia="it-IT"/>
              </w:rPr>
              <w:t>Governance</w:t>
            </w:r>
          </w:p>
        </w:tc>
        <w:tc>
          <w:tcPr>
            <w:tcW w:w="735"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roofErr w:type="spellStart"/>
            <w:r w:rsidRPr="00DE44E1">
              <w:rPr>
                <w:rFonts w:ascii="Times New Roman" w:eastAsia="Times New Roman" w:hAnsi="Times New Roman"/>
                <w:color w:val="000000"/>
                <w:sz w:val="20"/>
                <w:szCs w:val="20"/>
                <w:lang w:eastAsia="it-IT"/>
              </w:rPr>
              <w:t>Min</w:t>
            </w:r>
            <w:proofErr w:type="spellEnd"/>
            <w:r w:rsidRPr="00DE44E1">
              <w:rPr>
                <w:rFonts w:ascii="Times New Roman" w:eastAsia="Times New Roman" w:hAnsi="Times New Roman"/>
                <w:color w:val="000000"/>
                <w:sz w:val="20"/>
                <w:szCs w:val="20"/>
                <w:lang w:eastAsia="it-IT"/>
              </w:rPr>
              <w:t xml:space="preserve"> 28; </w:t>
            </w:r>
            <w:proofErr w:type="spellStart"/>
            <w:r w:rsidRPr="00DE44E1">
              <w:rPr>
                <w:rFonts w:ascii="Times New Roman" w:eastAsia="Times New Roman" w:hAnsi="Times New Roman"/>
                <w:color w:val="000000"/>
                <w:sz w:val="20"/>
                <w:szCs w:val="20"/>
                <w:lang w:eastAsia="it-IT"/>
              </w:rPr>
              <w:t>Max</w:t>
            </w:r>
            <w:proofErr w:type="spellEnd"/>
            <w:r w:rsidRPr="00DE44E1">
              <w:rPr>
                <w:rFonts w:ascii="Times New Roman" w:eastAsia="Times New Roman" w:hAnsi="Times New Roman"/>
                <w:color w:val="000000"/>
                <w:sz w:val="20"/>
                <w:szCs w:val="20"/>
                <w:lang w:eastAsia="it-IT"/>
              </w:rPr>
              <w:t xml:space="preserve"> 45</w:t>
            </w:r>
          </w:p>
        </w:tc>
        <w:tc>
          <w:tcPr>
            <w:tcW w:w="735"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37787</w:t>
            </w:r>
          </w:p>
        </w:tc>
        <w:tc>
          <w:tcPr>
            <w:tcW w:w="736"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25715</w:t>
            </w:r>
          </w:p>
        </w:tc>
        <w:tc>
          <w:tcPr>
            <w:tcW w:w="735"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12072</w:t>
            </w:r>
          </w:p>
        </w:tc>
        <w:tc>
          <w:tcPr>
            <w:tcW w:w="544"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38</w:t>
            </w:r>
          </w:p>
        </w:tc>
        <w:tc>
          <w:tcPr>
            <w:tcW w:w="632" w:type="pct"/>
            <w:noWrap/>
            <w:vAlign w:val="center"/>
          </w:tcPr>
          <w:p w:rsidR="003456A5" w:rsidRPr="00DE44E1" w:rsidRDefault="003456A5" w:rsidP="00295A5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DE44E1">
              <w:rPr>
                <w:rFonts w:ascii="Times New Roman" w:eastAsia="Times New Roman" w:hAnsi="Times New Roman"/>
                <w:color w:val="000000"/>
                <w:sz w:val="20"/>
                <w:szCs w:val="20"/>
                <w:lang w:eastAsia="it-IT"/>
              </w:rPr>
              <w:t>0.72215</w:t>
            </w:r>
          </w:p>
        </w:tc>
      </w:tr>
    </w:tbl>
    <w:p w:rsidR="003456A5" w:rsidRPr="00DE44E1" w:rsidRDefault="003456A5" w:rsidP="003456A5">
      <w:pPr>
        <w:tabs>
          <w:tab w:val="left" w:pos="425"/>
        </w:tabs>
        <w:spacing w:before="120" w:after="0" w:line="240" w:lineRule="auto"/>
        <w:jc w:val="both"/>
        <w:rPr>
          <w:rFonts w:ascii="Times New Roman" w:hAnsi="Times New Roman"/>
        </w:rPr>
      </w:pPr>
      <w:r w:rsidRPr="00DE44E1">
        <w:rPr>
          <w:rFonts w:ascii="Times New Roman" w:hAnsi="Times New Roman"/>
          <w:i/>
        </w:rPr>
        <w:t>Source</w:t>
      </w:r>
      <w:r w:rsidRPr="00DE44E1">
        <w:rPr>
          <w:rFonts w:ascii="Times New Roman" w:hAnsi="Times New Roman"/>
        </w:rPr>
        <w:t xml:space="preserve">: </w:t>
      </w:r>
      <w:proofErr w:type="spellStart"/>
      <w:r w:rsidRPr="00DE44E1">
        <w:rPr>
          <w:rFonts w:ascii="Times New Roman" w:hAnsi="Times New Roman"/>
        </w:rPr>
        <w:t>our</w:t>
      </w:r>
      <w:proofErr w:type="spellEnd"/>
      <w:r w:rsidRPr="00DE44E1">
        <w:rPr>
          <w:rFonts w:ascii="Times New Roman" w:hAnsi="Times New Roman"/>
        </w:rPr>
        <w:t xml:space="preserve"> </w:t>
      </w:r>
      <w:proofErr w:type="spellStart"/>
      <w:r w:rsidRPr="00DE44E1">
        <w:rPr>
          <w:rFonts w:ascii="Times New Roman" w:hAnsi="Times New Roman"/>
        </w:rPr>
        <w:t>elaboration</w:t>
      </w:r>
      <w:proofErr w:type="spellEnd"/>
      <w:r w:rsidRPr="00DE44E1">
        <w:rPr>
          <w:rFonts w:ascii="Times New Roman" w:hAnsi="Times New Roman"/>
        </w:rPr>
        <w:t xml:space="preserve"> on </w:t>
      </w:r>
      <w:proofErr w:type="spellStart"/>
      <w:r w:rsidRPr="00DE44E1">
        <w:rPr>
          <w:rFonts w:ascii="Times New Roman" w:hAnsi="Times New Roman"/>
        </w:rPr>
        <w:t>BvD</w:t>
      </w:r>
      <w:proofErr w:type="spellEnd"/>
      <w:r w:rsidRPr="00DE44E1">
        <w:rPr>
          <w:rFonts w:ascii="Times New Roman" w:hAnsi="Times New Roman"/>
        </w:rPr>
        <w:t xml:space="preserve"> data</w:t>
      </w:r>
    </w:p>
    <w:p w:rsidR="00DF43ED" w:rsidRPr="00DE44E1" w:rsidRDefault="00DF43ED" w:rsidP="00DF43E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lastRenderedPageBreak/>
        <w:t>Accordingly, the second research hypothesis affirms as follows [</w:t>
      </w:r>
      <w:r w:rsidRPr="00DE44E1">
        <w:rPr>
          <w:rFonts w:ascii="Times New Roman" w:hAnsi="Times New Roman"/>
          <w:i/>
          <w:sz w:val="24"/>
          <w:szCs w:val="24"/>
          <w:lang w:val="en-US"/>
        </w:rPr>
        <w:t>H2</w:t>
      </w:r>
      <w:r w:rsidRPr="00DE44E1">
        <w:rPr>
          <w:rFonts w:ascii="Times New Roman" w:hAnsi="Times New Roman"/>
          <w:sz w:val="24"/>
          <w:szCs w:val="24"/>
          <w:lang w:val="en-US"/>
        </w:rPr>
        <w:t>]: «There is a negative relationship between SMEs’ invisible intangible assets and expected financial distress costs (ExpFDC). The greatest endowment of intangible assets determines the reduction of the expected financial distress costs.</w:t>
      </w:r>
      <w:r w:rsidRPr="00DE44E1">
        <w:t xml:space="preserve"> </w:t>
      </w:r>
      <w:r w:rsidRPr="00DE44E1">
        <w:rPr>
          <w:rFonts w:ascii="Times New Roman" w:hAnsi="Times New Roman"/>
          <w:sz w:val="24"/>
          <w:szCs w:val="24"/>
          <w:lang w:val="en-US"/>
        </w:rPr>
        <w:t>This relationship is considered valid regardless of the country of origin of the enterprise».</w:t>
      </w:r>
    </w:p>
    <w:p w:rsidR="00DF43ED" w:rsidRPr="00DE44E1" w:rsidRDefault="00DF43ED" w:rsidP="00DF43E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Without prejudice to the previous considerations, our research is enriched with the formulation of the following hypothesis [</w:t>
      </w:r>
      <w:r w:rsidRPr="00DE44E1">
        <w:rPr>
          <w:rFonts w:ascii="Times New Roman" w:hAnsi="Times New Roman"/>
          <w:i/>
          <w:sz w:val="24"/>
          <w:szCs w:val="24"/>
          <w:lang w:val="en-US"/>
        </w:rPr>
        <w:t>H3</w:t>
      </w:r>
      <w:r w:rsidRPr="00DE44E1">
        <w:rPr>
          <w:rFonts w:ascii="Times New Roman" w:hAnsi="Times New Roman"/>
          <w:sz w:val="24"/>
          <w:szCs w:val="24"/>
          <w:lang w:val="en-US"/>
        </w:rPr>
        <w:t>]: «The negative relationship between SMEs’ invisible intangible assets and expected financial distress costs is more evident for the SMEs that relate to local banks. This relationship is considered valid regardless of the country of origin of the enterprise».</w:t>
      </w:r>
    </w:p>
    <w:p w:rsidR="00CC4260" w:rsidRPr="00DE44E1" w:rsidRDefault="00DF43ED"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 third hypothesis of research is verified using a dummy variables “LOCALB”. In particular, we would use a 0,1 dummy variable where a firm is given a value of 1 if is a client of a local bank or a 0 in case of presence of a national and/or international banking group. The typology of partner bank of the enterprise has been individualized by accessing to BvD databases. This variable influences our model in the part that considers the weight of the invisible intangible assets on total assets [INTAN]; the dummy LOCALB variable assumes a critical role in estimating the effects of the intangibles on the expected financial distress costs.</w:t>
      </w:r>
    </w:p>
    <w:p w:rsidR="00401A1D" w:rsidRPr="00DE44E1" w:rsidRDefault="00FB1721" w:rsidP="00FB172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With reference to the fourth and last hypothesis, Smith and Stulz (1985) show that bankruptcy costs is a further source of incentive for the use of derivatives. </w:t>
      </w:r>
      <w:r w:rsidR="00401A1D" w:rsidRPr="00DE44E1">
        <w:rPr>
          <w:rFonts w:ascii="Times New Roman" w:hAnsi="Times New Roman"/>
          <w:sz w:val="24"/>
          <w:szCs w:val="24"/>
          <w:lang w:val="en-US"/>
        </w:rPr>
        <w:t xml:space="preserve">In fact, by reducing the fluctuations in corporate flows, hedging through derivatives makes it possible to reduce the likelihood of a financial crisis, which can lead to extremely critical situations such as bankruptcy, liquidation or, at the very least, corporate restructuring and </w:t>
      </w:r>
      <w:r w:rsidR="008C1E11" w:rsidRPr="00DE44E1">
        <w:rPr>
          <w:rFonts w:ascii="Times New Roman" w:hAnsi="Times New Roman"/>
          <w:sz w:val="24"/>
          <w:szCs w:val="24"/>
          <w:lang w:val="en-US"/>
        </w:rPr>
        <w:t>the need to bear direct costs (l</w:t>
      </w:r>
      <w:r w:rsidR="00401A1D" w:rsidRPr="00DE44E1">
        <w:rPr>
          <w:rFonts w:ascii="Times New Roman" w:hAnsi="Times New Roman"/>
          <w:sz w:val="24"/>
          <w:szCs w:val="24"/>
          <w:lang w:val="en-US"/>
        </w:rPr>
        <w:t>egal costs, administrative costs and the lesser value attributed to assets at the time of liquidation) and indirect (loss of image and consequent reduction in contractual power) of a very high amount.</w:t>
      </w:r>
    </w:p>
    <w:p w:rsidR="00401A1D" w:rsidRPr="00DE44E1" w:rsidRDefault="00401A1D" w:rsidP="00FB172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Based on this model, the likelihood of using derivatives is greater for companies with high financial loss costs. If these costs, as Nance, Smith and Smithson (1993) point out, are a fixed component, then smaller companies will be the ones that will most effectively use hedging derivatives because they have a stronger impact on the fixed component of costs. </w:t>
      </w:r>
    </w:p>
    <w:p w:rsidR="00401A1D" w:rsidRPr="00DE44E1" w:rsidRDefault="00401A1D" w:rsidP="00401A1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In addition, given the ability of de</w:t>
      </w:r>
      <w:r w:rsidR="001A36AB" w:rsidRPr="00DE44E1">
        <w:rPr>
          <w:rFonts w:ascii="Times New Roman" w:hAnsi="Times New Roman"/>
          <w:sz w:val="24"/>
          <w:szCs w:val="24"/>
          <w:lang w:val="en-US"/>
        </w:rPr>
        <w:t>rivatives to reduce the company’</w:t>
      </w:r>
      <w:r w:rsidRPr="00DE44E1">
        <w:rPr>
          <w:rFonts w:ascii="Times New Roman" w:hAnsi="Times New Roman"/>
          <w:sz w:val="24"/>
          <w:szCs w:val="24"/>
          <w:lang w:val="en-US"/>
        </w:rPr>
        <w:t>s default probability, they also make it possible to increase the level of indebtedness and thus the value of the enterprise.</w:t>
      </w:r>
    </w:p>
    <w:p w:rsidR="00401A1D" w:rsidRPr="00DE44E1" w:rsidRDefault="00401A1D" w:rsidP="00401A1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In particular, this theory was developed by Stulz (1984), which suggests that by reducing the volatility of company profits and hence the likelihood of financial stress, the company is able to increase its potential debt capability.</w:t>
      </w:r>
    </w:p>
    <w:p w:rsidR="00DC2AF0" w:rsidRPr="00DE44E1" w:rsidRDefault="00401A1D" w:rsidP="00401A1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If companies increase leverage in response to this higher debt capability, the associated increase in financial burdens will lead to a reduction in taxation and, consequently, an increase in the value of the company.</w:t>
      </w:r>
    </w:p>
    <w:p w:rsidR="00236891" w:rsidRPr="00DE44E1" w:rsidRDefault="006407E2" w:rsidP="0023689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Starting from the foregoing considerations, the following search hypothesis is examined</w:t>
      </w:r>
      <w:r w:rsidR="00C46ADA" w:rsidRPr="00DE44E1">
        <w:rPr>
          <w:rFonts w:ascii="Times New Roman" w:hAnsi="Times New Roman"/>
          <w:sz w:val="24"/>
          <w:szCs w:val="24"/>
          <w:lang w:val="en-US"/>
        </w:rPr>
        <w:t xml:space="preserve"> [</w:t>
      </w:r>
      <w:r w:rsidR="000F2514" w:rsidRPr="00DE44E1">
        <w:rPr>
          <w:rFonts w:ascii="Times New Roman" w:hAnsi="Times New Roman"/>
          <w:i/>
          <w:sz w:val="24"/>
          <w:szCs w:val="24"/>
          <w:lang w:val="en-US"/>
        </w:rPr>
        <w:t>H</w:t>
      </w:r>
      <w:r w:rsidR="00C46ADA" w:rsidRPr="00DE44E1">
        <w:rPr>
          <w:rFonts w:ascii="Times New Roman" w:hAnsi="Times New Roman"/>
          <w:i/>
          <w:sz w:val="24"/>
          <w:szCs w:val="24"/>
          <w:lang w:val="en-US"/>
        </w:rPr>
        <w:t>4</w:t>
      </w:r>
      <w:r w:rsidR="00C46ADA" w:rsidRPr="00DE44E1">
        <w:rPr>
          <w:rFonts w:ascii="Times New Roman" w:hAnsi="Times New Roman"/>
          <w:sz w:val="24"/>
          <w:szCs w:val="24"/>
          <w:lang w:val="en-US"/>
        </w:rPr>
        <w:t>]</w:t>
      </w:r>
      <w:r w:rsidRPr="00DE44E1">
        <w:rPr>
          <w:rFonts w:ascii="Times New Roman" w:hAnsi="Times New Roman"/>
          <w:sz w:val="24"/>
          <w:szCs w:val="24"/>
          <w:lang w:val="en-US"/>
        </w:rPr>
        <w:t>:</w:t>
      </w:r>
      <w:r w:rsidR="00C46ADA" w:rsidRPr="00DE44E1">
        <w:rPr>
          <w:rFonts w:ascii="Times New Roman" w:hAnsi="Times New Roman"/>
          <w:sz w:val="24"/>
          <w:szCs w:val="24"/>
          <w:lang w:val="en-US"/>
        </w:rPr>
        <w:t xml:space="preserve"> </w:t>
      </w:r>
      <w:r w:rsidRPr="00DE44E1">
        <w:rPr>
          <w:rFonts w:ascii="Times New Roman" w:hAnsi="Times New Roman"/>
          <w:sz w:val="24"/>
          <w:szCs w:val="24"/>
          <w:lang w:val="en-US"/>
        </w:rPr>
        <w:t>«There is a negative relationship between SMEs’ derivative financial instruments and expected financial distress costs (ExpFDC). The greatest endowment of derivatives determines the reduction of the expected financial distress costs</w:t>
      </w:r>
      <w:r w:rsidR="00C05A59" w:rsidRPr="00DE44E1">
        <w:rPr>
          <w:rFonts w:ascii="Times New Roman" w:hAnsi="Times New Roman"/>
          <w:sz w:val="24"/>
          <w:szCs w:val="24"/>
          <w:lang w:val="en-US"/>
        </w:rPr>
        <w:t xml:space="preserve">. </w:t>
      </w:r>
      <w:r w:rsidR="000773A4" w:rsidRPr="00DE44E1">
        <w:rPr>
          <w:rFonts w:ascii="Times New Roman" w:hAnsi="Times New Roman"/>
          <w:sz w:val="24"/>
          <w:szCs w:val="24"/>
          <w:lang w:val="en-US"/>
        </w:rPr>
        <w:t>This relationship is considered valid regardless of the country of origin of the enterprise</w:t>
      </w:r>
      <w:r w:rsidRPr="00DE44E1">
        <w:rPr>
          <w:rFonts w:ascii="Times New Roman" w:hAnsi="Times New Roman"/>
          <w:sz w:val="24"/>
          <w:szCs w:val="24"/>
          <w:lang w:val="en-US"/>
        </w:rPr>
        <w:t>».</w:t>
      </w:r>
      <w:r w:rsidR="009547CD">
        <w:rPr>
          <w:rFonts w:ascii="Times New Roman" w:hAnsi="Times New Roman"/>
          <w:sz w:val="24"/>
          <w:szCs w:val="24"/>
          <w:lang w:val="en-US"/>
        </w:rPr>
        <w:t xml:space="preserve"> </w:t>
      </w:r>
      <w:r w:rsidR="0099731E" w:rsidRPr="00DE44E1">
        <w:rPr>
          <w:rFonts w:ascii="Times New Roman" w:hAnsi="Times New Roman"/>
          <w:sz w:val="24"/>
          <w:szCs w:val="24"/>
          <w:lang w:val="en-US"/>
        </w:rPr>
        <w:t xml:space="preserve">With reference to the hypothesis </w:t>
      </w:r>
      <w:proofErr w:type="gramStart"/>
      <w:r w:rsidR="0099731E" w:rsidRPr="00DE44E1">
        <w:rPr>
          <w:rFonts w:ascii="Times New Roman" w:hAnsi="Times New Roman"/>
          <w:sz w:val="24"/>
          <w:szCs w:val="24"/>
          <w:lang w:val="en-US"/>
        </w:rPr>
        <w:t>4</w:t>
      </w:r>
      <w:proofErr w:type="gramEnd"/>
      <w:r w:rsidR="0099731E" w:rsidRPr="00DE44E1">
        <w:rPr>
          <w:rFonts w:ascii="Times New Roman" w:hAnsi="Times New Roman"/>
          <w:sz w:val="24"/>
          <w:szCs w:val="24"/>
          <w:lang w:val="en-US"/>
        </w:rPr>
        <w:t xml:space="preserve"> it is believed that the endowment of derivative financial instruments on the total assets of a firm [DER</w:t>
      </w:r>
      <w:r w:rsidR="007F0228" w:rsidRPr="00DE44E1">
        <w:rPr>
          <w:rFonts w:ascii="Times New Roman" w:hAnsi="Times New Roman"/>
          <w:sz w:val="24"/>
          <w:szCs w:val="24"/>
          <w:lang w:val="en-US"/>
        </w:rPr>
        <w:t>]</w:t>
      </w:r>
      <w:r w:rsidR="0099731E" w:rsidRPr="00DE44E1">
        <w:rPr>
          <w:rFonts w:ascii="Times New Roman" w:hAnsi="Times New Roman"/>
          <w:sz w:val="24"/>
          <w:szCs w:val="24"/>
          <w:lang w:val="en-US"/>
        </w:rPr>
        <w:t xml:space="preserve"> </w:t>
      </w:r>
      <w:r w:rsidR="00B40880" w:rsidRPr="00DE44E1">
        <w:rPr>
          <w:rFonts w:ascii="Times New Roman" w:hAnsi="Times New Roman"/>
          <w:sz w:val="24"/>
          <w:szCs w:val="24"/>
          <w:lang w:val="en-US"/>
        </w:rPr>
        <w:t xml:space="preserve">- </w:t>
      </w:r>
      <w:r w:rsidR="0099731E" w:rsidRPr="00DE44E1">
        <w:rPr>
          <w:rFonts w:ascii="Times New Roman" w:hAnsi="Times New Roman"/>
          <w:sz w:val="24"/>
          <w:szCs w:val="24"/>
          <w:lang w:val="en-US"/>
        </w:rPr>
        <w:t xml:space="preserve">shows the amount of derivative financial instruments </w:t>
      </w:r>
      <w:r w:rsidR="00B40880" w:rsidRPr="00DE44E1">
        <w:rPr>
          <w:rFonts w:ascii="Times New Roman" w:hAnsi="Times New Roman"/>
          <w:sz w:val="24"/>
          <w:szCs w:val="24"/>
          <w:lang w:val="en-US"/>
        </w:rPr>
        <w:t xml:space="preserve">as a percentage of total assets - </w:t>
      </w:r>
      <w:r w:rsidR="0099731E" w:rsidRPr="00DE44E1">
        <w:rPr>
          <w:rFonts w:ascii="Times New Roman" w:hAnsi="Times New Roman"/>
          <w:sz w:val="24"/>
          <w:szCs w:val="24"/>
          <w:lang w:val="en-US"/>
        </w:rPr>
        <w:t xml:space="preserve">is a measure </w:t>
      </w:r>
      <w:r w:rsidR="00B5174B" w:rsidRPr="00DE44E1">
        <w:rPr>
          <w:rFonts w:ascii="Times New Roman" w:hAnsi="Times New Roman"/>
          <w:sz w:val="24"/>
          <w:szCs w:val="24"/>
          <w:lang w:val="en-US"/>
        </w:rPr>
        <w:t>of its ability to reduce the likelihood of financial distress.</w:t>
      </w:r>
    </w:p>
    <w:p w:rsidR="00C23418" w:rsidRPr="00DE44E1" w:rsidRDefault="005B1268"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Our model was designed to provide a representation of the value loss of SMEs in financial crisis.</w:t>
      </w:r>
    </w:p>
    <w:p w:rsidR="005B1268" w:rsidRPr="00DE44E1" w:rsidRDefault="005B1268"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This section clarifies how “probability of financial suffering” and “ex-post financial aid costs” can be useful drivers in building a model for estimating ex-ante financial distress costs.</w:t>
      </w:r>
    </w:p>
    <w:p w:rsidR="009547CD" w:rsidRDefault="00990953" w:rsidP="00A15AB3">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In literature we see a rich literary production e</w:t>
      </w:r>
      <w:r w:rsidR="00E629B0" w:rsidRPr="00DE44E1">
        <w:rPr>
          <w:rFonts w:ascii="Times New Roman" w:hAnsi="Times New Roman"/>
          <w:sz w:val="24"/>
          <w:szCs w:val="24"/>
          <w:lang w:val="en-US"/>
        </w:rPr>
        <w:t>ngaged in the formulation of ex-</w:t>
      </w:r>
      <w:r w:rsidRPr="00DE44E1">
        <w:rPr>
          <w:rFonts w:ascii="Times New Roman" w:hAnsi="Times New Roman"/>
          <w:sz w:val="24"/>
          <w:szCs w:val="24"/>
          <w:lang w:val="en-US"/>
        </w:rPr>
        <w:t xml:space="preserve">ante models to estimate the financial distress likelihood (FDL). Particularly, Grice and Ingram (2001), Pindado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(2008), Keasey </w:t>
      </w:r>
      <w:r w:rsidRPr="00DE44E1">
        <w:rPr>
          <w:rFonts w:ascii="Times New Roman" w:hAnsi="Times New Roman"/>
          <w:i/>
          <w:sz w:val="24"/>
          <w:szCs w:val="24"/>
          <w:lang w:val="en-US"/>
        </w:rPr>
        <w:t>et al</w:t>
      </w:r>
      <w:r w:rsidR="00ED1973" w:rsidRPr="00DE44E1">
        <w:rPr>
          <w:rFonts w:ascii="Times New Roman" w:hAnsi="Times New Roman"/>
          <w:sz w:val="24"/>
          <w:szCs w:val="24"/>
          <w:lang w:val="en-US"/>
        </w:rPr>
        <w:t>. (2015</w:t>
      </w:r>
      <w:r w:rsidRPr="00DE44E1">
        <w:rPr>
          <w:rFonts w:ascii="Times New Roman" w:hAnsi="Times New Roman"/>
          <w:sz w:val="24"/>
          <w:szCs w:val="24"/>
          <w:lang w:val="en-US"/>
        </w:rPr>
        <w:t xml:space="preserve">) and Gupta </w:t>
      </w:r>
      <w:r w:rsidRPr="00DE44E1">
        <w:rPr>
          <w:rFonts w:ascii="Times New Roman" w:hAnsi="Times New Roman"/>
          <w:i/>
          <w:sz w:val="24"/>
          <w:szCs w:val="24"/>
          <w:lang w:val="en-US"/>
        </w:rPr>
        <w:t>et al</w:t>
      </w:r>
      <w:r w:rsidRPr="00DE44E1">
        <w:rPr>
          <w:rFonts w:ascii="Times New Roman" w:hAnsi="Times New Roman"/>
          <w:sz w:val="24"/>
          <w:szCs w:val="24"/>
          <w:lang w:val="en-US"/>
        </w:rPr>
        <w:t>. (2015) underline that the seminal models by Beaver (1966), Altman (1968</w:t>
      </w:r>
      <w:r w:rsidR="00CD1F65" w:rsidRPr="00DE44E1">
        <w:rPr>
          <w:rFonts w:ascii="Times New Roman" w:hAnsi="Times New Roman"/>
          <w:sz w:val="24"/>
          <w:szCs w:val="24"/>
          <w:lang w:val="en-US"/>
        </w:rPr>
        <w:t>, 1984</w:t>
      </w:r>
      <w:r w:rsidRPr="00DE44E1">
        <w:rPr>
          <w:rFonts w:ascii="Times New Roman" w:hAnsi="Times New Roman"/>
          <w:sz w:val="24"/>
          <w:szCs w:val="24"/>
          <w:lang w:val="en-US"/>
        </w:rPr>
        <w:t>) and Ohlson (1980) are revealed suitable in the classification of the sector (better for the manufacturing enterprises) but poorly sensitive to the typology of financial distress of the enterprise. To analogous conclusions the studies of Zmijewski (1984) are reached.</w:t>
      </w:r>
      <w:r w:rsidR="009547CD">
        <w:rPr>
          <w:rFonts w:ascii="Times New Roman" w:hAnsi="Times New Roman"/>
          <w:sz w:val="24"/>
          <w:szCs w:val="24"/>
          <w:lang w:val="en-US"/>
        </w:rPr>
        <w:t xml:space="preserve"> </w:t>
      </w:r>
    </w:p>
    <w:p w:rsidR="000F64E9" w:rsidRPr="00DE44E1" w:rsidRDefault="000F64E9" w:rsidP="00A15AB3">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lastRenderedPageBreak/>
        <w:t xml:space="preserve">The aim of this section is to outline the empirical approach that we use to analyse the FDL. In this regard, we fellow Pindado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(2008) and Keasey </w:t>
      </w:r>
      <w:r w:rsidRPr="00DE44E1">
        <w:rPr>
          <w:rFonts w:ascii="Times New Roman" w:hAnsi="Times New Roman"/>
          <w:i/>
          <w:sz w:val="24"/>
          <w:szCs w:val="24"/>
          <w:lang w:val="en-US"/>
        </w:rPr>
        <w:t>et al</w:t>
      </w:r>
      <w:r w:rsidRPr="00DE44E1">
        <w:rPr>
          <w:rFonts w:ascii="Times New Roman" w:hAnsi="Times New Roman"/>
          <w:sz w:val="24"/>
          <w:szCs w:val="24"/>
          <w:lang w:val="en-US"/>
        </w:rPr>
        <w:t>. (2015), where FDL is specified as a function</w:t>
      </w:r>
      <w:r w:rsidR="00747A87" w:rsidRPr="00DE44E1">
        <w:rPr>
          <w:rFonts w:ascii="Times New Roman" w:hAnsi="Times New Roman"/>
          <w:sz w:val="24"/>
          <w:szCs w:val="24"/>
          <w:lang w:val="en-US"/>
        </w:rPr>
        <w:t xml:space="preserve"> of three ratios (1):</w:t>
      </w:r>
    </w:p>
    <w:p w:rsidR="004760D1" w:rsidRPr="00DE44E1" w:rsidRDefault="004760D1" w:rsidP="004760D1">
      <w:pPr>
        <w:widowControl w:val="0"/>
        <w:tabs>
          <w:tab w:val="left" w:pos="425"/>
        </w:tabs>
        <w:spacing w:after="0" w:line="240" w:lineRule="auto"/>
        <w:jc w:val="center"/>
        <w:rPr>
          <w:rFonts w:ascii="Times New Roman" w:hAnsi="Times New Roman"/>
          <w:sz w:val="24"/>
          <w:szCs w:val="24"/>
          <w:lang w:val="en-US"/>
        </w:rPr>
      </w:pPr>
    </w:p>
    <w:p w:rsidR="007543F1" w:rsidRPr="00DE44E1" w:rsidRDefault="0041097B" w:rsidP="004760D1">
      <w:pPr>
        <w:widowControl w:val="0"/>
        <w:tabs>
          <w:tab w:val="left" w:pos="425"/>
        </w:tabs>
        <w:spacing w:after="0" w:line="240" w:lineRule="auto"/>
        <w:jc w:val="center"/>
        <w:rPr>
          <w:rFonts w:ascii="Times New Roman" w:hAnsi="Times New Roman"/>
          <w:sz w:val="24"/>
          <w:szCs w:val="24"/>
          <w:lang w:val="en-US"/>
        </w:rPr>
      </w:pPr>
      <w:r w:rsidRPr="00063DF8">
        <w:rPr>
          <w:rFonts w:ascii="Times New Roman" w:hAnsi="Times New Roman"/>
          <w:position w:val="-34"/>
        </w:rPr>
        <w:object w:dxaOrig="7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39.75pt" o:ole="">
            <v:imagedata r:id="rId8" o:title=""/>
          </v:shape>
          <o:OLEObject Type="Embed" ProgID="Equation.DSMT4" ShapeID="_x0000_i1025" DrawAspect="Content" ObjectID="_1574181398" r:id="rId9"/>
        </w:object>
      </w:r>
      <w:r w:rsidR="00564E8E" w:rsidRPr="00DE44E1">
        <w:t xml:space="preserve">  </w:t>
      </w:r>
      <w:r w:rsidR="007543F1" w:rsidRPr="00DE44E1">
        <w:rPr>
          <w:rFonts w:ascii="Times New Roman" w:hAnsi="Times New Roman"/>
          <w:sz w:val="24"/>
          <w:szCs w:val="24"/>
        </w:rPr>
        <w:t>[1]</w:t>
      </w:r>
    </w:p>
    <w:p w:rsidR="007543F1" w:rsidRPr="00DE44E1" w:rsidRDefault="007543F1" w:rsidP="004760D1">
      <w:pPr>
        <w:widowControl w:val="0"/>
        <w:tabs>
          <w:tab w:val="left" w:pos="425"/>
        </w:tabs>
        <w:spacing w:after="0" w:line="240" w:lineRule="auto"/>
        <w:jc w:val="center"/>
        <w:rPr>
          <w:rFonts w:ascii="Times New Roman" w:hAnsi="Times New Roman"/>
          <w:sz w:val="24"/>
          <w:szCs w:val="24"/>
          <w:lang w:val="en-US"/>
        </w:rPr>
      </w:pPr>
    </w:p>
    <w:p w:rsidR="009547CD" w:rsidRDefault="00674443" w:rsidP="00C013DB">
      <w:pPr>
        <w:widowControl w:val="0"/>
        <w:tabs>
          <w:tab w:val="left" w:pos="425"/>
        </w:tabs>
        <w:spacing w:after="0" w:line="240" w:lineRule="auto"/>
        <w:ind w:firstLine="426"/>
        <w:jc w:val="both"/>
        <w:rPr>
          <w:rFonts w:ascii="Times New Roman" w:hAnsi="Times New Roman"/>
          <w:sz w:val="24"/>
          <w:szCs w:val="24"/>
          <w:lang w:val="en-US"/>
        </w:rPr>
      </w:pPr>
      <w:r w:rsidRPr="00674443">
        <w:rPr>
          <w:rFonts w:ascii="Times New Roman" w:hAnsi="Times New Roman"/>
          <w:sz w:val="24"/>
          <w:szCs w:val="24"/>
          <w:lang w:val="en-US"/>
        </w:rPr>
        <w:t xml:space="preserve">The first </w:t>
      </w:r>
      <w:r>
        <w:rPr>
          <w:rFonts w:ascii="Times New Roman" w:hAnsi="Times New Roman"/>
          <w:sz w:val="24"/>
          <w:szCs w:val="24"/>
          <w:lang w:val="en-US"/>
        </w:rPr>
        <w:t>ratio (EBITDA</w:t>
      </w:r>
      <w:r w:rsidR="004C593C">
        <w:rPr>
          <w:rFonts w:ascii="Times New Roman" w:hAnsi="Times New Roman"/>
          <w:sz w:val="24"/>
          <w:szCs w:val="24"/>
          <w:lang w:val="en-US"/>
        </w:rPr>
        <w:t xml:space="preserve"> ÷ Total Assets)</w:t>
      </w:r>
      <w:r w:rsidRPr="00674443">
        <w:rPr>
          <w:rFonts w:ascii="Times New Roman" w:hAnsi="Times New Roman"/>
          <w:sz w:val="24"/>
          <w:szCs w:val="24"/>
          <w:lang w:val="en-US"/>
        </w:rPr>
        <w:t xml:space="preserve"> </w:t>
      </w:r>
      <w:r w:rsidR="004C593C">
        <w:rPr>
          <w:rFonts w:ascii="Times New Roman" w:hAnsi="Times New Roman"/>
          <w:sz w:val="24"/>
          <w:szCs w:val="24"/>
          <w:lang w:val="en-US"/>
        </w:rPr>
        <w:t>m</w:t>
      </w:r>
      <w:r w:rsidR="004C593C" w:rsidRPr="004C593C">
        <w:rPr>
          <w:rFonts w:ascii="Times New Roman" w:hAnsi="Times New Roman"/>
          <w:sz w:val="24"/>
          <w:szCs w:val="24"/>
          <w:lang w:val="en-US"/>
        </w:rPr>
        <w:t xml:space="preserve">easures operating efficiency apart from </w:t>
      </w:r>
      <w:r w:rsidR="004C593C">
        <w:rPr>
          <w:rFonts w:ascii="Times New Roman" w:hAnsi="Times New Roman"/>
          <w:sz w:val="24"/>
          <w:szCs w:val="24"/>
          <w:lang w:val="en-US"/>
        </w:rPr>
        <w:t xml:space="preserve">depreciation, </w:t>
      </w:r>
      <w:r w:rsidR="004C593C" w:rsidRPr="004C593C">
        <w:rPr>
          <w:rFonts w:ascii="Times New Roman" w:hAnsi="Times New Roman"/>
          <w:sz w:val="24"/>
          <w:szCs w:val="24"/>
          <w:lang w:val="en-US"/>
        </w:rPr>
        <w:t>amortization</w:t>
      </w:r>
      <w:r w:rsidR="004C593C">
        <w:rPr>
          <w:rFonts w:ascii="Times New Roman" w:hAnsi="Times New Roman"/>
          <w:sz w:val="24"/>
          <w:szCs w:val="24"/>
          <w:lang w:val="en-US"/>
        </w:rPr>
        <w:t>,</w:t>
      </w:r>
      <w:r w:rsidR="004C593C" w:rsidRPr="004C593C">
        <w:rPr>
          <w:rFonts w:ascii="Times New Roman" w:hAnsi="Times New Roman"/>
          <w:sz w:val="24"/>
          <w:szCs w:val="24"/>
          <w:lang w:val="en-US"/>
        </w:rPr>
        <w:t xml:space="preserve"> tax and leveraging factors.</w:t>
      </w:r>
      <w:r w:rsidR="004C593C">
        <w:rPr>
          <w:rFonts w:ascii="Times New Roman" w:hAnsi="Times New Roman"/>
          <w:sz w:val="24"/>
          <w:szCs w:val="24"/>
          <w:lang w:val="en-US"/>
        </w:rPr>
        <w:t xml:space="preserve"> I</w:t>
      </w:r>
      <w:r w:rsidR="004C593C" w:rsidRPr="004C593C">
        <w:rPr>
          <w:rFonts w:ascii="Times New Roman" w:hAnsi="Times New Roman"/>
          <w:sz w:val="24"/>
          <w:szCs w:val="24"/>
          <w:lang w:val="en-US"/>
        </w:rPr>
        <w:t xml:space="preserve">t is also an indicator useful to understand the </w:t>
      </w:r>
      <w:r w:rsidR="00BD1296">
        <w:rPr>
          <w:rFonts w:ascii="Times New Roman" w:hAnsi="Times New Roman"/>
          <w:sz w:val="24"/>
          <w:szCs w:val="24"/>
          <w:lang w:val="en-US"/>
        </w:rPr>
        <w:t>firm’</w:t>
      </w:r>
      <w:r w:rsidR="004C593C" w:rsidRPr="004C593C">
        <w:rPr>
          <w:rFonts w:ascii="Times New Roman" w:hAnsi="Times New Roman"/>
          <w:sz w:val="24"/>
          <w:szCs w:val="24"/>
          <w:lang w:val="en-US"/>
        </w:rPr>
        <w:t>s ability to attract financial resources or renegotiate debts</w:t>
      </w:r>
      <w:r w:rsidR="00BD1296">
        <w:rPr>
          <w:rFonts w:ascii="Times New Roman" w:hAnsi="Times New Roman"/>
          <w:sz w:val="24"/>
          <w:szCs w:val="24"/>
          <w:lang w:val="en-US"/>
        </w:rPr>
        <w:t>.</w:t>
      </w:r>
      <w:r w:rsidR="000D0820">
        <w:rPr>
          <w:rFonts w:ascii="Times New Roman" w:hAnsi="Times New Roman"/>
          <w:sz w:val="24"/>
          <w:szCs w:val="24"/>
          <w:lang w:val="en-US"/>
        </w:rPr>
        <w:t xml:space="preserve"> </w:t>
      </w:r>
      <w:r w:rsidR="00FB3CFE" w:rsidRPr="00FB3CFE">
        <w:rPr>
          <w:rFonts w:ascii="Times New Roman" w:hAnsi="Times New Roman"/>
          <w:sz w:val="24"/>
          <w:szCs w:val="24"/>
          <w:lang w:val="en-US"/>
        </w:rPr>
        <w:t xml:space="preserve">The second ratio </w:t>
      </w:r>
      <w:r w:rsidR="000D0820">
        <w:rPr>
          <w:rFonts w:ascii="Times New Roman" w:hAnsi="Times New Roman"/>
          <w:sz w:val="24"/>
          <w:szCs w:val="24"/>
          <w:lang w:val="en-US"/>
        </w:rPr>
        <w:t>(</w:t>
      </w:r>
      <w:r w:rsidR="000D0820" w:rsidRPr="000D0820">
        <w:rPr>
          <w:rFonts w:ascii="Times New Roman" w:hAnsi="Times New Roman"/>
          <w:sz w:val="24"/>
          <w:szCs w:val="24"/>
          <w:lang w:val="en-US"/>
        </w:rPr>
        <w:t>Financial Expenses</w:t>
      </w:r>
      <w:r w:rsidR="000D0820">
        <w:rPr>
          <w:rFonts w:ascii="Times New Roman" w:hAnsi="Times New Roman"/>
          <w:sz w:val="24"/>
          <w:szCs w:val="24"/>
          <w:lang w:val="en-US"/>
        </w:rPr>
        <w:t xml:space="preserve"> ÷ Total Assets)</w:t>
      </w:r>
      <w:r w:rsidR="000D0820" w:rsidRPr="00674443">
        <w:rPr>
          <w:rFonts w:ascii="Times New Roman" w:hAnsi="Times New Roman"/>
          <w:sz w:val="24"/>
          <w:szCs w:val="24"/>
          <w:lang w:val="en-US"/>
        </w:rPr>
        <w:t xml:space="preserve"> </w:t>
      </w:r>
      <w:r w:rsidR="000D0820" w:rsidRPr="000D0820">
        <w:rPr>
          <w:rFonts w:ascii="Times New Roman" w:hAnsi="Times New Roman"/>
          <w:sz w:val="24"/>
          <w:szCs w:val="24"/>
          <w:lang w:val="en-US"/>
        </w:rPr>
        <w:t xml:space="preserve">indicates </w:t>
      </w:r>
      <w:r w:rsidR="00FB3CFE" w:rsidRPr="00FB3CFE">
        <w:rPr>
          <w:rFonts w:ascii="Times New Roman" w:hAnsi="Times New Roman"/>
          <w:sz w:val="24"/>
          <w:szCs w:val="24"/>
          <w:lang w:val="en-US"/>
        </w:rPr>
        <w:t xml:space="preserve">the impact of financial expenses on FDL; as with other model variables, </w:t>
      </w:r>
      <w:proofErr w:type="gramStart"/>
      <w:r w:rsidR="000D0820" w:rsidRPr="000D0820">
        <w:rPr>
          <w:rFonts w:ascii="Times New Roman" w:hAnsi="Times New Roman"/>
          <w:sz w:val="24"/>
          <w:szCs w:val="24"/>
          <w:lang w:val="en-US"/>
        </w:rPr>
        <w:t>it is scaled by total assets</w:t>
      </w:r>
      <w:proofErr w:type="gramEnd"/>
      <w:r w:rsidR="00FB3CFE" w:rsidRPr="00FB3CFE">
        <w:rPr>
          <w:rFonts w:ascii="Times New Roman" w:hAnsi="Times New Roman"/>
          <w:sz w:val="24"/>
          <w:szCs w:val="24"/>
          <w:lang w:val="en-US"/>
        </w:rPr>
        <w:t>.</w:t>
      </w:r>
      <w:r w:rsidR="005B0709">
        <w:rPr>
          <w:rFonts w:ascii="Times New Roman" w:hAnsi="Times New Roman"/>
          <w:sz w:val="24"/>
          <w:szCs w:val="24"/>
          <w:lang w:val="en-US"/>
        </w:rPr>
        <w:t xml:space="preserve"> </w:t>
      </w:r>
      <w:r w:rsidR="00DE69B7" w:rsidRPr="00DE69B7">
        <w:rPr>
          <w:rFonts w:ascii="Times New Roman" w:hAnsi="Times New Roman"/>
          <w:sz w:val="24"/>
          <w:szCs w:val="24"/>
          <w:lang w:val="en-US"/>
        </w:rPr>
        <w:t xml:space="preserve">The last ratio </w:t>
      </w:r>
      <w:r w:rsidR="00DE69B7">
        <w:rPr>
          <w:rFonts w:ascii="Times New Roman" w:hAnsi="Times New Roman"/>
          <w:sz w:val="24"/>
          <w:szCs w:val="24"/>
          <w:lang w:val="en-US"/>
        </w:rPr>
        <w:t>(</w:t>
      </w:r>
      <w:r w:rsidR="00DE69B7" w:rsidRPr="00DE69B7">
        <w:rPr>
          <w:rFonts w:ascii="Times New Roman" w:hAnsi="Times New Roman"/>
          <w:sz w:val="24"/>
          <w:szCs w:val="24"/>
          <w:lang w:val="en-US"/>
        </w:rPr>
        <w:t>Retained Earnings</w:t>
      </w:r>
      <w:r w:rsidR="00DE69B7">
        <w:rPr>
          <w:rFonts w:ascii="Times New Roman" w:hAnsi="Times New Roman"/>
          <w:sz w:val="24"/>
          <w:szCs w:val="24"/>
          <w:lang w:val="en-US"/>
        </w:rPr>
        <w:t xml:space="preserve"> ÷ Total Assets)</w:t>
      </w:r>
      <w:r w:rsidR="00DE69B7" w:rsidRPr="00674443">
        <w:rPr>
          <w:rFonts w:ascii="Times New Roman" w:hAnsi="Times New Roman"/>
          <w:sz w:val="24"/>
          <w:szCs w:val="24"/>
          <w:lang w:val="en-US"/>
        </w:rPr>
        <w:t xml:space="preserve"> </w:t>
      </w:r>
      <w:r w:rsidR="00DE69B7" w:rsidRPr="00DE69B7">
        <w:rPr>
          <w:rFonts w:ascii="Times New Roman" w:hAnsi="Times New Roman"/>
          <w:sz w:val="24"/>
          <w:szCs w:val="24"/>
          <w:lang w:val="en-US"/>
        </w:rPr>
        <w:t>measures cumulative profitability over time as a proportion of total assets.</w:t>
      </w:r>
      <w:r w:rsidR="009547CD">
        <w:rPr>
          <w:rFonts w:ascii="Times New Roman" w:hAnsi="Times New Roman"/>
          <w:sz w:val="24"/>
          <w:szCs w:val="24"/>
          <w:lang w:val="en-US"/>
        </w:rPr>
        <w:t xml:space="preserve"> </w:t>
      </w:r>
      <w:r w:rsidR="000E72A8" w:rsidRPr="00DE44E1">
        <w:rPr>
          <w:rFonts w:ascii="Times New Roman" w:hAnsi="Times New Roman"/>
          <w:sz w:val="24"/>
          <w:szCs w:val="24"/>
          <w:lang w:val="en-US"/>
        </w:rPr>
        <w:t xml:space="preserve">FDL variable originates from proposed regression model; its value ranges between </w:t>
      </w:r>
      <w:r w:rsidR="00980C6C">
        <w:rPr>
          <w:rFonts w:ascii="Times New Roman" w:hAnsi="Times New Roman"/>
          <w:sz w:val="24"/>
          <w:szCs w:val="24"/>
          <w:lang w:val="en-US"/>
        </w:rPr>
        <w:t>“</w:t>
      </w:r>
      <w:r w:rsidR="000E72A8" w:rsidRPr="00DE44E1">
        <w:rPr>
          <w:rFonts w:ascii="Times New Roman" w:hAnsi="Times New Roman"/>
          <w:sz w:val="24"/>
          <w:szCs w:val="24"/>
          <w:lang w:val="en-US"/>
        </w:rPr>
        <w:t>0</w:t>
      </w:r>
      <w:r w:rsidR="00980C6C">
        <w:rPr>
          <w:rFonts w:ascii="Times New Roman" w:hAnsi="Times New Roman"/>
          <w:sz w:val="24"/>
          <w:szCs w:val="24"/>
          <w:lang w:val="en-US"/>
        </w:rPr>
        <w:t>”</w:t>
      </w:r>
      <w:r w:rsidR="000E72A8" w:rsidRPr="00DE44E1">
        <w:rPr>
          <w:rFonts w:ascii="Times New Roman" w:hAnsi="Times New Roman"/>
          <w:sz w:val="24"/>
          <w:szCs w:val="24"/>
          <w:lang w:val="en-US"/>
        </w:rPr>
        <w:t xml:space="preserve"> and </w:t>
      </w:r>
      <w:r w:rsidR="00980C6C">
        <w:rPr>
          <w:rFonts w:ascii="Times New Roman" w:hAnsi="Times New Roman"/>
          <w:sz w:val="24"/>
          <w:szCs w:val="24"/>
          <w:lang w:val="en-US"/>
        </w:rPr>
        <w:t>“</w:t>
      </w:r>
      <w:r w:rsidR="000E72A8" w:rsidRPr="00DE44E1">
        <w:rPr>
          <w:rFonts w:ascii="Times New Roman" w:hAnsi="Times New Roman"/>
          <w:sz w:val="24"/>
          <w:szCs w:val="24"/>
          <w:lang w:val="en-US"/>
        </w:rPr>
        <w:t>1</w:t>
      </w:r>
      <w:r w:rsidR="00980C6C">
        <w:rPr>
          <w:rFonts w:ascii="Times New Roman" w:hAnsi="Times New Roman"/>
          <w:sz w:val="24"/>
          <w:szCs w:val="24"/>
          <w:lang w:val="en-US"/>
        </w:rPr>
        <w:t>”</w:t>
      </w:r>
      <w:r w:rsidR="000E72A8" w:rsidRPr="00DE44E1">
        <w:rPr>
          <w:rFonts w:ascii="Times New Roman" w:hAnsi="Times New Roman"/>
          <w:sz w:val="24"/>
          <w:szCs w:val="24"/>
          <w:lang w:val="en-US"/>
        </w:rPr>
        <w:t>.</w:t>
      </w:r>
      <w:r w:rsidR="003A0280" w:rsidRPr="00DE44E1">
        <w:rPr>
          <w:rFonts w:ascii="Times New Roman" w:hAnsi="Times New Roman"/>
          <w:sz w:val="24"/>
          <w:szCs w:val="24"/>
          <w:lang w:val="en-US"/>
        </w:rPr>
        <w:t xml:space="preserve"> </w:t>
      </w:r>
    </w:p>
    <w:p w:rsidR="009547CD" w:rsidRDefault="00990953" w:rsidP="00C013DB">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It appears evident as the FDL variable has a positive impact on the (ex-ante) financial distress costs (ExaFDC).</w:t>
      </w:r>
      <w:r w:rsidR="009547CD">
        <w:rPr>
          <w:rFonts w:ascii="Times New Roman" w:hAnsi="Times New Roman"/>
          <w:sz w:val="24"/>
          <w:szCs w:val="24"/>
          <w:lang w:val="en-US"/>
        </w:rPr>
        <w:t xml:space="preserve"> </w:t>
      </w:r>
      <w:r w:rsidR="004C6055" w:rsidRPr="004C6055">
        <w:rPr>
          <w:rFonts w:ascii="Times New Roman" w:hAnsi="Times New Roman"/>
          <w:sz w:val="24"/>
          <w:szCs w:val="24"/>
          <w:lang w:val="en-US"/>
        </w:rPr>
        <w:t xml:space="preserve">Following </w:t>
      </w:r>
      <w:r w:rsidR="004C6055">
        <w:rPr>
          <w:rFonts w:ascii="Times New Roman" w:hAnsi="Times New Roman"/>
          <w:sz w:val="24"/>
          <w:szCs w:val="24"/>
          <w:lang w:val="en-US"/>
        </w:rPr>
        <w:t>financial distress, the company’</w:t>
      </w:r>
      <w:r w:rsidR="004C6055" w:rsidRPr="004C6055">
        <w:rPr>
          <w:rFonts w:ascii="Times New Roman" w:hAnsi="Times New Roman"/>
          <w:sz w:val="24"/>
          <w:szCs w:val="24"/>
          <w:lang w:val="en-US"/>
        </w:rPr>
        <w:t>s loss of value is identifiable in terms of ex-post financial distress cost (ExpFDC).</w:t>
      </w:r>
      <w:r w:rsidR="009F21E7">
        <w:rPr>
          <w:rFonts w:ascii="Times New Roman" w:hAnsi="Times New Roman"/>
          <w:sz w:val="24"/>
          <w:szCs w:val="24"/>
          <w:lang w:val="en-US"/>
        </w:rPr>
        <w:t xml:space="preserve"> </w:t>
      </w:r>
    </w:p>
    <w:p w:rsidR="00C013DB" w:rsidRPr="00DE44E1" w:rsidRDefault="009F21E7" w:rsidP="00C013DB">
      <w:pPr>
        <w:widowControl w:val="0"/>
        <w:tabs>
          <w:tab w:val="left" w:pos="425"/>
        </w:tabs>
        <w:spacing w:after="0" w:line="240" w:lineRule="auto"/>
        <w:ind w:firstLine="426"/>
        <w:jc w:val="both"/>
        <w:rPr>
          <w:rFonts w:ascii="Times New Roman" w:hAnsi="Times New Roman"/>
          <w:sz w:val="24"/>
          <w:szCs w:val="24"/>
          <w:lang w:val="en-US"/>
        </w:rPr>
      </w:pPr>
      <w:r w:rsidRPr="009F21E7">
        <w:rPr>
          <w:rFonts w:ascii="Times New Roman" w:hAnsi="Times New Roman"/>
          <w:sz w:val="24"/>
          <w:szCs w:val="24"/>
          <w:lang w:val="en-US"/>
        </w:rPr>
        <w:t>Consistent with our ExaFDC definition, ex-post costs represent discount factor in estimating future firm value.</w:t>
      </w:r>
      <w:r w:rsidR="00404EBA">
        <w:rPr>
          <w:rFonts w:ascii="Times New Roman" w:hAnsi="Times New Roman"/>
          <w:sz w:val="24"/>
          <w:szCs w:val="24"/>
          <w:lang w:val="en-US"/>
        </w:rPr>
        <w:t xml:space="preserve"> </w:t>
      </w:r>
      <w:r w:rsidR="00885AEA" w:rsidRPr="00885AEA">
        <w:rPr>
          <w:rFonts w:ascii="Times New Roman" w:hAnsi="Times New Roman"/>
          <w:sz w:val="24"/>
          <w:szCs w:val="24"/>
          <w:lang w:val="en-US"/>
        </w:rPr>
        <w:t xml:space="preserve">In line with Keasey model (Keasey </w:t>
      </w:r>
      <w:r w:rsidR="00885AEA" w:rsidRPr="00885AEA">
        <w:rPr>
          <w:rFonts w:ascii="Times New Roman" w:hAnsi="Times New Roman"/>
          <w:i/>
          <w:sz w:val="24"/>
          <w:szCs w:val="24"/>
          <w:lang w:val="en-US"/>
        </w:rPr>
        <w:t>et al</w:t>
      </w:r>
      <w:r w:rsidR="00885AEA" w:rsidRPr="00885AEA">
        <w:rPr>
          <w:rFonts w:ascii="Times New Roman" w:hAnsi="Times New Roman"/>
          <w:sz w:val="24"/>
          <w:szCs w:val="24"/>
          <w:lang w:val="en-US"/>
        </w:rPr>
        <w:t>., 2015), which sees financial distress costs depends on FDL, expected cost of financial distress are quantified in terms of weighting of ExpFDC by the l</w:t>
      </w:r>
      <w:r w:rsidR="00885AEA">
        <w:rPr>
          <w:rFonts w:ascii="Times New Roman" w:hAnsi="Times New Roman"/>
          <w:sz w:val="24"/>
          <w:szCs w:val="24"/>
          <w:lang w:val="en-US"/>
        </w:rPr>
        <w:t xml:space="preserve">ikelihood of financial distress </w:t>
      </w:r>
      <w:r w:rsidR="002C3EB1" w:rsidRPr="00DE44E1">
        <w:rPr>
          <w:rFonts w:ascii="Times New Roman" w:hAnsi="Times New Roman"/>
          <w:sz w:val="24"/>
          <w:szCs w:val="24"/>
          <w:lang w:val="en-US"/>
        </w:rPr>
        <w:t>(2)</w:t>
      </w:r>
      <w:r w:rsidR="006720E6" w:rsidRPr="00DE44E1">
        <w:rPr>
          <w:rFonts w:ascii="Times New Roman" w:hAnsi="Times New Roman"/>
          <w:sz w:val="24"/>
          <w:szCs w:val="24"/>
          <w:lang w:val="en-US"/>
        </w:rPr>
        <w:t>:</w:t>
      </w:r>
    </w:p>
    <w:p w:rsidR="00C013DB" w:rsidRPr="00DE44E1" w:rsidRDefault="00C013DB" w:rsidP="004760D1">
      <w:pPr>
        <w:widowControl w:val="0"/>
        <w:tabs>
          <w:tab w:val="left" w:pos="425"/>
        </w:tabs>
        <w:spacing w:after="0" w:line="240" w:lineRule="auto"/>
        <w:ind w:firstLine="426"/>
        <w:jc w:val="both"/>
        <w:rPr>
          <w:rFonts w:ascii="Times New Roman" w:hAnsi="Times New Roman"/>
          <w:sz w:val="24"/>
          <w:szCs w:val="24"/>
          <w:lang w:val="en-US"/>
        </w:rPr>
      </w:pPr>
    </w:p>
    <w:p w:rsidR="007543F1" w:rsidRPr="00DE44E1" w:rsidRDefault="00564E8E" w:rsidP="00564E8E">
      <w:pPr>
        <w:widowControl w:val="0"/>
        <w:tabs>
          <w:tab w:val="left" w:pos="425"/>
        </w:tabs>
        <w:spacing w:after="0" w:line="240" w:lineRule="auto"/>
        <w:ind w:firstLine="426"/>
        <w:jc w:val="center"/>
        <w:rPr>
          <w:rFonts w:ascii="Times New Roman" w:hAnsi="Times New Roman"/>
          <w:sz w:val="24"/>
          <w:szCs w:val="24"/>
        </w:rPr>
      </w:pPr>
      <w:r w:rsidRPr="00063DF8">
        <w:rPr>
          <w:rFonts w:ascii="Times New Roman" w:hAnsi="Times New Roman"/>
          <w:position w:val="-10"/>
        </w:rPr>
        <w:object w:dxaOrig="2600" w:dyaOrig="320">
          <v:shape id="_x0000_i1026" type="#_x0000_t75" style="width:129.75pt;height:15pt" o:ole="">
            <v:imagedata r:id="rId10" o:title=""/>
          </v:shape>
          <o:OLEObject Type="Embed" ProgID="Equation.DSMT4" ShapeID="_x0000_i1026" DrawAspect="Content" ObjectID="_1574181399" r:id="rId11"/>
        </w:object>
      </w:r>
      <w:r w:rsidRPr="00DE44E1">
        <w:t xml:space="preserve">  </w:t>
      </w:r>
      <w:r w:rsidRPr="00DE44E1">
        <w:rPr>
          <w:rFonts w:ascii="Times New Roman" w:hAnsi="Times New Roman"/>
          <w:sz w:val="24"/>
          <w:szCs w:val="24"/>
        </w:rPr>
        <w:t>[2]</w:t>
      </w:r>
    </w:p>
    <w:p w:rsidR="00564E8E" w:rsidRPr="00DE44E1" w:rsidRDefault="00564E8E" w:rsidP="00564E8E">
      <w:pPr>
        <w:widowControl w:val="0"/>
        <w:tabs>
          <w:tab w:val="left" w:pos="425"/>
        </w:tabs>
        <w:spacing w:after="0" w:line="240" w:lineRule="auto"/>
        <w:ind w:firstLine="426"/>
        <w:jc w:val="center"/>
        <w:rPr>
          <w:rFonts w:ascii="Times New Roman" w:hAnsi="Times New Roman"/>
          <w:sz w:val="24"/>
          <w:szCs w:val="24"/>
          <w:lang w:val="en-US"/>
        </w:rPr>
      </w:pPr>
    </w:p>
    <w:p w:rsidR="00BD2D6B" w:rsidRDefault="00AB1E82" w:rsidP="00F40754">
      <w:pPr>
        <w:widowControl w:val="0"/>
        <w:tabs>
          <w:tab w:val="left" w:pos="425"/>
        </w:tabs>
        <w:spacing w:after="0" w:line="240" w:lineRule="auto"/>
        <w:ind w:firstLine="426"/>
        <w:jc w:val="both"/>
        <w:rPr>
          <w:rFonts w:ascii="Times New Roman" w:hAnsi="Times New Roman"/>
          <w:sz w:val="24"/>
          <w:szCs w:val="24"/>
          <w:lang w:val="en-US"/>
        </w:rPr>
      </w:pPr>
      <w:r w:rsidRPr="00AB1E82">
        <w:rPr>
          <w:rFonts w:ascii="Times New Roman" w:hAnsi="Times New Roman"/>
          <w:sz w:val="24"/>
          <w:szCs w:val="24"/>
          <w:lang w:val="en-US"/>
        </w:rPr>
        <w:t>Consistent with our ExaFDC definition, this can</w:t>
      </w:r>
      <w:r w:rsidR="002D5469">
        <w:rPr>
          <w:rFonts w:ascii="Times New Roman" w:hAnsi="Times New Roman"/>
          <w:sz w:val="24"/>
          <w:szCs w:val="24"/>
          <w:lang w:val="en-US"/>
        </w:rPr>
        <w:t xml:space="preserve"> be represented in </w:t>
      </w:r>
      <w:r w:rsidRPr="00AB1E82">
        <w:rPr>
          <w:rFonts w:ascii="Times New Roman" w:hAnsi="Times New Roman"/>
          <w:sz w:val="24"/>
          <w:szCs w:val="24"/>
          <w:lang w:val="en-US"/>
        </w:rPr>
        <w:t xml:space="preserve">formula as follows </w:t>
      </w:r>
      <w:r w:rsidR="006720E6" w:rsidRPr="00DE44E1">
        <w:rPr>
          <w:rFonts w:ascii="Times New Roman" w:hAnsi="Times New Roman"/>
          <w:sz w:val="24"/>
          <w:szCs w:val="24"/>
          <w:lang w:val="en-US"/>
        </w:rPr>
        <w:t>(3):</w:t>
      </w:r>
    </w:p>
    <w:p w:rsidR="009547CD" w:rsidRDefault="009547CD" w:rsidP="00F40754">
      <w:pPr>
        <w:widowControl w:val="0"/>
        <w:tabs>
          <w:tab w:val="left" w:pos="425"/>
        </w:tabs>
        <w:spacing w:after="0" w:line="240" w:lineRule="auto"/>
        <w:ind w:firstLine="426"/>
        <w:jc w:val="both"/>
        <w:rPr>
          <w:rFonts w:ascii="Times New Roman" w:hAnsi="Times New Roman"/>
          <w:sz w:val="24"/>
          <w:szCs w:val="24"/>
          <w:lang w:val="en-US"/>
        </w:rPr>
      </w:pPr>
    </w:p>
    <w:p w:rsidR="001648D4" w:rsidRDefault="001648D4" w:rsidP="001648D4">
      <w:pPr>
        <w:widowControl w:val="0"/>
        <w:tabs>
          <w:tab w:val="left" w:pos="425"/>
        </w:tabs>
        <w:spacing w:after="0" w:line="240" w:lineRule="auto"/>
        <w:ind w:firstLine="426"/>
        <w:jc w:val="center"/>
        <w:rPr>
          <w:rFonts w:ascii="Times New Roman" w:hAnsi="Times New Roman"/>
          <w:sz w:val="24"/>
          <w:szCs w:val="24"/>
        </w:rPr>
      </w:pPr>
      <w:r w:rsidRPr="00063DF8">
        <w:rPr>
          <w:rFonts w:ascii="Times New Roman" w:hAnsi="Times New Roman"/>
          <w:position w:val="-6"/>
        </w:rPr>
        <w:object w:dxaOrig="3460" w:dyaOrig="320">
          <v:shape id="_x0000_i1027" type="#_x0000_t75" style="width:172.5pt;height:15pt" o:ole="">
            <v:imagedata r:id="rId12" o:title=""/>
          </v:shape>
          <o:OLEObject Type="Embed" ProgID="Equation.DSMT4" ShapeID="_x0000_i1027" DrawAspect="Content" ObjectID="_1574181400" r:id="rId13"/>
        </w:object>
      </w:r>
      <w:r w:rsidRPr="00DE44E1">
        <w:rPr>
          <w:rFonts w:ascii="Times New Roman" w:hAnsi="Times New Roman"/>
          <w:sz w:val="24"/>
          <w:szCs w:val="24"/>
        </w:rPr>
        <w:t xml:space="preserve">  [3]</w:t>
      </w:r>
    </w:p>
    <w:p w:rsidR="00063DF8" w:rsidRDefault="00063DF8" w:rsidP="001648D4">
      <w:pPr>
        <w:widowControl w:val="0"/>
        <w:tabs>
          <w:tab w:val="left" w:pos="425"/>
        </w:tabs>
        <w:spacing w:after="0" w:line="240" w:lineRule="auto"/>
        <w:ind w:firstLine="426"/>
        <w:jc w:val="center"/>
        <w:rPr>
          <w:rFonts w:ascii="Times New Roman" w:hAnsi="Times New Roman"/>
          <w:sz w:val="24"/>
          <w:szCs w:val="24"/>
        </w:rPr>
      </w:pPr>
    </w:p>
    <w:p w:rsidR="0093302F" w:rsidRDefault="0093302F" w:rsidP="0093302F">
      <w:pPr>
        <w:widowControl w:val="0"/>
        <w:tabs>
          <w:tab w:val="left" w:pos="425"/>
        </w:tabs>
        <w:spacing w:after="0" w:line="240" w:lineRule="auto"/>
        <w:ind w:firstLine="426"/>
        <w:jc w:val="both"/>
        <w:rPr>
          <w:rFonts w:ascii="Times New Roman" w:hAnsi="Times New Roman"/>
          <w:sz w:val="24"/>
          <w:szCs w:val="24"/>
          <w:lang w:val="en-US"/>
        </w:rPr>
      </w:pPr>
      <w:r w:rsidRPr="0093302F">
        <w:rPr>
          <w:rFonts w:ascii="Times New Roman" w:hAnsi="Times New Roman"/>
          <w:sz w:val="24"/>
          <w:szCs w:val="24"/>
          <w:lang w:val="en-US"/>
        </w:rPr>
        <w:t>Given that estimating a linear model has undoubted advantages in econometric analysis, the</w:t>
      </w:r>
      <w:r>
        <w:rPr>
          <w:rFonts w:ascii="Times New Roman" w:hAnsi="Times New Roman"/>
          <w:sz w:val="24"/>
          <w:szCs w:val="24"/>
          <w:lang w:val="en-US"/>
        </w:rPr>
        <w:t xml:space="preserve"> sides of the previous equation</w:t>
      </w:r>
      <w:r w:rsidRPr="0093302F">
        <w:rPr>
          <w:rFonts w:ascii="Times New Roman" w:hAnsi="Times New Roman"/>
          <w:sz w:val="24"/>
          <w:szCs w:val="24"/>
          <w:lang w:val="en-US"/>
        </w:rPr>
        <w:t xml:space="preserve"> </w:t>
      </w:r>
      <w:proofErr w:type="gramStart"/>
      <w:r w:rsidRPr="0093302F">
        <w:rPr>
          <w:rFonts w:ascii="Times New Roman" w:hAnsi="Times New Roman"/>
          <w:sz w:val="24"/>
          <w:szCs w:val="24"/>
          <w:lang w:val="en-US"/>
        </w:rPr>
        <w:t>have been restat</w:t>
      </w:r>
      <w:r>
        <w:rPr>
          <w:rFonts w:ascii="Times New Roman" w:hAnsi="Times New Roman"/>
          <w:sz w:val="24"/>
          <w:szCs w:val="24"/>
          <w:lang w:val="en-US"/>
        </w:rPr>
        <w:t>ed</w:t>
      </w:r>
      <w:proofErr w:type="gramEnd"/>
      <w:r>
        <w:rPr>
          <w:rFonts w:ascii="Times New Roman" w:hAnsi="Times New Roman"/>
          <w:sz w:val="24"/>
          <w:szCs w:val="24"/>
          <w:lang w:val="en-US"/>
        </w:rPr>
        <w:t xml:space="preserve"> by taking natural logarithms </w:t>
      </w:r>
      <w:r w:rsidRPr="00DE44E1">
        <w:rPr>
          <w:rFonts w:ascii="Times New Roman" w:hAnsi="Times New Roman"/>
          <w:sz w:val="24"/>
          <w:szCs w:val="24"/>
          <w:lang w:val="en-US"/>
        </w:rPr>
        <w:t>(4):</w:t>
      </w:r>
    </w:p>
    <w:p w:rsidR="0093302F" w:rsidRPr="00DE44E1" w:rsidRDefault="0093302F" w:rsidP="004760D1">
      <w:pPr>
        <w:tabs>
          <w:tab w:val="left" w:pos="425"/>
        </w:tabs>
        <w:spacing w:after="0" w:line="240" w:lineRule="auto"/>
        <w:ind w:firstLine="426"/>
        <w:jc w:val="center"/>
        <w:rPr>
          <w:rFonts w:ascii="Times New Roman" w:hAnsi="Times New Roman"/>
          <w:sz w:val="24"/>
          <w:szCs w:val="24"/>
        </w:rPr>
      </w:pPr>
    </w:p>
    <w:p w:rsidR="00415B8E" w:rsidRPr="00DE44E1" w:rsidRDefault="001648D4" w:rsidP="004760D1">
      <w:pPr>
        <w:tabs>
          <w:tab w:val="left" w:pos="425"/>
        </w:tabs>
        <w:spacing w:after="0" w:line="240" w:lineRule="auto"/>
        <w:ind w:firstLine="426"/>
        <w:jc w:val="center"/>
        <w:rPr>
          <w:rFonts w:ascii="Times New Roman" w:hAnsi="Times New Roman"/>
          <w:sz w:val="24"/>
          <w:szCs w:val="24"/>
        </w:rPr>
      </w:pPr>
      <w:r w:rsidRPr="00063DF8">
        <w:rPr>
          <w:rFonts w:ascii="Times New Roman" w:hAnsi="Times New Roman"/>
          <w:position w:val="-24"/>
        </w:rPr>
        <w:object w:dxaOrig="4980" w:dyaOrig="620">
          <v:shape id="_x0000_i1028" type="#_x0000_t75" style="width:249.75pt;height:30.75pt" o:ole="">
            <v:imagedata r:id="rId14" o:title=""/>
          </v:shape>
          <o:OLEObject Type="Embed" ProgID="Equation.DSMT4" ShapeID="_x0000_i1028" DrawAspect="Content" ObjectID="_1574181401" r:id="rId15"/>
        </w:object>
      </w:r>
      <w:r w:rsidRPr="00DE44E1">
        <w:rPr>
          <w:rFonts w:ascii="Times New Roman" w:hAnsi="Times New Roman"/>
          <w:sz w:val="24"/>
          <w:szCs w:val="24"/>
        </w:rPr>
        <w:t xml:space="preserve">  </w:t>
      </w:r>
      <w:r w:rsidR="00415B8E" w:rsidRPr="00DE44E1">
        <w:rPr>
          <w:rFonts w:ascii="Times New Roman" w:hAnsi="Times New Roman"/>
          <w:sz w:val="24"/>
          <w:szCs w:val="24"/>
        </w:rPr>
        <w:t>[4]</w:t>
      </w:r>
    </w:p>
    <w:p w:rsidR="00AE5271" w:rsidRPr="00DE44E1" w:rsidRDefault="00AE5271" w:rsidP="00EB3EF8">
      <w:pPr>
        <w:widowControl w:val="0"/>
        <w:tabs>
          <w:tab w:val="left" w:pos="425"/>
        </w:tabs>
        <w:spacing w:after="0" w:line="240" w:lineRule="auto"/>
        <w:jc w:val="both"/>
        <w:rPr>
          <w:rFonts w:ascii="Times New Roman" w:hAnsi="Times New Roman"/>
          <w:sz w:val="24"/>
          <w:szCs w:val="24"/>
          <w:lang w:val="en-US"/>
        </w:rPr>
      </w:pPr>
    </w:p>
    <w:p w:rsidR="00493BFE" w:rsidRPr="00493BFE" w:rsidRDefault="004919B4" w:rsidP="00493BFE">
      <w:pPr>
        <w:widowControl w:val="0"/>
        <w:tabs>
          <w:tab w:val="left" w:pos="425"/>
        </w:tabs>
        <w:spacing w:after="0" w:line="240" w:lineRule="auto"/>
        <w:ind w:firstLine="284"/>
        <w:jc w:val="both"/>
        <w:rPr>
          <w:rFonts w:ascii="Times New Roman" w:hAnsi="Times New Roman"/>
          <w:sz w:val="24"/>
          <w:szCs w:val="24"/>
          <w:lang w:val="en-US"/>
        </w:rPr>
      </w:pPr>
      <w:r w:rsidRPr="004919B4">
        <w:rPr>
          <w:rFonts w:ascii="Times New Roman" w:hAnsi="Times New Roman"/>
          <w:sz w:val="24"/>
          <w:szCs w:val="24"/>
          <w:lang w:val="en-US"/>
        </w:rPr>
        <w:t>In line with Keasey</w:t>
      </w:r>
      <w:r>
        <w:rPr>
          <w:rFonts w:ascii="Times New Roman" w:hAnsi="Times New Roman"/>
          <w:sz w:val="24"/>
          <w:szCs w:val="24"/>
          <w:lang w:val="en-US"/>
        </w:rPr>
        <w:t>’</w:t>
      </w:r>
      <w:r w:rsidRPr="004919B4">
        <w:rPr>
          <w:rFonts w:ascii="Times New Roman" w:hAnsi="Times New Roman"/>
          <w:sz w:val="24"/>
          <w:szCs w:val="24"/>
          <w:lang w:val="en-US"/>
        </w:rPr>
        <w:t xml:space="preserve">s </w:t>
      </w:r>
      <w:r>
        <w:rPr>
          <w:rFonts w:ascii="Times New Roman" w:hAnsi="Times New Roman"/>
          <w:sz w:val="24"/>
          <w:szCs w:val="24"/>
          <w:lang w:val="en-US"/>
        </w:rPr>
        <w:t xml:space="preserve">directions </w:t>
      </w:r>
      <w:r w:rsidRPr="00885AEA">
        <w:rPr>
          <w:rFonts w:ascii="Times New Roman" w:hAnsi="Times New Roman"/>
          <w:sz w:val="24"/>
          <w:szCs w:val="24"/>
          <w:lang w:val="en-US"/>
        </w:rPr>
        <w:t xml:space="preserve">(Keasey </w:t>
      </w:r>
      <w:r w:rsidRPr="00885AEA">
        <w:rPr>
          <w:rFonts w:ascii="Times New Roman" w:hAnsi="Times New Roman"/>
          <w:i/>
          <w:sz w:val="24"/>
          <w:szCs w:val="24"/>
          <w:lang w:val="en-US"/>
        </w:rPr>
        <w:t>et al</w:t>
      </w:r>
      <w:r>
        <w:rPr>
          <w:rFonts w:ascii="Times New Roman" w:hAnsi="Times New Roman"/>
          <w:sz w:val="24"/>
          <w:szCs w:val="24"/>
          <w:lang w:val="en-US"/>
        </w:rPr>
        <w:t>., 2015)</w:t>
      </w:r>
      <w:r w:rsidRPr="004919B4">
        <w:rPr>
          <w:rFonts w:ascii="Times New Roman" w:hAnsi="Times New Roman"/>
          <w:sz w:val="24"/>
          <w:szCs w:val="24"/>
          <w:lang w:val="en-US"/>
        </w:rPr>
        <w:t xml:space="preserve">: </w:t>
      </w:r>
      <w:r>
        <w:rPr>
          <w:rFonts w:ascii="Times New Roman" w:hAnsi="Times New Roman"/>
          <w:sz w:val="24"/>
          <w:szCs w:val="24"/>
          <w:lang w:val="en-US"/>
        </w:rPr>
        <w:t>«</w:t>
      </w:r>
      <w:r w:rsidR="006855B9" w:rsidRPr="004919B4">
        <w:rPr>
          <w:rFonts w:ascii="Times New Roman" w:hAnsi="Times New Roman"/>
          <w:sz w:val="24"/>
          <w:szCs w:val="24"/>
          <w:lang w:val="en-US"/>
        </w:rPr>
        <w:t xml:space="preserve">LnFDL is the natural logarithm of financial distress likelihood and </w:t>
      </w:r>
      <w:r w:rsidR="006720E6" w:rsidRPr="004919B4">
        <w:rPr>
          <w:rFonts w:ascii="Times New Roman" w:hAnsi="Times New Roman"/>
          <w:sz w:val="24"/>
          <w:szCs w:val="24"/>
          <w:lang w:val="en-US"/>
        </w:rPr>
        <w:t>τ is the horizon of time over which firms formulate expectations for the resolution of financial distress. Consequently, the estimated coefficients ɑ</w:t>
      </w:r>
      <w:r w:rsidR="006720E6" w:rsidRPr="004919B4">
        <w:rPr>
          <w:rFonts w:ascii="Times New Roman" w:hAnsi="Times New Roman"/>
          <w:sz w:val="24"/>
          <w:szCs w:val="24"/>
          <w:vertAlign w:val="subscript"/>
          <w:lang w:val="en-US"/>
        </w:rPr>
        <w:t>1</w:t>
      </w:r>
      <w:r w:rsidR="006720E6" w:rsidRPr="004919B4">
        <w:rPr>
          <w:rFonts w:ascii="Times New Roman" w:hAnsi="Times New Roman"/>
          <w:sz w:val="24"/>
          <w:szCs w:val="24"/>
          <w:lang w:val="en-US"/>
        </w:rPr>
        <w:t>, ɑ</w:t>
      </w:r>
      <w:r w:rsidR="006720E6" w:rsidRPr="004919B4">
        <w:rPr>
          <w:rFonts w:ascii="Times New Roman" w:hAnsi="Times New Roman"/>
          <w:sz w:val="24"/>
          <w:szCs w:val="24"/>
          <w:vertAlign w:val="subscript"/>
          <w:lang w:val="en-US"/>
        </w:rPr>
        <w:t>2</w:t>
      </w:r>
      <w:r w:rsidR="006720E6" w:rsidRPr="004919B4">
        <w:rPr>
          <w:rFonts w:ascii="Times New Roman" w:hAnsi="Times New Roman"/>
          <w:sz w:val="24"/>
          <w:szCs w:val="24"/>
          <w:lang w:val="en-US"/>
        </w:rPr>
        <w:t xml:space="preserve"> and ɑ</w:t>
      </w:r>
      <w:r w:rsidR="006720E6" w:rsidRPr="004919B4">
        <w:rPr>
          <w:rFonts w:ascii="Times New Roman" w:hAnsi="Times New Roman"/>
          <w:sz w:val="24"/>
          <w:szCs w:val="24"/>
          <w:vertAlign w:val="subscript"/>
          <w:lang w:val="en-US"/>
        </w:rPr>
        <w:t>3</w:t>
      </w:r>
      <w:r w:rsidR="006720E6" w:rsidRPr="004919B4">
        <w:rPr>
          <w:rFonts w:ascii="Times New Roman" w:hAnsi="Times New Roman"/>
          <w:sz w:val="24"/>
          <w:szCs w:val="24"/>
          <w:lang w:val="en-US"/>
        </w:rPr>
        <w:t xml:space="preserve"> represent the adjustment rate of the value of the firm due financial distress, devided by the number of periods till the resolution of financial distress</w:t>
      </w:r>
      <w:r>
        <w:rPr>
          <w:rFonts w:ascii="Times New Roman" w:hAnsi="Times New Roman"/>
          <w:sz w:val="24"/>
          <w:szCs w:val="24"/>
          <w:lang w:val="en-US"/>
        </w:rPr>
        <w:t>».</w:t>
      </w:r>
      <w:r w:rsidR="009547CD">
        <w:rPr>
          <w:rFonts w:ascii="Times New Roman" w:hAnsi="Times New Roman"/>
          <w:sz w:val="24"/>
          <w:szCs w:val="24"/>
          <w:lang w:val="en-US"/>
        </w:rPr>
        <w:t xml:space="preserve"> </w:t>
      </w:r>
    </w:p>
    <w:p w:rsidR="006720E6" w:rsidRPr="00DE44E1" w:rsidRDefault="00493BFE" w:rsidP="00493BFE">
      <w:pPr>
        <w:widowControl w:val="0"/>
        <w:tabs>
          <w:tab w:val="left" w:pos="425"/>
        </w:tabs>
        <w:spacing w:after="0" w:line="240" w:lineRule="auto"/>
        <w:ind w:firstLine="284"/>
        <w:jc w:val="both"/>
        <w:rPr>
          <w:rFonts w:ascii="Times New Roman" w:hAnsi="Times New Roman"/>
          <w:sz w:val="24"/>
          <w:szCs w:val="24"/>
          <w:lang w:val="en-US"/>
        </w:rPr>
      </w:pPr>
      <w:r w:rsidRPr="00493BFE">
        <w:rPr>
          <w:rFonts w:ascii="Times New Roman" w:hAnsi="Times New Roman"/>
          <w:sz w:val="24"/>
          <w:szCs w:val="24"/>
          <w:lang w:val="en-US"/>
        </w:rPr>
        <w:t xml:space="preserve">The abovementioned </w:t>
      </w:r>
      <w:r>
        <w:rPr>
          <w:rFonts w:ascii="Times New Roman" w:hAnsi="Times New Roman"/>
          <w:sz w:val="24"/>
          <w:szCs w:val="24"/>
          <w:lang w:val="en-US"/>
        </w:rPr>
        <w:t>directions</w:t>
      </w:r>
      <w:r w:rsidRPr="00493BFE">
        <w:rPr>
          <w:rFonts w:ascii="Times New Roman" w:hAnsi="Times New Roman"/>
          <w:sz w:val="24"/>
          <w:szCs w:val="24"/>
          <w:lang w:val="en-US"/>
        </w:rPr>
        <w:t xml:space="preserve"> lead to the following formula</w:t>
      </w:r>
      <w:r>
        <w:rPr>
          <w:rFonts w:ascii="Times New Roman" w:hAnsi="Times New Roman"/>
          <w:sz w:val="24"/>
          <w:szCs w:val="24"/>
          <w:lang w:val="en-US"/>
        </w:rPr>
        <w:t xml:space="preserve"> </w:t>
      </w:r>
      <w:r w:rsidR="006720E6" w:rsidRPr="004919B4">
        <w:rPr>
          <w:rFonts w:ascii="Times New Roman" w:hAnsi="Times New Roman"/>
          <w:sz w:val="24"/>
          <w:szCs w:val="24"/>
          <w:lang w:val="en-US"/>
        </w:rPr>
        <w:t>(5):</w:t>
      </w:r>
    </w:p>
    <w:p w:rsidR="001648D4" w:rsidRPr="00DE44E1" w:rsidRDefault="001648D4" w:rsidP="004760D1">
      <w:pPr>
        <w:widowControl w:val="0"/>
        <w:tabs>
          <w:tab w:val="left" w:pos="425"/>
        </w:tabs>
        <w:spacing w:after="0" w:line="240" w:lineRule="auto"/>
        <w:ind w:firstLine="426"/>
        <w:jc w:val="both"/>
        <w:rPr>
          <w:rFonts w:ascii="Times New Roman" w:hAnsi="Times New Roman"/>
          <w:sz w:val="24"/>
          <w:szCs w:val="24"/>
          <w:lang w:val="en-US"/>
        </w:rPr>
      </w:pPr>
    </w:p>
    <w:p w:rsidR="001648D4" w:rsidRPr="00DE44E1" w:rsidRDefault="001648D4" w:rsidP="001648D4">
      <w:pPr>
        <w:widowControl w:val="0"/>
        <w:tabs>
          <w:tab w:val="left" w:pos="425"/>
        </w:tabs>
        <w:spacing w:after="0" w:line="240" w:lineRule="auto"/>
        <w:ind w:firstLine="426"/>
        <w:jc w:val="center"/>
        <w:rPr>
          <w:rFonts w:ascii="Times New Roman" w:hAnsi="Times New Roman"/>
          <w:sz w:val="24"/>
          <w:szCs w:val="24"/>
          <w:lang w:val="en-US"/>
        </w:rPr>
      </w:pPr>
      <w:r w:rsidRPr="00063DF8">
        <w:rPr>
          <w:rFonts w:ascii="Times New Roman" w:hAnsi="Times New Roman"/>
          <w:position w:val="-24"/>
        </w:rPr>
        <w:object w:dxaOrig="3360" w:dyaOrig="620">
          <v:shape id="_x0000_i1029" type="#_x0000_t75" style="width:167.25pt;height:30.75pt" o:ole="">
            <v:imagedata r:id="rId16" o:title=""/>
          </v:shape>
          <o:OLEObject Type="Embed" ProgID="Equation.DSMT4" ShapeID="_x0000_i1029" DrawAspect="Content" ObjectID="_1574181402" r:id="rId17"/>
        </w:object>
      </w:r>
      <w:r w:rsidRPr="00DE44E1">
        <w:rPr>
          <w:rFonts w:ascii="Times New Roman" w:hAnsi="Times New Roman"/>
          <w:sz w:val="24"/>
          <w:szCs w:val="24"/>
        </w:rPr>
        <w:t xml:space="preserve">  [5]</w:t>
      </w:r>
    </w:p>
    <w:p w:rsidR="001648D4" w:rsidRPr="00DE44E1" w:rsidRDefault="001648D4" w:rsidP="004760D1">
      <w:pPr>
        <w:tabs>
          <w:tab w:val="left" w:pos="425"/>
        </w:tabs>
        <w:spacing w:after="0" w:line="240" w:lineRule="auto"/>
        <w:ind w:firstLine="426"/>
        <w:jc w:val="center"/>
        <w:rPr>
          <w:rFonts w:ascii="Times New Roman" w:hAnsi="Times New Roman"/>
          <w:sz w:val="24"/>
          <w:szCs w:val="24"/>
        </w:rPr>
      </w:pPr>
    </w:p>
    <w:p w:rsidR="00992170" w:rsidRPr="00DE44E1" w:rsidRDefault="00493BFE" w:rsidP="001249A8">
      <w:pPr>
        <w:widowControl w:val="0"/>
        <w:tabs>
          <w:tab w:val="left" w:pos="425"/>
        </w:tabs>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W</w:t>
      </w:r>
      <w:r w:rsidRPr="00493BFE">
        <w:rPr>
          <w:rFonts w:ascii="Times New Roman" w:hAnsi="Times New Roman"/>
          <w:sz w:val="24"/>
          <w:szCs w:val="24"/>
          <w:lang w:val="en-US"/>
        </w:rPr>
        <w:t xml:space="preserve">e can see the following equation holds </w:t>
      </w:r>
      <w:r w:rsidR="006720E6" w:rsidRPr="00DE44E1">
        <w:rPr>
          <w:rFonts w:ascii="Times New Roman" w:hAnsi="Times New Roman"/>
          <w:sz w:val="24"/>
          <w:szCs w:val="24"/>
          <w:lang w:val="en-US"/>
        </w:rPr>
        <w:t>(6</w:t>
      </w:r>
      <w:r w:rsidR="00992170" w:rsidRPr="00DE44E1">
        <w:rPr>
          <w:rFonts w:ascii="Times New Roman" w:hAnsi="Times New Roman"/>
          <w:sz w:val="24"/>
          <w:szCs w:val="24"/>
          <w:lang w:val="en-US"/>
        </w:rPr>
        <w:t>):</w:t>
      </w:r>
    </w:p>
    <w:p w:rsidR="001648D4" w:rsidRPr="00DE44E1" w:rsidRDefault="001648D4" w:rsidP="004760D1">
      <w:pPr>
        <w:widowControl w:val="0"/>
        <w:tabs>
          <w:tab w:val="left" w:pos="425"/>
        </w:tabs>
        <w:spacing w:after="0" w:line="240" w:lineRule="auto"/>
        <w:ind w:firstLine="426"/>
        <w:jc w:val="both"/>
        <w:rPr>
          <w:rFonts w:ascii="Times New Roman" w:hAnsi="Times New Roman"/>
          <w:sz w:val="24"/>
          <w:szCs w:val="24"/>
          <w:lang w:val="en-US"/>
        </w:rPr>
      </w:pPr>
    </w:p>
    <w:p w:rsidR="00992170" w:rsidRPr="00DE44E1" w:rsidRDefault="001648D4" w:rsidP="001648D4">
      <w:pPr>
        <w:tabs>
          <w:tab w:val="left" w:pos="425"/>
        </w:tabs>
        <w:spacing w:after="0" w:line="240" w:lineRule="auto"/>
        <w:ind w:firstLine="426"/>
        <w:jc w:val="center"/>
        <w:rPr>
          <w:rFonts w:ascii="Times New Roman" w:hAnsi="Times New Roman"/>
          <w:sz w:val="24"/>
          <w:szCs w:val="24"/>
        </w:rPr>
      </w:pPr>
      <w:r w:rsidRPr="00063DF8">
        <w:rPr>
          <w:rFonts w:ascii="Times New Roman" w:hAnsi="Times New Roman"/>
          <w:position w:val="-12"/>
        </w:rPr>
        <w:object w:dxaOrig="4099" w:dyaOrig="360">
          <v:shape id="_x0000_i1030" type="#_x0000_t75" style="width:205.5pt;height:18pt" o:ole="">
            <v:imagedata r:id="rId18" o:title=""/>
          </v:shape>
          <o:OLEObject Type="Embed" ProgID="Equation.DSMT4" ShapeID="_x0000_i1030" DrawAspect="Content" ObjectID="_1574181403" r:id="rId19"/>
        </w:object>
      </w:r>
      <w:r w:rsidR="0074429C" w:rsidRPr="00DE44E1">
        <w:rPr>
          <w:rFonts w:ascii="Times New Roman" w:hAnsi="Times New Roman"/>
          <w:sz w:val="24"/>
          <w:szCs w:val="24"/>
        </w:rPr>
        <w:t xml:space="preserve">  [6]</w:t>
      </w:r>
    </w:p>
    <w:p w:rsidR="00BB5E5E" w:rsidRPr="00DE44E1" w:rsidRDefault="00BB5E5E" w:rsidP="00EB3EF8">
      <w:pPr>
        <w:widowControl w:val="0"/>
        <w:tabs>
          <w:tab w:val="left" w:pos="425"/>
        </w:tabs>
        <w:spacing w:after="0" w:line="240" w:lineRule="auto"/>
        <w:jc w:val="both"/>
        <w:rPr>
          <w:rFonts w:ascii="Times New Roman" w:hAnsi="Times New Roman"/>
          <w:sz w:val="24"/>
          <w:szCs w:val="24"/>
          <w:lang w:val="en-US"/>
        </w:rPr>
      </w:pPr>
    </w:p>
    <w:p w:rsidR="00992170" w:rsidRPr="00DE44E1" w:rsidRDefault="00B40880" w:rsidP="001249A8">
      <w:pPr>
        <w:widowControl w:val="0"/>
        <w:tabs>
          <w:tab w:val="left" w:pos="425"/>
        </w:tabs>
        <w:spacing w:after="0" w:line="240" w:lineRule="auto"/>
        <w:ind w:firstLine="284"/>
        <w:jc w:val="both"/>
        <w:rPr>
          <w:rFonts w:ascii="Times New Roman" w:hAnsi="Times New Roman"/>
          <w:sz w:val="24"/>
          <w:szCs w:val="24"/>
          <w:lang w:val="en-US"/>
        </w:rPr>
      </w:pPr>
      <w:r w:rsidRPr="00DE44E1">
        <w:rPr>
          <w:rFonts w:ascii="Times New Roman" w:hAnsi="Times New Roman"/>
          <w:sz w:val="24"/>
          <w:szCs w:val="24"/>
          <w:lang w:val="en-US"/>
        </w:rPr>
        <w:t xml:space="preserve">Equation 6 is completed with the attainment of the influential variables in our model </w:t>
      </w:r>
      <w:r w:rsidR="00992170" w:rsidRPr="00DE44E1">
        <w:rPr>
          <w:rFonts w:ascii="Times New Roman" w:hAnsi="Times New Roman"/>
          <w:sz w:val="24"/>
          <w:szCs w:val="24"/>
          <w:lang w:val="en-US"/>
        </w:rPr>
        <w:t>(</w:t>
      </w:r>
      <w:r w:rsidR="006720E6" w:rsidRPr="00DE44E1">
        <w:rPr>
          <w:rFonts w:ascii="Times New Roman" w:hAnsi="Times New Roman"/>
          <w:sz w:val="24"/>
          <w:szCs w:val="24"/>
          <w:lang w:val="en-US"/>
        </w:rPr>
        <w:t>7</w:t>
      </w:r>
      <w:r w:rsidR="00992170" w:rsidRPr="00DE44E1">
        <w:rPr>
          <w:rFonts w:ascii="Times New Roman" w:hAnsi="Times New Roman"/>
          <w:sz w:val="24"/>
          <w:szCs w:val="24"/>
          <w:lang w:val="en-US"/>
        </w:rPr>
        <w:t>):</w:t>
      </w:r>
    </w:p>
    <w:p w:rsidR="002E64A3" w:rsidRPr="00DE44E1" w:rsidRDefault="002E64A3" w:rsidP="00EB3EF8">
      <w:pPr>
        <w:widowControl w:val="0"/>
        <w:tabs>
          <w:tab w:val="left" w:pos="425"/>
        </w:tabs>
        <w:spacing w:after="0" w:line="240" w:lineRule="auto"/>
        <w:jc w:val="both"/>
        <w:rPr>
          <w:rFonts w:ascii="Times New Roman" w:hAnsi="Times New Roman"/>
          <w:sz w:val="24"/>
          <w:szCs w:val="24"/>
          <w:lang w:val="en-US"/>
        </w:rPr>
      </w:pPr>
    </w:p>
    <w:p w:rsidR="0074429C" w:rsidRPr="00DE44E1" w:rsidRDefault="0074429C" w:rsidP="0074429C">
      <w:pPr>
        <w:widowControl w:val="0"/>
        <w:tabs>
          <w:tab w:val="left" w:pos="425"/>
        </w:tabs>
        <w:spacing w:after="0" w:line="240" w:lineRule="auto"/>
        <w:ind w:firstLine="426"/>
        <w:jc w:val="center"/>
        <w:rPr>
          <w:rFonts w:ascii="Times New Roman" w:hAnsi="Times New Roman"/>
          <w:sz w:val="24"/>
          <w:szCs w:val="24"/>
        </w:rPr>
      </w:pPr>
      <w:r w:rsidRPr="00063DF8">
        <w:rPr>
          <w:rFonts w:ascii="Times New Roman" w:hAnsi="Times New Roman"/>
          <w:position w:val="-14"/>
        </w:rPr>
        <w:object w:dxaOrig="7260" w:dyaOrig="400">
          <v:shape id="_x0000_i1031" type="#_x0000_t75" style="width:363pt;height:19.5pt" o:ole="">
            <v:imagedata r:id="rId20" o:title=""/>
          </v:shape>
          <o:OLEObject Type="Embed" ProgID="Equation.DSMT4" ShapeID="_x0000_i1031" DrawAspect="Content" ObjectID="_1574181404" r:id="rId21"/>
        </w:object>
      </w:r>
      <w:r w:rsidRPr="00DE44E1">
        <w:rPr>
          <w:rFonts w:ascii="Times New Roman" w:hAnsi="Times New Roman"/>
          <w:sz w:val="24"/>
          <w:szCs w:val="24"/>
        </w:rPr>
        <w:t xml:space="preserve">  [7]</w:t>
      </w:r>
    </w:p>
    <w:p w:rsidR="00413BFA" w:rsidRPr="00DE44E1" w:rsidRDefault="00413BFA" w:rsidP="005909EC">
      <w:pPr>
        <w:widowControl w:val="0"/>
        <w:tabs>
          <w:tab w:val="left" w:pos="425"/>
        </w:tabs>
        <w:spacing w:after="0" w:line="240" w:lineRule="auto"/>
        <w:ind w:firstLine="426"/>
        <w:jc w:val="both"/>
        <w:rPr>
          <w:rFonts w:ascii="Times New Roman" w:hAnsi="Times New Roman"/>
          <w:sz w:val="24"/>
          <w:szCs w:val="24"/>
          <w:lang w:val="en-US"/>
        </w:rPr>
      </w:pPr>
    </w:p>
    <w:p w:rsidR="00BB3179" w:rsidRPr="00DE44E1" w:rsidRDefault="00B35EE9" w:rsidP="009547CD">
      <w:pPr>
        <w:widowControl w:val="0"/>
        <w:tabs>
          <w:tab w:val="left" w:pos="425"/>
        </w:tabs>
        <w:spacing w:after="0" w:line="240" w:lineRule="auto"/>
        <w:ind w:firstLine="284"/>
        <w:jc w:val="both"/>
        <w:rPr>
          <w:rFonts w:ascii="Times New Roman" w:hAnsi="Times New Roman"/>
          <w:sz w:val="24"/>
          <w:szCs w:val="24"/>
          <w:lang w:val="en-US"/>
        </w:rPr>
      </w:pPr>
      <w:r w:rsidRPr="00B35EE9">
        <w:rPr>
          <w:rFonts w:ascii="Times New Roman" w:hAnsi="Times New Roman"/>
          <w:sz w:val="24"/>
          <w:szCs w:val="24"/>
          <w:lang w:val="en-US"/>
        </w:rPr>
        <w:t>Equation 7 highlights the variables (X</w:t>
      </w:r>
      <w:r w:rsidRPr="00B35EE9">
        <w:rPr>
          <w:rFonts w:ascii="Times New Roman" w:hAnsi="Times New Roman"/>
          <w:sz w:val="24"/>
          <w:szCs w:val="24"/>
          <w:vertAlign w:val="subscript"/>
          <w:lang w:val="en-US"/>
        </w:rPr>
        <w:t>i</w:t>
      </w:r>
      <w:r w:rsidRPr="00B35EE9">
        <w:rPr>
          <w:rFonts w:ascii="Times New Roman" w:hAnsi="Times New Roman"/>
          <w:sz w:val="24"/>
          <w:szCs w:val="24"/>
          <w:lang w:val="en-US"/>
        </w:rPr>
        <w:t xml:space="preserve">) influencing our model: i) the ability to equip itself </w:t>
      </w:r>
      <w:r w:rsidR="00493BFE">
        <w:rPr>
          <w:rFonts w:ascii="Times New Roman" w:hAnsi="Times New Roman"/>
          <w:sz w:val="24"/>
          <w:szCs w:val="24"/>
          <w:lang w:val="en-US"/>
        </w:rPr>
        <w:t>by invisible intangible assets [INTAN]</w:t>
      </w:r>
      <w:r w:rsidRPr="00B35EE9">
        <w:rPr>
          <w:rFonts w:ascii="Times New Roman" w:hAnsi="Times New Roman"/>
          <w:sz w:val="24"/>
          <w:szCs w:val="24"/>
          <w:lang w:val="en-US"/>
        </w:rPr>
        <w:t>; ii) the pr</w:t>
      </w:r>
      <w:r>
        <w:rPr>
          <w:rFonts w:ascii="Times New Roman" w:hAnsi="Times New Roman"/>
          <w:sz w:val="24"/>
          <w:szCs w:val="24"/>
          <w:lang w:val="en-US"/>
        </w:rPr>
        <w:t xml:space="preserve">ivileged relationship with </w:t>
      </w:r>
      <w:r w:rsidR="00493BFE">
        <w:rPr>
          <w:rFonts w:ascii="Times New Roman" w:hAnsi="Times New Roman"/>
          <w:sz w:val="24"/>
          <w:szCs w:val="24"/>
          <w:lang w:val="en-US"/>
        </w:rPr>
        <w:t>local banks [LOCALB]</w:t>
      </w:r>
      <w:r>
        <w:rPr>
          <w:rFonts w:ascii="Times New Roman" w:hAnsi="Times New Roman"/>
          <w:sz w:val="24"/>
          <w:szCs w:val="24"/>
          <w:lang w:val="en-US"/>
        </w:rPr>
        <w:t>,</w:t>
      </w:r>
      <w:r w:rsidRPr="00B35EE9">
        <w:rPr>
          <w:rFonts w:ascii="Times New Roman" w:hAnsi="Times New Roman"/>
          <w:sz w:val="24"/>
          <w:szCs w:val="24"/>
          <w:lang w:val="en-US"/>
        </w:rPr>
        <w:t xml:space="preserve"> and iii) financial derivatives usage by SME </w:t>
      </w:r>
      <w:r w:rsidR="00493BFE">
        <w:rPr>
          <w:rFonts w:ascii="Times New Roman" w:hAnsi="Times New Roman"/>
          <w:sz w:val="24"/>
          <w:szCs w:val="24"/>
          <w:lang w:val="en-US"/>
        </w:rPr>
        <w:t>[</w:t>
      </w:r>
      <w:r w:rsidRPr="00B35EE9">
        <w:rPr>
          <w:rFonts w:ascii="Times New Roman" w:hAnsi="Times New Roman"/>
          <w:sz w:val="24"/>
          <w:szCs w:val="24"/>
          <w:lang w:val="en-US"/>
        </w:rPr>
        <w:t>DER</w:t>
      </w:r>
      <w:r w:rsidR="00493BFE">
        <w:rPr>
          <w:rFonts w:ascii="Times New Roman" w:hAnsi="Times New Roman"/>
          <w:sz w:val="24"/>
          <w:szCs w:val="24"/>
          <w:lang w:val="en-US"/>
        </w:rPr>
        <w:t>]</w:t>
      </w:r>
      <w:r w:rsidRPr="00B35EE9">
        <w:rPr>
          <w:rFonts w:ascii="Times New Roman" w:hAnsi="Times New Roman"/>
          <w:sz w:val="24"/>
          <w:szCs w:val="24"/>
          <w:lang w:val="en-US"/>
        </w:rPr>
        <w:t>.</w:t>
      </w:r>
      <w:r>
        <w:rPr>
          <w:rFonts w:ascii="Times New Roman" w:hAnsi="Times New Roman"/>
          <w:sz w:val="24"/>
          <w:szCs w:val="24"/>
          <w:lang w:val="en-US"/>
        </w:rPr>
        <w:t xml:space="preserve"> </w:t>
      </w:r>
      <w:r w:rsidR="005537F8" w:rsidRPr="00DE44E1">
        <w:rPr>
          <w:rFonts w:ascii="Times New Roman" w:hAnsi="Times New Roman"/>
          <w:sz w:val="24"/>
          <w:szCs w:val="24"/>
          <w:lang w:val="en-US"/>
        </w:rPr>
        <w:t>All the variables in formula 7 are scaled by total assets in order to reduce frequently heteroskedasticity problems presents in regression models. In this model, the disturbance term, ɛ</w:t>
      </w:r>
      <w:r w:rsidR="005537F8" w:rsidRPr="00DE44E1">
        <w:rPr>
          <w:rFonts w:ascii="Times New Roman" w:hAnsi="Times New Roman"/>
          <w:sz w:val="24"/>
          <w:szCs w:val="24"/>
          <w:vertAlign w:val="subscript"/>
          <w:lang w:val="en-US"/>
        </w:rPr>
        <w:t>it</w:t>
      </w:r>
      <w:r w:rsidR="005537F8" w:rsidRPr="00DE44E1">
        <w:rPr>
          <w:rFonts w:ascii="Times New Roman" w:hAnsi="Times New Roman"/>
          <w:sz w:val="24"/>
          <w:szCs w:val="24"/>
          <w:lang w:val="en-US"/>
        </w:rPr>
        <w:t>,</w:t>
      </w:r>
      <w:r w:rsidR="005537F8" w:rsidRPr="00DE44E1">
        <w:t xml:space="preserve"> </w:t>
      </w:r>
      <w:r w:rsidR="005537F8" w:rsidRPr="00DE44E1">
        <w:rPr>
          <w:rFonts w:ascii="Times New Roman" w:hAnsi="Times New Roman"/>
          <w:sz w:val="24"/>
          <w:szCs w:val="24"/>
          <w:lang w:val="en-US"/>
        </w:rPr>
        <w:t>is composed by the following investigation elements: ɛ</w:t>
      </w:r>
      <w:r w:rsidR="005537F8" w:rsidRPr="00DE44E1">
        <w:rPr>
          <w:rFonts w:ascii="Times New Roman" w:hAnsi="Times New Roman"/>
          <w:sz w:val="24"/>
          <w:szCs w:val="24"/>
          <w:vertAlign w:val="subscript"/>
          <w:lang w:val="en-US"/>
        </w:rPr>
        <w:t>it</w:t>
      </w:r>
      <w:r w:rsidR="005537F8" w:rsidRPr="00DE44E1">
        <w:rPr>
          <w:rFonts w:ascii="Times New Roman" w:hAnsi="Times New Roman"/>
          <w:sz w:val="24"/>
          <w:szCs w:val="24"/>
          <w:lang w:val="en-US"/>
        </w:rPr>
        <w:t xml:space="preserve"> = ɳ</w:t>
      </w:r>
      <w:r w:rsidR="005537F8" w:rsidRPr="00DE44E1">
        <w:rPr>
          <w:rFonts w:ascii="Times New Roman" w:hAnsi="Times New Roman"/>
          <w:sz w:val="24"/>
          <w:szCs w:val="24"/>
          <w:vertAlign w:val="subscript"/>
          <w:lang w:val="en-US"/>
        </w:rPr>
        <w:t>i</w:t>
      </w:r>
      <w:r w:rsidR="005537F8" w:rsidRPr="00DE44E1">
        <w:rPr>
          <w:rFonts w:ascii="Times New Roman" w:hAnsi="Times New Roman"/>
          <w:sz w:val="24"/>
          <w:szCs w:val="24"/>
          <w:lang w:val="en-US"/>
        </w:rPr>
        <w:t xml:space="preserve"> + d</w:t>
      </w:r>
      <w:r w:rsidR="005537F8" w:rsidRPr="00DE44E1">
        <w:rPr>
          <w:rFonts w:ascii="Times New Roman" w:hAnsi="Times New Roman"/>
          <w:sz w:val="24"/>
          <w:szCs w:val="24"/>
          <w:vertAlign w:val="subscript"/>
          <w:lang w:val="en-US"/>
        </w:rPr>
        <w:t>t</w:t>
      </w:r>
      <w:r w:rsidR="005537F8" w:rsidRPr="00DE44E1">
        <w:rPr>
          <w:rFonts w:ascii="Times New Roman" w:hAnsi="Times New Roman"/>
          <w:sz w:val="24"/>
          <w:szCs w:val="24"/>
          <w:lang w:val="en-US"/>
        </w:rPr>
        <w:t xml:space="preserve"> + v</w:t>
      </w:r>
      <w:r w:rsidR="005537F8" w:rsidRPr="00DE44E1">
        <w:rPr>
          <w:rFonts w:ascii="Times New Roman" w:hAnsi="Times New Roman"/>
          <w:sz w:val="24"/>
          <w:szCs w:val="24"/>
          <w:vertAlign w:val="subscript"/>
          <w:lang w:val="en-US"/>
        </w:rPr>
        <w:t>it</w:t>
      </w:r>
      <w:r w:rsidR="005537F8" w:rsidRPr="00DE44E1">
        <w:rPr>
          <w:rFonts w:ascii="Times New Roman" w:hAnsi="Times New Roman"/>
          <w:sz w:val="24"/>
          <w:szCs w:val="24"/>
          <w:lang w:val="en-US"/>
        </w:rPr>
        <w:t>,</w:t>
      </w:r>
      <w:r w:rsidR="00C30110" w:rsidRPr="00DE44E1">
        <w:rPr>
          <w:rFonts w:ascii="Times New Roman" w:hAnsi="Times New Roman"/>
          <w:sz w:val="24"/>
          <w:szCs w:val="24"/>
          <w:lang w:val="en-US"/>
        </w:rPr>
        <w:t xml:space="preserve"> where v</w:t>
      </w:r>
      <w:r w:rsidR="00C30110" w:rsidRPr="00DE44E1">
        <w:rPr>
          <w:rFonts w:ascii="Times New Roman" w:hAnsi="Times New Roman"/>
          <w:sz w:val="24"/>
          <w:szCs w:val="24"/>
          <w:vertAlign w:val="subscript"/>
          <w:lang w:val="en-US"/>
        </w:rPr>
        <w:t>it</w:t>
      </w:r>
      <w:r w:rsidR="00C30110" w:rsidRPr="00DE44E1">
        <w:rPr>
          <w:rFonts w:ascii="Times New Roman" w:hAnsi="Times New Roman"/>
          <w:sz w:val="24"/>
          <w:szCs w:val="24"/>
          <w:lang w:val="en-US"/>
        </w:rPr>
        <w:t xml:space="preserve"> is a statistical fluctuations (error), and d</w:t>
      </w:r>
      <w:r w:rsidR="00C30110" w:rsidRPr="00DE44E1">
        <w:rPr>
          <w:rFonts w:ascii="Times New Roman" w:hAnsi="Times New Roman"/>
          <w:sz w:val="24"/>
          <w:szCs w:val="24"/>
          <w:vertAlign w:val="subscript"/>
          <w:lang w:val="en-US"/>
        </w:rPr>
        <w:t>t</w:t>
      </w:r>
      <w:r w:rsidR="00C30110" w:rsidRPr="00DE44E1">
        <w:rPr>
          <w:rFonts w:ascii="Times New Roman" w:hAnsi="Times New Roman"/>
          <w:sz w:val="24"/>
          <w:szCs w:val="24"/>
          <w:lang w:val="en-US"/>
        </w:rPr>
        <w:t xml:space="preserve"> is a yearly dummy variable</w:t>
      </w:r>
      <w:r w:rsidR="00E31017" w:rsidRPr="00DE44E1">
        <w:t xml:space="preserve"> </w:t>
      </w:r>
      <w:r w:rsidR="00E31017" w:rsidRPr="00DE44E1">
        <w:rPr>
          <w:rFonts w:ascii="Times New Roman" w:hAnsi="Times New Roman"/>
          <w:sz w:val="24"/>
          <w:szCs w:val="24"/>
          <w:lang w:val="en-US"/>
        </w:rPr>
        <w:t>reflecting macroeconomic factors. Finally, ɳ</w:t>
      </w:r>
      <w:r w:rsidR="00E31017" w:rsidRPr="00DE44E1">
        <w:rPr>
          <w:rFonts w:ascii="Times New Roman" w:hAnsi="Times New Roman"/>
          <w:sz w:val="24"/>
          <w:szCs w:val="24"/>
          <w:vertAlign w:val="subscript"/>
          <w:lang w:val="en-US"/>
        </w:rPr>
        <w:t>i</w:t>
      </w:r>
      <w:r w:rsidR="00E31017" w:rsidRPr="00DE44E1">
        <w:rPr>
          <w:rFonts w:ascii="Times New Roman" w:hAnsi="Times New Roman"/>
          <w:sz w:val="24"/>
          <w:szCs w:val="24"/>
          <w:lang w:val="en-US"/>
        </w:rPr>
        <w:t xml:space="preserve"> is the SME individual effect; in </w:t>
      </w:r>
      <w:r w:rsidR="00631CE4" w:rsidRPr="00DE44E1">
        <w:rPr>
          <w:rFonts w:ascii="Times New Roman" w:hAnsi="Times New Roman"/>
          <w:sz w:val="24"/>
          <w:szCs w:val="24"/>
          <w:lang w:val="en-US"/>
        </w:rPr>
        <w:t>this study, this variable capture those individual-specific effects t</w:t>
      </w:r>
      <w:r w:rsidR="00E31017" w:rsidRPr="00DE44E1">
        <w:rPr>
          <w:rFonts w:ascii="Times New Roman" w:hAnsi="Times New Roman"/>
          <w:sz w:val="24"/>
          <w:szCs w:val="24"/>
          <w:lang w:val="en-US"/>
        </w:rPr>
        <w:t xml:space="preserve">hat </w:t>
      </w:r>
      <w:r w:rsidR="00631CE4" w:rsidRPr="00DE44E1">
        <w:rPr>
          <w:rFonts w:ascii="Times New Roman" w:hAnsi="Times New Roman"/>
          <w:sz w:val="24"/>
          <w:szCs w:val="24"/>
          <w:lang w:val="en-US"/>
        </w:rPr>
        <w:t>are time constant and impact on financial distress costs.</w:t>
      </w:r>
      <w:r w:rsidR="009547CD">
        <w:rPr>
          <w:rFonts w:ascii="Times New Roman" w:hAnsi="Times New Roman"/>
          <w:sz w:val="24"/>
          <w:szCs w:val="24"/>
          <w:lang w:val="en-US"/>
        </w:rPr>
        <w:t xml:space="preserve"> </w:t>
      </w:r>
      <w:r w:rsidR="00362345" w:rsidRPr="00DE44E1">
        <w:rPr>
          <w:rFonts w:ascii="Times New Roman" w:hAnsi="Times New Roman"/>
          <w:sz w:val="24"/>
          <w:szCs w:val="24"/>
          <w:lang w:val="en-US"/>
        </w:rPr>
        <w:t>Table 2</w:t>
      </w:r>
      <w:r w:rsidR="00FB17C2" w:rsidRPr="00DE44E1">
        <w:rPr>
          <w:rFonts w:ascii="Times New Roman" w:hAnsi="Times New Roman"/>
          <w:sz w:val="24"/>
          <w:szCs w:val="24"/>
          <w:lang w:val="en-US"/>
        </w:rPr>
        <w:t xml:space="preserve"> shows the number of firms from each country.</w:t>
      </w:r>
    </w:p>
    <w:p w:rsidR="007B4A80" w:rsidRPr="00DE44E1" w:rsidRDefault="007B4A80" w:rsidP="005909EC">
      <w:pPr>
        <w:widowControl w:val="0"/>
        <w:tabs>
          <w:tab w:val="left" w:pos="425"/>
        </w:tabs>
        <w:spacing w:after="0" w:line="240" w:lineRule="auto"/>
        <w:ind w:firstLine="426"/>
        <w:jc w:val="both"/>
        <w:rPr>
          <w:rFonts w:ascii="Times New Roman" w:hAnsi="Times New Roman"/>
          <w:sz w:val="24"/>
          <w:szCs w:val="24"/>
          <w:lang w:val="en-US"/>
        </w:rPr>
      </w:pPr>
    </w:p>
    <w:p w:rsidR="005909EC" w:rsidRPr="00DE44E1" w:rsidRDefault="00362345" w:rsidP="007B4A80">
      <w:pPr>
        <w:spacing w:after="120" w:line="240" w:lineRule="auto"/>
        <w:rPr>
          <w:rFonts w:ascii="Times New Roman" w:hAnsi="Times New Roman"/>
          <w:sz w:val="20"/>
          <w:szCs w:val="20"/>
          <w:lang w:val="en-US"/>
        </w:rPr>
      </w:pPr>
      <w:r w:rsidRPr="00DE44E1">
        <w:rPr>
          <w:rFonts w:ascii="Times New Roman" w:hAnsi="Times New Roman"/>
          <w:b/>
        </w:rPr>
        <w:t>Table 2</w:t>
      </w:r>
      <w:r w:rsidR="006032B0" w:rsidRPr="00DE44E1">
        <w:rPr>
          <w:rFonts w:ascii="Times New Roman" w:hAnsi="Times New Roman"/>
        </w:rPr>
        <w:t>. Structure of the samples by country</w:t>
      </w:r>
    </w:p>
    <w:tbl>
      <w:tblPr>
        <w:tblStyle w:val="Tabellasemplice-2"/>
        <w:tblW w:w="5000" w:type="pct"/>
        <w:tblLook w:val="04A0" w:firstRow="1" w:lastRow="0" w:firstColumn="1" w:lastColumn="0" w:noHBand="0" w:noVBand="1"/>
      </w:tblPr>
      <w:tblGrid>
        <w:gridCol w:w="4819"/>
        <w:gridCol w:w="4819"/>
      </w:tblGrid>
      <w:tr w:rsidR="005909EC" w:rsidRPr="00DE44E1" w:rsidTr="004C5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5909EC" w:rsidRPr="00DE44E1" w:rsidRDefault="005909EC" w:rsidP="004C5299">
            <w:pPr>
              <w:tabs>
                <w:tab w:val="left" w:pos="425"/>
              </w:tabs>
              <w:spacing w:after="0"/>
              <w:jc w:val="center"/>
              <w:rPr>
                <w:rFonts w:ascii="Times New Roman" w:hAnsi="Times New Roman"/>
                <w:sz w:val="20"/>
                <w:szCs w:val="20"/>
              </w:rPr>
            </w:pPr>
            <w:r w:rsidRPr="00DE44E1">
              <w:rPr>
                <w:rFonts w:ascii="Times New Roman" w:hAnsi="Times New Roman"/>
                <w:sz w:val="20"/>
                <w:szCs w:val="20"/>
              </w:rPr>
              <w:t>Country</w:t>
            </w:r>
          </w:p>
        </w:tc>
        <w:tc>
          <w:tcPr>
            <w:tcW w:w="2500" w:type="pct"/>
            <w:vAlign w:val="center"/>
          </w:tcPr>
          <w:p w:rsidR="005909EC" w:rsidRPr="00DE44E1" w:rsidRDefault="005909EC" w:rsidP="004C5299">
            <w:pPr>
              <w:tabs>
                <w:tab w:val="left" w:pos="425"/>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Firms</w:t>
            </w:r>
          </w:p>
        </w:tc>
      </w:tr>
      <w:tr w:rsidR="005909EC" w:rsidRPr="00DE44E1" w:rsidTr="004C5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5909EC" w:rsidRPr="00DE44E1" w:rsidRDefault="005909EC"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Italy</w:t>
            </w:r>
          </w:p>
        </w:tc>
        <w:tc>
          <w:tcPr>
            <w:tcW w:w="2500" w:type="pct"/>
            <w:vAlign w:val="center"/>
          </w:tcPr>
          <w:p w:rsidR="005909EC" w:rsidRPr="00DE44E1" w:rsidRDefault="005909EC"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25000</w:t>
            </w:r>
          </w:p>
        </w:tc>
      </w:tr>
      <w:tr w:rsidR="005909EC" w:rsidRPr="00DE44E1" w:rsidTr="004C5299">
        <w:tc>
          <w:tcPr>
            <w:cnfStyle w:val="001000000000" w:firstRow="0" w:lastRow="0" w:firstColumn="1" w:lastColumn="0" w:oddVBand="0" w:evenVBand="0" w:oddHBand="0" w:evenHBand="0" w:firstRowFirstColumn="0" w:firstRowLastColumn="0" w:lastRowFirstColumn="0" w:lastRowLastColumn="0"/>
            <w:tcW w:w="2500" w:type="pct"/>
            <w:vAlign w:val="center"/>
          </w:tcPr>
          <w:p w:rsidR="005909EC" w:rsidRPr="00DE44E1" w:rsidRDefault="005909EC"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Germany</w:t>
            </w:r>
          </w:p>
        </w:tc>
        <w:tc>
          <w:tcPr>
            <w:tcW w:w="2500" w:type="pct"/>
            <w:vAlign w:val="center"/>
          </w:tcPr>
          <w:p w:rsidR="005909EC" w:rsidRPr="00DE44E1" w:rsidRDefault="005909EC"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w:t>
            </w:r>
            <w:r w:rsidR="00FB17C2" w:rsidRPr="00DE44E1">
              <w:rPr>
                <w:rFonts w:ascii="Times New Roman" w:hAnsi="Times New Roman"/>
                <w:sz w:val="20"/>
                <w:szCs w:val="20"/>
              </w:rPr>
              <w:t>2072</w:t>
            </w:r>
          </w:p>
        </w:tc>
      </w:tr>
      <w:tr w:rsidR="00FB17C2" w:rsidRPr="00DE44E1" w:rsidTr="004C5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B17C2" w:rsidRPr="00DE44E1" w:rsidRDefault="00FB17C2" w:rsidP="004C5299">
            <w:pPr>
              <w:tabs>
                <w:tab w:val="left" w:pos="425"/>
              </w:tabs>
              <w:spacing w:after="0"/>
              <w:rPr>
                <w:rFonts w:ascii="Times New Roman" w:hAnsi="Times New Roman"/>
                <w:sz w:val="20"/>
                <w:szCs w:val="20"/>
              </w:rPr>
            </w:pPr>
            <w:r w:rsidRPr="00DE44E1">
              <w:rPr>
                <w:rFonts w:ascii="Times New Roman" w:hAnsi="Times New Roman"/>
                <w:sz w:val="20"/>
                <w:szCs w:val="20"/>
              </w:rPr>
              <w:t>Total</w:t>
            </w:r>
          </w:p>
        </w:tc>
        <w:tc>
          <w:tcPr>
            <w:tcW w:w="2500" w:type="pct"/>
            <w:vAlign w:val="center"/>
          </w:tcPr>
          <w:p w:rsidR="00FB17C2" w:rsidRPr="00DE44E1" w:rsidRDefault="00FB17C2"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E44E1">
              <w:rPr>
                <w:rFonts w:ascii="Times New Roman" w:hAnsi="Times New Roman"/>
                <w:b/>
                <w:sz w:val="20"/>
                <w:szCs w:val="20"/>
              </w:rPr>
              <w:t>37072</w:t>
            </w:r>
          </w:p>
        </w:tc>
      </w:tr>
    </w:tbl>
    <w:p w:rsidR="005909EC" w:rsidRPr="00DE44E1" w:rsidRDefault="005909EC" w:rsidP="004760D1">
      <w:pPr>
        <w:widowControl w:val="0"/>
        <w:tabs>
          <w:tab w:val="left" w:pos="425"/>
        </w:tabs>
        <w:spacing w:after="0" w:line="240" w:lineRule="auto"/>
        <w:ind w:firstLine="426"/>
        <w:jc w:val="both"/>
        <w:rPr>
          <w:rFonts w:ascii="Times New Roman" w:hAnsi="Times New Roman"/>
          <w:sz w:val="24"/>
          <w:szCs w:val="24"/>
          <w:lang w:val="en-US"/>
        </w:rPr>
      </w:pPr>
    </w:p>
    <w:p w:rsidR="007B4A80" w:rsidRDefault="008D7AAD"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 descriptive statistics of the model’</w:t>
      </w:r>
      <w:r w:rsidR="00AE449F" w:rsidRPr="00DE44E1">
        <w:rPr>
          <w:rFonts w:ascii="Times New Roman" w:hAnsi="Times New Roman"/>
          <w:sz w:val="24"/>
          <w:szCs w:val="24"/>
          <w:lang w:val="en-US"/>
        </w:rPr>
        <w:t>s variables are reported in t</w:t>
      </w:r>
      <w:r w:rsidR="00362345" w:rsidRPr="00DE44E1">
        <w:rPr>
          <w:rFonts w:ascii="Times New Roman" w:hAnsi="Times New Roman"/>
          <w:sz w:val="24"/>
          <w:szCs w:val="24"/>
          <w:lang w:val="en-US"/>
        </w:rPr>
        <w:t>able 3</w:t>
      </w:r>
      <w:r w:rsidRPr="00DE44E1">
        <w:rPr>
          <w:rFonts w:ascii="Times New Roman" w:hAnsi="Times New Roman"/>
          <w:sz w:val="24"/>
          <w:szCs w:val="24"/>
          <w:lang w:val="en-US"/>
        </w:rPr>
        <w:t>.</w:t>
      </w:r>
      <w:r w:rsidR="0043678F" w:rsidRPr="00DE44E1">
        <w:rPr>
          <w:rFonts w:ascii="Times New Roman" w:hAnsi="Times New Roman"/>
          <w:sz w:val="24"/>
          <w:szCs w:val="24"/>
          <w:lang w:val="en-US"/>
        </w:rPr>
        <w:t xml:space="preserve"> </w:t>
      </w:r>
      <w:r w:rsidR="00BC5C21" w:rsidRPr="00BC5C21">
        <w:rPr>
          <w:rFonts w:ascii="Times New Roman" w:hAnsi="Times New Roman"/>
          <w:sz w:val="24"/>
          <w:szCs w:val="24"/>
          <w:lang w:val="en-US"/>
        </w:rPr>
        <w:t>As a general rule data was trimming at 99th percentile</w:t>
      </w:r>
      <w:r w:rsidR="00BC5C21">
        <w:rPr>
          <w:rFonts w:ascii="Times New Roman" w:hAnsi="Times New Roman"/>
          <w:sz w:val="24"/>
          <w:szCs w:val="24"/>
          <w:lang w:val="en-US"/>
        </w:rPr>
        <w:t>.</w:t>
      </w:r>
    </w:p>
    <w:p w:rsidR="00BC5C21" w:rsidRPr="00DE44E1" w:rsidRDefault="00BC5C21" w:rsidP="004760D1">
      <w:pPr>
        <w:widowControl w:val="0"/>
        <w:tabs>
          <w:tab w:val="left" w:pos="425"/>
        </w:tabs>
        <w:spacing w:after="0" w:line="240" w:lineRule="auto"/>
        <w:ind w:firstLine="426"/>
        <w:jc w:val="both"/>
        <w:rPr>
          <w:rFonts w:ascii="Times New Roman" w:hAnsi="Times New Roman"/>
          <w:sz w:val="24"/>
          <w:szCs w:val="24"/>
          <w:lang w:val="en-US"/>
        </w:rPr>
      </w:pPr>
    </w:p>
    <w:p w:rsidR="00254193" w:rsidRPr="00DE44E1" w:rsidRDefault="00254193" w:rsidP="007B4A80">
      <w:pPr>
        <w:spacing w:after="120" w:line="240" w:lineRule="auto"/>
        <w:rPr>
          <w:rFonts w:ascii="Times New Roman" w:hAnsi="Times New Roman"/>
          <w:i/>
        </w:rPr>
      </w:pPr>
      <w:r w:rsidRPr="00DE44E1">
        <w:rPr>
          <w:rFonts w:ascii="Times New Roman" w:hAnsi="Times New Roman"/>
          <w:b/>
        </w:rPr>
        <w:t>Tab</w:t>
      </w:r>
      <w:r w:rsidR="006032B0" w:rsidRPr="00DE44E1">
        <w:rPr>
          <w:rFonts w:ascii="Times New Roman" w:hAnsi="Times New Roman"/>
          <w:b/>
        </w:rPr>
        <w:t xml:space="preserve">le </w:t>
      </w:r>
      <w:r w:rsidR="00362345" w:rsidRPr="00DE44E1">
        <w:rPr>
          <w:rFonts w:ascii="Times New Roman" w:hAnsi="Times New Roman"/>
          <w:b/>
        </w:rPr>
        <w:t>3</w:t>
      </w:r>
      <w:r w:rsidR="006032B0" w:rsidRPr="00DE44E1">
        <w:rPr>
          <w:rFonts w:ascii="Times New Roman" w:hAnsi="Times New Roman"/>
          <w:i/>
        </w:rPr>
        <w:t xml:space="preserve">. </w:t>
      </w:r>
      <w:r w:rsidRPr="00DE44E1">
        <w:rPr>
          <w:rFonts w:ascii="Times New Roman" w:hAnsi="Times New Roman"/>
        </w:rPr>
        <w:t>Descriptive statistics of the total sample</w:t>
      </w:r>
    </w:p>
    <w:tbl>
      <w:tblPr>
        <w:tblStyle w:val="Tabellasemplice-2"/>
        <w:tblW w:w="5000" w:type="pct"/>
        <w:tblLook w:val="04A0" w:firstRow="1" w:lastRow="0" w:firstColumn="1" w:lastColumn="0" w:noHBand="0" w:noVBand="1"/>
      </w:tblPr>
      <w:tblGrid>
        <w:gridCol w:w="1927"/>
        <w:gridCol w:w="1927"/>
        <w:gridCol w:w="1928"/>
        <w:gridCol w:w="1928"/>
        <w:gridCol w:w="1928"/>
      </w:tblGrid>
      <w:tr w:rsidR="005C7DE7" w:rsidRPr="00DE44E1" w:rsidTr="009547C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0" w:type="pct"/>
            <w:vAlign w:val="center"/>
          </w:tcPr>
          <w:p w:rsidR="00254193" w:rsidRPr="00DE44E1" w:rsidRDefault="00254193" w:rsidP="004C5299">
            <w:pPr>
              <w:tabs>
                <w:tab w:val="left" w:pos="425"/>
              </w:tabs>
              <w:spacing w:after="0"/>
              <w:jc w:val="center"/>
              <w:rPr>
                <w:rFonts w:ascii="Times New Roman" w:hAnsi="Times New Roman"/>
                <w:sz w:val="20"/>
                <w:szCs w:val="20"/>
              </w:rPr>
            </w:pPr>
            <w:r w:rsidRPr="00DE44E1">
              <w:rPr>
                <w:rFonts w:ascii="Times New Roman" w:hAnsi="Times New Roman"/>
                <w:sz w:val="20"/>
                <w:szCs w:val="20"/>
              </w:rPr>
              <w:t>Variables</w:t>
            </w:r>
          </w:p>
        </w:tc>
        <w:tc>
          <w:tcPr>
            <w:tcW w:w="1000" w:type="pct"/>
            <w:vAlign w:val="center"/>
          </w:tcPr>
          <w:p w:rsidR="00254193" w:rsidRPr="00DE44E1" w:rsidRDefault="00254193" w:rsidP="004C5299">
            <w:pPr>
              <w:tabs>
                <w:tab w:val="left" w:pos="425"/>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Mean</w:t>
            </w:r>
          </w:p>
        </w:tc>
        <w:tc>
          <w:tcPr>
            <w:tcW w:w="1000" w:type="pct"/>
            <w:vAlign w:val="center"/>
          </w:tcPr>
          <w:p w:rsidR="00254193" w:rsidRPr="00DE44E1" w:rsidRDefault="00254193" w:rsidP="004C5299">
            <w:pPr>
              <w:tabs>
                <w:tab w:val="left" w:pos="425"/>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SD</w:t>
            </w:r>
          </w:p>
        </w:tc>
        <w:tc>
          <w:tcPr>
            <w:tcW w:w="1000" w:type="pct"/>
            <w:vAlign w:val="center"/>
          </w:tcPr>
          <w:p w:rsidR="00254193" w:rsidRPr="00DE44E1" w:rsidRDefault="00254193" w:rsidP="004C5299">
            <w:pPr>
              <w:tabs>
                <w:tab w:val="left" w:pos="425"/>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Minimum</w:t>
            </w:r>
          </w:p>
        </w:tc>
        <w:tc>
          <w:tcPr>
            <w:tcW w:w="1000" w:type="pct"/>
            <w:vAlign w:val="center"/>
          </w:tcPr>
          <w:p w:rsidR="00254193" w:rsidRPr="00DE44E1" w:rsidRDefault="00254193" w:rsidP="004C5299">
            <w:pPr>
              <w:tabs>
                <w:tab w:val="left" w:pos="425"/>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Maximum</w:t>
            </w:r>
          </w:p>
        </w:tc>
      </w:tr>
      <w:tr w:rsidR="005C7DE7" w:rsidRPr="00DE44E1" w:rsidTr="009547C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0" w:type="pct"/>
            <w:vAlign w:val="center"/>
          </w:tcPr>
          <w:p w:rsidR="00254193" w:rsidRPr="00DE44E1" w:rsidRDefault="00254193"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ExaFDC</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C138FA" w:rsidRPr="00DE44E1">
              <w:rPr>
                <w:rFonts w:ascii="Times New Roman" w:hAnsi="Times New Roman"/>
                <w:sz w:val="20"/>
                <w:szCs w:val="20"/>
              </w:rPr>
              <w:t>077</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C138FA" w:rsidRPr="00DE44E1">
              <w:rPr>
                <w:rFonts w:ascii="Times New Roman" w:hAnsi="Times New Roman"/>
                <w:sz w:val="20"/>
                <w:szCs w:val="20"/>
              </w:rPr>
              <w:t>687</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-2.7</w:t>
            </w:r>
            <w:r w:rsidR="00C138FA" w:rsidRPr="00DE44E1">
              <w:rPr>
                <w:rFonts w:ascii="Times New Roman" w:hAnsi="Times New Roman"/>
                <w:sz w:val="20"/>
                <w:szCs w:val="20"/>
              </w:rPr>
              <w:t>98</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0.5</w:t>
            </w:r>
            <w:r w:rsidR="00C138FA" w:rsidRPr="00DE44E1">
              <w:rPr>
                <w:rFonts w:ascii="Times New Roman" w:hAnsi="Times New Roman"/>
                <w:sz w:val="20"/>
                <w:szCs w:val="20"/>
              </w:rPr>
              <w:t>79</w:t>
            </w:r>
          </w:p>
        </w:tc>
      </w:tr>
      <w:tr w:rsidR="005C7DE7" w:rsidRPr="00DE44E1" w:rsidTr="009547CD">
        <w:trPr>
          <w:trHeight w:val="283"/>
        </w:trPr>
        <w:tc>
          <w:tcPr>
            <w:cnfStyle w:val="001000000000" w:firstRow="0" w:lastRow="0" w:firstColumn="1" w:lastColumn="0" w:oddVBand="0" w:evenVBand="0" w:oddHBand="0" w:evenHBand="0" w:firstRowFirstColumn="0" w:firstRowLastColumn="0" w:lastRowFirstColumn="0" w:lastRowLastColumn="0"/>
            <w:tcW w:w="1000" w:type="pct"/>
            <w:vAlign w:val="center"/>
          </w:tcPr>
          <w:p w:rsidR="00254193" w:rsidRPr="00DE44E1" w:rsidRDefault="00254193"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LnFDL</w:t>
            </w:r>
          </w:p>
        </w:tc>
        <w:tc>
          <w:tcPr>
            <w:tcW w:w="1000" w:type="pct"/>
            <w:vAlign w:val="center"/>
          </w:tcPr>
          <w:p w:rsidR="00254193" w:rsidRPr="00DE44E1" w:rsidRDefault="00254193"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w:t>
            </w:r>
            <w:r w:rsidR="00C138FA" w:rsidRPr="00DE44E1">
              <w:rPr>
                <w:rFonts w:ascii="Times New Roman" w:hAnsi="Times New Roman"/>
                <w:sz w:val="20"/>
                <w:szCs w:val="20"/>
              </w:rPr>
              <w:t>896</w:t>
            </w:r>
          </w:p>
        </w:tc>
        <w:tc>
          <w:tcPr>
            <w:tcW w:w="1000" w:type="pct"/>
            <w:vAlign w:val="center"/>
          </w:tcPr>
          <w:p w:rsidR="00254193" w:rsidRPr="00DE44E1" w:rsidRDefault="00254193"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w:t>
            </w:r>
            <w:r w:rsidR="00C138FA" w:rsidRPr="00DE44E1">
              <w:rPr>
                <w:rFonts w:ascii="Times New Roman" w:hAnsi="Times New Roman"/>
                <w:sz w:val="20"/>
                <w:szCs w:val="20"/>
              </w:rPr>
              <w:t>723</w:t>
            </w:r>
          </w:p>
        </w:tc>
        <w:tc>
          <w:tcPr>
            <w:tcW w:w="1000" w:type="pct"/>
            <w:vAlign w:val="center"/>
          </w:tcPr>
          <w:p w:rsidR="00254193" w:rsidRPr="00DE44E1" w:rsidRDefault="00254193"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-6.</w:t>
            </w:r>
            <w:r w:rsidR="00C138FA" w:rsidRPr="00DE44E1">
              <w:rPr>
                <w:rFonts w:ascii="Times New Roman" w:hAnsi="Times New Roman"/>
                <w:sz w:val="20"/>
                <w:szCs w:val="20"/>
              </w:rPr>
              <w:t>988</w:t>
            </w:r>
          </w:p>
        </w:tc>
        <w:tc>
          <w:tcPr>
            <w:tcW w:w="1000" w:type="pct"/>
            <w:vAlign w:val="center"/>
          </w:tcPr>
          <w:p w:rsidR="00254193" w:rsidRPr="00DE44E1" w:rsidRDefault="00254193"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w:t>
            </w:r>
            <w:r w:rsidR="00C138FA" w:rsidRPr="00DE44E1">
              <w:rPr>
                <w:rFonts w:ascii="Times New Roman" w:hAnsi="Times New Roman"/>
                <w:sz w:val="20"/>
                <w:szCs w:val="20"/>
              </w:rPr>
              <w:t>98</w:t>
            </w:r>
          </w:p>
        </w:tc>
      </w:tr>
      <w:tr w:rsidR="005C7DE7" w:rsidRPr="00DE44E1" w:rsidTr="009547C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0" w:type="pct"/>
            <w:vAlign w:val="center"/>
          </w:tcPr>
          <w:p w:rsidR="00254193" w:rsidRPr="00DE44E1" w:rsidRDefault="00254193"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INTAN</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C138FA" w:rsidRPr="00DE44E1">
              <w:rPr>
                <w:rFonts w:ascii="Times New Roman" w:hAnsi="Times New Roman"/>
                <w:sz w:val="20"/>
                <w:szCs w:val="20"/>
              </w:rPr>
              <w:t>457</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C138FA" w:rsidRPr="00DE44E1">
              <w:rPr>
                <w:rFonts w:ascii="Times New Roman" w:hAnsi="Times New Roman"/>
                <w:sz w:val="20"/>
                <w:szCs w:val="20"/>
              </w:rPr>
              <w:t>158</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p>
        </w:tc>
        <w:tc>
          <w:tcPr>
            <w:tcW w:w="1000" w:type="pct"/>
            <w:vAlign w:val="center"/>
          </w:tcPr>
          <w:p w:rsidR="00254193" w:rsidRPr="00DE44E1" w:rsidRDefault="00254193"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w:t>
            </w:r>
          </w:p>
        </w:tc>
      </w:tr>
      <w:tr w:rsidR="005C7DE7" w:rsidRPr="00DE44E1" w:rsidTr="009547CD">
        <w:trPr>
          <w:trHeight w:val="283"/>
        </w:trPr>
        <w:tc>
          <w:tcPr>
            <w:cnfStyle w:val="001000000000" w:firstRow="0" w:lastRow="0" w:firstColumn="1" w:lastColumn="0" w:oddVBand="0" w:evenVBand="0" w:oddHBand="0" w:evenHBand="0" w:firstRowFirstColumn="0" w:firstRowLastColumn="0" w:lastRowFirstColumn="0" w:lastRowLastColumn="0"/>
            <w:tcW w:w="1000" w:type="pct"/>
            <w:vAlign w:val="center"/>
          </w:tcPr>
          <w:p w:rsidR="002B18AC" w:rsidRPr="00DE44E1" w:rsidRDefault="002B18AC"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DER</w:t>
            </w:r>
          </w:p>
        </w:tc>
        <w:tc>
          <w:tcPr>
            <w:tcW w:w="1000" w:type="pct"/>
            <w:vAlign w:val="center"/>
          </w:tcPr>
          <w:p w:rsidR="002B18AC" w:rsidRPr="00DE44E1" w:rsidRDefault="001E51B5"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0.098</w:t>
            </w:r>
          </w:p>
        </w:tc>
        <w:tc>
          <w:tcPr>
            <w:tcW w:w="1000" w:type="pct"/>
            <w:vAlign w:val="center"/>
          </w:tcPr>
          <w:p w:rsidR="002B18AC" w:rsidRPr="00DE44E1" w:rsidRDefault="001E51B5"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0.355</w:t>
            </w:r>
          </w:p>
        </w:tc>
        <w:tc>
          <w:tcPr>
            <w:tcW w:w="1000" w:type="pct"/>
            <w:vAlign w:val="center"/>
          </w:tcPr>
          <w:p w:rsidR="002B18AC" w:rsidRPr="00DE44E1" w:rsidRDefault="001E51B5"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-2</w:t>
            </w:r>
            <w:r w:rsidR="00AA3F08" w:rsidRPr="00DE44E1">
              <w:rPr>
                <w:rFonts w:ascii="Times New Roman" w:hAnsi="Times New Roman"/>
                <w:sz w:val="20"/>
                <w:szCs w:val="20"/>
              </w:rPr>
              <w:t>.</w:t>
            </w:r>
            <w:r w:rsidRPr="00DE44E1">
              <w:rPr>
                <w:rFonts w:ascii="Times New Roman" w:hAnsi="Times New Roman"/>
                <w:sz w:val="20"/>
                <w:szCs w:val="20"/>
              </w:rPr>
              <w:t>987</w:t>
            </w:r>
          </w:p>
        </w:tc>
        <w:tc>
          <w:tcPr>
            <w:tcW w:w="1000" w:type="pct"/>
            <w:vAlign w:val="center"/>
          </w:tcPr>
          <w:p w:rsidR="002B18AC" w:rsidRPr="00DE44E1" w:rsidRDefault="001E51B5"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0.689</w:t>
            </w:r>
          </w:p>
        </w:tc>
      </w:tr>
    </w:tbl>
    <w:p w:rsidR="00254193" w:rsidRDefault="00254193" w:rsidP="007B4A80">
      <w:pPr>
        <w:tabs>
          <w:tab w:val="left" w:pos="425"/>
        </w:tabs>
        <w:spacing w:before="120" w:after="0" w:line="240" w:lineRule="auto"/>
        <w:jc w:val="both"/>
        <w:rPr>
          <w:rFonts w:ascii="Times New Roman" w:hAnsi="Times New Roman"/>
        </w:rPr>
      </w:pPr>
      <w:r w:rsidRPr="00DE44E1">
        <w:rPr>
          <w:rFonts w:ascii="Times New Roman" w:hAnsi="Times New Roman"/>
          <w:i/>
        </w:rPr>
        <w:t xml:space="preserve">Source: </w:t>
      </w:r>
      <w:proofErr w:type="spellStart"/>
      <w:r w:rsidRPr="00DE44E1">
        <w:rPr>
          <w:rFonts w:ascii="Times New Roman" w:hAnsi="Times New Roman"/>
        </w:rPr>
        <w:t>our</w:t>
      </w:r>
      <w:proofErr w:type="spellEnd"/>
      <w:r w:rsidRPr="00DE44E1">
        <w:rPr>
          <w:rFonts w:ascii="Times New Roman" w:hAnsi="Times New Roman"/>
        </w:rPr>
        <w:t xml:space="preserve"> </w:t>
      </w:r>
      <w:proofErr w:type="spellStart"/>
      <w:r w:rsidRPr="00DE44E1">
        <w:rPr>
          <w:rFonts w:ascii="Times New Roman" w:hAnsi="Times New Roman"/>
        </w:rPr>
        <w:t>elaboration</w:t>
      </w:r>
      <w:proofErr w:type="spellEnd"/>
      <w:r w:rsidRPr="00DE44E1">
        <w:rPr>
          <w:rFonts w:ascii="Times New Roman" w:hAnsi="Times New Roman"/>
        </w:rPr>
        <w:t xml:space="preserve"> on </w:t>
      </w:r>
      <w:proofErr w:type="spellStart"/>
      <w:r w:rsidR="001060C9" w:rsidRPr="00DE44E1">
        <w:rPr>
          <w:rFonts w:ascii="Times New Roman" w:hAnsi="Times New Roman"/>
        </w:rPr>
        <w:t>BvD</w:t>
      </w:r>
      <w:proofErr w:type="spellEnd"/>
      <w:r w:rsidR="009049E5" w:rsidRPr="00DE44E1">
        <w:rPr>
          <w:rFonts w:ascii="Times New Roman" w:hAnsi="Times New Roman"/>
        </w:rPr>
        <w:t xml:space="preserve"> data</w:t>
      </w:r>
    </w:p>
    <w:p w:rsidR="003456A5" w:rsidRPr="00DE44E1" w:rsidRDefault="003456A5" w:rsidP="007B4A80">
      <w:pPr>
        <w:tabs>
          <w:tab w:val="left" w:pos="425"/>
        </w:tabs>
        <w:spacing w:before="120" w:after="0" w:line="240" w:lineRule="auto"/>
        <w:jc w:val="both"/>
        <w:rPr>
          <w:rFonts w:ascii="Times New Roman" w:hAnsi="Times New Roman"/>
          <w:i/>
        </w:rPr>
      </w:pPr>
    </w:p>
    <w:p w:rsidR="00DC15E9" w:rsidRPr="00DE44E1" w:rsidRDefault="002C5B9B" w:rsidP="002C5B9B">
      <w:pPr>
        <w:pStyle w:val="Titolo1"/>
        <w:keepNext w:val="0"/>
        <w:widowControl w:val="0"/>
        <w:numPr>
          <w:ilvl w:val="0"/>
          <w:numId w:val="25"/>
        </w:numPr>
        <w:tabs>
          <w:tab w:val="left" w:pos="425"/>
        </w:tabs>
        <w:spacing w:line="240" w:lineRule="auto"/>
        <w:ind w:left="426" w:hanging="426"/>
        <w:rPr>
          <w:rFonts w:ascii="Times New Roman" w:hAnsi="Times New Roman"/>
          <w:sz w:val="24"/>
          <w:szCs w:val="24"/>
          <w:lang w:val="en-US"/>
        </w:rPr>
      </w:pPr>
      <w:r w:rsidRPr="00DE44E1">
        <w:rPr>
          <w:rFonts w:ascii="Times New Roman" w:hAnsi="Times New Roman"/>
          <w:sz w:val="24"/>
          <w:szCs w:val="24"/>
          <w:lang w:val="en-US"/>
        </w:rPr>
        <w:t>Results and discussion</w:t>
      </w:r>
    </w:p>
    <w:p w:rsidR="005B0709" w:rsidRDefault="00EE7D90" w:rsidP="001249A8">
      <w:pPr>
        <w:widowControl w:val="0"/>
        <w:tabs>
          <w:tab w:val="left" w:pos="425"/>
        </w:tabs>
        <w:spacing w:after="0" w:line="240" w:lineRule="auto"/>
        <w:ind w:firstLine="284"/>
        <w:jc w:val="both"/>
        <w:rPr>
          <w:rFonts w:ascii="Times New Roman" w:hAnsi="Times New Roman"/>
          <w:sz w:val="24"/>
          <w:szCs w:val="24"/>
          <w:lang w:val="en-US"/>
        </w:rPr>
      </w:pPr>
      <w:r w:rsidRPr="00DE44E1">
        <w:rPr>
          <w:rFonts w:ascii="Times New Roman" w:hAnsi="Times New Roman"/>
          <w:sz w:val="24"/>
          <w:szCs w:val="24"/>
          <w:lang w:val="en-US"/>
        </w:rPr>
        <w:t xml:space="preserve">As can be in </w:t>
      </w:r>
      <w:r w:rsidR="00CD7915" w:rsidRPr="00DE44E1">
        <w:rPr>
          <w:rFonts w:ascii="Times New Roman" w:hAnsi="Times New Roman"/>
          <w:sz w:val="24"/>
          <w:szCs w:val="24"/>
          <w:lang w:val="en-US"/>
        </w:rPr>
        <w:t>t</w:t>
      </w:r>
      <w:r w:rsidRPr="00DE44E1">
        <w:rPr>
          <w:rFonts w:ascii="Times New Roman" w:hAnsi="Times New Roman"/>
          <w:sz w:val="24"/>
          <w:szCs w:val="24"/>
          <w:lang w:val="en-US"/>
        </w:rPr>
        <w:t xml:space="preserve">able </w:t>
      </w:r>
      <w:r w:rsidR="00362345" w:rsidRPr="00DE44E1">
        <w:rPr>
          <w:rFonts w:ascii="Times New Roman" w:hAnsi="Times New Roman"/>
          <w:sz w:val="24"/>
          <w:szCs w:val="24"/>
          <w:lang w:val="en-US"/>
        </w:rPr>
        <w:t>4</w:t>
      </w:r>
      <w:r w:rsidRPr="00DE44E1">
        <w:rPr>
          <w:rFonts w:ascii="Times New Roman" w:hAnsi="Times New Roman"/>
          <w:sz w:val="24"/>
          <w:szCs w:val="24"/>
          <w:lang w:val="en-US"/>
        </w:rPr>
        <w:t xml:space="preserve">, </w:t>
      </w:r>
      <w:r w:rsidR="002B18AC" w:rsidRPr="00DE44E1">
        <w:rPr>
          <w:rFonts w:ascii="Times New Roman" w:hAnsi="Times New Roman"/>
          <w:sz w:val="24"/>
          <w:szCs w:val="24"/>
          <w:lang w:val="en-US"/>
        </w:rPr>
        <w:t>all the coefficients are statistically significant and of the expected sign.</w:t>
      </w:r>
      <w:r w:rsidR="005B0709">
        <w:rPr>
          <w:rFonts w:ascii="Times New Roman" w:hAnsi="Times New Roman"/>
          <w:sz w:val="24"/>
          <w:szCs w:val="24"/>
          <w:lang w:val="en-US"/>
        </w:rPr>
        <w:t xml:space="preserve"> </w:t>
      </w:r>
      <w:r w:rsidR="005B0709" w:rsidRPr="005B0709">
        <w:rPr>
          <w:rFonts w:ascii="Times New Roman" w:hAnsi="Times New Roman"/>
          <w:sz w:val="24"/>
          <w:szCs w:val="24"/>
          <w:lang w:val="en-US"/>
        </w:rPr>
        <w:t>The m</w:t>
      </w:r>
      <w:r w:rsidR="005B0709" w:rsidRPr="005B0709">
        <w:rPr>
          <w:rFonts w:ascii="Times New Roman" w:hAnsi="Times New Roman"/>
          <w:sz w:val="24"/>
          <w:szCs w:val="24"/>
          <w:vertAlign w:val="subscript"/>
          <w:lang w:val="en-US"/>
        </w:rPr>
        <w:t>2</w:t>
      </w:r>
      <w:r w:rsidR="005B0709" w:rsidRPr="005B0709">
        <w:rPr>
          <w:rFonts w:ascii="Times New Roman" w:hAnsi="Times New Roman"/>
          <w:sz w:val="24"/>
          <w:szCs w:val="24"/>
          <w:lang w:val="en-US"/>
        </w:rPr>
        <w:t xml:space="preserve"> test detects that there is no second-order serial correlation and Wald test confirms that macroeconomic events can affect all firms.</w:t>
      </w:r>
    </w:p>
    <w:p w:rsidR="00DF43ED" w:rsidRPr="00DE44E1" w:rsidRDefault="00DF43ED" w:rsidP="006032B0">
      <w:pPr>
        <w:widowControl w:val="0"/>
        <w:tabs>
          <w:tab w:val="left" w:pos="425"/>
        </w:tabs>
        <w:spacing w:after="0" w:line="240" w:lineRule="auto"/>
        <w:ind w:firstLine="426"/>
        <w:jc w:val="both"/>
        <w:rPr>
          <w:rFonts w:ascii="Times New Roman" w:hAnsi="Times New Roman"/>
          <w:b/>
          <w:i/>
          <w:sz w:val="24"/>
          <w:szCs w:val="24"/>
          <w:lang w:val="en-US"/>
        </w:rPr>
      </w:pPr>
    </w:p>
    <w:p w:rsidR="00DF5390" w:rsidRPr="00DE44E1" w:rsidRDefault="00DF5390" w:rsidP="007B4A80">
      <w:pPr>
        <w:spacing w:after="120" w:line="240" w:lineRule="auto"/>
        <w:rPr>
          <w:rFonts w:ascii="Times New Roman" w:hAnsi="Times New Roman"/>
        </w:rPr>
      </w:pPr>
      <w:r w:rsidRPr="00DE44E1">
        <w:rPr>
          <w:rFonts w:ascii="Times New Roman" w:hAnsi="Times New Roman"/>
          <w:b/>
        </w:rPr>
        <w:t>Tab</w:t>
      </w:r>
      <w:r w:rsidR="00362345" w:rsidRPr="00DE44E1">
        <w:rPr>
          <w:rFonts w:ascii="Times New Roman" w:hAnsi="Times New Roman"/>
          <w:b/>
        </w:rPr>
        <w:t>le 4</w:t>
      </w:r>
      <w:r w:rsidR="006032B0" w:rsidRPr="00DE44E1">
        <w:rPr>
          <w:rFonts w:ascii="Times New Roman" w:hAnsi="Times New Roman"/>
        </w:rPr>
        <w:t>.</w:t>
      </w:r>
      <w:r w:rsidRPr="00DE44E1">
        <w:rPr>
          <w:rFonts w:ascii="Times New Roman" w:hAnsi="Times New Roman"/>
        </w:rPr>
        <w:t xml:space="preserve"> </w:t>
      </w:r>
      <w:r w:rsidR="009049E5" w:rsidRPr="00DE44E1">
        <w:rPr>
          <w:rFonts w:ascii="Times New Roman" w:hAnsi="Times New Roman"/>
        </w:rPr>
        <w:t>Estimation results</w:t>
      </w:r>
    </w:p>
    <w:tbl>
      <w:tblPr>
        <w:tblStyle w:val="Tabellasemplice-2"/>
        <w:tblW w:w="9640" w:type="dxa"/>
        <w:tblLayout w:type="fixed"/>
        <w:tblLook w:val="04A0" w:firstRow="1" w:lastRow="0" w:firstColumn="1" w:lastColumn="0" w:noHBand="0" w:noVBand="1"/>
      </w:tblPr>
      <w:tblGrid>
        <w:gridCol w:w="1927"/>
        <w:gridCol w:w="1927"/>
        <w:gridCol w:w="1927"/>
        <w:gridCol w:w="1927"/>
        <w:gridCol w:w="1926"/>
        <w:gridCol w:w="6"/>
      </w:tblGrid>
      <w:tr w:rsidR="005C7DE7" w:rsidRPr="00DE44E1" w:rsidTr="004C5299">
        <w:trPr>
          <w:gridAfter w:val="1"/>
          <w:cnfStyle w:val="100000000000" w:firstRow="1" w:lastRow="0" w:firstColumn="0" w:lastColumn="0" w:oddVBand="0" w:evenVBand="0" w:oddHBand="0" w:evenHBand="0" w:firstRowFirstColumn="0" w:firstRowLastColumn="0" w:lastRowFirstColumn="0" w:lastRowLastColumn="0"/>
          <w:wAfter w:w="6" w:type="dxa"/>
          <w:trHeight w:val="680"/>
        </w:trPr>
        <w:tc>
          <w:tcPr>
            <w:cnfStyle w:val="001000000000" w:firstRow="0" w:lastRow="0" w:firstColumn="1" w:lastColumn="0" w:oddVBand="0" w:evenVBand="0" w:oddHBand="0" w:evenHBand="0" w:firstRowFirstColumn="0" w:firstRowLastColumn="0" w:lastRowFirstColumn="0" w:lastRowLastColumn="0"/>
            <w:tcW w:w="1926" w:type="dxa"/>
            <w:vAlign w:val="center"/>
          </w:tcPr>
          <w:p w:rsidR="005C32E0" w:rsidRPr="00DE44E1" w:rsidRDefault="005C32E0" w:rsidP="004C5299">
            <w:pPr>
              <w:tabs>
                <w:tab w:val="left" w:pos="0"/>
              </w:tabs>
              <w:spacing w:after="0"/>
              <w:jc w:val="center"/>
              <w:rPr>
                <w:rFonts w:ascii="Times New Roman" w:hAnsi="Times New Roman"/>
                <w:sz w:val="20"/>
                <w:szCs w:val="20"/>
              </w:rPr>
            </w:pPr>
            <w:r w:rsidRPr="00DE44E1">
              <w:rPr>
                <w:rFonts w:ascii="Times New Roman" w:hAnsi="Times New Roman"/>
                <w:sz w:val="20"/>
                <w:szCs w:val="20"/>
              </w:rPr>
              <w:t>Model</w:t>
            </w:r>
          </w:p>
        </w:tc>
        <w:tc>
          <w:tcPr>
            <w:tcW w:w="1927" w:type="dxa"/>
            <w:vAlign w:val="center"/>
          </w:tcPr>
          <w:p w:rsidR="005C32E0" w:rsidRPr="00DE44E1" w:rsidRDefault="005C32E0" w:rsidP="004C5299">
            <w:pPr>
              <w:tabs>
                <w:tab w:val="left" w:pos="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 xml:space="preserve">Basic </w:t>
            </w:r>
            <w:r w:rsidR="004C5299" w:rsidRPr="00DE44E1">
              <w:rPr>
                <w:rFonts w:ascii="Times New Roman" w:hAnsi="Times New Roman"/>
                <w:sz w:val="20"/>
                <w:szCs w:val="20"/>
              </w:rPr>
              <w:t xml:space="preserve">                     </w:t>
            </w:r>
            <w:r w:rsidRPr="00DE44E1">
              <w:rPr>
                <w:rFonts w:ascii="Times New Roman" w:hAnsi="Times New Roman"/>
                <w:sz w:val="20"/>
                <w:szCs w:val="20"/>
              </w:rPr>
              <w:t>(</w:t>
            </w:r>
            <w:r w:rsidR="005D0958" w:rsidRPr="00DE44E1">
              <w:rPr>
                <w:rFonts w:ascii="Times New Roman" w:hAnsi="Times New Roman"/>
                <w:sz w:val="20"/>
                <w:szCs w:val="20"/>
              </w:rPr>
              <w:t xml:space="preserve">Total </w:t>
            </w:r>
            <w:r w:rsidR="004C5299" w:rsidRPr="00DE44E1">
              <w:rPr>
                <w:rFonts w:ascii="Times New Roman" w:hAnsi="Times New Roman"/>
                <w:sz w:val="20"/>
                <w:szCs w:val="20"/>
              </w:rPr>
              <w:t>s</w:t>
            </w:r>
            <w:r w:rsidR="005D0958" w:rsidRPr="00DE44E1">
              <w:rPr>
                <w:rFonts w:ascii="Times New Roman" w:hAnsi="Times New Roman"/>
                <w:sz w:val="20"/>
                <w:szCs w:val="20"/>
              </w:rPr>
              <w:t>ample</w:t>
            </w:r>
            <w:r w:rsidRPr="00DE44E1">
              <w:rPr>
                <w:rFonts w:ascii="Times New Roman" w:hAnsi="Times New Roman"/>
                <w:sz w:val="20"/>
                <w:szCs w:val="20"/>
              </w:rPr>
              <w:t>)</w:t>
            </w:r>
          </w:p>
        </w:tc>
        <w:tc>
          <w:tcPr>
            <w:tcW w:w="1927" w:type="dxa"/>
            <w:vAlign w:val="center"/>
          </w:tcPr>
          <w:p w:rsidR="005C32E0" w:rsidRPr="00DE44E1" w:rsidRDefault="005C32E0" w:rsidP="004C5299">
            <w:pPr>
              <w:tabs>
                <w:tab w:val="left" w:pos="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LOCALB</w:t>
            </w:r>
            <w:r w:rsidR="005C7DE7" w:rsidRPr="00DE44E1">
              <w:rPr>
                <w:rFonts w:ascii="Times New Roman" w:hAnsi="Times New Roman"/>
                <w:sz w:val="20"/>
                <w:szCs w:val="20"/>
              </w:rPr>
              <w:t xml:space="preserve">  </w:t>
            </w:r>
            <w:r w:rsidR="004C5299" w:rsidRPr="00DE44E1">
              <w:rPr>
                <w:rFonts w:ascii="Times New Roman" w:hAnsi="Times New Roman"/>
                <w:sz w:val="20"/>
                <w:szCs w:val="20"/>
              </w:rPr>
              <w:t xml:space="preserve">            </w:t>
            </w:r>
            <w:r w:rsidRPr="00DE44E1">
              <w:rPr>
                <w:rFonts w:ascii="Times New Roman" w:hAnsi="Times New Roman"/>
                <w:sz w:val="20"/>
                <w:szCs w:val="20"/>
              </w:rPr>
              <w:t>adj. model</w:t>
            </w:r>
          </w:p>
        </w:tc>
        <w:tc>
          <w:tcPr>
            <w:tcW w:w="1927" w:type="dxa"/>
            <w:vAlign w:val="center"/>
          </w:tcPr>
          <w:p w:rsidR="005C32E0" w:rsidRPr="00DE44E1" w:rsidRDefault="005D0958" w:rsidP="004C5299">
            <w:pPr>
              <w:tabs>
                <w:tab w:val="left" w:pos="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Italian sample</w:t>
            </w:r>
          </w:p>
        </w:tc>
        <w:tc>
          <w:tcPr>
            <w:tcW w:w="1927" w:type="dxa"/>
            <w:vAlign w:val="center"/>
          </w:tcPr>
          <w:p w:rsidR="005C32E0" w:rsidRPr="00DE44E1" w:rsidRDefault="005D0958" w:rsidP="004C5299">
            <w:pPr>
              <w:tabs>
                <w:tab w:val="left" w:pos="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German sample</w:t>
            </w:r>
          </w:p>
        </w:tc>
      </w:tr>
      <w:tr w:rsidR="005C7DE7" w:rsidRPr="00DE44E1" w:rsidTr="004C5299">
        <w:trPr>
          <w:gridAfter w:val="1"/>
          <w:cnfStyle w:val="000000100000" w:firstRow="0" w:lastRow="0" w:firstColumn="0" w:lastColumn="0" w:oddVBand="0" w:evenVBand="0" w:oddHBand="1" w:evenHBand="0" w:firstRowFirstColumn="0" w:firstRowLastColumn="0" w:lastRowFirstColumn="0" w:lastRowLastColumn="0"/>
          <w:wAfter w:w="6" w:type="dxa"/>
          <w:trHeight w:val="283"/>
        </w:trPr>
        <w:tc>
          <w:tcPr>
            <w:cnfStyle w:val="001000000000" w:firstRow="0" w:lastRow="0" w:firstColumn="1" w:lastColumn="0" w:oddVBand="0" w:evenVBand="0" w:oddHBand="0" w:evenHBand="0" w:firstRowFirstColumn="0" w:firstRowLastColumn="0" w:lastRowFirstColumn="0" w:lastRowLastColumn="0"/>
            <w:tcW w:w="1926" w:type="dxa"/>
            <w:vAlign w:val="center"/>
          </w:tcPr>
          <w:p w:rsidR="005C32E0" w:rsidRPr="00DE44E1" w:rsidRDefault="005C32E0"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N</w:t>
            </w:r>
            <w:r w:rsidR="00911F46" w:rsidRPr="00DE44E1">
              <w:rPr>
                <w:rFonts w:ascii="Times New Roman" w:hAnsi="Times New Roman"/>
                <w:b w:val="0"/>
                <w:sz w:val="20"/>
                <w:szCs w:val="20"/>
              </w:rPr>
              <w:t>.</w:t>
            </w:r>
            <w:r w:rsidRPr="00DE44E1">
              <w:rPr>
                <w:rFonts w:ascii="Times New Roman" w:hAnsi="Times New Roman"/>
                <w:b w:val="0"/>
                <w:sz w:val="20"/>
                <w:szCs w:val="20"/>
              </w:rPr>
              <w:t xml:space="preserve"> of </w:t>
            </w:r>
            <w:r w:rsidR="005D0958" w:rsidRPr="00DE44E1">
              <w:rPr>
                <w:rFonts w:ascii="Times New Roman" w:hAnsi="Times New Roman"/>
                <w:b w:val="0"/>
                <w:sz w:val="20"/>
                <w:szCs w:val="20"/>
              </w:rPr>
              <w:t>SMEs</w:t>
            </w:r>
          </w:p>
        </w:tc>
        <w:tc>
          <w:tcPr>
            <w:tcW w:w="1927" w:type="dxa"/>
            <w:vAlign w:val="center"/>
          </w:tcPr>
          <w:p w:rsidR="005C32E0" w:rsidRPr="00DE44E1" w:rsidRDefault="0031630D"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37787</w:t>
            </w:r>
          </w:p>
        </w:tc>
        <w:tc>
          <w:tcPr>
            <w:tcW w:w="1927" w:type="dxa"/>
            <w:vAlign w:val="center"/>
          </w:tcPr>
          <w:p w:rsidR="005C32E0" w:rsidRPr="00DE44E1" w:rsidRDefault="005C32E0" w:rsidP="0031630D">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37</w:t>
            </w:r>
            <w:r w:rsidR="0031630D" w:rsidRPr="00DE44E1">
              <w:rPr>
                <w:rFonts w:ascii="Times New Roman" w:hAnsi="Times New Roman"/>
                <w:sz w:val="20"/>
                <w:szCs w:val="20"/>
              </w:rPr>
              <w:t>787</w:t>
            </w:r>
          </w:p>
        </w:tc>
        <w:tc>
          <w:tcPr>
            <w:tcW w:w="1927" w:type="dxa"/>
            <w:vAlign w:val="center"/>
          </w:tcPr>
          <w:p w:rsidR="005C32E0" w:rsidRPr="00DE44E1" w:rsidRDefault="005C32E0" w:rsidP="0031630D">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25</w:t>
            </w:r>
            <w:r w:rsidR="0031630D" w:rsidRPr="00DE44E1">
              <w:rPr>
                <w:rFonts w:ascii="Times New Roman" w:hAnsi="Times New Roman"/>
                <w:sz w:val="20"/>
                <w:szCs w:val="20"/>
              </w:rPr>
              <w:t>715</w:t>
            </w:r>
          </w:p>
        </w:tc>
        <w:tc>
          <w:tcPr>
            <w:tcW w:w="1927" w:type="dxa"/>
            <w:vAlign w:val="center"/>
          </w:tcPr>
          <w:p w:rsidR="005C32E0" w:rsidRPr="00DE44E1" w:rsidRDefault="005C32E0"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12072</w:t>
            </w:r>
          </w:p>
        </w:tc>
      </w:tr>
      <w:tr w:rsidR="00C96C29" w:rsidRPr="00DE44E1" w:rsidTr="004C5299">
        <w:trPr>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C96C29" w:rsidRPr="00DE44E1" w:rsidRDefault="00C96C29" w:rsidP="004C5299">
            <w:pPr>
              <w:tabs>
                <w:tab w:val="left" w:pos="425"/>
              </w:tabs>
              <w:spacing w:after="0"/>
              <w:rPr>
                <w:rFonts w:ascii="Times New Roman" w:hAnsi="Times New Roman"/>
                <w:b w:val="0"/>
                <w:sz w:val="20"/>
                <w:szCs w:val="20"/>
              </w:rPr>
            </w:pPr>
            <w:r w:rsidRPr="00DE44E1">
              <w:rPr>
                <w:rFonts w:ascii="Times New Roman" w:hAnsi="Times New Roman"/>
                <w:b w:val="0"/>
                <w:sz w:val="24"/>
                <w:szCs w:val="24"/>
                <w:lang w:val="en-US"/>
              </w:rPr>
              <w:t>τ</w:t>
            </w:r>
          </w:p>
        </w:tc>
        <w:tc>
          <w:tcPr>
            <w:tcW w:w="1928" w:type="dxa"/>
            <w:vAlign w:val="center"/>
          </w:tcPr>
          <w:p w:rsidR="00C96C29" w:rsidRPr="00DE44E1" w:rsidRDefault="00E85B32"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11.09</w:t>
            </w:r>
          </w:p>
        </w:tc>
        <w:tc>
          <w:tcPr>
            <w:tcW w:w="1928" w:type="dxa"/>
            <w:vAlign w:val="center"/>
          </w:tcPr>
          <w:p w:rsidR="00C96C29" w:rsidRPr="00DE44E1" w:rsidRDefault="00E85B32" w:rsidP="00E85B32">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10.7</w:t>
            </w:r>
          </w:p>
        </w:tc>
        <w:tc>
          <w:tcPr>
            <w:tcW w:w="1928" w:type="dxa"/>
            <w:vAlign w:val="center"/>
          </w:tcPr>
          <w:p w:rsidR="00C96C29" w:rsidRPr="00DE44E1" w:rsidRDefault="00E85B32" w:rsidP="0031630D">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12.01</w:t>
            </w:r>
          </w:p>
        </w:tc>
        <w:tc>
          <w:tcPr>
            <w:tcW w:w="1928" w:type="dxa"/>
            <w:gridSpan w:val="2"/>
            <w:vAlign w:val="center"/>
          </w:tcPr>
          <w:p w:rsidR="00C96C29" w:rsidRPr="00DE44E1" w:rsidRDefault="00E85B32"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8.4</w:t>
            </w:r>
          </w:p>
        </w:tc>
      </w:tr>
      <w:tr w:rsidR="005C7DE7" w:rsidRPr="00DE44E1" w:rsidTr="004C52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AE449F" w:rsidRPr="00DE44E1" w:rsidRDefault="00AE449F"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LnFDL</w:t>
            </w:r>
            <w:r w:rsidRPr="00DE44E1">
              <w:rPr>
                <w:rFonts w:ascii="Times New Roman" w:hAnsi="Times New Roman"/>
                <w:b w:val="0"/>
                <w:sz w:val="20"/>
                <w:szCs w:val="20"/>
                <w:vertAlign w:val="subscript"/>
              </w:rPr>
              <w:t>it</w:t>
            </w:r>
          </w:p>
        </w:tc>
        <w:tc>
          <w:tcPr>
            <w:tcW w:w="1928" w:type="dxa"/>
            <w:vAlign w:val="center"/>
          </w:tcPr>
          <w:p w:rsidR="00AE449F" w:rsidRPr="00DE44E1" w:rsidRDefault="00AE449F"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0.0999</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c>
          <w:tcPr>
            <w:tcW w:w="1928" w:type="dxa"/>
            <w:vAlign w:val="center"/>
          </w:tcPr>
          <w:p w:rsidR="00AE449F" w:rsidRPr="00DE44E1" w:rsidRDefault="00AE449F"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0.0883</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c>
          <w:tcPr>
            <w:tcW w:w="1928" w:type="dxa"/>
            <w:vAlign w:val="center"/>
          </w:tcPr>
          <w:p w:rsidR="00AE449F" w:rsidRPr="00DE44E1" w:rsidRDefault="00AE449F" w:rsidP="0031630D">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0.08</w:t>
            </w:r>
            <w:r w:rsidR="0031630D" w:rsidRPr="00DE44E1">
              <w:rPr>
                <w:rFonts w:ascii="Times New Roman" w:hAnsi="Times New Roman"/>
                <w:sz w:val="20"/>
                <w:szCs w:val="20"/>
              </w:rPr>
              <w:t>23</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c>
          <w:tcPr>
            <w:tcW w:w="1928" w:type="dxa"/>
            <w:gridSpan w:val="2"/>
            <w:vAlign w:val="center"/>
          </w:tcPr>
          <w:p w:rsidR="00AE449F"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31630D" w:rsidRPr="00DE44E1">
              <w:rPr>
                <w:rFonts w:ascii="Times New Roman" w:hAnsi="Times New Roman"/>
                <w:sz w:val="20"/>
                <w:szCs w:val="20"/>
              </w:rPr>
              <w:t>.0900</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r>
      <w:tr w:rsidR="005C7DE7" w:rsidRPr="00DE44E1" w:rsidTr="004C5299">
        <w:trPr>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AE449F" w:rsidRPr="00DE44E1" w:rsidRDefault="00AE449F"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INTAN</w:t>
            </w:r>
            <w:r w:rsidRPr="00DE44E1">
              <w:rPr>
                <w:rFonts w:ascii="Times New Roman" w:hAnsi="Times New Roman"/>
                <w:b w:val="0"/>
                <w:sz w:val="20"/>
                <w:szCs w:val="20"/>
                <w:vertAlign w:val="subscript"/>
              </w:rPr>
              <w:t>it</w:t>
            </w:r>
          </w:p>
        </w:tc>
        <w:tc>
          <w:tcPr>
            <w:tcW w:w="1928" w:type="dxa"/>
            <w:vAlign w:val="center"/>
          </w:tcPr>
          <w:p w:rsidR="00AE449F" w:rsidRPr="00DE44E1" w:rsidRDefault="00AE449F"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-0.2258</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c>
          <w:tcPr>
            <w:tcW w:w="1928" w:type="dxa"/>
            <w:vAlign w:val="center"/>
          </w:tcPr>
          <w:p w:rsidR="00AE449F" w:rsidRPr="00DE44E1" w:rsidRDefault="00AE449F"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-1.7867</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c>
          <w:tcPr>
            <w:tcW w:w="1928" w:type="dxa"/>
            <w:vAlign w:val="center"/>
          </w:tcPr>
          <w:p w:rsidR="00AE449F" w:rsidRPr="00DE44E1" w:rsidRDefault="00AE449F" w:rsidP="0031630D">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-0.18</w:t>
            </w:r>
            <w:r w:rsidR="0031630D" w:rsidRPr="00DE44E1">
              <w:rPr>
                <w:rFonts w:ascii="Times New Roman" w:hAnsi="Times New Roman"/>
                <w:sz w:val="20"/>
                <w:szCs w:val="20"/>
              </w:rPr>
              <w:t>32</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c>
          <w:tcPr>
            <w:tcW w:w="1928" w:type="dxa"/>
            <w:gridSpan w:val="2"/>
            <w:vAlign w:val="center"/>
          </w:tcPr>
          <w:p w:rsidR="00AE449F"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5D0958" w:rsidRPr="00DE44E1">
              <w:rPr>
                <w:rFonts w:ascii="Times New Roman" w:hAnsi="Times New Roman"/>
                <w:sz w:val="20"/>
                <w:szCs w:val="20"/>
              </w:rPr>
              <w:t>78</w:t>
            </w:r>
            <w:r w:rsidRPr="00DE44E1">
              <w:rPr>
                <w:rFonts w:ascii="Times New Roman" w:hAnsi="Times New Roman"/>
                <w:sz w:val="20"/>
                <w:szCs w:val="20"/>
              </w:rPr>
              <w:t>11</w:t>
            </w:r>
            <w:r w:rsidR="005D0958" w:rsidRPr="00DE44E1">
              <w:rPr>
                <w:rFonts w:ascii="Times New Roman" w:hAnsi="Times New Roman"/>
                <w:sz w:val="20"/>
                <w:szCs w:val="20"/>
              </w:rPr>
              <w:t xml:space="preserve"> </w:t>
            </w:r>
            <w:r w:rsidRPr="00DE44E1">
              <w:rPr>
                <w:rFonts w:ascii="Times New Roman" w:hAnsi="Times New Roman"/>
                <w:sz w:val="20"/>
                <w:szCs w:val="20"/>
              </w:rPr>
              <w:t>(0.0000)</w:t>
            </w:r>
          </w:p>
        </w:tc>
      </w:tr>
      <w:tr w:rsidR="005C7DE7" w:rsidRPr="00DE44E1" w:rsidTr="004C52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A2215" w:rsidRPr="00DE44E1" w:rsidRDefault="005A2215"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LOCALBINTAN</w:t>
            </w:r>
            <w:r w:rsidRPr="00DE44E1">
              <w:rPr>
                <w:rFonts w:ascii="Times New Roman" w:hAnsi="Times New Roman"/>
                <w:b w:val="0"/>
                <w:sz w:val="20"/>
                <w:szCs w:val="20"/>
                <w:vertAlign w:val="subscript"/>
              </w:rPr>
              <w:t>it</w:t>
            </w:r>
          </w:p>
        </w:tc>
        <w:tc>
          <w:tcPr>
            <w:tcW w:w="1928" w:type="dxa"/>
            <w:vAlign w:val="center"/>
          </w:tcPr>
          <w:p w:rsidR="005A2215" w:rsidRPr="00DE44E1" w:rsidRDefault="005A2215"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w:t>
            </w:r>
          </w:p>
        </w:tc>
        <w:tc>
          <w:tcPr>
            <w:tcW w:w="1928" w:type="dxa"/>
            <w:vAlign w:val="center"/>
          </w:tcPr>
          <w:p w:rsidR="005A2215" w:rsidRPr="00DE44E1" w:rsidRDefault="005A2215" w:rsidP="004C5299">
            <w:pPr>
              <w:tabs>
                <w:tab w:val="left" w:pos="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-1.5678</w:t>
            </w:r>
            <w:r w:rsidR="005D0958" w:rsidRPr="00DE44E1">
              <w:rPr>
                <w:rFonts w:ascii="Times New Roman" w:hAnsi="Times New Roman"/>
                <w:sz w:val="20"/>
                <w:szCs w:val="20"/>
              </w:rPr>
              <w:t xml:space="preserve"> </w:t>
            </w:r>
            <w:r w:rsidRPr="00DE44E1">
              <w:rPr>
                <w:rFonts w:ascii="Times New Roman" w:hAnsi="Times New Roman"/>
                <w:sz w:val="20"/>
                <w:szCs w:val="20"/>
              </w:rPr>
              <w:t>(0.0001)</w:t>
            </w:r>
          </w:p>
        </w:tc>
        <w:tc>
          <w:tcPr>
            <w:tcW w:w="1928" w:type="dxa"/>
            <w:vAlign w:val="center"/>
          </w:tcPr>
          <w:p w:rsidR="00C87EDE" w:rsidRPr="00DE44E1" w:rsidRDefault="00446AB6" w:rsidP="0031630D">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w:t>
            </w:r>
            <w:r w:rsidR="0031630D" w:rsidRPr="00DE44E1">
              <w:rPr>
                <w:rFonts w:ascii="Times New Roman" w:hAnsi="Times New Roman"/>
                <w:sz w:val="20"/>
                <w:szCs w:val="20"/>
              </w:rPr>
              <w:t>4001</w:t>
            </w:r>
            <w:r w:rsidR="005D0958" w:rsidRPr="00DE44E1">
              <w:rPr>
                <w:rFonts w:ascii="Times New Roman" w:hAnsi="Times New Roman"/>
                <w:sz w:val="20"/>
                <w:szCs w:val="20"/>
              </w:rPr>
              <w:t xml:space="preserve"> </w:t>
            </w:r>
            <w:r w:rsidR="00C87EDE" w:rsidRPr="00DE44E1">
              <w:rPr>
                <w:rFonts w:ascii="Times New Roman" w:hAnsi="Times New Roman"/>
                <w:sz w:val="20"/>
                <w:szCs w:val="20"/>
              </w:rPr>
              <w:t>(0.</w:t>
            </w:r>
            <w:r w:rsidR="0031630D" w:rsidRPr="00DE44E1">
              <w:rPr>
                <w:rFonts w:ascii="Times New Roman" w:hAnsi="Times New Roman"/>
                <w:sz w:val="20"/>
                <w:szCs w:val="20"/>
              </w:rPr>
              <w:t>6333</w:t>
            </w:r>
            <w:r w:rsidR="00C87EDE" w:rsidRPr="00DE44E1">
              <w:rPr>
                <w:rFonts w:ascii="Times New Roman" w:hAnsi="Times New Roman"/>
                <w:sz w:val="20"/>
                <w:szCs w:val="20"/>
              </w:rPr>
              <w:t>)</w:t>
            </w:r>
          </w:p>
        </w:tc>
        <w:tc>
          <w:tcPr>
            <w:tcW w:w="1928" w:type="dxa"/>
            <w:gridSpan w:val="2"/>
            <w:vAlign w:val="center"/>
          </w:tcPr>
          <w:p w:rsidR="00C87EDE" w:rsidRPr="00DE44E1" w:rsidRDefault="00E96FBD"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-1.6</w:t>
            </w:r>
            <w:r w:rsidR="00C87EDE" w:rsidRPr="00DE44E1">
              <w:rPr>
                <w:rFonts w:ascii="Times New Roman" w:hAnsi="Times New Roman"/>
                <w:sz w:val="20"/>
                <w:szCs w:val="20"/>
              </w:rPr>
              <w:t>956</w:t>
            </w:r>
            <w:r w:rsidR="005D0958" w:rsidRPr="00DE44E1">
              <w:rPr>
                <w:rFonts w:ascii="Times New Roman" w:hAnsi="Times New Roman"/>
                <w:sz w:val="20"/>
                <w:szCs w:val="20"/>
              </w:rPr>
              <w:t xml:space="preserve"> </w:t>
            </w:r>
            <w:r w:rsidR="00C87EDE" w:rsidRPr="00DE44E1">
              <w:rPr>
                <w:rFonts w:ascii="Times New Roman" w:hAnsi="Times New Roman"/>
                <w:sz w:val="20"/>
                <w:szCs w:val="20"/>
              </w:rPr>
              <w:t>(0.3410)</w:t>
            </w:r>
          </w:p>
        </w:tc>
      </w:tr>
      <w:tr w:rsidR="005C7DE7" w:rsidRPr="00DE44E1" w:rsidTr="004C5299">
        <w:trPr>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C32E0" w:rsidRPr="00DE44E1" w:rsidRDefault="005C32E0"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DER</w:t>
            </w:r>
            <w:r w:rsidR="000C00C8" w:rsidRPr="00DE44E1">
              <w:rPr>
                <w:rFonts w:ascii="Times New Roman" w:hAnsi="Times New Roman"/>
                <w:b w:val="0"/>
                <w:sz w:val="20"/>
                <w:szCs w:val="20"/>
                <w:vertAlign w:val="subscript"/>
              </w:rPr>
              <w:t>it</w:t>
            </w:r>
          </w:p>
        </w:tc>
        <w:tc>
          <w:tcPr>
            <w:tcW w:w="1928" w:type="dxa"/>
            <w:vAlign w:val="center"/>
          </w:tcPr>
          <w:p w:rsidR="005C32E0" w:rsidRPr="00DE44E1" w:rsidRDefault="00AA3F0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-1.0006</w:t>
            </w:r>
          </w:p>
        </w:tc>
        <w:tc>
          <w:tcPr>
            <w:tcW w:w="1928" w:type="dxa"/>
            <w:vAlign w:val="center"/>
          </w:tcPr>
          <w:p w:rsidR="005C32E0"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-1.1445</w:t>
            </w:r>
          </w:p>
        </w:tc>
        <w:tc>
          <w:tcPr>
            <w:tcW w:w="1928" w:type="dxa"/>
            <w:vAlign w:val="center"/>
          </w:tcPr>
          <w:p w:rsidR="005C32E0" w:rsidRPr="00DE44E1" w:rsidRDefault="00B71748" w:rsidP="0031630D">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w:t>
            </w:r>
            <w:r w:rsidR="0031630D" w:rsidRPr="00DE44E1">
              <w:rPr>
                <w:rFonts w:ascii="Times New Roman" w:hAnsi="Times New Roman"/>
                <w:sz w:val="20"/>
                <w:szCs w:val="20"/>
              </w:rPr>
              <w:t>5367</w:t>
            </w:r>
          </w:p>
        </w:tc>
        <w:tc>
          <w:tcPr>
            <w:tcW w:w="1928" w:type="dxa"/>
            <w:gridSpan w:val="2"/>
            <w:vAlign w:val="center"/>
          </w:tcPr>
          <w:p w:rsidR="005C32E0"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-1.8874</w:t>
            </w:r>
          </w:p>
        </w:tc>
      </w:tr>
      <w:tr w:rsidR="005C7DE7" w:rsidRPr="00DE44E1" w:rsidTr="004C52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AE449F" w:rsidRPr="00DE44E1" w:rsidRDefault="00AE449F"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z</w:t>
            </w:r>
            <w:r w:rsidRPr="00DE44E1">
              <w:rPr>
                <w:rFonts w:ascii="Times New Roman" w:hAnsi="Times New Roman"/>
                <w:b w:val="0"/>
                <w:sz w:val="20"/>
                <w:szCs w:val="20"/>
                <w:vertAlign w:val="subscript"/>
              </w:rPr>
              <w:t>1</w:t>
            </w:r>
          </w:p>
        </w:tc>
        <w:tc>
          <w:tcPr>
            <w:tcW w:w="1928" w:type="dxa"/>
            <w:vAlign w:val="center"/>
          </w:tcPr>
          <w:p w:rsidR="00AE449F" w:rsidRPr="00DE44E1" w:rsidRDefault="00AE449F"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758.2323</w:t>
            </w:r>
          </w:p>
        </w:tc>
        <w:tc>
          <w:tcPr>
            <w:tcW w:w="1928" w:type="dxa"/>
            <w:vAlign w:val="center"/>
          </w:tcPr>
          <w:p w:rsidR="00AE449F" w:rsidRPr="00DE44E1" w:rsidRDefault="00AE449F"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326.0089</w:t>
            </w:r>
          </w:p>
        </w:tc>
        <w:tc>
          <w:tcPr>
            <w:tcW w:w="1928" w:type="dxa"/>
            <w:vAlign w:val="center"/>
          </w:tcPr>
          <w:p w:rsidR="00AE449F" w:rsidRPr="00DE44E1" w:rsidRDefault="00AE449F" w:rsidP="0031630D">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5</w:t>
            </w:r>
            <w:r w:rsidR="0031630D" w:rsidRPr="00DE44E1">
              <w:rPr>
                <w:rFonts w:ascii="Times New Roman" w:hAnsi="Times New Roman"/>
                <w:sz w:val="20"/>
                <w:szCs w:val="20"/>
              </w:rPr>
              <w:t>00</w:t>
            </w:r>
            <w:r w:rsidRPr="00DE44E1">
              <w:rPr>
                <w:rFonts w:ascii="Times New Roman" w:hAnsi="Times New Roman"/>
                <w:sz w:val="20"/>
                <w:szCs w:val="20"/>
              </w:rPr>
              <w:t>.</w:t>
            </w:r>
            <w:r w:rsidR="0031630D" w:rsidRPr="00DE44E1">
              <w:rPr>
                <w:rFonts w:ascii="Times New Roman" w:hAnsi="Times New Roman"/>
                <w:sz w:val="20"/>
                <w:szCs w:val="20"/>
              </w:rPr>
              <w:t>6897</w:t>
            </w:r>
          </w:p>
        </w:tc>
        <w:tc>
          <w:tcPr>
            <w:tcW w:w="1928" w:type="dxa"/>
            <w:gridSpan w:val="2"/>
            <w:vAlign w:val="center"/>
          </w:tcPr>
          <w:p w:rsidR="00AE449F"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482.3666</w:t>
            </w:r>
          </w:p>
        </w:tc>
      </w:tr>
      <w:tr w:rsidR="005C7DE7" w:rsidRPr="00DE44E1" w:rsidTr="004C5299">
        <w:trPr>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B71748" w:rsidRPr="00DE44E1" w:rsidRDefault="00B71748"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z</w:t>
            </w:r>
            <w:r w:rsidRPr="00DE44E1">
              <w:rPr>
                <w:rFonts w:ascii="Times New Roman" w:hAnsi="Times New Roman"/>
                <w:b w:val="0"/>
                <w:sz w:val="20"/>
                <w:szCs w:val="20"/>
                <w:vertAlign w:val="subscript"/>
              </w:rPr>
              <w:t>2</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206.2199</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212.3456</w:t>
            </w:r>
          </w:p>
        </w:tc>
        <w:tc>
          <w:tcPr>
            <w:tcW w:w="1928" w:type="dxa"/>
            <w:vAlign w:val="center"/>
          </w:tcPr>
          <w:p w:rsidR="00B71748" w:rsidRPr="00DE44E1" w:rsidRDefault="0031630D" w:rsidP="0031630D">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199</w:t>
            </w:r>
            <w:r w:rsidR="00B71748" w:rsidRPr="00DE44E1">
              <w:rPr>
                <w:rFonts w:ascii="Times New Roman" w:hAnsi="Times New Roman"/>
                <w:sz w:val="20"/>
                <w:szCs w:val="20"/>
              </w:rPr>
              <w:t>.</w:t>
            </w:r>
            <w:r w:rsidRPr="00DE44E1">
              <w:rPr>
                <w:rFonts w:ascii="Times New Roman" w:hAnsi="Times New Roman"/>
                <w:sz w:val="20"/>
                <w:szCs w:val="20"/>
              </w:rPr>
              <w:t>2624</w:t>
            </w:r>
          </w:p>
        </w:tc>
        <w:tc>
          <w:tcPr>
            <w:tcW w:w="1928" w:type="dxa"/>
            <w:gridSpan w:val="2"/>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202.5589</w:t>
            </w:r>
          </w:p>
        </w:tc>
      </w:tr>
      <w:tr w:rsidR="005C7DE7" w:rsidRPr="00DE44E1" w:rsidTr="004C52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B71748" w:rsidRPr="00DE44E1" w:rsidRDefault="00B71748"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t</w:t>
            </w:r>
            <w:r w:rsidRPr="00DE44E1">
              <w:rPr>
                <w:rFonts w:ascii="Times New Roman" w:hAnsi="Times New Roman"/>
                <w:b w:val="0"/>
                <w:sz w:val="20"/>
                <w:szCs w:val="20"/>
                <w:vertAlign w:val="subscript"/>
              </w:rPr>
              <w:t>1</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9.0000</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w:t>
            </w:r>
          </w:p>
        </w:tc>
        <w:tc>
          <w:tcPr>
            <w:tcW w:w="1928" w:type="dxa"/>
            <w:gridSpan w:val="2"/>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w:t>
            </w:r>
          </w:p>
        </w:tc>
      </w:tr>
      <w:tr w:rsidR="005C7DE7" w:rsidRPr="00DE44E1" w:rsidTr="004C5299">
        <w:trPr>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B71748" w:rsidRPr="00DE44E1" w:rsidRDefault="00B71748"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t</w:t>
            </w:r>
            <w:r w:rsidRPr="00DE44E1">
              <w:rPr>
                <w:rFonts w:ascii="Times New Roman" w:hAnsi="Times New Roman"/>
                <w:b w:val="0"/>
                <w:sz w:val="20"/>
                <w:szCs w:val="20"/>
                <w:vertAlign w:val="subscript"/>
              </w:rPr>
              <w:t>2</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11.1025</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w:t>
            </w:r>
          </w:p>
        </w:tc>
        <w:tc>
          <w:tcPr>
            <w:tcW w:w="1928" w:type="dxa"/>
            <w:gridSpan w:val="2"/>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w:t>
            </w:r>
          </w:p>
        </w:tc>
      </w:tr>
      <w:tr w:rsidR="005C7DE7" w:rsidRPr="00DE44E1" w:rsidTr="004C52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B71748" w:rsidRPr="00DE44E1" w:rsidRDefault="00B71748"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m</w:t>
            </w:r>
            <w:r w:rsidRPr="00DE44E1">
              <w:rPr>
                <w:rFonts w:ascii="Times New Roman" w:hAnsi="Times New Roman"/>
                <w:b w:val="0"/>
                <w:sz w:val="20"/>
                <w:szCs w:val="20"/>
                <w:vertAlign w:val="subscript"/>
              </w:rPr>
              <w:t>1</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1147F0" w:rsidRPr="00DE44E1">
              <w:rPr>
                <w:rFonts w:ascii="Times New Roman" w:hAnsi="Times New Roman"/>
                <w:sz w:val="20"/>
                <w:szCs w:val="20"/>
              </w:rPr>
              <w:t>.0000</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1147F0" w:rsidRPr="00DE44E1">
              <w:rPr>
                <w:rFonts w:ascii="Times New Roman" w:hAnsi="Times New Roman"/>
                <w:sz w:val="20"/>
                <w:szCs w:val="20"/>
              </w:rPr>
              <w:t>.0000</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1147F0" w:rsidRPr="00DE44E1">
              <w:rPr>
                <w:rFonts w:ascii="Times New Roman" w:hAnsi="Times New Roman"/>
                <w:sz w:val="20"/>
                <w:szCs w:val="20"/>
              </w:rPr>
              <w:t>.0000</w:t>
            </w:r>
          </w:p>
        </w:tc>
        <w:tc>
          <w:tcPr>
            <w:tcW w:w="1928" w:type="dxa"/>
            <w:gridSpan w:val="2"/>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w:t>
            </w:r>
            <w:r w:rsidR="001147F0" w:rsidRPr="00DE44E1">
              <w:rPr>
                <w:rFonts w:ascii="Times New Roman" w:hAnsi="Times New Roman"/>
                <w:sz w:val="20"/>
                <w:szCs w:val="20"/>
              </w:rPr>
              <w:t>.0000</w:t>
            </w:r>
          </w:p>
        </w:tc>
      </w:tr>
      <w:tr w:rsidR="005C7DE7" w:rsidRPr="00DE44E1" w:rsidTr="004C5299">
        <w:trPr>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B71748" w:rsidRPr="00DE44E1" w:rsidRDefault="00B71748"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lastRenderedPageBreak/>
              <w:t>m</w:t>
            </w:r>
            <w:r w:rsidRPr="00DE44E1">
              <w:rPr>
                <w:rFonts w:ascii="Times New Roman" w:hAnsi="Times New Roman"/>
                <w:b w:val="0"/>
                <w:sz w:val="20"/>
                <w:szCs w:val="20"/>
                <w:vertAlign w:val="subscript"/>
              </w:rPr>
              <w:t>2</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0.0456</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0.1022</w:t>
            </w:r>
          </w:p>
        </w:tc>
        <w:tc>
          <w:tcPr>
            <w:tcW w:w="1928" w:type="dxa"/>
            <w:vAlign w:val="center"/>
          </w:tcPr>
          <w:p w:rsidR="00B71748" w:rsidRPr="00DE44E1" w:rsidRDefault="00B71748" w:rsidP="0031630D">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w:t>
            </w:r>
            <w:r w:rsidR="0031630D" w:rsidRPr="00DE44E1">
              <w:rPr>
                <w:rFonts w:ascii="Times New Roman" w:hAnsi="Times New Roman"/>
                <w:sz w:val="20"/>
                <w:szCs w:val="20"/>
              </w:rPr>
              <w:t>689</w:t>
            </w:r>
          </w:p>
        </w:tc>
        <w:tc>
          <w:tcPr>
            <w:tcW w:w="1928" w:type="dxa"/>
            <w:gridSpan w:val="2"/>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0.0489</w:t>
            </w:r>
          </w:p>
        </w:tc>
      </w:tr>
      <w:tr w:rsidR="005C7DE7" w:rsidRPr="00DE44E1" w:rsidTr="004C52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B71748" w:rsidRPr="00DE44E1" w:rsidRDefault="00B71748"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m</w:t>
            </w:r>
            <w:r w:rsidRPr="00DE44E1">
              <w:rPr>
                <w:rFonts w:ascii="Times New Roman" w:hAnsi="Times New Roman"/>
                <w:b w:val="0"/>
                <w:sz w:val="20"/>
                <w:szCs w:val="20"/>
                <w:vertAlign w:val="subscript"/>
              </w:rPr>
              <w:t>3</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0.5598</w:t>
            </w:r>
          </w:p>
        </w:tc>
        <w:tc>
          <w:tcPr>
            <w:tcW w:w="1928" w:type="dxa"/>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0.6589</w:t>
            </w:r>
          </w:p>
        </w:tc>
        <w:tc>
          <w:tcPr>
            <w:tcW w:w="1928" w:type="dxa"/>
            <w:vAlign w:val="center"/>
          </w:tcPr>
          <w:p w:rsidR="00B71748" w:rsidRPr="00DE44E1" w:rsidRDefault="00B71748" w:rsidP="0031630D">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0.5</w:t>
            </w:r>
            <w:r w:rsidR="0031630D" w:rsidRPr="00DE44E1">
              <w:rPr>
                <w:rFonts w:ascii="Times New Roman" w:hAnsi="Times New Roman"/>
                <w:sz w:val="20"/>
                <w:szCs w:val="20"/>
              </w:rPr>
              <w:t>001</w:t>
            </w:r>
          </w:p>
        </w:tc>
        <w:tc>
          <w:tcPr>
            <w:tcW w:w="1928" w:type="dxa"/>
            <w:gridSpan w:val="2"/>
            <w:vAlign w:val="center"/>
          </w:tcPr>
          <w:p w:rsidR="00B71748" w:rsidRPr="00DE44E1" w:rsidRDefault="00B71748" w:rsidP="004C5299">
            <w:pPr>
              <w:tabs>
                <w:tab w:val="left" w:pos="425"/>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0.4589</w:t>
            </w:r>
          </w:p>
        </w:tc>
      </w:tr>
      <w:tr w:rsidR="005C7DE7" w:rsidRPr="00DE44E1" w:rsidTr="004C5299">
        <w:trPr>
          <w:trHeight w:val="283"/>
        </w:trPr>
        <w:tc>
          <w:tcPr>
            <w:cnfStyle w:val="001000000000" w:firstRow="0" w:lastRow="0" w:firstColumn="1" w:lastColumn="0" w:oddVBand="0" w:evenVBand="0" w:oddHBand="0" w:evenHBand="0" w:firstRowFirstColumn="0" w:firstRowLastColumn="0" w:lastRowFirstColumn="0" w:lastRowLastColumn="0"/>
            <w:tcW w:w="1928" w:type="dxa"/>
            <w:vAlign w:val="center"/>
          </w:tcPr>
          <w:p w:rsidR="00B71748" w:rsidRPr="00DE44E1" w:rsidRDefault="00B71748" w:rsidP="004C5299">
            <w:pPr>
              <w:tabs>
                <w:tab w:val="left" w:pos="425"/>
              </w:tabs>
              <w:spacing w:after="0"/>
              <w:rPr>
                <w:rFonts w:ascii="Times New Roman" w:hAnsi="Times New Roman"/>
                <w:b w:val="0"/>
                <w:sz w:val="20"/>
                <w:szCs w:val="20"/>
              </w:rPr>
            </w:pPr>
            <w:r w:rsidRPr="00DE44E1">
              <w:rPr>
                <w:rFonts w:ascii="Times New Roman" w:hAnsi="Times New Roman"/>
                <w:b w:val="0"/>
                <w:sz w:val="20"/>
                <w:szCs w:val="20"/>
              </w:rPr>
              <w:t>Hansen</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1658</w:t>
            </w:r>
            <w:r w:rsidR="005D0958" w:rsidRPr="00DE44E1">
              <w:rPr>
                <w:rFonts w:ascii="Times New Roman" w:hAnsi="Times New Roman"/>
                <w:sz w:val="20"/>
                <w:szCs w:val="20"/>
              </w:rPr>
              <w:t xml:space="preserve"> </w:t>
            </w:r>
            <w:r w:rsidRPr="00DE44E1">
              <w:rPr>
                <w:rFonts w:ascii="Times New Roman" w:hAnsi="Times New Roman"/>
                <w:sz w:val="20"/>
                <w:szCs w:val="20"/>
              </w:rPr>
              <w:t>(33)</w:t>
            </w:r>
          </w:p>
        </w:tc>
        <w:tc>
          <w:tcPr>
            <w:tcW w:w="1928" w:type="dxa"/>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1879</w:t>
            </w:r>
            <w:r w:rsidR="005D0958" w:rsidRPr="00DE44E1">
              <w:rPr>
                <w:rFonts w:ascii="Times New Roman" w:hAnsi="Times New Roman"/>
                <w:sz w:val="20"/>
                <w:szCs w:val="20"/>
              </w:rPr>
              <w:t xml:space="preserve"> </w:t>
            </w:r>
            <w:r w:rsidRPr="00DE44E1">
              <w:rPr>
                <w:rFonts w:ascii="Times New Roman" w:hAnsi="Times New Roman"/>
                <w:sz w:val="20"/>
                <w:szCs w:val="20"/>
              </w:rPr>
              <w:t>(105)</w:t>
            </w:r>
          </w:p>
        </w:tc>
        <w:tc>
          <w:tcPr>
            <w:tcW w:w="1928" w:type="dxa"/>
            <w:vAlign w:val="center"/>
          </w:tcPr>
          <w:p w:rsidR="00B71748" w:rsidRPr="00DE44E1" w:rsidRDefault="00B71748" w:rsidP="0031630D">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11</w:t>
            </w:r>
            <w:r w:rsidR="0031630D" w:rsidRPr="00DE44E1">
              <w:rPr>
                <w:rFonts w:ascii="Times New Roman" w:hAnsi="Times New Roman"/>
                <w:sz w:val="20"/>
                <w:szCs w:val="20"/>
              </w:rPr>
              <w:t>01</w:t>
            </w:r>
            <w:r w:rsidR="005D0958" w:rsidRPr="00DE44E1">
              <w:rPr>
                <w:rFonts w:ascii="Times New Roman" w:hAnsi="Times New Roman"/>
                <w:sz w:val="20"/>
                <w:szCs w:val="20"/>
              </w:rPr>
              <w:t xml:space="preserve"> </w:t>
            </w:r>
            <w:r w:rsidRPr="00DE44E1">
              <w:rPr>
                <w:rFonts w:ascii="Times New Roman" w:hAnsi="Times New Roman"/>
                <w:sz w:val="20"/>
                <w:szCs w:val="20"/>
              </w:rPr>
              <w:t>(</w:t>
            </w:r>
            <w:r w:rsidR="0031630D" w:rsidRPr="00DE44E1">
              <w:rPr>
                <w:rFonts w:ascii="Times New Roman" w:hAnsi="Times New Roman"/>
                <w:sz w:val="20"/>
                <w:szCs w:val="20"/>
              </w:rPr>
              <w:t>52</w:t>
            </w:r>
            <w:r w:rsidRPr="00DE44E1">
              <w:rPr>
                <w:rFonts w:ascii="Times New Roman" w:hAnsi="Times New Roman"/>
                <w:sz w:val="20"/>
                <w:szCs w:val="20"/>
              </w:rPr>
              <w:t>)</w:t>
            </w:r>
          </w:p>
        </w:tc>
        <w:tc>
          <w:tcPr>
            <w:tcW w:w="1928" w:type="dxa"/>
            <w:gridSpan w:val="2"/>
            <w:vAlign w:val="center"/>
          </w:tcPr>
          <w:p w:rsidR="00B71748" w:rsidRPr="00DE44E1" w:rsidRDefault="00B71748" w:rsidP="004C5299">
            <w:pPr>
              <w:tabs>
                <w:tab w:val="left" w:pos="42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E44E1">
              <w:rPr>
                <w:rFonts w:ascii="Times New Roman" w:hAnsi="Times New Roman"/>
                <w:sz w:val="20"/>
                <w:szCs w:val="20"/>
              </w:rPr>
              <w:t>1178</w:t>
            </w:r>
            <w:r w:rsidR="005D0958" w:rsidRPr="00DE44E1">
              <w:rPr>
                <w:rFonts w:ascii="Times New Roman" w:hAnsi="Times New Roman"/>
                <w:sz w:val="20"/>
                <w:szCs w:val="20"/>
              </w:rPr>
              <w:t xml:space="preserve"> </w:t>
            </w:r>
            <w:r w:rsidRPr="00DE44E1">
              <w:rPr>
                <w:rFonts w:ascii="Times New Roman" w:hAnsi="Times New Roman"/>
                <w:sz w:val="20"/>
                <w:szCs w:val="20"/>
              </w:rPr>
              <w:t>(78)</w:t>
            </w:r>
          </w:p>
        </w:tc>
      </w:tr>
    </w:tbl>
    <w:p w:rsidR="001E51B5" w:rsidRPr="00DE44E1" w:rsidRDefault="001E51B5" w:rsidP="007B4A80">
      <w:pPr>
        <w:tabs>
          <w:tab w:val="left" w:pos="425"/>
        </w:tabs>
        <w:spacing w:before="120" w:after="0" w:line="240" w:lineRule="auto"/>
        <w:jc w:val="both"/>
        <w:rPr>
          <w:rFonts w:ascii="Times New Roman" w:hAnsi="Times New Roman"/>
        </w:rPr>
      </w:pPr>
      <w:r w:rsidRPr="00DE44E1">
        <w:rPr>
          <w:rFonts w:ascii="Times New Roman" w:hAnsi="Times New Roman"/>
          <w:i/>
        </w:rPr>
        <w:t xml:space="preserve">Source: </w:t>
      </w:r>
      <w:r w:rsidRPr="00DE44E1">
        <w:rPr>
          <w:rFonts w:ascii="Times New Roman" w:hAnsi="Times New Roman"/>
        </w:rPr>
        <w:t xml:space="preserve">our elaboration on </w:t>
      </w:r>
      <w:r w:rsidR="001060C9" w:rsidRPr="00DE44E1">
        <w:rPr>
          <w:rFonts w:ascii="Times New Roman" w:hAnsi="Times New Roman"/>
        </w:rPr>
        <w:t>BvD</w:t>
      </w:r>
      <w:r w:rsidR="009049E5" w:rsidRPr="00DE44E1">
        <w:rPr>
          <w:rFonts w:ascii="Times New Roman" w:hAnsi="Times New Roman"/>
        </w:rPr>
        <w:t xml:space="preserve"> data</w:t>
      </w:r>
    </w:p>
    <w:p w:rsidR="00070377" w:rsidRDefault="00070377" w:rsidP="009547CD">
      <w:pPr>
        <w:widowControl w:val="0"/>
        <w:tabs>
          <w:tab w:val="left" w:pos="425"/>
        </w:tabs>
        <w:spacing w:after="0" w:line="240" w:lineRule="auto"/>
        <w:ind w:firstLine="426"/>
        <w:jc w:val="both"/>
        <w:rPr>
          <w:rFonts w:ascii="Times New Roman" w:hAnsi="Times New Roman"/>
          <w:sz w:val="24"/>
          <w:szCs w:val="24"/>
          <w:lang w:val="en-US"/>
        </w:rPr>
      </w:pPr>
    </w:p>
    <w:p w:rsidR="009547CD" w:rsidRPr="00DE44E1" w:rsidRDefault="009547CD" w:rsidP="009547CD">
      <w:pPr>
        <w:widowControl w:val="0"/>
        <w:tabs>
          <w:tab w:val="left" w:pos="425"/>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We ran a regression </w:t>
      </w:r>
      <w:proofErr w:type="gramStart"/>
      <w:r>
        <w:rPr>
          <w:rFonts w:ascii="Times New Roman" w:hAnsi="Times New Roman"/>
          <w:sz w:val="24"/>
          <w:szCs w:val="24"/>
          <w:lang w:val="en-US"/>
        </w:rPr>
        <w:t xml:space="preserve">analysis </w:t>
      </w:r>
      <w:r w:rsidRPr="00DE44E1">
        <w:rPr>
          <w:rFonts w:ascii="Times New Roman" w:hAnsi="Times New Roman"/>
          <w:sz w:val="24"/>
          <w:szCs w:val="24"/>
          <w:lang w:val="en-US"/>
        </w:rPr>
        <w:t>using</w:t>
      </w:r>
      <w:proofErr w:type="gramEnd"/>
      <w:r w:rsidRPr="00DE44E1">
        <w:rPr>
          <w:rFonts w:ascii="Times New Roman" w:hAnsi="Times New Roman"/>
          <w:sz w:val="24"/>
          <w:szCs w:val="24"/>
          <w:lang w:val="en-US"/>
        </w:rPr>
        <w:t xml:space="preserve"> panel previously described (Normal: 68.2%; Financial distressed: 31.8%). </w:t>
      </w:r>
    </w:p>
    <w:p w:rsidR="009547CD" w:rsidRPr="00DE44E1" w:rsidRDefault="009547CD" w:rsidP="009547C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In future studies, we shall include further means such as Conic Multivariate Adaptive Regression Splines (CMARS), Robust Conic Multivariate Adaptive Regression Splines (RCMARS) and Conic Generalized Partial Linear Models (CGPLM). These methods can help to give new perspectives and developments in financial mathematics to make more accurate predictions about financial distress likelihood.</w:t>
      </w:r>
    </w:p>
    <w:p w:rsidR="009547CD" w:rsidRPr="00DE44E1" w:rsidRDefault="009547CD" w:rsidP="009547C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Several studies have been carried out to apply the above methods to various fields of study including finance, industry, business and environment. These include: Özmen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(2010), Özmen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(2012), Weber </w:t>
      </w:r>
      <w:r w:rsidRPr="00DE44E1">
        <w:rPr>
          <w:rFonts w:ascii="Times New Roman" w:hAnsi="Times New Roman"/>
          <w:i/>
          <w:sz w:val="24"/>
          <w:szCs w:val="24"/>
          <w:lang w:val="en-US"/>
        </w:rPr>
        <w:t>et al</w:t>
      </w:r>
      <w:r w:rsidRPr="00DE44E1">
        <w:rPr>
          <w:rFonts w:ascii="Times New Roman" w:hAnsi="Times New Roman"/>
          <w:sz w:val="24"/>
          <w:szCs w:val="24"/>
          <w:lang w:val="en-US"/>
        </w:rPr>
        <w:t>. (2012).</w:t>
      </w:r>
    </w:p>
    <w:p w:rsidR="009547CD" w:rsidRPr="00DE44E1" w:rsidRDefault="009547CD" w:rsidP="009547CD">
      <w:pPr>
        <w:widowControl w:val="0"/>
        <w:tabs>
          <w:tab w:val="left" w:pos="425"/>
        </w:tabs>
        <w:spacing w:after="0" w:line="240" w:lineRule="auto"/>
        <w:ind w:firstLine="426"/>
        <w:jc w:val="both"/>
        <w:rPr>
          <w:rFonts w:ascii="Times New Roman" w:hAnsi="Times New Roman"/>
          <w:b/>
          <w:i/>
          <w:sz w:val="24"/>
          <w:szCs w:val="24"/>
          <w:lang w:val="en-US"/>
        </w:rPr>
      </w:pPr>
      <w:r w:rsidRPr="00DE44E1">
        <w:rPr>
          <w:rFonts w:ascii="Times New Roman" w:hAnsi="Times New Roman"/>
          <w:sz w:val="24"/>
          <w:szCs w:val="24"/>
          <w:lang w:val="en-US"/>
        </w:rPr>
        <w:t>The empirical evidence corroborates our initial hypothesis. As shown in column 1 of table 4, the positive coefficient of the FDL variables confirms hypothesis 1 [</w:t>
      </w:r>
      <w:r w:rsidRPr="00DE44E1">
        <w:rPr>
          <w:rFonts w:ascii="Times New Roman" w:hAnsi="Times New Roman"/>
          <w:i/>
          <w:sz w:val="24"/>
          <w:szCs w:val="24"/>
          <w:lang w:val="en-US"/>
        </w:rPr>
        <w:t>H1</w:t>
      </w:r>
      <w:r w:rsidRPr="00DE44E1">
        <w:rPr>
          <w:rFonts w:ascii="Times New Roman" w:hAnsi="Times New Roman"/>
          <w:sz w:val="24"/>
          <w:szCs w:val="24"/>
          <w:lang w:val="en-US"/>
        </w:rPr>
        <w:t xml:space="preserve">] and supports the evidences emerged by Keasey’ studies (Keasey </w:t>
      </w:r>
      <w:r w:rsidRPr="00DE44E1">
        <w:rPr>
          <w:rFonts w:ascii="Times New Roman" w:hAnsi="Times New Roman"/>
          <w:i/>
          <w:sz w:val="24"/>
          <w:szCs w:val="24"/>
          <w:lang w:val="en-US"/>
        </w:rPr>
        <w:t>et al</w:t>
      </w:r>
      <w:r w:rsidRPr="00DE44E1">
        <w:rPr>
          <w:rFonts w:ascii="Times New Roman" w:hAnsi="Times New Roman"/>
          <w:sz w:val="24"/>
          <w:szCs w:val="24"/>
          <w:lang w:val="en-US"/>
        </w:rPr>
        <w:t>., 2015) that the FDL is one of the main explanatory variables of financial distress costs.</w:t>
      </w:r>
    </w:p>
    <w:p w:rsidR="009547CD" w:rsidRPr="00DE44E1" w:rsidRDefault="009547CD" w:rsidP="009547CD">
      <w:pPr>
        <w:widowControl w:val="0"/>
        <w:tabs>
          <w:tab w:val="left" w:pos="425"/>
          <w:tab w:val="left" w:pos="20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Additionaly, to confirm the second hypothesis [</w:t>
      </w:r>
      <w:r w:rsidRPr="00DE44E1">
        <w:rPr>
          <w:rFonts w:ascii="Times New Roman" w:hAnsi="Times New Roman"/>
          <w:i/>
          <w:sz w:val="24"/>
          <w:szCs w:val="24"/>
          <w:lang w:val="en-US"/>
        </w:rPr>
        <w:t>H2</w:t>
      </w:r>
      <w:r w:rsidRPr="00DE44E1">
        <w:rPr>
          <w:rFonts w:ascii="Times New Roman" w:hAnsi="Times New Roman"/>
          <w:sz w:val="24"/>
          <w:szCs w:val="24"/>
          <w:lang w:val="en-US"/>
        </w:rPr>
        <w:t>], we find empirical evidence supporting the negative relationship between SMEs’ invisible intangible assets and expected financial distress costs, since the coefficient (ß</w:t>
      </w:r>
      <w:r w:rsidRPr="00DE44E1">
        <w:rPr>
          <w:rFonts w:ascii="Times New Roman" w:hAnsi="Times New Roman"/>
          <w:sz w:val="24"/>
          <w:szCs w:val="24"/>
          <w:vertAlign w:val="subscript"/>
          <w:lang w:val="en-US"/>
        </w:rPr>
        <w:t>1–Total sample</w:t>
      </w:r>
      <w:r w:rsidRPr="00DE44E1">
        <w:rPr>
          <w:rFonts w:ascii="Times New Roman" w:hAnsi="Times New Roman"/>
          <w:sz w:val="24"/>
          <w:szCs w:val="24"/>
          <w:lang w:val="en-US"/>
        </w:rPr>
        <w:t xml:space="preserve"> ÷ τ = -0.2258) obtained for INTAN</w:t>
      </w:r>
      <w:r w:rsidRPr="00DE44E1">
        <w:rPr>
          <w:rFonts w:ascii="Times New Roman" w:hAnsi="Times New Roman"/>
          <w:sz w:val="24"/>
          <w:szCs w:val="24"/>
          <w:vertAlign w:val="subscript"/>
          <w:lang w:val="en-US"/>
        </w:rPr>
        <w:t>it</w:t>
      </w:r>
      <w:r w:rsidRPr="00DE44E1">
        <w:rPr>
          <w:rFonts w:ascii="Times New Roman" w:hAnsi="Times New Roman"/>
          <w:sz w:val="24"/>
          <w:szCs w:val="24"/>
          <w:lang w:val="en-US"/>
        </w:rPr>
        <w:t xml:space="preserve"> is negative and significant.</w:t>
      </w:r>
    </w:p>
    <w:p w:rsidR="009547CD" w:rsidRPr="00DE44E1" w:rsidRDefault="009547CD" w:rsidP="009547C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 third hypothesis [</w:t>
      </w:r>
      <w:r w:rsidRPr="00DE44E1">
        <w:rPr>
          <w:rFonts w:ascii="Times New Roman" w:hAnsi="Times New Roman"/>
          <w:i/>
          <w:sz w:val="24"/>
          <w:szCs w:val="24"/>
          <w:lang w:val="en-US"/>
        </w:rPr>
        <w:t>H3</w:t>
      </w:r>
      <w:r w:rsidRPr="00DE44E1">
        <w:rPr>
          <w:rFonts w:ascii="Times New Roman" w:hAnsi="Times New Roman"/>
          <w:sz w:val="24"/>
          <w:szCs w:val="24"/>
          <w:lang w:val="en-US"/>
        </w:rPr>
        <w:t>] is tested using the dummy LOCALB</w:t>
      </w:r>
      <w:r w:rsidRPr="00DE44E1">
        <w:rPr>
          <w:rFonts w:ascii="Times New Roman" w:hAnsi="Times New Roman"/>
          <w:sz w:val="24"/>
          <w:szCs w:val="24"/>
          <w:vertAlign w:val="subscript"/>
          <w:lang w:val="en-US"/>
        </w:rPr>
        <w:t>it</w:t>
      </w:r>
      <w:r w:rsidRPr="00DE44E1">
        <w:rPr>
          <w:rFonts w:ascii="Times New Roman" w:hAnsi="Times New Roman"/>
          <w:sz w:val="24"/>
          <w:szCs w:val="24"/>
          <w:lang w:val="en-US"/>
        </w:rPr>
        <w:t>. The negative relationship between SMEs’ invisible intangible assets and expected financial distress costs (ExpFDC) is more evident for the SMEs that relate to local banks: ß</w:t>
      </w:r>
      <w:r w:rsidRPr="00DE44E1">
        <w:rPr>
          <w:rFonts w:ascii="Times New Roman" w:hAnsi="Times New Roman"/>
          <w:sz w:val="24"/>
          <w:szCs w:val="24"/>
          <w:vertAlign w:val="subscript"/>
          <w:lang w:val="en-US"/>
        </w:rPr>
        <w:t>2–Total sample</w:t>
      </w:r>
      <w:r w:rsidRPr="00DE44E1">
        <w:rPr>
          <w:rFonts w:ascii="Times New Roman" w:hAnsi="Times New Roman"/>
          <w:sz w:val="24"/>
          <w:szCs w:val="24"/>
          <w:lang w:val="en-US"/>
        </w:rPr>
        <w:t xml:space="preserve"> ÷ τ + λ</w:t>
      </w:r>
      <w:r w:rsidRPr="00DE44E1">
        <w:rPr>
          <w:rFonts w:ascii="Times New Roman" w:hAnsi="Times New Roman"/>
          <w:sz w:val="24"/>
          <w:szCs w:val="24"/>
          <w:vertAlign w:val="subscript"/>
          <w:lang w:val="en-US"/>
        </w:rPr>
        <w:t>1</w:t>
      </w:r>
      <w:r w:rsidRPr="00DE44E1">
        <w:rPr>
          <w:rFonts w:ascii="Times New Roman" w:hAnsi="Times New Roman"/>
          <w:sz w:val="24"/>
          <w:szCs w:val="24"/>
          <w:lang w:val="en-US"/>
        </w:rPr>
        <w:t xml:space="preserve"> ÷ τ = -0.2258 - 1.5678 = -1.7936. This finding confirms the results that emerge from the doctrine: the ability of local banks to attenuate information asymmetries that, especially in the phases of restructuring for financial distress, are critical in the bank-firm relationship.</w:t>
      </w:r>
    </w:p>
    <w:p w:rsidR="009547CD" w:rsidRDefault="009547CD"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The fourth hypothesis [</w:t>
      </w:r>
      <w:r w:rsidRPr="00DE44E1">
        <w:rPr>
          <w:rFonts w:ascii="Times New Roman" w:hAnsi="Times New Roman"/>
          <w:i/>
          <w:sz w:val="24"/>
          <w:szCs w:val="24"/>
          <w:lang w:val="en-US"/>
        </w:rPr>
        <w:t>H4</w:t>
      </w:r>
      <w:r w:rsidRPr="00DE44E1">
        <w:rPr>
          <w:rFonts w:ascii="Times New Roman" w:hAnsi="Times New Roman"/>
          <w:sz w:val="24"/>
          <w:szCs w:val="24"/>
          <w:lang w:val="en-US"/>
        </w:rPr>
        <w:t>] is tested using DER</w:t>
      </w:r>
      <w:r w:rsidRPr="00DE44E1">
        <w:rPr>
          <w:rFonts w:ascii="Times New Roman" w:hAnsi="Times New Roman"/>
          <w:sz w:val="24"/>
          <w:szCs w:val="24"/>
          <w:vertAlign w:val="subscript"/>
          <w:lang w:val="en-US"/>
        </w:rPr>
        <w:t>it</w:t>
      </w:r>
      <w:r w:rsidRPr="00DE44E1">
        <w:rPr>
          <w:rFonts w:ascii="Times New Roman" w:hAnsi="Times New Roman"/>
          <w:sz w:val="24"/>
          <w:szCs w:val="24"/>
          <w:lang w:val="en-US"/>
        </w:rPr>
        <w:t>. As shown in column 1 of table 4, the negative term (ß</w:t>
      </w:r>
      <w:r w:rsidRPr="00DE44E1">
        <w:rPr>
          <w:rFonts w:ascii="Times New Roman" w:hAnsi="Times New Roman"/>
          <w:sz w:val="24"/>
          <w:szCs w:val="24"/>
          <w:vertAlign w:val="subscript"/>
          <w:lang w:val="en-US"/>
        </w:rPr>
        <w:t xml:space="preserve">3–Total sample </w:t>
      </w:r>
      <w:r w:rsidRPr="00DE44E1">
        <w:rPr>
          <w:rFonts w:ascii="Times New Roman" w:hAnsi="Times New Roman"/>
          <w:sz w:val="24"/>
          <w:szCs w:val="24"/>
          <w:lang w:val="en-US"/>
        </w:rPr>
        <w:t>÷ τ = -1.0006) confirms our hypothesis 4. In line with the evidence emerged by literature review, the greatest endowment of derivatives determines the reduction of the expected financial distress costs.</w:t>
      </w:r>
    </w:p>
    <w:p w:rsidR="00F72B7E" w:rsidRPr="00DE44E1" w:rsidRDefault="006041F3"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Moreover, the results obtained from our cross</w:t>
      </w:r>
      <w:r w:rsidRPr="00DE44E1">
        <w:rPr>
          <w:rFonts w:ascii="Cambria Math" w:hAnsi="Cambria Math" w:cs="Cambria Math"/>
          <w:sz w:val="24"/>
          <w:szCs w:val="24"/>
          <w:lang w:val="en-US"/>
        </w:rPr>
        <w:t>‐</w:t>
      </w:r>
      <w:r w:rsidRPr="00DE44E1">
        <w:rPr>
          <w:rFonts w:ascii="Times New Roman" w:hAnsi="Times New Roman"/>
          <w:sz w:val="24"/>
          <w:szCs w:val="24"/>
          <w:lang w:val="en-US"/>
        </w:rPr>
        <w:t>country comparison, provide additional evidence.</w:t>
      </w:r>
      <w:r w:rsidR="00B81ADF" w:rsidRPr="00DE44E1">
        <w:rPr>
          <w:rFonts w:ascii="Times New Roman" w:hAnsi="Times New Roman"/>
          <w:sz w:val="24"/>
          <w:szCs w:val="24"/>
          <w:lang w:val="en-US"/>
        </w:rPr>
        <w:t xml:space="preserve"> </w:t>
      </w:r>
      <w:r w:rsidR="00402033" w:rsidRPr="00DE44E1">
        <w:rPr>
          <w:rFonts w:ascii="Times New Roman" w:hAnsi="Times New Roman"/>
          <w:sz w:val="24"/>
          <w:szCs w:val="24"/>
          <w:lang w:val="en-US"/>
        </w:rPr>
        <w:t>Without prejudice to previous assumptions, Germany, compared to Italy, recorded</w:t>
      </w:r>
      <w:r w:rsidR="000659D8" w:rsidRPr="00DE44E1">
        <w:rPr>
          <w:rFonts w:ascii="Times New Roman" w:hAnsi="Times New Roman"/>
          <w:sz w:val="24"/>
          <w:szCs w:val="24"/>
          <w:lang w:val="en-US"/>
        </w:rPr>
        <w:t xml:space="preserve"> more significant coefficients. </w:t>
      </w:r>
      <w:r w:rsidR="00B12EA9" w:rsidRPr="00DE44E1">
        <w:rPr>
          <w:rFonts w:ascii="Times New Roman" w:hAnsi="Times New Roman"/>
          <w:sz w:val="24"/>
          <w:szCs w:val="24"/>
          <w:lang w:val="en-US"/>
        </w:rPr>
        <w:t>Considering the first hypothesis [</w:t>
      </w:r>
      <w:r w:rsidR="00B12EA9" w:rsidRPr="00DE44E1">
        <w:rPr>
          <w:rFonts w:ascii="Times New Roman" w:hAnsi="Times New Roman"/>
          <w:i/>
          <w:sz w:val="24"/>
          <w:szCs w:val="24"/>
          <w:lang w:val="en-US"/>
        </w:rPr>
        <w:t>H1</w:t>
      </w:r>
      <w:r w:rsidR="00B12EA9" w:rsidRPr="00DE44E1">
        <w:rPr>
          <w:rFonts w:ascii="Times New Roman" w:hAnsi="Times New Roman"/>
          <w:sz w:val="24"/>
          <w:szCs w:val="24"/>
          <w:lang w:val="en-US"/>
        </w:rPr>
        <w:t xml:space="preserve">] as universally valid, the most significant differences can be found in the other three hypotheses of research. </w:t>
      </w:r>
      <w:r w:rsidR="00F72B7E" w:rsidRPr="00DE44E1">
        <w:rPr>
          <w:rFonts w:ascii="Times New Roman" w:hAnsi="Times New Roman"/>
          <w:sz w:val="24"/>
          <w:szCs w:val="24"/>
          <w:lang w:val="en-US"/>
        </w:rPr>
        <w:t>In summary, German SMEs have their own peculiarities to Italian SMEs</w:t>
      </w:r>
      <w:r w:rsidR="007C1A20" w:rsidRPr="00DE44E1">
        <w:t xml:space="preserve"> (</w:t>
      </w:r>
      <w:r w:rsidR="007C1A20" w:rsidRPr="00DE44E1">
        <w:rPr>
          <w:rFonts w:ascii="Times New Roman" w:hAnsi="Times New Roman"/>
          <w:sz w:val="24"/>
          <w:szCs w:val="24"/>
          <w:lang w:val="en-US"/>
        </w:rPr>
        <w:t xml:space="preserve">Abel-Koch </w:t>
      </w:r>
      <w:r w:rsidR="007C1A20" w:rsidRPr="00DE44E1">
        <w:rPr>
          <w:rFonts w:ascii="Times New Roman" w:hAnsi="Times New Roman"/>
          <w:i/>
          <w:sz w:val="24"/>
          <w:szCs w:val="24"/>
          <w:lang w:val="en-US"/>
        </w:rPr>
        <w:t>et al</w:t>
      </w:r>
      <w:r w:rsidR="007C1A20" w:rsidRPr="00DE44E1">
        <w:rPr>
          <w:rFonts w:ascii="Times New Roman" w:hAnsi="Times New Roman"/>
          <w:sz w:val="24"/>
          <w:szCs w:val="24"/>
          <w:lang w:val="en-US"/>
        </w:rPr>
        <w:t>., 2015).</w:t>
      </w:r>
      <w:r w:rsidR="00F72B7E" w:rsidRPr="00DE44E1">
        <w:rPr>
          <w:rFonts w:ascii="Times New Roman" w:hAnsi="Times New Roman"/>
          <w:sz w:val="24"/>
          <w:szCs w:val="24"/>
          <w:lang w:val="en-US"/>
        </w:rPr>
        <w:t xml:space="preserve"> </w:t>
      </w:r>
    </w:p>
    <w:p w:rsidR="00F72B7E" w:rsidRPr="00DE44E1" w:rsidRDefault="00B12EA9"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With regard to the second hypothesis [</w:t>
      </w:r>
      <w:r w:rsidRPr="00DE44E1">
        <w:rPr>
          <w:rFonts w:ascii="Times New Roman" w:hAnsi="Times New Roman"/>
          <w:i/>
          <w:sz w:val="24"/>
          <w:szCs w:val="24"/>
          <w:lang w:val="en-US"/>
        </w:rPr>
        <w:t>H2</w:t>
      </w:r>
      <w:r w:rsidRPr="00DE44E1">
        <w:rPr>
          <w:rFonts w:ascii="Times New Roman" w:hAnsi="Times New Roman"/>
          <w:sz w:val="24"/>
          <w:szCs w:val="24"/>
          <w:lang w:val="en-US"/>
        </w:rPr>
        <w:t>], t</w:t>
      </w:r>
      <w:r w:rsidR="00DC60DD" w:rsidRPr="00DE44E1">
        <w:rPr>
          <w:rFonts w:ascii="Times New Roman" w:hAnsi="Times New Roman"/>
          <w:sz w:val="24"/>
          <w:szCs w:val="24"/>
          <w:lang w:val="en-US"/>
        </w:rPr>
        <w:t xml:space="preserve">he largest coefficient </w:t>
      </w:r>
      <w:r w:rsidR="003D5EFF" w:rsidRPr="00DE44E1">
        <w:rPr>
          <w:rFonts w:ascii="Times New Roman" w:hAnsi="Times New Roman"/>
          <w:sz w:val="24"/>
          <w:szCs w:val="24"/>
          <w:lang w:val="en-US"/>
        </w:rPr>
        <w:t>(ß</w:t>
      </w:r>
      <w:r w:rsidR="003D5EFF" w:rsidRPr="00DE44E1">
        <w:rPr>
          <w:rFonts w:ascii="Times New Roman" w:hAnsi="Times New Roman"/>
          <w:sz w:val="24"/>
          <w:szCs w:val="24"/>
          <w:vertAlign w:val="subscript"/>
          <w:lang w:val="en-US"/>
        </w:rPr>
        <w:t>1–German sample</w:t>
      </w:r>
      <w:r w:rsidR="003D5EFF" w:rsidRPr="00DE44E1">
        <w:rPr>
          <w:rFonts w:ascii="Times New Roman" w:hAnsi="Times New Roman"/>
          <w:sz w:val="24"/>
          <w:szCs w:val="24"/>
          <w:lang w:val="en-US"/>
        </w:rPr>
        <w:t xml:space="preserve"> ÷ τ = </w:t>
      </w:r>
      <w:r w:rsidR="005D0958" w:rsidRPr="00DE44E1">
        <w:rPr>
          <w:rFonts w:ascii="Times New Roman" w:hAnsi="Times New Roman"/>
          <w:sz w:val="24"/>
          <w:szCs w:val="24"/>
          <w:lang w:val="en-US"/>
        </w:rPr>
        <w:t>-0.7811</w:t>
      </w:r>
      <w:r w:rsidR="003D5EFF" w:rsidRPr="00DE44E1">
        <w:rPr>
          <w:rFonts w:ascii="Times New Roman" w:hAnsi="Times New Roman"/>
          <w:sz w:val="24"/>
          <w:szCs w:val="24"/>
          <w:lang w:val="en-US"/>
        </w:rPr>
        <w:t xml:space="preserve">) </w:t>
      </w:r>
      <w:r w:rsidR="00DC60DD" w:rsidRPr="00DE44E1">
        <w:rPr>
          <w:rFonts w:ascii="Times New Roman" w:hAnsi="Times New Roman"/>
          <w:sz w:val="24"/>
          <w:szCs w:val="24"/>
          <w:lang w:val="en-US"/>
        </w:rPr>
        <w:t>is justified by Germany’s highest R&amp;D investments:</w:t>
      </w:r>
      <w:r w:rsidR="00F72B7E" w:rsidRPr="00DE44E1">
        <w:rPr>
          <w:rFonts w:ascii="Times New Roman" w:hAnsi="Times New Roman"/>
          <w:sz w:val="24"/>
          <w:szCs w:val="24"/>
          <w:lang w:val="en-US"/>
        </w:rPr>
        <w:t xml:space="preserve"> 33% of German companies invest 1% in R&amp;D (24% invest 2%, 18% invest 4%, and 25% invest more than 4%).</w:t>
      </w:r>
    </w:p>
    <w:p w:rsidR="00F72B7E" w:rsidRPr="00DE44E1" w:rsidRDefault="00F72B7E"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A key to the success of the “Made in Germany” strategy is, moreover, the After Sales, organized efficiently, precisely and in a very short time.</w:t>
      </w:r>
    </w:p>
    <w:p w:rsidR="00F72B7E" w:rsidRPr="00DE44E1" w:rsidRDefault="00F72B7E"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Another important factor contributing to the success of the German Industry is the Common Labor Market - synerg</w:t>
      </w:r>
      <w:r w:rsidR="00DC60DD" w:rsidRPr="00DE44E1">
        <w:rPr>
          <w:rFonts w:ascii="Times New Roman" w:hAnsi="Times New Roman"/>
          <w:sz w:val="24"/>
          <w:szCs w:val="24"/>
          <w:lang w:val="en-US"/>
        </w:rPr>
        <w:t xml:space="preserve">ies through industry training - </w:t>
      </w:r>
      <w:r w:rsidRPr="00DE44E1">
        <w:rPr>
          <w:rFonts w:ascii="Times New Roman" w:hAnsi="Times New Roman"/>
          <w:sz w:val="24"/>
          <w:szCs w:val="24"/>
          <w:lang w:val="en-US"/>
        </w:rPr>
        <w:t>which shows that there is less competition in Germany than Italian reality.</w:t>
      </w:r>
    </w:p>
    <w:p w:rsidR="00F72B7E" w:rsidRPr="00DE44E1" w:rsidRDefault="00F72B7E"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Certainly, greater financial solidity has been a key driver of the creation of world-leading industry leaders. While the suffering in Italy is 3 times higher than in Germany.</w:t>
      </w:r>
    </w:p>
    <w:p w:rsidR="00F72B7E" w:rsidRPr="00DE44E1" w:rsidRDefault="00F72B7E"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Another interesting fact is that 61% of Mittlestand has an Advisory Board or Supervisory Board and 67% of the Advisory Board is made up of owners of other companies.</w:t>
      </w:r>
    </w:p>
    <w:p w:rsidR="00F72B7E" w:rsidRPr="00DE44E1" w:rsidRDefault="00F72B7E" w:rsidP="00F72B7E">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Business continuity, entrepreneurship and management experience are also important drivers in generational steps.</w:t>
      </w:r>
    </w:p>
    <w:p w:rsidR="00DF36D8" w:rsidRPr="00DE44E1" w:rsidRDefault="002A0E0C" w:rsidP="00DF36D8">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With reference third hypothesis</w:t>
      </w:r>
      <w:r w:rsidR="00B12EA9" w:rsidRPr="00DE44E1">
        <w:rPr>
          <w:rFonts w:ascii="Times New Roman" w:hAnsi="Times New Roman"/>
          <w:sz w:val="24"/>
          <w:szCs w:val="24"/>
          <w:lang w:val="en-US"/>
        </w:rPr>
        <w:t xml:space="preserve"> [</w:t>
      </w:r>
      <w:r w:rsidR="00B12EA9" w:rsidRPr="00DE44E1">
        <w:rPr>
          <w:rFonts w:ascii="Times New Roman" w:hAnsi="Times New Roman"/>
          <w:i/>
          <w:sz w:val="24"/>
          <w:szCs w:val="24"/>
          <w:lang w:val="en-US"/>
        </w:rPr>
        <w:t>H3</w:t>
      </w:r>
      <w:r w:rsidR="00B12EA9" w:rsidRPr="00DE44E1">
        <w:rPr>
          <w:rFonts w:ascii="Times New Roman" w:hAnsi="Times New Roman"/>
          <w:sz w:val="24"/>
          <w:szCs w:val="24"/>
          <w:lang w:val="en-US"/>
        </w:rPr>
        <w:t>]</w:t>
      </w:r>
      <w:r w:rsidRPr="00DE44E1">
        <w:rPr>
          <w:rFonts w:ascii="Times New Roman" w:hAnsi="Times New Roman"/>
          <w:sz w:val="24"/>
          <w:szCs w:val="24"/>
          <w:lang w:val="en-US"/>
        </w:rPr>
        <w:t>,</w:t>
      </w:r>
      <w:r w:rsidR="00DF36D8" w:rsidRPr="00DE44E1">
        <w:rPr>
          <w:rFonts w:ascii="Times New Roman" w:hAnsi="Times New Roman"/>
          <w:sz w:val="24"/>
          <w:szCs w:val="24"/>
          <w:lang w:val="en-US"/>
        </w:rPr>
        <w:t xml:space="preserve"> </w:t>
      </w:r>
      <w:r w:rsidRPr="00DE44E1">
        <w:rPr>
          <w:rFonts w:ascii="Times New Roman" w:hAnsi="Times New Roman"/>
          <w:sz w:val="24"/>
          <w:szCs w:val="24"/>
          <w:lang w:val="en-US"/>
        </w:rPr>
        <w:t>the</w:t>
      </w:r>
      <w:r w:rsidR="00DF36D8" w:rsidRPr="00DE44E1">
        <w:rPr>
          <w:rFonts w:ascii="Times New Roman" w:hAnsi="Times New Roman"/>
          <w:sz w:val="24"/>
          <w:szCs w:val="24"/>
          <w:vertAlign w:val="subscript"/>
          <w:lang w:val="en-US"/>
        </w:rPr>
        <w:t xml:space="preserve"> </w:t>
      </w:r>
      <w:r w:rsidR="00DF36D8" w:rsidRPr="00DE44E1">
        <w:rPr>
          <w:rFonts w:ascii="Times New Roman" w:hAnsi="Times New Roman"/>
          <w:sz w:val="24"/>
          <w:szCs w:val="24"/>
          <w:lang w:val="en-US"/>
        </w:rPr>
        <w:t xml:space="preserve">coefficient recorded by the German sample </w:t>
      </w:r>
      <w:r w:rsidR="003D5EFF" w:rsidRPr="00DE44E1">
        <w:rPr>
          <w:rFonts w:ascii="Times New Roman" w:hAnsi="Times New Roman"/>
          <w:sz w:val="24"/>
          <w:szCs w:val="24"/>
          <w:lang w:val="en-US"/>
        </w:rPr>
        <w:t>(</w:t>
      </w:r>
      <w:r w:rsidR="00024F41" w:rsidRPr="00DE44E1">
        <w:rPr>
          <w:rFonts w:ascii="Times New Roman" w:hAnsi="Times New Roman"/>
          <w:sz w:val="24"/>
          <w:szCs w:val="24"/>
          <w:lang w:val="en-US"/>
        </w:rPr>
        <w:t>ß</w:t>
      </w:r>
      <w:r w:rsidR="00024F41" w:rsidRPr="00DE44E1">
        <w:rPr>
          <w:rFonts w:ascii="Times New Roman" w:hAnsi="Times New Roman"/>
          <w:sz w:val="24"/>
          <w:szCs w:val="24"/>
          <w:vertAlign w:val="subscript"/>
          <w:lang w:val="en-US"/>
        </w:rPr>
        <w:t xml:space="preserve">2–German </w:t>
      </w:r>
      <w:r w:rsidR="00024F41" w:rsidRPr="00DE44E1">
        <w:rPr>
          <w:rFonts w:ascii="Times New Roman" w:hAnsi="Times New Roman"/>
          <w:sz w:val="24"/>
          <w:szCs w:val="24"/>
          <w:vertAlign w:val="subscript"/>
          <w:lang w:val="en-US"/>
        </w:rPr>
        <w:lastRenderedPageBreak/>
        <w:t>sample</w:t>
      </w:r>
      <w:r w:rsidR="00024F41" w:rsidRPr="00DE44E1">
        <w:rPr>
          <w:rFonts w:ascii="Times New Roman" w:hAnsi="Times New Roman"/>
          <w:sz w:val="24"/>
          <w:szCs w:val="24"/>
          <w:lang w:val="en-US"/>
        </w:rPr>
        <w:t xml:space="preserve"> ÷ τ + λ</w:t>
      </w:r>
      <w:r w:rsidR="00024F41" w:rsidRPr="00DE44E1">
        <w:rPr>
          <w:rFonts w:ascii="Times New Roman" w:hAnsi="Times New Roman"/>
          <w:sz w:val="24"/>
          <w:szCs w:val="24"/>
          <w:vertAlign w:val="subscript"/>
          <w:lang w:val="en-US"/>
        </w:rPr>
        <w:t>1</w:t>
      </w:r>
      <w:r w:rsidR="00024F41" w:rsidRPr="00DE44E1">
        <w:rPr>
          <w:rFonts w:ascii="Times New Roman" w:hAnsi="Times New Roman"/>
          <w:sz w:val="24"/>
          <w:szCs w:val="24"/>
          <w:lang w:val="en-US"/>
        </w:rPr>
        <w:t xml:space="preserve"> ÷ τ =</w:t>
      </w:r>
      <w:r w:rsidR="003D5EFF" w:rsidRPr="00DE44E1">
        <w:rPr>
          <w:rFonts w:ascii="Times New Roman" w:hAnsi="Times New Roman"/>
          <w:sz w:val="24"/>
          <w:szCs w:val="24"/>
          <w:lang w:val="en-US"/>
        </w:rPr>
        <w:t xml:space="preserve"> -</w:t>
      </w:r>
      <w:r w:rsidR="00E96FBD" w:rsidRPr="00DE44E1">
        <w:rPr>
          <w:rFonts w:ascii="Times New Roman" w:hAnsi="Times New Roman"/>
          <w:sz w:val="24"/>
          <w:szCs w:val="24"/>
          <w:lang w:val="en-US"/>
        </w:rPr>
        <w:t>2.4767</w:t>
      </w:r>
      <w:r w:rsidR="003D5EFF" w:rsidRPr="00DE44E1">
        <w:rPr>
          <w:rFonts w:ascii="Times New Roman" w:hAnsi="Times New Roman"/>
          <w:sz w:val="24"/>
          <w:szCs w:val="24"/>
          <w:lang w:val="en-US"/>
        </w:rPr>
        <w:t xml:space="preserve">) </w:t>
      </w:r>
      <w:r w:rsidR="00DF36D8" w:rsidRPr="00DE44E1">
        <w:rPr>
          <w:rFonts w:ascii="Times New Roman" w:hAnsi="Times New Roman"/>
          <w:sz w:val="24"/>
          <w:szCs w:val="24"/>
          <w:lang w:val="en-US"/>
        </w:rPr>
        <w:t>is more significant than the Italian one a</w:t>
      </w:r>
      <w:r w:rsidR="003C2FBE" w:rsidRPr="00DE44E1">
        <w:rPr>
          <w:rFonts w:ascii="Times New Roman" w:hAnsi="Times New Roman"/>
          <w:sz w:val="24"/>
          <w:szCs w:val="24"/>
          <w:lang w:val="en-US"/>
        </w:rPr>
        <w:t>nd in line with our hypotheses. As mentioned earlier, there are several factors that justify these differences. Mittelstand companies show strong relationships with local banks and, in particular, the German “house bank” system valorize soft information in rating systems. This is for the benefit of firms that have skills that are not visible at the accounting level. In addition, the German banking system is characterized by maximum transparency. For example, in Germany, under the Initiative Finanzstandort Deutschland (IFD), banks tell enterprises their rating. In the context of the implementation of the Basel III Accord and to improve financial dialogue between the financial community and the public, IFD, working with the German banking associations, developed a brochure that explains in layman’s language the nature of internal and external ratings and the advantages of ratings for SMEs. Although the IFD has been superseded, this brochure is still often referred to as a standard of quality and has contributed to the development of a “rating culture” in Germany.</w:t>
      </w:r>
    </w:p>
    <w:p w:rsidR="00DC60DD" w:rsidRPr="00DE44E1" w:rsidRDefault="00B12EA9" w:rsidP="005C7DE7">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With regard to the fourth hypothesis [</w:t>
      </w:r>
      <w:r w:rsidRPr="00DE44E1">
        <w:rPr>
          <w:rFonts w:ascii="Times New Roman" w:hAnsi="Times New Roman"/>
          <w:i/>
          <w:sz w:val="24"/>
          <w:szCs w:val="24"/>
          <w:lang w:val="en-US"/>
        </w:rPr>
        <w:t>H4</w:t>
      </w:r>
      <w:r w:rsidRPr="00DE44E1">
        <w:rPr>
          <w:rFonts w:ascii="Times New Roman" w:hAnsi="Times New Roman"/>
          <w:sz w:val="24"/>
          <w:szCs w:val="24"/>
          <w:lang w:val="en-US"/>
        </w:rPr>
        <w:t>]</w:t>
      </w:r>
      <w:r w:rsidR="002A0E0C" w:rsidRPr="00DE44E1">
        <w:rPr>
          <w:rFonts w:ascii="Times New Roman" w:hAnsi="Times New Roman"/>
          <w:sz w:val="24"/>
          <w:szCs w:val="24"/>
          <w:lang w:val="en-US"/>
        </w:rPr>
        <w:t xml:space="preserve">, </w:t>
      </w:r>
      <w:r w:rsidR="00DC60DD" w:rsidRPr="00DE44E1">
        <w:rPr>
          <w:rFonts w:ascii="Times New Roman" w:hAnsi="Times New Roman"/>
          <w:sz w:val="24"/>
          <w:szCs w:val="24"/>
          <w:lang w:val="en-US"/>
        </w:rPr>
        <w:t>German financial system shows peculiarities</w:t>
      </w:r>
      <w:r w:rsidR="005C7DE7" w:rsidRPr="00DE44E1">
        <w:rPr>
          <w:rFonts w:ascii="Times New Roman" w:hAnsi="Times New Roman"/>
          <w:sz w:val="24"/>
          <w:szCs w:val="24"/>
          <w:lang w:val="en-US"/>
        </w:rPr>
        <w:t xml:space="preserve"> respect Italian system</w:t>
      </w:r>
      <w:r w:rsidR="002A0E0C" w:rsidRPr="00DE44E1">
        <w:rPr>
          <w:rFonts w:ascii="Times New Roman" w:hAnsi="Times New Roman"/>
          <w:sz w:val="24"/>
          <w:szCs w:val="24"/>
          <w:lang w:val="en-US"/>
        </w:rPr>
        <w:t xml:space="preserve"> (ß</w:t>
      </w:r>
      <w:r w:rsidR="002A0E0C" w:rsidRPr="00DE44E1">
        <w:rPr>
          <w:rFonts w:ascii="Times New Roman" w:hAnsi="Times New Roman"/>
          <w:sz w:val="24"/>
          <w:szCs w:val="24"/>
          <w:vertAlign w:val="subscript"/>
          <w:lang w:val="en-US"/>
        </w:rPr>
        <w:t>3–German sample</w:t>
      </w:r>
      <w:r w:rsidR="002A0E0C" w:rsidRPr="00DE44E1">
        <w:rPr>
          <w:rFonts w:ascii="Times New Roman" w:hAnsi="Times New Roman"/>
          <w:sz w:val="24"/>
          <w:szCs w:val="24"/>
          <w:lang w:val="en-US"/>
        </w:rPr>
        <w:t xml:space="preserve"> ÷ τ = -1.8874).</w:t>
      </w:r>
      <w:r w:rsidR="005C7DE7" w:rsidRPr="00DE44E1">
        <w:rPr>
          <w:rFonts w:ascii="Times New Roman" w:hAnsi="Times New Roman"/>
          <w:sz w:val="24"/>
          <w:szCs w:val="24"/>
          <w:lang w:val="en-US"/>
        </w:rPr>
        <w:t xml:space="preserve"> </w:t>
      </w:r>
      <w:r w:rsidR="00DC60DD" w:rsidRPr="00DE44E1">
        <w:rPr>
          <w:rFonts w:ascii="Times New Roman" w:hAnsi="Times New Roman"/>
          <w:sz w:val="24"/>
          <w:szCs w:val="24"/>
          <w:lang w:val="en-US"/>
        </w:rPr>
        <w:t>These peculiarities concern the use of derivatives. Compared with Italian companies, German companies are more likely to use derivatives: 78% of German SMEs than 24% of Italian SMEs.</w:t>
      </w:r>
    </w:p>
    <w:p w:rsidR="00DF36D8" w:rsidRPr="00DE44E1" w:rsidRDefault="00DF36D8" w:rsidP="00DF36D8">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As previously mentioned, German government’s policy has been active to ensure a tax and accounting system capable of encouraging the use of derivatives.</w:t>
      </w:r>
    </w:p>
    <w:p w:rsidR="00DF36D8" w:rsidRPr="00DE44E1" w:rsidRDefault="00DF36D8" w:rsidP="00DF36D8">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German firms are more likely to use derivatives than Italian firms. This is consistent with Germany being a open more economy, leading to greater exposure of its firms to financial price risk, especially foreign exchange rates and commodity prices.</w:t>
      </w:r>
    </w:p>
    <w:p w:rsidR="00DC60DD" w:rsidRPr="00DE44E1" w:rsidRDefault="00DC60DD" w:rsidP="00DC60D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Italian companies use less derivatives than German companies. The use of derivatives is more significant among large companies for each category of risk suggesting the presence of economies of s</w:t>
      </w:r>
      <w:r w:rsidR="00DF36D8" w:rsidRPr="00DE44E1">
        <w:rPr>
          <w:rFonts w:ascii="Times New Roman" w:hAnsi="Times New Roman"/>
          <w:sz w:val="24"/>
          <w:szCs w:val="24"/>
          <w:lang w:val="en-US"/>
        </w:rPr>
        <w:t xml:space="preserve">cale in the use of such tools. </w:t>
      </w:r>
      <w:r w:rsidRPr="00DE44E1">
        <w:rPr>
          <w:rFonts w:ascii="Times New Roman" w:hAnsi="Times New Roman"/>
          <w:sz w:val="24"/>
          <w:szCs w:val="24"/>
          <w:lang w:val="en-US"/>
        </w:rPr>
        <w:t>The most heavily hedged type of risk is the exchange rate risk followed by interest rate risk and ultimately credit risk.</w:t>
      </w:r>
    </w:p>
    <w:p w:rsidR="009D7B0F" w:rsidRPr="00DE44E1" w:rsidRDefault="009D7B0F" w:rsidP="004760D1">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A recent Bank of Italy’s annual report highlights that category of financial risk hedging services presents the most modest use grade. It also emerges that the SME has a low ex-ante perception of exchange rate risk and, above all, the risk of interest. In addition, entrepreneurs are experiencing strong commercial pressure from banks on this product category, which is not balanced by proper coordination with financing operations.</w:t>
      </w:r>
    </w:p>
    <w:p w:rsidR="0017093E" w:rsidRPr="00DE44E1" w:rsidRDefault="00ED6ACE" w:rsidP="009E4197">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 xml:space="preserve">The estimate of the </w:t>
      </w:r>
      <w:r w:rsidR="000C00C8" w:rsidRPr="00DE44E1">
        <w:rPr>
          <w:rFonts w:ascii="Times New Roman" w:hAnsi="Times New Roman"/>
          <w:sz w:val="24"/>
          <w:szCs w:val="24"/>
          <w:lang w:val="en-US"/>
        </w:rPr>
        <w:t xml:space="preserve">variables LnFDL, INTAN, LOCALBINTAN and DER </w:t>
      </w:r>
      <w:r w:rsidRPr="00DE44E1">
        <w:rPr>
          <w:rFonts w:ascii="Times New Roman" w:hAnsi="Times New Roman"/>
          <w:sz w:val="24"/>
          <w:szCs w:val="24"/>
          <w:lang w:val="en-US"/>
        </w:rPr>
        <w:t xml:space="preserve">is useful in building a </w:t>
      </w:r>
      <w:r w:rsidR="00895133" w:rsidRPr="00DE44E1">
        <w:rPr>
          <w:rFonts w:ascii="Times New Roman" w:hAnsi="Times New Roman"/>
          <w:sz w:val="24"/>
          <w:szCs w:val="24"/>
          <w:lang w:val="en-US"/>
        </w:rPr>
        <w:t>“</w:t>
      </w:r>
      <w:r w:rsidRPr="00DE44E1">
        <w:rPr>
          <w:rFonts w:ascii="Times New Roman" w:hAnsi="Times New Roman"/>
          <w:sz w:val="24"/>
          <w:szCs w:val="24"/>
          <w:lang w:val="en-US"/>
        </w:rPr>
        <w:t>matrix</w:t>
      </w:r>
      <w:r w:rsidR="00895133" w:rsidRPr="00DE44E1">
        <w:rPr>
          <w:rFonts w:ascii="Times New Roman" w:hAnsi="Times New Roman"/>
          <w:sz w:val="24"/>
          <w:szCs w:val="24"/>
          <w:lang w:val="en-US"/>
        </w:rPr>
        <w:t>”</w:t>
      </w:r>
      <w:r w:rsidRPr="00DE44E1">
        <w:rPr>
          <w:rFonts w:ascii="Times New Roman" w:hAnsi="Times New Roman"/>
          <w:sz w:val="24"/>
          <w:szCs w:val="24"/>
          <w:lang w:val="en-US"/>
        </w:rPr>
        <w:t xml:space="preserve"> capable of suggesting, at country level, policies for </w:t>
      </w:r>
      <w:r w:rsidR="00D866B4" w:rsidRPr="00DE44E1">
        <w:rPr>
          <w:rFonts w:ascii="Times New Roman" w:hAnsi="Times New Roman"/>
          <w:sz w:val="24"/>
          <w:szCs w:val="24"/>
          <w:lang w:val="en-US"/>
        </w:rPr>
        <w:t xml:space="preserve">Italian </w:t>
      </w:r>
      <w:r w:rsidRPr="00DE44E1">
        <w:rPr>
          <w:rFonts w:ascii="Times New Roman" w:hAnsi="Times New Roman"/>
          <w:sz w:val="24"/>
          <w:szCs w:val="24"/>
          <w:lang w:val="en-US"/>
        </w:rPr>
        <w:t xml:space="preserve">SMEs for tackling the crisis </w:t>
      </w:r>
      <w:r w:rsidR="00307213" w:rsidRPr="00DE44E1">
        <w:rPr>
          <w:rFonts w:ascii="Times New Roman" w:hAnsi="Times New Roman"/>
          <w:sz w:val="24"/>
          <w:szCs w:val="24"/>
          <w:lang w:val="en-US"/>
        </w:rPr>
        <w:t>as well as to mitigate th</w:t>
      </w:r>
      <w:r w:rsidR="00A101CA" w:rsidRPr="00DE44E1">
        <w:rPr>
          <w:rFonts w:ascii="Times New Roman" w:hAnsi="Times New Roman"/>
          <w:sz w:val="24"/>
          <w:szCs w:val="24"/>
          <w:lang w:val="en-US"/>
        </w:rPr>
        <w:t xml:space="preserve">e costs of exit from the market </w:t>
      </w:r>
      <w:r w:rsidR="00CD7915" w:rsidRPr="00DE44E1">
        <w:rPr>
          <w:rFonts w:ascii="Times New Roman" w:hAnsi="Times New Roman"/>
          <w:sz w:val="24"/>
          <w:szCs w:val="24"/>
          <w:lang w:val="en-US"/>
        </w:rPr>
        <w:t>(f</w:t>
      </w:r>
      <w:r w:rsidR="00E460E2" w:rsidRPr="00DE44E1">
        <w:rPr>
          <w:rFonts w:ascii="Times New Roman" w:hAnsi="Times New Roman"/>
          <w:sz w:val="24"/>
          <w:szCs w:val="24"/>
          <w:lang w:val="en-US"/>
        </w:rPr>
        <w:t>igure 1)</w:t>
      </w:r>
      <w:r w:rsidR="003565EA" w:rsidRPr="00DE44E1">
        <w:rPr>
          <w:rFonts w:ascii="Times New Roman" w:hAnsi="Times New Roman"/>
          <w:sz w:val="24"/>
          <w:szCs w:val="24"/>
          <w:lang w:val="en-US"/>
        </w:rPr>
        <w:t>.</w:t>
      </w:r>
    </w:p>
    <w:p w:rsidR="00D55C15" w:rsidRPr="00DE44E1" w:rsidRDefault="00D55C15" w:rsidP="006032B0">
      <w:pPr>
        <w:widowControl w:val="0"/>
        <w:tabs>
          <w:tab w:val="left" w:pos="425"/>
        </w:tabs>
        <w:spacing w:after="0" w:line="240" w:lineRule="auto"/>
        <w:ind w:firstLine="425"/>
        <w:jc w:val="both"/>
        <w:rPr>
          <w:rFonts w:ascii="Times New Roman" w:hAnsi="Times New Roman"/>
          <w:color w:val="000000" w:themeColor="text1"/>
          <w:sz w:val="24"/>
          <w:szCs w:val="24"/>
          <w:lang w:val="en-US"/>
        </w:rPr>
      </w:pPr>
      <w:r w:rsidRPr="00DE44E1">
        <w:rPr>
          <w:rFonts w:ascii="Times New Roman" w:hAnsi="Times New Roman"/>
          <w:color w:val="000000" w:themeColor="text1"/>
          <w:sz w:val="24"/>
          <w:szCs w:val="24"/>
          <w:lang w:val="en-US"/>
        </w:rPr>
        <w:t>SMEs have financial constraints that, compared with large companies, diminish the benefits of their expertise.</w:t>
      </w:r>
    </w:p>
    <w:p w:rsidR="00D96D9F" w:rsidRPr="00DE44E1" w:rsidRDefault="00D96D9F" w:rsidP="006032B0">
      <w:pPr>
        <w:widowControl w:val="0"/>
        <w:tabs>
          <w:tab w:val="left" w:pos="425"/>
        </w:tabs>
        <w:spacing w:after="0" w:line="240" w:lineRule="auto"/>
        <w:ind w:firstLine="425"/>
        <w:jc w:val="both"/>
        <w:rPr>
          <w:rFonts w:ascii="Times New Roman" w:hAnsi="Times New Roman"/>
          <w:color w:val="000000" w:themeColor="text1"/>
          <w:sz w:val="24"/>
          <w:szCs w:val="24"/>
          <w:lang w:val="en-US"/>
        </w:rPr>
      </w:pPr>
      <w:r w:rsidRPr="00DE44E1">
        <w:rPr>
          <w:rFonts w:ascii="Times New Roman" w:hAnsi="Times New Roman"/>
          <w:color w:val="000000" w:themeColor="text1"/>
          <w:sz w:val="24"/>
          <w:szCs w:val="24"/>
          <w:lang w:val="en-US"/>
        </w:rPr>
        <w:t xml:space="preserve">As evidenced by the results of our research, expected financial distress costs are intimately linked to a number of variables considered influential in this analysis: the intangible assets, the close relationship with local banks and, the use of derivative instruments commonly used for risk management. </w:t>
      </w:r>
    </w:p>
    <w:p w:rsidR="00DF18E3" w:rsidRPr="00DE44E1" w:rsidRDefault="00DF18E3" w:rsidP="00DF18E3">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German firms compared with Italian ones are more immune to financial distress phenomena and have been able to develop antidotes useful to face the crisis painlessly; the motives are different and must be sought in entrepreneurial culture and </w:t>
      </w:r>
      <w:r w:rsidR="009E7CFD" w:rsidRPr="00DE44E1">
        <w:rPr>
          <w:rFonts w:ascii="Times New Roman" w:hAnsi="Times New Roman"/>
          <w:sz w:val="24"/>
          <w:szCs w:val="24"/>
          <w:lang w:val="en-US"/>
        </w:rPr>
        <w:t>in the decisive role of Germany’</w:t>
      </w:r>
      <w:r w:rsidRPr="00DE44E1">
        <w:rPr>
          <w:rFonts w:ascii="Times New Roman" w:hAnsi="Times New Roman"/>
          <w:sz w:val="24"/>
          <w:szCs w:val="24"/>
          <w:lang w:val="en-US"/>
        </w:rPr>
        <w:t>s government and local banks to support SME development policies.</w:t>
      </w:r>
    </w:p>
    <w:p w:rsidR="009E7CFD" w:rsidRPr="00DE44E1" w:rsidRDefault="009E7CFD" w:rsidP="009E7CFD">
      <w:pPr>
        <w:widowControl w:val="0"/>
        <w:tabs>
          <w:tab w:val="left" w:pos="425"/>
        </w:tabs>
        <w:spacing w:after="0" w:line="240" w:lineRule="auto"/>
        <w:ind w:firstLine="426"/>
        <w:jc w:val="both"/>
        <w:rPr>
          <w:rFonts w:ascii="Times New Roman" w:hAnsi="Times New Roman"/>
          <w:sz w:val="24"/>
          <w:szCs w:val="24"/>
          <w:lang w:val="en-US"/>
        </w:rPr>
      </w:pPr>
      <w:r w:rsidRPr="00DE44E1">
        <w:rPr>
          <w:rFonts w:ascii="Times New Roman" w:hAnsi="Times New Roman"/>
          <w:sz w:val="24"/>
          <w:szCs w:val="24"/>
          <w:lang w:val="en-US"/>
        </w:rPr>
        <w:t xml:space="preserve">German SMEs developed market leadership in global niches thanks to the high capacity of innovation and traditional skills that have kept pace with the technological innovation at a global level. Germany’s government acknowledges their importance, and in 2012 launched an initiative to make “German Mittelstand” logo a quality brand that helps businesses both in expanding on global markets and skilled workers recruitment. </w:t>
      </w:r>
    </w:p>
    <w:p w:rsidR="00EB3EF8" w:rsidRPr="00DE44E1" w:rsidRDefault="008B02F1" w:rsidP="006032B0">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The critical role of SMEs in Germany justify the existence of governmental programmes that support their development.</w:t>
      </w:r>
    </w:p>
    <w:p w:rsidR="00905C7B" w:rsidRPr="00DE44E1" w:rsidRDefault="008B02F1" w:rsidP="008B02F1">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 xml:space="preserve">In general, the policy of the financial support for the SMEs in Germany is concentrated on the promotion of the investment process, leaving the short-term financing to the private and cooperative </w:t>
      </w:r>
      <w:r w:rsidRPr="00DE44E1">
        <w:rPr>
          <w:rFonts w:ascii="Times New Roman" w:hAnsi="Times New Roman"/>
          <w:sz w:val="24"/>
          <w:szCs w:val="24"/>
          <w:lang w:val="en-US"/>
        </w:rPr>
        <w:lastRenderedPageBreak/>
        <w:t>bank sector. As a result, a strong relationship between cooperative banks and credit boxes is registered in the SMEs’s financing.</w:t>
      </w:r>
    </w:p>
    <w:p w:rsidR="00905C7B" w:rsidRPr="00DE44E1" w:rsidRDefault="00905C7B" w:rsidP="00905C7B">
      <w:pPr>
        <w:widowControl w:val="0"/>
        <w:tabs>
          <w:tab w:val="left" w:pos="425"/>
        </w:tabs>
        <w:spacing w:after="0" w:line="240" w:lineRule="auto"/>
        <w:ind w:firstLine="425"/>
        <w:jc w:val="both"/>
        <w:rPr>
          <w:rFonts w:ascii="Times New Roman" w:hAnsi="Times New Roman"/>
          <w:sz w:val="24"/>
          <w:szCs w:val="24"/>
          <w:lang w:val="en-US"/>
        </w:rPr>
      </w:pPr>
    </w:p>
    <w:p w:rsidR="00905C7B" w:rsidRPr="00DE44E1" w:rsidRDefault="00905C7B" w:rsidP="00905C7B">
      <w:pPr>
        <w:spacing w:after="120" w:line="240" w:lineRule="auto"/>
      </w:pPr>
      <w:r w:rsidRPr="00DE44E1">
        <w:rPr>
          <w:rFonts w:ascii="Times New Roman" w:hAnsi="Times New Roman"/>
          <w:b/>
        </w:rPr>
        <w:t>Figure 1</w:t>
      </w:r>
      <w:r w:rsidRPr="00DE44E1">
        <w:rPr>
          <w:rFonts w:ascii="Times New Roman" w:hAnsi="Times New Roman"/>
        </w:rPr>
        <w:t>. Policy Matrix</w:t>
      </w:r>
      <w:r w:rsidRPr="00DE44E1">
        <w:rPr>
          <w:rFonts w:ascii="Times New Roman" w:hAnsi="Times New Roman"/>
          <w:noProof/>
          <w:sz w:val="24"/>
          <w:szCs w:val="24"/>
          <w:lang w:eastAsia="it-IT"/>
        </w:rPr>
        <w:drawing>
          <wp:inline distT="0" distB="0" distL="0" distR="0" wp14:anchorId="5BDD7E66" wp14:editId="5B46EE10">
            <wp:extent cx="6019800" cy="3154167"/>
            <wp:effectExtent l="0" t="0" r="0"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05C7B" w:rsidRPr="00DE44E1" w:rsidRDefault="00905C7B" w:rsidP="00905C7B">
      <w:pPr>
        <w:tabs>
          <w:tab w:val="left" w:pos="425"/>
        </w:tabs>
        <w:spacing w:before="120" w:after="0" w:line="240" w:lineRule="auto"/>
        <w:jc w:val="both"/>
        <w:rPr>
          <w:rFonts w:ascii="Times New Roman" w:hAnsi="Times New Roman"/>
          <w:i/>
        </w:rPr>
      </w:pPr>
      <w:r w:rsidRPr="00DE44E1">
        <w:rPr>
          <w:rFonts w:ascii="Times New Roman" w:hAnsi="Times New Roman"/>
          <w:i/>
        </w:rPr>
        <w:t xml:space="preserve">Source: </w:t>
      </w:r>
      <w:r w:rsidRPr="00DE44E1">
        <w:rPr>
          <w:rFonts w:ascii="Times New Roman" w:hAnsi="Times New Roman"/>
        </w:rPr>
        <w:t>our elaboration</w:t>
      </w:r>
      <w:r w:rsidRPr="00DE44E1">
        <w:rPr>
          <w:rFonts w:ascii="Times New Roman" w:hAnsi="Times New Roman"/>
          <w:i/>
        </w:rPr>
        <w:t xml:space="preserve"> </w:t>
      </w:r>
    </w:p>
    <w:p w:rsidR="00905C7B" w:rsidRPr="00DE44E1" w:rsidRDefault="00905C7B" w:rsidP="00905C7B">
      <w:pPr>
        <w:widowControl w:val="0"/>
        <w:tabs>
          <w:tab w:val="left" w:pos="425"/>
        </w:tabs>
        <w:spacing w:after="0" w:line="240" w:lineRule="auto"/>
        <w:ind w:firstLine="425"/>
        <w:jc w:val="both"/>
        <w:rPr>
          <w:rFonts w:ascii="Times New Roman" w:hAnsi="Times New Roman"/>
          <w:sz w:val="24"/>
          <w:szCs w:val="24"/>
          <w:lang w:val="en-US"/>
        </w:rPr>
      </w:pPr>
    </w:p>
    <w:p w:rsidR="00BA2178" w:rsidRPr="00DE44E1" w:rsidRDefault="00BA2178" w:rsidP="008B02F1">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In the financial field, the hybrid instruments are what is considered to be the enterfloor in architecture. In Germany, the instrument named “Mezzanine Kapital” has been developed with the aim of covering the intermediate spectrum (hybrid) between the own capital and the debt during the last years (</w:t>
      </w:r>
      <w:r w:rsidR="00141D21" w:rsidRPr="00DE44E1">
        <w:rPr>
          <w:rFonts w:ascii="Times New Roman" w:hAnsi="Times New Roman"/>
          <w:sz w:val="24"/>
          <w:szCs w:val="24"/>
          <w:lang w:val="en-US"/>
        </w:rPr>
        <w:t>Ulrich and Hilmar, 2003</w:t>
      </w:r>
      <w:r w:rsidRPr="00DE44E1">
        <w:rPr>
          <w:rFonts w:ascii="Times New Roman" w:hAnsi="Times New Roman"/>
          <w:sz w:val="24"/>
          <w:szCs w:val="24"/>
          <w:lang w:val="en-US"/>
        </w:rPr>
        <w:t>). The emergency of this type of hybrid instruments originated as collateral tools of the business of the banks (operations of high performance but of high risks) in The United States and The United Kingdom in the seventies. In the eighties, the hybrid instruments were transformed into the ideal vehicle for the concision of the MBO operations and, at the same time, they were turned into an alternative for investors who look for high performances. In Germany, the hybrid instrument had an important development that helped it being transformed into the third market with a world-importance at present. Mezzanine Kapital constitutes the German version of the financial hybrid instruments whose institutionalization is given through the equity issues of participation in order to attract investors and the divisibility of the application of the fund constituted in the SMEs.</w:t>
      </w:r>
    </w:p>
    <w:p w:rsidR="00BA2178" w:rsidRPr="00DE44E1" w:rsidRDefault="00BA2178" w:rsidP="00BA2178">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Another mechanism present in Germany is the financing through the VC. Taking into account the “Own Capital” financing matter, an intensive field of VC activities through the specific legal figure over societies of participation in capital (KapitalBeteiligungsGesellschaft) has been developed in Germany since the nineties.</w:t>
      </w:r>
    </w:p>
    <w:p w:rsidR="00EB3EF8" w:rsidRPr="00DE44E1" w:rsidRDefault="00BA2178" w:rsidP="00BA2178">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 xml:space="preserve">In order for the banks to achieve a better ratio performance-risk, they may enter a business to finance the process of creation of the </w:t>
      </w:r>
      <w:r w:rsidR="00141D21" w:rsidRPr="00DE44E1">
        <w:rPr>
          <w:rFonts w:ascii="Times New Roman" w:hAnsi="Times New Roman"/>
          <w:sz w:val="24"/>
          <w:szCs w:val="24"/>
          <w:lang w:val="en-US"/>
        </w:rPr>
        <w:t>Mittelstand companies</w:t>
      </w:r>
      <w:r w:rsidRPr="00DE44E1">
        <w:rPr>
          <w:rFonts w:ascii="Times New Roman" w:hAnsi="Times New Roman"/>
          <w:sz w:val="24"/>
          <w:szCs w:val="24"/>
          <w:lang w:val="en-US"/>
        </w:rPr>
        <w:t xml:space="preserve"> replacing the traditional loan scheme with the use of the financial hybrid instruments via. For instance, the equity kickers constitute a vehicle that was proved in order to step up the performance with the receipt of the interests of both parts, agent and principal.</w:t>
      </w:r>
    </w:p>
    <w:p w:rsidR="001D4417" w:rsidRPr="00DE44E1" w:rsidRDefault="005B4CC2" w:rsidP="00BA2178">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Local banks play an important role in Mittelstand financing. The savings and cooperative bank sector in Germany accounts for a distinctly higher share in credit financing of SMEs than in the Italy; compared to Italian SMEs, German SMEs have longer and closer relationships to their banks. In Germany, intensive competition among banks favours the establishment of long and close bank relations of SMEs, which impr</w:t>
      </w:r>
      <w:r w:rsidR="00191E31" w:rsidRPr="00DE44E1">
        <w:rPr>
          <w:rFonts w:ascii="Times New Roman" w:hAnsi="Times New Roman"/>
          <w:sz w:val="24"/>
          <w:szCs w:val="24"/>
          <w:lang w:val="en-US"/>
        </w:rPr>
        <w:t>oves the availability of loans.</w:t>
      </w:r>
      <w:r w:rsidR="008F4E22" w:rsidRPr="00DE44E1">
        <w:rPr>
          <w:rFonts w:ascii="Times New Roman" w:hAnsi="Times New Roman"/>
          <w:sz w:val="24"/>
          <w:szCs w:val="24"/>
          <w:lang w:val="en-US"/>
        </w:rPr>
        <w:t xml:space="preserve"> </w:t>
      </w:r>
      <w:r w:rsidR="001D4417" w:rsidRPr="00DE44E1">
        <w:rPr>
          <w:rFonts w:ascii="Times New Roman" w:hAnsi="Times New Roman"/>
          <w:sz w:val="24"/>
          <w:szCs w:val="24"/>
          <w:lang w:val="en-US"/>
        </w:rPr>
        <w:t>As shown by recent Bundesbank’s annual report, banks, in particular small banks, adopt internal rating methodologies aim a through-</w:t>
      </w:r>
      <w:r w:rsidR="001D4417" w:rsidRPr="00DE44E1">
        <w:rPr>
          <w:rFonts w:ascii="Times New Roman" w:hAnsi="Times New Roman"/>
          <w:sz w:val="24"/>
          <w:szCs w:val="24"/>
          <w:lang w:val="en-US"/>
        </w:rPr>
        <w:lastRenderedPageBreak/>
        <w:t>the-cycle rather than at point-in-time rating; as already mentioned, such rating systems favor SMEs.</w:t>
      </w:r>
    </w:p>
    <w:p w:rsidR="00AA6C35" w:rsidRPr="00DE44E1" w:rsidRDefault="0061643B" w:rsidP="00BA2178">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 xml:space="preserve">Financial instrument are be designed for the </w:t>
      </w:r>
      <w:r w:rsidR="00141D21" w:rsidRPr="00DE44E1">
        <w:rPr>
          <w:rFonts w:ascii="Times New Roman" w:hAnsi="Times New Roman"/>
          <w:sz w:val="24"/>
          <w:szCs w:val="24"/>
          <w:lang w:val="en-US"/>
        </w:rPr>
        <w:t>Mittelstand companies</w:t>
      </w:r>
      <w:r w:rsidRPr="00DE44E1">
        <w:rPr>
          <w:rFonts w:ascii="Times New Roman" w:hAnsi="Times New Roman"/>
          <w:sz w:val="24"/>
          <w:szCs w:val="24"/>
          <w:lang w:val="en-US"/>
        </w:rPr>
        <w:t xml:space="preserve"> with due regard the investors’s </w:t>
      </w:r>
      <w:r w:rsidRPr="00DE44E1">
        <w:rPr>
          <w:rFonts w:ascii="Times New Roman" w:hAnsi="Times New Roman"/>
          <w:color w:val="000000" w:themeColor="text1"/>
          <w:sz w:val="24"/>
          <w:szCs w:val="24"/>
          <w:lang w:val="en-US"/>
        </w:rPr>
        <w:t xml:space="preserve">interests and the capital needs that the </w:t>
      </w:r>
      <w:r w:rsidR="00141D21" w:rsidRPr="00DE44E1">
        <w:rPr>
          <w:rFonts w:ascii="Times New Roman" w:hAnsi="Times New Roman"/>
          <w:color w:val="000000" w:themeColor="text1"/>
          <w:sz w:val="24"/>
          <w:szCs w:val="24"/>
          <w:lang w:val="en-US"/>
        </w:rPr>
        <w:t>Mittelstand companies</w:t>
      </w:r>
      <w:r w:rsidRPr="00DE44E1">
        <w:rPr>
          <w:rFonts w:ascii="Times New Roman" w:hAnsi="Times New Roman"/>
          <w:color w:val="000000" w:themeColor="text1"/>
          <w:sz w:val="24"/>
          <w:szCs w:val="24"/>
          <w:lang w:val="en-US"/>
        </w:rPr>
        <w:t xml:space="preserve"> must face</w:t>
      </w:r>
      <w:r w:rsidR="00040AB4" w:rsidRPr="00DE44E1">
        <w:rPr>
          <w:rFonts w:ascii="Times New Roman" w:hAnsi="Times New Roman"/>
          <w:color w:val="000000" w:themeColor="text1"/>
          <w:sz w:val="24"/>
          <w:szCs w:val="24"/>
          <w:lang w:val="en-US"/>
        </w:rPr>
        <w:t xml:space="preserve">; </w:t>
      </w:r>
      <w:r w:rsidR="0069521C" w:rsidRPr="00DE44E1">
        <w:rPr>
          <w:rFonts w:ascii="Times New Roman" w:hAnsi="Times New Roman"/>
          <w:color w:val="000000" w:themeColor="text1"/>
          <w:sz w:val="24"/>
          <w:szCs w:val="24"/>
          <w:lang w:val="en-US"/>
        </w:rPr>
        <w:t xml:space="preserve">in this regard, the KfW (Kreditanstalt fuer Wiederaufbau) </w:t>
      </w:r>
      <w:r w:rsidR="0069521C" w:rsidRPr="00DE44E1">
        <w:rPr>
          <w:rFonts w:ascii="Times New Roman" w:hAnsi="Times New Roman"/>
          <w:sz w:val="24"/>
          <w:szCs w:val="24"/>
          <w:lang w:val="en-US"/>
        </w:rPr>
        <w:t xml:space="preserve">public bank plays an important role as the country’s industrial policy instrument. </w:t>
      </w:r>
      <w:r w:rsidR="00191E31" w:rsidRPr="00DE44E1">
        <w:rPr>
          <w:rFonts w:ascii="Times New Roman" w:hAnsi="Times New Roman"/>
          <w:sz w:val="24"/>
          <w:szCs w:val="24"/>
          <w:lang w:val="en-US"/>
        </w:rPr>
        <w:t>KfW’s supports COSME’s</w:t>
      </w:r>
      <w:r w:rsidR="00AA6C35" w:rsidRPr="00DE44E1">
        <w:rPr>
          <w:rFonts w:ascii="Times New Roman" w:hAnsi="Times New Roman"/>
          <w:sz w:val="24"/>
          <w:szCs w:val="24"/>
          <w:lang w:val="en-US"/>
        </w:rPr>
        <w:t xml:space="preserve"> promotional activities for start-ups within </w:t>
      </w:r>
      <w:r w:rsidR="00191E31" w:rsidRPr="00DE44E1">
        <w:rPr>
          <w:rFonts w:ascii="Times New Roman" w:hAnsi="Times New Roman"/>
          <w:sz w:val="24"/>
          <w:szCs w:val="24"/>
          <w:lang w:val="en-US"/>
        </w:rPr>
        <w:t xml:space="preserve">the “Start-Up Loan – StartGeld”. KfW’s supports </w:t>
      </w:r>
      <w:r w:rsidR="00AA6C35" w:rsidRPr="00DE44E1">
        <w:rPr>
          <w:rFonts w:ascii="Times New Roman" w:hAnsi="Times New Roman"/>
          <w:sz w:val="24"/>
          <w:szCs w:val="24"/>
          <w:lang w:val="en-US"/>
        </w:rPr>
        <w:t>InnovFin</w:t>
      </w:r>
      <w:r w:rsidR="00191E31" w:rsidRPr="00DE44E1">
        <w:rPr>
          <w:rFonts w:ascii="Times New Roman" w:hAnsi="Times New Roman"/>
          <w:sz w:val="24"/>
          <w:szCs w:val="24"/>
          <w:lang w:val="en-US"/>
        </w:rPr>
        <w:t>’</w:t>
      </w:r>
      <w:r w:rsidR="00AA6C35" w:rsidRPr="00DE44E1">
        <w:rPr>
          <w:rFonts w:ascii="Times New Roman" w:hAnsi="Times New Roman"/>
          <w:sz w:val="24"/>
          <w:szCs w:val="24"/>
          <w:lang w:val="en-US"/>
        </w:rPr>
        <w:t>s promotional activities for innovative companies</w:t>
      </w:r>
      <w:r w:rsidR="00191E31" w:rsidRPr="00DE44E1">
        <w:rPr>
          <w:rFonts w:ascii="Times New Roman" w:hAnsi="Times New Roman"/>
          <w:sz w:val="24"/>
          <w:szCs w:val="24"/>
          <w:lang w:val="en-US"/>
        </w:rPr>
        <w:t xml:space="preserve">. </w:t>
      </w:r>
      <w:r w:rsidR="00AA6C35" w:rsidRPr="00DE44E1">
        <w:rPr>
          <w:rFonts w:ascii="Times New Roman" w:hAnsi="Times New Roman"/>
          <w:sz w:val="24"/>
          <w:szCs w:val="24"/>
          <w:lang w:val="en-US"/>
        </w:rPr>
        <w:t>With the help of a guarantee from the Europea</w:t>
      </w:r>
      <w:r w:rsidR="00040AB4" w:rsidRPr="00DE44E1">
        <w:rPr>
          <w:rFonts w:ascii="Times New Roman" w:hAnsi="Times New Roman"/>
          <w:sz w:val="24"/>
          <w:szCs w:val="24"/>
          <w:lang w:val="en-US"/>
        </w:rPr>
        <w:t>n Investment Fund KfW assume 80</w:t>
      </w:r>
      <w:r w:rsidR="00AA6C35" w:rsidRPr="00DE44E1">
        <w:rPr>
          <w:rFonts w:ascii="Times New Roman" w:hAnsi="Times New Roman"/>
          <w:sz w:val="24"/>
          <w:szCs w:val="24"/>
          <w:lang w:val="en-US"/>
        </w:rPr>
        <w:t xml:space="preserve">% of the credit risk normally incurred by the banks. In many cases, this makes the loan financing possible for </w:t>
      </w:r>
      <w:r w:rsidR="00040AB4" w:rsidRPr="00DE44E1">
        <w:rPr>
          <w:rFonts w:ascii="Times New Roman" w:hAnsi="Times New Roman"/>
          <w:sz w:val="24"/>
          <w:szCs w:val="24"/>
          <w:lang w:val="en-US"/>
        </w:rPr>
        <w:t>start-ups. The “Start-Up Loan -</w:t>
      </w:r>
      <w:r w:rsidR="00AA6C35" w:rsidRPr="00DE44E1">
        <w:rPr>
          <w:rFonts w:ascii="Times New Roman" w:hAnsi="Times New Roman"/>
          <w:sz w:val="24"/>
          <w:szCs w:val="24"/>
          <w:lang w:val="en-US"/>
        </w:rPr>
        <w:t xml:space="preserve"> Universal” also enables companies to finance succession and takeover projects, an aspect that is becoming increasingly important in light of demographic changes. KfW offers a broad range of promotional programmes for SMEs financing needs, such as the “ERP Innovation Programme” or the “ERP Regional Promotion Programme”. The “ERP Innovation program” supports SMEs by providing long-term loans at favo</w:t>
      </w:r>
      <w:r w:rsidR="00191E31" w:rsidRPr="00DE44E1">
        <w:rPr>
          <w:rFonts w:ascii="Times New Roman" w:hAnsi="Times New Roman"/>
          <w:sz w:val="24"/>
          <w:szCs w:val="24"/>
          <w:lang w:val="en-US"/>
        </w:rPr>
        <w:t>urable conditions for close-to-</w:t>
      </w:r>
      <w:r w:rsidR="00AA6C35" w:rsidRPr="00DE44E1">
        <w:rPr>
          <w:rFonts w:ascii="Times New Roman" w:hAnsi="Times New Roman"/>
          <w:sz w:val="24"/>
          <w:szCs w:val="24"/>
          <w:lang w:val="en-US"/>
        </w:rPr>
        <w:t>market research and development of new products, processes or services; the aim of “ERP Regional Promotion Programme” is to promote investments in structurally weak regions at particularly attractive conditions</w:t>
      </w:r>
      <w:r w:rsidR="00191E31" w:rsidRPr="00DE44E1">
        <w:rPr>
          <w:rFonts w:ascii="Times New Roman" w:hAnsi="Times New Roman"/>
          <w:sz w:val="24"/>
          <w:szCs w:val="24"/>
          <w:lang w:val="en-US"/>
        </w:rPr>
        <w:t>.</w:t>
      </w:r>
    </w:p>
    <w:p w:rsidR="00150F9F" w:rsidRPr="00DE44E1" w:rsidRDefault="00D048F5" w:rsidP="00D048F5">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Taking into consideration the German experience, the following ideas-force emerge for tackling the crisis as well as to mitigate the costs of exit from the market:</w:t>
      </w:r>
    </w:p>
    <w:p w:rsidR="00FE46D1" w:rsidRPr="00DE44E1" w:rsidRDefault="005B05DF" w:rsidP="005423B2">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w:t>
      </w:r>
      <w:r w:rsidR="00FE46D1" w:rsidRPr="00DE44E1">
        <w:rPr>
          <w:rFonts w:ascii="Times New Roman" w:hAnsi="Times New Roman"/>
          <w:sz w:val="24"/>
          <w:szCs w:val="24"/>
          <w:lang w:val="en-US"/>
        </w:rPr>
        <w:t>new financing instruments</w:t>
      </w:r>
      <w:r w:rsidRPr="00DE44E1">
        <w:rPr>
          <w:rFonts w:ascii="Times New Roman" w:hAnsi="Times New Roman"/>
          <w:sz w:val="24"/>
          <w:szCs w:val="24"/>
          <w:lang w:val="en-US"/>
        </w:rPr>
        <w:t>”</w:t>
      </w:r>
      <w:r w:rsidR="00FE46D1" w:rsidRPr="00DE44E1">
        <w:rPr>
          <w:rFonts w:ascii="Times New Roman" w:hAnsi="Times New Roman"/>
          <w:sz w:val="24"/>
          <w:szCs w:val="24"/>
          <w:lang w:val="en-US"/>
        </w:rPr>
        <w:t xml:space="preserve">. </w:t>
      </w:r>
      <w:r w:rsidR="006273C8" w:rsidRPr="00DE44E1">
        <w:rPr>
          <w:rFonts w:ascii="Times New Roman" w:hAnsi="Times New Roman"/>
          <w:sz w:val="24"/>
          <w:szCs w:val="24"/>
          <w:lang w:val="en-US"/>
        </w:rPr>
        <w:t xml:space="preserve">Even though Italy shows poor financial culture than Germany, current government policies are moving in the right direction. As evidenced by a recent study (Quintiliani, 2017b), at the end of 2012 the legislator intervened to facilitate the debt instruments’ issuance for SMEs </w:t>
      </w:r>
      <w:r w:rsidRPr="00DE44E1">
        <w:rPr>
          <w:rFonts w:ascii="Times New Roman" w:hAnsi="Times New Roman"/>
          <w:sz w:val="24"/>
          <w:szCs w:val="24"/>
          <w:lang w:val="en-US"/>
        </w:rPr>
        <w:t>(mini-bonds, commercial papers, project bonds, equity crowdfunding). In fact, with the “Decreto Sviluppo” (legislative decree n. 83/2012) and “Decreto Destinazione Italia” (legislative decree n. 145/2013), they have eliminated fiscal constraints that hindered the debt capital issuance by companies not listed on a stock exchange. The lawmaker</w:t>
      </w:r>
      <w:r w:rsidR="006273C8" w:rsidRPr="00DE44E1">
        <w:rPr>
          <w:rFonts w:ascii="Times New Roman" w:hAnsi="Times New Roman"/>
          <w:sz w:val="24"/>
          <w:szCs w:val="24"/>
          <w:lang w:val="en-US"/>
        </w:rPr>
        <w:t>’</w:t>
      </w:r>
      <w:r w:rsidRPr="00DE44E1">
        <w:rPr>
          <w:rFonts w:ascii="Times New Roman" w:hAnsi="Times New Roman"/>
          <w:sz w:val="24"/>
          <w:szCs w:val="24"/>
          <w:lang w:val="en-US"/>
        </w:rPr>
        <w:t>s goal was to diversify the sources of financing for SMEs in order to reduce the credit crunch and their financial dependence from the banking system. Thanks to the new legislation SMEs, but not “micro-companies”, are allowed to issue debt instruments with short</w:t>
      </w:r>
      <w:r w:rsidR="006273C8" w:rsidRPr="00DE44E1">
        <w:rPr>
          <w:rFonts w:ascii="Times New Roman" w:hAnsi="Times New Roman"/>
          <w:sz w:val="24"/>
          <w:szCs w:val="24"/>
          <w:lang w:val="en-US"/>
        </w:rPr>
        <w:t xml:space="preserve"> </w:t>
      </w:r>
      <w:r w:rsidRPr="00DE44E1">
        <w:rPr>
          <w:rFonts w:ascii="Times New Roman" w:hAnsi="Times New Roman"/>
          <w:sz w:val="24"/>
          <w:szCs w:val="24"/>
          <w:lang w:val="en-US"/>
        </w:rPr>
        <w:t>term (commercial paper), medium and long-term (mini-bond, pro</w:t>
      </w:r>
      <w:r w:rsidR="006273C8" w:rsidRPr="00DE44E1">
        <w:rPr>
          <w:rFonts w:ascii="Times New Roman" w:hAnsi="Times New Roman"/>
          <w:sz w:val="24"/>
          <w:szCs w:val="24"/>
          <w:lang w:val="en-US"/>
        </w:rPr>
        <w:t>ject bond, equity crowdfunding);</w:t>
      </w:r>
    </w:p>
    <w:p w:rsidR="00FE46D1" w:rsidRPr="00DE44E1" w:rsidRDefault="005B05DF" w:rsidP="008F2EC5">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w:t>
      </w:r>
      <w:r w:rsidR="00FE46D1" w:rsidRPr="00DE44E1">
        <w:rPr>
          <w:rFonts w:ascii="Times New Roman" w:hAnsi="Times New Roman"/>
          <w:sz w:val="24"/>
          <w:szCs w:val="24"/>
          <w:lang w:val="en-US"/>
        </w:rPr>
        <w:t>valorising soft information in rating systems</w:t>
      </w:r>
      <w:r w:rsidRPr="00DE44E1">
        <w:rPr>
          <w:rFonts w:ascii="Times New Roman" w:hAnsi="Times New Roman"/>
          <w:sz w:val="24"/>
          <w:szCs w:val="24"/>
          <w:lang w:val="en-US"/>
        </w:rPr>
        <w:t>”</w:t>
      </w:r>
      <w:r w:rsidR="00FE46D1" w:rsidRPr="00DE44E1">
        <w:rPr>
          <w:rFonts w:ascii="Times New Roman" w:hAnsi="Times New Roman"/>
          <w:sz w:val="24"/>
          <w:szCs w:val="24"/>
          <w:lang w:val="en-US"/>
        </w:rPr>
        <w:t>.</w:t>
      </w:r>
      <w:r w:rsidR="00381A26" w:rsidRPr="00DE44E1">
        <w:rPr>
          <w:rFonts w:ascii="Times New Roman" w:hAnsi="Times New Roman"/>
          <w:sz w:val="24"/>
          <w:szCs w:val="24"/>
          <w:lang w:val="en-US"/>
        </w:rPr>
        <w:t xml:space="preserve"> </w:t>
      </w:r>
      <w:r w:rsidR="008F2EC5" w:rsidRPr="00DE44E1">
        <w:rPr>
          <w:rFonts w:ascii="Times New Roman" w:hAnsi="Times New Roman"/>
          <w:sz w:val="24"/>
          <w:szCs w:val="24"/>
          <w:lang w:val="en-US"/>
        </w:rPr>
        <w:t>Italian banking system is strongly oriented to using cyclical internal rating systems that value hard information. Small local banks (e.g. cooperative credit banks), unlike large banks, are more willing to evaluate soft information but have some structural limits: small size, poorly qualified staff, and a supply limited at traditional bank lending activities. A new “rating philosophy” is suggested that does not neglect the relationship with the clientele and that encourages "through-the-cycle" evaluation processes capable to capture and mix the positive elements of the statistical model with the positive elements of the judgemental model</w:t>
      </w:r>
      <w:r w:rsidR="00EF224B" w:rsidRPr="00DE44E1">
        <w:rPr>
          <w:rFonts w:ascii="Times New Roman" w:hAnsi="Times New Roman"/>
          <w:sz w:val="24"/>
          <w:szCs w:val="24"/>
          <w:lang w:val="en-US"/>
        </w:rPr>
        <w:t>;</w:t>
      </w:r>
    </w:p>
    <w:p w:rsidR="00FE46D1" w:rsidRPr="00DE44E1" w:rsidRDefault="005B05DF" w:rsidP="00F71C9E">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w:t>
      </w:r>
      <w:r w:rsidR="00FE46D1" w:rsidRPr="00DE44E1">
        <w:rPr>
          <w:rFonts w:ascii="Times New Roman" w:hAnsi="Times New Roman"/>
          <w:sz w:val="24"/>
          <w:szCs w:val="24"/>
          <w:lang w:val="en-US"/>
        </w:rPr>
        <w:t>valorising skills and know-how</w:t>
      </w:r>
      <w:r w:rsidRPr="00DE44E1">
        <w:rPr>
          <w:rFonts w:ascii="Times New Roman" w:hAnsi="Times New Roman"/>
          <w:sz w:val="24"/>
          <w:szCs w:val="24"/>
          <w:lang w:val="en-US"/>
        </w:rPr>
        <w:t>”</w:t>
      </w:r>
      <w:r w:rsidR="00E502CE" w:rsidRPr="00DE44E1">
        <w:rPr>
          <w:rFonts w:ascii="Times New Roman" w:hAnsi="Times New Roman"/>
          <w:sz w:val="24"/>
          <w:szCs w:val="24"/>
          <w:lang w:val="en-US"/>
        </w:rPr>
        <w:t>.</w:t>
      </w:r>
      <w:r w:rsidR="001B02AB" w:rsidRPr="00DE44E1">
        <w:rPr>
          <w:rFonts w:ascii="Times New Roman" w:hAnsi="Times New Roman"/>
          <w:sz w:val="24"/>
          <w:szCs w:val="24"/>
          <w:lang w:val="en-US"/>
        </w:rPr>
        <w:t xml:space="preserve"> </w:t>
      </w:r>
      <w:r w:rsidR="00F71C9E" w:rsidRPr="00DE44E1">
        <w:rPr>
          <w:rFonts w:ascii="Times New Roman" w:hAnsi="Times New Roman"/>
          <w:sz w:val="24"/>
          <w:szCs w:val="24"/>
          <w:lang w:val="en-US"/>
        </w:rPr>
        <w:t>Italian SMEs are characterized by innovation, proactivity and risk appetite, but their small size is a limit in a globalized context that lives a Fourth Industrial Revolution. In this sense, the “National Industry 4.0 Plan” is undoubtedly an important signal, and on this road it will be necessary to continue.</w:t>
      </w:r>
    </w:p>
    <w:p w:rsidR="001C324A" w:rsidRPr="00DE44E1" w:rsidRDefault="005B05DF" w:rsidP="002A7FF8">
      <w:pPr>
        <w:widowControl w:val="0"/>
        <w:numPr>
          <w:ilvl w:val="0"/>
          <w:numId w:val="33"/>
        </w:numPr>
        <w:tabs>
          <w:tab w:val="left" w:pos="425"/>
        </w:tabs>
        <w:spacing w:after="0" w:line="240" w:lineRule="auto"/>
        <w:ind w:left="426" w:hanging="426"/>
        <w:jc w:val="both"/>
        <w:rPr>
          <w:rFonts w:ascii="Times New Roman" w:hAnsi="Times New Roman"/>
          <w:sz w:val="24"/>
          <w:szCs w:val="24"/>
          <w:lang w:val="en-US"/>
        </w:rPr>
      </w:pPr>
      <w:r w:rsidRPr="00DE44E1">
        <w:rPr>
          <w:rFonts w:ascii="Times New Roman" w:hAnsi="Times New Roman"/>
          <w:sz w:val="24"/>
          <w:szCs w:val="24"/>
          <w:lang w:val="en-US"/>
        </w:rPr>
        <w:t>“a</w:t>
      </w:r>
      <w:r w:rsidR="00FE46D1" w:rsidRPr="00DE44E1">
        <w:rPr>
          <w:rFonts w:ascii="Times New Roman" w:hAnsi="Times New Roman"/>
          <w:sz w:val="24"/>
          <w:szCs w:val="24"/>
          <w:lang w:val="en-US"/>
        </w:rPr>
        <w:t xml:space="preserve"> tax and accounting system capable of encouraging the use of derivatives</w:t>
      </w:r>
      <w:r w:rsidRPr="00DE44E1">
        <w:rPr>
          <w:rFonts w:ascii="Times New Roman" w:hAnsi="Times New Roman"/>
          <w:sz w:val="24"/>
          <w:szCs w:val="24"/>
          <w:lang w:val="en-US"/>
        </w:rPr>
        <w:t>”</w:t>
      </w:r>
      <w:r w:rsidR="00FE46D1" w:rsidRPr="00DE44E1">
        <w:rPr>
          <w:rFonts w:ascii="Times New Roman" w:hAnsi="Times New Roman"/>
          <w:sz w:val="24"/>
          <w:szCs w:val="24"/>
          <w:lang w:val="en-US"/>
        </w:rPr>
        <w:t>.</w:t>
      </w:r>
      <w:r w:rsidR="00251ED7" w:rsidRPr="00DE44E1">
        <w:rPr>
          <w:rFonts w:ascii="Times New Roman" w:hAnsi="Times New Roman"/>
          <w:sz w:val="24"/>
          <w:szCs w:val="24"/>
          <w:lang w:val="en-US"/>
        </w:rPr>
        <w:t xml:space="preserve"> </w:t>
      </w:r>
      <w:r w:rsidR="002A7FF8" w:rsidRPr="00DE44E1">
        <w:rPr>
          <w:rFonts w:ascii="Times New Roman" w:hAnsi="Times New Roman"/>
          <w:sz w:val="24"/>
          <w:szCs w:val="24"/>
          <w:lang w:val="en-US"/>
        </w:rPr>
        <w:t>The current system sees increased taxation on derivatives and their recording on-balance-sheet according to Italian Accounting Standards (OIC 32). This system discourages the use of derivatives and impacts negatively on the company’s ability to mitigate financial distress. It is therefore suggested a low taxation and the recording on-balance-sheet as “memorandum item”.</w:t>
      </w:r>
    </w:p>
    <w:p w:rsidR="002C5E9D" w:rsidRPr="00DE44E1" w:rsidRDefault="000102F4" w:rsidP="001249A8">
      <w:pPr>
        <w:widowControl w:val="0"/>
        <w:tabs>
          <w:tab w:val="left" w:pos="425"/>
        </w:tabs>
        <w:spacing w:after="0" w:line="240" w:lineRule="auto"/>
        <w:ind w:firstLine="284"/>
        <w:jc w:val="both"/>
        <w:rPr>
          <w:rFonts w:ascii="Times New Roman" w:hAnsi="Times New Roman"/>
          <w:sz w:val="24"/>
          <w:szCs w:val="24"/>
          <w:lang w:val="en-US"/>
        </w:rPr>
      </w:pPr>
      <w:r w:rsidRPr="00DE44E1">
        <w:rPr>
          <w:rFonts w:ascii="Times New Roman" w:hAnsi="Times New Roman"/>
          <w:sz w:val="24"/>
          <w:szCs w:val="24"/>
          <w:lang w:val="en-US"/>
        </w:rPr>
        <w:t>In conclusion, the results of our work are in line with those emerging from the literature that consider the value loss of the enterprise in financial distress strongly correlated to the following aspects</w:t>
      </w:r>
      <w:r w:rsidR="008C2D2F" w:rsidRPr="00DE44E1">
        <w:rPr>
          <w:rFonts w:ascii="Times New Roman" w:hAnsi="Times New Roman"/>
          <w:sz w:val="24"/>
          <w:szCs w:val="24"/>
          <w:lang w:val="en-US"/>
        </w:rPr>
        <w:t>: i) the endowment of invisible intangible assets (</w:t>
      </w:r>
      <w:r w:rsidRPr="00DE44E1">
        <w:rPr>
          <w:rFonts w:ascii="Times New Roman" w:hAnsi="Times New Roman"/>
          <w:sz w:val="24"/>
          <w:szCs w:val="24"/>
          <w:lang w:val="en-US"/>
        </w:rPr>
        <w:t xml:space="preserve">Harris and Raviv, 1991; Degryse and Ongena, 2002; Frank and Goyal, 2003; Berry, 2004; Cohen, 2005; Heiens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2007; Hulten and Hao, 2008; Parsons and Titman, 2009; Fukao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2009; Degryse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2010; Roulstone, 2011; Campello and Giambona, 2011; Marrocu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2012; Koksal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2013; Lim </w:t>
      </w:r>
      <w:r w:rsidRPr="00DE44E1">
        <w:rPr>
          <w:rFonts w:ascii="Times New Roman" w:hAnsi="Times New Roman"/>
          <w:i/>
          <w:sz w:val="24"/>
          <w:szCs w:val="24"/>
          <w:lang w:val="en-US"/>
        </w:rPr>
        <w:t>et al</w:t>
      </w:r>
      <w:r w:rsidRPr="00DE44E1">
        <w:rPr>
          <w:rFonts w:ascii="Times New Roman" w:hAnsi="Times New Roman"/>
          <w:sz w:val="24"/>
          <w:szCs w:val="24"/>
          <w:lang w:val="en-US"/>
        </w:rPr>
        <w:t xml:space="preserve">., 2014; Bulot </w:t>
      </w:r>
      <w:r w:rsidRPr="00DE44E1">
        <w:rPr>
          <w:rFonts w:ascii="Times New Roman" w:hAnsi="Times New Roman"/>
          <w:i/>
          <w:sz w:val="24"/>
          <w:szCs w:val="24"/>
          <w:lang w:val="en-US"/>
        </w:rPr>
        <w:t xml:space="preserve">et </w:t>
      </w:r>
      <w:r w:rsidRPr="00DE44E1">
        <w:rPr>
          <w:rFonts w:ascii="Times New Roman" w:hAnsi="Times New Roman"/>
          <w:i/>
          <w:sz w:val="24"/>
          <w:szCs w:val="24"/>
          <w:lang w:val="en-US"/>
        </w:rPr>
        <w:lastRenderedPageBreak/>
        <w:t>al</w:t>
      </w:r>
      <w:r w:rsidRPr="00DE44E1">
        <w:rPr>
          <w:rFonts w:ascii="Times New Roman" w:hAnsi="Times New Roman"/>
          <w:sz w:val="24"/>
          <w:szCs w:val="24"/>
          <w:lang w:val="en-US"/>
        </w:rPr>
        <w:t xml:space="preserve">., 2015; Cucculelli and Bettinelli, 2015), </w:t>
      </w:r>
      <w:r w:rsidR="008C2D2F" w:rsidRPr="00DE44E1">
        <w:rPr>
          <w:rFonts w:ascii="Times New Roman" w:hAnsi="Times New Roman"/>
          <w:sz w:val="24"/>
          <w:szCs w:val="24"/>
          <w:lang w:val="en-US"/>
        </w:rPr>
        <w:t xml:space="preserve">ii) bank proximity (DeYoung </w:t>
      </w:r>
      <w:r w:rsidR="008C2D2F" w:rsidRPr="00DE44E1">
        <w:rPr>
          <w:rFonts w:ascii="Times New Roman" w:hAnsi="Times New Roman"/>
          <w:i/>
          <w:sz w:val="24"/>
          <w:szCs w:val="24"/>
          <w:lang w:val="en-US"/>
        </w:rPr>
        <w:t>et al</w:t>
      </w:r>
      <w:r w:rsidR="008C2D2F" w:rsidRPr="00DE44E1">
        <w:rPr>
          <w:rFonts w:ascii="Times New Roman" w:hAnsi="Times New Roman"/>
          <w:sz w:val="24"/>
          <w:szCs w:val="24"/>
          <w:lang w:val="en-US"/>
        </w:rPr>
        <w:t xml:space="preserve">., 2004; Berger </w:t>
      </w:r>
      <w:r w:rsidR="008C2D2F" w:rsidRPr="00DE44E1">
        <w:rPr>
          <w:rFonts w:ascii="Times New Roman" w:hAnsi="Times New Roman"/>
          <w:i/>
          <w:sz w:val="24"/>
          <w:szCs w:val="24"/>
          <w:lang w:val="en-US"/>
        </w:rPr>
        <w:t>et al</w:t>
      </w:r>
      <w:r w:rsidR="008C2D2F" w:rsidRPr="00DE44E1">
        <w:rPr>
          <w:rFonts w:ascii="Times New Roman" w:hAnsi="Times New Roman"/>
          <w:sz w:val="24"/>
          <w:szCs w:val="24"/>
          <w:lang w:val="en-US"/>
        </w:rPr>
        <w:t xml:space="preserve">., 2005; Carter and McNulty, 2005; Udell, 2008; DeYoung </w:t>
      </w:r>
      <w:r w:rsidR="008C2D2F" w:rsidRPr="00DE44E1">
        <w:rPr>
          <w:rFonts w:ascii="Times New Roman" w:hAnsi="Times New Roman"/>
          <w:i/>
          <w:sz w:val="24"/>
          <w:szCs w:val="24"/>
          <w:lang w:val="en-US"/>
        </w:rPr>
        <w:t>et al</w:t>
      </w:r>
      <w:r w:rsidR="008C2D2F" w:rsidRPr="00DE44E1">
        <w:rPr>
          <w:rFonts w:ascii="Times New Roman" w:hAnsi="Times New Roman"/>
          <w:sz w:val="24"/>
          <w:szCs w:val="24"/>
          <w:lang w:val="en-US"/>
        </w:rPr>
        <w:t xml:space="preserve">., 2008; Modina, 2015; Formisano, 2016), iii) derivative financial instruments (Stulz, 1984; Smith and Stulz, 1985; Nance et </w:t>
      </w:r>
      <w:r w:rsidR="008C2D2F" w:rsidRPr="00DE44E1">
        <w:rPr>
          <w:rFonts w:ascii="Times New Roman" w:hAnsi="Times New Roman"/>
          <w:i/>
          <w:sz w:val="24"/>
          <w:szCs w:val="24"/>
          <w:lang w:val="en-US"/>
        </w:rPr>
        <w:t>al</w:t>
      </w:r>
      <w:r w:rsidR="002C5E9D" w:rsidRPr="00DE44E1">
        <w:rPr>
          <w:rFonts w:ascii="Times New Roman" w:hAnsi="Times New Roman"/>
          <w:sz w:val="24"/>
          <w:szCs w:val="24"/>
          <w:lang w:val="en-US"/>
        </w:rPr>
        <w:t>., 1993; Mello and Parsons, 2000, Allayannis and Ofek, 2001).</w:t>
      </w:r>
    </w:p>
    <w:p w:rsidR="000F14AA" w:rsidRPr="00DE44E1" w:rsidRDefault="000F14AA" w:rsidP="000F14AA">
      <w:pPr>
        <w:widowControl w:val="0"/>
        <w:tabs>
          <w:tab w:val="left" w:pos="425"/>
        </w:tabs>
        <w:spacing w:after="0" w:line="240" w:lineRule="auto"/>
        <w:ind w:firstLine="425"/>
        <w:jc w:val="both"/>
        <w:rPr>
          <w:rFonts w:ascii="Times New Roman" w:hAnsi="Times New Roman"/>
          <w:sz w:val="24"/>
          <w:szCs w:val="24"/>
          <w:lang w:val="en-US"/>
        </w:rPr>
      </w:pPr>
      <w:r w:rsidRPr="00DE44E1">
        <w:rPr>
          <w:rFonts w:ascii="Times New Roman" w:hAnsi="Times New Roman"/>
          <w:sz w:val="24"/>
          <w:szCs w:val="24"/>
          <w:lang w:val="en-US"/>
        </w:rPr>
        <w:t>It should be emphasized that the present work limits its field of investigation to a few variables without fully addressing other elements of uncertainty which may adversely affect the financial distress likelihood and the value creation of the SME.</w:t>
      </w:r>
      <w:r w:rsidR="000102F4" w:rsidRPr="00DE44E1">
        <w:rPr>
          <w:rFonts w:ascii="Times New Roman" w:hAnsi="Times New Roman"/>
          <w:sz w:val="24"/>
          <w:szCs w:val="24"/>
          <w:lang w:val="en-US"/>
        </w:rPr>
        <w:t xml:space="preserve"> </w:t>
      </w:r>
      <w:r w:rsidR="00DC4FAD" w:rsidRPr="00DE44E1">
        <w:rPr>
          <w:rFonts w:ascii="Times New Roman" w:hAnsi="Times New Roman"/>
          <w:sz w:val="24"/>
          <w:szCs w:val="24"/>
          <w:lang w:val="en-US"/>
        </w:rPr>
        <w:t xml:space="preserve">An interesting starting point for future research is indeed represented by application of additional methods (RCMARS and CGPLM) useful to mitigate the uncertainty of the forecast and capable to analyzing further variables </w:t>
      </w:r>
      <w:r w:rsidR="0094081A" w:rsidRPr="00DE44E1">
        <w:rPr>
          <w:rFonts w:ascii="Times New Roman" w:hAnsi="Times New Roman"/>
          <w:sz w:val="24"/>
          <w:szCs w:val="24"/>
          <w:lang w:val="en-US"/>
        </w:rPr>
        <w:t xml:space="preserve">nonlinearly </w:t>
      </w:r>
      <w:r w:rsidR="00DC4FAD" w:rsidRPr="00DE44E1">
        <w:rPr>
          <w:rFonts w:ascii="Times New Roman" w:hAnsi="Times New Roman"/>
          <w:sz w:val="24"/>
          <w:szCs w:val="24"/>
          <w:lang w:val="en-US"/>
        </w:rPr>
        <w:t>(environmental, political, social and labor).</w:t>
      </w:r>
    </w:p>
    <w:p w:rsidR="00162CD5" w:rsidRPr="00DE44E1" w:rsidRDefault="00162CD5" w:rsidP="004760D1">
      <w:pPr>
        <w:widowControl w:val="0"/>
        <w:autoSpaceDE w:val="0"/>
        <w:autoSpaceDN w:val="0"/>
        <w:adjustRightInd w:val="0"/>
        <w:spacing w:after="0" w:line="240" w:lineRule="auto"/>
        <w:ind w:left="567" w:hanging="567"/>
        <w:jc w:val="both"/>
        <w:rPr>
          <w:rFonts w:ascii="Times New Roman" w:eastAsia="Times New Roman" w:hAnsi="Times New Roman"/>
          <w:b/>
          <w:bCs/>
          <w:sz w:val="24"/>
          <w:szCs w:val="24"/>
          <w:lang w:val="en-US"/>
        </w:rPr>
      </w:pPr>
    </w:p>
    <w:p w:rsidR="008D7C32" w:rsidRPr="00DE44E1" w:rsidRDefault="00DC4FAD" w:rsidP="00EB3EF8">
      <w:pPr>
        <w:widowControl w:val="0"/>
        <w:autoSpaceDE w:val="0"/>
        <w:autoSpaceDN w:val="0"/>
        <w:adjustRightInd w:val="0"/>
        <w:spacing w:after="0" w:line="240" w:lineRule="auto"/>
        <w:ind w:left="567" w:hanging="567"/>
        <w:jc w:val="both"/>
        <w:rPr>
          <w:rFonts w:ascii="Times New Roman" w:hAnsi="Times New Roman"/>
          <w:color w:val="C00000"/>
          <w:sz w:val="24"/>
          <w:szCs w:val="24"/>
          <w:lang w:val="en-US"/>
        </w:rPr>
      </w:pPr>
      <w:r w:rsidRPr="00DE44E1">
        <w:rPr>
          <w:rFonts w:ascii="Times New Roman" w:eastAsia="Times New Roman" w:hAnsi="Times New Roman"/>
          <w:b/>
          <w:bCs/>
          <w:sz w:val="24"/>
          <w:szCs w:val="24"/>
          <w:lang w:val="en-US"/>
        </w:rPr>
        <w:t>R</w:t>
      </w:r>
      <w:r w:rsidR="00E13811" w:rsidRPr="00DE44E1">
        <w:rPr>
          <w:rFonts w:ascii="Times New Roman" w:eastAsia="Times New Roman" w:hAnsi="Times New Roman"/>
          <w:b/>
          <w:bCs/>
          <w:sz w:val="24"/>
          <w:szCs w:val="24"/>
          <w:lang w:val="en-US"/>
        </w:rPr>
        <w:t>eferences</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Abel-Koch, J., Del Bufalo, G., Fernandez, M., Gerstenberger, J., Lo, V., Navarro, B., &amp; Thornary, B. (2015). </w:t>
      </w:r>
      <w:r w:rsidRPr="00DE44E1">
        <w:rPr>
          <w:rFonts w:ascii="Times New Roman" w:hAnsi="Times New Roman"/>
          <w:i/>
          <w:sz w:val="24"/>
          <w:szCs w:val="24"/>
          <w:lang w:val="en-US"/>
        </w:rPr>
        <w:t>SME Investment and Innovation France, Germany, Italy and Spain</w:t>
      </w:r>
      <w:r w:rsidRPr="00DE44E1">
        <w:rPr>
          <w:rFonts w:ascii="Times New Roman" w:hAnsi="Times New Roman"/>
          <w:sz w:val="24"/>
          <w:szCs w:val="24"/>
          <w:lang w:val="en-US"/>
        </w:rPr>
        <w:t>. Maisons-Alfort Cedex, France: Bpifrance (BPI).</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Allayannis, G., &amp; Ofek, E. (2001). Exchange Rate Exposure, Hedging, and the Use of Foreign Currency Derivatives. </w:t>
      </w:r>
      <w:r w:rsidRPr="00DE44E1">
        <w:rPr>
          <w:rFonts w:ascii="Times New Roman" w:hAnsi="Times New Roman"/>
          <w:i/>
          <w:sz w:val="24"/>
          <w:szCs w:val="24"/>
          <w:lang w:val="en-US"/>
        </w:rPr>
        <w:t>Journal of International Money and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20</w:t>
      </w:r>
      <w:r w:rsidRPr="00DE44E1">
        <w:rPr>
          <w:rFonts w:ascii="Times New Roman" w:hAnsi="Times New Roman"/>
          <w:sz w:val="24"/>
          <w:szCs w:val="24"/>
          <w:lang w:val="en-US"/>
        </w:rPr>
        <w:t>(2), 273-296.</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Altinkilic, O., &amp; Hansen, R. S. (2000). Are there economies of scale in underwriting costs? Evidence of rising external financing costs. </w:t>
      </w:r>
      <w:r w:rsidRPr="00DE44E1">
        <w:rPr>
          <w:rFonts w:ascii="Times New Roman" w:hAnsi="Times New Roman"/>
          <w:i/>
          <w:sz w:val="24"/>
          <w:szCs w:val="24"/>
          <w:lang w:val="en-US"/>
        </w:rPr>
        <w:t>Review of Financial Studies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13</w:t>
      </w:r>
      <w:r w:rsidRPr="00DE44E1">
        <w:rPr>
          <w:rFonts w:ascii="Times New Roman" w:hAnsi="Times New Roman"/>
          <w:sz w:val="24"/>
          <w:szCs w:val="24"/>
          <w:lang w:val="en-US"/>
        </w:rPr>
        <w:t>(1), 191-218.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Altman, E. (1968). Financial ratios, discriminant analysis and the prediction of corporate bankruptcy.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23</w:t>
      </w:r>
      <w:r w:rsidRPr="00DE44E1">
        <w:rPr>
          <w:rFonts w:ascii="Times New Roman" w:hAnsi="Times New Roman"/>
          <w:sz w:val="24"/>
          <w:szCs w:val="24"/>
          <w:lang w:val="en-US"/>
        </w:rPr>
        <w:t>(4), 589</w:t>
      </w:r>
      <w:r w:rsidRPr="00DE44E1">
        <w:rPr>
          <w:rFonts w:ascii="Cambria Math" w:hAnsi="Cambria Math" w:cs="Cambria Math"/>
          <w:sz w:val="24"/>
          <w:szCs w:val="24"/>
          <w:lang w:val="en-US"/>
        </w:rPr>
        <w:t>‐</w:t>
      </w:r>
      <w:r w:rsidRPr="00DE44E1">
        <w:rPr>
          <w:rFonts w:ascii="Times New Roman" w:hAnsi="Times New Roman"/>
          <w:sz w:val="24"/>
          <w:szCs w:val="24"/>
          <w:lang w:val="en-US"/>
        </w:rPr>
        <w:t>609.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Altman, E. (1984). A further empirical investigation of the bankruptcy cost question.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39</w:t>
      </w:r>
      <w:r w:rsidRPr="00DE44E1">
        <w:rPr>
          <w:rFonts w:ascii="Times New Roman" w:hAnsi="Times New Roman"/>
          <w:sz w:val="24"/>
          <w:szCs w:val="24"/>
          <w:lang w:val="en-US"/>
        </w:rPr>
        <w:t>(4), 1067</w:t>
      </w:r>
      <w:r w:rsidRPr="00DE44E1">
        <w:rPr>
          <w:rFonts w:ascii="Cambria Math" w:hAnsi="Cambria Math" w:cs="Cambria Math"/>
          <w:sz w:val="24"/>
          <w:szCs w:val="24"/>
          <w:lang w:val="en-US"/>
        </w:rPr>
        <w:t>‐</w:t>
      </w:r>
      <w:r w:rsidRPr="00DE44E1">
        <w:rPr>
          <w:rFonts w:ascii="Times New Roman" w:hAnsi="Times New Roman"/>
          <w:sz w:val="24"/>
          <w:szCs w:val="24"/>
          <w:lang w:val="en-US"/>
        </w:rPr>
        <w:t>1089.</w:t>
      </w:r>
    </w:p>
    <w:p w:rsidR="00041DF5" w:rsidRPr="00DE44E1" w:rsidRDefault="00041DF5" w:rsidP="00E73C57">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Alves, S., &amp; Martin, J. (2014). The Impact of Intangible Assets on Financial and Governance Policies: A Simultaneous Equation Analysis. </w:t>
      </w:r>
      <w:r w:rsidRPr="00DE44E1">
        <w:rPr>
          <w:rFonts w:ascii="Times New Roman" w:hAnsi="Times New Roman"/>
          <w:i/>
          <w:sz w:val="24"/>
          <w:szCs w:val="24"/>
          <w:lang w:val="en-US"/>
        </w:rPr>
        <w:t>Journal of Applied Finance &amp; Banking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w:t>
      </w:r>
      <w:r w:rsidRPr="00DE44E1">
        <w:rPr>
          <w:rFonts w:ascii="Times New Roman" w:hAnsi="Times New Roman"/>
          <w:sz w:val="24"/>
          <w:szCs w:val="24"/>
          <w:lang w:val="en-US"/>
        </w:rPr>
        <w:t>(1), 61-89.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Andrade, G. &amp; Kaplan, S. (1998). How costly is financial (not economic) distress? Evidence from highly leveraged transactions that become distressed. </w:t>
      </w:r>
      <w:r w:rsidRPr="00DE44E1">
        <w:rPr>
          <w:rFonts w:ascii="Times New Roman" w:hAnsi="Times New Roman"/>
          <w:i/>
          <w:sz w:val="24"/>
          <w:szCs w:val="24"/>
          <w:lang w:val="en-US"/>
        </w:rPr>
        <w:t>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53</w:t>
      </w:r>
      <w:r w:rsidRPr="00DE44E1">
        <w:rPr>
          <w:rFonts w:ascii="Times New Roman" w:hAnsi="Times New Roman"/>
          <w:sz w:val="24"/>
          <w:szCs w:val="24"/>
          <w:lang w:val="en-US"/>
        </w:rPr>
        <w:t>(5), 1443-1493.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Ang, J. S. (1991). Small business uniqueness and the theory of financial management. </w:t>
      </w:r>
      <w:r w:rsidRPr="00DE44E1">
        <w:rPr>
          <w:rFonts w:ascii="Times New Roman" w:hAnsi="Times New Roman"/>
          <w:i/>
          <w:sz w:val="24"/>
          <w:szCs w:val="24"/>
          <w:lang w:val="en-US"/>
        </w:rPr>
        <w:t>Journal of Small Business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w:t>
      </w:r>
      <w:r w:rsidRPr="00DE44E1">
        <w:rPr>
          <w:rFonts w:ascii="Times New Roman" w:hAnsi="Times New Roman"/>
          <w:sz w:val="24"/>
          <w:szCs w:val="24"/>
          <w:lang w:val="en-US"/>
        </w:rPr>
        <w:t>(1), 11-13.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Ang, J. S. (1992). On the theory of finance for privately held firms. </w:t>
      </w:r>
      <w:r w:rsidRPr="00DE44E1">
        <w:rPr>
          <w:rFonts w:ascii="Times New Roman" w:hAnsi="Times New Roman"/>
          <w:i/>
          <w:sz w:val="24"/>
          <w:szCs w:val="24"/>
          <w:lang w:val="en-US"/>
        </w:rPr>
        <w:t>Journal of Small Business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w:t>
      </w:r>
      <w:r w:rsidRPr="00DE44E1">
        <w:rPr>
          <w:rFonts w:ascii="Times New Roman" w:hAnsi="Times New Roman"/>
          <w:sz w:val="24"/>
          <w:szCs w:val="24"/>
          <w:lang w:val="en-US"/>
        </w:rPr>
        <w:t>(3), 185-203.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Ang, J. S., Chua, J. H. &amp; McConnell, J. J. (1982). The administrative costs of corporate bankruptcy: A note.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37</w:t>
      </w:r>
      <w:r w:rsidRPr="00DE44E1">
        <w:rPr>
          <w:rFonts w:ascii="Times New Roman" w:hAnsi="Times New Roman"/>
          <w:sz w:val="24"/>
          <w:szCs w:val="24"/>
          <w:lang w:val="en-US"/>
        </w:rPr>
        <w:t>(1), 219-226.</w:t>
      </w:r>
    </w:p>
    <w:p w:rsidR="00041DF5" w:rsidRPr="00DE44E1" w:rsidRDefault="00041DF5" w:rsidP="00E73C57">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Asquith, P., Gertner, R. &amp; Scharfstein, D. (1994). Anatomy of Financial Distress: An Examination of Junk Bond Issuers. </w:t>
      </w:r>
      <w:r w:rsidRPr="00DE44E1">
        <w:rPr>
          <w:rFonts w:ascii="Times New Roman" w:hAnsi="Times New Roman"/>
          <w:i/>
          <w:sz w:val="24"/>
          <w:szCs w:val="24"/>
          <w:lang w:val="en-US"/>
        </w:rPr>
        <w:t>The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Quarterly Journal of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109</w:t>
      </w:r>
      <w:r w:rsidRPr="00DE44E1">
        <w:rPr>
          <w:rFonts w:ascii="Times New Roman" w:hAnsi="Times New Roman"/>
          <w:sz w:val="24"/>
          <w:szCs w:val="24"/>
          <w:lang w:val="en-US"/>
        </w:rPr>
        <w:t>(3), 625-658.</w:t>
      </w:r>
    </w:p>
    <w:p w:rsidR="00041DF5" w:rsidRPr="00DE44E1" w:rsidRDefault="00041DF5" w:rsidP="00121461">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Audretsch, D. B., &amp; Elston, J., A. (1997). Financing the German “Mittelstand”. </w:t>
      </w:r>
      <w:r w:rsidRPr="00DE44E1">
        <w:rPr>
          <w:rFonts w:ascii="Times New Roman" w:hAnsi="Times New Roman"/>
          <w:i/>
          <w:sz w:val="24"/>
          <w:szCs w:val="24"/>
          <w:lang w:val="en-US"/>
        </w:rPr>
        <w:t>Small Business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9</w:t>
      </w:r>
      <w:r w:rsidRPr="00DE44E1">
        <w:rPr>
          <w:rFonts w:ascii="Times New Roman" w:hAnsi="Times New Roman"/>
          <w:sz w:val="24"/>
          <w:szCs w:val="24"/>
          <w:lang w:val="en-US"/>
        </w:rPr>
        <w:t>(2), 97-110.</w:t>
      </w:r>
    </w:p>
    <w:p w:rsidR="00041DF5" w:rsidRPr="00DE44E1" w:rsidRDefault="00041DF5" w:rsidP="001869B5">
      <w:pPr>
        <w:widowControl w:val="0"/>
        <w:tabs>
          <w:tab w:val="left" w:pos="425"/>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Baldwin, C., &amp; Mason, S. (1983). The Resolution of Claims in Financial Distress: The Case of Massey Ferguson. </w:t>
      </w:r>
      <w:r w:rsidRPr="00DE44E1">
        <w:rPr>
          <w:rFonts w:ascii="Times New Roman" w:hAnsi="Times New Roman"/>
          <w:i/>
          <w:sz w:val="24"/>
          <w:szCs w:val="24"/>
          <w:lang w:val="en-US"/>
        </w:rPr>
        <w:t>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38</w:t>
      </w:r>
      <w:r w:rsidRPr="00DE44E1">
        <w:rPr>
          <w:rFonts w:ascii="Times New Roman" w:hAnsi="Times New Roman"/>
          <w:sz w:val="24"/>
          <w:szCs w:val="24"/>
          <w:lang w:val="en-US"/>
        </w:rPr>
        <w:t>(2), 505-523.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Balios, D., Eriotis, N., Fragoudaki, A., &amp; Giokas, D. (2015). Economic efficiency of Greek retail SMEs in a period of high fluctuations in economic activity: A DEA approach. </w:t>
      </w:r>
      <w:r w:rsidRPr="00DE44E1">
        <w:rPr>
          <w:rFonts w:ascii="Times New Roman" w:hAnsi="Times New Roman"/>
          <w:i/>
          <w:sz w:val="24"/>
          <w:szCs w:val="24"/>
          <w:lang w:val="en-US"/>
        </w:rPr>
        <w:t>Applied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47</w:t>
      </w:r>
      <w:r w:rsidRPr="00DE44E1">
        <w:rPr>
          <w:rFonts w:ascii="Times New Roman" w:hAnsi="Times New Roman"/>
          <w:sz w:val="24"/>
          <w:szCs w:val="24"/>
          <w:lang w:val="en-US"/>
        </w:rPr>
        <w:t xml:space="preserve">(33), 3577-3593. </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Beaver, W. H. (1966). Financial ratios as predictors of failures. </w:t>
      </w:r>
      <w:r w:rsidRPr="00DE44E1">
        <w:rPr>
          <w:rFonts w:ascii="Times New Roman" w:hAnsi="Times New Roman"/>
          <w:i/>
          <w:sz w:val="24"/>
          <w:szCs w:val="24"/>
          <w:lang w:val="en-US"/>
        </w:rPr>
        <w:t>Journal of Accounting Research</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w:t>
      </w:r>
      <w:r w:rsidRPr="00DE44E1">
        <w:rPr>
          <w:rFonts w:ascii="Times New Roman" w:hAnsi="Times New Roman"/>
          <w:sz w:val="24"/>
          <w:szCs w:val="24"/>
          <w:lang w:val="en-US"/>
        </w:rPr>
        <w:t>, 71-111.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Berger A. N., &amp; Mester L. J. (1997). Inside the Black Box: what explains differences in the efficiencies of financial institutions? </w:t>
      </w:r>
      <w:r w:rsidRPr="00DE44E1">
        <w:rPr>
          <w:rFonts w:ascii="Times New Roman" w:hAnsi="Times New Roman"/>
          <w:i/>
          <w:sz w:val="24"/>
          <w:szCs w:val="24"/>
          <w:lang w:val="en-US"/>
        </w:rPr>
        <w:t>Journal of Banking &amp;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21</w:t>
      </w:r>
      <w:r w:rsidRPr="00DE44E1">
        <w:rPr>
          <w:rFonts w:ascii="Times New Roman" w:hAnsi="Times New Roman"/>
          <w:sz w:val="24"/>
          <w:szCs w:val="24"/>
          <w:lang w:val="en-US"/>
        </w:rPr>
        <w:t>(7), 895-947.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Berger, A. N., &amp; Udell G. F. (2006). A more complete conceptual framework for SME finance. </w:t>
      </w:r>
      <w:r w:rsidRPr="00DE44E1">
        <w:rPr>
          <w:rFonts w:ascii="Times New Roman" w:hAnsi="Times New Roman"/>
          <w:i/>
          <w:sz w:val="24"/>
          <w:szCs w:val="24"/>
          <w:lang w:val="en-US"/>
        </w:rPr>
        <w:t>Journal of Banking and Finance</w:t>
      </w:r>
      <w:r w:rsidRPr="00DE44E1">
        <w:rPr>
          <w:rFonts w:ascii="Times New Roman" w:hAnsi="Times New Roman"/>
          <w:sz w:val="24"/>
          <w:szCs w:val="24"/>
          <w:lang w:val="en-US"/>
        </w:rPr>
        <w:t>, 30(11), 2945-2966.</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Berger, A. N., &amp; Udell, G. F. (2002). Small business credit availability and relationship lending: The importance of bank organisational structure. </w:t>
      </w:r>
      <w:r w:rsidRPr="00DE44E1">
        <w:rPr>
          <w:rFonts w:ascii="Times New Roman" w:hAnsi="Times New Roman"/>
          <w:i/>
          <w:sz w:val="24"/>
          <w:szCs w:val="24"/>
          <w:lang w:val="en-US"/>
        </w:rPr>
        <w:t>Economic Journal</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112</w:t>
      </w:r>
      <w:r w:rsidRPr="00DE44E1">
        <w:rPr>
          <w:rFonts w:ascii="Times New Roman" w:hAnsi="Times New Roman"/>
          <w:sz w:val="24"/>
          <w:szCs w:val="24"/>
          <w:lang w:val="en-US"/>
        </w:rPr>
        <w:t>(477), 32-53.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Berger, A. N., Frame, W. S., &amp; Miller, N. H. (2005). Credit scoring and the availability, price, and risk of small business credit. </w:t>
      </w:r>
      <w:r w:rsidRPr="00DE44E1">
        <w:rPr>
          <w:rFonts w:ascii="Times New Roman" w:hAnsi="Times New Roman"/>
          <w:i/>
          <w:sz w:val="24"/>
          <w:szCs w:val="24"/>
          <w:lang w:val="en-US"/>
        </w:rPr>
        <w:t>Journal of Money, Credit, and Banking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37</w:t>
      </w:r>
      <w:r w:rsidRPr="00DE44E1">
        <w:rPr>
          <w:rFonts w:ascii="Times New Roman" w:hAnsi="Times New Roman"/>
          <w:sz w:val="24"/>
          <w:szCs w:val="24"/>
          <w:lang w:val="en-US"/>
        </w:rPr>
        <w:t>(2), 191-222.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lastRenderedPageBreak/>
        <w:t xml:space="preserve">Berry, J. (2004). </w:t>
      </w:r>
      <w:r w:rsidRPr="00DE44E1">
        <w:rPr>
          <w:rFonts w:ascii="Times New Roman" w:hAnsi="Times New Roman"/>
          <w:i/>
          <w:sz w:val="24"/>
          <w:szCs w:val="24"/>
          <w:lang w:val="en-US"/>
        </w:rPr>
        <w:t>Tangible Strategies for Intangible Assets</w:t>
      </w:r>
      <w:r w:rsidRPr="00DE44E1">
        <w:rPr>
          <w:rFonts w:ascii="Times New Roman" w:hAnsi="Times New Roman"/>
          <w:sz w:val="24"/>
          <w:szCs w:val="24"/>
          <w:lang w:val="en-US"/>
        </w:rPr>
        <w:t>.</w:t>
      </w:r>
      <w:r w:rsidRPr="00DE44E1">
        <w:rPr>
          <w:rFonts w:ascii="Times New Roman" w:hAnsi="Times New Roman"/>
          <w:sz w:val="24"/>
          <w:szCs w:val="24"/>
        </w:rPr>
        <w:t xml:space="preserve"> </w:t>
      </w:r>
      <w:r w:rsidRPr="00DE44E1">
        <w:rPr>
          <w:rFonts w:ascii="Times New Roman" w:hAnsi="Times New Roman"/>
          <w:sz w:val="24"/>
          <w:szCs w:val="24"/>
          <w:lang w:val="en-US"/>
        </w:rPr>
        <w:t>New York City, NY: McGraw-Hill Professional.</w:t>
      </w:r>
    </w:p>
    <w:p w:rsidR="00041DF5" w:rsidRPr="00DE44E1" w:rsidRDefault="00041DF5" w:rsidP="0003275F">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Bessembinder, H. (1991). Forward Contracts and Firm Value: Investment Incentive and Contracting Effects. </w:t>
      </w:r>
      <w:r w:rsidRPr="00DE44E1">
        <w:rPr>
          <w:rFonts w:ascii="Times New Roman" w:hAnsi="Times New Roman"/>
          <w:i/>
          <w:sz w:val="24"/>
          <w:szCs w:val="24"/>
          <w:lang w:val="en-US"/>
        </w:rPr>
        <w:t>The Journal of Financial and Quantitative Analysis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26</w:t>
      </w:r>
      <w:r w:rsidRPr="00DE44E1">
        <w:rPr>
          <w:rFonts w:ascii="Times New Roman" w:hAnsi="Times New Roman"/>
          <w:sz w:val="24"/>
          <w:szCs w:val="24"/>
          <w:lang w:val="en-US"/>
        </w:rPr>
        <w:t>(4), 519-532.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Bontisa, N., Dragonetti, N. C., Jacobsen, K., &amp; Roosc, G. (1999). The knowledge toolbox: A review of the tools available to measure and manage intangible resources. </w:t>
      </w:r>
      <w:r w:rsidRPr="00DE44E1">
        <w:rPr>
          <w:rFonts w:ascii="Times New Roman" w:hAnsi="Times New Roman"/>
          <w:i/>
          <w:sz w:val="24"/>
          <w:szCs w:val="24"/>
          <w:lang w:val="en-US"/>
        </w:rPr>
        <w:t>European Management Journal</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17</w:t>
      </w:r>
      <w:r w:rsidRPr="00DE44E1">
        <w:rPr>
          <w:rFonts w:ascii="Times New Roman" w:hAnsi="Times New Roman"/>
          <w:sz w:val="24"/>
          <w:szCs w:val="24"/>
          <w:lang w:val="en-US"/>
        </w:rPr>
        <w:t>(4), 391-402.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Boot, A. W. A., &amp; Thakor, A. V. (2000). Can relationship banking survive competition. </w:t>
      </w:r>
      <w:r w:rsidRPr="00DE44E1">
        <w:rPr>
          <w:rFonts w:ascii="Times New Roman" w:hAnsi="Times New Roman"/>
          <w:i/>
          <w:sz w:val="24"/>
          <w:szCs w:val="24"/>
          <w:lang w:val="en-US"/>
        </w:rPr>
        <w:t>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55</w:t>
      </w:r>
      <w:r w:rsidRPr="00DE44E1">
        <w:rPr>
          <w:rFonts w:ascii="Times New Roman" w:hAnsi="Times New Roman"/>
          <w:sz w:val="24"/>
          <w:szCs w:val="24"/>
          <w:lang w:val="en-US"/>
        </w:rPr>
        <w:t>(2), 679-713.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Buckmaster, N. (2000). The performance measurement panacea. </w:t>
      </w:r>
      <w:r w:rsidRPr="00DE44E1">
        <w:rPr>
          <w:rFonts w:ascii="Times New Roman" w:hAnsi="Times New Roman"/>
          <w:i/>
          <w:sz w:val="24"/>
          <w:szCs w:val="24"/>
          <w:lang w:val="en-US"/>
        </w:rPr>
        <w:t>Accounting Forum</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24</w:t>
      </w:r>
      <w:r w:rsidRPr="00DE44E1">
        <w:rPr>
          <w:rFonts w:ascii="Times New Roman" w:hAnsi="Times New Roman"/>
          <w:sz w:val="24"/>
          <w:szCs w:val="24"/>
          <w:lang w:val="en-US"/>
        </w:rPr>
        <w:t>(3), 264.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Bulot, N., Salamudin, N., &amp; Abd Aziz, R. (2015). Size of indirect financial distress costs: which factors are reliably important?</w:t>
      </w:r>
      <w:r w:rsidRPr="00DE44E1">
        <w:rPr>
          <w:rFonts w:ascii="Times New Roman" w:hAnsi="Times New Roman"/>
          <w:sz w:val="24"/>
          <w:szCs w:val="24"/>
        </w:rPr>
        <w:t xml:space="preserve"> </w:t>
      </w:r>
      <w:r w:rsidRPr="00DE44E1">
        <w:rPr>
          <w:rFonts w:ascii="Times New Roman" w:hAnsi="Times New Roman"/>
          <w:i/>
          <w:sz w:val="24"/>
          <w:szCs w:val="24"/>
          <w:lang w:val="en-US"/>
        </w:rPr>
        <w:t>Jurnal Intelek</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12</w:t>
      </w:r>
      <w:r w:rsidRPr="00DE44E1">
        <w:rPr>
          <w:rFonts w:ascii="Times New Roman" w:hAnsi="Times New Roman"/>
          <w:sz w:val="24"/>
          <w:szCs w:val="24"/>
          <w:lang w:val="en-US"/>
        </w:rPr>
        <w:t>(1), 12-20.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Campello, M., &amp; Giambona, E. (2011). </w:t>
      </w:r>
      <w:r w:rsidRPr="00DE44E1">
        <w:rPr>
          <w:rFonts w:ascii="Times New Roman" w:hAnsi="Times New Roman"/>
          <w:i/>
          <w:sz w:val="24"/>
          <w:szCs w:val="24"/>
          <w:lang w:val="en-US"/>
        </w:rPr>
        <w:t>Capital structure and the redeployability of tangible assets</w:t>
      </w:r>
      <w:r w:rsidRPr="00DE44E1">
        <w:rPr>
          <w:rFonts w:ascii="Times New Roman" w:hAnsi="Times New Roman"/>
          <w:sz w:val="24"/>
          <w:szCs w:val="24"/>
          <w:lang w:val="en-US"/>
        </w:rPr>
        <w:t>. Retrieved November 30, 2011, from https://papers.tinbergen.nl/11091.pdf</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Carter D. A., &amp; McNulty J. E. (2005). Deregulation, technological change, and the business-lending performance of large and small banks. </w:t>
      </w:r>
      <w:r w:rsidRPr="00DE44E1">
        <w:rPr>
          <w:rFonts w:ascii="Times New Roman" w:hAnsi="Times New Roman"/>
          <w:i/>
          <w:sz w:val="24"/>
          <w:szCs w:val="24"/>
          <w:lang w:val="en-US"/>
        </w:rPr>
        <w:t>Journal of Banking and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29</w:t>
      </w:r>
      <w:r w:rsidRPr="00DE44E1">
        <w:rPr>
          <w:rFonts w:ascii="Times New Roman" w:hAnsi="Times New Roman"/>
          <w:sz w:val="24"/>
          <w:szCs w:val="24"/>
          <w:lang w:val="en-US"/>
        </w:rPr>
        <w:t>(5), 1113-1130.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Casey, E., &amp; O’Toole, C. (2014). Bank lending constraints, trade credit and alternative financing during the financial crisis: Evidence from European SMEs. </w:t>
      </w:r>
      <w:r w:rsidRPr="00DE44E1">
        <w:rPr>
          <w:rFonts w:ascii="Times New Roman" w:hAnsi="Times New Roman"/>
          <w:i/>
          <w:sz w:val="24"/>
          <w:szCs w:val="24"/>
          <w:lang w:val="en-US"/>
        </w:rPr>
        <w:t>Journal of Corporate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27</w:t>
      </w:r>
      <w:r w:rsidRPr="00DE44E1">
        <w:rPr>
          <w:rFonts w:ascii="Times New Roman" w:hAnsi="Times New Roman"/>
          <w:sz w:val="24"/>
          <w:szCs w:val="24"/>
          <w:lang w:val="en-US"/>
        </w:rPr>
        <w:t>, 173-193.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Catasis, B., &amp; Gröjer, J. E. (2003). Intangibles and credit decisions: results from an experiment. </w:t>
      </w:r>
      <w:r w:rsidRPr="00DE44E1">
        <w:rPr>
          <w:rFonts w:ascii="Times New Roman" w:hAnsi="Times New Roman"/>
          <w:i/>
          <w:sz w:val="24"/>
          <w:szCs w:val="24"/>
          <w:lang w:val="en-US"/>
        </w:rPr>
        <w:t>European Accounting Review</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12</w:t>
      </w:r>
      <w:r w:rsidRPr="00DE44E1">
        <w:rPr>
          <w:rFonts w:ascii="Times New Roman" w:hAnsi="Times New Roman"/>
          <w:sz w:val="24"/>
          <w:szCs w:val="24"/>
          <w:lang w:val="en-US"/>
        </w:rPr>
        <w:t>(2), 327-356.</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Cesarini, F., &amp; Ferri G. (1997). </w:t>
      </w:r>
      <w:r w:rsidRPr="00DE44E1">
        <w:rPr>
          <w:rFonts w:ascii="Times New Roman" w:hAnsi="Times New Roman"/>
          <w:i/>
          <w:sz w:val="24"/>
          <w:szCs w:val="24"/>
          <w:lang w:val="en-US"/>
        </w:rPr>
        <w:t>Credit and development: local cooperative banks and small businesses</w:t>
      </w:r>
      <w:r w:rsidRPr="00DE44E1">
        <w:rPr>
          <w:rFonts w:ascii="Times New Roman" w:hAnsi="Times New Roman"/>
          <w:sz w:val="24"/>
          <w:szCs w:val="24"/>
          <w:lang w:val="en-US"/>
        </w:rPr>
        <w:t>. Bologna, Italy: Il Mulino.</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Ching, C. L., &amp; Yang, J. (2000). Knowledge value chain. </w:t>
      </w:r>
      <w:r w:rsidRPr="00DE44E1">
        <w:rPr>
          <w:rFonts w:ascii="Times New Roman" w:hAnsi="Times New Roman"/>
          <w:i/>
          <w:sz w:val="24"/>
          <w:szCs w:val="24"/>
          <w:lang w:val="en-US"/>
        </w:rPr>
        <w:t>Journal of Management Development</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19</w:t>
      </w:r>
      <w:r w:rsidRPr="00DE44E1">
        <w:rPr>
          <w:rFonts w:ascii="Times New Roman" w:hAnsi="Times New Roman"/>
          <w:sz w:val="24"/>
          <w:szCs w:val="24"/>
          <w:lang w:val="en-US"/>
        </w:rPr>
        <w:t>(9), 783-793.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Cohen, J. A. (2005). </w:t>
      </w:r>
      <w:r w:rsidRPr="00DE44E1">
        <w:rPr>
          <w:rFonts w:ascii="Times New Roman" w:hAnsi="Times New Roman"/>
          <w:i/>
          <w:sz w:val="24"/>
          <w:szCs w:val="24"/>
          <w:lang w:val="en-US"/>
        </w:rPr>
        <w:t>Intangible assets: valuation and economic benefit</w:t>
      </w:r>
      <w:r w:rsidRPr="00DE44E1">
        <w:rPr>
          <w:rFonts w:ascii="Times New Roman" w:hAnsi="Times New Roman"/>
          <w:sz w:val="24"/>
          <w:szCs w:val="24"/>
          <w:lang w:val="en-US"/>
        </w:rPr>
        <w:t>. Hoboken, NJ: John Wiley &amp; Sons.</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Cucculelli, M., &amp; Bettinelli, C. (2015). Business models, intangibles and firm performance: evidence on corporate entrepreneurship from Italian manufacturing SMEs. </w:t>
      </w:r>
      <w:r w:rsidRPr="00DE44E1">
        <w:rPr>
          <w:rFonts w:ascii="Times New Roman" w:hAnsi="Times New Roman"/>
          <w:i/>
          <w:sz w:val="24"/>
          <w:szCs w:val="24"/>
          <w:lang w:val="en-US"/>
        </w:rPr>
        <w:t>Small Business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45</w:t>
      </w:r>
      <w:r w:rsidRPr="00DE44E1">
        <w:rPr>
          <w:rFonts w:ascii="Times New Roman" w:hAnsi="Times New Roman"/>
          <w:sz w:val="24"/>
          <w:szCs w:val="24"/>
          <w:lang w:val="en-US"/>
        </w:rPr>
        <w:t>(2), 329-350.</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Cutler, D. M., &amp; Summers L. H. (1988). The costs of conflict resolution and financial distress: Evidence from the Texaco-Pennzoil litigation. </w:t>
      </w:r>
      <w:r w:rsidRPr="00DE44E1">
        <w:rPr>
          <w:rFonts w:ascii="Times New Roman" w:hAnsi="Times New Roman"/>
          <w:i/>
          <w:sz w:val="24"/>
          <w:szCs w:val="24"/>
          <w:lang w:val="en-US"/>
        </w:rPr>
        <w:t>The RAND Journal of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19</w:t>
      </w:r>
      <w:r w:rsidRPr="00DE44E1">
        <w:rPr>
          <w:rFonts w:ascii="Times New Roman" w:hAnsi="Times New Roman"/>
          <w:sz w:val="24"/>
          <w:szCs w:val="24"/>
          <w:lang w:val="en-US"/>
        </w:rPr>
        <w:t>(2), 157-172.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Daskalakis, N., &amp; Psillaki, M. (2008). Do country or firm factors explain capital structure? Evidence from SMEs in France and Greece. </w:t>
      </w:r>
      <w:r w:rsidRPr="00DE44E1">
        <w:rPr>
          <w:rFonts w:ascii="Times New Roman" w:hAnsi="Times New Roman"/>
          <w:i/>
          <w:sz w:val="24"/>
          <w:szCs w:val="24"/>
          <w:lang w:val="en-US"/>
        </w:rPr>
        <w:t>Applied Financial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18</w:t>
      </w:r>
      <w:r w:rsidRPr="00DE44E1">
        <w:rPr>
          <w:rFonts w:ascii="Times New Roman" w:hAnsi="Times New Roman"/>
          <w:sz w:val="24"/>
          <w:szCs w:val="24"/>
          <w:lang w:val="en-US"/>
        </w:rPr>
        <w:t>(2), pp. 87-97.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De Bruyn, R. (2005). </w:t>
      </w:r>
      <w:r w:rsidRPr="00DE44E1">
        <w:rPr>
          <w:rFonts w:ascii="Times New Roman" w:hAnsi="Times New Roman"/>
          <w:i/>
          <w:sz w:val="24"/>
          <w:szCs w:val="24"/>
          <w:lang w:val="en-US"/>
        </w:rPr>
        <w:t>Le ragioni delle Banche Popolari: motivi teorici ed evidenze empiriche</w:t>
      </w:r>
      <w:r w:rsidRPr="00DE44E1">
        <w:rPr>
          <w:rFonts w:ascii="Times New Roman" w:hAnsi="Times New Roman"/>
          <w:sz w:val="24"/>
          <w:szCs w:val="24"/>
          <w:lang w:val="en-US"/>
        </w:rPr>
        <w:t>. Genova, Italy: Disefin.</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De Laurentis, G. (2001). </w:t>
      </w:r>
      <w:r w:rsidRPr="00DE44E1">
        <w:rPr>
          <w:rFonts w:ascii="Times New Roman" w:hAnsi="Times New Roman"/>
          <w:i/>
          <w:sz w:val="24"/>
          <w:szCs w:val="24"/>
          <w:lang w:val="en-US"/>
        </w:rPr>
        <w:t>Internal ratings and credit risk management</w:t>
      </w:r>
      <w:r w:rsidRPr="00DE44E1">
        <w:rPr>
          <w:rFonts w:ascii="Times New Roman" w:hAnsi="Times New Roman"/>
          <w:sz w:val="24"/>
          <w:szCs w:val="24"/>
          <w:lang w:val="en-US"/>
        </w:rPr>
        <w:t>. Rome, Italy: Bancaria Editrice.</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De Laurentis, G. (2011). </w:t>
      </w:r>
      <w:r w:rsidRPr="00DE44E1">
        <w:rPr>
          <w:rFonts w:ascii="Times New Roman" w:hAnsi="Times New Roman"/>
          <w:i/>
          <w:sz w:val="24"/>
          <w:szCs w:val="24"/>
          <w:lang w:val="en-US"/>
        </w:rPr>
        <w:t>Business credit after the crisis</w:t>
      </w:r>
      <w:r w:rsidRPr="00DE44E1">
        <w:rPr>
          <w:rFonts w:ascii="Times New Roman" w:hAnsi="Times New Roman"/>
          <w:sz w:val="24"/>
          <w:szCs w:val="24"/>
          <w:lang w:val="en-US"/>
        </w:rPr>
        <w:t>. Rome, Italy: Bancaria Editrice.</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Degryse, H., &amp; Ongena, S. (2002). Bank-firm relationships and international banking markets. </w:t>
      </w:r>
      <w:r w:rsidRPr="00DE44E1">
        <w:rPr>
          <w:rFonts w:ascii="Times New Roman" w:hAnsi="Times New Roman"/>
          <w:i/>
          <w:sz w:val="24"/>
          <w:szCs w:val="24"/>
          <w:lang w:val="en-US"/>
        </w:rPr>
        <w:t>International Journal of the Economics of Business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9</w:t>
      </w:r>
      <w:r w:rsidRPr="00DE44E1">
        <w:rPr>
          <w:rFonts w:ascii="Times New Roman" w:hAnsi="Times New Roman"/>
          <w:sz w:val="24"/>
          <w:szCs w:val="24"/>
          <w:lang w:val="en-US"/>
        </w:rPr>
        <w:t>(3), 401-417.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Degryse, H., Goeij, P., &amp; Kappert, P. (2010). The impact of firm and industry characteristics on small firms capital structure. </w:t>
      </w:r>
      <w:r w:rsidRPr="00DE44E1">
        <w:rPr>
          <w:rFonts w:ascii="Times New Roman" w:hAnsi="Times New Roman"/>
          <w:i/>
          <w:sz w:val="24"/>
          <w:szCs w:val="24"/>
          <w:lang w:val="en-US"/>
        </w:rPr>
        <w:t>Small Business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38</w:t>
      </w:r>
      <w:r w:rsidRPr="00DE44E1">
        <w:rPr>
          <w:rFonts w:ascii="Times New Roman" w:hAnsi="Times New Roman"/>
          <w:sz w:val="24"/>
          <w:szCs w:val="24"/>
          <w:lang w:val="en-US"/>
        </w:rPr>
        <w:t>(4), 431-447.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DeYoung, R., Glennon, D., &amp; Nigro, P. (2008). Borrower-lender distance, credit scoring, and loan performance: Evidence from informational-opaque small business borrowers. </w:t>
      </w:r>
      <w:r w:rsidRPr="00DE44E1">
        <w:rPr>
          <w:rFonts w:ascii="Times New Roman" w:hAnsi="Times New Roman"/>
          <w:i/>
          <w:sz w:val="24"/>
          <w:szCs w:val="24"/>
          <w:lang w:val="en-US"/>
        </w:rPr>
        <w:t>Journal of Financial Intermediation</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17</w:t>
      </w:r>
      <w:r w:rsidRPr="00DE44E1">
        <w:rPr>
          <w:rFonts w:ascii="Times New Roman" w:hAnsi="Times New Roman"/>
          <w:sz w:val="24"/>
          <w:szCs w:val="24"/>
          <w:lang w:val="en-US"/>
        </w:rPr>
        <w:t>(1), 113-143.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DeYoung, R., Hunter, W. C., &amp; UDELL, G. F. (2004). The past, present, and probable future for community banks. </w:t>
      </w:r>
      <w:r w:rsidRPr="00DE44E1">
        <w:rPr>
          <w:rFonts w:ascii="Times New Roman" w:hAnsi="Times New Roman"/>
          <w:i/>
          <w:sz w:val="24"/>
          <w:szCs w:val="24"/>
          <w:lang w:val="en-US"/>
        </w:rPr>
        <w:t>Journal of Financial Services Research</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25</w:t>
      </w:r>
      <w:r w:rsidRPr="00DE44E1">
        <w:rPr>
          <w:rFonts w:ascii="Times New Roman" w:hAnsi="Times New Roman"/>
          <w:sz w:val="24"/>
          <w:szCs w:val="24"/>
          <w:lang w:val="en-US"/>
        </w:rPr>
        <w:t>(2-3), 85-133.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Diamond, D. (1984). Financial Intermediation and Delegated Monitoring. </w:t>
      </w:r>
      <w:r w:rsidRPr="00DE44E1">
        <w:rPr>
          <w:rFonts w:ascii="Times New Roman" w:hAnsi="Times New Roman"/>
          <w:i/>
          <w:sz w:val="24"/>
          <w:szCs w:val="24"/>
          <w:lang w:val="en-US"/>
        </w:rPr>
        <w:t>Review of Economic Studies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51</w:t>
      </w:r>
      <w:r w:rsidRPr="00DE44E1">
        <w:rPr>
          <w:rFonts w:ascii="Times New Roman" w:hAnsi="Times New Roman"/>
          <w:sz w:val="24"/>
          <w:szCs w:val="24"/>
          <w:lang w:val="en-US"/>
        </w:rPr>
        <w:t>(3), 393-414.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Diamond, D. (1991). Monitoring and reputation: The choice between bank loans and directly placed debt. </w:t>
      </w:r>
      <w:r w:rsidRPr="00DE44E1">
        <w:rPr>
          <w:rFonts w:ascii="Times New Roman" w:hAnsi="Times New Roman"/>
          <w:i/>
          <w:sz w:val="24"/>
          <w:szCs w:val="24"/>
          <w:lang w:val="en-US"/>
        </w:rPr>
        <w:t>Journal of Political Economy</w:t>
      </w:r>
      <w:r w:rsidRPr="00DE44E1">
        <w:rPr>
          <w:rFonts w:ascii="Times New Roman" w:hAnsi="Times New Roman"/>
          <w:sz w:val="24"/>
          <w:szCs w:val="24"/>
          <w:lang w:val="en-US"/>
        </w:rPr>
        <w:t xml:space="preserve">, </w:t>
      </w:r>
      <w:r w:rsidRPr="00DE44E1">
        <w:rPr>
          <w:rFonts w:ascii="Times New Roman" w:hAnsi="Times New Roman"/>
          <w:i/>
          <w:sz w:val="24"/>
          <w:szCs w:val="24"/>
          <w:lang w:val="en-US"/>
        </w:rPr>
        <w:t>99</w:t>
      </w:r>
      <w:r w:rsidRPr="00DE44E1">
        <w:rPr>
          <w:rFonts w:ascii="Times New Roman" w:hAnsi="Times New Roman"/>
          <w:sz w:val="24"/>
          <w:szCs w:val="24"/>
          <w:lang w:val="en-US"/>
        </w:rPr>
        <w:t>(4), 689-721.</w:t>
      </w:r>
    </w:p>
    <w:p w:rsidR="00041DF5" w:rsidRPr="00DE44E1" w:rsidRDefault="00041DF5" w:rsidP="0003275F">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Dobson, J., &amp; Soenen, L. (1993). Three Agency-Cost Reasons for Hedging Foreign Exchange Risk. </w:t>
      </w:r>
      <w:r w:rsidRPr="00DE44E1">
        <w:rPr>
          <w:rFonts w:ascii="Times New Roman" w:hAnsi="Times New Roman"/>
          <w:i/>
          <w:sz w:val="24"/>
          <w:szCs w:val="24"/>
          <w:lang w:val="en-US"/>
        </w:rPr>
        <w:lastRenderedPageBreak/>
        <w:t>Managerial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19</w:t>
      </w:r>
      <w:r w:rsidRPr="00DE44E1">
        <w:rPr>
          <w:rFonts w:ascii="Times New Roman" w:hAnsi="Times New Roman"/>
          <w:sz w:val="24"/>
          <w:szCs w:val="24"/>
          <w:lang w:val="en-US"/>
        </w:rPr>
        <w:t>(6), 35-44.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Dubrovski, D. (2001). The role of customer satisfaction in achieving business excellence. </w:t>
      </w:r>
      <w:r w:rsidRPr="00DE44E1">
        <w:rPr>
          <w:rFonts w:ascii="Times New Roman" w:hAnsi="Times New Roman"/>
          <w:i/>
          <w:sz w:val="24"/>
          <w:szCs w:val="24"/>
          <w:lang w:val="en-US"/>
        </w:rPr>
        <w:t>Total Quality Management</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12</w:t>
      </w:r>
      <w:r w:rsidRPr="00DE44E1">
        <w:rPr>
          <w:rFonts w:ascii="Times New Roman" w:hAnsi="Times New Roman"/>
          <w:sz w:val="24"/>
          <w:szCs w:val="24"/>
          <w:lang w:val="en-US"/>
        </w:rPr>
        <w:t>(7-8), 920.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Fama, E. (1985). What’s different about banks? </w:t>
      </w:r>
      <w:r w:rsidRPr="00DE44E1">
        <w:rPr>
          <w:rFonts w:ascii="Times New Roman" w:hAnsi="Times New Roman"/>
          <w:i/>
          <w:sz w:val="24"/>
          <w:szCs w:val="24"/>
          <w:lang w:val="en-US"/>
        </w:rPr>
        <w:t>Journal of Monetary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15</w:t>
      </w:r>
      <w:r w:rsidRPr="00DE44E1">
        <w:rPr>
          <w:rFonts w:ascii="Times New Roman" w:hAnsi="Times New Roman"/>
          <w:sz w:val="24"/>
          <w:szCs w:val="24"/>
          <w:lang w:val="en-US"/>
        </w:rPr>
        <w:t>(1), 29-39.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Formisano, V. (2016). </w:t>
      </w:r>
      <w:r w:rsidRPr="00DE44E1">
        <w:rPr>
          <w:rFonts w:ascii="Times New Roman" w:hAnsi="Times New Roman"/>
          <w:i/>
          <w:sz w:val="24"/>
          <w:szCs w:val="24"/>
          <w:lang w:val="en-US"/>
        </w:rPr>
        <w:t>Non-Knowledge Risk and Bank-Company Management. The Role of Intangibles in Rating Model</w:t>
      </w:r>
      <w:r w:rsidRPr="00DE44E1">
        <w:rPr>
          <w:rFonts w:ascii="Times New Roman" w:hAnsi="Times New Roman"/>
          <w:sz w:val="24"/>
          <w:szCs w:val="24"/>
          <w:lang w:val="en-US"/>
        </w:rPr>
        <w:t>s. Basingstoke, Hampshire, UK: Palgrave Macmillan.</w:t>
      </w:r>
    </w:p>
    <w:p w:rsidR="00041DF5" w:rsidRPr="00DE44E1" w:rsidRDefault="00041DF5" w:rsidP="001869B5">
      <w:pPr>
        <w:widowControl w:val="0"/>
        <w:tabs>
          <w:tab w:val="left" w:pos="425"/>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Foster, G. (2005). </w:t>
      </w:r>
      <w:r w:rsidRPr="00DE44E1">
        <w:rPr>
          <w:rFonts w:ascii="Times New Roman" w:hAnsi="Times New Roman"/>
          <w:i/>
          <w:sz w:val="24"/>
          <w:szCs w:val="24"/>
          <w:lang w:val="en-US"/>
        </w:rPr>
        <w:t>Financial Statement Analysis</w:t>
      </w:r>
      <w:r w:rsidRPr="00DE44E1">
        <w:rPr>
          <w:rFonts w:ascii="Times New Roman" w:hAnsi="Times New Roman"/>
          <w:sz w:val="24"/>
          <w:szCs w:val="24"/>
          <w:lang w:val="en-US"/>
        </w:rPr>
        <w:t>. Delhi: Pearson Education.</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Frank, M., &amp; Goyal, V. (2003). Testing the pecking order theory of capital structure. </w:t>
      </w:r>
      <w:r w:rsidRPr="00DE44E1">
        <w:rPr>
          <w:rFonts w:ascii="Times New Roman" w:hAnsi="Times New Roman"/>
          <w:i/>
          <w:sz w:val="24"/>
          <w:szCs w:val="24"/>
          <w:lang w:val="en-US"/>
        </w:rPr>
        <w:t>Journal of Financial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67</w:t>
      </w:r>
      <w:r w:rsidRPr="00DE44E1">
        <w:rPr>
          <w:rFonts w:ascii="Times New Roman" w:hAnsi="Times New Roman"/>
          <w:sz w:val="24"/>
          <w:szCs w:val="24"/>
          <w:lang w:val="en-US"/>
        </w:rPr>
        <w:t>(2), 217-248.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Frank, M., &amp; Goyal, V. (2009). Capital structure decisions: which factors are reliably important? </w:t>
      </w:r>
      <w:r w:rsidRPr="00DE44E1">
        <w:rPr>
          <w:rFonts w:ascii="Times New Roman" w:hAnsi="Times New Roman"/>
          <w:i/>
          <w:sz w:val="24"/>
          <w:szCs w:val="24"/>
          <w:lang w:val="en-US"/>
        </w:rPr>
        <w:t>Financial Management</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w:t>
      </w:r>
      <w:r w:rsidRPr="00DE44E1">
        <w:rPr>
          <w:rFonts w:ascii="Times New Roman" w:hAnsi="Times New Roman"/>
          <w:sz w:val="24"/>
          <w:szCs w:val="24"/>
          <w:lang w:val="en-US"/>
        </w:rPr>
        <w:t xml:space="preserve">(38), 1-37. </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Froot, K. A., Scharfstein, D. S., &amp; Stein, J. C. (1993). Risk Management: Coordinating Corporate Investment and Financing Policies. </w:t>
      </w:r>
      <w:r w:rsidRPr="00DE44E1">
        <w:rPr>
          <w:rFonts w:ascii="Times New Roman" w:hAnsi="Times New Roman"/>
          <w:i/>
          <w:sz w:val="24"/>
          <w:szCs w:val="24"/>
          <w:lang w:val="en-US"/>
        </w:rPr>
        <w:t>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48</w:t>
      </w:r>
      <w:r w:rsidRPr="00DE44E1">
        <w:rPr>
          <w:rFonts w:ascii="Times New Roman" w:hAnsi="Times New Roman"/>
          <w:sz w:val="24"/>
          <w:szCs w:val="24"/>
          <w:lang w:val="en-US"/>
        </w:rPr>
        <w:t>(5), 1629-1658.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Fukao, K., Miyagawa, T., Mukai, K., Shinoda, Y., &amp; Tonogi, K. (2009). Intangible investment in Japan: Measurement and contribution to economic growth. </w:t>
      </w:r>
      <w:r w:rsidRPr="00DE44E1">
        <w:rPr>
          <w:rFonts w:ascii="Times New Roman" w:hAnsi="Times New Roman"/>
          <w:i/>
          <w:sz w:val="24"/>
          <w:szCs w:val="24"/>
          <w:lang w:val="en-US"/>
        </w:rPr>
        <w:t>Review of Income and Wealth</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55</w:t>
      </w:r>
      <w:r w:rsidRPr="00DE44E1">
        <w:rPr>
          <w:rFonts w:ascii="Times New Roman" w:hAnsi="Times New Roman"/>
          <w:sz w:val="24"/>
          <w:szCs w:val="24"/>
          <w:lang w:val="en-US"/>
        </w:rPr>
        <w:t>(3), 717-736.</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Gay, G. D., &amp; Nam, J. (1998). The underinvestment problem and corporate derivatives use. </w:t>
      </w:r>
      <w:r w:rsidRPr="00DE44E1">
        <w:rPr>
          <w:rFonts w:ascii="Times New Roman" w:hAnsi="Times New Roman"/>
          <w:i/>
          <w:sz w:val="24"/>
          <w:szCs w:val="24"/>
          <w:lang w:val="en-US"/>
        </w:rPr>
        <w:t>Financial Management</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27</w:t>
      </w:r>
      <w:r w:rsidRPr="00DE44E1">
        <w:rPr>
          <w:rFonts w:ascii="Times New Roman" w:hAnsi="Times New Roman"/>
          <w:sz w:val="24"/>
          <w:szCs w:val="24"/>
          <w:lang w:val="en-US"/>
        </w:rPr>
        <w:t>(4), 53-69.</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Geczy, C., Minton, B. A., &amp; Schrand, C. (1997). Why Firms Use Currency Derivatives. </w:t>
      </w:r>
      <w:r w:rsidRPr="00DE44E1">
        <w:rPr>
          <w:rFonts w:ascii="Times New Roman" w:hAnsi="Times New Roman"/>
          <w:i/>
          <w:sz w:val="24"/>
          <w:szCs w:val="24"/>
          <w:lang w:val="en-US"/>
        </w:rPr>
        <w:t>The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52</w:t>
      </w:r>
      <w:r w:rsidRPr="00DE44E1">
        <w:rPr>
          <w:rFonts w:ascii="Times New Roman" w:hAnsi="Times New Roman"/>
          <w:sz w:val="24"/>
          <w:szCs w:val="24"/>
          <w:lang w:val="en-US"/>
        </w:rPr>
        <w:t>(4), 1323-1354.</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Gennaioli, N., &amp; Rossi, S. (2010). Judicial discretion in corporate bankruptcy. </w:t>
      </w:r>
      <w:r w:rsidRPr="00DE44E1">
        <w:rPr>
          <w:rFonts w:ascii="Times New Roman" w:hAnsi="Times New Roman"/>
          <w:i/>
          <w:sz w:val="24"/>
          <w:szCs w:val="24"/>
          <w:lang w:val="en-US"/>
        </w:rPr>
        <w:t>The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Review of Financial Studies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23</w:t>
      </w:r>
      <w:r w:rsidRPr="00DE44E1">
        <w:rPr>
          <w:rFonts w:ascii="Times New Roman" w:hAnsi="Times New Roman"/>
          <w:sz w:val="24"/>
          <w:szCs w:val="24"/>
          <w:lang w:val="en-US"/>
        </w:rPr>
        <w:t>(11), 4078-4114.</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Giammarino, R. M., (1989). The resolution of financial distress. </w:t>
      </w:r>
      <w:r w:rsidRPr="00DE44E1">
        <w:rPr>
          <w:rFonts w:ascii="Times New Roman" w:hAnsi="Times New Roman"/>
          <w:i/>
          <w:sz w:val="24"/>
          <w:szCs w:val="24"/>
          <w:lang w:val="en-US"/>
        </w:rPr>
        <w:t>The Review of Financial Studies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w:t>
      </w:r>
      <w:r w:rsidRPr="00DE44E1">
        <w:rPr>
          <w:rFonts w:ascii="Times New Roman" w:hAnsi="Times New Roman"/>
          <w:sz w:val="24"/>
          <w:szCs w:val="24"/>
          <w:lang w:val="en-US"/>
        </w:rPr>
        <w:t>(1), 25-47.</w:t>
      </w:r>
    </w:p>
    <w:p w:rsidR="00041DF5" w:rsidRPr="00DE44E1" w:rsidRDefault="00041DF5" w:rsidP="00E73C57">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Gilson, S. C., Kose, J. &amp; Lang, L. H. P. (1990). Troubled Debt Restructurings: An Empirical Study of Private Reorganization of Firms in Default. </w:t>
      </w:r>
      <w:r w:rsidRPr="00DE44E1">
        <w:rPr>
          <w:rFonts w:ascii="Times New Roman" w:hAnsi="Times New Roman"/>
          <w:i/>
          <w:sz w:val="24"/>
          <w:szCs w:val="24"/>
          <w:lang w:val="en-US"/>
        </w:rPr>
        <w:t>Journal of Financial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27</w:t>
      </w:r>
      <w:r w:rsidRPr="00DE44E1">
        <w:rPr>
          <w:rFonts w:ascii="Times New Roman" w:hAnsi="Times New Roman"/>
          <w:sz w:val="24"/>
          <w:szCs w:val="24"/>
          <w:lang w:val="en-US"/>
        </w:rPr>
        <w:t>(2), 315-353.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Goddard, J., Molyneux, P., &amp; Wilson, J. (2001). </w:t>
      </w:r>
      <w:r w:rsidRPr="00DE44E1">
        <w:rPr>
          <w:rFonts w:ascii="Times New Roman" w:hAnsi="Times New Roman"/>
          <w:i/>
          <w:sz w:val="24"/>
          <w:szCs w:val="24"/>
          <w:lang w:val="en-US"/>
        </w:rPr>
        <w:t>European banking efficiency, technology and growth</w:t>
      </w:r>
      <w:r w:rsidRPr="00DE44E1">
        <w:rPr>
          <w:rFonts w:ascii="Times New Roman" w:hAnsi="Times New Roman"/>
          <w:sz w:val="24"/>
          <w:szCs w:val="24"/>
          <w:lang w:val="en-US"/>
        </w:rPr>
        <w:t>. Chichester, UK: Wiley Finance.</w:t>
      </w:r>
    </w:p>
    <w:p w:rsidR="00041DF5" w:rsidRPr="00DE44E1" w:rsidRDefault="00041DF5" w:rsidP="001869B5">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Gopinath, C. (1995). Bank Strategies Toward Firms in Decline. </w:t>
      </w:r>
      <w:r w:rsidRPr="00DE44E1">
        <w:rPr>
          <w:rFonts w:ascii="Times New Roman" w:hAnsi="Times New Roman"/>
          <w:i/>
          <w:sz w:val="24"/>
          <w:szCs w:val="24"/>
          <w:lang w:val="en-US"/>
        </w:rPr>
        <w:t>Journal of Business Venturing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10</w:t>
      </w:r>
      <w:r w:rsidRPr="00DE44E1">
        <w:rPr>
          <w:rFonts w:ascii="Times New Roman" w:hAnsi="Times New Roman"/>
          <w:sz w:val="24"/>
          <w:szCs w:val="24"/>
          <w:lang w:val="en-US"/>
        </w:rPr>
        <w:t>(1), 75-92.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Grice, J., &amp; Ingram, R. (2001). Tests of the generalizability of Altman s bankruptcy prediction model. </w:t>
      </w:r>
      <w:r w:rsidRPr="00DE44E1">
        <w:rPr>
          <w:rFonts w:ascii="Times New Roman" w:hAnsi="Times New Roman"/>
          <w:i/>
          <w:sz w:val="24"/>
          <w:szCs w:val="24"/>
          <w:lang w:val="en-US"/>
        </w:rPr>
        <w:t>Journal of Business Research</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54</w:t>
      </w:r>
      <w:r w:rsidRPr="00DE44E1">
        <w:rPr>
          <w:rFonts w:ascii="Times New Roman" w:hAnsi="Times New Roman"/>
          <w:sz w:val="24"/>
          <w:szCs w:val="24"/>
          <w:lang w:val="en-US"/>
        </w:rPr>
        <w:t>(1), 53</w:t>
      </w:r>
      <w:r w:rsidRPr="00DE44E1">
        <w:rPr>
          <w:rFonts w:ascii="Cambria Math" w:hAnsi="Cambria Math" w:cs="Cambria Math"/>
          <w:sz w:val="24"/>
          <w:szCs w:val="24"/>
          <w:lang w:val="en-US"/>
        </w:rPr>
        <w:t>‐</w:t>
      </w:r>
      <w:r w:rsidRPr="00DE44E1">
        <w:rPr>
          <w:rFonts w:ascii="Times New Roman" w:hAnsi="Times New Roman"/>
          <w:sz w:val="24"/>
          <w:szCs w:val="24"/>
          <w:lang w:val="en-US"/>
        </w:rPr>
        <w:t>61.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Gupta, J., Gregoriou, A., &amp; Ebrahimi, T. (2015). </w:t>
      </w:r>
      <w:r w:rsidRPr="00DE44E1">
        <w:rPr>
          <w:rFonts w:ascii="Times New Roman" w:hAnsi="Times New Roman"/>
          <w:i/>
          <w:sz w:val="24"/>
          <w:szCs w:val="24"/>
          <w:lang w:val="en-US"/>
        </w:rPr>
        <w:t>Using hazard models correctly: a comparison employing different definitions of SMEs financial distress</w:t>
      </w:r>
      <w:r w:rsidRPr="00DE44E1">
        <w:rPr>
          <w:rFonts w:ascii="Times New Roman" w:hAnsi="Times New Roman"/>
          <w:sz w:val="24"/>
          <w:szCs w:val="24"/>
          <w:lang w:val="en-US"/>
        </w:rPr>
        <w:t>. Retrieved September 10, 2015, from http://eprints.brighton.ac.uk/14274/</w:t>
      </w:r>
    </w:p>
    <w:p w:rsidR="00041DF5" w:rsidRPr="00DE44E1" w:rsidRDefault="00041DF5" w:rsidP="00121461">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Hainz, C., &amp; Wiegand, M. (2013). Financing of the German Economy During the Financial Crisis. </w:t>
      </w:r>
      <w:r w:rsidRPr="00DE44E1">
        <w:rPr>
          <w:rFonts w:ascii="Times New Roman" w:hAnsi="Times New Roman"/>
          <w:i/>
          <w:sz w:val="24"/>
          <w:szCs w:val="24"/>
          <w:lang w:val="en-US"/>
        </w:rPr>
        <w:t>Ifo DICE Report</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11</w:t>
      </w:r>
      <w:r w:rsidRPr="00DE44E1">
        <w:rPr>
          <w:rFonts w:ascii="Times New Roman" w:hAnsi="Times New Roman"/>
          <w:sz w:val="24"/>
          <w:szCs w:val="24"/>
          <w:lang w:val="en-US"/>
        </w:rPr>
        <w:t>(1), 48-54.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Hall, G. C, Hutchinson, P. J., &amp; Michaelas, N. (2004). Determinants of the capital structures of European SMEs. </w:t>
      </w:r>
      <w:r w:rsidRPr="00DE44E1">
        <w:rPr>
          <w:rFonts w:ascii="Times New Roman" w:hAnsi="Times New Roman"/>
          <w:i/>
          <w:sz w:val="24"/>
          <w:szCs w:val="24"/>
          <w:lang w:val="en-US"/>
        </w:rPr>
        <w:t>Journal of Business Finance &amp; Accounting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31</w:t>
      </w:r>
      <w:r w:rsidRPr="00DE44E1">
        <w:rPr>
          <w:rFonts w:ascii="Times New Roman" w:hAnsi="Times New Roman"/>
          <w:sz w:val="24"/>
          <w:szCs w:val="24"/>
          <w:lang w:val="en-US"/>
        </w:rPr>
        <w:t>(5-6), 711-728.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Harris M., &amp; Raviv, A. (1990). Capital structure and the informational role of debt.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45</w:t>
      </w:r>
      <w:r w:rsidRPr="00DE44E1">
        <w:rPr>
          <w:rFonts w:ascii="Times New Roman" w:hAnsi="Times New Roman"/>
          <w:sz w:val="24"/>
          <w:szCs w:val="24"/>
          <w:lang w:val="en-US"/>
        </w:rPr>
        <w:t>(2), 321-349.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Harris M., &amp; Raviv, A. (1991). The theory of capital structure. </w:t>
      </w:r>
      <w:r w:rsidRPr="00DE44E1">
        <w:rPr>
          <w:rFonts w:ascii="Times New Roman" w:hAnsi="Times New Roman"/>
          <w:i/>
          <w:sz w:val="24"/>
          <w:szCs w:val="24"/>
          <w:lang w:val="en-US"/>
        </w:rPr>
        <w:t>The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46</w:t>
      </w:r>
      <w:r w:rsidRPr="00DE44E1">
        <w:rPr>
          <w:rFonts w:ascii="Times New Roman" w:hAnsi="Times New Roman"/>
          <w:sz w:val="24"/>
          <w:szCs w:val="24"/>
          <w:lang w:val="en-US"/>
        </w:rPr>
        <w:t>(1), 297-355.</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Harris, L. C., &amp; Ogbonna, E. (2001). Leadership style and market orientation: an empirical study. </w:t>
      </w:r>
      <w:r w:rsidRPr="00DE44E1">
        <w:rPr>
          <w:rFonts w:ascii="Times New Roman" w:hAnsi="Times New Roman"/>
          <w:i/>
          <w:sz w:val="24"/>
          <w:szCs w:val="24"/>
          <w:lang w:val="en-US"/>
        </w:rPr>
        <w:t>European Journal of Marketing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35</w:t>
      </w:r>
      <w:r w:rsidRPr="00DE44E1">
        <w:rPr>
          <w:rFonts w:ascii="Times New Roman" w:hAnsi="Times New Roman"/>
          <w:sz w:val="24"/>
          <w:szCs w:val="24"/>
          <w:lang w:val="en-US"/>
        </w:rPr>
        <w:t>(5-6), 744-764.</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Haugen, R. A., &amp; Senbet, L. W. (1988). Bankruptcy and agency costs: Their significance to the theory of optimal capital structure. </w:t>
      </w:r>
      <w:r w:rsidRPr="00DE44E1">
        <w:rPr>
          <w:rFonts w:ascii="Times New Roman" w:hAnsi="Times New Roman"/>
          <w:i/>
          <w:sz w:val="24"/>
          <w:szCs w:val="24"/>
          <w:lang w:val="en-US"/>
        </w:rPr>
        <w:t>The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Journal of Financial and Quantitative Analysis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23</w:t>
      </w:r>
      <w:r w:rsidRPr="00DE44E1">
        <w:rPr>
          <w:rFonts w:ascii="Times New Roman" w:hAnsi="Times New Roman"/>
          <w:sz w:val="24"/>
          <w:szCs w:val="24"/>
          <w:lang w:val="en-US"/>
        </w:rPr>
        <w:t>(1), 27-38.</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Haushalter, D., Randall, H. A., &amp; Lie, E. (2002). Price Uncertainty and Corporate Value. </w:t>
      </w:r>
      <w:r w:rsidRPr="00DE44E1">
        <w:rPr>
          <w:rFonts w:ascii="Times New Roman" w:hAnsi="Times New Roman"/>
          <w:i/>
          <w:sz w:val="24"/>
          <w:szCs w:val="24"/>
          <w:lang w:val="en-US"/>
        </w:rPr>
        <w:t>Journal of Corporate Finance: Contracting, Governance and Organization</w:t>
      </w:r>
      <w:r w:rsidRPr="00DE44E1">
        <w:rPr>
          <w:rFonts w:ascii="Times New Roman" w:hAnsi="Times New Roman"/>
          <w:sz w:val="24"/>
          <w:szCs w:val="24"/>
          <w:lang w:val="en-US"/>
        </w:rPr>
        <w:t xml:space="preserve">, </w:t>
      </w:r>
      <w:r w:rsidRPr="00DE44E1">
        <w:rPr>
          <w:rFonts w:ascii="Times New Roman" w:hAnsi="Times New Roman"/>
          <w:i/>
          <w:sz w:val="24"/>
          <w:szCs w:val="24"/>
          <w:lang w:val="en-US"/>
        </w:rPr>
        <w:t>8</w:t>
      </w:r>
      <w:r w:rsidRPr="00DE44E1">
        <w:rPr>
          <w:rFonts w:ascii="Times New Roman" w:hAnsi="Times New Roman"/>
          <w:sz w:val="24"/>
          <w:szCs w:val="24"/>
          <w:lang w:val="en-US"/>
        </w:rPr>
        <w:t>(3), 271-86.</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Haushalter, G. D. (2000). Financing Policy, Basis Risk, and Corporate Hedging: Evidence from Oil and Gas Producers.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55</w:t>
      </w:r>
      <w:r w:rsidRPr="00DE44E1">
        <w:rPr>
          <w:rFonts w:ascii="Times New Roman" w:hAnsi="Times New Roman"/>
          <w:sz w:val="24"/>
          <w:szCs w:val="24"/>
          <w:lang w:val="en-US"/>
        </w:rPr>
        <w:t>(1), 107-152.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Heiens, R. A., Leach, R. T., &amp; McGrath L. C. (2007). The contribution of intangible assets and </w:t>
      </w:r>
      <w:r w:rsidRPr="00DE44E1">
        <w:rPr>
          <w:rFonts w:ascii="Times New Roman" w:hAnsi="Times New Roman"/>
          <w:sz w:val="24"/>
          <w:szCs w:val="24"/>
          <w:lang w:val="en-US"/>
        </w:rPr>
        <w:lastRenderedPageBreak/>
        <w:t xml:space="preserve">expenditures to shareholder value. </w:t>
      </w:r>
      <w:r w:rsidRPr="00DE44E1">
        <w:rPr>
          <w:rFonts w:ascii="Times New Roman" w:hAnsi="Times New Roman"/>
          <w:i/>
          <w:sz w:val="24"/>
          <w:szCs w:val="24"/>
          <w:lang w:val="en-US"/>
        </w:rPr>
        <w:t>Journal of Strategic Marketing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15</w:t>
      </w:r>
      <w:r w:rsidRPr="00DE44E1">
        <w:rPr>
          <w:rFonts w:ascii="Times New Roman" w:hAnsi="Times New Roman"/>
          <w:sz w:val="24"/>
          <w:szCs w:val="24"/>
          <w:lang w:val="en-US"/>
        </w:rPr>
        <w:t>(3), 149-159.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Holmes, S., &amp; Kent, P. (1991). An empirical analysis of the financial structure of small and large Australian manufacturing enterprises. </w:t>
      </w:r>
      <w:r w:rsidRPr="00DE44E1">
        <w:rPr>
          <w:rFonts w:ascii="Times New Roman" w:hAnsi="Times New Roman"/>
          <w:i/>
          <w:sz w:val="24"/>
          <w:szCs w:val="24"/>
          <w:lang w:val="en-US"/>
        </w:rPr>
        <w:t>Journal of Entrepreneurial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w:t>
      </w:r>
      <w:r w:rsidRPr="00DE44E1">
        <w:rPr>
          <w:rFonts w:ascii="Times New Roman" w:hAnsi="Times New Roman"/>
          <w:sz w:val="24"/>
          <w:szCs w:val="24"/>
          <w:lang w:val="en-US"/>
        </w:rPr>
        <w:t>(2), 141-154.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Hoque, Z., Mia, L., &amp; Alam, M. (2001). Market competition, computer-aided manufacturing and use of multiple performance measures: An empirical study. </w:t>
      </w:r>
      <w:r w:rsidRPr="00DE44E1">
        <w:rPr>
          <w:rFonts w:ascii="Times New Roman" w:hAnsi="Times New Roman"/>
          <w:i/>
          <w:sz w:val="24"/>
          <w:szCs w:val="24"/>
          <w:lang w:val="en-US"/>
        </w:rPr>
        <w:t>British Accounting Review</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33</w:t>
      </w:r>
      <w:r w:rsidRPr="00DE44E1">
        <w:rPr>
          <w:rFonts w:ascii="Times New Roman" w:hAnsi="Times New Roman"/>
          <w:sz w:val="24"/>
          <w:szCs w:val="24"/>
          <w:lang w:val="en-US"/>
        </w:rPr>
        <w:t>(1), 23-45.</w:t>
      </w:r>
    </w:p>
    <w:p w:rsidR="00041DF5" w:rsidRPr="00DE44E1" w:rsidRDefault="00041DF5" w:rsidP="0003275F">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Hoshi, T., Kashyap, A. &amp; Scharfstein, D. (1991). Corporate Structure, Liquidity, and Investment: Evidence from Japanese Industrial Groups. </w:t>
      </w:r>
      <w:r w:rsidRPr="00DE44E1">
        <w:rPr>
          <w:rFonts w:ascii="Times New Roman" w:hAnsi="Times New Roman"/>
          <w:i/>
          <w:sz w:val="24"/>
          <w:szCs w:val="24"/>
          <w:lang w:val="en-US"/>
        </w:rPr>
        <w:t>Quarterly Journal of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106</w:t>
      </w:r>
      <w:r w:rsidRPr="00DE44E1">
        <w:rPr>
          <w:rFonts w:ascii="Times New Roman" w:hAnsi="Times New Roman"/>
          <w:sz w:val="24"/>
          <w:szCs w:val="24"/>
          <w:lang w:val="en-US"/>
        </w:rPr>
        <w:t>(1), 33-60.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Hulten, C. R., &amp; Hao, X. (2008). </w:t>
      </w:r>
      <w:r w:rsidRPr="00DE44E1">
        <w:rPr>
          <w:rFonts w:ascii="Times New Roman" w:hAnsi="Times New Roman"/>
          <w:i/>
          <w:sz w:val="24"/>
          <w:szCs w:val="24"/>
          <w:lang w:val="en-US"/>
        </w:rPr>
        <w:t>What is a company really worth? Intangible capital and the market to book value puzzle</w:t>
      </w:r>
      <w:r w:rsidRPr="00DE44E1">
        <w:rPr>
          <w:rFonts w:ascii="Times New Roman" w:hAnsi="Times New Roman"/>
          <w:sz w:val="24"/>
          <w:szCs w:val="24"/>
          <w:lang w:val="en-US"/>
        </w:rPr>
        <w:t>. Retrieved January 15, 2009, from https://papers.ssrn.com/sol3/papers.cfm?abstract_id=1327221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Jayaratne, J., &amp; Wolken, J. (1999). How important are small banks to small business lending? New evidence from a survey of small Firms. </w:t>
      </w:r>
      <w:r w:rsidRPr="00DE44E1">
        <w:rPr>
          <w:rFonts w:ascii="Times New Roman" w:hAnsi="Times New Roman"/>
          <w:i/>
          <w:sz w:val="24"/>
          <w:szCs w:val="24"/>
          <w:lang w:val="en-US"/>
        </w:rPr>
        <w:t>Journal of Banking and Finance</w:t>
      </w:r>
      <w:r w:rsidRPr="00DE44E1">
        <w:rPr>
          <w:rFonts w:ascii="Times New Roman" w:hAnsi="Times New Roman"/>
          <w:sz w:val="24"/>
          <w:szCs w:val="24"/>
          <w:lang w:val="en-US"/>
        </w:rPr>
        <w:t>, 23(2-4), 427-458.</w:t>
      </w:r>
    </w:p>
    <w:p w:rsidR="00041DF5" w:rsidRPr="00DE44E1" w:rsidRDefault="00041DF5" w:rsidP="008B09F2">
      <w:pPr>
        <w:widowControl w:val="0"/>
        <w:tabs>
          <w:tab w:val="left" w:pos="851"/>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Joia, L. A. (2000). Measuring intangible corporate assets: Linking business strategy with intellectual capital. </w:t>
      </w:r>
      <w:r w:rsidRPr="00DE44E1">
        <w:rPr>
          <w:rFonts w:ascii="Times New Roman" w:hAnsi="Times New Roman"/>
          <w:i/>
          <w:sz w:val="24"/>
          <w:szCs w:val="24"/>
          <w:lang w:val="en-US"/>
        </w:rPr>
        <w:t>Journal of Intellectual Capital</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w:t>
      </w:r>
      <w:r w:rsidRPr="00DE44E1">
        <w:rPr>
          <w:rFonts w:ascii="Times New Roman" w:hAnsi="Times New Roman"/>
          <w:sz w:val="24"/>
          <w:szCs w:val="24"/>
          <w:lang w:val="en-US"/>
        </w:rPr>
        <w:t>(1), 68-84.</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Jostarndt, P., &amp; Sautner, Z. (2010). Out-of-court restructuring versus formal bankruptcy in a non-interventionist bankruptcy setting. </w:t>
      </w:r>
      <w:r w:rsidRPr="00DE44E1">
        <w:rPr>
          <w:rFonts w:ascii="Times New Roman" w:hAnsi="Times New Roman"/>
          <w:i/>
          <w:sz w:val="24"/>
          <w:szCs w:val="24"/>
          <w:lang w:val="en-US"/>
        </w:rPr>
        <w:t>Review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14</w:t>
      </w:r>
      <w:r w:rsidRPr="00DE44E1">
        <w:rPr>
          <w:rFonts w:ascii="Times New Roman" w:hAnsi="Times New Roman"/>
          <w:sz w:val="24"/>
          <w:szCs w:val="24"/>
          <w:lang w:val="en-US"/>
        </w:rPr>
        <w:t>, 623-668.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Katcher, B. L. (2003). Make more strategies use of customer satisfaction surveys. </w:t>
      </w:r>
      <w:r w:rsidRPr="00DE44E1">
        <w:rPr>
          <w:rFonts w:ascii="Times New Roman" w:hAnsi="Times New Roman"/>
          <w:i/>
          <w:sz w:val="24"/>
          <w:szCs w:val="24"/>
          <w:lang w:val="en-US"/>
        </w:rPr>
        <w:t>The Journal of Business Strategy</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24</w:t>
      </w:r>
      <w:r w:rsidRPr="00DE44E1">
        <w:rPr>
          <w:rFonts w:ascii="Times New Roman" w:hAnsi="Times New Roman"/>
          <w:sz w:val="24"/>
          <w:szCs w:val="24"/>
          <w:lang w:val="en-US"/>
        </w:rPr>
        <w:t>(1), 34-37.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Keasey, K., &amp; Watson, R. (1993). </w:t>
      </w:r>
      <w:r w:rsidRPr="00DE44E1">
        <w:rPr>
          <w:rFonts w:ascii="Times New Roman" w:hAnsi="Times New Roman"/>
          <w:i/>
          <w:sz w:val="24"/>
          <w:szCs w:val="24"/>
          <w:lang w:val="en-US"/>
        </w:rPr>
        <w:t>Small Firm Management: Ownership, Finance and Performance</w:t>
      </w:r>
      <w:r w:rsidRPr="00DE44E1">
        <w:rPr>
          <w:rFonts w:ascii="Times New Roman" w:hAnsi="Times New Roman"/>
          <w:sz w:val="24"/>
          <w:szCs w:val="24"/>
          <w:lang w:val="en-US"/>
        </w:rPr>
        <w:t>, New Jersey, NJ: Blackwell Business.</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Keasey, K., Pindado, J., &amp; Rodrigues, L. (2015). The determinants of the costs of financial distress in SMEs. </w:t>
      </w:r>
      <w:r w:rsidRPr="00DE44E1">
        <w:rPr>
          <w:rFonts w:ascii="Times New Roman" w:hAnsi="Times New Roman"/>
          <w:i/>
          <w:sz w:val="24"/>
          <w:szCs w:val="24"/>
          <w:lang w:val="en-US"/>
        </w:rPr>
        <w:t>International Small Business Journal</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33</w:t>
      </w:r>
      <w:r w:rsidRPr="00DE44E1">
        <w:rPr>
          <w:rFonts w:ascii="Times New Roman" w:hAnsi="Times New Roman"/>
          <w:sz w:val="24"/>
          <w:szCs w:val="24"/>
          <w:lang w:val="en-US"/>
        </w:rPr>
        <w:t>(8), 862-881.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Koksal, B., Orman, C., &amp; Oduncu A. (2013). </w:t>
      </w:r>
      <w:r w:rsidRPr="00DE44E1">
        <w:rPr>
          <w:rFonts w:ascii="Times New Roman" w:hAnsi="Times New Roman"/>
          <w:i/>
          <w:sz w:val="24"/>
          <w:szCs w:val="24"/>
          <w:lang w:val="en-US"/>
        </w:rPr>
        <w:t>Determinants of capital structure: evidence from a major emerging market economy</w:t>
      </w:r>
      <w:r w:rsidRPr="00DE44E1">
        <w:rPr>
          <w:rFonts w:ascii="Times New Roman" w:hAnsi="Times New Roman"/>
          <w:sz w:val="24"/>
          <w:szCs w:val="24"/>
          <w:lang w:val="en-US"/>
        </w:rPr>
        <w:t>. Retrieved July 19, 2013, from https://mpra.ub.uni-muenchen.de/48415/</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Lenz, R.T. (1981). Determinants’ of organizational performance: An interdisciplinary review. </w:t>
      </w:r>
      <w:r w:rsidRPr="00DE44E1">
        <w:rPr>
          <w:rFonts w:ascii="Times New Roman" w:hAnsi="Times New Roman"/>
          <w:i/>
          <w:sz w:val="24"/>
          <w:szCs w:val="24"/>
          <w:lang w:val="en-US"/>
        </w:rPr>
        <w:t>Strategic Management Journal</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w:t>
      </w:r>
      <w:r w:rsidRPr="00DE44E1">
        <w:rPr>
          <w:rFonts w:ascii="Times New Roman" w:hAnsi="Times New Roman"/>
          <w:sz w:val="24"/>
          <w:szCs w:val="24"/>
          <w:lang w:val="en-US"/>
        </w:rPr>
        <w:t>(2), 131-154.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Lim, S. C., Macias, A. J., &amp; Moeller, T. (2014). </w:t>
      </w:r>
      <w:r w:rsidRPr="00DE44E1">
        <w:rPr>
          <w:rFonts w:ascii="Times New Roman" w:hAnsi="Times New Roman"/>
          <w:i/>
          <w:sz w:val="24"/>
          <w:szCs w:val="24"/>
          <w:lang w:val="en-US"/>
        </w:rPr>
        <w:t>Intangible assets and capital structure</w:t>
      </w:r>
      <w:r w:rsidRPr="00DE44E1">
        <w:rPr>
          <w:rFonts w:ascii="Times New Roman" w:hAnsi="Times New Roman"/>
          <w:sz w:val="24"/>
          <w:szCs w:val="24"/>
          <w:lang w:val="en-US"/>
        </w:rPr>
        <w:t>. Retrieved October 25, 2014, from https://papers.ssrn.com/sol3/Papers.cfm?abstract_id=2514551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Mac </w:t>
      </w:r>
      <w:proofErr w:type="gramStart"/>
      <w:r w:rsidRPr="00DE44E1">
        <w:rPr>
          <w:rFonts w:ascii="Times New Roman" w:hAnsi="Times New Roman"/>
          <w:sz w:val="24"/>
          <w:szCs w:val="24"/>
          <w:lang w:val="en-US"/>
        </w:rPr>
        <w:t>An</w:t>
      </w:r>
      <w:proofErr w:type="gramEnd"/>
      <w:r w:rsidRPr="00DE44E1">
        <w:rPr>
          <w:rFonts w:ascii="Times New Roman" w:hAnsi="Times New Roman"/>
          <w:sz w:val="24"/>
          <w:szCs w:val="24"/>
          <w:lang w:val="en-US"/>
        </w:rPr>
        <w:t xml:space="preserve"> Bhaird, C. (2010). </w:t>
      </w:r>
      <w:r w:rsidRPr="00DE44E1">
        <w:rPr>
          <w:rFonts w:ascii="Times New Roman" w:hAnsi="Times New Roman"/>
          <w:i/>
          <w:sz w:val="24"/>
          <w:szCs w:val="24"/>
          <w:lang w:val="en-US"/>
        </w:rPr>
        <w:t>Resourcing Small and Medium Sized Enterprises: A Financial Growth Life Cycle Approach</w:t>
      </w:r>
      <w:r w:rsidRPr="00DE44E1">
        <w:rPr>
          <w:rFonts w:ascii="Times New Roman" w:hAnsi="Times New Roman"/>
          <w:sz w:val="24"/>
          <w:szCs w:val="24"/>
          <w:lang w:val="en-US"/>
        </w:rPr>
        <w:t>. Berlin, Germany: Springer Science &amp; Business Media.</w:t>
      </w:r>
    </w:p>
    <w:p w:rsidR="00041DF5" w:rsidRPr="00DE44E1" w:rsidRDefault="00041DF5" w:rsidP="001869B5">
      <w:pPr>
        <w:widowControl w:val="0"/>
        <w:tabs>
          <w:tab w:val="left" w:pos="425"/>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Manzaneque, M., Priego, A. M., &amp; Merino, E. (2016). Corporate governance effect on financial distress likelihood: Evidence from Spain. </w:t>
      </w:r>
      <w:r w:rsidRPr="00DE44E1">
        <w:rPr>
          <w:rFonts w:ascii="Times New Roman" w:hAnsi="Times New Roman"/>
          <w:i/>
          <w:sz w:val="24"/>
          <w:szCs w:val="24"/>
          <w:lang w:val="en-US"/>
        </w:rPr>
        <w:t>Revista de Contabilidad</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19</w:t>
      </w:r>
      <w:r w:rsidRPr="00DE44E1">
        <w:rPr>
          <w:rFonts w:ascii="Times New Roman" w:hAnsi="Times New Roman"/>
          <w:sz w:val="24"/>
          <w:szCs w:val="24"/>
          <w:lang w:val="en-US"/>
        </w:rPr>
        <w:t>(1), 111-121.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Marrocu, E., Paci, R., &amp; Pontis, M. (2012). Intangible capital and firms’ productivity. </w:t>
      </w:r>
      <w:r w:rsidRPr="00DE44E1">
        <w:rPr>
          <w:rFonts w:ascii="Times New Roman" w:hAnsi="Times New Roman"/>
          <w:i/>
          <w:sz w:val="24"/>
          <w:szCs w:val="24"/>
          <w:lang w:val="en-US"/>
        </w:rPr>
        <w:t>Industrial and Corporate Change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21</w:t>
      </w:r>
      <w:r w:rsidRPr="00DE44E1">
        <w:rPr>
          <w:rFonts w:ascii="Times New Roman" w:hAnsi="Times New Roman"/>
          <w:sz w:val="24"/>
          <w:szCs w:val="24"/>
          <w:lang w:val="en-US"/>
        </w:rPr>
        <w:t>(2), 377-402.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McNair, C. J., Lynch, R. L., &amp; Cross, K. F. (1990). Do financial and non financial performance measures have to agree? </w:t>
      </w:r>
      <w:r w:rsidRPr="00DE44E1">
        <w:rPr>
          <w:rFonts w:ascii="Times New Roman" w:hAnsi="Times New Roman"/>
          <w:i/>
          <w:sz w:val="24"/>
          <w:szCs w:val="24"/>
          <w:lang w:val="en-US"/>
        </w:rPr>
        <w:t>Management Accounting Review</w:t>
      </w:r>
      <w:r w:rsidRPr="00DE44E1">
        <w:rPr>
          <w:rFonts w:ascii="Times New Roman" w:hAnsi="Times New Roman"/>
          <w:sz w:val="24"/>
          <w:szCs w:val="24"/>
          <w:lang w:val="en-US"/>
        </w:rPr>
        <w:t xml:space="preserve">, </w:t>
      </w:r>
      <w:r w:rsidRPr="00DE44E1">
        <w:rPr>
          <w:rFonts w:ascii="Times New Roman" w:hAnsi="Times New Roman"/>
          <w:i/>
          <w:sz w:val="24"/>
          <w:szCs w:val="24"/>
          <w:lang w:val="en-US"/>
        </w:rPr>
        <w:t>75</w:t>
      </w:r>
      <w:r w:rsidRPr="00DE44E1">
        <w:rPr>
          <w:rFonts w:ascii="Times New Roman" w:hAnsi="Times New Roman"/>
          <w:sz w:val="24"/>
          <w:szCs w:val="24"/>
          <w:lang w:val="en-US"/>
        </w:rPr>
        <w:t>(5), 28.</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Mello, A. S., &amp; Parsons, J. E. (2000). Hedging and Liquidity. </w:t>
      </w:r>
      <w:r w:rsidRPr="00DE44E1">
        <w:rPr>
          <w:rFonts w:ascii="Times New Roman" w:hAnsi="Times New Roman"/>
          <w:i/>
          <w:sz w:val="24"/>
          <w:szCs w:val="24"/>
          <w:lang w:val="en-US"/>
        </w:rPr>
        <w:t>The Review of Financial Studies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13</w:t>
      </w:r>
      <w:r w:rsidRPr="00DE44E1">
        <w:rPr>
          <w:rFonts w:ascii="Times New Roman" w:hAnsi="Times New Roman"/>
          <w:sz w:val="24"/>
          <w:szCs w:val="24"/>
          <w:lang w:val="en-US"/>
        </w:rPr>
        <w:t>(1), 127-153.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Michaelas, N., Chittenden, F., &amp; Poutziouris, P. (1999). Financial policy and capital structure choice in UK SMEs: Empirical evidence from company panel data. </w:t>
      </w:r>
      <w:r w:rsidRPr="00DE44E1">
        <w:rPr>
          <w:rFonts w:ascii="Times New Roman" w:hAnsi="Times New Roman"/>
          <w:i/>
          <w:sz w:val="24"/>
          <w:szCs w:val="24"/>
          <w:lang w:val="en-US"/>
        </w:rPr>
        <w:t>Small Business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12</w:t>
      </w:r>
      <w:r w:rsidRPr="00DE44E1">
        <w:rPr>
          <w:rFonts w:ascii="Times New Roman" w:hAnsi="Times New Roman"/>
          <w:sz w:val="24"/>
          <w:szCs w:val="24"/>
          <w:lang w:val="en-US"/>
        </w:rPr>
        <w:t>(2), 113-130.</w:t>
      </w:r>
    </w:p>
    <w:p w:rsidR="00041DF5" w:rsidRPr="00DE44E1" w:rsidRDefault="00041DF5" w:rsidP="00F7662B">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Minton, B. A., &amp; Schrand, C. (1999). The impact of cash flow volatility on discretionary investment and the cost of debt and equity financing. </w:t>
      </w:r>
      <w:r w:rsidRPr="00DE44E1">
        <w:rPr>
          <w:rFonts w:ascii="Times New Roman" w:hAnsi="Times New Roman"/>
          <w:i/>
          <w:sz w:val="24"/>
          <w:szCs w:val="24"/>
          <w:lang w:val="en-US"/>
        </w:rPr>
        <w:t>Journal of Financial Economics</w:t>
      </w:r>
      <w:r w:rsidRPr="00DE44E1">
        <w:rPr>
          <w:rFonts w:ascii="Times New Roman" w:hAnsi="Times New Roman"/>
          <w:sz w:val="24"/>
          <w:szCs w:val="24"/>
          <w:lang w:val="en-US"/>
        </w:rPr>
        <w:t>, 54(3), 423-460.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Modigliani, F., &amp; Miller, M. H. (1958). The Cost of Capital, Corporation Finance and the Theory of Investment. </w:t>
      </w:r>
      <w:r w:rsidRPr="00DE44E1">
        <w:rPr>
          <w:rFonts w:ascii="Times New Roman" w:hAnsi="Times New Roman"/>
          <w:i/>
          <w:sz w:val="24"/>
          <w:szCs w:val="24"/>
          <w:lang w:val="en-US"/>
        </w:rPr>
        <w:t>The American Economic Review</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48</w:t>
      </w:r>
      <w:r w:rsidRPr="00DE44E1">
        <w:rPr>
          <w:rFonts w:ascii="Times New Roman" w:hAnsi="Times New Roman"/>
          <w:sz w:val="24"/>
          <w:szCs w:val="24"/>
          <w:lang w:val="en-US"/>
        </w:rPr>
        <w:t>(3), 261-297.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Modina, M. (2015). </w:t>
      </w:r>
      <w:r w:rsidRPr="00DE44E1">
        <w:rPr>
          <w:rFonts w:ascii="Times New Roman" w:hAnsi="Times New Roman"/>
          <w:i/>
          <w:sz w:val="24"/>
          <w:szCs w:val="24"/>
          <w:lang w:val="en-US"/>
        </w:rPr>
        <w:t>Credit Rating and Bank-Firm Relationship: New Models to Better Evaluate SMES</w:t>
      </w:r>
      <w:r w:rsidRPr="00DE44E1">
        <w:rPr>
          <w:rFonts w:ascii="Times New Roman" w:hAnsi="Times New Roman"/>
          <w:sz w:val="24"/>
          <w:szCs w:val="24"/>
          <w:lang w:val="en-US"/>
        </w:rPr>
        <w:t>. Basingstoke, Hampshire, UK: Palgrave Macmillan.</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Modina, M., Quintiliani, A., &amp; Arnone, M. (2013). Il ruolo delle banche locali e del relationship lending in scenari economici in profondo cambiamento. </w:t>
      </w:r>
      <w:r w:rsidRPr="00DE44E1">
        <w:rPr>
          <w:rFonts w:ascii="Times New Roman" w:hAnsi="Times New Roman"/>
          <w:i/>
          <w:sz w:val="24"/>
          <w:szCs w:val="24"/>
          <w:lang w:val="en-US"/>
        </w:rPr>
        <w:t>Arethuse Rivista di studi economico-gestionali</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w:t>
      </w:r>
      <w:r w:rsidRPr="00DE44E1">
        <w:rPr>
          <w:rFonts w:ascii="Times New Roman" w:hAnsi="Times New Roman"/>
          <w:sz w:val="24"/>
          <w:szCs w:val="24"/>
          <w:lang w:val="en-US"/>
        </w:rPr>
        <w:t>, 91-106.</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Myers, S. C. (1984). The capital structure puzzle.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39</w:t>
      </w:r>
      <w:r w:rsidRPr="00DE44E1">
        <w:rPr>
          <w:rFonts w:ascii="Times New Roman" w:hAnsi="Times New Roman"/>
          <w:sz w:val="24"/>
          <w:szCs w:val="24"/>
          <w:lang w:val="en-US"/>
        </w:rPr>
        <w:t>(3), 575–592.</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lastRenderedPageBreak/>
        <w:t xml:space="preserve">Myers, S. C., &amp; Majluf, N. S. (1984). Corporate financing and investment decisions when firms have information that investors do not have. </w:t>
      </w:r>
      <w:r w:rsidRPr="00DE44E1">
        <w:rPr>
          <w:rFonts w:ascii="Times New Roman" w:hAnsi="Times New Roman"/>
          <w:i/>
          <w:sz w:val="24"/>
          <w:szCs w:val="24"/>
          <w:lang w:val="en-US"/>
        </w:rPr>
        <w:t>Journal of Financial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13</w:t>
      </w:r>
      <w:r w:rsidRPr="00DE44E1">
        <w:rPr>
          <w:rFonts w:ascii="Times New Roman" w:hAnsi="Times New Roman"/>
          <w:sz w:val="24"/>
          <w:szCs w:val="24"/>
          <w:lang w:val="en-US"/>
        </w:rPr>
        <w:t>(2), 187-221.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Nance, D. R., Smith, C. W., &amp; Smithson, C. W. (1993). On the Determination of Corporate Hedging. </w:t>
      </w:r>
      <w:r w:rsidRPr="00DE44E1">
        <w:rPr>
          <w:rFonts w:ascii="Times New Roman" w:hAnsi="Times New Roman"/>
          <w:i/>
          <w:sz w:val="24"/>
          <w:szCs w:val="24"/>
          <w:lang w:val="en-US"/>
        </w:rPr>
        <w:t>Journal of Financial</w:t>
      </w:r>
      <w:r w:rsidRPr="00DE44E1">
        <w:rPr>
          <w:rFonts w:ascii="Times New Roman" w:hAnsi="Times New Roman"/>
          <w:sz w:val="24"/>
          <w:szCs w:val="24"/>
          <w:lang w:val="en-US"/>
        </w:rPr>
        <w:t xml:space="preserve">, </w:t>
      </w:r>
      <w:r w:rsidRPr="00DE44E1">
        <w:rPr>
          <w:rFonts w:ascii="Times New Roman" w:hAnsi="Times New Roman"/>
          <w:i/>
          <w:sz w:val="24"/>
          <w:szCs w:val="24"/>
          <w:lang w:val="en-US"/>
        </w:rPr>
        <w:t>48</w:t>
      </w:r>
      <w:r w:rsidRPr="00DE44E1">
        <w:rPr>
          <w:rFonts w:ascii="Times New Roman" w:hAnsi="Times New Roman"/>
          <w:sz w:val="24"/>
          <w:szCs w:val="24"/>
          <w:lang w:val="en-US"/>
        </w:rPr>
        <w:t>(1), 267-284.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Neely A. (1999). The performance measurement revolution: why now and what next? </w:t>
      </w:r>
      <w:r w:rsidRPr="00DE44E1">
        <w:rPr>
          <w:rFonts w:ascii="Times New Roman" w:hAnsi="Times New Roman"/>
          <w:i/>
          <w:sz w:val="24"/>
          <w:szCs w:val="24"/>
          <w:lang w:val="en-US"/>
        </w:rPr>
        <w:t>International Journal of Operations &amp; Production Management</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19</w:t>
      </w:r>
      <w:r w:rsidRPr="00DE44E1">
        <w:rPr>
          <w:rFonts w:ascii="Times New Roman" w:hAnsi="Times New Roman"/>
          <w:sz w:val="24"/>
          <w:szCs w:val="24"/>
          <w:lang w:val="en-US"/>
        </w:rPr>
        <w:t>(2), 205-228.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Ohlson J. (1980). Financial ratios and the probabilistic prediction of bankruptcy. </w:t>
      </w:r>
      <w:r w:rsidRPr="00DE44E1">
        <w:rPr>
          <w:rFonts w:ascii="Times New Roman" w:hAnsi="Times New Roman"/>
          <w:i/>
          <w:sz w:val="24"/>
          <w:szCs w:val="24"/>
          <w:lang w:val="en-US"/>
        </w:rPr>
        <w:t>Journal of Accounting Research</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18</w:t>
      </w:r>
      <w:r w:rsidRPr="00DE44E1">
        <w:rPr>
          <w:rFonts w:ascii="Times New Roman" w:hAnsi="Times New Roman"/>
          <w:sz w:val="24"/>
          <w:szCs w:val="24"/>
          <w:lang w:val="en-US"/>
        </w:rPr>
        <w:t>(1), 109</w:t>
      </w:r>
      <w:r w:rsidRPr="00DE44E1">
        <w:rPr>
          <w:rFonts w:ascii="Cambria Math" w:hAnsi="Cambria Math" w:cs="Cambria Math"/>
          <w:sz w:val="24"/>
          <w:szCs w:val="24"/>
          <w:lang w:val="en-US"/>
        </w:rPr>
        <w:t>‐</w:t>
      </w:r>
      <w:r w:rsidRPr="00DE44E1">
        <w:rPr>
          <w:rFonts w:ascii="Times New Roman" w:hAnsi="Times New Roman"/>
          <w:sz w:val="24"/>
          <w:szCs w:val="24"/>
          <w:lang w:val="en-US"/>
        </w:rPr>
        <w:t>131.</w:t>
      </w:r>
    </w:p>
    <w:p w:rsidR="00041DF5" w:rsidRPr="00DE44E1" w:rsidRDefault="00041DF5" w:rsidP="008B09F2">
      <w:pPr>
        <w:widowControl w:val="0"/>
        <w:tabs>
          <w:tab w:val="left" w:pos="425"/>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Özmen, A., Weber, G. W., &amp; Batmaz, I. (2010). The new Robust CMARS (RCMARS) method. In </w:t>
      </w:r>
      <w:r w:rsidRPr="00DE44E1">
        <w:rPr>
          <w:rFonts w:ascii="Times New Roman" w:hAnsi="Times New Roman"/>
          <w:i/>
          <w:sz w:val="24"/>
          <w:szCs w:val="24"/>
          <w:lang w:val="en-US"/>
        </w:rPr>
        <w:t>Proceedings of 24th Mini EURO Conference</w:t>
      </w:r>
      <w:r w:rsidRPr="00DE44E1">
        <w:rPr>
          <w:rFonts w:ascii="Times New Roman" w:hAnsi="Times New Roman"/>
          <w:sz w:val="24"/>
          <w:szCs w:val="24"/>
          <w:lang w:val="en-US"/>
        </w:rPr>
        <w:t xml:space="preserve"> (vol. 12, pp. 362-368). Izmir, Turkey: Izmir University of Economics Press.</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Özmen, A., Weber, G. W., Çavuşoğlu, Z., &amp; Defterli, O. (2012). The new robust conic GPLM method with an application to finance: prediction of credit default. </w:t>
      </w:r>
      <w:r w:rsidRPr="00DE44E1">
        <w:rPr>
          <w:rFonts w:ascii="Times New Roman" w:hAnsi="Times New Roman"/>
          <w:i/>
          <w:sz w:val="24"/>
          <w:szCs w:val="24"/>
          <w:lang w:val="en-US"/>
        </w:rPr>
        <w:t>Journal of Global Optimization</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56</w:t>
      </w:r>
      <w:r w:rsidRPr="00DE44E1">
        <w:rPr>
          <w:rFonts w:ascii="Times New Roman" w:hAnsi="Times New Roman"/>
          <w:sz w:val="24"/>
          <w:szCs w:val="24"/>
          <w:lang w:val="en-US"/>
        </w:rPr>
        <w:t>(2), 233-249.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Parsons, C., &amp; Titman, S. (2009). Empirical capital structure: A review. </w:t>
      </w:r>
      <w:r w:rsidRPr="00DE44E1">
        <w:rPr>
          <w:rFonts w:ascii="Times New Roman" w:hAnsi="Times New Roman"/>
          <w:i/>
          <w:sz w:val="24"/>
          <w:szCs w:val="24"/>
          <w:lang w:val="en-US"/>
        </w:rPr>
        <w:t>Foundations and Trends in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w:t>
      </w:r>
      <w:r w:rsidRPr="00DE44E1">
        <w:rPr>
          <w:rFonts w:ascii="Times New Roman" w:hAnsi="Times New Roman"/>
          <w:sz w:val="24"/>
          <w:szCs w:val="24"/>
          <w:lang w:val="en-US"/>
        </w:rPr>
        <w:t>(1), 1-93.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Pettit R. R., &amp; Singer R. F. (1985). Small business finance: A research agenda. </w:t>
      </w:r>
      <w:r w:rsidRPr="00DE44E1">
        <w:rPr>
          <w:rFonts w:ascii="Times New Roman" w:hAnsi="Times New Roman"/>
          <w:i/>
          <w:sz w:val="24"/>
          <w:szCs w:val="24"/>
          <w:lang w:val="en-US"/>
        </w:rPr>
        <w:t>Financial Management</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14</w:t>
      </w:r>
      <w:r w:rsidRPr="00DE44E1">
        <w:rPr>
          <w:rFonts w:ascii="Times New Roman" w:hAnsi="Times New Roman"/>
          <w:sz w:val="24"/>
          <w:szCs w:val="24"/>
          <w:lang w:val="en-US"/>
        </w:rPr>
        <w:t>(3), 47-60.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Pindado, J., Rodrigues, L., &amp; Torre, C. (2008). Estimating financial distress likelihood. </w:t>
      </w:r>
      <w:r w:rsidRPr="00DE44E1">
        <w:rPr>
          <w:rFonts w:ascii="Times New Roman" w:hAnsi="Times New Roman"/>
          <w:i/>
          <w:sz w:val="24"/>
          <w:szCs w:val="24"/>
          <w:lang w:val="en-US"/>
        </w:rPr>
        <w:t>Journal of Business Research</w:t>
      </w:r>
      <w:r w:rsidRPr="00DE44E1">
        <w:rPr>
          <w:rFonts w:ascii="Times New Roman" w:hAnsi="Times New Roman"/>
          <w:sz w:val="24"/>
          <w:szCs w:val="24"/>
          <w:lang w:val="en-US"/>
        </w:rPr>
        <w:t xml:space="preserve">, </w:t>
      </w:r>
      <w:r w:rsidRPr="00DE44E1">
        <w:rPr>
          <w:rFonts w:ascii="Times New Roman" w:hAnsi="Times New Roman"/>
          <w:i/>
          <w:sz w:val="24"/>
          <w:szCs w:val="24"/>
          <w:lang w:val="en-US"/>
        </w:rPr>
        <w:t>61</w:t>
      </w:r>
      <w:r w:rsidRPr="00DE44E1">
        <w:rPr>
          <w:rFonts w:ascii="Times New Roman" w:hAnsi="Times New Roman"/>
          <w:sz w:val="24"/>
          <w:szCs w:val="24"/>
          <w:lang w:val="en-US"/>
        </w:rPr>
        <w:t>(9), 995</w:t>
      </w:r>
      <w:r w:rsidRPr="00DE44E1">
        <w:rPr>
          <w:rFonts w:ascii="Cambria Math" w:hAnsi="Cambria Math" w:cs="Cambria Math"/>
          <w:sz w:val="24"/>
          <w:szCs w:val="24"/>
          <w:lang w:val="en-US"/>
        </w:rPr>
        <w:t>‐</w:t>
      </w:r>
      <w:r w:rsidRPr="00DE44E1">
        <w:rPr>
          <w:rFonts w:ascii="Times New Roman" w:hAnsi="Times New Roman"/>
          <w:sz w:val="24"/>
          <w:szCs w:val="24"/>
          <w:lang w:val="en-US"/>
        </w:rPr>
        <w:t>1003.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Psillaki, M. (1995). Credit rationing and small and medium sized firms: A tentative of linkage. </w:t>
      </w:r>
      <w:r w:rsidRPr="00DE44E1">
        <w:rPr>
          <w:rFonts w:ascii="Times New Roman" w:hAnsi="Times New Roman"/>
          <w:i/>
          <w:sz w:val="24"/>
          <w:szCs w:val="24"/>
          <w:lang w:val="en-US"/>
        </w:rPr>
        <w:t>Revue Internationale PME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8</w:t>
      </w:r>
      <w:r w:rsidRPr="00DE44E1">
        <w:rPr>
          <w:rFonts w:ascii="Times New Roman" w:hAnsi="Times New Roman"/>
          <w:sz w:val="24"/>
          <w:szCs w:val="24"/>
          <w:lang w:val="en-US"/>
        </w:rPr>
        <w:t>(3-4), 67-90.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Psillaki, M., &amp; Daskalakis, N. (2009). Are the determinants of capital structure country or firm specific? </w:t>
      </w:r>
      <w:r w:rsidRPr="00DE44E1">
        <w:rPr>
          <w:rFonts w:ascii="Times New Roman" w:hAnsi="Times New Roman"/>
          <w:i/>
          <w:sz w:val="24"/>
          <w:szCs w:val="24"/>
          <w:lang w:val="en-US"/>
        </w:rPr>
        <w:t>Small Business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33</w:t>
      </w:r>
      <w:r w:rsidRPr="00DE44E1">
        <w:rPr>
          <w:rFonts w:ascii="Times New Roman" w:hAnsi="Times New Roman"/>
          <w:sz w:val="24"/>
          <w:szCs w:val="24"/>
          <w:lang w:val="en-US"/>
        </w:rPr>
        <w:t>(3), 319-333.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Quintiliani, A. (2017</w:t>
      </w:r>
      <w:r w:rsidR="00381A26" w:rsidRPr="00DE44E1">
        <w:rPr>
          <w:rFonts w:ascii="Times New Roman" w:hAnsi="Times New Roman"/>
          <w:sz w:val="24"/>
          <w:szCs w:val="24"/>
          <w:lang w:val="en-US"/>
        </w:rPr>
        <w:t>a</w:t>
      </w:r>
      <w:r w:rsidRPr="00DE44E1">
        <w:rPr>
          <w:rFonts w:ascii="Times New Roman" w:hAnsi="Times New Roman"/>
          <w:sz w:val="24"/>
          <w:szCs w:val="24"/>
          <w:lang w:val="en-US"/>
        </w:rPr>
        <w:t xml:space="preserve">). Financial distress cost of Italian small and medium enterprises. A predictive and interpretative model. </w:t>
      </w:r>
      <w:r w:rsidRPr="00DE44E1">
        <w:rPr>
          <w:rFonts w:ascii="Times New Roman" w:hAnsi="Times New Roman"/>
          <w:i/>
          <w:sz w:val="24"/>
          <w:szCs w:val="24"/>
          <w:lang w:val="en-US"/>
        </w:rPr>
        <w:t>The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Journal of Risk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18</w:t>
      </w:r>
      <w:r w:rsidRPr="00DE44E1">
        <w:rPr>
          <w:rFonts w:ascii="Times New Roman" w:hAnsi="Times New Roman"/>
          <w:sz w:val="24"/>
          <w:szCs w:val="24"/>
          <w:lang w:val="en-US"/>
        </w:rPr>
        <w:t>(5).</w:t>
      </w:r>
    </w:p>
    <w:p w:rsidR="00381A26" w:rsidRPr="00DE44E1" w:rsidRDefault="00381A26" w:rsidP="00381A26">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Quintiliani, A. (2017b). Financial Crisis and Local Banks: a Review of Bank-Firm Relationships in Italy. </w:t>
      </w:r>
      <w:r w:rsidRPr="00DE44E1">
        <w:rPr>
          <w:rFonts w:ascii="Times New Roman" w:hAnsi="Times New Roman"/>
          <w:i/>
          <w:sz w:val="24"/>
          <w:szCs w:val="24"/>
          <w:lang w:val="en-US"/>
        </w:rPr>
        <w:t>Corporate Ownership &amp; Control</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14</w:t>
      </w:r>
      <w:r w:rsidRPr="00DE44E1">
        <w:rPr>
          <w:rFonts w:ascii="Times New Roman" w:hAnsi="Times New Roman"/>
          <w:sz w:val="24"/>
          <w:szCs w:val="24"/>
          <w:lang w:val="en-US"/>
        </w:rPr>
        <w:t>(3-1), 249-258.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Roulstone, D. T. (2011). Discussion of intangible investment and the importance of firm-specific factors in the determination of earnings. </w:t>
      </w:r>
      <w:r w:rsidRPr="00DE44E1">
        <w:rPr>
          <w:rFonts w:ascii="Times New Roman" w:hAnsi="Times New Roman"/>
          <w:i/>
          <w:sz w:val="24"/>
          <w:szCs w:val="24"/>
          <w:lang w:val="en-US"/>
        </w:rPr>
        <w:t>Review of Accounting Studies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16</w:t>
      </w:r>
      <w:r w:rsidRPr="00DE44E1">
        <w:rPr>
          <w:rFonts w:ascii="Times New Roman" w:hAnsi="Times New Roman"/>
          <w:sz w:val="24"/>
          <w:szCs w:val="24"/>
          <w:lang w:val="en-US"/>
        </w:rPr>
        <w:t>(3), 574-580.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Schwarz, J., Beloff, B., &amp; Beaver, E. (2002). Use of sustainability metrics to guide decision-making. </w:t>
      </w:r>
      <w:r w:rsidRPr="00DE44E1">
        <w:rPr>
          <w:rFonts w:ascii="Times New Roman" w:hAnsi="Times New Roman"/>
          <w:i/>
          <w:sz w:val="24"/>
          <w:szCs w:val="24"/>
          <w:lang w:val="en-US"/>
        </w:rPr>
        <w:t>Chemical Engineering Progress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98</w:t>
      </w:r>
      <w:r w:rsidRPr="00DE44E1">
        <w:rPr>
          <w:rFonts w:ascii="Times New Roman" w:hAnsi="Times New Roman"/>
          <w:sz w:val="24"/>
          <w:szCs w:val="24"/>
          <w:lang w:val="en-US"/>
        </w:rPr>
        <w:t>(7), 58-63.</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Scott, J. H. (1977). Bankruptcy, secured debt, and optimal capital structure.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32</w:t>
      </w:r>
      <w:r w:rsidRPr="00DE44E1">
        <w:rPr>
          <w:rFonts w:ascii="Times New Roman" w:hAnsi="Times New Roman"/>
          <w:sz w:val="24"/>
          <w:szCs w:val="24"/>
          <w:lang w:val="en-US"/>
        </w:rPr>
        <w:t>(1), 1-19.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Smith, C. W., &amp; Stulz, R. M. (1985). The Determinants of Firms’ Hedging Policies. </w:t>
      </w:r>
      <w:r w:rsidRPr="00DE44E1">
        <w:rPr>
          <w:rFonts w:ascii="Times New Roman" w:hAnsi="Times New Roman"/>
          <w:i/>
          <w:sz w:val="24"/>
          <w:szCs w:val="24"/>
          <w:lang w:val="en-US"/>
        </w:rPr>
        <w:t>Journal of Financial and Quantitative Analysis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20</w:t>
      </w:r>
      <w:r w:rsidRPr="00DE44E1">
        <w:rPr>
          <w:rFonts w:ascii="Times New Roman" w:hAnsi="Times New Roman"/>
          <w:sz w:val="24"/>
          <w:szCs w:val="24"/>
          <w:lang w:val="en-US"/>
        </w:rPr>
        <w:t>(4), 391-404.</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Sogorb-Mira, F. (2005). How SME uniqueness affects capital structure: Evidence from A 1994–1998 Spanish data panel. </w:t>
      </w:r>
      <w:r w:rsidRPr="00DE44E1">
        <w:rPr>
          <w:rFonts w:ascii="Times New Roman" w:hAnsi="Times New Roman"/>
          <w:i/>
          <w:sz w:val="24"/>
          <w:szCs w:val="24"/>
          <w:lang w:val="en-US"/>
        </w:rPr>
        <w:t>Small Business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25</w:t>
      </w:r>
      <w:r w:rsidRPr="00DE44E1">
        <w:rPr>
          <w:rFonts w:ascii="Times New Roman" w:hAnsi="Times New Roman"/>
          <w:sz w:val="24"/>
          <w:szCs w:val="24"/>
          <w:lang w:val="en-US"/>
        </w:rPr>
        <w:t>(5), 447-457.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Stein J. C. (2002). Information production and capital allocation: Decentralized versus hierarchical firms. </w:t>
      </w:r>
      <w:r w:rsidRPr="00DE44E1">
        <w:rPr>
          <w:rFonts w:ascii="Times New Roman" w:hAnsi="Times New Roman"/>
          <w:i/>
          <w:sz w:val="24"/>
          <w:szCs w:val="24"/>
          <w:lang w:val="en-US"/>
        </w:rPr>
        <w:t>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57</w:t>
      </w:r>
      <w:r w:rsidRPr="00DE44E1">
        <w:rPr>
          <w:rFonts w:ascii="Times New Roman" w:hAnsi="Times New Roman"/>
          <w:sz w:val="24"/>
          <w:szCs w:val="24"/>
          <w:lang w:val="en-US"/>
        </w:rPr>
        <w:t>(5), 1891-1921.</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Stulz, R. M. (1984). Optimal hedging policies. </w:t>
      </w:r>
      <w:r w:rsidRPr="00DE44E1">
        <w:rPr>
          <w:rFonts w:ascii="Times New Roman" w:hAnsi="Times New Roman"/>
          <w:i/>
          <w:sz w:val="24"/>
          <w:szCs w:val="24"/>
          <w:lang w:val="en-US"/>
        </w:rPr>
        <w:t>Journal of Financial and Quantitative Analysis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19</w:t>
      </w:r>
      <w:r w:rsidRPr="00DE44E1">
        <w:rPr>
          <w:rFonts w:ascii="Times New Roman" w:hAnsi="Times New Roman"/>
          <w:sz w:val="24"/>
          <w:szCs w:val="24"/>
          <w:lang w:val="en-US"/>
        </w:rPr>
        <w:t>(2), 127-140.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Takats, E. (2004), </w:t>
      </w:r>
      <w:r w:rsidRPr="00DE44E1">
        <w:rPr>
          <w:rFonts w:ascii="Times New Roman" w:hAnsi="Times New Roman"/>
          <w:i/>
          <w:sz w:val="24"/>
          <w:szCs w:val="24"/>
          <w:lang w:val="en-US"/>
        </w:rPr>
        <w:t>Banking consolidation and small business lending</w:t>
      </w:r>
      <w:r w:rsidRPr="00DE44E1">
        <w:rPr>
          <w:rFonts w:ascii="Times New Roman" w:hAnsi="Times New Roman"/>
          <w:sz w:val="24"/>
          <w:szCs w:val="24"/>
          <w:lang w:val="en-US"/>
        </w:rPr>
        <w:t>. Retrieved December 13, 2004, from https://papers.ssrn.com/sol3/papers.cfm?abstract_id=601027</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Thorburn, K. S. (2000). Bankruptcy auctions: Costs, debt recovery, and firm survival. </w:t>
      </w:r>
      <w:r w:rsidRPr="00DE44E1">
        <w:rPr>
          <w:rFonts w:ascii="Times New Roman" w:hAnsi="Times New Roman"/>
          <w:i/>
          <w:sz w:val="24"/>
          <w:szCs w:val="24"/>
          <w:lang w:val="en-US"/>
        </w:rPr>
        <w:t>Journal of Financial Economics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58</w:t>
      </w:r>
      <w:r w:rsidRPr="00DE44E1">
        <w:rPr>
          <w:rFonts w:ascii="Times New Roman" w:hAnsi="Times New Roman"/>
          <w:sz w:val="24"/>
          <w:szCs w:val="24"/>
          <w:lang w:val="en-US"/>
        </w:rPr>
        <w:t>(3), 337-368.</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Udell, G. F. (2008). What’s in a relationship? The case of commercial lending. </w:t>
      </w:r>
      <w:r w:rsidRPr="00DE44E1">
        <w:rPr>
          <w:rFonts w:ascii="Times New Roman" w:hAnsi="Times New Roman"/>
          <w:i/>
          <w:sz w:val="24"/>
          <w:szCs w:val="24"/>
          <w:lang w:val="en-US"/>
        </w:rPr>
        <w:t>Business Horizons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51</w:t>
      </w:r>
      <w:r w:rsidRPr="00DE44E1">
        <w:rPr>
          <w:rFonts w:ascii="Times New Roman" w:hAnsi="Times New Roman"/>
          <w:sz w:val="24"/>
          <w:szCs w:val="24"/>
          <w:lang w:val="en-US"/>
        </w:rPr>
        <w:t>(2), 93-103.</w:t>
      </w:r>
    </w:p>
    <w:p w:rsidR="00041DF5" w:rsidRPr="00DE44E1" w:rsidRDefault="00041DF5" w:rsidP="00041DF5">
      <w:pPr>
        <w:widowControl w:val="0"/>
        <w:tabs>
          <w:tab w:val="left" w:pos="425"/>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Ulrich, H., &amp; Hilmar, S. (2003). Financing the German Mittelstand. </w:t>
      </w:r>
      <w:r w:rsidRPr="00DE44E1">
        <w:rPr>
          <w:rFonts w:ascii="Times New Roman" w:hAnsi="Times New Roman"/>
          <w:i/>
          <w:sz w:val="24"/>
          <w:szCs w:val="24"/>
          <w:lang w:val="en-US"/>
        </w:rPr>
        <w:t>EIB Papers</w:t>
      </w:r>
      <w:r w:rsidRPr="00DE44E1">
        <w:rPr>
          <w:rFonts w:ascii="Times New Roman" w:hAnsi="Times New Roman"/>
          <w:sz w:val="24"/>
          <w:szCs w:val="24"/>
          <w:lang w:val="en-US"/>
        </w:rPr>
        <w:t xml:space="preserve">, </w:t>
      </w:r>
      <w:r w:rsidRPr="00DE44E1">
        <w:rPr>
          <w:rFonts w:ascii="Times New Roman" w:hAnsi="Times New Roman"/>
          <w:i/>
          <w:sz w:val="24"/>
          <w:szCs w:val="24"/>
          <w:lang w:val="en-US"/>
        </w:rPr>
        <w:t>8</w:t>
      </w:r>
      <w:r w:rsidRPr="00DE44E1">
        <w:rPr>
          <w:rFonts w:ascii="Times New Roman" w:hAnsi="Times New Roman"/>
          <w:sz w:val="24"/>
          <w:szCs w:val="24"/>
          <w:lang w:val="en-US"/>
        </w:rPr>
        <w:t>(2), 53-90.</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Unger, B. (2000). Innovation Systems and Innovative Performance: Voice Systems. </w:t>
      </w:r>
      <w:r w:rsidRPr="00DE44E1">
        <w:rPr>
          <w:rFonts w:ascii="Times New Roman" w:hAnsi="Times New Roman"/>
          <w:i/>
          <w:sz w:val="24"/>
          <w:szCs w:val="24"/>
          <w:lang w:val="en-US"/>
        </w:rPr>
        <w:t>Organization Stud</w:t>
      </w:r>
      <w:r w:rsidRPr="00DE44E1">
        <w:rPr>
          <w:rFonts w:ascii="Times New Roman" w:hAnsi="Times New Roman"/>
          <w:sz w:val="24"/>
          <w:szCs w:val="24"/>
          <w:lang w:val="en-US"/>
        </w:rPr>
        <w:t xml:space="preserve">ies, </w:t>
      </w:r>
      <w:r w:rsidRPr="00DE44E1">
        <w:rPr>
          <w:rFonts w:ascii="Times New Roman" w:hAnsi="Times New Roman"/>
          <w:i/>
          <w:sz w:val="24"/>
          <w:szCs w:val="24"/>
          <w:lang w:val="en-US"/>
        </w:rPr>
        <w:t>21</w:t>
      </w:r>
      <w:r w:rsidRPr="00DE44E1">
        <w:rPr>
          <w:rFonts w:ascii="Times New Roman" w:hAnsi="Times New Roman"/>
          <w:sz w:val="24"/>
          <w:szCs w:val="24"/>
          <w:lang w:val="en-US"/>
        </w:rPr>
        <w:t>(5), 941-969.</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Uzzi, B., &amp; Gillespie, J. J. (1999). What small firms get capital and what cost: Notes on the role of </w:t>
      </w:r>
      <w:r w:rsidRPr="00DE44E1">
        <w:rPr>
          <w:rFonts w:ascii="Times New Roman" w:hAnsi="Times New Roman"/>
          <w:sz w:val="24"/>
          <w:szCs w:val="24"/>
          <w:lang w:val="en-US"/>
        </w:rPr>
        <w:lastRenderedPageBreak/>
        <w:t xml:space="preserve">social capital and banking networks. In </w:t>
      </w:r>
      <w:r w:rsidRPr="00DE44E1">
        <w:rPr>
          <w:rFonts w:ascii="Times New Roman" w:hAnsi="Times New Roman"/>
          <w:i/>
          <w:sz w:val="24"/>
          <w:szCs w:val="24"/>
          <w:lang w:val="en-US"/>
        </w:rPr>
        <w:t>Proceedings of Federal Reserve Bank of Chicago</w:t>
      </w:r>
      <w:r w:rsidRPr="00DE44E1">
        <w:rPr>
          <w:rFonts w:ascii="Times New Roman" w:hAnsi="Times New Roman"/>
          <w:sz w:val="24"/>
          <w:szCs w:val="24"/>
          <w:lang w:val="en-US"/>
        </w:rPr>
        <w:t xml:space="preserve"> (vol. 778, pp. 413-444). Chicago, IL: Federal Reserve Bank of Chicago Press.</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Van Der Wijst, D. (1989). </w:t>
      </w:r>
      <w:r w:rsidRPr="00DE44E1">
        <w:rPr>
          <w:rFonts w:ascii="Times New Roman" w:hAnsi="Times New Roman"/>
          <w:i/>
          <w:sz w:val="24"/>
          <w:szCs w:val="24"/>
          <w:lang w:val="en-US"/>
        </w:rPr>
        <w:t>Financial structure in small business, theory, tests and applications</w:t>
      </w:r>
      <w:r w:rsidRPr="00DE44E1">
        <w:rPr>
          <w:rFonts w:ascii="Times New Roman" w:hAnsi="Times New Roman"/>
          <w:sz w:val="24"/>
          <w:szCs w:val="24"/>
          <w:lang w:val="en-US"/>
        </w:rPr>
        <w:t>. Berlin, Germany: Springer-Verlag.</w:t>
      </w:r>
    </w:p>
    <w:p w:rsidR="00041DF5" w:rsidRPr="00DE44E1" w:rsidRDefault="00041DF5" w:rsidP="006B1FC8">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Warner, J. B. (1977). Bankruptcy Costs: Some Evidence. </w:t>
      </w:r>
      <w:r w:rsidRPr="00DE44E1">
        <w:rPr>
          <w:rFonts w:ascii="Times New Roman" w:hAnsi="Times New Roman"/>
          <w:i/>
          <w:sz w:val="24"/>
          <w:szCs w:val="24"/>
          <w:lang w:val="en-US"/>
        </w:rPr>
        <w:t>The Journal of Finance</w:t>
      </w:r>
      <w:r w:rsidRPr="00DE44E1">
        <w:rPr>
          <w:rFonts w:ascii="Times New Roman" w:hAnsi="Times New Roman"/>
          <w:sz w:val="24"/>
          <w:szCs w:val="24"/>
          <w:lang w:val="en-US"/>
        </w:rPr>
        <w:t xml:space="preserve">, </w:t>
      </w:r>
      <w:r w:rsidRPr="00DE44E1">
        <w:rPr>
          <w:rFonts w:ascii="Times New Roman" w:hAnsi="Times New Roman"/>
          <w:i/>
          <w:sz w:val="24"/>
          <w:szCs w:val="24"/>
          <w:lang w:val="en-US"/>
        </w:rPr>
        <w:t>32</w:t>
      </w:r>
      <w:r w:rsidRPr="00DE44E1">
        <w:rPr>
          <w:rFonts w:ascii="Times New Roman" w:hAnsi="Times New Roman"/>
          <w:sz w:val="24"/>
          <w:szCs w:val="24"/>
          <w:lang w:val="en-US"/>
        </w:rPr>
        <w:t>(2), 337-347.</w:t>
      </w:r>
    </w:p>
    <w:p w:rsidR="00041DF5" w:rsidRPr="00DE44E1" w:rsidRDefault="00041DF5" w:rsidP="008B09F2">
      <w:pPr>
        <w:widowControl w:val="0"/>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Watson, R., &amp; Wilson, N. (2002). Small and medium size enterprise financing: A note on some of the empirical implications of a pecking order. </w:t>
      </w:r>
      <w:r w:rsidRPr="00DE44E1">
        <w:rPr>
          <w:rFonts w:ascii="Times New Roman" w:hAnsi="Times New Roman"/>
          <w:i/>
          <w:sz w:val="24"/>
          <w:szCs w:val="24"/>
          <w:lang w:val="en-US"/>
        </w:rPr>
        <w:t>Journal of Business Finance &amp; Accounting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29</w:t>
      </w:r>
      <w:r w:rsidRPr="00DE44E1">
        <w:rPr>
          <w:rFonts w:ascii="Times New Roman" w:hAnsi="Times New Roman"/>
          <w:sz w:val="24"/>
          <w:szCs w:val="24"/>
          <w:lang w:val="en-US"/>
        </w:rPr>
        <w:t>(3-4), 557-578.</w:t>
      </w:r>
    </w:p>
    <w:p w:rsidR="00041DF5" w:rsidRPr="00DE44E1" w:rsidRDefault="00041DF5" w:rsidP="008B09F2">
      <w:pPr>
        <w:widowControl w:val="0"/>
        <w:tabs>
          <w:tab w:val="left" w:pos="425"/>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 xml:space="preserve">Weber, G. W., Batmaz, I., Köksal, G., Taylan, P., &amp; Yerlikaya-Özkurt, F. (2012). CMARS: a new contribution to nonparametric regression with multivariate adaptive regression splines supported by continuous optimization. </w:t>
      </w:r>
      <w:r w:rsidRPr="00DE44E1">
        <w:rPr>
          <w:rFonts w:ascii="Times New Roman" w:hAnsi="Times New Roman"/>
          <w:i/>
          <w:sz w:val="24"/>
          <w:szCs w:val="24"/>
          <w:lang w:val="en-US"/>
        </w:rPr>
        <w:t>Inverse Problems in Science and Engineering</w:t>
      </w:r>
      <w:r w:rsidRPr="00DE44E1">
        <w:rPr>
          <w:rFonts w:ascii="Times New Roman" w:hAnsi="Times New Roman"/>
          <w:sz w:val="24"/>
          <w:szCs w:val="24"/>
          <w:lang w:val="en-US"/>
        </w:rPr>
        <w:t xml:space="preserve">, </w:t>
      </w:r>
      <w:r w:rsidRPr="00DE44E1">
        <w:rPr>
          <w:rFonts w:ascii="Times New Roman" w:hAnsi="Times New Roman"/>
          <w:i/>
          <w:sz w:val="24"/>
          <w:szCs w:val="24"/>
          <w:lang w:val="en-US"/>
        </w:rPr>
        <w:t>20</w:t>
      </w:r>
      <w:r w:rsidRPr="00DE44E1">
        <w:rPr>
          <w:rFonts w:ascii="Times New Roman" w:hAnsi="Times New Roman"/>
          <w:sz w:val="24"/>
          <w:szCs w:val="24"/>
          <w:lang w:val="en-US"/>
        </w:rPr>
        <w:t>(3), 371-400.</w:t>
      </w:r>
    </w:p>
    <w:p w:rsidR="00041DF5" w:rsidRPr="00041DF5" w:rsidRDefault="00041DF5" w:rsidP="00041DF5">
      <w:pPr>
        <w:widowControl w:val="0"/>
        <w:tabs>
          <w:tab w:val="left" w:pos="425"/>
        </w:tabs>
        <w:spacing w:after="0" w:line="240" w:lineRule="auto"/>
        <w:ind w:left="425" w:hanging="425"/>
        <w:jc w:val="both"/>
        <w:rPr>
          <w:rFonts w:ascii="Times New Roman" w:hAnsi="Times New Roman"/>
          <w:sz w:val="24"/>
          <w:szCs w:val="24"/>
          <w:lang w:val="en-US"/>
        </w:rPr>
      </w:pPr>
      <w:r w:rsidRPr="00DE44E1">
        <w:rPr>
          <w:rFonts w:ascii="Times New Roman" w:hAnsi="Times New Roman"/>
          <w:sz w:val="24"/>
          <w:szCs w:val="24"/>
          <w:lang w:val="en-US"/>
        </w:rPr>
        <w:t>Zmijewski, M. (1984). Methodological issues related to the estimation of financial distress prediction models. Journal of Accounting Research, 22, 59</w:t>
      </w:r>
      <w:r w:rsidRPr="00DE44E1">
        <w:rPr>
          <w:rFonts w:ascii="Cambria Math" w:hAnsi="Cambria Math" w:cs="Cambria Math"/>
          <w:sz w:val="24"/>
          <w:szCs w:val="24"/>
          <w:lang w:val="en-US"/>
        </w:rPr>
        <w:t>‐</w:t>
      </w:r>
      <w:r w:rsidRPr="00DE44E1">
        <w:rPr>
          <w:rFonts w:ascii="Times New Roman" w:hAnsi="Times New Roman"/>
          <w:sz w:val="24"/>
          <w:szCs w:val="24"/>
          <w:lang w:val="en-US"/>
        </w:rPr>
        <w:t>82.</w:t>
      </w:r>
    </w:p>
    <w:sectPr w:rsidR="00041DF5" w:rsidRPr="00041DF5" w:rsidSect="00D838BB">
      <w:footerReference w:type="even" r:id="rId27"/>
      <w:footerReference w:type="default" r:id="rId28"/>
      <w:footerReference w:type="first" r:id="rId29"/>
      <w:type w:val="oddPage"/>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FD" w:rsidRDefault="00AB04FD" w:rsidP="003C19A6">
      <w:pPr>
        <w:spacing w:after="0" w:line="240" w:lineRule="auto"/>
      </w:pPr>
      <w:r>
        <w:separator/>
      </w:r>
    </w:p>
  </w:endnote>
  <w:endnote w:type="continuationSeparator" w:id="0">
    <w:p w:rsidR="00AB04FD" w:rsidRDefault="00AB04FD" w:rsidP="003C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DB" w:rsidRDefault="006542DB" w:rsidP="004760D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DB" w:rsidRDefault="006542DB" w:rsidP="004760D1">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DB" w:rsidRPr="00BA26A8" w:rsidRDefault="006542DB" w:rsidP="000D6F57">
    <w:pPr>
      <w:pStyle w:val="Pidipagina"/>
      <w:tabs>
        <w:tab w:val="clear" w:pos="4819"/>
        <w:tab w:val="clear" w:pos="9638"/>
        <w:tab w:val="left" w:pos="7371"/>
      </w:tabs>
      <w:ind w:right="-1"/>
      <w:jc w:val="center"/>
      <w:rPr>
        <w:rFonts w:ascii="Times New Roman" w:hAnsi="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FD" w:rsidRDefault="00AB04FD" w:rsidP="003C19A6">
      <w:pPr>
        <w:spacing w:after="0" w:line="240" w:lineRule="auto"/>
      </w:pPr>
      <w:r>
        <w:separator/>
      </w:r>
    </w:p>
  </w:footnote>
  <w:footnote w:type="continuationSeparator" w:id="0">
    <w:p w:rsidR="00AB04FD" w:rsidRDefault="00AB04FD" w:rsidP="003C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91C"/>
    <w:multiLevelType w:val="hybridMultilevel"/>
    <w:tmpl w:val="64323B42"/>
    <w:lvl w:ilvl="0" w:tplc="FE688E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44917DD"/>
    <w:multiLevelType w:val="hybridMultilevel"/>
    <w:tmpl w:val="EC98483C"/>
    <w:lvl w:ilvl="0" w:tplc="3704DFD8">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5F30CF"/>
    <w:multiLevelType w:val="hybridMultilevel"/>
    <w:tmpl w:val="4B7662E4"/>
    <w:lvl w:ilvl="0" w:tplc="50C2B47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C2924"/>
    <w:multiLevelType w:val="hybridMultilevel"/>
    <w:tmpl w:val="222E9D3C"/>
    <w:lvl w:ilvl="0" w:tplc="0410000F">
      <w:start w:val="1"/>
      <w:numFmt w:val="decimal"/>
      <w:lvlText w:val="%1."/>
      <w:lvlJc w:val="left"/>
      <w:pPr>
        <w:tabs>
          <w:tab w:val="num" w:pos="700"/>
        </w:tabs>
        <w:ind w:left="700" w:hanging="360"/>
      </w:pPr>
      <w:rPr>
        <w:rFonts w:cs="Times New Roman"/>
      </w:rPr>
    </w:lvl>
    <w:lvl w:ilvl="1" w:tplc="04100019" w:tentative="1">
      <w:start w:val="1"/>
      <w:numFmt w:val="lowerLetter"/>
      <w:lvlText w:val="%2."/>
      <w:lvlJc w:val="left"/>
      <w:pPr>
        <w:tabs>
          <w:tab w:val="num" w:pos="1420"/>
        </w:tabs>
        <w:ind w:left="1420" w:hanging="360"/>
      </w:pPr>
      <w:rPr>
        <w:rFonts w:cs="Times New Roman"/>
      </w:rPr>
    </w:lvl>
    <w:lvl w:ilvl="2" w:tplc="0410001B" w:tentative="1">
      <w:start w:val="1"/>
      <w:numFmt w:val="lowerRoman"/>
      <w:lvlText w:val="%3."/>
      <w:lvlJc w:val="right"/>
      <w:pPr>
        <w:tabs>
          <w:tab w:val="num" w:pos="2140"/>
        </w:tabs>
        <w:ind w:left="2140" w:hanging="180"/>
      </w:pPr>
      <w:rPr>
        <w:rFonts w:cs="Times New Roman"/>
      </w:rPr>
    </w:lvl>
    <w:lvl w:ilvl="3" w:tplc="0410000F" w:tentative="1">
      <w:start w:val="1"/>
      <w:numFmt w:val="decimal"/>
      <w:lvlText w:val="%4."/>
      <w:lvlJc w:val="left"/>
      <w:pPr>
        <w:tabs>
          <w:tab w:val="num" w:pos="2860"/>
        </w:tabs>
        <w:ind w:left="2860" w:hanging="360"/>
      </w:pPr>
      <w:rPr>
        <w:rFonts w:cs="Times New Roman"/>
      </w:rPr>
    </w:lvl>
    <w:lvl w:ilvl="4" w:tplc="04100019" w:tentative="1">
      <w:start w:val="1"/>
      <w:numFmt w:val="lowerLetter"/>
      <w:lvlText w:val="%5."/>
      <w:lvlJc w:val="left"/>
      <w:pPr>
        <w:tabs>
          <w:tab w:val="num" w:pos="3580"/>
        </w:tabs>
        <w:ind w:left="3580" w:hanging="360"/>
      </w:pPr>
      <w:rPr>
        <w:rFonts w:cs="Times New Roman"/>
      </w:rPr>
    </w:lvl>
    <w:lvl w:ilvl="5" w:tplc="0410001B" w:tentative="1">
      <w:start w:val="1"/>
      <w:numFmt w:val="lowerRoman"/>
      <w:lvlText w:val="%6."/>
      <w:lvlJc w:val="right"/>
      <w:pPr>
        <w:tabs>
          <w:tab w:val="num" w:pos="4300"/>
        </w:tabs>
        <w:ind w:left="4300" w:hanging="180"/>
      </w:pPr>
      <w:rPr>
        <w:rFonts w:cs="Times New Roman"/>
      </w:rPr>
    </w:lvl>
    <w:lvl w:ilvl="6" w:tplc="0410000F" w:tentative="1">
      <w:start w:val="1"/>
      <w:numFmt w:val="decimal"/>
      <w:lvlText w:val="%7."/>
      <w:lvlJc w:val="left"/>
      <w:pPr>
        <w:tabs>
          <w:tab w:val="num" w:pos="5020"/>
        </w:tabs>
        <w:ind w:left="5020" w:hanging="360"/>
      </w:pPr>
      <w:rPr>
        <w:rFonts w:cs="Times New Roman"/>
      </w:rPr>
    </w:lvl>
    <w:lvl w:ilvl="7" w:tplc="04100019" w:tentative="1">
      <w:start w:val="1"/>
      <w:numFmt w:val="lowerLetter"/>
      <w:lvlText w:val="%8."/>
      <w:lvlJc w:val="left"/>
      <w:pPr>
        <w:tabs>
          <w:tab w:val="num" w:pos="5740"/>
        </w:tabs>
        <w:ind w:left="5740" w:hanging="360"/>
      </w:pPr>
      <w:rPr>
        <w:rFonts w:cs="Times New Roman"/>
      </w:rPr>
    </w:lvl>
    <w:lvl w:ilvl="8" w:tplc="0410001B" w:tentative="1">
      <w:start w:val="1"/>
      <w:numFmt w:val="lowerRoman"/>
      <w:lvlText w:val="%9."/>
      <w:lvlJc w:val="right"/>
      <w:pPr>
        <w:tabs>
          <w:tab w:val="num" w:pos="6460"/>
        </w:tabs>
        <w:ind w:left="6460" w:hanging="180"/>
      </w:pPr>
      <w:rPr>
        <w:rFonts w:cs="Times New Roman"/>
      </w:rPr>
    </w:lvl>
  </w:abstractNum>
  <w:abstractNum w:abstractNumId="4" w15:restartNumberingAfterBreak="0">
    <w:nsid w:val="1BB4738C"/>
    <w:multiLevelType w:val="multilevel"/>
    <w:tmpl w:val="6F72EB4C"/>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CD37382"/>
    <w:multiLevelType w:val="hybridMultilevel"/>
    <w:tmpl w:val="6A105DD4"/>
    <w:lvl w:ilvl="0" w:tplc="D3B0B98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051D9E"/>
    <w:multiLevelType w:val="hybridMultilevel"/>
    <w:tmpl w:val="EE861D66"/>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07732"/>
    <w:multiLevelType w:val="hybridMultilevel"/>
    <w:tmpl w:val="27C2877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3BA523F"/>
    <w:multiLevelType w:val="hybridMultilevel"/>
    <w:tmpl w:val="89B8FCF4"/>
    <w:lvl w:ilvl="0" w:tplc="0410000F">
      <w:start w:val="1"/>
      <w:numFmt w:val="decimal"/>
      <w:lvlText w:val="%1."/>
      <w:lvlJc w:val="left"/>
      <w:pPr>
        <w:tabs>
          <w:tab w:val="num" w:pos="700"/>
        </w:tabs>
        <w:ind w:left="700"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28673D5F"/>
    <w:multiLevelType w:val="hybridMultilevel"/>
    <w:tmpl w:val="2F8C6604"/>
    <w:lvl w:ilvl="0" w:tplc="0A70BCC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89F2003"/>
    <w:multiLevelType w:val="hybridMultilevel"/>
    <w:tmpl w:val="772C6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231184"/>
    <w:multiLevelType w:val="hybridMultilevel"/>
    <w:tmpl w:val="5FD27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736B9F"/>
    <w:multiLevelType w:val="hybridMultilevel"/>
    <w:tmpl w:val="6392616A"/>
    <w:lvl w:ilvl="0" w:tplc="8CCAAD64">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1054DAA"/>
    <w:multiLevelType w:val="hybridMultilevel"/>
    <w:tmpl w:val="7110F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EB4C50"/>
    <w:multiLevelType w:val="hybridMultilevel"/>
    <w:tmpl w:val="23AE4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2D5A1F"/>
    <w:multiLevelType w:val="hybridMultilevel"/>
    <w:tmpl w:val="A0CC1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725490F"/>
    <w:multiLevelType w:val="hybridMultilevel"/>
    <w:tmpl w:val="6598E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EA3A48"/>
    <w:multiLevelType w:val="hybridMultilevel"/>
    <w:tmpl w:val="1D9C46C0"/>
    <w:lvl w:ilvl="0" w:tplc="9B08FF9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E1B5BCE"/>
    <w:multiLevelType w:val="hybridMultilevel"/>
    <w:tmpl w:val="DC8203E4"/>
    <w:lvl w:ilvl="0" w:tplc="CF20AC84">
      <w:start w:val="4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472A1D"/>
    <w:multiLevelType w:val="hybridMultilevel"/>
    <w:tmpl w:val="CE18F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3255A0"/>
    <w:multiLevelType w:val="hybridMultilevel"/>
    <w:tmpl w:val="C3703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9B3384"/>
    <w:multiLevelType w:val="hybridMultilevel"/>
    <w:tmpl w:val="159C48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D2E162A"/>
    <w:multiLevelType w:val="hybridMultilevel"/>
    <w:tmpl w:val="08CCBF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DA6D0A"/>
    <w:multiLevelType w:val="hybridMultilevel"/>
    <w:tmpl w:val="BE9E306A"/>
    <w:lvl w:ilvl="0" w:tplc="A1F6E6D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40929BD"/>
    <w:multiLevelType w:val="hybridMultilevel"/>
    <w:tmpl w:val="6E5E856E"/>
    <w:lvl w:ilvl="0" w:tplc="0E58AFC4">
      <w:start w:val="1101"/>
      <w:numFmt w:val="bullet"/>
      <w:lvlText w:val="-"/>
      <w:lvlJc w:val="left"/>
      <w:pPr>
        <w:ind w:left="785" w:hanging="360"/>
      </w:pPr>
      <w:rPr>
        <w:rFonts w:ascii="Times New Roman" w:eastAsia="Calibri"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5" w15:restartNumberingAfterBreak="0">
    <w:nsid w:val="58144E46"/>
    <w:multiLevelType w:val="hybridMultilevel"/>
    <w:tmpl w:val="7AC68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241336"/>
    <w:multiLevelType w:val="hybridMultilevel"/>
    <w:tmpl w:val="CAACD5BC"/>
    <w:lvl w:ilvl="0" w:tplc="B0F4F4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02F25"/>
    <w:multiLevelType w:val="hybridMultilevel"/>
    <w:tmpl w:val="D93C95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0B3034"/>
    <w:multiLevelType w:val="hybridMultilevel"/>
    <w:tmpl w:val="DC0C7B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2EA5704"/>
    <w:multiLevelType w:val="hybridMultilevel"/>
    <w:tmpl w:val="8FBCB7F8"/>
    <w:lvl w:ilvl="0" w:tplc="2780BD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D5744E"/>
    <w:multiLevelType w:val="hybridMultilevel"/>
    <w:tmpl w:val="65B66E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767F2CE6"/>
    <w:multiLevelType w:val="hybridMultilevel"/>
    <w:tmpl w:val="82521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E530C0"/>
    <w:multiLevelType w:val="hybridMultilevel"/>
    <w:tmpl w:val="1B7CA98C"/>
    <w:lvl w:ilvl="0" w:tplc="5EDA6D2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CF69BA"/>
    <w:multiLevelType w:val="hybridMultilevel"/>
    <w:tmpl w:val="C8B41EFA"/>
    <w:lvl w:ilvl="0" w:tplc="C2B06504">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3"/>
  </w:num>
  <w:num w:numId="3">
    <w:abstractNumId w:val="5"/>
  </w:num>
  <w:num w:numId="4">
    <w:abstractNumId w:val="25"/>
  </w:num>
  <w:num w:numId="5">
    <w:abstractNumId w:val="16"/>
  </w:num>
  <w:num w:numId="6">
    <w:abstractNumId w:val="22"/>
  </w:num>
  <w:num w:numId="7">
    <w:abstractNumId w:val="0"/>
  </w:num>
  <w:num w:numId="8">
    <w:abstractNumId w:val="20"/>
  </w:num>
  <w:num w:numId="9">
    <w:abstractNumId w:val="18"/>
  </w:num>
  <w:num w:numId="10">
    <w:abstractNumId w:val="27"/>
  </w:num>
  <w:num w:numId="11">
    <w:abstractNumId w:val="2"/>
  </w:num>
  <w:num w:numId="12">
    <w:abstractNumId w:val="26"/>
  </w:num>
  <w:num w:numId="13">
    <w:abstractNumId w:val="1"/>
  </w:num>
  <w:num w:numId="14">
    <w:abstractNumId w:val="32"/>
  </w:num>
  <w:num w:numId="15">
    <w:abstractNumId w:val="10"/>
  </w:num>
  <w:num w:numId="16">
    <w:abstractNumId w:val="31"/>
  </w:num>
  <w:num w:numId="17">
    <w:abstractNumId w:val="14"/>
  </w:num>
  <w:num w:numId="18">
    <w:abstractNumId w:val="11"/>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3"/>
  </w:num>
  <w:num w:numId="25">
    <w:abstractNumId w:val="28"/>
  </w:num>
  <w:num w:numId="26">
    <w:abstractNumId w:val="12"/>
  </w:num>
  <w:num w:numId="27">
    <w:abstractNumId w:val="30"/>
  </w:num>
  <w:num w:numId="28">
    <w:abstractNumId w:val="15"/>
  </w:num>
  <w:num w:numId="29">
    <w:abstractNumId w:val="7"/>
  </w:num>
  <w:num w:numId="30">
    <w:abstractNumId w:val="9"/>
  </w:num>
  <w:num w:numId="31">
    <w:abstractNumId w:val="17"/>
  </w:num>
  <w:num w:numId="32">
    <w:abstractNumId w:val="21"/>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00A07"/>
    <w:rsid w:val="00001971"/>
    <w:rsid w:val="0000306E"/>
    <w:rsid w:val="00006D63"/>
    <w:rsid w:val="000100C6"/>
    <w:rsid w:val="0001011F"/>
    <w:rsid w:val="000102F4"/>
    <w:rsid w:val="00012F27"/>
    <w:rsid w:val="000139A3"/>
    <w:rsid w:val="000156DB"/>
    <w:rsid w:val="00016479"/>
    <w:rsid w:val="000202C0"/>
    <w:rsid w:val="00023356"/>
    <w:rsid w:val="00024F41"/>
    <w:rsid w:val="00025ABE"/>
    <w:rsid w:val="00027607"/>
    <w:rsid w:val="00027999"/>
    <w:rsid w:val="0003121A"/>
    <w:rsid w:val="0003275F"/>
    <w:rsid w:val="00033226"/>
    <w:rsid w:val="00033BD8"/>
    <w:rsid w:val="00034567"/>
    <w:rsid w:val="00035B42"/>
    <w:rsid w:val="00040AB4"/>
    <w:rsid w:val="00041DF5"/>
    <w:rsid w:val="0004331A"/>
    <w:rsid w:val="0004450B"/>
    <w:rsid w:val="00044F8E"/>
    <w:rsid w:val="00045896"/>
    <w:rsid w:val="000465F4"/>
    <w:rsid w:val="00046B94"/>
    <w:rsid w:val="00047A40"/>
    <w:rsid w:val="00052A2A"/>
    <w:rsid w:val="00056527"/>
    <w:rsid w:val="00057467"/>
    <w:rsid w:val="00063DF8"/>
    <w:rsid w:val="00064108"/>
    <w:rsid w:val="00064FCB"/>
    <w:rsid w:val="00065312"/>
    <w:rsid w:val="000659D8"/>
    <w:rsid w:val="00070377"/>
    <w:rsid w:val="000712A5"/>
    <w:rsid w:val="00076A73"/>
    <w:rsid w:val="000773A4"/>
    <w:rsid w:val="00077601"/>
    <w:rsid w:val="00080B54"/>
    <w:rsid w:val="0008123D"/>
    <w:rsid w:val="000816E9"/>
    <w:rsid w:val="00082C47"/>
    <w:rsid w:val="00083B4E"/>
    <w:rsid w:val="0008407D"/>
    <w:rsid w:val="00085EF5"/>
    <w:rsid w:val="0009063B"/>
    <w:rsid w:val="000946F8"/>
    <w:rsid w:val="000963CD"/>
    <w:rsid w:val="000975CA"/>
    <w:rsid w:val="000A01E7"/>
    <w:rsid w:val="000A01EF"/>
    <w:rsid w:val="000A1F31"/>
    <w:rsid w:val="000A6EC2"/>
    <w:rsid w:val="000B1122"/>
    <w:rsid w:val="000B3E05"/>
    <w:rsid w:val="000B44C8"/>
    <w:rsid w:val="000B6C16"/>
    <w:rsid w:val="000C00C8"/>
    <w:rsid w:val="000C3D03"/>
    <w:rsid w:val="000C697C"/>
    <w:rsid w:val="000C7889"/>
    <w:rsid w:val="000D0820"/>
    <w:rsid w:val="000D1647"/>
    <w:rsid w:val="000D2014"/>
    <w:rsid w:val="000D347A"/>
    <w:rsid w:val="000D3DBF"/>
    <w:rsid w:val="000D448A"/>
    <w:rsid w:val="000D4945"/>
    <w:rsid w:val="000D5D34"/>
    <w:rsid w:val="000D6F57"/>
    <w:rsid w:val="000E14BE"/>
    <w:rsid w:val="000E1D4C"/>
    <w:rsid w:val="000E2E05"/>
    <w:rsid w:val="000E37DD"/>
    <w:rsid w:val="000E72A8"/>
    <w:rsid w:val="000E794D"/>
    <w:rsid w:val="000F14AA"/>
    <w:rsid w:val="000F1C41"/>
    <w:rsid w:val="000F2514"/>
    <w:rsid w:val="000F54C3"/>
    <w:rsid w:val="000F5DF9"/>
    <w:rsid w:val="000F64E9"/>
    <w:rsid w:val="000F6B3F"/>
    <w:rsid w:val="00103B53"/>
    <w:rsid w:val="00104890"/>
    <w:rsid w:val="001049B6"/>
    <w:rsid w:val="001060C9"/>
    <w:rsid w:val="00106F50"/>
    <w:rsid w:val="00107D39"/>
    <w:rsid w:val="00111855"/>
    <w:rsid w:val="00112DFE"/>
    <w:rsid w:val="00113672"/>
    <w:rsid w:val="001147F0"/>
    <w:rsid w:val="0011640D"/>
    <w:rsid w:val="00121461"/>
    <w:rsid w:val="00122B58"/>
    <w:rsid w:val="00123334"/>
    <w:rsid w:val="001246DA"/>
    <w:rsid w:val="001249A8"/>
    <w:rsid w:val="00125E77"/>
    <w:rsid w:val="0012778B"/>
    <w:rsid w:val="0012793D"/>
    <w:rsid w:val="00132015"/>
    <w:rsid w:val="00133374"/>
    <w:rsid w:val="00133CEB"/>
    <w:rsid w:val="0013468E"/>
    <w:rsid w:val="0013517F"/>
    <w:rsid w:val="001357D3"/>
    <w:rsid w:val="00135EE1"/>
    <w:rsid w:val="00137733"/>
    <w:rsid w:val="001419FB"/>
    <w:rsid w:val="00141D21"/>
    <w:rsid w:val="00142C72"/>
    <w:rsid w:val="00143121"/>
    <w:rsid w:val="0014521B"/>
    <w:rsid w:val="00145499"/>
    <w:rsid w:val="001462C6"/>
    <w:rsid w:val="001474A0"/>
    <w:rsid w:val="001504B4"/>
    <w:rsid w:val="00150F9F"/>
    <w:rsid w:val="00154A59"/>
    <w:rsid w:val="001555C8"/>
    <w:rsid w:val="00155C24"/>
    <w:rsid w:val="001601DF"/>
    <w:rsid w:val="0016040E"/>
    <w:rsid w:val="001620D9"/>
    <w:rsid w:val="00162575"/>
    <w:rsid w:val="00162CD5"/>
    <w:rsid w:val="0016345A"/>
    <w:rsid w:val="001648D4"/>
    <w:rsid w:val="001664A4"/>
    <w:rsid w:val="001665B7"/>
    <w:rsid w:val="001669E1"/>
    <w:rsid w:val="0017093E"/>
    <w:rsid w:val="001720B7"/>
    <w:rsid w:val="0017342F"/>
    <w:rsid w:val="00176499"/>
    <w:rsid w:val="00177872"/>
    <w:rsid w:val="0018490C"/>
    <w:rsid w:val="00185CBF"/>
    <w:rsid w:val="001869B5"/>
    <w:rsid w:val="00191E31"/>
    <w:rsid w:val="00194D90"/>
    <w:rsid w:val="001A1285"/>
    <w:rsid w:val="001A1648"/>
    <w:rsid w:val="001A287E"/>
    <w:rsid w:val="001A2ED2"/>
    <w:rsid w:val="001A36AB"/>
    <w:rsid w:val="001A5C63"/>
    <w:rsid w:val="001A6882"/>
    <w:rsid w:val="001A7A40"/>
    <w:rsid w:val="001B02AB"/>
    <w:rsid w:val="001B02CF"/>
    <w:rsid w:val="001B186B"/>
    <w:rsid w:val="001B2FC0"/>
    <w:rsid w:val="001B3716"/>
    <w:rsid w:val="001B383E"/>
    <w:rsid w:val="001B5BA1"/>
    <w:rsid w:val="001B6EC1"/>
    <w:rsid w:val="001B7368"/>
    <w:rsid w:val="001B7D72"/>
    <w:rsid w:val="001C324A"/>
    <w:rsid w:val="001C5590"/>
    <w:rsid w:val="001C5FD3"/>
    <w:rsid w:val="001C635E"/>
    <w:rsid w:val="001D05EC"/>
    <w:rsid w:val="001D0DB2"/>
    <w:rsid w:val="001D3608"/>
    <w:rsid w:val="001D4417"/>
    <w:rsid w:val="001D44C8"/>
    <w:rsid w:val="001E16AD"/>
    <w:rsid w:val="001E1CEB"/>
    <w:rsid w:val="001E273E"/>
    <w:rsid w:val="001E4DBF"/>
    <w:rsid w:val="001E51B5"/>
    <w:rsid w:val="001E7B29"/>
    <w:rsid w:val="001F069A"/>
    <w:rsid w:val="001F08D0"/>
    <w:rsid w:val="001F0F22"/>
    <w:rsid w:val="001F1348"/>
    <w:rsid w:val="001F21D6"/>
    <w:rsid w:val="001F664E"/>
    <w:rsid w:val="001F7012"/>
    <w:rsid w:val="001F7E4A"/>
    <w:rsid w:val="00200225"/>
    <w:rsid w:val="00200806"/>
    <w:rsid w:val="00200CA9"/>
    <w:rsid w:val="00202AEC"/>
    <w:rsid w:val="002031F3"/>
    <w:rsid w:val="00203270"/>
    <w:rsid w:val="0020574E"/>
    <w:rsid w:val="0020754D"/>
    <w:rsid w:val="002139BC"/>
    <w:rsid w:val="00215C41"/>
    <w:rsid w:val="002163FA"/>
    <w:rsid w:val="002203D6"/>
    <w:rsid w:val="00220401"/>
    <w:rsid w:val="00221BDC"/>
    <w:rsid w:val="00225920"/>
    <w:rsid w:val="00236574"/>
    <w:rsid w:val="00236891"/>
    <w:rsid w:val="0023689D"/>
    <w:rsid w:val="002402CA"/>
    <w:rsid w:val="002432A9"/>
    <w:rsid w:val="002433B8"/>
    <w:rsid w:val="00243EDC"/>
    <w:rsid w:val="002441D9"/>
    <w:rsid w:val="002446C6"/>
    <w:rsid w:val="00246A05"/>
    <w:rsid w:val="00246CEB"/>
    <w:rsid w:val="00247EF6"/>
    <w:rsid w:val="00250F51"/>
    <w:rsid w:val="00251ED7"/>
    <w:rsid w:val="00253DDE"/>
    <w:rsid w:val="00254193"/>
    <w:rsid w:val="00254597"/>
    <w:rsid w:val="00255749"/>
    <w:rsid w:val="002562A7"/>
    <w:rsid w:val="00256D00"/>
    <w:rsid w:val="002575AA"/>
    <w:rsid w:val="00261207"/>
    <w:rsid w:val="002620FD"/>
    <w:rsid w:val="00265EBC"/>
    <w:rsid w:val="002671F1"/>
    <w:rsid w:val="002678F4"/>
    <w:rsid w:val="00267CCC"/>
    <w:rsid w:val="0027051B"/>
    <w:rsid w:val="00274F57"/>
    <w:rsid w:val="0027514D"/>
    <w:rsid w:val="00275445"/>
    <w:rsid w:val="00276156"/>
    <w:rsid w:val="00276292"/>
    <w:rsid w:val="0028176E"/>
    <w:rsid w:val="00284B3A"/>
    <w:rsid w:val="002A098A"/>
    <w:rsid w:val="002A0E0C"/>
    <w:rsid w:val="002A131A"/>
    <w:rsid w:val="002A4DFC"/>
    <w:rsid w:val="002A50C0"/>
    <w:rsid w:val="002A7610"/>
    <w:rsid w:val="002A7FF8"/>
    <w:rsid w:val="002B0498"/>
    <w:rsid w:val="002B0B1C"/>
    <w:rsid w:val="002B18AC"/>
    <w:rsid w:val="002B3E8A"/>
    <w:rsid w:val="002B5404"/>
    <w:rsid w:val="002B7A39"/>
    <w:rsid w:val="002C0795"/>
    <w:rsid w:val="002C30D2"/>
    <w:rsid w:val="002C3EB1"/>
    <w:rsid w:val="002C4F5A"/>
    <w:rsid w:val="002C5B9B"/>
    <w:rsid w:val="002C5E9D"/>
    <w:rsid w:val="002C7ACF"/>
    <w:rsid w:val="002D167C"/>
    <w:rsid w:val="002D1764"/>
    <w:rsid w:val="002D1B73"/>
    <w:rsid w:val="002D5469"/>
    <w:rsid w:val="002D59A9"/>
    <w:rsid w:val="002D6235"/>
    <w:rsid w:val="002E0327"/>
    <w:rsid w:val="002E2DD4"/>
    <w:rsid w:val="002E3C99"/>
    <w:rsid w:val="002E40C5"/>
    <w:rsid w:val="002E4815"/>
    <w:rsid w:val="002E4F11"/>
    <w:rsid w:val="002E64A3"/>
    <w:rsid w:val="002E78F5"/>
    <w:rsid w:val="002F0515"/>
    <w:rsid w:val="002F05AA"/>
    <w:rsid w:val="002F1B26"/>
    <w:rsid w:val="002F2239"/>
    <w:rsid w:val="002F2E0B"/>
    <w:rsid w:val="00303A9B"/>
    <w:rsid w:val="00304AFB"/>
    <w:rsid w:val="00305C51"/>
    <w:rsid w:val="00307213"/>
    <w:rsid w:val="00312380"/>
    <w:rsid w:val="00313AD7"/>
    <w:rsid w:val="003154DB"/>
    <w:rsid w:val="00315E36"/>
    <w:rsid w:val="0031630D"/>
    <w:rsid w:val="00317074"/>
    <w:rsid w:val="00317F77"/>
    <w:rsid w:val="00320ADD"/>
    <w:rsid w:val="00320B53"/>
    <w:rsid w:val="003220C9"/>
    <w:rsid w:val="003221F1"/>
    <w:rsid w:val="00326298"/>
    <w:rsid w:val="00327051"/>
    <w:rsid w:val="0033245D"/>
    <w:rsid w:val="003327DD"/>
    <w:rsid w:val="003338AD"/>
    <w:rsid w:val="003351B6"/>
    <w:rsid w:val="003362A5"/>
    <w:rsid w:val="00336D06"/>
    <w:rsid w:val="003409C7"/>
    <w:rsid w:val="0034152D"/>
    <w:rsid w:val="00342588"/>
    <w:rsid w:val="0034399D"/>
    <w:rsid w:val="00343CBD"/>
    <w:rsid w:val="003456A5"/>
    <w:rsid w:val="003504A8"/>
    <w:rsid w:val="003521A7"/>
    <w:rsid w:val="00353117"/>
    <w:rsid w:val="00353F4E"/>
    <w:rsid w:val="003549DD"/>
    <w:rsid w:val="003565EA"/>
    <w:rsid w:val="0036148D"/>
    <w:rsid w:val="00362345"/>
    <w:rsid w:val="00362411"/>
    <w:rsid w:val="00364B8F"/>
    <w:rsid w:val="00364D48"/>
    <w:rsid w:val="00365131"/>
    <w:rsid w:val="00373937"/>
    <w:rsid w:val="00381A26"/>
    <w:rsid w:val="0038314F"/>
    <w:rsid w:val="00384407"/>
    <w:rsid w:val="00385578"/>
    <w:rsid w:val="00387639"/>
    <w:rsid w:val="003901E2"/>
    <w:rsid w:val="003913A2"/>
    <w:rsid w:val="003917FF"/>
    <w:rsid w:val="00393AB8"/>
    <w:rsid w:val="00394DE4"/>
    <w:rsid w:val="003A0280"/>
    <w:rsid w:val="003A062D"/>
    <w:rsid w:val="003A0A8B"/>
    <w:rsid w:val="003A0DB4"/>
    <w:rsid w:val="003A1712"/>
    <w:rsid w:val="003A3216"/>
    <w:rsid w:val="003A3782"/>
    <w:rsid w:val="003B0CC2"/>
    <w:rsid w:val="003B17DE"/>
    <w:rsid w:val="003B2F2F"/>
    <w:rsid w:val="003B49E6"/>
    <w:rsid w:val="003B58A4"/>
    <w:rsid w:val="003B6F6E"/>
    <w:rsid w:val="003B7F1C"/>
    <w:rsid w:val="003C19A6"/>
    <w:rsid w:val="003C2069"/>
    <w:rsid w:val="003C2FBE"/>
    <w:rsid w:val="003D21B7"/>
    <w:rsid w:val="003D40BD"/>
    <w:rsid w:val="003D4DA5"/>
    <w:rsid w:val="003D5EFF"/>
    <w:rsid w:val="003D7B7D"/>
    <w:rsid w:val="003E0D1E"/>
    <w:rsid w:val="003E0EA4"/>
    <w:rsid w:val="003E1CEC"/>
    <w:rsid w:val="003E35B0"/>
    <w:rsid w:val="003E392A"/>
    <w:rsid w:val="003E66A9"/>
    <w:rsid w:val="003E6CCE"/>
    <w:rsid w:val="003E7164"/>
    <w:rsid w:val="003F0A13"/>
    <w:rsid w:val="003F0D59"/>
    <w:rsid w:val="003F1567"/>
    <w:rsid w:val="003F255C"/>
    <w:rsid w:val="003F3CD6"/>
    <w:rsid w:val="003F42B9"/>
    <w:rsid w:val="003F6614"/>
    <w:rsid w:val="003F7A39"/>
    <w:rsid w:val="004001E6"/>
    <w:rsid w:val="004008ED"/>
    <w:rsid w:val="00401A1D"/>
    <w:rsid w:val="00402033"/>
    <w:rsid w:val="004024F5"/>
    <w:rsid w:val="004025CA"/>
    <w:rsid w:val="0040301B"/>
    <w:rsid w:val="00403768"/>
    <w:rsid w:val="00403819"/>
    <w:rsid w:val="00404195"/>
    <w:rsid w:val="00404EBA"/>
    <w:rsid w:val="00405A91"/>
    <w:rsid w:val="00405C75"/>
    <w:rsid w:val="004078F2"/>
    <w:rsid w:val="00407B1E"/>
    <w:rsid w:val="0041097B"/>
    <w:rsid w:val="0041126C"/>
    <w:rsid w:val="00411A6C"/>
    <w:rsid w:val="00413595"/>
    <w:rsid w:val="00413BFA"/>
    <w:rsid w:val="00415550"/>
    <w:rsid w:val="004159D8"/>
    <w:rsid w:val="00415B8E"/>
    <w:rsid w:val="0043678F"/>
    <w:rsid w:val="0043700D"/>
    <w:rsid w:val="004372CD"/>
    <w:rsid w:val="00437521"/>
    <w:rsid w:val="00441483"/>
    <w:rsid w:val="00441C00"/>
    <w:rsid w:val="00443F7C"/>
    <w:rsid w:val="0044490E"/>
    <w:rsid w:val="00444B6F"/>
    <w:rsid w:val="00445D7D"/>
    <w:rsid w:val="00446AB6"/>
    <w:rsid w:val="00450562"/>
    <w:rsid w:val="0045372E"/>
    <w:rsid w:val="00457358"/>
    <w:rsid w:val="00457CFD"/>
    <w:rsid w:val="00461022"/>
    <w:rsid w:val="0046158D"/>
    <w:rsid w:val="00461B0F"/>
    <w:rsid w:val="00462E96"/>
    <w:rsid w:val="00462EEC"/>
    <w:rsid w:val="00462F13"/>
    <w:rsid w:val="004633A3"/>
    <w:rsid w:val="00466D47"/>
    <w:rsid w:val="0046768E"/>
    <w:rsid w:val="00471059"/>
    <w:rsid w:val="00471CBE"/>
    <w:rsid w:val="00471E57"/>
    <w:rsid w:val="00473D74"/>
    <w:rsid w:val="004760D1"/>
    <w:rsid w:val="00483B2F"/>
    <w:rsid w:val="0048541A"/>
    <w:rsid w:val="00487D14"/>
    <w:rsid w:val="00490D65"/>
    <w:rsid w:val="004919B4"/>
    <w:rsid w:val="00493670"/>
    <w:rsid w:val="004938DF"/>
    <w:rsid w:val="00493BFE"/>
    <w:rsid w:val="00493FE0"/>
    <w:rsid w:val="00494FEA"/>
    <w:rsid w:val="00496272"/>
    <w:rsid w:val="004976E3"/>
    <w:rsid w:val="004A1D69"/>
    <w:rsid w:val="004A20B0"/>
    <w:rsid w:val="004A410E"/>
    <w:rsid w:val="004A5894"/>
    <w:rsid w:val="004A7B9C"/>
    <w:rsid w:val="004B15B6"/>
    <w:rsid w:val="004B5204"/>
    <w:rsid w:val="004C16B0"/>
    <w:rsid w:val="004C43BF"/>
    <w:rsid w:val="004C5299"/>
    <w:rsid w:val="004C593C"/>
    <w:rsid w:val="004C6055"/>
    <w:rsid w:val="004C67B3"/>
    <w:rsid w:val="004C708E"/>
    <w:rsid w:val="004D2A1A"/>
    <w:rsid w:val="004D5010"/>
    <w:rsid w:val="004D616A"/>
    <w:rsid w:val="004D6299"/>
    <w:rsid w:val="004D6AB3"/>
    <w:rsid w:val="004D7E9C"/>
    <w:rsid w:val="004E1283"/>
    <w:rsid w:val="004E316C"/>
    <w:rsid w:val="004E3C9E"/>
    <w:rsid w:val="004F0524"/>
    <w:rsid w:val="004F48FF"/>
    <w:rsid w:val="004F4BC5"/>
    <w:rsid w:val="005007CA"/>
    <w:rsid w:val="00500D3D"/>
    <w:rsid w:val="005067EB"/>
    <w:rsid w:val="00507117"/>
    <w:rsid w:val="00510307"/>
    <w:rsid w:val="00510FB2"/>
    <w:rsid w:val="0051230A"/>
    <w:rsid w:val="005136BA"/>
    <w:rsid w:val="005175FA"/>
    <w:rsid w:val="005204BB"/>
    <w:rsid w:val="00525625"/>
    <w:rsid w:val="00526E00"/>
    <w:rsid w:val="00527CA1"/>
    <w:rsid w:val="00531CFD"/>
    <w:rsid w:val="00532C6D"/>
    <w:rsid w:val="00535897"/>
    <w:rsid w:val="0053734D"/>
    <w:rsid w:val="00537666"/>
    <w:rsid w:val="00537DFC"/>
    <w:rsid w:val="00537EAF"/>
    <w:rsid w:val="00541636"/>
    <w:rsid w:val="00541FE8"/>
    <w:rsid w:val="005423B2"/>
    <w:rsid w:val="005451EF"/>
    <w:rsid w:val="0054545F"/>
    <w:rsid w:val="005461ED"/>
    <w:rsid w:val="005532A6"/>
    <w:rsid w:val="005537F8"/>
    <w:rsid w:val="005543F6"/>
    <w:rsid w:val="00554E1C"/>
    <w:rsid w:val="00555589"/>
    <w:rsid w:val="0056020E"/>
    <w:rsid w:val="00560424"/>
    <w:rsid w:val="00561F8A"/>
    <w:rsid w:val="00563B60"/>
    <w:rsid w:val="00564C09"/>
    <w:rsid w:val="00564E8E"/>
    <w:rsid w:val="00570451"/>
    <w:rsid w:val="00572625"/>
    <w:rsid w:val="005734D5"/>
    <w:rsid w:val="00573CB8"/>
    <w:rsid w:val="00575602"/>
    <w:rsid w:val="00576E9E"/>
    <w:rsid w:val="00581F7F"/>
    <w:rsid w:val="00585678"/>
    <w:rsid w:val="00590639"/>
    <w:rsid w:val="005909EC"/>
    <w:rsid w:val="0059307C"/>
    <w:rsid w:val="005933A8"/>
    <w:rsid w:val="0059448F"/>
    <w:rsid w:val="00597DE8"/>
    <w:rsid w:val="005A12A5"/>
    <w:rsid w:val="005A2215"/>
    <w:rsid w:val="005A618B"/>
    <w:rsid w:val="005B031C"/>
    <w:rsid w:val="005B05DF"/>
    <w:rsid w:val="005B0709"/>
    <w:rsid w:val="005B094E"/>
    <w:rsid w:val="005B1268"/>
    <w:rsid w:val="005B2149"/>
    <w:rsid w:val="005B3357"/>
    <w:rsid w:val="005B4CC2"/>
    <w:rsid w:val="005C0367"/>
    <w:rsid w:val="005C08A1"/>
    <w:rsid w:val="005C32E0"/>
    <w:rsid w:val="005C4F0D"/>
    <w:rsid w:val="005C630D"/>
    <w:rsid w:val="005C7478"/>
    <w:rsid w:val="005C7DE7"/>
    <w:rsid w:val="005D0958"/>
    <w:rsid w:val="005D0E8A"/>
    <w:rsid w:val="005D0E90"/>
    <w:rsid w:val="005D4B6B"/>
    <w:rsid w:val="005D7624"/>
    <w:rsid w:val="005E0707"/>
    <w:rsid w:val="005E0ACB"/>
    <w:rsid w:val="005E556E"/>
    <w:rsid w:val="005F13E3"/>
    <w:rsid w:val="005F196F"/>
    <w:rsid w:val="005F4D6F"/>
    <w:rsid w:val="005F50F7"/>
    <w:rsid w:val="005F52A0"/>
    <w:rsid w:val="005F5EF8"/>
    <w:rsid w:val="005F68F4"/>
    <w:rsid w:val="006002CB"/>
    <w:rsid w:val="00601B4A"/>
    <w:rsid w:val="006032B0"/>
    <w:rsid w:val="00603769"/>
    <w:rsid w:val="00603BAB"/>
    <w:rsid w:val="006041F3"/>
    <w:rsid w:val="006117F6"/>
    <w:rsid w:val="00611FE8"/>
    <w:rsid w:val="00615E61"/>
    <w:rsid w:val="0061643B"/>
    <w:rsid w:val="0061653E"/>
    <w:rsid w:val="00621A9C"/>
    <w:rsid w:val="006224E3"/>
    <w:rsid w:val="006225A4"/>
    <w:rsid w:val="006226B5"/>
    <w:rsid w:val="00622ED7"/>
    <w:rsid w:val="006237A0"/>
    <w:rsid w:val="00623D4B"/>
    <w:rsid w:val="006244C6"/>
    <w:rsid w:val="00624E33"/>
    <w:rsid w:val="0062706E"/>
    <w:rsid w:val="006273C8"/>
    <w:rsid w:val="00627BBF"/>
    <w:rsid w:val="006313D2"/>
    <w:rsid w:val="00631CE4"/>
    <w:rsid w:val="00632D14"/>
    <w:rsid w:val="006407E2"/>
    <w:rsid w:val="00640BE4"/>
    <w:rsid w:val="00642906"/>
    <w:rsid w:val="0064309D"/>
    <w:rsid w:val="006433FB"/>
    <w:rsid w:val="00645792"/>
    <w:rsid w:val="006462ED"/>
    <w:rsid w:val="00650301"/>
    <w:rsid w:val="006530F5"/>
    <w:rsid w:val="0065403F"/>
    <w:rsid w:val="0065409D"/>
    <w:rsid w:val="006542DB"/>
    <w:rsid w:val="006559C6"/>
    <w:rsid w:val="006572B0"/>
    <w:rsid w:val="00661B03"/>
    <w:rsid w:val="0066319A"/>
    <w:rsid w:val="00663F1F"/>
    <w:rsid w:val="00666EF4"/>
    <w:rsid w:val="00667D47"/>
    <w:rsid w:val="006720E6"/>
    <w:rsid w:val="00672279"/>
    <w:rsid w:val="00672DB5"/>
    <w:rsid w:val="006730F2"/>
    <w:rsid w:val="00673B9A"/>
    <w:rsid w:val="00674443"/>
    <w:rsid w:val="006752FB"/>
    <w:rsid w:val="00675D6A"/>
    <w:rsid w:val="00676571"/>
    <w:rsid w:val="006770F8"/>
    <w:rsid w:val="00677DF6"/>
    <w:rsid w:val="00681BEB"/>
    <w:rsid w:val="006855B9"/>
    <w:rsid w:val="0068654B"/>
    <w:rsid w:val="00686690"/>
    <w:rsid w:val="00687AA7"/>
    <w:rsid w:val="0069102E"/>
    <w:rsid w:val="00692C61"/>
    <w:rsid w:val="006930B9"/>
    <w:rsid w:val="00693B2E"/>
    <w:rsid w:val="00694F0A"/>
    <w:rsid w:val="0069521C"/>
    <w:rsid w:val="00697394"/>
    <w:rsid w:val="00697812"/>
    <w:rsid w:val="006A1498"/>
    <w:rsid w:val="006A2B0C"/>
    <w:rsid w:val="006A35AD"/>
    <w:rsid w:val="006A45D9"/>
    <w:rsid w:val="006A4DFF"/>
    <w:rsid w:val="006A51DD"/>
    <w:rsid w:val="006B1FC8"/>
    <w:rsid w:val="006B26A0"/>
    <w:rsid w:val="006B4326"/>
    <w:rsid w:val="006B558C"/>
    <w:rsid w:val="006C248F"/>
    <w:rsid w:val="006C28B3"/>
    <w:rsid w:val="006C2BA0"/>
    <w:rsid w:val="006C42C4"/>
    <w:rsid w:val="006C4CAD"/>
    <w:rsid w:val="006C5430"/>
    <w:rsid w:val="006C67AF"/>
    <w:rsid w:val="006D068E"/>
    <w:rsid w:val="006D06BC"/>
    <w:rsid w:val="006D1C45"/>
    <w:rsid w:val="006E0C7D"/>
    <w:rsid w:val="006E46F6"/>
    <w:rsid w:val="006E4D80"/>
    <w:rsid w:val="006E73A8"/>
    <w:rsid w:val="006F154C"/>
    <w:rsid w:val="006F268E"/>
    <w:rsid w:val="006F67F5"/>
    <w:rsid w:val="006F78FA"/>
    <w:rsid w:val="00700F9A"/>
    <w:rsid w:val="00702E02"/>
    <w:rsid w:val="00705989"/>
    <w:rsid w:val="0070603E"/>
    <w:rsid w:val="00706EB1"/>
    <w:rsid w:val="0070738D"/>
    <w:rsid w:val="007077B8"/>
    <w:rsid w:val="007103EA"/>
    <w:rsid w:val="0071101D"/>
    <w:rsid w:val="00712144"/>
    <w:rsid w:val="00712B17"/>
    <w:rsid w:val="0071367C"/>
    <w:rsid w:val="00717315"/>
    <w:rsid w:val="007178FC"/>
    <w:rsid w:val="00720C43"/>
    <w:rsid w:val="00721B2F"/>
    <w:rsid w:val="00722D59"/>
    <w:rsid w:val="007249D6"/>
    <w:rsid w:val="00730B4D"/>
    <w:rsid w:val="00734776"/>
    <w:rsid w:val="007361E6"/>
    <w:rsid w:val="007368C2"/>
    <w:rsid w:val="0074091C"/>
    <w:rsid w:val="00740F8A"/>
    <w:rsid w:val="0074429C"/>
    <w:rsid w:val="00745B7A"/>
    <w:rsid w:val="00747A87"/>
    <w:rsid w:val="00754239"/>
    <w:rsid w:val="007543F1"/>
    <w:rsid w:val="00755CFD"/>
    <w:rsid w:val="0075651B"/>
    <w:rsid w:val="007617BF"/>
    <w:rsid w:val="00763B61"/>
    <w:rsid w:val="007706B1"/>
    <w:rsid w:val="00774317"/>
    <w:rsid w:val="00774539"/>
    <w:rsid w:val="0077689E"/>
    <w:rsid w:val="00780B16"/>
    <w:rsid w:val="007828B1"/>
    <w:rsid w:val="007836BF"/>
    <w:rsid w:val="00784BA1"/>
    <w:rsid w:val="00787702"/>
    <w:rsid w:val="00787BD5"/>
    <w:rsid w:val="00792026"/>
    <w:rsid w:val="00793A7C"/>
    <w:rsid w:val="00795DE6"/>
    <w:rsid w:val="00797864"/>
    <w:rsid w:val="007A40D6"/>
    <w:rsid w:val="007A43AD"/>
    <w:rsid w:val="007A62D9"/>
    <w:rsid w:val="007B110E"/>
    <w:rsid w:val="007B1F96"/>
    <w:rsid w:val="007B2C21"/>
    <w:rsid w:val="007B40A2"/>
    <w:rsid w:val="007B4A80"/>
    <w:rsid w:val="007B6655"/>
    <w:rsid w:val="007B73C6"/>
    <w:rsid w:val="007C172F"/>
    <w:rsid w:val="007C1A20"/>
    <w:rsid w:val="007C4BF9"/>
    <w:rsid w:val="007C52C4"/>
    <w:rsid w:val="007C5D4B"/>
    <w:rsid w:val="007C679F"/>
    <w:rsid w:val="007D25EF"/>
    <w:rsid w:val="007D3704"/>
    <w:rsid w:val="007D4F34"/>
    <w:rsid w:val="007D7379"/>
    <w:rsid w:val="007D7737"/>
    <w:rsid w:val="007E2A70"/>
    <w:rsid w:val="007E316C"/>
    <w:rsid w:val="007E7A82"/>
    <w:rsid w:val="007F0228"/>
    <w:rsid w:val="007F1324"/>
    <w:rsid w:val="007F26CA"/>
    <w:rsid w:val="007F298B"/>
    <w:rsid w:val="007F426C"/>
    <w:rsid w:val="007F7BBE"/>
    <w:rsid w:val="00800EB2"/>
    <w:rsid w:val="0080193F"/>
    <w:rsid w:val="008019AD"/>
    <w:rsid w:val="00801E57"/>
    <w:rsid w:val="00802484"/>
    <w:rsid w:val="008037A9"/>
    <w:rsid w:val="008048B0"/>
    <w:rsid w:val="00812BE1"/>
    <w:rsid w:val="00812FF4"/>
    <w:rsid w:val="00813777"/>
    <w:rsid w:val="00815690"/>
    <w:rsid w:val="00815EA3"/>
    <w:rsid w:val="008169D0"/>
    <w:rsid w:val="00817BBB"/>
    <w:rsid w:val="00817F35"/>
    <w:rsid w:val="008200D3"/>
    <w:rsid w:val="00822D72"/>
    <w:rsid w:val="00822E12"/>
    <w:rsid w:val="008230CC"/>
    <w:rsid w:val="00825B92"/>
    <w:rsid w:val="00827A89"/>
    <w:rsid w:val="008312AE"/>
    <w:rsid w:val="0083259E"/>
    <w:rsid w:val="00833226"/>
    <w:rsid w:val="008335A9"/>
    <w:rsid w:val="008359E6"/>
    <w:rsid w:val="00840040"/>
    <w:rsid w:val="008450DC"/>
    <w:rsid w:val="00845FA8"/>
    <w:rsid w:val="0084601D"/>
    <w:rsid w:val="008474A1"/>
    <w:rsid w:val="00851770"/>
    <w:rsid w:val="00852E61"/>
    <w:rsid w:val="00852FFD"/>
    <w:rsid w:val="008542C1"/>
    <w:rsid w:val="00860BD9"/>
    <w:rsid w:val="0086105C"/>
    <w:rsid w:val="0086406D"/>
    <w:rsid w:val="0086410E"/>
    <w:rsid w:val="0086440E"/>
    <w:rsid w:val="00864F8D"/>
    <w:rsid w:val="0086521F"/>
    <w:rsid w:val="00865CC4"/>
    <w:rsid w:val="00867620"/>
    <w:rsid w:val="0087033E"/>
    <w:rsid w:val="00870A47"/>
    <w:rsid w:val="00870E71"/>
    <w:rsid w:val="008720D8"/>
    <w:rsid w:val="00872A6B"/>
    <w:rsid w:val="0087339C"/>
    <w:rsid w:val="00873DC0"/>
    <w:rsid w:val="00877EF3"/>
    <w:rsid w:val="008814DB"/>
    <w:rsid w:val="00882782"/>
    <w:rsid w:val="00884A49"/>
    <w:rsid w:val="00884D09"/>
    <w:rsid w:val="00885AEA"/>
    <w:rsid w:val="0088610F"/>
    <w:rsid w:val="00890B38"/>
    <w:rsid w:val="008915F5"/>
    <w:rsid w:val="008928F9"/>
    <w:rsid w:val="00893714"/>
    <w:rsid w:val="00895133"/>
    <w:rsid w:val="008977D9"/>
    <w:rsid w:val="0089794F"/>
    <w:rsid w:val="008A07AC"/>
    <w:rsid w:val="008A182A"/>
    <w:rsid w:val="008A4804"/>
    <w:rsid w:val="008A5709"/>
    <w:rsid w:val="008B02F1"/>
    <w:rsid w:val="008B09F2"/>
    <w:rsid w:val="008B21E6"/>
    <w:rsid w:val="008B29A7"/>
    <w:rsid w:val="008B29FD"/>
    <w:rsid w:val="008B35D7"/>
    <w:rsid w:val="008B47E1"/>
    <w:rsid w:val="008B6400"/>
    <w:rsid w:val="008C1947"/>
    <w:rsid w:val="008C1E11"/>
    <w:rsid w:val="008C2B03"/>
    <w:rsid w:val="008C2D2F"/>
    <w:rsid w:val="008C5239"/>
    <w:rsid w:val="008C702B"/>
    <w:rsid w:val="008D1127"/>
    <w:rsid w:val="008D3D7B"/>
    <w:rsid w:val="008D6563"/>
    <w:rsid w:val="008D7AAD"/>
    <w:rsid w:val="008D7C32"/>
    <w:rsid w:val="008D7E05"/>
    <w:rsid w:val="008E0EF8"/>
    <w:rsid w:val="008E2478"/>
    <w:rsid w:val="008E2BE9"/>
    <w:rsid w:val="008E3309"/>
    <w:rsid w:val="008E3A6B"/>
    <w:rsid w:val="008E4621"/>
    <w:rsid w:val="008E5778"/>
    <w:rsid w:val="008F18AD"/>
    <w:rsid w:val="008F2EC5"/>
    <w:rsid w:val="008F3633"/>
    <w:rsid w:val="008F4B88"/>
    <w:rsid w:val="008F4E22"/>
    <w:rsid w:val="0090117A"/>
    <w:rsid w:val="0090198E"/>
    <w:rsid w:val="00902CE1"/>
    <w:rsid w:val="00902E3E"/>
    <w:rsid w:val="009049E5"/>
    <w:rsid w:val="00904D22"/>
    <w:rsid w:val="00905C7B"/>
    <w:rsid w:val="00906FE8"/>
    <w:rsid w:val="00911F46"/>
    <w:rsid w:val="00913E9B"/>
    <w:rsid w:val="00914CC1"/>
    <w:rsid w:val="0092441F"/>
    <w:rsid w:val="0092558C"/>
    <w:rsid w:val="009262F3"/>
    <w:rsid w:val="009301BA"/>
    <w:rsid w:val="0093302F"/>
    <w:rsid w:val="009366E4"/>
    <w:rsid w:val="0094081A"/>
    <w:rsid w:val="00942489"/>
    <w:rsid w:val="0094392D"/>
    <w:rsid w:val="009441C4"/>
    <w:rsid w:val="009450CC"/>
    <w:rsid w:val="0095212D"/>
    <w:rsid w:val="00952579"/>
    <w:rsid w:val="00952847"/>
    <w:rsid w:val="00953478"/>
    <w:rsid w:val="00953912"/>
    <w:rsid w:val="0095408F"/>
    <w:rsid w:val="009547CD"/>
    <w:rsid w:val="00956F09"/>
    <w:rsid w:val="00957D77"/>
    <w:rsid w:val="00960515"/>
    <w:rsid w:val="00961E7C"/>
    <w:rsid w:val="00963735"/>
    <w:rsid w:val="00963862"/>
    <w:rsid w:val="0097103B"/>
    <w:rsid w:val="00971BAD"/>
    <w:rsid w:val="00972059"/>
    <w:rsid w:val="00977041"/>
    <w:rsid w:val="00977833"/>
    <w:rsid w:val="00977E51"/>
    <w:rsid w:val="00980C6C"/>
    <w:rsid w:val="00980F51"/>
    <w:rsid w:val="009819D3"/>
    <w:rsid w:val="00981A97"/>
    <w:rsid w:val="0098232A"/>
    <w:rsid w:val="00984D25"/>
    <w:rsid w:val="00986B61"/>
    <w:rsid w:val="00987059"/>
    <w:rsid w:val="00987E47"/>
    <w:rsid w:val="00990953"/>
    <w:rsid w:val="00992170"/>
    <w:rsid w:val="009929A3"/>
    <w:rsid w:val="00994302"/>
    <w:rsid w:val="00994B8B"/>
    <w:rsid w:val="009962D8"/>
    <w:rsid w:val="0099731E"/>
    <w:rsid w:val="009A2BDC"/>
    <w:rsid w:val="009A311B"/>
    <w:rsid w:val="009A435D"/>
    <w:rsid w:val="009A4703"/>
    <w:rsid w:val="009A48D7"/>
    <w:rsid w:val="009B390D"/>
    <w:rsid w:val="009B43FC"/>
    <w:rsid w:val="009B7A56"/>
    <w:rsid w:val="009C101C"/>
    <w:rsid w:val="009C3398"/>
    <w:rsid w:val="009C42E0"/>
    <w:rsid w:val="009C4F7D"/>
    <w:rsid w:val="009C50C8"/>
    <w:rsid w:val="009C5A62"/>
    <w:rsid w:val="009C5DD7"/>
    <w:rsid w:val="009C6841"/>
    <w:rsid w:val="009C6912"/>
    <w:rsid w:val="009D264D"/>
    <w:rsid w:val="009D2EED"/>
    <w:rsid w:val="009D44F4"/>
    <w:rsid w:val="009D4597"/>
    <w:rsid w:val="009D6872"/>
    <w:rsid w:val="009D73F8"/>
    <w:rsid w:val="009D7B0F"/>
    <w:rsid w:val="009E03E3"/>
    <w:rsid w:val="009E2DD1"/>
    <w:rsid w:val="009E4197"/>
    <w:rsid w:val="009E441B"/>
    <w:rsid w:val="009E62CD"/>
    <w:rsid w:val="009E7B30"/>
    <w:rsid w:val="009E7CFD"/>
    <w:rsid w:val="009F094E"/>
    <w:rsid w:val="009F10B2"/>
    <w:rsid w:val="009F21E7"/>
    <w:rsid w:val="009F30AA"/>
    <w:rsid w:val="009F363E"/>
    <w:rsid w:val="009F4520"/>
    <w:rsid w:val="009F4686"/>
    <w:rsid w:val="009F4CA6"/>
    <w:rsid w:val="009F62E6"/>
    <w:rsid w:val="00A00A3B"/>
    <w:rsid w:val="00A01255"/>
    <w:rsid w:val="00A021F0"/>
    <w:rsid w:val="00A03BDB"/>
    <w:rsid w:val="00A03FBC"/>
    <w:rsid w:val="00A07059"/>
    <w:rsid w:val="00A101CA"/>
    <w:rsid w:val="00A14691"/>
    <w:rsid w:val="00A15AB3"/>
    <w:rsid w:val="00A171C0"/>
    <w:rsid w:val="00A202C6"/>
    <w:rsid w:val="00A21AEE"/>
    <w:rsid w:val="00A24884"/>
    <w:rsid w:val="00A26A14"/>
    <w:rsid w:val="00A3250B"/>
    <w:rsid w:val="00A33F0C"/>
    <w:rsid w:val="00A35B7B"/>
    <w:rsid w:val="00A35DE0"/>
    <w:rsid w:val="00A361FE"/>
    <w:rsid w:val="00A36518"/>
    <w:rsid w:val="00A416CA"/>
    <w:rsid w:val="00A41D7E"/>
    <w:rsid w:val="00A43C09"/>
    <w:rsid w:val="00A448A6"/>
    <w:rsid w:val="00A44B98"/>
    <w:rsid w:val="00A45083"/>
    <w:rsid w:val="00A46648"/>
    <w:rsid w:val="00A47DAE"/>
    <w:rsid w:val="00A501DA"/>
    <w:rsid w:val="00A505A6"/>
    <w:rsid w:val="00A514E3"/>
    <w:rsid w:val="00A52AA4"/>
    <w:rsid w:val="00A548C4"/>
    <w:rsid w:val="00A56975"/>
    <w:rsid w:val="00A60339"/>
    <w:rsid w:val="00A61314"/>
    <w:rsid w:val="00A63FCB"/>
    <w:rsid w:val="00A64AA8"/>
    <w:rsid w:val="00A64B02"/>
    <w:rsid w:val="00A6754F"/>
    <w:rsid w:val="00A67F4C"/>
    <w:rsid w:val="00A71888"/>
    <w:rsid w:val="00A735D7"/>
    <w:rsid w:val="00A73FC7"/>
    <w:rsid w:val="00A75FE8"/>
    <w:rsid w:val="00A76844"/>
    <w:rsid w:val="00A76A9B"/>
    <w:rsid w:val="00A84CE3"/>
    <w:rsid w:val="00A853A8"/>
    <w:rsid w:val="00A85A27"/>
    <w:rsid w:val="00A879B8"/>
    <w:rsid w:val="00A87C41"/>
    <w:rsid w:val="00A91F06"/>
    <w:rsid w:val="00A971A0"/>
    <w:rsid w:val="00A97DCA"/>
    <w:rsid w:val="00AA229A"/>
    <w:rsid w:val="00AA3F08"/>
    <w:rsid w:val="00AA6C35"/>
    <w:rsid w:val="00AB04FD"/>
    <w:rsid w:val="00AB130F"/>
    <w:rsid w:val="00AB131E"/>
    <w:rsid w:val="00AB1E82"/>
    <w:rsid w:val="00AB2300"/>
    <w:rsid w:val="00AB3014"/>
    <w:rsid w:val="00AB457C"/>
    <w:rsid w:val="00AB6826"/>
    <w:rsid w:val="00AB6E8D"/>
    <w:rsid w:val="00AB748A"/>
    <w:rsid w:val="00AB7745"/>
    <w:rsid w:val="00AC0DAD"/>
    <w:rsid w:val="00AC10B9"/>
    <w:rsid w:val="00AC2340"/>
    <w:rsid w:val="00AC43CA"/>
    <w:rsid w:val="00AD0FCF"/>
    <w:rsid w:val="00AD3D14"/>
    <w:rsid w:val="00AD435E"/>
    <w:rsid w:val="00AD54BA"/>
    <w:rsid w:val="00AD5E95"/>
    <w:rsid w:val="00AD6FB9"/>
    <w:rsid w:val="00AD7D1A"/>
    <w:rsid w:val="00AE449F"/>
    <w:rsid w:val="00AE454A"/>
    <w:rsid w:val="00AE48E8"/>
    <w:rsid w:val="00AE5271"/>
    <w:rsid w:val="00AE742D"/>
    <w:rsid w:val="00AF010C"/>
    <w:rsid w:val="00AF1FC2"/>
    <w:rsid w:val="00AF269C"/>
    <w:rsid w:val="00AF4A5A"/>
    <w:rsid w:val="00B03698"/>
    <w:rsid w:val="00B0463A"/>
    <w:rsid w:val="00B05990"/>
    <w:rsid w:val="00B069B3"/>
    <w:rsid w:val="00B103BB"/>
    <w:rsid w:val="00B12B4F"/>
    <w:rsid w:val="00B12EA9"/>
    <w:rsid w:val="00B13330"/>
    <w:rsid w:val="00B13FDE"/>
    <w:rsid w:val="00B141CB"/>
    <w:rsid w:val="00B164BE"/>
    <w:rsid w:val="00B20080"/>
    <w:rsid w:val="00B20A9B"/>
    <w:rsid w:val="00B23280"/>
    <w:rsid w:val="00B24807"/>
    <w:rsid w:val="00B2524E"/>
    <w:rsid w:val="00B25BA9"/>
    <w:rsid w:val="00B25DA2"/>
    <w:rsid w:val="00B265AC"/>
    <w:rsid w:val="00B26F8D"/>
    <w:rsid w:val="00B31B4B"/>
    <w:rsid w:val="00B34E91"/>
    <w:rsid w:val="00B35EE9"/>
    <w:rsid w:val="00B37618"/>
    <w:rsid w:val="00B40880"/>
    <w:rsid w:val="00B41255"/>
    <w:rsid w:val="00B41397"/>
    <w:rsid w:val="00B43914"/>
    <w:rsid w:val="00B4465B"/>
    <w:rsid w:val="00B44712"/>
    <w:rsid w:val="00B4532F"/>
    <w:rsid w:val="00B4664C"/>
    <w:rsid w:val="00B505DD"/>
    <w:rsid w:val="00B513A2"/>
    <w:rsid w:val="00B51404"/>
    <w:rsid w:val="00B5174B"/>
    <w:rsid w:val="00B53C85"/>
    <w:rsid w:val="00B53EDA"/>
    <w:rsid w:val="00B54EC9"/>
    <w:rsid w:val="00B56154"/>
    <w:rsid w:val="00B568AE"/>
    <w:rsid w:val="00B57E60"/>
    <w:rsid w:val="00B604E9"/>
    <w:rsid w:val="00B60DB0"/>
    <w:rsid w:val="00B61456"/>
    <w:rsid w:val="00B62A72"/>
    <w:rsid w:val="00B62B89"/>
    <w:rsid w:val="00B63D8F"/>
    <w:rsid w:val="00B63E73"/>
    <w:rsid w:val="00B64BB7"/>
    <w:rsid w:val="00B6534C"/>
    <w:rsid w:val="00B668C4"/>
    <w:rsid w:val="00B669A8"/>
    <w:rsid w:val="00B6749F"/>
    <w:rsid w:val="00B67BE6"/>
    <w:rsid w:val="00B71748"/>
    <w:rsid w:val="00B76510"/>
    <w:rsid w:val="00B81ADF"/>
    <w:rsid w:val="00B8379F"/>
    <w:rsid w:val="00B85F77"/>
    <w:rsid w:val="00B87378"/>
    <w:rsid w:val="00B9009F"/>
    <w:rsid w:val="00B90E73"/>
    <w:rsid w:val="00B91F3E"/>
    <w:rsid w:val="00B92D86"/>
    <w:rsid w:val="00B95804"/>
    <w:rsid w:val="00B95BF2"/>
    <w:rsid w:val="00B95DC8"/>
    <w:rsid w:val="00B975D4"/>
    <w:rsid w:val="00B97EA1"/>
    <w:rsid w:val="00BA0CA6"/>
    <w:rsid w:val="00BA2178"/>
    <w:rsid w:val="00BA26A8"/>
    <w:rsid w:val="00BA31E7"/>
    <w:rsid w:val="00BA4AC7"/>
    <w:rsid w:val="00BA5D27"/>
    <w:rsid w:val="00BA60EF"/>
    <w:rsid w:val="00BA6172"/>
    <w:rsid w:val="00BA6A4F"/>
    <w:rsid w:val="00BA6CC1"/>
    <w:rsid w:val="00BA7C81"/>
    <w:rsid w:val="00BB3179"/>
    <w:rsid w:val="00BB5657"/>
    <w:rsid w:val="00BB5E5E"/>
    <w:rsid w:val="00BB6AE4"/>
    <w:rsid w:val="00BC0CD2"/>
    <w:rsid w:val="00BC5C21"/>
    <w:rsid w:val="00BC61CE"/>
    <w:rsid w:val="00BC6763"/>
    <w:rsid w:val="00BC7C6D"/>
    <w:rsid w:val="00BD0E08"/>
    <w:rsid w:val="00BD1296"/>
    <w:rsid w:val="00BD2C2B"/>
    <w:rsid w:val="00BD2D6B"/>
    <w:rsid w:val="00BD3F2B"/>
    <w:rsid w:val="00BE0694"/>
    <w:rsid w:val="00BE2BA6"/>
    <w:rsid w:val="00BE33B5"/>
    <w:rsid w:val="00BE465F"/>
    <w:rsid w:val="00BE4724"/>
    <w:rsid w:val="00BE4B22"/>
    <w:rsid w:val="00BE524B"/>
    <w:rsid w:val="00BE5A77"/>
    <w:rsid w:val="00BE5D1E"/>
    <w:rsid w:val="00BF1EA7"/>
    <w:rsid w:val="00BF5FA8"/>
    <w:rsid w:val="00BF7D04"/>
    <w:rsid w:val="00C013DB"/>
    <w:rsid w:val="00C02AEA"/>
    <w:rsid w:val="00C03050"/>
    <w:rsid w:val="00C053F7"/>
    <w:rsid w:val="00C05A59"/>
    <w:rsid w:val="00C05ACC"/>
    <w:rsid w:val="00C062C5"/>
    <w:rsid w:val="00C10A6E"/>
    <w:rsid w:val="00C1251C"/>
    <w:rsid w:val="00C138FA"/>
    <w:rsid w:val="00C163E0"/>
    <w:rsid w:val="00C16B38"/>
    <w:rsid w:val="00C17DD6"/>
    <w:rsid w:val="00C23418"/>
    <w:rsid w:val="00C2545B"/>
    <w:rsid w:val="00C254CF"/>
    <w:rsid w:val="00C30110"/>
    <w:rsid w:val="00C30303"/>
    <w:rsid w:val="00C31120"/>
    <w:rsid w:val="00C31FAF"/>
    <w:rsid w:val="00C32350"/>
    <w:rsid w:val="00C3270B"/>
    <w:rsid w:val="00C332E8"/>
    <w:rsid w:val="00C3391B"/>
    <w:rsid w:val="00C34DC4"/>
    <w:rsid w:val="00C3512B"/>
    <w:rsid w:val="00C42913"/>
    <w:rsid w:val="00C431E6"/>
    <w:rsid w:val="00C43F93"/>
    <w:rsid w:val="00C448E6"/>
    <w:rsid w:val="00C46ADA"/>
    <w:rsid w:val="00C470C0"/>
    <w:rsid w:val="00C50305"/>
    <w:rsid w:val="00C524BE"/>
    <w:rsid w:val="00C5313D"/>
    <w:rsid w:val="00C54458"/>
    <w:rsid w:val="00C55C10"/>
    <w:rsid w:val="00C56170"/>
    <w:rsid w:val="00C57673"/>
    <w:rsid w:val="00C62544"/>
    <w:rsid w:val="00C70934"/>
    <w:rsid w:val="00C70CDC"/>
    <w:rsid w:val="00C731E3"/>
    <w:rsid w:val="00C748F5"/>
    <w:rsid w:val="00C75105"/>
    <w:rsid w:val="00C757DE"/>
    <w:rsid w:val="00C8562A"/>
    <w:rsid w:val="00C857DE"/>
    <w:rsid w:val="00C87EDE"/>
    <w:rsid w:val="00C93A35"/>
    <w:rsid w:val="00C96C29"/>
    <w:rsid w:val="00CA1689"/>
    <w:rsid w:val="00CA209A"/>
    <w:rsid w:val="00CA68AC"/>
    <w:rsid w:val="00CB0DE3"/>
    <w:rsid w:val="00CB106E"/>
    <w:rsid w:val="00CB44DE"/>
    <w:rsid w:val="00CB4A8D"/>
    <w:rsid w:val="00CB60AF"/>
    <w:rsid w:val="00CB7E9B"/>
    <w:rsid w:val="00CC209E"/>
    <w:rsid w:val="00CC4260"/>
    <w:rsid w:val="00CC6DFC"/>
    <w:rsid w:val="00CD08BB"/>
    <w:rsid w:val="00CD1F65"/>
    <w:rsid w:val="00CD267D"/>
    <w:rsid w:val="00CD460A"/>
    <w:rsid w:val="00CD4638"/>
    <w:rsid w:val="00CD4FC8"/>
    <w:rsid w:val="00CD7915"/>
    <w:rsid w:val="00CD7B4B"/>
    <w:rsid w:val="00CD7B79"/>
    <w:rsid w:val="00CE14AA"/>
    <w:rsid w:val="00CE4031"/>
    <w:rsid w:val="00CE5224"/>
    <w:rsid w:val="00CE53B8"/>
    <w:rsid w:val="00CE6F65"/>
    <w:rsid w:val="00CE7E08"/>
    <w:rsid w:val="00CF26B1"/>
    <w:rsid w:val="00CF4596"/>
    <w:rsid w:val="00CF56CA"/>
    <w:rsid w:val="00D00BD7"/>
    <w:rsid w:val="00D014C6"/>
    <w:rsid w:val="00D01CDE"/>
    <w:rsid w:val="00D01D78"/>
    <w:rsid w:val="00D02D2A"/>
    <w:rsid w:val="00D03F8E"/>
    <w:rsid w:val="00D048F5"/>
    <w:rsid w:val="00D06122"/>
    <w:rsid w:val="00D0619A"/>
    <w:rsid w:val="00D062FE"/>
    <w:rsid w:val="00D0706A"/>
    <w:rsid w:val="00D10009"/>
    <w:rsid w:val="00D10BC2"/>
    <w:rsid w:val="00D115C1"/>
    <w:rsid w:val="00D12202"/>
    <w:rsid w:val="00D136DA"/>
    <w:rsid w:val="00D16343"/>
    <w:rsid w:val="00D17499"/>
    <w:rsid w:val="00D20F86"/>
    <w:rsid w:val="00D2244F"/>
    <w:rsid w:val="00D2617D"/>
    <w:rsid w:val="00D30AFD"/>
    <w:rsid w:val="00D323D1"/>
    <w:rsid w:val="00D3345F"/>
    <w:rsid w:val="00D34339"/>
    <w:rsid w:val="00D35D1B"/>
    <w:rsid w:val="00D40A58"/>
    <w:rsid w:val="00D419F8"/>
    <w:rsid w:val="00D41CA6"/>
    <w:rsid w:val="00D4389F"/>
    <w:rsid w:val="00D4601A"/>
    <w:rsid w:val="00D4605E"/>
    <w:rsid w:val="00D462D1"/>
    <w:rsid w:val="00D47D36"/>
    <w:rsid w:val="00D52B1C"/>
    <w:rsid w:val="00D5309F"/>
    <w:rsid w:val="00D54E2D"/>
    <w:rsid w:val="00D55C15"/>
    <w:rsid w:val="00D56BF7"/>
    <w:rsid w:val="00D57106"/>
    <w:rsid w:val="00D577A8"/>
    <w:rsid w:val="00D57DD8"/>
    <w:rsid w:val="00D6345F"/>
    <w:rsid w:val="00D638B0"/>
    <w:rsid w:val="00D63AB3"/>
    <w:rsid w:val="00D66EDB"/>
    <w:rsid w:val="00D70511"/>
    <w:rsid w:val="00D715A1"/>
    <w:rsid w:val="00D716EF"/>
    <w:rsid w:val="00D71A5D"/>
    <w:rsid w:val="00D838BB"/>
    <w:rsid w:val="00D84021"/>
    <w:rsid w:val="00D843E8"/>
    <w:rsid w:val="00D85A38"/>
    <w:rsid w:val="00D866B4"/>
    <w:rsid w:val="00D8742E"/>
    <w:rsid w:val="00D87F64"/>
    <w:rsid w:val="00D900D8"/>
    <w:rsid w:val="00D93AAA"/>
    <w:rsid w:val="00D9591B"/>
    <w:rsid w:val="00D969EC"/>
    <w:rsid w:val="00D969F9"/>
    <w:rsid w:val="00D96D9F"/>
    <w:rsid w:val="00D97404"/>
    <w:rsid w:val="00DA0D44"/>
    <w:rsid w:val="00DA0F4C"/>
    <w:rsid w:val="00DA1673"/>
    <w:rsid w:val="00DA2450"/>
    <w:rsid w:val="00DA2AB3"/>
    <w:rsid w:val="00DA7976"/>
    <w:rsid w:val="00DB3071"/>
    <w:rsid w:val="00DB5B6C"/>
    <w:rsid w:val="00DB6647"/>
    <w:rsid w:val="00DB7E16"/>
    <w:rsid w:val="00DC0850"/>
    <w:rsid w:val="00DC15E9"/>
    <w:rsid w:val="00DC2AF0"/>
    <w:rsid w:val="00DC4601"/>
    <w:rsid w:val="00DC4B1F"/>
    <w:rsid w:val="00DC4FAD"/>
    <w:rsid w:val="00DC60DD"/>
    <w:rsid w:val="00DC7013"/>
    <w:rsid w:val="00DD7FCE"/>
    <w:rsid w:val="00DE08F4"/>
    <w:rsid w:val="00DE204A"/>
    <w:rsid w:val="00DE44E1"/>
    <w:rsid w:val="00DE5AAF"/>
    <w:rsid w:val="00DE69B7"/>
    <w:rsid w:val="00DF18E3"/>
    <w:rsid w:val="00DF36D8"/>
    <w:rsid w:val="00DF3A61"/>
    <w:rsid w:val="00DF43ED"/>
    <w:rsid w:val="00DF5390"/>
    <w:rsid w:val="00DF666D"/>
    <w:rsid w:val="00DF69E0"/>
    <w:rsid w:val="00E04775"/>
    <w:rsid w:val="00E05E58"/>
    <w:rsid w:val="00E10AFF"/>
    <w:rsid w:val="00E1226B"/>
    <w:rsid w:val="00E1289B"/>
    <w:rsid w:val="00E12DBF"/>
    <w:rsid w:val="00E13811"/>
    <w:rsid w:val="00E14577"/>
    <w:rsid w:val="00E16AD1"/>
    <w:rsid w:val="00E23385"/>
    <w:rsid w:val="00E242F6"/>
    <w:rsid w:val="00E2555A"/>
    <w:rsid w:val="00E26E21"/>
    <w:rsid w:val="00E2707C"/>
    <w:rsid w:val="00E27981"/>
    <w:rsid w:val="00E306B2"/>
    <w:rsid w:val="00E30EFB"/>
    <w:rsid w:val="00E31017"/>
    <w:rsid w:val="00E32157"/>
    <w:rsid w:val="00E32313"/>
    <w:rsid w:val="00E36728"/>
    <w:rsid w:val="00E40A67"/>
    <w:rsid w:val="00E4112C"/>
    <w:rsid w:val="00E42842"/>
    <w:rsid w:val="00E43CE3"/>
    <w:rsid w:val="00E443B6"/>
    <w:rsid w:val="00E4608A"/>
    <w:rsid w:val="00E460E2"/>
    <w:rsid w:val="00E46206"/>
    <w:rsid w:val="00E47F0A"/>
    <w:rsid w:val="00E47FD4"/>
    <w:rsid w:val="00E502CE"/>
    <w:rsid w:val="00E5688D"/>
    <w:rsid w:val="00E56C03"/>
    <w:rsid w:val="00E57639"/>
    <w:rsid w:val="00E60C78"/>
    <w:rsid w:val="00E6126D"/>
    <w:rsid w:val="00E61396"/>
    <w:rsid w:val="00E6161F"/>
    <w:rsid w:val="00E624BF"/>
    <w:rsid w:val="00E629B0"/>
    <w:rsid w:val="00E62C86"/>
    <w:rsid w:val="00E6489A"/>
    <w:rsid w:val="00E72A43"/>
    <w:rsid w:val="00E73C57"/>
    <w:rsid w:val="00E763CC"/>
    <w:rsid w:val="00E82E94"/>
    <w:rsid w:val="00E8532F"/>
    <w:rsid w:val="00E8554A"/>
    <w:rsid w:val="00E85B32"/>
    <w:rsid w:val="00E87558"/>
    <w:rsid w:val="00E87F1E"/>
    <w:rsid w:val="00E90A4C"/>
    <w:rsid w:val="00E92185"/>
    <w:rsid w:val="00E933AF"/>
    <w:rsid w:val="00E961AA"/>
    <w:rsid w:val="00E96FBD"/>
    <w:rsid w:val="00E9724C"/>
    <w:rsid w:val="00EA1C19"/>
    <w:rsid w:val="00EA37A1"/>
    <w:rsid w:val="00EA4481"/>
    <w:rsid w:val="00EA4DFA"/>
    <w:rsid w:val="00EB1845"/>
    <w:rsid w:val="00EB1E9C"/>
    <w:rsid w:val="00EB2662"/>
    <w:rsid w:val="00EB3EF8"/>
    <w:rsid w:val="00EB4F93"/>
    <w:rsid w:val="00EB57BB"/>
    <w:rsid w:val="00EB6C3C"/>
    <w:rsid w:val="00EC1225"/>
    <w:rsid w:val="00EC3AFE"/>
    <w:rsid w:val="00EC4893"/>
    <w:rsid w:val="00EC71AA"/>
    <w:rsid w:val="00EC78ED"/>
    <w:rsid w:val="00ED098A"/>
    <w:rsid w:val="00ED1973"/>
    <w:rsid w:val="00ED3E27"/>
    <w:rsid w:val="00ED5F2D"/>
    <w:rsid w:val="00ED6ACE"/>
    <w:rsid w:val="00EE0D2B"/>
    <w:rsid w:val="00EE196A"/>
    <w:rsid w:val="00EE2666"/>
    <w:rsid w:val="00EE2A5A"/>
    <w:rsid w:val="00EE60E7"/>
    <w:rsid w:val="00EE64E3"/>
    <w:rsid w:val="00EE703A"/>
    <w:rsid w:val="00EE73F9"/>
    <w:rsid w:val="00EE7D90"/>
    <w:rsid w:val="00EF1CC0"/>
    <w:rsid w:val="00EF224B"/>
    <w:rsid w:val="00EF308B"/>
    <w:rsid w:val="00EF42DE"/>
    <w:rsid w:val="00EF4EA6"/>
    <w:rsid w:val="00EF7AF5"/>
    <w:rsid w:val="00EF7BED"/>
    <w:rsid w:val="00F000F0"/>
    <w:rsid w:val="00F01CCF"/>
    <w:rsid w:val="00F04E42"/>
    <w:rsid w:val="00F110B9"/>
    <w:rsid w:val="00F11D51"/>
    <w:rsid w:val="00F12B57"/>
    <w:rsid w:val="00F13A7B"/>
    <w:rsid w:val="00F201ED"/>
    <w:rsid w:val="00F21D76"/>
    <w:rsid w:val="00F231CF"/>
    <w:rsid w:val="00F24CC9"/>
    <w:rsid w:val="00F25242"/>
    <w:rsid w:val="00F2623F"/>
    <w:rsid w:val="00F27619"/>
    <w:rsid w:val="00F30487"/>
    <w:rsid w:val="00F30F00"/>
    <w:rsid w:val="00F3396D"/>
    <w:rsid w:val="00F345C7"/>
    <w:rsid w:val="00F34B60"/>
    <w:rsid w:val="00F36169"/>
    <w:rsid w:val="00F363FD"/>
    <w:rsid w:val="00F40754"/>
    <w:rsid w:val="00F40B84"/>
    <w:rsid w:val="00F40D6B"/>
    <w:rsid w:val="00F4171B"/>
    <w:rsid w:val="00F426BD"/>
    <w:rsid w:val="00F448C4"/>
    <w:rsid w:val="00F4529F"/>
    <w:rsid w:val="00F4533A"/>
    <w:rsid w:val="00F4565D"/>
    <w:rsid w:val="00F45BC4"/>
    <w:rsid w:val="00F47CC4"/>
    <w:rsid w:val="00F517D5"/>
    <w:rsid w:val="00F52533"/>
    <w:rsid w:val="00F52B7C"/>
    <w:rsid w:val="00F53F4E"/>
    <w:rsid w:val="00F620C8"/>
    <w:rsid w:val="00F6303C"/>
    <w:rsid w:val="00F67DD8"/>
    <w:rsid w:val="00F70BCB"/>
    <w:rsid w:val="00F71C9E"/>
    <w:rsid w:val="00F72B7E"/>
    <w:rsid w:val="00F72FE0"/>
    <w:rsid w:val="00F73D29"/>
    <w:rsid w:val="00F73DB5"/>
    <w:rsid w:val="00F75119"/>
    <w:rsid w:val="00F75722"/>
    <w:rsid w:val="00F7662B"/>
    <w:rsid w:val="00F80F9F"/>
    <w:rsid w:val="00F81907"/>
    <w:rsid w:val="00F833B0"/>
    <w:rsid w:val="00F8550A"/>
    <w:rsid w:val="00F87026"/>
    <w:rsid w:val="00F947BA"/>
    <w:rsid w:val="00F95904"/>
    <w:rsid w:val="00F96119"/>
    <w:rsid w:val="00F9683E"/>
    <w:rsid w:val="00F96F13"/>
    <w:rsid w:val="00FA3794"/>
    <w:rsid w:val="00FA4E37"/>
    <w:rsid w:val="00FA533A"/>
    <w:rsid w:val="00FB1721"/>
    <w:rsid w:val="00FB17C2"/>
    <w:rsid w:val="00FB1964"/>
    <w:rsid w:val="00FB1AFC"/>
    <w:rsid w:val="00FB1C85"/>
    <w:rsid w:val="00FB314E"/>
    <w:rsid w:val="00FB3CFE"/>
    <w:rsid w:val="00FC1A74"/>
    <w:rsid w:val="00FC280F"/>
    <w:rsid w:val="00FC38D7"/>
    <w:rsid w:val="00FC4E43"/>
    <w:rsid w:val="00FC4EE5"/>
    <w:rsid w:val="00FC504B"/>
    <w:rsid w:val="00FC5F81"/>
    <w:rsid w:val="00FD032B"/>
    <w:rsid w:val="00FD181B"/>
    <w:rsid w:val="00FD21F8"/>
    <w:rsid w:val="00FD2B56"/>
    <w:rsid w:val="00FD7027"/>
    <w:rsid w:val="00FE1C03"/>
    <w:rsid w:val="00FE46D1"/>
    <w:rsid w:val="00FE6AA8"/>
    <w:rsid w:val="00FF128E"/>
    <w:rsid w:val="00FF1A6B"/>
    <w:rsid w:val="00FF3BEE"/>
    <w:rsid w:val="00FF3E92"/>
    <w:rsid w:val="00FF5DFF"/>
    <w:rsid w:val="00FF7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7DEBAE-AEB6-4116-8CFD-5BE58B79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rsid w:val="00D12202"/>
    <w:pPr>
      <w:keepNext/>
      <w:suppressAutoHyphens/>
      <w:spacing w:after="0" w:line="360" w:lineRule="auto"/>
      <w:jc w:val="both"/>
      <w:outlineLvl w:val="0"/>
    </w:pPr>
    <w:rPr>
      <w:rFonts w:ascii="Cambria" w:eastAsia="Times New Roman" w:hAnsi="Cambria"/>
      <w:b/>
      <w:bCs/>
      <w:kern w:val="32"/>
      <w:sz w:val="32"/>
      <w:szCs w:val="32"/>
      <w:lang w:eastAsia="ar-SA"/>
    </w:rPr>
  </w:style>
  <w:style w:type="paragraph" w:styleId="Titolo3">
    <w:name w:val="heading 3"/>
    <w:basedOn w:val="Normale"/>
    <w:next w:val="Normale"/>
    <w:link w:val="Titolo3Carattere"/>
    <w:uiPriority w:val="9"/>
    <w:unhideWhenUsed/>
    <w:qFormat/>
    <w:rsid w:val="00413595"/>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413595"/>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19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19A6"/>
  </w:style>
  <w:style w:type="paragraph" w:styleId="Pidipagina">
    <w:name w:val="footer"/>
    <w:basedOn w:val="Normale"/>
    <w:link w:val="PidipaginaCarattere"/>
    <w:uiPriority w:val="99"/>
    <w:unhideWhenUsed/>
    <w:rsid w:val="003C19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19A6"/>
  </w:style>
  <w:style w:type="paragraph" w:styleId="Paragrafoelenco">
    <w:name w:val="List Paragraph"/>
    <w:basedOn w:val="Normale"/>
    <w:uiPriority w:val="34"/>
    <w:qFormat/>
    <w:rsid w:val="009D264D"/>
    <w:pPr>
      <w:ind w:left="720"/>
      <w:contextualSpacing/>
    </w:pPr>
  </w:style>
  <w:style w:type="table" w:styleId="Grigliatabella">
    <w:name w:val="Table Grid"/>
    <w:basedOn w:val="Tabellanormale"/>
    <w:uiPriority w:val="59"/>
    <w:rsid w:val="001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28B1"/>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7828B1"/>
    <w:rPr>
      <w:rFonts w:ascii="Tahoma" w:hAnsi="Tahoma" w:cs="Tahoma"/>
      <w:sz w:val="16"/>
      <w:szCs w:val="16"/>
      <w:lang w:eastAsia="en-US"/>
    </w:rPr>
  </w:style>
  <w:style w:type="character" w:styleId="Rimandocommento">
    <w:name w:val="annotation reference"/>
    <w:uiPriority w:val="99"/>
    <w:semiHidden/>
    <w:unhideWhenUsed/>
    <w:rsid w:val="007B1F96"/>
    <w:rPr>
      <w:sz w:val="16"/>
      <w:szCs w:val="16"/>
    </w:rPr>
  </w:style>
  <w:style w:type="paragraph" w:styleId="Testocommento">
    <w:name w:val="annotation text"/>
    <w:basedOn w:val="Normale"/>
    <w:link w:val="TestocommentoCarattere"/>
    <w:uiPriority w:val="99"/>
    <w:semiHidden/>
    <w:unhideWhenUsed/>
    <w:rsid w:val="007B1F96"/>
    <w:rPr>
      <w:sz w:val="20"/>
      <w:szCs w:val="20"/>
      <w:lang w:val="x-none"/>
    </w:rPr>
  </w:style>
  <w:style w:type="character" w:customStyle="1" w:styleId="TestocommentoCarattere">
    <w:name w:val="Testo commento Carattere"/>
    <w:link w:val="Testocommento"/>
    <w:uiPriority w:val="99"/>
    <w:semiHidden/>
    <w:rsid w:val="007B1F96"/>
    <w:rPr>
      <w:lang w:eastAsia="en-US"/>
    </w:rPr>
  </w:style>
  <w:style w:type="paragraph" w:styleId="Soggettocommento">
    <w:name w:val="annotation subject"/>
    <w:basedOn w:val="Testocommento"/>
    <w:next w:val="Testocommento"/>
    <w:link w:val="SoggettocommentoCarattere"/>
    <w:uiPriority w:val="99"/>
    <w:semiHidden/>
    <w:unhideWhenUsed/>
    <w:rsid w:val="007B1F96"/>
    <w:rPr>
      <w:b/>
      <w:bCs/>
    </w:rPr>
  </w:style>
  <w:style w:type="character" w:customStyle="1" w:styleId="SoggettocommentoCarattere">
    <w:name w:val="Soggetto commento Carattere"/>
    <w:link w:val="Soggettocommento"/>
    <w:uiPriority w:val="99"/>
    <w:semiHidden/>
    <w:rsid w:val="007B1F96"/>
    <w:rPr>
      <w:b/>
      <w:bCs/>
      <w:lang w:eastAsia="en-US"/>
    </w:rPr>
  </w:style>
  <w:style w:type="character" w:styleId="Collegamentoipertestuale">
    <w:name w:val="Hyperlink"/>
    <w:uiPriority w:val="99"/>
    <w:unhideWhenUsed/>
    <w:rsid w:val="007C679F"/>
    <w:rPr>
      <w:color w:val="0000FF"/>
      <w:u w:val="single"/>
    </w:rPr>
  </w:style>
  <w:style w:type="character" w:customStyle="1" w:styleId="hps">
    <w:name w:val="hps"/>
    <w:rsid w:val="00125E77"/>
  </w:style>
  <w:style w:type="character" w:customStyle="1" w:styleId="atn">
    <w:name w:val="atn"/>
    <w:rsid w:val="00125E77"/>
  </w:style>
  <w:style w:type="paragraph" w:customStyle="1" w:styleId="Stile16ptGrassettoCentrato">
    <w:name w:val="Stile 16 pt Grassetto Centrato"/>
    <w:basedOn w:val="Normale"/>
    <w:uiPriority w:val="99"/>
    <w:rsid w:val="00BB6AE4"/>
    <w:pPr>
      <w:spacing w:after="0" w:line="240" w:lineRule="auto"/>
      <w:jc w:val="center"/>
    </w:pPr>
    <w:rPr>
      <w:rFonts w:ascii="Arial" w:eastAsia="Times New Roman" w:hAnsi="Arial"/>
      <w:b/>
      <w:bCs/>
      <w:sz w:val="32"/>
      <w:szCs w:val="20"/>
      <w:lang w:eastAsia="it-IT"/>
    </w:rPr>
  </w:style>
  <w:style w:type="paragraph" w:styleId="Titolo">
    <w:name w:val="Title"/>
    <w:basedOn w:val="Normale"/>
    <w:link w:val="TitoloCarattere"/>
    <w:uiPriority w:val="99"/>
    <w:qFormat/>
    <w:rsid w:val="00BB6AE4"/>
    <w:pPr>
      <w:widowControl w:val="0"/>
      <w:spacing w:after="0" w:line="240" w:lineRule="auto"/>
      <w:jc w:val="center"/>
    </w:pPr>
    <w:rPr>
      <w:rFonts w:ascii="Arial" w:eastAsia="Times New Roman" w:hAnsi="Arial"/>
      <w:sz w:val="28"/>
      <w:szCs w:val="20"/>
      <w:lang w:eastAsia="it-IT"/>
    </w:rPr>
  </w:style>
  <w:style w:type="character" w:customStyle="1" w:styleId="TitoloCarattere">
    <w:name w:val="Titolo Carattere"/>
    <w:link w:val="Titolo"/>
    <w:uiPriority w:val="99"/>
    <w:rsid w:val="00BB6AE4"/>
    <w:rPr>
      <w:rFonts w:ascii="Arial" w:eastAsia="Times New Roman" w:hAnsi="Arial"/>
      <w:sz w:val="28"/>
    </w:rPr>
  </w:style>
  <w:style w:type="character" w:styleId="Numeropagina">
    <w:name w:val="page number"/>
    <w:uiPriority w:val="99"/>
    <w:rsid w:val="00BB6AE4"/>
    <w:rPr>
      <w:rFonts w:cs="Times New Roman"/>
    </w:rPr>
  </w:style>
  <w:style w:type="character" w:customStyle="1" w:styleId="Titolo1Carattere">
    <w:name w:val="Titolo 1 Carattere"/>
    <w:link w:val="Titolo1"/>
    <w:uiPriority w:val="99"/>
    <w:rsid w:val="00D12202"/>
    <w:rPr>
      <w:rFonts w:ascii="Cambria" w:eastAsia="Times New Roman" w:hAnsi="Cambria"/>
      <w:b/>
      <w:bCs/>
      <w:kern w:val="32"/>
      <w:sz w:val="32"/>
      <w:szCs w:val="32"/>
      <w:lang w:eastAsia="ar-SA"/>
    </w:rPr>
  </w:style>
  <w:style w:type="paragraph" w:styleId="Testonotaapidipagina">
    <w:name w:val="footnote text"/>
    <w:basedOn w:val="Normale"/>
    <w:rsid w:val="00BA26A8"/>
    <w:pPr>
      <w:spacing w:after="0" w:line="240" w:lineRule="auto"/>
    </w:pPr>
    <w:rPr>
      <w:rFonts w:ascii="Times New Roman" w:eastAsia="Times New Roman" w:hAnsi="Times New Roman"/>
      <w:sz w:val="20"/>
      <w:szCs w:val="20"/>
      <w:lang w:eastAsia="it-IT"/>
    </w:rPr>
  </w:style>
  <w:style w:type="character" w:styleId="Rimandonotaapidipagina">
    <w:name w:val="footnote reference"/>
    <w:rsid w:val="00BA26A8"/>
    <w:rPr>
      <w:vertAlign w:val="superscript"/>
    </w:rPr>
  </w:style>
  <w:style w:type="character" w:customStyle="1" w:styleId="Titolo3Carattere">
    <w:name w:val="Titolo 3 Carattere"/>
    <w:link w:val="Titolo3"/>
    <w:uiPriority w:val="9"/>
    <w:rsid w:val="00413595"/>
    <w:rPr>
      <w:rFonts w:ascii="Cambria" w:eastAsia="Times New Roman" w:hAnsi="Cambria" w:cs="Times New Roman"/>
      <w:b/>
      <w:bCs/>
      <w:sz w:val="26"/>
      <w:szCs w:val="26"/>
      <w:lang w:eastAsia="en-US"/>
    </w:rPr>
  </w:style>
  <w:style w:type="character" w:customStyle="1" w:styleId="Titolo4Carattere">
    <w:name w:val="Titolo 4 Carattere"/>
    <w:link w:val="Titolo4"/>
    <w:uiPriority w:val="9"/>
    <w:semiHidden/>
    <w:rsid w:val="00413595"/>
    <w:rPr>
      <w:rFonts w:ascii="Calibri" w:eastAsia="Times New Roman" w:hAnsi="Calibri" w:cs="Times New Roman"/>
      <w:b/>
      <w:bCs/>
      <w:sz w:val="28"/>
      <w:szCs w:val="28"/>
      <w:lang w:eastAsia="en-US"/>
    </w:rPr>
  </w:style>
  <w:style w:type="character" w:styleId="Enfasicorsivo">
    <w:name w:val="Emphasis"/>
    <w:uiPriority w:val="20"/>
    <w:qFormat/>
    <w:rsid w:val="00413595"/>
    <w:rPr>
      <w:rFonts w:cs="Times New Roman"/>
      <w:i/>
    </w:rPr>
  </w:style>
  <w:style w:type="paragraph" w:styleId="NormaleWeb">
    <w:name w:val="Normal (Web)"/>
    <w:basedOn w:val="Normale"/>
    <w:rsid w:val="00413595"/>
    <w:pPr>
      <w:spacing w:after="0" w:line="240" w:lineRule="auto"/>
    </w:pPr>
    <w:rPr>
      <w:rFonts w:ascii="Times New Roman" w:eastAsia="MS Mincho" w:hAnsi="Times New Roman"/>
      <w:sz w:val="24"/>
      <w:szCs w:val="24"/>
      <w:lang w:eastAsia="ja-JP" w:bidi="he-IL"/>
    </w:rPr>
  </w:style>
  <w:style w:type="paragraph" w:styleId="Testonotadichiusura">
    <w:name w:val="endnote text"/>
    <w:basedOn w:val="Normale"/>
    <w:link w:val="TestonotadichiusuraCarattere"/>
    <w:uiPriority w:val="99"/>
    <w:semiHidden/>
    <w:unhideWhenUsed/>
    <w:rsid w:val="00DC4601"/>
    <w:rPr>
      <w:sz w:val="20"/>
      <w:szCs w:val="20"/>
    </w:rPr>
  </w:style>
  <w:style w:type="character" w:customStyle="1" w:styleId="TestonotadichiusuraCarattere">
    <w:name w:val="Testo nota di chiusura Carattere"/>
    <w:link w:val="Testonotadichiusura"/>
    <w:uiPriority w:val="99"/>
    <w:semiHidden/>
    <w:rsid w:val="00DC4601"/>
    <w:rPr>
      <w:lang w:eastAsia="en-US"/>
    </w:rPr>
  </w:style>
  <w:style w:type="character" w:styleId="Rimandonotadichiusura">
    <w:name w:val="endnote reference"/>
    <w:uiPriority w:val="99"/>
    <w:semiHidden/>
    <w:unhideWhenUsed/>
    <w:rsid w:val="00DC4601"/>
    <w:rPr>
      <w:vertAlign w:val="superscript"/>
    </w:rPr>
  </w:style>
  <w:style w:type="character" w:styleId="Enfasigrassetto">
    <w:name w:val="Strong"/>
    <w:qFormat/>
    <w:rsid w:val="00DC4601"/>
    <w:rPr>
      <w:b/>
      <w:bCs/>
    </w:rPr>
  </w:style>
  <w:style w:type="character" w:customStyle="1" w:styleId="longtext">
    <w:name w:val="long_text"/>
    <w:rsid w:val="00642906"/>
  </w:style>
  <w:style w:type="paragraph" w:styleId="Didascalia">
    <w:name w:val="caption"/>
    <w:basedOn w:val="Normale"/>
    <w:next w:val="Normale"/>
    <w:uiPriority w:val="35"/>
    <w:unhideWhenUsed/>
    <w:qFormat/>
    <w:rsid w:val="00992170"/>
    <w:rPr>
      <w:b/>
      <w:bCs/>
      <w:sz w:val="20"/>
      <w:szCs w:val="20"/>
    </w:rPr>
  </w:style>
  <w:style w:type="character" w:customStyle="1" w:styleId="apple-converted-space">
    <w:name w:val="apple-converted-space"/>
    <w:basedOn w:val="Carpredefinitoparagrafo"/>
    <w:rsid w:val="00B25BA9"/>
  </w:style>
  <w:style w:type="table" w:styleId="Tabellasemplice-2">
    <w:name w:val="Plain Table 2"/>
    <w:basedOn w:val="Tabellanormale"/>
    <w:uiPriority w:val="42"/>
    <w:rsid w:val="007347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9137">
      <w:bodyDiv w:val="1"/>
      <w:marLeft w:val="0"/>
      <w:marRight w:val="0"/>
      <w:marTop w:val="0"/>
      <w:marBottom w:val="0"/>
      <w:divBdr>
        <w:top w:val="none" w:sz="0" w:space="0" w:color="auto"/>
        <w:left w:val="none" w:sz="0" w:space="0" w:color="auto"/>
        <w:bottom w:val="none" w:sz="0" w:space="0" w:color="auto"/>
        <w:right w:val="none" w:sz="0" w:space="0" w:color="auto"/>
      </w:divBdr>
    </w:div>
    <w:div w:id="1114787348">
      <w:bodyDiv w:val="1"/>
      <w:marLeft w:val="0"/>
      <w:marRight w:val="0"/>
      <w:marTop w:val="0"/>
      <w:marBottom w:val="0"/>
      <w:divBdr>
        <w:top w:val="none" w:sz="0" w:space="0" w:color="auto"/>
        <w:left w:val="none" w:sz="0" w:space="0" w:color="auto"/>
        <w:bottom w:val="none" w:sz="0" w:space="0" w:color="auto"/>
        <w:right w:val="none" w:sz="0" w:space="0" w:color="auto"/>
      </w:divBdr>
    </w:div>
    <w:div w:id="1321617174">
      <w:bodyDiv w:val="1"/>
      <w:marLeft w:val="0"/>
      <w:marRight w:val="0"/>
      <w:marTop w:val="0"/>
      <w:marBottom w:val="0"/>
      <w:divBdr>
        <w:top w:val="none" w:sz="0" w:space="0" w:color="auto"/>
        <w:left w:val="none" w:sz="0" w:space="0" w:color="auto"/>
        <w:bottom w:val="none" w:sz="0" w:space="0" w:color="auto"/>
        <w:right w:val="none" w:sz="0" w:space="0" w:color="auto"/>
      </w:divBdr>
    </w:div>
    <w:div w:id="1355811871">
      <w:bodyDiv w:val="1"/>
      <w:marLeft w:val="0"/>
      <w:marRight w:val="0"/>
      <w:marTop w:val="0"/>
      <w:marBottom w:val="0"/>
      <w:divBdr>
        <w:top w:val="none" w:sz="0" w:space="0" w:color="auto"/>
        <w:left w:val="none" w:sz="0" w:space="0" w:color="auto"/>
        <w:bottom w:val="none" w:sz="0" w:space="0" w:color="auto"/>
        <w:right w:val="none" w:sz="0" w:space="0" w:color="auto"/>
      </w:divBdr>
    </w:div>
    <w:div w:id="1610046969">
      <w:bodyDiv w:val="1"/>
      <w:marLeft w:val="0"/>
      <w:marRight w:val="0"/>
      <w:marTop w:val="0"/>
      <w:marBottom w:val="0"/>
      <w:divBdr>
        <w:top w:val="none" w:sz="0" w:space="0" w:color="auto"/>
        <w:left w:val="none" w:sz="0" w:space="0" w:color="auto"/>
        <w:bottom w:val="none" w:sz="0" w:space="0" w:color="auto"/>
        <w:right w:val="none" w:sz="0" w:space="0" w:color="auto"/>
      </w:divBdr>
      <w:divsChild>
        <w:div w:id="761730172">
          <w:marLeft w:val="0"/>
          <w:marRight w:val="0"/>
          <w:marTop w:val="0"/>
          <w:marBottom w:val="0"/>
          <w:divBdr>
            <w:top w:val="none" w:sz="0" w:space="0" w:color="auto"/>
            <w:left w:val="none" w:sz="0" w:space="0" w:color="auto"/>
            <w:bottom w:val="none" w:sz="0" w:space="0" w:color="auto"/>
            <w:right w:val="none" w:sz="0" w:space="0" w:color="auto"/>
          </w:divBdr>
          <w:divsChild>
            <w:div w:id="1106117260">
              <w:marLeft w:val="0"/>
              <w:marRight w:val="0"/>
              <w:marTop w:val="0"/>
              <w:marBottom w:val="0"/>
              <w:divBdr>
                <w:top w:val="none" w:sz="0" w:space="0" w:color="auto"/>
                <w:left w:val="none" w:sz="0" w:space="0" w:color="auto"/>
                <w:bottom w:val="none" w:sz="0" w:space="0" w:color="auto"/>
                <w:right w:val="none" w:sz="0" w:space="0" w:color="auto"/>
              </w:divBdr>
              <w:divsChild>
                <w:div w:id="558587759">
                  <w:marLeft w:val="0"/>
                  <w:marRight w:val="0"/>
                  <w:marTop w:val="0"/>
                  <w:marBottom w:val="0"/>
                  <w:divBdr>
                    <w:top w:val="none" w:sz="0" w:space="0" w:color="auto"/>
                    <w:left w:val="none" w:sz="0" w:space="0" w:color="auto"/>
                    <w:bottom w:val="none" w:sz="0" w:space="0" w:color="auto"/>
                    <w:right w:val="none" w:sz="0" w:space="0" w:color="auto"/>
                  </w:divBdr>
                  <w:divsChild>
                    <w:div w:id="1190990623">
                      <w:marLeft w:val="0"/>
                      <w:marRight w:val="0"/>
                      <w:marTop w:val="0"/>
                      <w:marBottom w:val="0"/>
                      <w:divBdr>
                        <w:top w:val="none" w:sz="0" w:space="0" w:color="auto"/>
                        <w:left w:val="none" w:sz="0" w:space="0" w:color="auto"/>
                        <w:bottom w:val="none" w:sz="0" w:space="0" w:color="auto"/>
                        <w:right w:val="none" w:sz="0" w:space="0" w:color="auto"/>
                      </w:divBdr>
                      <w:divsChild>
                        <w:div w:id="1749955946">
                          <w:marLeft w:val="0"/>
                          <w:marRight w:val="0"/>
                          <w:marTop w:val="0"/>
                          <w:marBottom w:val="0"/>
                          <w:divBdr>
                            <w:top w:val="none" w:sz="0" w:space="0" w:color="auto"/>
                            <w:left w:val="none" w:sz="0" w:space="0" w:color="auto"/>
                            <w:bottom w:val="none" w:sz="0" w:space="0" w:color="auto"/>
                            <w:right w:val="none" w:sz="0" w:space="0" w:color="auto"/>
                          </w:divBdr>
                          <w:divsChild>
                            <w:div w:id="281771873">
                              <w:marLeft w:val="0"/>
                              <w:marRight w:val="0"/>
                              <w:marTop w:val="0"/>
                              <w:marBottom w:val="0"/>
                              <w:divBdr>
                                <w:top w:val="none" w:sz="0" w:space="0" w:color="auto"/>
                                <w:left w:val="none" w:sz="0" w:space="0" w:color="auto"/>
                                <w:bottom w:val="none" w:sz="0" w:space="0" w:color="auto"/>
                                <w:right w:val="none" w:sz="0" w:space="0" w:color="auto"/>
                              </w:divBdr>
                              <w:divsChild>
                                <w:div w:id="1657222732">
                                  <w:marLeft w:val="0"/>
                                  <w:marRight w:val="0"/>
                                  <w:marTop w:val="0"/>
                                  <w:marBottom w:val="0"/>
                                  <w:divBdr>
                                    <w:top w:val="none" w:sz="0" w:space="0" w:color="auto"/>
                                    <w:left w:val="none" w:sz="0" w:space="0" w:color="auto"/>
                                    <w:bottom w:val="none" w:sz="0" w:space="0" w:color="auto"/>
                                    <w:right w:val="none" w:sz="0" w:space="0" w:color="auto"/>
                                  </w:divBdr>
                                  <w:divsChild>
                                    <w:div w:id="293682359">
                                      <w:marLeft w:val="0"/>
                                      <w:marRight w:val="0"/>
                                      <w:marTop w:val="0"/>
                                      <w:marBottom w:val="0"/>
                                      <w:divBdr>
                                        <w:top w:val="single" w:sz="6" w:space="0" w:color="F5F5F5"/>
                                        <w:left w:val="single" w:sz="6" w:space="0" w:color="F5F5F5"/>
                                        <w:bottom w:val="single" w:sz="6" w:space="0" w:color="F5F5F5"/>
                                        <w:right w:val="single" w:sz="6" w:space="0" w:color="F5F5F5"/>
                                      </w:divBdr>
                                      <w:divsChild>
                                        <w:div w:id="2070877192">
                                          <w:marLeft w:val="0"/>
                                          <w:marRight w:val="0"/>
                                          <w:marTop w:val="0"/>
                                          <w:marBottom w:val="0"/>
                                          <w:divBdr>
                                            <w:top w:val="none" w:sz="0" w:space="0" w:color="auto"/>
                                            <w:left w:val="none" w:sz="0" w:space="0" w:color="auto"/>
                                            <w:bottom w:val="none" w:sz="0" w:space="0" w:color="auto"/>
                                            <w:right w:val="none" w:sz="0" w:space="0" w:color="auto"/>
                                          </w:divBdr>
                                          <w:divsChild>
                                            <w:div w:id="16759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665761">
      <w:bodyDiv w:val="1"/>
      <w:marLeft w:val="0"/>
      <w:marRight w:val="0"/>
      <w:marTop w:val="0"/>
      <w:marBottom w:val="0"/>
      <w:divBdr>
        <w:top w:val="none" w:sz="0" w:space="0" w:color="auto"/>
        <w:left w:val="none" w:sz="0" w:space="0" w:color="auto"/>
        <w:bottom w:val="none" w:sz="0" w:space="0" w:color="auto"/>
        <w:right w:val="none" w:sz="0" w:space="0" w:color="auto"/>
      </w:divBdr>
    </w:div>
    <w:div w:id="1685790076">
      <w:bodyDiv w:val="1"/>
      <w:marLeft w:val="0"/>
      <w:marRight w:val="0"/>
      <w:marTop w:val="0"/>
      <w:marBottom w:val="0"/>
      <w:divBdr>
        <w:top w:val="none" w:sz="0" w:space="0" w:color="auto"/>
        <w:left w:val="none" w:sz="0" w:space="0" w:color="auto"/>
        <w:bottom w:val="none" w:sz="0" w:space="0" w:color="auto"/>
        <w:right w:val="none" w:sz="0" w:space="0" w:color="auto"/>
      </w:divBdr>
    </w:div>
    <w:div w:id="1832716618">
      <w:bodyDiv w:val="1"/>
      <w:marLeft w:val="0"/>
      <w:marRight w:val="0"/>
      <w:marTop w:val="0"/>
      <w:marBottom w:val="0"/>
      <w:divBdr>
        <w:top w:val="none" w:sz="0" w:space="0" w:color="auto"/>
        <w:left w:val="none" w:sz="0" w:space="0" w:color="auto"/>
        <w:bottom w:val="none" w:sz="0" w:space="0" w:color="auto"/>
        <w:right w:val="none" w:sz="0" w:space="0" w:color="auto"/>
      </w:divBdr>
    </w:div>
    <w:div w:id="1917938496">
      <w:bodyDiv w:val="1"/>
      <w:marLeft w:val="0"/>
      <w:marRight w:val="0"/>
      <w:marTop w:val="0"/>
      <w:marBottom w:val="0"/>
      <w:divBdr>
        <w:top w:val="none" w:sz="0" w:space="0" w:color="auto"/>
        <w:left w:val="none" w:sz="0" w:space="0" w:color="auto"/>
        <w:bottom w:val="none" w:sz="0" w:space="0" w:color="auto"/>
        <w:right w:val="none" w:sz="0" w:space="0" w:color="auto"/>
      </w:divBdr>
    </w:div>
    <w:div w:id="19266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diagramLayout" Target="diagrams/layout1.xm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diagramData" Target="diagrams/data1.xml"/><Relationship Id="rId27" Type="http://schemas.openxmlformats.org/officeDocument/2006/relationships/footer" Target="footer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2009A-7F55-4272-A0EB-A04743C98BBE}" type="doc">
      <dgm:prSet loTypeId="urn:microsoft.com/office/officeart/2005/8/layout/cycle4" loCatId="matrix" qsTypeId="urn:microsoft.com/office/officeart/2005/8/quickstyle/simple1" qsCatId="simple" csTypeId="urn:microsoft.com/office/officeart/2005/8/colors/accent0_1" csCatId="mainScheme" phldr="1"/>
      <dgm:spPr/>
      <dgm:t>
        <a:bodyPr/>
        <a:lstStyle/>
        <a:p>
          <a:endParaRPr lang="it-IT"/>
        </a:p>
      </dgm:t>
    </dgm:pt>
    <dgm:pt modelId="{28C01332-70A9-4FFE-A3C7-BEB05383E02B}">
      <dgm:prSet phldrT="[Testo]" custT="1"/>
      <dgm:spPr>
        <a:xfrm>
          <a:off x="1317850" y="217712"/>
          <a:ext cx="1653854" cy="165385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it-IT"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New financing instruments for SMEs (Leg.ve Decree n. 83/2012 and Leg.ve Decree n. 145/201).</a:t>
          </a:r>
        </a:p>
      </dgm:t>
    </dgm:pt>
    <dgm:pt modelId="{07492357-EAD6-4EE1-AC6F-8D1764425DED}" type="parTrans" cxnId="{7B993A2F-E722-40C8-B7D9-6CE047C6BD9D}">
      <dgm:prSet/>
      <dgm:spPr/>
      <dgm:t>
        <a:bodyPr/>
        <a:lstStyle/>
        <a:p>
          <a:endParaRPr lang="it-IT" sz="1000" b="1">
            <a:latin typeface="Times New Roman" panose="02020603050405020304" pitchFamily="18" charset="0"/>
            <a:cs typeface="Times New Roman" panose="02020603050405020304" pitchFamily="18" charset="0"/>
          </a:endParaRPr>
        </a:p>
      </dgm:t>
    </dgm:pt>
    <dgm:pt modelId="{7EEC473C-2CB5-4256-AF86-37607C0B5FCA}" type="sibTrans" cxnId="{7B993A2F-E722-40C8-B7D9-6CE047C6BD9D}">
      <dgm:prSet/>
      <dgm:spPr/>
      <dgm:t>
        <a:bodyPr/>
        <a:lstStyle/>
        <a:p>
          <a:endParaRPr lang="it-IT" sz="1000" b="1">
            <a:latin typeface="Times New Roman" panose="02020603050405020304" pitchFamily="18" charset="0"/>
            <a:cs typeface="Times New Roman" panose="02020603050405020304" pitchFamily="18" charset="0"/>
          </a:endParaRPr>
        </a:p>
      </dgm:t>
    </dgm:pt>
    <dgm:pt modelId="{685A36AE-1DED-44A4-BB68-D367097EFFD2}">
      <dgm:prSet phldrT="[Testo]" custT="1"/>
      <dgm:spPr>
        <a:xfrm>
          <a:off x="700704" y="282082"/>
          <a:ext cx="1539854" cy="658082"/>
        </a:xfr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gm:spPr>
      <dgm:t>
        <a:bodyPr/>
        <a:lstStyle/>
        <a:p>
          <a:r>
            <a:rPr lang="it-I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LnFDL</a:t>
          </a:r>
          <a:r>
            <a:rPr lang="it-IT" sz="1000" b="1" baseline="-25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it</a:t>
          </a:r>
        </a:p>
      </dgm:t>
    </dgm:pt>
    <dgm:pt modelId="{A46D3D72-8B45-499E-B17A-0516ED33F206}" type="parTrans" cxnId="{AF31ECD5-C290-46F7-B033-5D841770B336}">
      <dgm:prSet/>
      <dgm:spPr/>
      <dgm:t>
        <a:bodyPr/>
        <a:lstStyle/>
        <a:p>
          <a:endParaRPr lang="it-IT" sz="1000" b="1">
            <a:latin typeface="Times New Roman" panose="02020603050405020304" pitchFamily="18" charset="0"/>
            <a:cs typeface="Times New Roman" panose="02020603050405020304" pitchFamily="18" charset="0"/>
          </a:endParaRPr>
        </a:p>
      </dgm:t>
    </dgm:pt>
    <dgm:pt modelId="{A51C8765-88BC-4C0D-A011-0256A488D839}" type="sibTrans" cxnId="{AF31ECD5-C290-46F7-B033-5D841770B336}">
      <dgm:prSet/>
      <dgm:spPr/>
      <dgm:t>
        <a:bodyPr/>
        <a:lstStyle/>
        <a:p>
          <a:endParaRPr lang="it-IT" sz="1000" b="1">
            <a:latin typeface="Times New Roman" panose="02020603050405020304" pitchFamily="18" charset="0"/>
            <a:cs typeface="Times New Roman" panose="02020603050405020304" pitchFamily="18" charset="0"/>
          </a:endParaRPr>
        </a:p>
      </dgm:t>
    </dgm:pt>
    <dgm:pt modelId="{35462F51-F84F-4BC6-B640-0B13D95DF29A}">
      <dgm:prSet phldrT="[Testo]" custT="1"/>
      <dgm:spPr>
        <a:xfrm rot="5400000">
          <a:off x="3048095" y="217712"/>
          <a:ext cx="1653854" cy="165385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it-IT"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Valorising soft information in rating systems (through-the-cycle ratings).</a:t>
          </a:r>
        </a:p>
        <a:p>
          <a:endParaRPr lang="it-IT"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91FE135-0853-4BD5-BE8A-C9B9DA62F21A}" type="parTrans" cxnId="{C764AA5C-92B4-4CD1-94FB-CE172F1B76B9}">
      <dgm:prSet/>
      <dgm:spPr/>
      <dgm:t>
        <a:bodyPr/>
        <a:lstStyle/>
        <a:p>
          <a:endParaRPr lang="it-IT" sz="1000" b="1">
            <a:latin typeface="Times New Roman" panose="02020603050405020304" pitchFamily="18" charset="0"/>
            <a:cs typeface="Times New Roman" panose="02020603050405020304" pitchFamily="18" charset="0"/>
          </a:endParaRPr>
        </a:p>
      </dgm:t>
    </dgm:pt>
    <dgm:pt modelId="{98F78BD3-09D7-408C-BA55-50A841772541}" type="sibTrans" cxnId="{C764AA5C-92B4-4CD1-94FB-CE172F1B76B9}">
      <dgm:prSet/>
      <dgm:spPr/>
      <dgm:t>
        <a:bodyPr/>
        <a:lstStyle/>
        <a:p>
          <a:endParaRPr lang="it-IT" sz="1000" b="1">
            <a:latin typeface="Times New Roman" panose="02020603050405020304" pitchFamily="18" charset="0"/>
            <a:cs typeface="Times New Roman" panose="02020603050405020304" pitchFamily="18" charset="0"/>
          </a:endParaRPr>
        </a:p>
      </dgm:t>
    </dgm:pt>
    <dgm:pt modelId="{3AC331CE-3B6E-4FF1-920C-FBA46255C907}">
      <dgm:prSet phldrT="[Testo]" custT="1"/>
      <dgm:spPr>
        <a:xfrm>
          <a:off x="3842960" y="293834"/>
          <a:ext cx="1675707" cy="683615"/>
        </a:xfr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gm:spPr>
      <dgm:t>
        <a:bodyPr/>
        <a:lstStyle/>
        <a:p>
          <a:r>
            <a:rPr lang="it-I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LOCALBINTAN</a:t>
          </a:r>
          <a:r>
            <a:rPr lang="it-IT" sz="1000" b="1" baseline="-25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it</a:t>
          </a:r>
        </a:p>
      </dgm:t>
    </dgm:pt>
    <dgm:pt modelId="{A8727E39-2A0D-4D81-9DD2-E32435A0835A}" type="parTrans" cxnId="{613083F3-23B8-4414-A8A5-9DC0D42285F3}">
      <dgm:prSet/>
      <dgm:spPr/>
      <dgm:t>
        <a:bodyPr/>
        <a:lstStyle/>
        <a:p>
          <a:endParaRPr lang="it-IT" sz="1000" b="1">
            <a:latin typeface="Times New Roman" panose="02020603050405020304" pitchFamily="18" charset="0"/>
            <a:cs typeface="Times New Roman" panose="02020603050405020304" pitchFamily="18" charset="0"/>
          </a:endParaRPr>
        </a:p>
      </dgm:t>
    </dgm:pt>
    <dgm:pt modelId="{1BF461EC-764B-4232-8A79-2D40585F5210}" type="sibTrans" cxnId="{613083F3-23B8-4414-A8A5-9DC0D42285F3}">
      <dgm:prSet/>
      <dgm:spPr/>
      <dgm:t>
        <a:bodyPr/>
        <a:lstStyle/>
        <a:p>
          <a:endParaRPr lang="it-IT" sz="1000" b="1">
            <a:latin typeface="Times New Roman" panose="02020603050405020304" pitchFamily="18" charset="0"/>
            <a:cs typeface="Times New Roman" panose="02020603050405020304" pitchFamily="18" charset="0"/>
          </a:endParaRPr>
        </a:p>
      </dgm:t>
    </dgm:pt>
    <dgm:pt modelId="{B5650B5C-4DA7-4CE9-82E7-50B531D0CCC0}">
      <dgm:prSet phldrT="[Testo]" custT="1"/>
      <dgm:spPr>
        <a:xfrm rot="10800000">
          <a:off x="3048086" y="1947949"/>
          <a:ext cx="1653870" cy="165387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r>
            <a:rPr lang="it-IT"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 tax and accounting system capable of encouraging the use of derivatives.</a:t>
          </a:r>
        </a:p>
      </dgm:t>
    </dgm:pt>
    <dgm:pt modelId="{BE25F125-B22A-4A11-8D6C-1AEEEB850A6D}" type="parTrans" cxnId="{FC48F0B2-FFA3-4A20-BDDF-50AE697C919C}">
      <dgm:prSet/>
      <dgm:spPr/>
      <dgm:t>
        <a:bodyPr/>
        <a:lstStyle/>
        <a:p>
          <a:endParaRPr lang="it-IT" sz="1000" b="1">
            <a:latin typeface="Times New Roman" panose="02020603050405020304" pitchFamily="18" charset="0"/>
            <a:cs typeface="Times New Roman" panose="02020603050405020304" pitchFamily="18" charset="0"/>
          </a:endParaRPr>
        </a:p>
      </dgm:t>
    </dgm:pt>
    <dgm:pt modelId="{981BAF32-B58D-44F3-BA86-A1A8B4FC835E}" type="sibTrans" cxnId="{FC48F0B2-FFA3-4A20-BDDF-50AE697C919C}">
      <dgm:prSet/>
      <dgm:spPr/>
      <dgm:t>
        <a:bodyPr/>
        <a:lstStyle/>
        <a:p>
          <a:endParaRPr lang="it-IT" sz="1000" b="1">
            <a:latin typeface="Times New Roman" panose="02020603050405020304" pitchFamily="18" charset="0"/>
            <a:cs typeface="Times New Roman" panose="02020603050405020304" pitchFamily="18" charset="0"/>
          </a:endParaRPr>
        </a:p>
      </dgm:t>
    </dgm:pt>
    <dgm:pt modelId="{749113F6-194C-4BF0-BEBD-5557F2B3E82A}">
      <dgm:prSet phldrT="[Testo]" custT="1"/>
      <dgm:spPr>
        <a:xfrm>
          <a:off x="3840469" y="2868279"/>
          <a:ext cx="1659178" cy="658706"/>
        </a:xfr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gm:spPr>
      <dgm:t>
        <a:bodyPr/>
        <a:lstStyle/>
        <a:p>
          <a:pPr algn="l"/>
          <a:r>
            <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a:t>
          </a:r>
          <a:endParaRPr lang="it-I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47AE645-08FD-44F4-9658-3E0C3551CD99}" type="parTrans" cxnId="{49FC7710-1B92-47FF-8C9F-04B56E4E70C3}">
      <dgm:prSet/>
      <dgm:spPr/>
      <dgm:t>
        <a:bodyPr/>
        <a:lstStyle/>
        <a:p>
          <a:endParaRPr lang="it-IT" sz="1000" b="1">
            <a:latin typeface="Times New Roman" panose="02020603050405020304" pitchFamily="18" charset="0"/>
            <a:cs typeface="Times New Roman" panose="02020603050405020304" pitchFamily="18" charset="0"/>
          </a:endParaRPr>
        </a:p>
      </dgm:t>
    </dgm:pt>
    <dgm:pt modelId="{69ECD59D-8E64-46BB-8E87-F1023FA83A57}" type="sibTrans" cxnId="{49FC7710-1B92-47FF-8C9F-04B56E4E70C3}">
      <dgm:prSet/>
      <dgm:spPr/>
      <dgm:t>
        <a:bodyPr/>
        <a:lstStyle/>
        <a:p>
          <a:endParaRPr lang="it-IT" sz="1000" b="1">
            <a:latin typeface="Times New Roman" panose="02020603050405020304" pitchFamily="18" charset="0"/>
            <a:cs typeface="Times New Roman" panose="02020603050405020304" pitchFamily="18" charset="0"/>
          </a:endParaRPr>
        </a:p>
      </dgm:t>
    </dgm:pt>
    <dgm:pt modelId="{E490CE85-8C62-4267-9FC5-086699583E9E}">
      <dgm:prSet phldrT="[Testo]" custT="1"/>
      <dgm:spPr>
        <a:xfrm rot="16200000">
          <a:off x="1317850" y="1947957"/>
          <a:ext cx="1653854" cy="165385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it-IT"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r>
            <a:rPr lang="it-IT"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Valorising skills and know-how from SMEs.</a:t>
          </a:r>
        </a:p>
        <a:p>
          <a:r>
            <a:rPr lang="it-IT"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Enhancing so-called firm-specific skills.</a:t>
          </a:r>
        </a:p>
      </dgm:t>
    </dgm:pt>
    <dgm:pt modelId="{52DB4793-9531-4A46-9C95-8E7D279F9EE4}" type="parTrans" cxnId="{FB386373-E729-431D-B883-5A06122EBADE}">
      <dgm:prSet/>
      <dgm:spPr/>
      <dgm:t>
        <a:bodyPr/>
        <a:lstStyle/>
        <a:p>
          <a:endParaRPr lang="it-IT" sz="1000" b="1">
            <a:latin typeface="Times New Roman" panose="02020603050405020304" pitchFamily="18" charset="0"/>
            <a:cs typeface="Times New Roman" panose="02020603050405020304" pitchFamily="18" charset="0"/>
          </a:endParaRPr>
        </a:p>
      </dgm:t>
    </dgm:pt>
    <dgm:pt modelId="{E6B5F443-EF60-40E2-A669-1052851FAF7F}" type="sibTrans" cxnId="{FB386373-E729-431D-B883-5A06122EBADE}">
      <dgm:prSet/>
      <dgm:spPr/>
      <dgm:t>
        <a:bodyPr/>
        <a:lstStyle/>
        <a:p>
          <a:endParaRPr lang="it-IT" sz="1000" b="1">
            <a:latin typeface="Times New Roman" panose="02020603050405020304" pitchFamily="18" charset="0"/>
            <a:cs typeface="Times New Roman" panose="02020603050405020304" pitchFamily="18" charset="0"/>
          </a:endParaRPr>
        </a:p>
      </dgm:t>
    </dgm:pt>
    <dgm:pt modelId="{8E6911D1-F7DD-4482-B306-B361BEA1E353}">
      <dgm:prSet phldrT="[Testo]" custT="1"/>
      <dgm:spPr>
        <a:xfrm>
          <a:off x="735941" y="2888282"/>
          <a:ext cx="1512400" cy="661749"/>
        </a:xfr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gm:spPr>
      <dgm:t>
        <a:bodyPr/>
        <a:lstStyle/>
        <a:p>
          <a:r>
            <a:rPr lang="it-I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INTAN</a:t>
          </a:r>
          <a:r>
            <a:rPr lang="it-IT" sz="1000" b="1" baseline="-25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it</a:t>
          </a:r>
        </a:p>
      </dgm:t>
    </dgm:pt>
    <dgm:pt modelId="{D91A69D8-2E8F-4CBB-A13B-669621A0D1F1}" type="parTrans" cxnId="{A6DA3DC7-3DAA-4099-AA33-7857EC6E4F84}">
      <dgm:prSet/>
      <dgm:spPr/>
      <dgm:t>
        <a:bodyPr/>
        <a:lstStyle/>
        <a:p>
          <a:endParaRPr lang="it-IT" sz="1000" b="1">
            <a:latin typeface="Times New Roman" panose="02020603050405020304" pitchFamily="18" charset="0"/>
            <a:cs typeface="Times New Roman" panose="02020603050405020304" pitchFamily="18" charset="0"/>
          </a:endParaRPr>
        </a:p>
      </dgm:t>
    </dgm:pt>
    <dgm:pt modelId="{18796015-8BC5-4E76-AB21-26D886F29297}" type="sibTrans" cxnId="{A6DA3DC7-3DAA-4099-AA33-7857EC6E4F84}">
      <dgm:prSet/>
      <dgm:spPr/>
      <dgm:t>
        <a:bodyPr/>
        <a:lstStyle/>
        <a:p>
          <a:endParaRPr lang="it-IT" sz="1000" b="1">
            <a:latin typeface="Times New Roman" panose="02020603050405020304" pitchFamily="18" charset="0"/>
            <a:cs typeface="Times New Roman" panose="02020603050405020304" pitchFamily="18" charset="0"/>
          </a:endParaRPr>
        </a:p>
      </dgm:t>
    </dgm:pt>
    <dgm:pt modelId="{C8CE7A7F-F0CD-4215-88F1-F2C0FD04553A}">
      <dgm:prSet custT="1"/>
      <dgm:spPr/>
      <dgm:t>
        <a:bodyPr/>
        <a:lstStyle/>
        <a:p>
          <a:endParaRPr lang="it-IT"/>
        </a:p>
      </dgm:t>
    </dgm:pt>
    <dgm:pt modelId="{971C9BE9-AACD-46CB-8E13-6EB206BDAA87}" type="parTrans" cxnId="{30011A4E-886E-4BA1-989B-CB97904ABE1C}">
      <dgm:prSet/>
      <dgm:spPr/>
      <dgm:t>
        <a:bodyPr/>
        <a:lstStyle/>
        <a:p>
          <a:endParaRPr lang="it-IT"/>
        </a:p>
      </dgm:t>
    </dgm:pt>
    <dgm:pt modelId="{1AA942E9-0D12-434E-9D03-FA69559CD46C}" type="sibTrans" cxnId="{30011A4E-886E-4BA1-989B-CB97904ABE1C}">
      <dgm:prSet/>
      <dgm:spPr/>
      <dgm:t>
        <a:bodyPr/>
        <a:lstStyle/>
        <a:p>
          <a:endParaRPr lang="it-IT"/>
        </a:p>
      </dgm:t>
    </dgm:pt>
    <dgm:pt modelId="{9AB49A74-18CB-484C-9664-9205CDE06497}">
      <dgm:prSet custT="1"/>
      <dgm:spPr/>
      <dgm:t>
        <a:bodyPr/>
        <a:lstStyle/>
        <a:p>
          <a:endParaRPr lang="it-IT" sz="1000" b="0">
            <a:latin typeface="Times New Roman" panose="02020603050405020304" pitchFamily="18" charset="0"/>
            <a:cs typeface="Times New Roman" panose="02020603050405020304" pitchFamily="18" charset="0"/>
          </a:endParaRPr>
        </a:p>
      </dgm:t>
    </dgm:pt>
    <dgm:pt modelId="{A9145681-3F66-4B23-AD8B-C942298D57D5}" type="parTrans" cxnId="{2AB32D83-1450-4A1D-96D8-B1F4CD109A32}">
      <dgm:prSet/>
      <dgm:spPr/>
      <dgm:t>
        <a:bodyPr/>
        <a:lstStyle/>
        <a:p>
          <a:endParaRPr lang="it-IT"/>
        </a:p>
      </dgm:t>
    </dgm:pt>
    <dgm:pt modelId="{BF5E4950-C383-4DC3-944A-19D28FF9413D}" type="sibTrans" cxnId="{2AB32D83-1450-4A1D-96D8-B1F4CD109A32}">
      <dgm:prSet/>
      <dgm:spPr/>
      <dgm:t>
        <a:bodyPr/>
        <a:lstStyle/>
        <a:p>
          <a:endParaRPr lang="it-IT"/>
        </a:p>
      </dgm:t>
    </dgm:pt>
    <dgm:pt modelId="{8433C613-1606-4151-B9D5-68BB76B8D622}" type="pres">
      <dgm:prSet presAssocID="{7E22009A-7F55-4272-A0EB-A04743C98BBE}" presName="cycleMatrixDiagram" presStyleCnt="0">
        <dgm:presLayoutVars>
          <dgm:chMax val="1"/>
          <dgm:dir/>
          <dgm:animLvl val="lvl"/>
          <dgm:resizeHandles val="exact"/>
        </dgm:presLayoutVars>
      </dgm:prSet>
      <dgm:spPr/>
      <dgm:t>
        <a:bodyPr/>
        <a:lstStyle/>
        <a:p>
          <a:endParaRPr lang="it-IT"/>
        </a:p>
      </dgm:t>
    </dgm:pt>
    <dgm:pt modelId="{46E6F664-777C-45ED-A613-AB908D2CA7A8}" type="pres">
      <dgm:prSet presAssocID="{7E22009A-7F55-4272-A0EB-A04743C98BBE}" presName="children" presStyleCnt="0"/>
      <dgm:spPr/>
    </dgm:pt>
    <dgm:pt modelId="{244FB5AE-F660-49AF-80DA-9A72E3229E92}" type="pres">
      <dgm:prSet presAssocID="{7E22009A-7F55-4272-A0EB-A04743C98BBE}" presName="child1group" presStyleCnt="0"/>
      <dgm:spPr/>
    </dgm:pt>
    <dgm:pt modelId="{946779E0-8ABE-4C38-B0AA-3F13F91FF07A}" type="pres">
      <dgm:prSet presAssocID="{7E22009A-7F55-4272-A0EB-A04743C98BBE}" presName="child1" presStyleLbl="bgAcc1" presStyleIdx="0" presStyleCnt="4" custScaleX="106715" custScaleY="53842" custLinFactNeighborX="-13188" custLinFactNeighborY="-2036"/>
      <dgm:spPr>
        <a:prstGeom prst="roundRect">
          <a:avLst>
            <a:gd name="adj" fmla="val 10000"/>
          </a:avLst>
        </a:prstGeom>
      </dgm:spPr>
      <dgm:t>
        <a:bodyPr/>
        <a:lstStyle/>
        <a:p>
          <a:endParaRPr lang="it-IT"/>
        </a:p>
      </dgm:t>
    </dgm:pt>
    <dgm:pt modelId="{CBAAD717-3DCC-4D43-AB70-CA6C17E84C43}" type="pres">
      <dgm:prSet presAssocID="{7E22009A-7F55-4272-A0EB-A04743C98BBE}" presName="child1Text" presStyleLbl="bgAcc1" presStyleIdx="0" presStyleCnt="4">
        <dgm:presLayoutVars>
          <dgm:bulletEnabled val="1"/>
        </dgm:presLayoutVars>
      </dgm:prSet>
      <dgm:spPr/>
      <dgm:t>
        <a:bodyPr/>
        <a:lstStyle/>
        <a:p>
          <a:endParaRPr lang="it-IT"/>
        </a:p>
      </dgm:t>
    </dgm:pt>
    <dgm:pt modelId="{BD688700-84F5-4A25-9703-381BD11CC08B}" type="pres">
      <dgm:prSet presAssocID="{7E22009A-7F55-4272-A0EB-A04743C98BBE}" presName="child2group" presStyleCnt="0"/>
      <dgm:spPr/>
    </dgm:pt>
    <dgm:pt modelId="{473FAD3C-A2E3-4609-8D85-1D8ED92CA259}" type="pres">
      <dgm:prSet presAssocID="{7E22009A-7F55-4272-A0EB-A04743C98BBE}" presName="child2" presStyleLbl="bgAcc1" presStyleIdx="1" presStyleCnt="4" custScaleX="106099" custScaleY="55931" custLinFactNeighborX="4340" custLinFactNeighborY="2006"/>
      <dgm:spPr>
        <a:prstGeom prst="roundRect">
          <a:avLst>
            <a:gd name="adj" fmla="val 10000"/>
          </a:avLst>
        </a:prstGeom>
      </dgm:spPr>
      <dgm:t>
        <a:bodyPr/>
        <a:lstStyle/>
        <a:p>
          <a:endParaRPr lang="it-IT"/>
        </a:p>
      </dgm:t>
    </dgm:pt>
    <dgm:pt modelId="{6C83CFFB-5FE1-49A9-844F-8A69E5154C76}" type="pres">
      <dgm:prSet presAssocID="{7E22009A-7F55-4272-A0EB-A04743C98BBE}" presName="child2Text" presStyleLbl="bgAcc1" presStyleIdx="1" presStyleCnt="4">
        <dgm:presLayoutVars>
          <dgm:bulletEnabled val="1"/>
        </dgm:presLayoutVars>
      </dgm:prSet>
      <dgm:spPr/>
      <dgm:t>
        <a:bodyPr/>
        <a:lstStyle/>
        <a:p>
          <a:endParaRPr lang="it-IT"/>
        </a:p>
      </dgm:t>
    </dgm:pt>
    <dgm:pt modelId="{94B6EBBE-83D7-4CD7-AA0E-01B94FF5FAC0}" type="pres">
      <dgm:prSet presAssocID="{7E22009A-7F55-4272-A0EB-A04743C98BBE}" presName="child3group" presStyleCnt="0"/>
      <dgm:spPr/>
    </dgm:pt>
    <dgm:pt modelId="{C59275CB-ED30-4250-8B4D-2B2064DB571E}" type="pres">
      <dgm:prSet presAssocID="{7E22009A-7F55-4272-A0EB-A04743C98BBE}" presName="child3" presStyleLbl="bgAcc1" presStyleIdx="2" presStyleCnt="4" custScaleX="103856" custScaleY="53893" custLinFactNeighborX="6407" custLinFactNeighborY="-881"/>
      <dgm:spPr>
        <a:prstGeom prst="roundRect">
          <a:avLst>
            <a:gd name="adj" fmla="val 10000"/>
          </a:avLst>
        </a:prstGeom>
      </dgm:spPr>
      <dgm:t>
        <a:bodyPr/>
        <a:lstStyle/>
        <a:p>
          <a:endParaRPr lang="it-IT"/>
        </a:p>
      </dgm:t>
    </dgm:pt>
    <dgm:pt modelId="{DC6675F0-DBEC-4963-84ED-B23552022ED0}" type="pres">
      <dgm:prSet presAssocID="{7E22009A-7F55-4272-A0EB-A04743C98BBE}" presName="child3Text" presStyleLbl="bgAcc1" presStyleIdx="2" presStyleCnt="4">
        <dgm:presLayoutVars>
          <dgm:bulletEnabled val="1"/>
        </dgm:presLayoutVars>
      </dgm:prSet>
      <dgm:spPr/>
      <dgm:t>
        <a:bodyPr/>
        <a:lstStyle/>
        <a:p>
          <a:endParaRPr lang="it-IT"/>
        </a:p>
      </dgm:t>
    </dgm:pt>
    <dgm:pt modelId="{D2F5CD6E-BD61-4F23-AE9E-704C04377CE5}" type="pres">
      <dgm:prSet presAssocID="{7E22009A-7F55-4272-A0EB-A04743C98BBE}" presName="child4group" presStyleCnt="0"/>
      <dgm:spPr/>
    </dgm:pt>
    <dgm:pt modelId="{B758503D-DDAE-435C-B2B4-BCA9505CD062}" type="pres">
      <dgm:prSet presAssocID="{7E22009A-7F55-4272-A0EB-A04743C98BBE}" presName="child4" presStyleLbl="bgAcc1" presStyleIdx="3" presStyleCnt="4" custScaleX="112355" custScaleY="54142" custLinFactNeighborX="-8091" custLinFactNeighborY="-138"/>
      <dgm:spPr>
        <a:prstGeom prst="roundRect">
          <a:avLst>
            <a:gd name="adj" fmla="val 10000"/>
          </a:avLst>
        </a:prstGeom>
      </dgm:spPr>
      <dgm:t>
        <a:bodyPr/>
        <a:lstStyle/>
        <a:p>
          <a:endParaRPr lang="it-IT"/>
        </a:p>
      </dgm:t>
    </dgm:pt>
    <dgm:pt modelId="{42A28AF8-101E-4AD4-AEA3-430979861FBA}" type="pres">
      <dgm:prSet presAssocID="{7E22009A-7F55-4272-A0EB-A04743C98BBE}" presName="child4Text" presStyleLbl="bgAcc1" presStyleIdx="3" presStyleCnt="4">
        <dgm:presLayoutVars>
          <dgm:bulletEnabled val="1"/>
        </dgm:presLayoutVars>
      </dgm:prSet>
      <dgm:spPr/>
      <dgm:t>
        <a:bodyPr/>
        <a:lstStyle/>
        <a:p>
          <a:endParaRPr lang="it-IT"/>
        </a:p>
      </dgm:t>
    </dgm:pt>
    <dgm:pt modelId="{8B26DBC0-C0E7-4A84-AB29-C060488D9907}" type="pres">
      <dgm:prSet presAssocID="{7E22009A-7F55-4272-A0EB-A04743C98BBE}" presName="childPlaceholder" presStyleCnt="0"/>
      <dgm:spPr/>
    </dgm:pt>
    <dgm:pt modelId="{0DF47E94-5442-468B-B33F-6C751AD91D75}" type="pres">
      <dgm:prSet presAssocID="{7E22009A-7F55-4272-A0EB-A04743C98BBE}" presName="circle" presStyleCnt="0"/>
      <dgm:spPr/>
    </dgm:pt>
    <dgm:pt modelId="{1AEF415A-B8CB-44E5-B4BC-14DE73A7B456}" type="pres">
      <dgm:prSet presAssocID="{7E22009A-7F55-4272-A0EB-A04743C98BBE}" presName="quadrant1" presStyleLbl="node1" presStyleIdx="0" presStyleCnt="4">
        <dgm:presLayoutVars>
          <dgm:chMax val="1"/>
          <dgm:bulletEnabled val="1"/>
        </dgm:presLayoutVars>
      </dgm:prSet>
      <dgm:spPr>
        <a:prstGeom prst="pieWedge">
          <a:avLst/>
        </a:prstGeom>
      </dgm:spPr>
      <dgm:t>
        <a:bodyPr/>
        <a:lstStyle/>
        <a:p>
          <a:endParaRPr lang="it-IT"/>
        </a:p>
      </dgm:t>
    </dgm:pt>
    <dgm:pt modelId="{D102158C-6190-46AA-9891-A68C032207B6}" type="pres">
      <dgm:prSet presAssocID="{7E22009A-7F55-4272-A0EB-A04743C98BBE}" presName="quadrant2" presStyleLbl="node1" presStyleIdx="1" presStyleCnt="4">
        <dgm:presLayoutVars>
          <dgm:chMax val="1"/>
          <dgm:bulletEnabled val="1"/>
        </dgm:presLayoutVars>
      </dgm:prSet>
      <dgm:spPr>
        <a:prstGeom prst="pieWedge">
          <a:avLst/>
        </a:prstGeom>
      </dgm:spPr>
      <dgm:t>
        <a:bodyPr/>
        <a:lstStyle/>
        <a:p>
          <a:endParaRPr lang="it-IT"/>
        </a:p>
      </dgm:t>
    </dgm:pt>
    <dgm:pt modelId="{65105A1B-3C4E-4D08-B38E-594AE1E625C4}" type="pres">
      <dgm:prSet presAssocID="{7E22009A-7F55-4272-A0EB-A04743C98BBE}" presName="quadrant3" presStyleLbl="node1" presStyleIdx="2" presStyleCnt="4" custScaleX="100001" custScaleY="100001">
        <dgm:presLayoutVars>
          <dgm:chMax val="1"/>
          <dgm:bulletEnabled val="1"/>
        </dgm:presLayoutVars>
      </dgm:prSet>
      <dgm:spPr>
        <a:prstGeom prst="pieWedge">
          <a:avLst/>
        </a:prstGeom>
      </dgm:spPr>
      <dgm:t>
        <a:bodyPr/>
        <a:lstStyle/>
        <a:p>
          <a:endParaRPr lang="it-IT"/>
        </a:p>
      </dgm:t>
    </dgm:pt>
    <dgm:pt modelId="{8CA5CE20-317F-468F-9930-F55D60A1CFFE}" type="pres">
      <dgm:prSet presAssocID="{7E22009A-7F55-4272-A0EB-A04743C98BBE}" presName="quadrant4" presStyleLbl="node1" presStyleIdx="3" presStyleCnt="4">
        <dgm:presLayoutVars>
          <dgm:chMax val="1"/>
          <dgm:bulletEnabled val="1"/>
        </dgm:presLayoutVars>
      </dgm:prSet>
      <dgm:spPr>
        <a:prstGeom prst="pieWedge">
          <a:avLst/>
        </a:prstGeom>
      </dgm:spPr>
      <dgm:t>
        <a:bodyPr/>
        <a:lstStyle/>
        <a:p>
          <a:endParaRPr lang="it-IT"/>
        </a:p>
      </dgm:t>
    </dgm:pt>
    <dgm:pt modelId="{DDC4D201-BA9E-423E-95CF-4B1CA929C7A7}" type="pres">
      <dgm:prSet presAssocID="{7E22009A-7F55-4272-A0EB-A04743C98BBE}" presName="quadrantPlaceholder" presStyleCnt="0"/>
      <dgm:spPr/>
    </dgm:pt>
    <dgm:pt modelId="{A7CE9367-AB69-47A1-8D28-84439D2F0957}" type="pres">
      <dgm:prSet presAssocID="{7E22009A-7F55-4272-A0EB-A04743C98BBE}" presName="center1" presStyleLbl="fgShp" presStyleIdx="0" presStyleCnt="2"/>
      <dgm:spPr>
        <a:xfrm>
          <a:off x="2724390" y="1566005"/>
          <a:ext cx="571018" cy="496538"/>
        </a:xfrm>
        <a:prstGeom prst="circularArrow">
          <a:avLst/>
        </a:prstGeom>
        <a:noFill/>
        <a:ln w="12700" cap="flat" cmpd="sng" algn="ctr">
          <a:noFill/>
          <a:prstDash val="solid"/>
          <a:miter lim="800000"/>
        </a:ln>
        <a:effectLst/>
      </dgm:spPr>
      <dgm:t>
        <a:bodyPr/>
        <a:lstStyle/>
        <a:p>
          <a:endParaRPr lang="it-IT"/>
        </a:p>
      </dgm:t>
    </dgm:pt>
    <dgm:pt modelId="{0FB39BD8-64F8-4F8D-A886-D6E5607C29B7}" type="pres">
      <dgm:prSet presAssocID="{7E22009A-7F55-4272-A0EB-A04743C98BBE}" presName="center2" presStyleLbl="fgShp" presStyleIdx="1" presStyleCnt="2"/>
      <dgm:spPr>
        <a:xfrm rot="10800000">
          <a:off x="2724390" y="1756981"/>
          <a:ext cx="571018" cy="496538"/>
        </a:xfrm>
        <a:prstGeom prst="circularArrow">
          <a:avLst/>
        </a:prstGeom>
        <a:noFill/>
        <a:ln w="12700" cap="flat" cmpd="sng" algn="ctr">
          <a:noFill/>
          <a:prstDash val="solid"/>
          <a:miter lim="800000"/>
        </a:ln>
        <a:effectLst/>
      </dgm:spPr>
      <dgm:t>
        <a:bodyPr/>
        <a:lstStyle/>
        <a:p>
          <a:endParaRPr lang="it-IT"/>
        </a:p>
      </dgm:t>
    </dgm:pt>
  </dgm:ptLst>
  <dgm:cxnLst>
    <dgm:cxn modelId="{68CE1FF4-F65C-4C5D-B96A-DFE56FC2F81D}" type="presOf" srcId="{E490CE85-8C62-4267-9FC5-086699583E9E}" destId="{8CA5CE20-317F-468F-9930-F55D60A1CFFE}" srcOrd="0" destOrd="0" presId="urn:microsoft.com/office/officeart/2005/8/layout/cycle4"/>
    <dgm:cxn modelId="{82470F0F-BA99-4F11-9987-3CB8D029DD8A}" type="presOf" srcId="{B5650B5C-4DA7-4CE9-82E7-50B531D0CCC0}" destId="{65105A1B-3C4E-4D08-B38E-594AE1E625C4}" srcOrd="0" destOrd="0" presId="urn:microsoft.com/office/officeart/2005/8/layout/cycle4"/>
    <dgm:cxn modelId="{76431900-A8BD-4983-B0AC-181352373544}" type="presOf" srcId="{685A36AE-1DED-44A4-BB68-D367097EFFD2}" destId="{CBAAD717-3DCC-4D43-AB70-CA6C17E84C43}" srcOrd="1" destOrd="0" presId="urn:microsoft.com/office/officeart/2005/8/layout/cycle4"/>
    <dgm:cxn modelId="{B3DE8B61-56BD-4140-A531-6FA6289E14E3}" type="presOf" srcId="{749113F6-194C-4BF0-BEBD-5557F2B3E82A}" destId="{C59275CB-ED30-4250-8B4D-2B2064DB571E}" srcOrd="0" destOrd="0" presId="urn:microsoft.com/office/officeart/2005/8/layout/cycle4"/>
    <dgm:cxn modelId="{A6DA3DC7-3DAA-4099-AA33-7857EC6E4F84}" srcId="{E490CE85-8C62-4267-9FC5-086699583E9E}" destId="{8E6911D1-F7DD-4482-B306-B361BEA1E353}" srcOrd="0" destOrd="0" parTransId="{D91A69D8-2E8F-4CBB-A13B-669621A0D1F1}" sibTransId="{18796015-8BC5-4E76-AB21-26D886F29297}"/>
    <dgm:cxn modelId="{7FAA05EE-3AA3-4AA7-9A1F-C75AD13A4698}" type="presOf" srcId="{28C01332-70A9-4FFE-A3C7-BEB05383E02B}" destId="{1AEF415A-B8CB-44E5-B4BC-14DE73A7B456}" srcOrd="0" destOrd="0" presId="urn:microsoft.com/office/officeart/2005/8/layout/cycle4"/>
    <dgm:cxn modelId="{C764AA5C-92B4-4CD1-94FB-CE172F1B76B9}" srcId="{7E22009A-7F55-4272-A0EB-A04743C98BBE}" destId="{35462F51-F84F-4BC6-B640-0B13D95DF29A}" srcOrd="1" destOrd="0" parTransId="{E91FE135-0853-4BD5-BE8A-C9B9DA62F21A}" sibTransId="{98F78BD3-09D7-408C-BA55-50A841772541}"/>
    <dgm:cxn modelId="{F4ABAA53-0232-44AC-A10B-3B4CE403621B}" type="presOf" srcId="{35462F51-F84F-4BC6-B640-0B13D95DF29A}" destId="{D102158C-6190-46AA-9891-A68C032207B6}" srcOrd="0" destOrd="0" presId="urn:microsoft.com/office/officeart/2005/8/layout/cycle4"/>
    <dgm:cxn modelId="{FB386373-E729-431D-B883-5A06122EBADE}" srcId="{7E22009A-7F55-4272-A0EB-A04743C98BBE}" destId="{E490CE85-8C62-4267-9FC5-086699583E9E}" srcOrd="3" destOrd="0" parTransId="{52DB4793-9531-4A46-9C95-8E7D279F9EE4}" sibTransId="{E6B5F443-EF60-40E2-A669-1052851FAF7F}"/>
    <dgm:cxn modelId="{CE1E0C74-70B5-4587-97D7-5B5D93A93EF2}" type="presOf" srcId="{8E6911D1-F7DD-4482-B306-B361BEA1E353}" destId="{42A28AF8-101E-4AD4-AEA3-430979861FBA}" srcOrd="1" destOrd="0" presId="urn:microsoft.com/office/officeart/2005/8/layout/cycle4"/>
    <dgm:cxn modelId="{B0BC9901-635A-4C65-A009-F9371FA43C33}" type="presOf" srcId="{3AC331CE-3B6E-4FF1-920C-FBA46255C907}" destId="{6C83CFFB-5FE1-49A9-844F-8A69E5154C76}" srcOrd="1" destOrd="0" presId="urn:microsoft.com/office/officeart/2005/8/layout/cycle4"/>
    <dgm:cxn modelId="{49FC7710-1B92-47FF-8C9F-04B56E4E70C3}" srcId="{B5650B5C-4DA7-4CE9-82E7-50B531D0CCC0}" destId="{749113F6-194C-4BF0-BEBD-5557F2B3E82A}" srcOrd="0" destOrd="0" parTransId="{C47AE645-08FD-44F4-9658-3E0C3551CD99}" sibTransId="{69ECD59D-8E64-46BB-8E87-F1023FA83A57}"/>
    <dgm:cxn modelId="{7DC8C3EB-3B44-4782-A1FD-A19C1A7434C5}" type="presOf" srcId="{685A36AE-1DED-44A4-BB68-D367097EFFD2}" destId="{946779E0-8ABE-4C38-B0AA-3F13F91FF07A}" srcOrd="0" destOrd="0" presId="urn:microsoft.com/office/officeart/2005/8/layout/cycle4"/>
    <dgm:cxn modelId="{3D4D31E0-EC5E-4BD7-9E53-17DBDC428934}" type="presOf" srcId="{8E6911D1-F7DD-4482-B306-B361BEA1E353}" destId="{B758503D-DDAE-435C-B2B4-BCA9505CD062}" srcOrd="0" destOrd="0" presId="urn:microsoft.com/office/officeart/2005/8/layout/cycle4"/>
    <dgm:cxn modelId="{7B993A2F-E722-40C8-B7D9-6CE047C6BD9D}" srcId="{7E22009A-7F55-4272-A0EB-A04743C98BBE}" destId="{28C01332-70A9-4FFE-A3C7-BEB05383E02B}" srcOrd="0" destOrd="0" parTransId="{07492357-EAD6-4EE1-AC6F-8D1764425DED}" sibTransId="{7EEC473C-2CB5-4256-AF86-37607C0B5FCA}"/>
    <dgm:cxn modelId="{30011A4E-886E-4BA1-989B-CB97904ABE1C}" srcId="{7E22009A-7F55-4272-A0EB-A04743C98BBE}" destId="{C8CE7A7F-F0CD-4215-88F1-F2C0FD04553A}" srcOrd="4" destOrd="0" parTransId="{971C9BE9-AACD-46CB-8E13-6EB206BDAA87}" sibTransId="{1AA942E9-0D12-434E-9D03-FA69559CD46C}"/>
    <dgm:cxn modelId="{2AB32D83-1450-4A1D-96D8-B1F4CD109A32}" srcId="{7E22009A-7F55-4272-A0EB-A04743C98BBE}" destId="{9AB49A74-18CB-484C-9664-9205CDE06497}" srcOrd="5" destOrd="0" parTransId="{A9145681-3F66-4B23-AD8B-C942298D57D5}" sibTransId="{BF5E4950-C383-4DC3-944A-19D28FF9413D}"/>
    <dgm:cxn modelId="{FC48F0B2-FFA3-4A20-BDDF-50AE697C919C}" srcId="{7E22009A-7F55-4272-A0EB-A04743C98BBE}" destId="{B5650B5C-4DA7-4CE9-82E7-50B531D0CCC0}" srcOrd="2" destOrd="0" parTransId="{BE25F125-B22A-4A11-8D6C-1AEEEB850A6D}" sibTransId="{981BAF32-B58D-44F3-BA86-A1A8B4FC835E}"/>
    <dgm:cxn modelId="{0B343C23-44E4-4CC1-B314-9354BAB9DAC0}" type="presOf" srcId="{7E22009A-7F55-4272-A0EB-A04743C98BBE}" destId="{8433C613-1606-4151-B9D5-68BB76B8D622}" srcOrd="0" destOrd="0" presId="urn:microsoft.com/office/officeart/2005/8/layout/cycle4"/>
    <dgm:cxn modelId="{0A0F8CA7-99CF-4CE4-AAD9-34ECA779620F}" type="presOf" srcId="{749113F6-194C-4BF0-BEBD-5557F2B3E82A}" destId="{DC6675F0-DBEC-4963-84ED-B23552022ED0}" srcOrd="1" destOrd="0" presId="urn:microsoft.com/office/officeart/2005/8/layout/cycle4"/>
    <dgm:cxn modelId="{613083F3-23B8-4414-A8A5-9DC0D42285F3}" srcId="{35462F51-F84F-4BC6-B640-0B13D95DF29A}" destId="{3AC331CE-3B6E-4FF1-920C-FBA46255C907}" srcOrd="0" destOrd="0" parTransId="{A8727E39-2A0D-4D81-9DD2-E32435A0835A}" sibTransId="{1BF461EC-764B-4232-8A79-2D40585F5210}"/>
    <dgm:cxn modelId="{5764796B-C8A5-40A6-B271-523A684B5B64}" type="presOf" srcId="{3AC331CE-3B6E-4FF1-920C-FBA46255C907}" destId="{473FAD3C-A2E3-4609-8D85-1D8ED92CA259}" srcOrd="0" destOrd="0" presId="urn:microsoft.com/office/officeart/2005/8/layout/cycle4"/>
    <dgm:cxn modelId="{AF31ECD5-C290-46F7-B033-5D841770B336}" srcId="{28C01332-70A9-4FFE-A3C7-BEB05383E02B}" destId="{685A36AE-1DED-44A4-BB68-D367097EFFD2}" srcOrd="0" destOrd="0" parTransId="{A46D3D72-8B45-499E-B17A-0516ED33F206}" sibTransId="{A51C8765-88BC-4C0D-A011-0256A488D839}"/>
    <dgm:cxn modelId="{113E26F3-AB84-4C41-AAA3-BD1E1799FB7F}" type="presParOf" srcId="{8433C613-1606-4151-B9D5-68BB76B8D622}" destId="{46E6F664-777C-45ED-A613-AB908D2CA7A8}" srcOrd="0" destOrd="0" presId="urn:microsoft.com/office/officeart/2005/8/layout/cycle4"/>
    <dgm:cxn modelId="{C15186BA-CDE3-4467-87EA-40B9F3590FC9}" type="presParOf" srcId="{46E6F664-777C-45ED-A613-AB908D2CA7A8}" destId="{244FB5AE-F660-49AF-80DA-9A72E3229E92}" srcOrd="0" destOrd="0" presId="urn:microsoft.com/office/officeart/2005/8/layout/cycle4"/>
    <dgm:cxn modelId="{D3AE4552-689A-4870-8627-F689323BBFC6}" type="presParOf" srcId="{244FB5AE-F660-49AF-80DA-9A72E3229E92}" destId="{946779E0-8ABE-4C38-B0AA-3F13F91FF07A}" srcOrd="0" destOrd="0" presId="urn:microsoft.com/office/officeart/2005/8/layout/cycle4"/>
    <dgm:cxn modelId="{12D054A2-7326-4F01-B3FE-4CEFFBA814EF}" type="presParOf" srcId="{244FB5AE-F660-49AF-80DA-9A72E3229E92}" destId="{CBAAD717-3DCC-4D43-AB70-CA6C17E84C43}" srcOrd="1" destOrd="0" presId="urn:microsoft.com/office/officeart/2005/8/layout/cycle4"/>
    <dgm:cxn modelId="{3B4D7A2D-0749-44A1-B62F-99870B8A8B45}" type="presParOf" srcId="{46E6F664-777C-45ED-A613-AB908D2CA7A8}" destId="{BD688700-84F5-4A25-9703-381BD11CC08B}" srcOrd="1" destOrd="0" presId="urn:microsoft.com/office/officeart/2005/8/layout/cycle4"/>
    <dgm:cxn modelId="{B7267F0D-F231-44F6-8E86-47D1C7031A5F}" type="presParOf" srcId="{BD688700-84F5-4A25-9703-381BD11CC08B}" destId="{473FAD3C-A2E3-4609-8D85-1D8ED92CA259}" srcOrd="0" destOrd="0" presId="urn:microsoft.com/office/officeart/2005/8/layout/cycle4"/>
    <dgm:cxn modelId="{48407866-8511-4204-B3ED-6065DACD8844}" type="presParOf" srcId="{BD688700-84F5-4A25-9703-381BD11CC08B}" destId="{6C83CFFB-5FE1-49A9-844F-8A69E5154C76}" srcOrd="1" destOrd="0" presId="urn:microsoft.com/office/officeart/2005/8/layout/cycle4"/>
    <dgm:cxn modelId="{510CF827-2CB7-48A3-84FE-E9108BDE89E5}" type="presParOf" srcId="{46E6F664-777C-45ED-A613-AB908D2CA7A8}" destId="{94B6EBBE-83D7-4CD7-AA0E-01B94FF5FAC0}" srcOrd="2" destOrd="0" presId="urn:microsoft.com/office/officeart/2005/8/layout/cycle4"/>
    <dgm:cxn modelId="{5D0A8619-4545-42EA-90F8-44905123583F}" type="presParOf" srcId="{94B6EBBE-83D7-4CD7-AA0E-01B94FF5FAC0}" destId="{C59275CB-ED30-4250-8B4D-2B2064DB571E}" srcOrd="0" destOrd="0" presId="urn:microsoft.com/office/officeart/2005/8/layout/cycle4"/>
    <dgm:cxn modelId="{50CA2A41-CF70-401F-89A3-C3411473049C}" type="presParOf" srcId="{94B6EBBE-83D7-4CD7-AA0E-01B94FF5FAC0}" destId="{DC6675F0-DBEC-4963-84ED-B23552022ED0}" srcOrd="1" destOrd="0" presId="urn:microsoft.com/office/officeart/2005/8/layout/cycle4"/>
    <dgm:cxn modelId="{DD1BD1EA-C55A-4906-B992-0D7839FB04BB}" type="presParOf" srcId="{46E6F664-777C-45ED-A613-AB908D2CA7A8}" destId="{D2F5CD6E-BD61-4F23-AE9E-704C04377CE5}" srcOrd="3" destOrd="0" presId="urn:microsoft.com/office/officeart/2005/8/layout/cycle4"/>
    <dgm:cxn modelId="{212AA01D-6DB2-4C8D-9D08-3826364D66FA}" type="presParOf" srcId="{D2F5CD6E-BD61-4F23-AE9E-704C04377CE5}" destId="{B758503D-DDAE-435C-B2B4-BCA9505CD062}" srcOrd="0" destOrd="0" presId="urn:microsoft.com/office/officeart/2005/8/layout/cycle4"/>
    <dgm:cxn modelId="{0ECF419B-9BA9-4432-BD45-7DE0441131E1}" type="presParOf" srcId="{D2F5CD6E-BD61-4F23-AE9E-704C04377CE5}" destId="{42A28AF8-101E-4AD4-AEA3-430979861FBA}" srcOrd="1" destOrd="0" presId="urn:microsoft.com/office/officeart/2005/8/layout/cycle4"/>
    <dgm:cxn modelId="{A38B0AF3-17D5-4ABC-9A95-82B0E670E6EE}" type="presParOf" srcId="{46E6F664-777C-45ED-A613-AB908D2CA7A8}" destId="{8B26DBC0-C0E7-4A84-AB29-C060488D9907}" srcOrd="4" destOrd="0" presId="urn:microsoft.com/office/officeart/2005/8/layout/cycle4"/>
    <dgm:cxn modelId="{23E1AD72-03A2-480F-B043-99453D61BFA4}" type="presParOf" srcId="{8433C613-1606-4151-B9D5-68BB76B8D622}" destId="{0DF47E94-5442-468B-B33F-6C751AD91D75}" srcOrd="1" destOrd="0" presId="urn:microsoft.com/office/officeart/2005/8/layout/cycle4"/>
    <dgm:cxn modelId="{0DA2F405-7D5A-42E9-BDBE-66083F5A4C09}" type="presParOf" srcId="{0DF47E94-5442-468B-B33F-6C751AD91D75}" destId="{1AEF415A-B8CB-44E5-B4BC-14DE73A7B456}" srcOrd="0" destOrd="0" presId="urn:microsoft.com/office/officeart/2005/8/layout/cycle4"/>
    <dgm:cxn modelId="{72EE6C3F-D1F9-4BAC-AA98-01E50392F282}" type="presParOf" srcId="{0DF47E94-5442-468B-B33F-6C751AD91D75}" destId="{D102158C-6190-46AA-9891-A68C032207B6}" srcOrd="1" destOrd="0" presId="urn:microsoft.com/office/officeart/2005/8/layout/cycle4"/>
    <dgm:cxn modelId="{4678F8C9-82CD-4012-A96A-B0169811DB1C}" type="presParOf" srcId="{0DF47E94-5442-468B-B33F-6C751AD91D75}" destId="{65105A1B-3C4E-4D08-B38E-594AE1E625C4}" srcOrd="2" destOrd="0" presId="urn:microsoft.com/office/officeart/2005/8/layout/cycle4"/>
    <dgm:cxn modelId="{9872ADA0-8AB6-429A-AD0D-D2B46DEFA1BB}" type="presParOf" srcId="{0DF47E94-5442-468B-B33F-6C751AD91D75}" destId="{8CA5CE20-317F-468F-9930-F55D60A1CFFE}" srcOrd="3" destOrd="0" presId="urn:microsoft.com/office/officeart/2005/8/layout/cycle4"/>
    <dgm:cxn modelId="{FEFE97AA-05EF-44CE-BA36-2ACF72E556B5}" type="presParOf" srcId="{0DF47E94-5442-468B-B33F-6C751AD91D75}" destId="{DDC4D201-BA9E-423E-95CF-4B1CA929C7A7}" srcOrd="4" destOrd="0" presId="urn:microsoft.com/office/officeart/2005/8/layout/cycle4"/>
    <dgm:cxn modelId="{85148F4A-5CD0-4287-9B09-CA0FF74C73E3}" type="presParOf" srcId="{8433C613-1606-4151-B9D5-68BB76B8D622}" destId="{A7CE9367-AB69-47A1-8D28-84439D2F0957}" srcOrd="2" destOrd="0" presId="urn:microsoft.com/office/officeart/2005/8/layout/cycle4"/>
    <dgm:cxn modelId="{8648ADD6-93AC-42D6-A161-2A09892EA40D}" type="presParOf" srcId="{8433C613-1606-4151-B9D5-68BB76B8D622}" destId="{0FB39BD8-64F8-4F8D-A886-D6E5607C29B7}" srcOrd="3" destOrd="0" presId="urn:microsoft.com/office/officeart/2005/8/layout/cycle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9275CB-ED30-4250-8B4D-2B2064DB571E}">
      <dsp:nvSpPr>
        <dsp:cNvPr id="0" name=""/>
        <dsp:cNvSpPr/>
      </dsp:nvSpPr>
      <dsp:spPr>
        <a:xfrm>
          <a:off x="3596109" y="2368628"/>
          <a:ext cx="1618241" cy="543960"/>
        </a:xfrm>
        <a:prstGeom prst="roundRect">
          <a:avLst>
            <a:gd name="adj" fmla="val 10000"/>
          </a:avLst>
        </a:prstGeo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a:t>
          </a:r>
          <a:endParaRPr lang="it-I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093530" y="2516567"/>
        <a:ext cx="1108870" cy="384072"/>
      </dsp:txXfrm>
    </dsp:sp>
    <dsp:sp modelId="{B758503D-DDAE-435C-B2B4-BCA9505CD062}">
      <dsp:nvSpPr>
        <dsp:cNvPr id="0" name=""/>
        <dsp:cNvSpPr/>
      </dsp:nvSpPr>
      <dsp:spPr>
        <a:xfrm>
          <a:off x="761735" y="2374870"/>
          <a:ext cx="1750668" cy="546473"/>
        </a:xfrm>
        <a:prstGeom prst="roundRect">
          <a:avLst>
            <a:gd name="adj" fmla="val 10000"/>
          </a:avLst>
        </a:prstGeo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it-I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INTAN</a:t>
          </a:r>
          <a:r>
            <a:rPr lang="it-IT" sz="1000" b="1" kern="1200" baseline="-25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it</a:t>
          </a:r>
        </a:p>
      </dsp:txBody>
      <dsp:txXfrm>
        <a:off x="773739" y="2523493"/>
        <a:ext cx="1201460" cy="385846"/>
      </dsp:txXfrm>
    </dsp:sp>
    <dsp:sp modelId="{473FAD3C-A2E3-4609-8D85-1D8ED92CA259}">
      <dsp:nvSpPr>
        <dsp:cNvPr id="0" name=""/>
        <dsp:cNvSpPr/>
      </dsp:nvSpPr>
      <dsp:spPr>
        <a:xfrm>
          <a:off x="3546427" y="242648"/>
          <a:ext cx="1653190" cy="564530"/>
        </a:xfrm>
        <a:prstGeom prst="roundRect">
          <a:avLst>
            <a:gd name="adj" fmla="val 10000"/>
          </a:avLst>
        </a:prstGeo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it-I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LOCALBINTAN</a:t>
          </a:r>
          <a:r>
            <a:rPr lang="it-IT" sz="1000" b="1" kern="1200" baseline="-25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it</a:t>
          </a:r>
        </a:p>
      </dsp:txBody>
      <dsp:txXfrm>
        <a:off x="4054785" y="255049"/>
        <a:ext cx="1132431" cy="398595"/>
      </dsp:txXfrm>
    </dsp:sp>
    <dsp:sp modelId="{946779E0-8ABE-4C38-B0AA-3F13F91FF07A}">
      <dsp:nvSpPr>
        <dsp:cNvPr id="0" name=""/>
        <dsp:cNvSpPr/>
      </dsp:nvSpPr>
      <dsp:spPr>
        <a:xfrm>
          <a:off x="726255" y="212394"/>
          <a:ext cx="1662788" cy="543445"/>
        </a:xfrm>
        <a:prstGeom prst="roundRect">
          <a:avLst>
            <a:gd name="adj" fmla="val 10000"/>
          </a:avLst>
        </a:prstGeom>
        <a:solidFill>
          <a:sysClr val="window" lastClr="FFFFFF">
            <a:alpha val="9000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it-I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LnFDL</a:t>
          </a:r>
          <a:r>
            <a:rPr lang="it-IT" sz="1000" b="1" kern="1200" baseline="-25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it</a:t>
          </a:r>
        </a:p>
      </dsp:txBody>
      <dsp:txXfrm>
        <a:off x="738193" y="224332"/>
        <a:ext cx="1140076" cy="383707"/>
      </dsp:txXfrm>
    </dsp:sp>
    <dsp:sp modelId="{1AEF415A-B8CB-44E5-B4BC-14DE73A7B456}">
      <dsp:nvSpPr>
        <dsp:cNvPr id="0" name=""/>
        <dsp:cNvSpPr/>
      </dsp:nvSpPr>
      <dsp:spPr>
        <a:xfrm>
          <a:off x="1612604" y="179787"/>
          <a:ext cx="1365754" cy="1365754"/>
        </a:xfrm>
        <a:prstGeom prst="pieWedg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it-IT"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New financing instruments for SMEs (Leg.ve Decree n. 83/2012 and Leg.ve Decree n. 145/201).</a:t>
          </a:r>
        </a:p>
      </dsp:txBody>
      <dsp:txXfrm>
        <a:off x="2012624" y="579807"/>
        <a:ext cx="965734" cy="965734"/>
      </dsp:txXfrm>
    </dsp:sp>
    <dsp:sp modelId="{D102158C-6190-46AA-9891-A68C032207B6}">
      <dsp:nvSpPr>
        <dsp:cNvPr id="0" name=""/>
        <dsp:cNvSpPr/>
      </dsp:nvSpPr>
      <dsp:spPr>
        <a:xfrm rot="5400000">
          <a:off x="3041441" y="179787"/>
          <a:ext cx="1365754" cy="1365754"/>
        </a:xfrm>
        <a:prstGeom prst="pieWedg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it-IT"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Valorising soft information in rating systems (through-the-cycle ratings).</a:t>
          </a:r>
        </a:p>
        <a:p>
          <a:pPr lvl="0" algn="ctr" defTabSz="444500">
            <a:lnSpc>
              <a:spcPct val="90000"/>
            </a:lnSpc>
            <a:spcBef>
              <a:spcPct val="0"/>
            </a:spcBef>
            <a:spcAft>
              <a:spcPct val="35000"/>
            </a:spcAft>
          </a:pPr>
          <a:endParaRPr lang="it-IT"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3041441" y="579807"/>
        <a:ext cx="965734" cy="965734"/>
      </dsp:txXfrm>
    </dsp:sp>
    <dsp:sp modelId="{65105A1B-3C4E-4D08-B38E-594AE1E625C4}">
      <dsp:nvSpPr>
        <dsp:cNvPr id="0" name=""/>
        <dsp:cNvSpPr/>
      </dsp:nvSpPr>
      <dsp:spPr>
        <a:xfrm rot="10800000">
          <a:off x="3041434" y="1608618"/>
          <a:ext cx="1365767" cy="1365767"/>
        </a:xfrm>
        <a:prstGeom prst="pieWedg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it-IT"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 tax and accounting system capable of encouraging the use of derivatives.</a:t>
          </a:r>
        </a:p>
      </dsp:txBody>
      <dsp:txXfrm rot="10800000">
        <a:off x="3041434" y="1608618"/>
        <a:ext cx="965743" cy="965743"/>
      </dsp:txXfrm>
    </dsp:sp>
    <dsp:sp modelId="{8CA5CE20-317F-468F-9930-F55D60A1CFFE}">
      <dsp:nvSpPr>
        <dsp:cNvPr id="0" name=""/>
        <dsp:cNvSpPr/>
      </dsp:nvSpPr>
      <dsp:spPr>
        <a:xfrm rot="16200000">
          <a:off x="1612604" y="1608625"/>
          <a:ext cx="1365754" cy="1365754"/>
        </a:xfrm>
        <a:prstGeom prst="pieWedg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it-IT"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44500">
            <a:lnSpc>
              <a:spcPct val="90000"/>
            </a:lnSpc>
            <a:spcBef>
              <a:spcPct val="0"/>
            </a:spcBef>
            <a:spcAft>
              <a:spcPct val="35000"/>
            </a:spcAft>
          </a:pPr>
          <a:r>
            <a:rPr lang="it-IT"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Valorising skills and know-how from SMEs.</a:t>
          </a:r>
        </a:p>
        <a:p>
          <a:pPr lvl="0" algn="ctr" defTabSz="444500">
            <a:lnSpc>
              <a:spcPct val="90000"/>
            </a:lnSpc>
            <a:spcBef>
              <a:spcPct val="0"/>
            </a:spcBef>
            <a:spcAft>
              <a:spcPct val="35000"/>
            </a:spcAft>
          </a:pPr>
          <a:r>
            <a:rPr lang="it-IT"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Enhancing so-called firm-specific skills.</a:t>
          </a:r>
        </a:p>
      </dsp:txBody>
      <dsp:txXfrm rot="5400000">
        <a:off x="2012624" y="1608625"/>
        <a:ext cx="965734" cy="965734"/>
      </dsp:txXfrm>
    </dsp:sp>
    <dsp:sp modelId="{A7CE9367-AB69-47A1-8D28-84439D2F0957}">
      <dsp:nvSpPr>
        <dsp:cNvPr id="0" name=""/>
        <dsp:cNvSpPr/>
      </dsp:nvSpPr>
      <dsp:spPr>
        <a:xfrm>
          <a:off x="2774126" y="1293208"/>
          <a:ext cx="471547" cy="410041"/>
        </a:xfrm>
        <a:prstGeom prst="circular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FB39BD8-64F8-4F8D-A886-D6E5607C29B7}">
      <dsp:nvSpPr>
        <dsp:cNvPr id="0" name=""/>
        <dsp:cNvSpPr/>
      </dsp:nvSpPr>
      <dsp:spPr>
        <a:xfrm rot="10800000">
          <a:off x="2774126" y="1450916"/>
          <a:ext cx="471547" cy="410041"/>
        </a:xfrm>
        <a:prstGeom prst="circular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A26A-9BAE-4EA6-B7A7-D78B8C2D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3566</TotalTime>
  <Pages>18</Pages>
  <Words>9482</Words>
  <Characters>54053</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Andrea Quintiliani</cp:lastModifiedBy>
  <cp:revision>161</cp:revision>
  <cp:lastPrinted>2012-10-10T08:52:00Z</cp:lastPrinted>
  <dcterms:created xsi:type="dcterms:W3CDTF">2017-10-16T17:57:00Z</dcterms:created>
  <dcterms:modified xsi:type="dcterms:W3CDTF">2017-12-07T18:49:00Z</dcterms:modified>
</cp:coreProperties>
</file>