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49" w:rsidRPr="00371E6F" w:rsidRDefault="00DC4E49" w:rsidP="00DC4E49">
      <w:pPr>
        <w:suppressAutoHyphens/>
        <w:spacing w:line="240" w:lineRule="atLeast"/>
        <w:ind w:right="-1"/>
        <w:contextualSpacing/>
        <w:jc w:val="center"/>
        <w:rPr>
          <w:rFonts w:ascii="Calibri" w:hAnsi="Calibri" w:cs="Calibri"/>
        </w:rPr>
      </w:pPr>
      <w:r w:rsidRPr="00371E6F">
        <w:rPr>
          <w:rFonts w:ascii="Calibri" w:hAnsi="Calibri" w:cs="Calibri"/>
        </w:rPr>
        <w:t>Title</w:t>
      </w:r>
    </w:p>
    <w:p w:rsidR="00DC4E49" w:rsidRPr="00371E6F" w:rsidRDefault="00DC4E49" w:rsidP="00DC4E49">
      <w:pPr>
        <w:suppressAutoHyphens/>
        <w:spacing w:line="240" w:lineRule="atLeast"/>
        <w:ind w:right="-1"/>
        <w:contextualSpacing/>
        <w:jc w:val="both"/>
        <w:rPr>
          <w:rFonts w:ascii="Calibri" w:hAnsi="Calibri" w:cs="Calibri"/>
          <w:b/>
        </w:rPr>
      </w:pPr>
    </w:p>
    <w:p w:rsidR="00DC4E49" w:rsidRPr="00371E6F" w:rsidRDefault="00DC4E49" w:rsidP="00DC4E49">
      <w:pPr>
        <w:suppressAutoHyphens/>
        <w:spacing w:line="240" w:lineRule="atLeast"/>
        <w:ind w:right="-1"/>
        <w:contextualSpacing/>
        <w:jc w:val="center"/>
        <w:rPr>
          <w:rFonts w:ascii="Calibri" w:hAnsi="Calibri" w:cs="Calibri"/>
          <w:b/>
        </w:rPr>
      </w:pPr>
      <w:r w:rsidRPr="00371E6F">
        <w:rPr>
          <w:rFonts w:ascii="Calibri" w:hAnsi="Calibri" w:cs="Calibri"/>
          <w:b/>
        </w:rPr>
        <w:t xml:space="preserve">The start-up </w:t>
      </w:r>
      <w:r>
        <w:rPr>
          <w:rFonts w:ascii="Calibri" w:hAnsi="Calibri" w:cs="Calibri"/>
          <w:b/>
        </w:rPr>
        <w:t>“</w:t>
      </w:r>
      <w:r w:rsidRPr="00371E6F">
        <w:rPr>
          <w:rFonts w:ascii="Calibri" w:hAnsi="Calibri" w:cs="Calibri"/>
          <w:b/>
        </w:rPr>
        <w:t>system</w:t>
      </w:r>
      <w:r>
        <w:rPr>
          <w:rFonts w:ascii="Calibri" w:hAnsi="Calibri" w:cs="Calibri"/>
          <w:b/>
        </w:rPr>
        <w:t>”</w:t>
      </w:r>
      <w:r w:rsidR="0065425A">
        <w:rPr>
          <w:rFonts w:ascii="Calibri" w:hAnsi="Calibri" w:cs="Calibri"/>
          <w:b/>
        </w:rPr>
        <w:t xml:space="preserve"> in Italy:</w:t>
      </w:r>
      <w:r w:rsidR="00314BBC" w:rsidRPr="00314BBC">
        <w:rPr>
          <w:rFonts w:ascii="Calibri" w:hAnsi="Calibri" w:cs="Calibri"/>
          <w:b/>
        </w:rPr>
        <w:t xml:space="preserve"> support</w:t>
      </w:r>
      <w:r w:rsidR="0075184D">
        <w:rPr>
          <w:rFonts w:ascii="Calibri" w:hAnsi="Calibri" w:cs="Calibri"/>
          <w:b/>
        </w:rPr>
        <w:t xml:space="preserve"> </w:t>
      </w:r>
      <w:r w:rsidR="0065425A">
        <w:rPr>
          <w:rFonts w:ascii="Calibri" w:hAnsi="Calibri" w:cs="Calibri"/>
          <w:b/>
        </w:rPr>
        <w:t xml:space="preserve">activities </w:t>
      </w:r>
      <w:r w:rsidR="0075184D">
        <w:rPr>
          <w:rFonts w:ascii="Calibri" w:hAnsi="Calibri" w:cs="Calibri"/>
          <w:b/>
        </w:rPr>
        <w:t>of the</w:t>
      </w:r>
      <w:r w:rsidR="00314BBC" w:rsidRPr="00314BBC">
        <w:rPr>
          <w:rFonts w:ascii="Calibri" w:hAnsi="Calibri" w:cs="Calibri"/>
          <w:b/>
        </w:rPr>
        <w:t xml:space="preserve"> operators through an </w:t>
      </w:r>
      <w:r w:rsidR="001C17B5">
        <w:rPr>
          <w:rFonts w:ascii="Calibri" w:hAnsi="Calibri" w:cs="Calibri"/>
          <w:b/>
        </w:rPr>
        <w:t>empirical</w:t>
      </w:r>
      <w:r w:rsidR="001C17B5" w:rsidRPr="00314BBC">
        <w:rPr>
          <w:rFonts w:ascii="Calibri" w:hAnsi="Calibri" w:cs="Calibri"/>
          <w:b/>
        </w:rPr>
        <w:t xml:space="preserve"> </w:t>
      </w:r>
      <w:r w:rsidR="00314BBC" w:rsidRPr="00314BBC">
        <w:rPr>
          <w:rFonts w:ascii="Calibri" w:hAnsi="Calibri" w:cs="Calibri"/>
          <w:b/>
        </w:rPr>
        <w:t>analysis</w:t>
      </w:r>
    </w:p>
    <w:p w:rsidR="00DC4E49" w:rsidRPr="00371E6F" w:rsidRDefault="00DC4E49" w:rsidP="00DC4E49">
      <w:pPr>
        <w:suppressAutoHyphens/>
        <w:spacing w:line="240" w:lineRule="atLeast"/>
        <w:ind w:right="-1"/>
        <w:contextualSpacing/>
        <w:jc w:val="center"/>
        <w:rPr>
          <w:rFonts w:ascii="Calibri" w:hAnsi="Calibri" w:cs="Calibri"/>
        </w:rPr>
      </w:pPr>
    </w:p>
    <w:p w:rsidR="00DC4E49" w:rsidRPr="000961B6" w:rsidRDefault="00DC4E49" w:rsidP="000961B6">
      <w:pPr>
        <w:suppressAutoHyphens/>
        <w:spacing w:line="240" w:lineRule="atLeast"/>
        <w:ind w:right="-1"/>
        <w:contextualSpacing/>
        <w:rPr>
          <w:rFonts w:ascii="Calibri" w:hAnsi="Calibri" w:cs="Calibri"/>
          <w:lang w:val="it-IT"/>
        </w:rPr>
      </w:pPr>
      <w:r w:rsidRPr="000961B6">
        <w:rPr>
          <w:rFonts w:ascii="Calibri" w:hAnsi="Calibri" w:cs="Calibri"/>
          <w:lang w:val="it-IT"/>
        </w:rPr>
        <w:t xml:space="preserve">Francesco </w:t>
      </w:r>
      <w:proofErr w:type="spellStart"/>
      <w:r w:rsidRPr="000961B6">
        <w:rPr>
          <w:rFonts w:ascii="Calibri" w:hAnsi="Calibri" w:cs="Calibri"/>
          <w:lang w:val="it-IT"/>
        </w:rPr>
        <w:t>Minnetti</w:t>
      </w:r>
      <w:proofErr w:type="spellEnd"/>
    </w:p>
    <w:p w:rsidR="00DC4E49" w:rsidRDefault="000961B6" w:rsidP="000961B6">
      <w:pPr>
        <w:suppressAutoHyphens/>
        <w:spacing w:line="240" w:lineRule="atLeast"/>
        <w:contextualSpacing/>
        <w:rPr>
          <w:rFonts w:ascii="Calibri" w:hAnsi="Calibri" w:cs="Calibri"/>
          <w:lang w:val="it-IT"/>
        </w:rPr>
      </w:pPr>
      <w:r w:rsidRPr="000961B6">
        <w:rPr>
          <w:rFonts w:ascii="Calibri" w:hAnsi="Calibri" w:cs="Calibri"/>
          <w:lang w:val="it-IT"/>
        </w:rPr>
        <w:t>Dipartimento Economia e</w:t>
      </w:r>
      <w:r>
        <w:rPr>
          <w:rFonts w:ascii="Calibri" w:hAnsi="Calibri" w:cs="Calibri"/>
          <w:lang w:val="it-IT"/>
        </w:rPr>
        <w:t xml:space="preserve"> Giurisprudenza,</w:t>
      </w:r>
    </w:p>
    <w:p w:rsidR="000961B6" w:rsidRDefault="000961B6" w:rsidP="000961B6">
      <w:pPr>
        <w:suppressAutoHyphens/>
        <w:spacing w:line="240" w:lineRule="atLeast"/>
        <w:contextualSpacing/>
        <w:rPr>
          <w:rFonts w:ascii="Calibri" w:hAnsi="Calibri" w:cs="Calibri"/>
          <w:lang w:val="it-IT"/>
        </w:rPr>
      </w:pPr>
      <w:r>
        <w:rPr>
          <w:rFonts w:ascii="Calibri" w:hAnsi="Calibri" w:cs="Calibri"/>
          <w:lang w:val="it-IT"/>
        </w:rPr>
        <w:t>Università Degli Studi Di Cassino e Del Lazio Meridionale,</w:t>
      </w:r>
    </w:p>
    <w:p w:rsidR="000961B6" w:rsidRDefault="000961B6" w:rsidP="000961B6">
      <w:pPr>
        <w:suppressAutoHyphens/>
        <w:spacing w:line="240" w:lineRule="atLeast"/>
        <w:contextualSpacing/>
        <w:rPr>
          <w:rFonts w:ascii="Calibri" w:hAnsi="Calibri" w:cs="Calibri"/>
          <w:lang w:val="it-IT"/>
        </w:rPr>
      </w:pPr>
      <w:r>
        <w:rPr>
          <w:rFonts w:ascii="Calibri" w:hAnsi="Calibri" w:cs="Calibri"/>
          <w:lang w:val="it-IT"/>
        </w:rPr>
        <w:t xml:space="preserve">Via Sant’Angelo s.n.c. Campus </w:t>
      </w:r>
      <w:proofErr w:type="spellStart"/>
      <w:r>
        <w:rPr>
          <w:rFonts w:ascii="Calibri" w:hAnsi="Calibri" w:cs="Calibri"/>
          <w:lang w:val="it-IT"/>
        </w:rPr>
        <w:t>Folcara</w:t>
      </w:r>
      <w:proofErr w:type="spellEnd"/>
      <w:r>
        <w:rPr>
          <w:rFonts w:ascii="Calibri" w:hAnsi="Calibri" w:cs="Calibri"/>
          <w:lang w:val="it-IT"/>
        </w:rPr>
        <w:t>,</w:t>
      </w:r>
    </w:p>
    <w:p w:rsidR="000961B6" w:rsidRPr="006D6D55" w:rsidRDefault="000961B6" w:rsidP="000961B6">
      <w:pPr>
        <w:suppressAutoHyphens/>
        <w:spacing w:line="240" w:lineRule="atLeast"/>
        <w:contextualSpacing/>
        <w:rPr>
          <w:rFonts w:ascii="Calibri" w:hAnsi="Calibri" w:cs="Calibri"/>
          <w:lang w:val="en-US"/>
        </w:rPr>
      </w:pPr>
      <w:r w:rsidRPr="006D6D55">
        <w:rPr>
          <w:rFonts w:ascii="Calibri" w:hAnsi="Calibri" w:cs="Calibri"/>
          <w:lang w:val="en-US"/>
        </w:rPr>
        <w:t xml:space="preserve">03043 </w:t>
      </w:r>
      <w:proofErr w:type="spellStart"/>
      <w:r w:rsidRPr="006D6D55">
        <w:rPr>
          <w:rFonts w:ascii="Calibri" w:hAnsi="Calibri" w:cs="Calibri"/>
          <w:lang w:val="en-US"/>
        </w:rPr>
        <w:t>Cassino</w:t>
      </w:r>
      <w:proofErr w:type="spellEnd"/>
      <w:r w:rsidRPr="006D6D55">
        <w:rPr>
          <w:rFonts w:ascii="Calibri" w:hAnsi="Calibri" w:cs="Calibri"/>
          <w:lang w:val="en-US"/>
        </w:rPr>
        <w:t xml:space="preserve"> (FR), Italy </w:t>
      </w:r>
    </w:p>
    <w:p w:rsidR="000961B6" w:rsidRPr="000961B6" w:rsidRDefault="000961B6" w:rsidP="000961B6">
      <w:pPr>
        <w:suppressAutoHyphens/>
        <w:spacing w:line="240" w:lineRule="atLeast"/>
        <w:contextualSpacing/>
        <w:rPr>
          <w:rFonts w:ascii="Calibri" w:hAnsi="Calibri" w:cs="Calibri"/>
          <w:lang w:val="en-US"/>
        </w:rPr>
      </w:pPr>
      <w:r w:rsidRPr="000961B6">
        <w:rPr>
          <w:rFonts w:ascii="Calibri" w:hAnsi="Calibri" w:cs="Calibri"/>
          <w:lang w:val="en-US"/>
        </w:rPr>
        <w:t>Email: f.minnetti@unicas.i</w:t>
      </w:r>
      <w:r>
        <w:rPr>
          <w:rFonts w:ascii="Calibri" w:hAnsi="Calibri" w:cs="Calibri"/>
          <w:lang w:val="en-US"/>
        </w:rPr>
        <w:t>t</w:t>
      </w:r>
    </w:p>
    <w:p w:rsidR="000857A6" w:rsidRPr="000961B6" w:rsidRDefault="000857A6" w:rsidP="00DC4E49">
      <w:pPr>
        <w:suppressAutoHyphens/>
        <w:spacing w:line="240" w:lineRule="atLeast"/>
        <w:contextualSpacing/>
        <w:jc w:val="center"/>
        <w:rPr>
          <w:rFonts w:ascii="Calibri" w:hAnsi="Calibri" w:cs="Calibri"/>
          <w:lang w:val="en-US"/>
        </w:rPr>
      </w:pPr>
    </w:p>
    <w:p w:rsidR="000857A6" w:rsidRPr="000961B6" w:rsidRDefault="000857A6" w:rsidP="00DC4E49">
      <w:pPr>
        <w:suppressAutoHyphens/>
        <w:spacing w:line="240" w:lineRule="atLeast"/>
        <w:contextualSpacing/>
        <w:jc w:val="center"/>
        <w:rPr>
          <w:rFonts w:ascii="Calibri" w:hAnsi="Calibri" w:cs="Calibri"/>
          <w:lang w:val="en-US"/>
        </w:rPr>
      </w:pPr>
    </w:p>
    <w:p w:rsidR="000857A6" w:rsidRDefault="0049182B" w:rsidP="000857A6">
      <w:pPr>
        <w:jc w:val="both"/>
      </w:pPr>
      <w:r>
        <w:rPr>
          <w:b/>
        </w:rPr>
        <w:t>Abstract</w:t>
      </w:r>
      <w:r w:rsidR="000857A6">
        <w:rPr>
          <w:b/>
        </w:rPr>
        <w:t xml:space="preserve">: </w:t>
      </w:r>
      <w:r w:rsidR="000857A6">
        <w:t xml:space="preserve">Italian SMEs have often been the focus of attention of institutions, financial intermediaries and the media. More recently, interest has been turned to start-ups and innovative businesses with a series of legislative interventions. The empirical study, conducted through a questionnaire given to a few incubators/accelerators, venture capital operators and business angels, confirmed that the situation is, </w:t>
      </w:r>
      <w:proofErr w:type="gramStart"/>
      <w:r w:rsidR="000857A6">
        <w:t>on the whole</w:t>
      </w:r>
      <w:proofErr w:type="gramEnd"/>
      <w:r w:rsidR="000857A6">
        <w:t xml:space="preserve">, still developing and is still a long way from having consolidated and definitive structures and practices in place. The operators involved highlighted, on one side, an activity which is growing quite fast, even if the behaviours and </w:t>
      </w:r>
      <w:r w:rsidR="000857A6">
        <w:rPr>
          <w:i/>
        </w:rPr>
        <w:t>modus operandi</w:t>
      </w:r>
      <w:r w:rsidR="000857A6">
        <w:t xml:space="preserve"> are different, and, on the other side, the relevance of co-investment operations, networking activity and cooperation in general, together with a constant and adequate stock of financial resources to permanently allocate to this type of companies.</w:t>
      </w:r>
    </w:p>
    <w:p w:rsidR="006D6D55" w:rsidRDefault="006D6D55" w:rsidP="000857A6">
      <w:pPr>
        <w:jc w:val="both"/>
        <w:rPr>
          <w:b/>
        </w:rPr>
      </w:pPr>
    </w:p>
    <w:p w:rsidR="000961B6" w:rsidRDefault="000961B6" w:rsidP="000857A6">
      <w:pPr>
        <w:jc w:val="both"/>
      </w:pPr>
      <w:r w:rsidRPr="0049182B">
        <w:rPr>
          <w:b/>
        </w:rPr>
        <w:t>Keywords</w:t>
      </w:r>
      <w:r>
        <w:t>: start-up; business angels; incubators; accelerators; venture capital; finance in SMEs.</w:t>
      </w:r>
    </w:p>
    <w:p w:rsidR="006D6D55" w:rsidRDefault="006D6D55" w:rsidP="000857A6">
      <w:pPr>
        <w:jc w:val="both"/>
        <w:rPr>
          <w:b/>
        </w:rPr>
      </w:pPr>
    </w:p>
    <w:p w:rsidR="00BC3598" w:rsidRDefault="00BC3598" w:rsidP="000857A6">
      <w:pPr>
        <w:jc w:val="both"/>
      </w:pPr>
      <w:r w:rsidRPr="00D06548">
        <w:rPr>
          <w:b/>
        </w:rPr>
        <w:t>Biographical notes</w:t>
      </w:r>
      <w:r>
        <w:t xml:space="preserve">: Francesco </w:t>
      </w:r>
      <w:proofErr w:type="spellStart"/>
      <w:r>
        <w:t>Minnetti</w:t>
      </w:r>
      <w:proofErr w:type="spellEnd"/>
      <w:r>
        <w:t xml:space="preserve"> is an Associate Professor of Banking and Finance at the University of </w:t>
      </w:r>
      <w:proofErr w:type="spellStart"/>
      <w:r>
        <w:t>Cassino</w:t>
      </w:r>
      <w:proofErr w:type="spellEnd"/>
      <w:r>
        <w:t xml:space="preserve"> and Southern Lazio, where he teaches economics of financial intermediaries, economics and bank management and corporate banking. His main research interests are the relationship between banks and corporate enterprises, investment banking, local banks, credit to small and medium-small companies and strategies and organisational models in a bank. He also acts as board member, auditor and consultant for companies, banks and other financial institutions.</w:t>
      </w:r>
    </w:p>
    <w:p w:rsidR="000857A6" w:rsidRPr="00371E6F" w:rsidRDefault="000857A6" w:rsidP="00DC4E49">
      <w:pPr>
        <w:suppressAutoHyphens/>
        <w:spacing w:line="240" w:lineRule="atLeast"/>
        <w:contextualSpacing/>
        <w:jc w:val="center"/>
        <w:rPr>
          <w:rFonts w:ascii="Calibri" w:hAnsi="Calibri" w:cs="Calibri"/>
        </w:rPr>
      </w:pPr>
    </w:p>
    <w:p w:rsidR="00DC4E49" w:rsidRPr="00371E6F" w:rsidRDefault="00DC4E49" w:rsidP="00DC4E49">
      <w:pPr>
        <w:tabs>
          <w:tab w:val="left" w:pos="426"/>
        </w:tabs>
        <w:suppressAutoHyphens/>
        <w:spacing w:line="240" w:lineRule="atLeast"/>
        <w:contextualSpacing/>
        <w:rPr>
          <w:rFonts w:ascii="Calibri" w:hAnsi="Calibri" w:cs="Calibri"/>
          <w:b/>
        </w:rPr>
      </w:pPr>
      <w:r w:rsidRPr="00371E6F">
        <w:rPr>
          <w:rFonts w:ascii="Calibri" w:hAnsi="Calibri" w:cs="Calibri"/>
          <w:b/>
        </w:rPr>
        <w:t>1.</w:t>
      </w:r>
      <w:r w:rsidRPr="00371E6F">
        <w:rPr>
          <w:rFonts w:ascii="Calibri" w:hAnsi="Calibri" w:cs="Calibri"/>
          <w:b/>
        </w:rPr>
        <w:tab/>
        <w:t>Introduction</w:t>
      </w:r>
    </w:p>
    <w:p w:rsidR="00DC4E49" w:rsidRDefault="00DC4E49" w:rsidP="00DC4E49">
      <w:pPr>
        <w:contextualSpacing/>
        <w:jc w:val="both"/>
        <w:rPr>
          <w:rFonts w:ascii="Calibri" w:hAnsi="Calibri" w:cs="Calibri"/>
        </w:rPr>
      </w:pPr>
      <w:r>
        <w:rPr>
          <w:rFonts w:ascii="Calibri" w:hAnsi="Calibri" w:cs="Calibri"/>
        </w:rPr>
        <w:t>The crucial role played by</w:t>
      </w:r>
      <w:r w:rsidRPr="00371E6F">
        <w:rPr>
          <w:rFonts w:ascii="Calibri" w:hAnsi="Calibri" w:cs="Calibri"/>
        </w:rPr>
        <w:t xml:space="preserve"> technological innovation i</w:t>
      </w:r>
      <w:r>
        <w:rPr>
          <w:rFonts w:ascii="Calibri" w:hAnsi="Calibri" w:cs="Calibri"/>
        </w:rPr>
        <w:t xml:space="preserve">n stimulating productivity, </w:t>
      </w:r>
      <w:r w:rsidRPr="00371E6F">
        <w:rPr>
          <w:rFonts w:ascii="Calibri" w:hAnsi="Calibri" w:cs="Calibri"/>
        </w:rPr>
        <w:t>economic growth and</w:t>
      </w:r>
      <w:r>
        <w:rPr>
          <w:rFonts w:ascii="Calibri" w:hAnsi="Calibri" w:cs="Calibri"/>
        </w:rPr>
        <w:t xml:space="preserve"> the </w:t>
      </w:r>
      <w:r w:rsidRPr="00371E6F">
        <w:rPr>
          <w:rFonts w:ascii="Calibri" w:hAnsi="Calibri" w:cs="Calibri"/>
        </w:rPr>
        <w:t xml:space="preserve">standard of </w:t>
      </w:r>
      <w:r>
        <w:rPr>
          <w:rFonts w:ascii="Calibri" w:hAnsi="Calibri" w:cs="Calibri"/>
        </w:rPr>
        <w:t>living</w:t>
      </w:r>
      <w:r w:rsidRPr="00371E6F">
        <w:rPr>
          <w:rFonts w:ascii="Calibri" w:hAnsi="Calibri" w:cs="Calibri"/>
        </w:rPr>
        <w:t xml:space="preserve"> has </w:t>
      </w:r>
      <w:r>
        <w:rPr>
          <w:rFonts w:ascii="Calibri" w:hAnsi="Calibri" w:cs="Calibri"/>
        </w:rPr>
        <w:t xml:space="preserve">always </w:t>
      </w:r>
      <w:r w:rsidRPr="00371E6F">
        <w:rPr>
          <w:rFonts w:ascii="Calibri" w:hAnsi="Calibri" w:cs="Calibri"/>
        </w:rPr>
        <w:t xml:space="preserve">been </w:t>
      </w:r>
      <w:r>
        <w:rPr>
          <w:rFonts w:ascii="Calibri" w:hAnsi="Calibri" w:cs="Calibri"/>
        </w:rPr>
        <w:t>widely</w:t>
      </w:r>
      <w:r w:rsidRPr="00371E6F">
        <w:rPr>
          <w:rFonts w:ascii="Calibri" w:hAnsi="Calibri" w:cs="Calibri"/>
        </w:rPr>
        <w:t xml:space="preserve"> recognised by economists and politicians. In Italy</w:t>
      </w:r>
      <w:r>
        <w:rPr>
          <w:rFonts w:ascii="Calibri" w:hAnsi="Calibri" w:cs="Calibri"/>
        </w:rPr>
        <w:t>,</w:t>
      </w:r>
      <w:r w:rsidRPr="00371E6F">
        <w:rPr>
          <w:rFonts w:ascii="Calibri" w:hAnsi="Calibri" w:cs="Calibri"/>
        </w:rPr>
        <w:t xml:space="preserve"> the challenge</w:t>
      </w:r>
      <w:r>
        <w:rPr>
          <w:rFonts w:ascii="Calibri" w:hAnsi="Calibri" w:cs="Calibri"/>
        </w:rPr>
        <w:t>s</w:t>
      </w:r>
      <w:r w:rsidRPr="00371E6F">
        <w:rPr>
          <w:rFonts w:ascii="Calibri" w:hAnsi="Calibri" w:cs="Calibri"/>
        </w:rPr>
        <w:t xml:space="preserve"> </w:t>
      </w:r>
      <w:r>
        <w:rPr>
          <w:rFonts w:ascii="Calibri" w:hAnsi="Calibri" w:cs="Calibri"/>
        </w:rPr>
        <w:t>of</w:t>
      </w:r>
      <w:r w:rsidRPr="00371E6F">
        <w:rPr>
          <w:rFonts w:ascii="Calibri" w:hAnsi="Calibri" w:cs="Calibri"/>
        </w:rPr>
        <w:t xml:space="preserve"> promot</w:t>
      </w:r>
      <w:r>
        <w:rPr>
          <w:rFonts w:ascii="Calibri" w:hAnsi="Calibri" w:cs="Calibri"/>
        </w:rPr>
        <w:t>ing</w:t>
      </w:r>
      <w:r w:rsidRPr="00371E6F">
        <w:rPr>
          <w:rFonts w:ascii="Calibri" w:hAnsi="Calibri" w:cs="Calibri"/>
        </w:rPr>
        <w:t xml:space="preserve"> it</w:t>
      </w:r>
      <w:r>
        <w:rPr>
          <w:rFonts w:ascii="Calibri" w:hAnsi="Calibri" w:cs="Calibri"/>
        </w:rPr>
        <w:t>, essential</w:t>
      </w:r>
      <w:r w:rsidRPr="00371E6F">
        <w:rPr>
          <w:rFonts w:ascii="Calibri" w:hAnsi="Calibri" w:cs="Calibri"/>
        </w:rPr>
        <w:t xml:space="preserve"> </w:t>
      </w:r>
      <w:r>
        <w:rPr>
          <w:rFonts w:ascii="Calibri" w:hAnsi="Calibri" w:cs="Calibri"/>
        </w:rPr>
        <w:t>in sustaining the curr</w:t>
      </w:r>
      <w:r w:rsidRPr="00371E6F">
        <w:rPr>
          <w:rFonts w:ascii="Calibri" w:hAnsi="Calibri" w:cs="Calibri"/>
        </w:rPr>
        <w:t xml:space="preserve">ent </w:t>
      </w:r>
      <w:r>
        <w:rPr>
          <w:rFonts w:ascii="Calibri" w:hAnsi="Calibri" w:cs="Calibri"/>
        </w:rPr>
        <w:t xml:space="preserve">phase </w:t>
      </w:r>
      <w:r w:rsidRPr="00371E6F">
        <w:rPr>
          <w:rFonts w:ascii="Calibri" w:hAnsi="Calibri" w:cs="Calibri"/>
        </w:rPr>
        <w:t xml:space="preserve">of recovery </w:t>
      </w:r>
      <w:r>
        <w:rPr>
          <w:rFonts w:ascii="Calibri" w:hAnsi="Calibri" w:cs="Calibri"/>
        </w:rPr>
        <w:t xml:space="preserve">we are experiencing following the </w:t>
      </w:r>
      <w:proofErr w:type="gramStart"/>
      <w:r>
        <w:rPr>
          <w:rFonts w:ascii="Calibri" w:hAnsi="Calibri" w:cs="Calibri"/>
        </w:rPr>
        <w:t>serious crisis</w:t>
      </w:r>
      <w:proofErr w:type="gramEnd"/>
      <w:r>
        <w:rPr>
          <w:rFonts w:ascii="Calibri" w:hAnsi="Calibri" w:cs="Calibri"/>
        </w:rPr>
        <w:t xml:space="preserve"> that</w:t>
      </w:r>
      <w:r w:rsidRPr="00371E6F">
        <w:rPr>
          <w:rFonts w:ascii="Calibri" w:hAnsi="Calibri" w:cs="Calibri"/>
        </w:rPr>
        <w:t xml:space="preserve"> began in 2008-09</w:t>
      </w:r>
      <w:r>
        <w:rPr>
          <w:rFonts w:ascii="Calibri" w:hAnsi="Calibri" w:cs="Calibri"/>
        </w:rPr>
        <w:t>,</w:t>
      </w:r>
      <w:r w:rsidRPr="00371E6F">
        <w:rPr>
          <w:rFonts w:ascii="Calibri" w:hAnsi="Calibri" w:cs="Calibri"/>
        </w:rPr>
        <w:t xml:space="preserve"> </w:t>
      </w:r>
      <w:r>
        <w:rPr>
          <w:rFonts w:ascii="Calibri" w:hAnsi="Calibri" w:cs="Calibri"/>
        </w:rPr>
        <w:t>have</w:t>
      </w:r>
      <w:r w:rsidRPr="00371E6F">
        <w:rPr>
          <w:rFonts w:ascii="Calibri" w:hAnsi="Calibri" w:cs="Calibri"/>
        </w:rPr>
        <w:t xml:space="preserve"> been </w:t>
      </w:r>
      <w:r>
        <w:rPr>
          <w:rFonts w:ascii="Calibri" w:hAnsi="Calibri" w:cs="Calibri"/>
        </w:rPr>
        <w:t>exacerbat</w:t>
      </w:r>
      <w:r w:rsidRPr="00371E6F">
        <w:rPr>
          <w:rFonts w:ascii="Calibri" w:hAnsi="Calibri" w:cs="Calibri"/>
        </w:rPr>
        <w:t xml:space="preserve">ed by </w:t>
      </w:r>
      <w:r>
        <w:rPr>
          <w:rFonts w:ascii="Calibri" w:hAnsi="Calibri" w:cs="Calibri"/>
        </w:rPr>
        <w:t>the</w:t>
      </w:r>
      <w:r w:rsidRPr="00371E6F">
        <w:rPr>
          <w:rFonts w:ascii="Calibri" w:hAnsi="Calibri" w:cs="Calibri"/>
        </w:rPr>
        <w:t xml:space="preserve"> still difficult macroeconomic situation</w:t>
      </w:r>
      <w:r>
        <w:rPr>
          <w:rFonts w:ascii="Calibri" w:hAnsi="Calibri" w:cs="Calibri"/>
        </w:rPr>
        <w:t>,</w:t>
      </w:r>
      <w:r w:rsidRPr="00371E6F">
        <w:rPr>
          <w:rFonts w:ascii="Calibri" w:hAnsi="Calibri" w:cs="Calibri"/>
        </w:rPr>
        <w:t xml:space="preserve"> </w:t>
      </w:r>
      <w:r>
        <w:rPr>
          <w:rFonts w:ascii="Calibri" w:hAnsi="Calibri" w:cs="Calibri"/>
        </w:rPr>
        <w:t xml:space="preserve">which in recent years has seen prolonged </w:t>
      </w:r>
      <w:r w:rsidRPr="00371E6F">
        <w:rPr>
          <w:rFonts w:ascii="Calibri" w:hAnsi="Calibri" w:cs="Calibri"/>
        </w:rPr>
        <w:t>negative</w:t>
      </w:r>
      <w:r>
        <w:rPr>
          <w:rFonts w:ascii="Calibri" w:hAnsi="Calibri" w:cs="Calibri"/>
        </w:rPr>
        <w:t xml:space="preserve"> economic circumstances and </w:t>
      </w:r>
      <w:r w:rsidRPr="00371E6F">
        <w:rPr>
          <w:rFonts w:ascii="Calibri" w:hAnsi="Calibri" w:cs="Calibri"/>
        </w:rPr>
        <w:t>strong competitive pressure from emerging countries.</w:t>
      </w:r>
    </w:p>
    <w:p w:rsidR="00DC4E49" w:rsidRPr="00C0777B" w:rsidRDefault="00DC4E49" w:rsidP="00DC4E49">
      <w:pPr>
        <w:contextualSpacing/>
        <w:jc w:val="both"/>
        <w:rPr>
          <w:i/>
        </w:rPr>
      </w:pPr>
      <w:r w:rsidRPr="00371E6F">
        <w:t xml:space="preserve">In </w:t>
      </w:r>
      <w:r>
        <w:t>a</w:t>
      </w:r>
      <w:r w:rsidRPr="00371E6F">
        <w:t xml:space="preserve"> situation</w:t>
      </w:r>
      <w:r>
        <w:t xml:space="preserve"> such as this,</w:t>
      </w:r>
      <w:r w:rsidRPr="00371E6F">
        <w:t xml:space="preserve"> economic policy can and must play a key role in supporting innovation and competition in the </w:t>
      </w:r>
      <w:r>
        <w:t>national system, requiring coordinated action,</w:t>
      </w:r>
      <w:r w:rsidRPr="00371E6F">
        <w:t xml:space="preserve"> a vision of togetherness and a process of collaboration between </w:t>
      </w:r>
      <w:r>
        <w:t>a varied</w:t>
      </w:r>
      <w:r w:rsidRPr="00371E6F">
        <w:t xml:space="preserve"> and growing network of </w:t>
      </w:r>
      <w:r w:rsidRPr="00D7553C">
        <w:rPr>
          <w:i/>
        </w:rPr>
        <w:t>stakeholders</w:t>
      </w:r>
      <w:r w:rsidRPr="00371E6F">
        <w:t xml:space="preserve">. </w:t>
      </w:r>
      <w:r w:rsidRPr="00DE3B9E">
        <w:t xml:space="preserve">This explains the growing interest </w:t>
      </w:r>
      <w:r>
        <w:t>from</w:t>
      </w:r>
      <w:r w:rsidRPr="00DE3B9E">
        <w:t xml:space="preserve"> </w:t>
      </w:r>
      <w:r w:rsidRPr="00ED2926">
        <w:rPr>
          <w:i/>
        </w:rPr>
        <w:t>policy</w:t>
      </w:r>
      <w:r w:rsidR="00F13679">
        <w:rPr>
          <w:i/>
        </w:rPr>
        <w:t xml:space="preserve"> </w:t>
      </w:r>
      <w:r w:rsidRPr="00ED2926">
        <w:rPr>
          <w:i/>
        </w:rPr>
        <w:t>makers</w:t>
      </w:r>
      <w:r w:rsidRPr="00DE3B9E">
        <w:t xml:space="preserve"> and operators </w:t>
      </w:r>
      <w:r>
        <w:t>in</w:t>
      </w:r>
      <w:r w:rsidRPr="00DE3B9E">
        <w:t xml:space="preserve"> start-ups</w:t>
      </w:r>
      <w:r>
        <w:t>,</w:t>
      </w:r>
      <w:r w:rsidRPr="00DE3B9E">
        <w:t xml:space="preserve"> which </w:t>
      </w:r>
      <w:r>
        <w:t>are</w:t>
      </w:r>
      <w:r w:rsidRPr="00DE3B9E">
        <w:t xml:space="preserve"> one of the key vehicles </w:t>
      </w:r>
      <w:r>
        <w:t>in</w:t>
      </w:r>
      <w:r w:rsidRPr="00DE3B9E">
        <w:t xml:space="preserve"> promot</w:t>
      </w:r>
      <w:r>
        <w:t>ing</w:t>
      </w:r>
      <w:r w:rsidRPr="00DE3B9E">
        <w:t xml:space="preserve"> technological development as well as an important driver for economic growth, particularly </w:t>
      </w:r>
      <w:r>
        <w:t>given</w:t>
      </w:r>
      <w:r w:rsidRPr="00DE3B9E">
        <w:t xml:space="preserve"> the </w:t>
      </w:r>
      <w:r>
        <w:t>associated</w:t>
      </w:r>
      <w:r w:rsidRPr="00DE3B9E">
        <w:t xml:space="preserve"> job opportunities</w:t>
      </w:r>
      <w:r>
        <w:t>,</w:t>
      </w:r>
      <w:r w:rsidRPr="00DE3B9E">
        <w:t xml:space="preserve"> </w:t>
      </w:r>
      <w:r>
        <w:t xml:space="preserve">and </w:t>
      </w:r>
      <w:r w:rsidRPr="00DE3B9E">
        <w:t>for internationalisation.</w:t>
      </w:r>
    </w:p>
    <w:p w:rsidR="00DC4E49" w:rsidRPr="00DE3B9E" w:rsidRDefault="00DC4E49" w:rsidP="005067C6">
      <w:pPr>
        <w:contextualSpacing/>
        <w:jc w:val="both"/>
      </w:pPr>
      <w:r>
        <w:t>This</w:t>
      </w:r>
      <w:r w:rsidRPr="00DE3B9E">
        <w:t xml:space="preserve"> paper </w:t>
      </w:r>
      <w:r w:rsidR="00314BBC">
        <w:t>aims, in light of recently introduced legislation</w:t>
      </w:r>
      <w:r w:rsidR="0065425A">
        <w:t xml:space="preserve"> measure</w:t>
      </w:r>
      <w:r w:rsidR="0075184D">
        <w:t>s</w:t>
      </w:r>
      <w:r w:rsidR="0065425A">
        <w:t xml:space="preserve"> and critical issues affecting </w:t>
      </w:r>
      <w:r w:rsidR="00314BBC">
        <w:t>the current situation, to understan</w:t>
      </w:r>
      <w:r w:rsidR="0065425A">
        <w:t>d</w:t>
      </w:r>
      <w:r w:rsidR="00510EEE">
        <w:t>,</w:t>
      </w:r>
      <w:r w:rsidR="0065425A">
        <w:t xml:space="preserve"> </w:t>
      </w:r>
      <w:r w:rsidR="00510EEE">
        <w:t>thr</w:t>
      </w:r>
      <w:r w:rsidR="001C17B5">
        <w:t xml:space="preserve">ough an empirical analysis of descriptive nature based on </w:t>
      </w:r>
      <w:r w:rsidR="00510EEE">
        <w:t xml:space="preserve">a </w:t>
      </w:r>
      <w:r w:rsidR="001C17B5">
        <w:t>spe</w:t>
      </w:r>
      <w:r w:rsidR="00510EEE">
        <w:t>cific questionnaire sent to a s</w:t>
      </w:r>
      <w:r w:rsidR="00306450">
        <w:t>a</w:t>
      </w:r>
      <w:r w:rsidR="001C17B5">
        <w:t>mple of player</w:t>
      </w:r>
      <w:r w:rsidR="00510EEE">
        <w:t>s</w:t>
      </w:r>
      <w:r w:rsidR="001C17B5">
        <w:t xml:space="preserve"> diversified and appropriately selected</w:t>
      </w:r>
      <w:r w:rsidR="00510EEE">
        <w:t>,</w:t>
      </w:r>
      <w:r w:rsidR="001C17B5">
        <w:t xml:space="preserve"> </w:t>
      </w:r>
      <w:r w:rsidR="0065425A">
        <w:t>the potential support activities</w:t>
      </w:r>
      <w:r w:rsidR="00314BBC">
        <w:t xml:space="preserve"> for Italia</w:t>
      </w:r>
      <w:r w:rsidR="0065425A">
        <w:t>n start-ups that are activated</w:t>
      </w:r>
      <w:r w:rsidR="00314BBC">
        <w:t xml:space="preserve"> by operators who intervene either as financiers and/or investors, or as management service providers, i.e. business incubators/accelerators, venture capital operators and business angels, and consequently </w:t>
      </w:r>
      <w:r>
        <w:t>to</w:t>
      </w:r>
      <w:r w:rsidRPr="00DE3B9E">
        <w:t xml:space="preserve"> provide some </w:t>
      </w:r>
      <w:r>
        <w:t>suggestions</w:t>
      </w:r>
      <w:r w:rsidRPr="00DE3B9E">
        <w:t xml:space="preserve"> </w:t>
      </w:r>
      <w:r>
        <w:t>on how to implement</w:t>
      </w:r>
      <w:r w:rsidRPr="00DE3B9E">
        <w:t xml:space="preserve"> the </w:t>
      </w:r>
      <w:r>
        <w:t xml:space="preserve">next steps </w:t>
      </w:r>
      <w:r w:rsidRPr="00DE3B9E">
        <w:t xml:space="preserve">necessary </w:t>
      </w:r>
      <w:r>
        <w:t>to truly develop this</w:t>
      </w:r>
      <w:r w:rsidRPr="00DE3B9E">
        <w:t xml:space="preserve"> sector.</w:t>
      </w:r>
    </w:p>
    <w:p w:rsidR="00DC4E49" w:rsidRDefault="00DC4E49" w:rsidP="00C0777B">
      <w:pPr>
        <w:jc w:val="both"/>
      </w:pPr>
      <w:r w:rsidRPr="00371E6F">
        <w:lastRenderedPageBreak/>
        <w:t>Th</w:t>
      </w:r>
      <w:r>
        <w:t>e work is structured as follows. T</w:t>
      </w:r>
      <w:r w:rsidRPr="00371E6F">
        <w:t xml:space="preserve">he second </w:t>
      </w:r>
      <w:r>
        <w:t>section</w:t>
      </w:r>
      <w:r w:rsidRPr="00371E6F">
        <w:t xml:space="preserve"> tackles the central theme of financing innovative companies </w:t>
      </w:r>
      <w:r w:rsidR="00314BBC">
        <w:t xml:space="preserve">and companies in the start-up phase </w:t>
      </w:r>
      <w:r w:rsidRPr="00371E6F">
        <w:t>whose financial requirement</w:t>
      </w:r>
      <w:r>
        <w:t>s</w:t>
      </w:r>
      <w:r w:rsidRPr="00371E6F">
        <w:t xml:space="preserve"> depend on the investment project</w:t>
      </w:r>
      <w:r>
        <w:t>’s stage</w:t>
      </w:r>
      <w:r w:rsidRPr="00371E6F">
        <w:t xml:space="preserve"> of development</w:t>
      </w:r>
      <w:r>
        <w:t xml:space="preserve">, which </w:t>
      </w:r>
      <w:r w:rsidRPr="00371E6F">
        <w:t>is</w:t>
      </w:r>
      <w:r>
        <w:t xml:space="preserve"> </w:t>
      </w:r>
      <w:r w:rsidRPr="00371E6F">
        <w:t>divided into distinct phases</w:t>
      </w:r>
      <w:r>
        <w:t>,</w:t>
      </w:r>
      <w:r w:rsidRPr="00371E6F">
        <w:t xml:space="preserve"> each of which is characterised by </w:t>
      </w:r>
      <w:r>
        <w:t xml:space="preserve">well-defined </w:t>
      </w:r>
      <w:r w:rsidRPr="00371E6F">
        <w:t>operational details and financial support</w:t>
      </w:r>
      <w:r>
        <w:t xml:space="preserve"> interventions. The </w:t>
      </w:r>
      <w:r w:rsidRPr="00371E6F">
        <w:t xml:space="preserve">third paragraph presents a </w:t>
      </w:r>
      <w:r>
        <w:t>summary</w:t>
      </w:r>
      <w:r w:rsidRPr="00371E6F">
        <w:t xml:space="preserve"> of the </w:t>
      </w:r>
      <w:r>
        <w:t xml:space="preserve">main </w:t>
      </w:r>
      <w:r w:rsidRPr="00371E6F">
        <w:t xml:space="preserve">interventions </w:t>
      </w:r>
      <w:r>
        <w:t xml:space="preserve">implemented </w:t>
      </w:r>
      <w:r w:rsidRPr="00371E6F">
        <w:t xml:space="preserve">by the Italian government to </w:t>
      </w:r>
      <w:r>
        <w:t>support</w:t>
      </w:r>
      <w:r w:rsidRPr="00371E6F">
        <w:t xml:space="preserve"> the promotion of start-ups and SMEs involved in innovative </w:t>
      </w:r>
      <w:proofErr w:type="gramStart"/>
      <w:r w:rsidRPr="00371E6F">
        <w:t>projects</w:t>
      </w:r>
      <w:r>
        <w:t>,</w:t>
      </w:r>
      <w:r w:rsidRPr="00371E6F">
        <w:t xml:space="preserve"> and</w:t>
      </w:r>
      <w:proofErr w:type="gramEnd"/>
      <w:r w:rsidRPr="00371E6F">
        <w:t xml:space="preserve"> combines this with system data which is useful in analysing the phenomenon under the </w:t>
      </w:r>
      <w:r>
        <w:t>principal</w:t>
      </w:r>
      <w:r w:rsidRPr="00371E6F">
        <w:t xml:space="preserve"> analysis approach</w:t>
      </w:r>
      <w:r>
        <w:t>es. T</w:t>
      </w:r>
      <w:r w:rsidRPr="00371E6F">
        <w:t xml:space="preserve">he fourth paragraph </w:t>
      </w:r>
      <w:r>
        <w:t>presents</w:t>
      </w:r>
      <w:r w:rsidRPr="00371E6F">
        <w:t xml:space="preserve"> the results of a field survey carried out to </w:t>
      </w:r>
      <w:r>
        <w:t>examine</w:t>
      </w:r>
      <w:r w:rsidRPr="00371E6F">
        <w:t xml:space="preserve"> </w:t>
      </w:r>
      <w:r>
        <w:t>the individual</w:t>
      </w:r>
      <w:r w:rsidRPr="00371E6F">
        <w:t xml:space="preserve"> profiles</w:t>
      </w:r>
      <w:r>
        <w:t>,</w:t>
      </w:r>
      <w:r w:rsidRPr="00371E6F">
        <w:t xml:space="preserve"> structur</w:t>
      </w:r>
      <w:r>
        <w:t>al</w:t>
      </w:r>
      <w:r w:rsidRPr="00371E6F">
        <w:t xml:space="preserve"> configurations and management </w:t>
      </w:r>
      <w:r>
        <w:t>traits</w:t>
      </w:r>
      <w:r w:rsidRPr="00371E6F">
        <w:t xml:space="preserve"> of the</w:t>
      </w:r>
      <w:r w:rsidR="00314BBC">
        <w:t xml:space="preserve"> </w:t>
      </w:r>
      <w:proofErr w:type="gramStart"/>
      <w:r w:rsidR="00314BBC">
        <w:t>aforementioned</w:t>
      </w:r>
      <w:r w:rsidRPr="00371E6F">
        <w:t xml:space="preserve"> operators</w:t>
      </w:r>
      <w:proofErr w:type="gramEnd"/>
      <w:r w:rsidRPr="00371E6F">
        <w:t xml:space="preserve">. </w:t>
      </w:r>
      <w:r>
        <w:t>Finally, the conclusion provides a summary of the</w:t>
      </w:r>
      <w:r w:rsidRPr="00371E6F">
        <w:t xml:space="preserve"> </w:t>
      </w:r>
      <w:r>
        <w:t>issue</w:t>
      </w:r>
      <w:r w:rsidRPr="00371E6F">
        <w:t xml:space="preserve">s and </w:t>
      </w:r>
      <w:r>
        <w:t>subject</w:t>
      </w:r>
      <w:r w:rsidRPr="00371E6F">
        <w:t>s</w:t>
      </w:r>
      <w:r>
        <w:t xml:space="preserve"> which,</w:t>
      </w:r>
      <w:r w:rsidRPr="00371E6F">
        <w:t xml:space="preserve"> </w:t>
      </w:r>
      <w:proofErr w:type="gramStart"/>
      <w:r w:rsidRPr="00371E6F">
        <w:t>in light of</w:t>
      </w:r>
      <w:proofErr w:type="gramEnd"/>
      <w:r w:rsidRPr="00371E6F">
        <w:t xml:space="preserve"> the results </w:t>
      </w:r>
      <w:r>
        <w:t>of</w:t>
      </w:r>
      <w:r w:rsidRPr="00371E6F">
        <w:t xml:space="preserve"> the empirical </w:t>
      </w:r>
      <w:r>
        <w:t>study,</w:t>
      </w:r>
      <w:r w:rsidRPr="00371E6F">
        <w:t xml:space="preserve"> must be better develop</w:t>
      </w:r>
      <w:r>
        <w:t>ed</w:t>
      </w:r>
      <w:r w:rsidRPr="00371E6F">
        <w:t xml:space="preserve"> and </w:t>
      </w:r>
      <w:r>
        <w:t>adopted</w:t>
      </w:r>
      <w:r w:rsidRPr="00371E6F">
        <w:t xml:space="preserve"> for the </w:t>
      </w:r>
      <w:r>
        <w:t>“quality leap”</w:t>
      </w:r>
      <w:r w:rsidRPr="00371E6F">
        <w:t xml:space="preserve"> that n</w:t>
      </w:r>
      <w:r>
        <w:t>ow</w:t>
      </w:r>
      <w:r w:rsidRPr="00371E6F">
        <w:t xml:space="preserve"> seems essential.</w:t>
      </w:r>
    </w:p>
    <w:p w:rsidR="00DC4E49" w:rsidRPr="00371E6F" w:rsidRDefault="00DC4E49" w:rsidP="00DC4E49">
      <w:pPr>
        <w:tabs>
          <w:tab w:val="left" w:pos="284"/>
        </w:tabs>
        <w:contextualSpacing/>
        <w:jc w:val="both"/>
        <w:rPr>
          <w:b/>
        </w:rPr>
      </w:pPr>
    </w:p>
    <w:p w:rsidR="00DC4E49" w:rsidRPr="00371E6F" w:rsidRDefault="00DC4E49" w:rsidP="00DC4E49">
      <w:pPr>
        <w:tabs>
          <w:tab w:val="left" w:pos="284"/>
        </w:tabs>
        <w:contextualSpacing/>
        <w:jc w:val="both"/>
        <w:rPr>
          <w:b/>
        </w:rPr>
      </w:pPr>
      <w:r w:rsidRPr="00371E6F">
        <w:rPr>
          <w:b/>
        </w:rPr>
        <w:t>2.</w:t>
      </w:r>
      <w:r w:rsidRPr="00371E6F">
        <w:rPr>
          <w:b/>
        </w:rPr>
        <w:tab/>
      </w:r>
      <w:r w:rsidR="001C17B5">
        <w:rPr>
          <w:b/>
        </w:rPr>
        <w:t xml:space="preserve">The main literature on </w:t>
      </w:r>
      <w:r w:rsidRPr="00371E6F">
        <w:rPr>
          <w:b/>
        </w:rPr>
        <w:t>innovation</w:t>
      </w:r>
      <w:r w:rsidR="001C17B5">
        <w:rPr>
          <w:b/>
        </w:rPr>
        <w:t>’s financing</w:t>
      </w:r>
    </w:p>
    <w:p w:rsidR="00DC4E49" w:rsidRDefault="00DC4E49" w:rsidP="00C0777B">
      <w:pPr>
        <w:contextualSpacing/>
        <w:jc w:val="both"/>
      </w:pPr>
      <w:r w:rsidRPr="00371E6F">
        <w:t xml:space="preserve">Innovation, understood in its widest sense, </w:t>
      </w:r>
      <w:r>
        <w:t>i</w:t>
      </w:r>
      <w:r w:rsidRPr="00371E6F">
        <w:t>s an in</w:t>
      </w:r>
      <w:r>
        <w:t>nate</w:t>
      </w:r>
      <w:r w:rsidRPr="00371E6F">
        <w:t xml:space="preserve"> </w:t>
      </w:r>
      <w:r>
        <w:t>requirement</w:t>
      </w:r>
      <w:r w:rsidRPr="00371E6F">
        <w:t xml:space="preserve"> in a modern economic system to maintain</w:t>
      </w:r>
      <w:r>
        <w:t xml:space="preserve"> </w:t>
      </w:r>
      <w:r w:rsidRPr="00371E6F">
        <w:t xml:space="preserve">and </w:t>
      </w:r>
      <w:r>
        <w:t>increase</w:t>
      </w:r>
      <w:r w:rsidRPr="00371E6F">
        <w:t xml:space="preserve"> </w:t>
      </w:r>
      <w:r>
        <w:t xml:space="preserve">its </w:t>
      </w:r>
      <w:r w:rsidRPr="00371E6F">
        <w:t>competiti</w:t>
      </w:r>
      <w:r>
        <w:t>veness</w:t>
      </w:r>
      <w:r w:rsidRPr="00371E6F">
        <w:t xml:space="preserve">. </w:t>
      </w:r>
      <w:r>
        <w:t>I</w:t>
      </w:r>
      <w:r w:rsidRPr="00371E6F">
        <w:t>n the last few years</w:t>
      </w:r>
      <w:r>
        <w:t>, th</w:t>
      </w:r>
      <w:r w:rsidRPr="00371E6F">
        <w:t xml:space="preserve">is </w:t>
      </w:r>
      <w:r>
        <w:t>inherent</w:t>
      </w:r>
      <w:r w:rsidRPr="00371E6F">
        <w:t xml:space="preserve"> </w:t>
      </w:r>
      <w:r>
        <w:t>requirement</w:t>
      </w:r>
      <w:r w:rsidRPr="00371E6F">
        <w:t xml:space="preserve"> has </w:t>
      </w:r>
      <w:r>
        <w:t>grown</w:t>
      </w:r>
      <w:r w:rsidRPr="00371E6F">
        <w:t xml:space="preserve"> significant</w:t>
      </w:r>
      <w:r>
        <w:t>ly</w:t>
      </w:r>
      <w:r w:rsidRPr="00371E6F">
        <w:t xml:space="preserve"> and is </w:t>
      </w:r>
      <w:r>
        <w:t xml:space="preserve">increasingly </w:t>
      </w:r>
      <w:r w:rsidRPr="00371E6F">
        <w:t xml:space="preserve">perceived </w:t>
      </w:r>
      <w:r>
        <w:t>as a priority in implementing</w:t>
      </w:r>
      <w:r w:rsidRPr="00371E6F">
        <w:t xml:space="preserve"> individual economic policies</w:t>
      </w:r>
      <w:r>
        <w:t>. I</w:t>
      </w:r>
      <w:r w:rsidRPr="00371E6F">
        <w:t>nformation and communication technology</w:t>
      </w:r>
      <w:r>
        <w:t>,</w:t>
      </w:r>
      <w:r w:rsidRPr="00371E6F">
        <w:t xml:space="preserve"> known also as </w:t>
      </w:r>
      <w:r>
        <w:rPr>
          <w:i/>
        </w:rPr>
        <w:t>web-</w:t>
      </w:r>
      <w:r w:rsidRPr="00AA6333">
        <w:rPr>
          <w:i/>
        </w:rPr>
        <w:t>technology</w:t>
      </w:r>
      <w:r>
        <w:t>,</w:t>
      </w:r>
      <w:r w:rsidRPr="00371E6F">
        <w:t xml:space="preserve"> is </w:t>
      </w:r>
      <w:r>
        <w:t>extremely pervasive</w:t>
      </w:r>
      <w:r w:rsidRPr="00371E6F">
        <w:t xml:space="preserve"> in the economic fabric of all countries</w:t>
      </w:r>
      <w:r>
        <w:t>,</w:t>
      </w:r>
      <w:r w:rsidRPr="00371E6F">
        <w:t xml:space="preserve"> </w:t>
      </w:r>
      <w:r>
        <w:t>chang</w:t>
      </w:r>
      <w:r w:rsidRPr="00371E6F">
        <w:t xml:space="preserve">ing </w:t>
      </w:r>
      <w:r>
        <w:t xml:space="preserve">the </w:t>
      </w:r>
      <w:r w:rsidRPr="00371E6F">
        <w:t xml:space="preserve">production and distribution </w:t>
      </w:r>
      <w:r>
        <w:t xml:space="preserve">methods </w:t>
      </w:r>
      <w:r w:rsidRPr="00371E6F">
        <w:t xml:space="preserve">of goods and services. It is the so-called </w:t>
      </w:r>
      <w:r w:rsidRPr="00AA6333">
        <w:rPr>
          <w:i/>
        </w:rPr>
        <w:t>New Economy</w:t>
      </w:r>
      <w:r>
        <w:t xml:space="preserve"> </w:t>
      </w:r>
      <w:r w:rsidRPr="00371E6F">
        <w:t xml:space="preserve">which has changed and is changing the behaviour of individual </w:t>
      </w:r>
      <w:r>
        <w:t>player</w:t>
      </w:r>
      <w:r w:rsidRPr="00371E6F">
        <w:t xml:space="preserve">s </w:t>
      </w:r>
      <w:r>
        <w:t>and is</w:t>
      </w:r>
      <w:r w:rsidRPr="00371E6F">
        <w:t xml:space="preserve"> </w:t>
      </w:r>
      <w:r>
        <w:t xml:space="preserve">seriously </w:t>
      </w:r>
      <w:r w:rsidRPr="00371E6F">
        <w:t xml:space="preserve">putting </w:t>
      </w:r>
      <w:r>
        <w:t>traditional can</w:t>
      </w:r>
      <w:r w:rsidRPr="00371E6F">
        <w:t xml:space="preserve">ons of economic </w:t>
      </w:r>
      <w:r>
        <w:t xml:space="preserve">theory </w:t>
      </w:r>
      <w:r w:rsidRPr="00371E6F">
        <w:t>and management</w:t>
      </w:r>
      <w:r>
        <w:t xml:space="preserve"> to t</w:t>
      </w:r>
      <w:r w:rsidRPr="00371E6F">
        <w:t>he test.</w:t>
      </w:r>
    </w:p>
    <w:p w:rsidR="00DC4E49" w:rsidRPr="00B3322B" w:rsidRDefault="00DC4E49" w:rsidP="00DC4E49">
      <w:pPr>
        <w:contextualSpacing/>
        <w:jc w:val="both"/>
        <w:rPr>
          <w:rFonts w:ascii="Calibri" w:hAnsi="Calibri" w:cs="Calibri"/>
          <w:sz w:val="20"/>
          <w:szCs w:val="20"/>
        </w:rPr>
      </w:pPr>
      <w:r w:rsidRPr="00DE3B9E">
        <w:t xml:space="preserve">The financial system </w:t>
      </w:r>
      <w:r>
        <w:t>is</w:t>
      </w:r>
      <w:r w:rsidRPr="00DE3B9E">
        <w:t xml:space="preserve"> a major player in the spread of innovation</w:t>
      </w:r>
      <w:r>
        <w:rPr>
          <w:rStyle w:val="Rimandonotaapidipagina"/>
        </w:rPr>
        <w:footnoteReference w:id="1"/>
      </w:r>
      <w:r w:rsidRPr="00DE3B9E">
        <w:t xml:space="preserve"> and </w:t>
      </w:r>
      <w:r>
        <w:t xml:space="preserve">the </w:t>
      </w:r>
      <w:r w:rsidRPr="00DE3B9E">
        <w:t xml:space="preserve">development of the </w:t>
      </w:r>
      <w:r>
        <w:t>N</w:t>
      </w:r>
      <w:r w:rsidRPr="00DE3B9E">
        <w:t xml:space="preserve">ew </w:t>
      </w:r>
      <w:r>
        <w:t>E</w:t>
      </w:r>
      <w:r w:rsidRPr="00DE3B9E">
        <w:t xml:space="preserve">conomy </w:t>
      </w:r>
      <w:r>
        <w:t xml:space="preserve">in its role as a financier and </w:t>
      </w:r>
      <w:r w:rsidRPr="00DE3B9E">
        <w:t xml:space="preserve">investor in new entrepreneurial initiatives and businesses in the start-up </w:t>
      </w:r>
      <w:r>
        <w:t>phase</w:t>
      </w:r>
      <w:r w:rsidRPr="00DE3B9E">
        <w:t xml:space="preserve"> </w:t>
      </w:r>
      <w:r>
        <w:t>(B</w:t>
      </w:r>
      <w:r w:rsidRPr="00DE3B9E">
        <w:t>lank</w:t>
      </w:r>
      <w:r>
        <w:t>,</w:t>
      </w:r>
      <w:r w:rsidRPr="00DE3B9E">
        <w:t xml:space="preserve"> D</w:t>
      </w:r>
      <w:r>
        <w:t>orf, 2012)</w:t>
      </w:r>
      <w:r>
        <w:rPr>
          <w:rStyle w:val="Rimandonotaapidipagina"/>
        </w:rPr>
        <w:footnoteReference w:id="2"/>
      </w:r>
      <w:r>
        <w:t>, which are</w:t>
      </w:r>
      <w:r w:rsidRPr="00DE3B9E">
        <w:t xml:space="preserve"> characterised by a high degree of risk and long </w:t>
      </w:r>
      <w:r>
        <w:t>payback times. They return to</w:t>
      </w:r>
      <w:r w:rsidRPr="00DE3B9E">
        <w:t xml:space="preserve"> such activities between </w:t>
      </w:r>
      <w:r>
        <w:t>their</w:t>
      </w:r>
      <w:r w:rsidRPr="00DE3B9E">
        <w:t xml:space="preserve"> </w:t>
      </w:r>
      <w:r>
        <w:t xml:space="preserve">normal </w:t>
      </w:r>
      <w:r w:rsidRPr="00DE3B9E">
        <w:t xml:space="preserve">institutional duties </w:t>
      </w:r>
      <w:r>
        <w:t>where they operate in their</w:t>
      </w:r>
      <w:r w:rsidRPr="00DE3B9E">
        <w:t xml:space="preserve"> more general capacity and aptitude to assure companies the necessary </w:t>
      </w:r>
      <w:r>
        <w:t xml:space="preserve">supply of </w:t>
      </w:r>
      <w:r w:rsidRPr="00DE3B9E">
        <w:t xml:space="preserve">financial resources to realise </w:t>
      </w:r>
      <w:r>
        <w:t xml:space="preserve">their </w:t>
      </w:r>
      <w:r w:rsidRPr="00DE3B9E">
        <w:t>business strategies and plans and to proceed toward an efficient allocation of available resources</w:t>
      </w:r>
      <w:r>
        <w:t>.</w:t>
      </w:r>
    </w:p>
    <w:p w:rsidR="00DC4E49" w:rsidRPr="00DE3B9E" w:rsidRDefault="00DC4E49" w:rsidP="00DC4E49">
      <w:pPr>
        <w:contextualSpacing/>
        <w:jc w:val="both"/>
      </w:pPr>
      <w:r w:rsidRPr="00DE3B9E">
        <w:t xml:space="preserve">For innovative </w:t>
      </w:r>
      <w:r>
        <w:t>business</w:t>
      </w:r>
      <w:r w:rsidRPr="00DE3B9E">
        <w:t>es</w:t>
      </w:r>
      <w:r>
        <w:t>,</w:t>
      </w:r>
      <w:r w:rsidRPr="00DE3B9E">
        <w:t xml:space="preserve"> t</w:t>
      </w:r>
      <w:r>
        <w:t>he financial requirement and</w:t>
      </w:r>
      <w:r w:rsidRPr="00DE3B9E">
        <w:t xml:space="preserve"> degree of risk often depend on the stage of development</w:t>
      </w:r>
      <w:r>
        <w:t xml:space="preserve"> of</w:t>
      </w:r>
      <w:r w:rsidRPr="00DE3B9E">
        <w:t xml:space="preserve"> the investment </w:t>
      </w:r>
      <w:r>
        <w:t xml:space="preserve">plan and </w:t>
      </w:r>
      <w:r w:rsidRPr="00DE3B9E">
        <w:t xml:space="preserve">can be distinguished </w:t>
      </w:r>
      <w:r>
        <w:t>in</w:t>
      </w:r>
      <w:r w:rsidRPr="00DE3B9E">
        <w:t xml:space="preserve"> </w:t>
      </w:r>
      <w:r>
        <w:t>four fundamental</w:t>
      </w:r>
      <w:r w:rsidRPr="00DE3B9E">
        <w:t xml:space="preserve"> phases: </w:t>
      </w:r>
    </w:p>
    <w:p w:rsidR="00DC4E49" w:rsidRPr="00DE3B9E" w:rsidRDefault="00DC4E49" w:rsidP="00DC4E49">
      <w:pPr>
        <w:pStyle w:val="Paragrafoelenco"/>
        <w:numPr>
          <w:ilvl w:val="0"/>
          <w:numId w:val="14"/>
        </w:numPr>
        <w:tabs>
          <w:tab w:val="left" w:pos="142"/>
        </w:tabs>
        <w:ind w:left="0" w:firstLine="0"/>
        <w:jc w:val="both"/>
      </w:pPr>
      <w:r w:rsidRPr="00DE3B9E">
        <w:t xml:space="preserve">The </w:t>
      </w:r>
      <w:r w:rsidRPr="0059177B">
        <w:rPr>
          <w:i/>
        </w:rPr>
        <w:t>pre-seed</w:t>
      </w:r>
      <w:r w:rsidRPr="00DE3B9E">
        <w:t xml:space="preserve"> </w:t>
      </w:r>
      <w:r>
        <w:t>phase</w:t>
      </w:r>
      <w:r w:rsidRPr="00DE3B9E">
        <w:t xml:space="preserve">, during which the </w:t>
      </w:r>
      <w:r>
        <w:t>entrepreneur</w:t>
      </w:r>
      <w:r w:rsidRPr="00DE3B9E">
        <w:t xml:space="preserve"> studies the feasibility of the project and the uncertainties </w:t>
      </w:r>
      <w:r>
        <w:t>around future developments of the</w:t>
      </w:r>
      <w:r w:rsidRPr="00DE3B9E">
        <w:t xml:space="preserve"> business idea</w:t>
      </w:r>
      <w:r>
        <w:t>. Merely</w:t>
      </w:r>
      <w:r w:rsidRPr="00DE3B9E">
        <w:t xml:space="preserve"> sketch</w:t>
      </w:r>
      <w:r>
        <w:t>ed out at this stage</w:t>
      </w:r>
      <w:r w:rsidRPr="00DE3B9E">
        <w:t xml:space="preserve"> and </w:t>
      </w:r>
      <w:r>
        <w:t>requiring</w:t>
      </w:r>
      <w:r w:rsidRPr="00DE3B9E">
        <w:t xml:space="preserve"> </w:t>
      </w:r>
      <w:r>
        <w:t xml:space="preserve">limited </w:t>
      </w:r>
      <w:r w:rsidRPr="00DE3B9E">
        <w:t>capital</w:t>
      </w:r>
      <w:r>
        <w:t>, there are many of these;</w:t>
      </w:r>
    </w:p>
    <w:p w:rsidR="00DC4E49" w:rsidRPr="00DE3B9E" w:rsidRDefault="00DC4E49" w:rsidP="004E308D">
      <w:pPr>
        <w:contextualSpacing/>
        <w:jc w:val="both"/>
      </w:pPr>
      <w:r>
        <w:t xml:space="preserve">- </w:t>
      </w:r>
      <w:r w:rsidRPr="00DE3B9E">
        <w:t xml:space="preserve">The </w:t>
      </w:r>
      <w:r w:rsidRPr="00B423D7">
        <w:rPr>
          <w:i/>
        </w:rPr>
        <w:t>seed</w:t>
      </w:r>
      <w:r w:rsidRPr="00DE3B9E">
        <w:t xml:space="preserve"> </w:t>
      </w:r>
      <w:r>
        <w:t xml:space="preserve">phase, </w:t>
      </w:r>
      <w:r w:rsidRPr="00DE3B9E">
        <w:t>which is characterised by technical</w:t>
      </w:r>
      <w:r>
        <w:t xml:space="preserve"> and economic</w:t>
      </w:r>
      <w:r w:rsidRPr="00DE3B9E">
        <w:t xml:space="preserve"> feasibility </w:t>
      </w:r>
      <w:r>
        <w:t xml:space="preserve">studies in support of the entrepreneurial project, which are adequate to </w:t>
      </w:r>
      <w:r w:rsidRPr="00DE3B9E">
        <w:t>plan the first stages of development of the business</w:t>
      </w:r>
      <w:r>
        <w:t>. C</w:t>
      </w:r>
      <w:r w:rsidRPr="00DE3B9E">
        <w:t>apital requirements are not high but</w:t>
      </w:r>
      <w:r>
        <w:t xml:space="preserve"> are</w:t>
      </w:r>
      <w:r w:rsidRPr="00DE3B9E">
        <w:t xml:space="preserve"> difficult to acquire from external finance sources because of the prohibitively high levels of risk and uncertainty</w:t>
      </w:r>
      <w:r>
        <w:t>;</w:t>
      </w:r>
    </w:p>
    <w:p w:rsidR="00DC4E49" w:rsidRPr="00DE3B9E" w:rsidRDefault="00DC4E49" w:rsidP="004E308D">
      <w:pPr>
        <w:contextualSpacing/>
        <w:jc w:val="both"/>
      </w:pPr>
      <w:r>
        <w:t xml:space="preserve">- </w:t>
      </w:r>
      <w:r w:rsidRPr="00DE3B9E">
        <w:t xml:space="preserve">The </w:t>
      </w:r>
      <w:r w:rsidRPr="00CA77C6">
        <w:rPr>
          <w:i/>
        </w:rPr>
        <w:t>start-up</w:t>
      </w:r>
      <w:r w:rsidRPr="00DE3B9E">
        <w:t xml:space="preserve"> </w:t>
      </w:r>
      <w:r>
        <w:t xml:space="preserve">phase, which is </w:t>
      </w:r>
      <w:r w:rsidRPr="00DE3B9E">
        <w:t xml:space="preserve">the moment </w:t>
      </w:r>
      <w:r>
        <w:t>when</w:t>
      </w:r>
      <w:r w:rsidRPr="00DE3B9E">
        <w:t xml:space="preserve"> the project</w:t>
      </w:r>
      <w:r>
        <w:t>,</w:t>
      </w:r>
      <w:r w:rsidRPr="00DE3B9E">
        <w:t xml:space="preserve"> which </w:t>
      </w:r>
      <w:r>
        <w:t>has been</w:t>
      </w:r>
      <w:r w:rsidRPr="00DE3B9E">
        <w:t xml:space="preserve"> developed </w:t>
      </w:r>
      <w:r>
        <w:t xml:space="preserve">over </w:t>
      </w:r>
      <w:r w:rsidRPr="00DE3B9E">
        <w:t xml:space="preserve">the preceding </w:t>
      </w:r>
      <w:r>
        <w:t>phase</w:t>
      </w:r>
      <w:r w:rsidRPr="00DE3B9E">
        <w:t>s</w:t>
      </w:r>
      <w:r>
        <w:t>,</w:t>
      </w:r>
      <w:r w:rsidRPr="00DE3B9E">
        <w:t xml:space="preserve"> </w:t>
      </w:r>
      <w:r>
        <w:t>is presented</w:t>
      </w:r>
      <w:r w:rsidRPr="00DE3B9E">
        <w:t xml:space="preserve"> to</w:t>
      </w:r>
      <w:r>
        <w:t xml:space="preserve"> the market and</w:t>
      </w:r>
      <w:r w:rsidRPr="00DE3B9E">
        <w:t xml:space="preserve"> launched commercially and requires consistent investment to create production capacity and develop distribution channels</w:t>
      </w:r>
      <w:r>
        <w:t>. The</w:t>
      </w:r>
      <w:r w:rsidRPr="00DE3B9E">
        <w:t xml:space="preserve"> level of b</w:t>
      </w:r>
      <w:r>
        <w:t>usiness risk remains high</w:t>
      </w:r>
      <w:r w:rsidRPr="00DE3B9E">
        <w:t>;</w:t>
      </w:r>
    </w:p>
    <w:p w:rsidR="00DC4E49" w:rsidRPr="00DE3B9E" w:rsidRDefault="00DC4E49" w:rsidP="004E308D">
      <w:pPr>
        <w:contextualSpacing/>
        <w:jc w:val="both"/>
      </w:pPr>
      <w:r>
        <w:t xml:space="preserve">- </w:t>
      </w:r>
      <w:r w:rsidRPr="00DE3B9E">
        <w:t xml:space="preserve">The </w:t>
      </w:r>
      <w:r w:rsidRPr="00CA77C6">
        <w:rPr>
          <w:i/>
        </w:rPr>
        <w:t>growth</w:t>
      </w:r>
      <w:r w:rsidRPr="00DE3B9E">
        <w:t xml:space="preserve"> </w:t>
      </w:r>
      <w:r>
        <w:t>phase,</w:t>
      </w:r>
      <w:r w:rsidRPr="00DE3B9E">
        <w:t xml:space="preserve"> which </w:t>
      </w:r>
      <w:r>
        <w:t>is</w:t>
      </w:r>
      <w:r w:rsidRPr="00DE3B9E">
        <w:t xml:space="preserve"> the </w:t>
      </w:r>
      <w:r>
        <w:t>phase</w:t>
      </w:r>
      <w:r w:rsidRPr="00DE3B9E">
        <w:t xml:space="preserve"> of </w:t>
      </w:r>
      <w:r>
        <w:t xml:space="preserve">business </w:t>
      </w:r>
      <w:r w:rsidRPr="00DE3B9E">
        <w:t xml:space="preserve">development and expansion when the </w:t>
      </w:r>
      <w:r>
        <w:t>risk level is normal</w:t>
      </w:r>
      <w:r w:rsidRPr="00DE3B9E">
        <w:t xml:space="preserve"> and </w:t>
      </w:r>
      <w:r>
        <w:t xml:space="preserve">there is a functional need for capital </w:t>
      </w:r>
      <w:r w:rsidRPr="00DE3B9E">
        <w:t xml:space="preserve">to support the growth of business </w:t>
      </w:r>
      <w:r>
        <w:t xml:space="preserve">plans </w:t>
      </w:r>
      <w:r w:rsidRPr="00DE3B9E">
        <w:t>which have already been launched and consolidated</w:t>
      </w:r>
      <w:r>
        <w:t>. This phase</w:t>
      </w:r>
      <w:r w:rsidRPr="00DE3B9E">
        <w:t xml:space="preserve"> can be further subdivided into the </w:t>
      </w:r>
      <w:r w:rsidRPr="00047F6C">
        <w:rPr>
          <w:i/>
        </w:rPr>
        <w:t>early growth</w:t>
      </w:r>
      <w:r w:rsidRPr="00DE3B9E">
        <w:t xml:space="preserve"> </w:t>
      </w:r>
      <w:r>
        <w:t>phase</w:t>
      </w:r>
      <w:r w:rsidRPr="00DE3B9E">
        <w:t xml:space="preserve"> in which the company continues to require </w:t>
      </w:r>
      <w:r>
        <w:t>large</w:t>
      </w:r>
      <w:r w:rsidRPr="00DE3B9E">
        <w:t xml:space="preserve"> sums of capital to develop product distribution and increase production capacity, and the </w:t>
      </w:r>
      <w:r w:rsidRPr="00047F6C">
        <w:rPr>
          <w:i/>
        </w:rPr>
        <w:t>sustained growth</w:t>
      </w:r>
      <w:r w:rsidRPr="00DE3B9E">
        <w:t xml:space="preserve"> </w:t>
      </w:r>
      <w:r>
        <w:t xml:space="preserve">phase which is </w:t>
      </w:r>
      <w:r w:rsidRPr="00DE3B9E">
        <w:t>characterised by a gradual stabilisation of s</w:t>
      </w:r>
      <w:r>
        <w:t>ale</w:t>
      </w:r>
      <w:r w:rsidRPr="00DE3B9E">
        <w:t>s and increas</w:t>
      </w:r>
      <w:r>
        <w:t>ed possibility of self-</w:t>
      </w:r>
      <w:r w:rsidRPr="00DE3B9E">
        <w:t>financing which allow the company to</w:t>
      </w:r>
      <w:r>
        <w:t xml:space="preserve"> move into a period of maturity</w:t>
      </w:r>
      <w:r w:rsidRPr="00DE3B9E">
        <w:t xml:space="preserve">. </w:t>
      </w:r>
    </w:p>
    <w:p w:rsidR="00DC4E49" w:rsidRDefault="00DC4E49" w:rsidP="00DC4E49">
      <w:pPr>
        <w:pStyle w:val="Corpotesto"/>
        <w:autoSpaceDE w:val="0"/>
        <w:autoSpaceDN w:val="0"/>
        <w:adjustRightInd w:val="0"/>
        <w:contextualSpacing/>
        <w:jc w:val="both"/>
        <w:rPr>
          <w:rFonts w:asciiTheme="minorHAnsi" w:eastAsiaTheme="minorHAnsi" w:hAnsiTheme="minorHAnsi" w:cstheme="minorBidi"/>
          <w:b w:val="0"/>
          <w:bCs w:val="0"/>
          <w:sz w:val="22"/>
          <w:szCs w:val="22"/>
          <w:lang w:eastAsia="en-US"/>
        </w:rPr>
      </w:pPr>
      <w:proofErr w:type="gramStart"/>
      <w:r>
        <w:rPr>
          <w:rFonts w:asciiTheme="minorHAnsi" w:eastAsiaTheme="minorHAnsi" w:hAnsiTheme="minorHAnsi" w:cstheme="minorBidi"/>
          <w:b w:val="0"/>
          <w:bCs w:val="0"/>
          <w:sz w:val="22"/>
          <w:szCs w:val="22"/>
          <w:lang w:eastAsia="en-US"/>
        </w:rPr>
        <w:t>With regard to</w:t>
      </w:r>
      <w:proofErr w:type="gramEnd"/>
      <w:r>
        <w:rPr>
          <w:rFonts w:asciiTheme="minorHAnsi" w:eastAsiaTheme="minorHAnsi" w:hAnsiTheme="minorHAnsi" w:cstheme="minorBidi"/>
          <w:b w:val="0"/>
          <w:bCs w:val="0"/>
          <w:sz w:val="22"/>
          <w:szCs w:val="22"/>
          <w:lang w:eastAsia="en-US"/>
        </w:rPr>
        <w:t xml:space="preserve"> the </w:t>
      </w:r>
      <w:r w:rsidRPr="00DE3B9E">
        <w:rPr>
          <w:rFonts w:asciiTheme="minorHAnsi" w:eastAsiaTheme="minorHAnsi" w:hAnsiTheme="minorHAnsi" w:cstheme="minorBidi"/>
          <w:b w:val="0"/>
          <w:bCs w:val="0"/>
          <w:sz w:val="22"/>
          <w:szCs w:val="22"/>
          <w:lang w:eastAsia="en-US"/>
        </w:rPr>
        <w:t>finance sources which support the various phases</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peculiarities and areas of differentiation </w:t>
      </w:r>
      <w:r>
        <w:rPr>
          <w:rFonts w:asciiTheme="minorHAnsi" w:eastAsiaTheme="minorHAnsi" w:hAnsiTheme="minorHAnsi" w:cstheme="minorBidi"/>
          <w:b w:val="0"/>
          <w:bCs w:val="0"/>
          <w:sz w:val="22"/>
          <w:szCs w:val="22"/>
          <w:lang w:eastAsia="en-US"/>
        </w:rPr>
        <w:t>can</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 xml:space="preserve">be </w:t>
      </w:r>
      <w:r w:rsidRPr="00DE3B9E">
        <w:rPr>
          <w:rFonts w:asciiTheme="minorHAnsi" w:eastAsiaTheme="minorHAnsi" w:hAnsiTheme="minorHAnsi" w:cstheme="minorBidi"/>
          <w:b w:val="0"/>
          <w:bCs w:val="0"/>
          <w:sz w:val="22"/>
          <w:szCs w:val="22"/>
          <w:lang w:eastAsia="en-US"/>
        </w:rPr>
        <w:t>observe</w:t>
      </w:r>
      <w:r>
        <w:rPr>
          <w:rFonts w:asciiTheme="minorHAnsi" w:eastAsiaTheme="minorHAnsi" w:hAnsiTheme="minorHAnsi" w:cstheme="minorBidi"/>
          <w:b w:val="0"/>
          <w:bCs w:val="0"/>
          <w:sz w:val="22"/>
          <w:szCs w:val="22"/>
          <w:lang w:eastAsia="en-US"/>
        </w:rPr>
        <w:t>d</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i</w:t>
      </w:r>
      <w:r w:rsidRPr="00DE3B9E">
        <w:rPr>
          <w:rFonts w:asciiTheme="minorHAnsi" w:eastAsiaTheme="minorHAnsi" w:hAnsiTheme="minorHAnsi" w:cstheme="minorBidi"/>
          <w:b w:val="0"/>
          <w:bCs w:val="0"/>
          <w:sz w:val="22"/>
          <w:szCs w:val="22"/>
          <w:lang w:eastAsia="en-US"/>
        </w:rPr>
        <w:t xml:space="preserve">n innovative </w:t>
      </w:r>
      <w:r>
        <w:rPr>
          <w:rFonts w:asciiTheme="minorHAnsi" w:eastAsiaTheme="minorHAnsi" w:hAnsiTheme="minorHAnsi" w:cstheme="minorBidi"/>
          <w:b w:val="0"/>
          <w:bCs w:val="0"/>
          <w:sz w:val="22"/>
          <w:szCs w:val="22"/>
          <w:lang w:eastAsia="en-US"/>
        </w:rPr>
        <w:t>businesse</w:t>
      </w:r>
      <w:r w:rsidRPr="00DE3B9E">
        <w:rPr>
          <w:rFonts w:asciiTheme="minorHAnsi" w:eastAsiaTheme="minorHAnsi" w:hAnsiTheme="minorHAnsi" w:cstheme="minorBidi"/>
          <w:b w:val="0"/>
          <w:bCs w:val="0"/>
          <w:sz w:val="22"/>
          <w:szCs w:val="22"/>
          <w:lang w:eastAsia="en-US"/>
        </w:rPr>
        <w:t xml:space="preserve">s </w:t>
      </w:r>
      <w:r>
        <w:rPr>
          <w:rFonts w:asciiTheme="minorHAnsi" w:eastAsiaTheme="minorHAnsi" w:hAnsiTheme="minorHAnsi" w:cstheme="minorBidi"/>
          <w:b w:val="0"/>
          <w:bCs w:val="0"/>
          <w:sz w:val="22"/>
          <w:szCs w:val="22"/>
          <w:lang w:eastAsia="en-US"/>
        </w:rPr>
        <w:t>compared to other</w:t>
      </w:r>
      <w:r w:rsidRPr="00DE3B9E">
        <w:rPr>
          <w:rFonts w:asciiTheme="minorHAnsi" w:eastAsiaTheme="minorHAnsi" w:hAnsiTheme="minorHAnsi" w:cstheme="minorBidi"/>
          <w:b w:val="0"/>
          <w:bCs w:val="0"/>
          <w:sz w:val="22"/>
          <w:szCs w:val="22"/>
          <w:lang w:eastAsia="en-US"/>
        </w:rPr>
        <w:t xml:space="preserve"> types of </w:t>
      </w:r>
      <w:r>
        <w:rPr>
          <w:rFonts w:asciiTheme="minorHAnsi" w:eastAsiaTheme="minorHAnsi" w:hAnsiTheme="minorHAnsi" w:cstheme="minorBidi"/>
          <w:b w:val="0"/>
          <w:bCs w:val="0"/>
          <w:sz w:val="22"/>
          <w:szCs w:val="22"/>
          <w:lang w:eastAsia="en-US"/>
        </w:rPr>
        <w:t>businesse</w:t>
      </w:r>
      <w:r w:rsidRPr="00DE3B9E">
        <w:rPr>
          <w:rFonts w:asciiTheme="minorHAnsi" w:eastAsiaTheme="minorHAnsi" w:hAnsiTheme="minorHAnsi" w:cstheme="minorBidi"/>
          <w:b w:val="0"/>
          <w:bCs w:val="0"/>
          <w:sz w:val="22"/>
          <w:szCs w:val="22"/>
          <w:lang w:eastAsia="en-US"/>
        </w:rPr>
        <w:t>s</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Since the Modigliani-</w:t>
      </w:r>
      <w:r w:rsidRPr="00DE3B9E">
        <w:rPr>
          <w:rFonts w:asciiTheme="minorHAnsi" w:eastAsiaTheme="minorHAnsi" w:hAnsiTheme="minorHAnsi" w:cstheme="minorBidi"/>
          <w:b w:val="0"/>
          <w:bCs w:val="0"/>
          <w:sz w:val="22"/>
          <w:szCs w:val="22"/>
          <w:lang w:eastAsia="en-US"/>
        </w:rPr>
        <w:t xml:space="preserve">Miller </w:t>
      </w:r>
      <w:r>
        <w:rPr>
          <w:rFonts w:asciiTheme="minorHAnsi" w:eastAsiaTheme="minorHAnsi" w:hAnsiTheme="minorHAnsi" w:cstheme="minorBidi"/>
          <w:b w:val="0"/>
          <w:bCs w:val="0"/>
          <w:sz w:val="22"/>
          <w:szCs w:val="22"/>
          <w:lang w:eastAsia="en-US"/>
        </w:rPr>
        <w:lastRenderedPageBreak/>
        <w:t>theorem first appeared</w:t>
      </w:r>
      <w:r w:rsidRPr="00DE3B9E">
        <w:rPr>
          <w:rFonts w:asciiTheme="minorHAnsi" w:eastAsiaTheme="minorHAnsi" w:hAnsiTheme="minorHAnsi" w:cstheme="minorBidi"/>
          <w:b w:val="0"/>
          <w:bCs w:val="0"/>
          <w:sz w:val="22"/>
          <w:szCs w:val="22"/>
          <w:lang w:eastAsia="en-US"/>
        </w:rPr>
        <w:t xml:space="preserve"> in finance literature</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maintaining the total irrelevance of</w:t>
      </w:r>
      <w:r>
        <w:rPr>
          <w:rFonts w:asciiTheme="minorHAnsi" w:eastAsiaTheme="minorHAnsi" w:hAnsiTheme="minorHAnsi" w:cstheme="minorBidi"/>
          <w:b w:val="0"/>
          <w:bCs w:val="0"/>
          <w:sz w:val="22"/>
          <w:szCs w:val="22"/>
          <w:lang w:eastAsia="en-US"/>
        </w:rPr>
        <w:t xml:space="preserve"> the</w:t>
      </w:r>
      <w:r w:rsidRPr="00DE3B9E">
        <w:rPr>
          <w:rFonts w:asciiTheme="minorHAnsi" w:eastAsiaTheme="minorHAnsi" w:hAnsiTheme="minorHAnsi" w:cstheme="minorBidi"/>
          <w:b w:val="0"/>
          <w:bCs w:val="0"/>
          <w:sz w:val="22"/>
          <w:szCs w:val="22"/>
          <w:lang w:eastAsia="en-US"/>
        </w:rPr>
        <w:t xml:space="preserve"> financial structure </w:t>
      </w:r>
      <w:r>
        <w:rPr>
          <w:rFonts w:asciiTheme="minorHAnsi" w:eastAsiaTheme="minorHAnsi" w:hAnsiTheme="minorHAnsi" w:cstheme="minorBidi"/>
          <w:b w:val="0"/>
          <w:bCs w:val="0"/>
          <w:sz w:val="22"/>
          <w:szCs w:val="22"/>
          <w:lang w:eastAsia="en-US"/>
        </w:rPr>
        <w:t>in</w:t>
      </w:r>
      <w:r w:rsidRPr="00DE3B9E">
        <w:rPr>
          <w:rFonts w:asciiTheme="minorHAnsi" w:eastAsiaTheme="minorHAnsi" w:hAnsiTheme="minorHAnsi" w:cstheme="minorBidi"/>
          <w:b w:val="0"/>
          <w:bCs w:val="0"/>
          <w:sz w:val="22"/>
          <w:szCs w:val="22"/>
          <w:lang w:eastAsia="en-US"/>
        </w:rPr>
        <w:t xml:space="preserve"> real decisions, the position of economists, </w:t>
      </w:r>
      <w:r>
        <w:rPr>
          <w:rFonts w:asciiTheme="minorHAnsi" w:eastAsiaTheme="minorHAnsi" w:hAnsiTheme="minorHAnsi" w:cstheme="minorBidi"/>
          <w:b w:val="0"/>
          <w:bCs w:val="0"/>
          <w:sz w:val="22"/>
          <w:szCs w:val="22"/>
          <w:lang w:eastAsia="en-US"/>
        </w:rPr>
        <w:t>as</w:t>
      </w:r>
      <w:r w:rsidRPr="00DE3B9E">
        <w:rPr>
          <w:rFonts w:asciiTheme="minorHAnsi" w:eastAsiaTheme="minorHAnsi" w:hAnsiTheme="minorHAnsi" w:cstheme="minorBidi"/>
          <w:b w:val="0"/>
          <w:bCs w:val="0"/>
          <w:sz w:val="22"/>
          <w:szCs w:val="22"/>
          <w:lang w:eastAsia="en-US"/>
        </w:rPr>
        <w:t xml:space="preserve"> is </w:t>
      </w:r>
      <w:r>
        <w:rPr>
          <w:rFonts w:asciiTheme="minorHAnsi" w:eastAsiaTheme="minorHAnsi" w:hAnsiTheme="minorHAnsi" w:cstheme="minorBidi"/>
          <w:b w:val="0"/>
          <w:bCs w:val="0"/>
          <w:sz w:val="22"/>
          <w:szCs w:val="22"/>
          <w:lang w:eastAsia="en-US"/>
        </w:rPr>
        <w:t>well known,</w:t>
      </w:r>
      <w:r w:rsidRPr="00DE3B9E">
        <w:rPr>
          <w:rFonts w:asciiTheme="minorHAnsi" w:eastAsiaTheme="minorHAnsi" w:hAnsiTheme="minorHAnsi" w:cstheme="minorBidi"/>
          <w:b w:val="0"/>
          <w:bCs w:val="0"/>
          <w:sz w:val="22"/>
          <w:szCs w:val="22"/>
          <w:lang w:eastAsia="en-US"/>
        </w:rPr>
        <w:t xml:space="preserve"> has progressively changed</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T</w:t>
      </w:r>
      <w:r w:rsidRPr="00DE3B9E">
        <w:rPr>
          <w:rFonts w:asciiTheme="minorHAnsi" w:eastAsiaTheme="minorHAnsi" w:hAnsiTheme="minorHAnsi" w:cstheme="minorBidi"/>
          <w:b w:val="0"/>
          <w:bCs w:val="0"/>
          <w:sz w:val="22"/>
          <w:szCs w:val="22"/>
          <w:lang w:eastAsia="en-US"/>
        </w:rPr>
        <w:t>he advent of the information economy and incentives has in fact shown h</w:t>
      </w:r>
      <w:r>
        <w:rPr>
          <w:rFonts w:asciiTheme="minorHAnsi" w:eastAsiaTheme="minorHAnsi" w:hAnsiTheme="minorHAnsi" w:cstheme="minorBidi"/>
          <w:b w:val="0"/>
          <w:bCs w:val="0"/>
          <w:sz w:val="22"/>
          <w:szCs w:val="22"/>
          <w:lang w:eastAsia="en-US"/>
        </w:rPr>
        <w:t xml:space="preserve">ow, </w:t>
      </w:r>
      <w:r w:rsidRPr="00DE3B9E">
        <w:rPr>
          <w:rFonts w:asciiTheme="minorHAnsi" w:eastAsiaTheme="minorHAnsi" w:hAnsiTheme="minorHAnsi" w:cstheme="minorBidi"/>
          <w:b w:val="0"/>
          <w:bCs w:val="0"/>
          <w:sz w:val="22"/>
          <w:szCs w:val="22"/>
          <w:lang w:eastAsia="en-US"/>
        </w:rPr>
        <w:t>in removing the underlying</w:t>
      </w:r>
      <w:r>
        <w:rPr>
          <w:rFonts w:asciiTheme="minorHAnsi" w:eastAsiaTheme="minorHAnsi" w:hAnsiTheme="minorHAnsi" w:cstheme="minorBidi"/>
          <w:b w:val="0"/>
          <w:bCs w:val="0"/>
          <w:sz w:val="22"/>
          <w:szCs w:val="22"/>
          <w:lang w:eastAsia="en-US"/>
        </w:rPr>
        <w:t xml:space="preserve"> hypothesis </w:t>
      </w:r>
      <w:r w:rsidRPr="00DE3B9E">
        <w:rPr>
          <w:rFonts w:asciiTheme="minorHAnsi" w:eastAsiaTheme="minorHAnsi" w:hAnsiTheme="minorHAnsi" w:cstheme="minorBidi"/>
          <w:b w:val="0"/>
          <w:bCs w:val="0"/>
          <w:sz w:val="22"/>
          <w:szCs w:val="22"/>
          <w:lang w:eastAsia="en-US"/>
        </w:rPr>
        <w:t xml:space="preserve">of perfect </w:t>
      </w:r>
      <w:r>
        <w:rPr>
          <w:rFonts w:asciiTheme="minorHAnsi" w:eastAsiaTheme="minorHAnsi" w:hAnsiTheme="minorHAnsi" w:cstheme="minorBidi"/>
          <w:b w:val="0"/>
          <w:bCs w:val="0"/>
          <w:sz w:val="22"/>
          <w:szCs w:val="22"/>
          <w:lang w:eastAsia="en-US"/>
        </w:rPr>
        <w:t xml:space="preserve">capital </w:t>
      </w:r>
      <w:r w:rsidRPr="00DE3B9E">
        <w:rPr>
          <w:rFonts w:asciiTheme="minorHAnsi" w:eastAsiaTheme="minorHAnsi" w:hAnsiTheme="minorHAnsi" w:cstheme="minorBidi"/>
          <w:b w:val="0"/>
          <w:bCs w:val="0"/>
          <w:sz w:val="22"/>
          <w:szCs w:val="22"/>
          <w:lang w:eastAsia="en-US"/>
        </w:rPr>
        <w:t>market</w:t>
      </w:r>
      <w:r>
        <w:rPr>
          <w:rFonts w:asciiTheme="minorHAnsi" w:eastAsiaTheme="minorHAnsi" w:hAnsiTheme="minorHAnsi" w:cstheme="minorBidi"/>
          <w:b w:val="0"/>
          <w:bCs w:val="0"/>
          <w:sz w:val="22"/>
          <w:szCs w:val="22"/>
          <w:lang w:eastAsia="en-US"/>
        </w:rPr>
        <w:t>s,</w:t>
      </w:r>
      <w:r w:rsidRPr="00DE3B9E">
        <w:rPr>
          <w:rFonts w:asciiTheme="minorHAnsi" w:eastAsiaTheme="minorHAnsi" w:hAnsiTheme="minorHAnsi" w:cstheme="minorBidi"/>
          <w:b w:val="0"/>
          <w:bCs w:val="0"/>
          <w:sz w:val="22"/>
          <w:szCs w:val="22"/>
          <w:lang w:eastAsia="en-US"/>
        </w:rPr>
        <w:t xml:space="preserve"> the </w:t>
      </w:r>
      <w:r>
        <w:rPr>
          <w:rFonts w:asciiTheme="minorHAnsi" w:eastAsiaTheme="minorHAnsi" w:hAnsiTheme="minorHAnsi" w:cstheme="minorBidi"/>
          <w:b w:val="0"/>
          <w:bCs w:val="0"/>
          <w:sz w:val="22"/>
          <w:szCs w:val="22"/>
          <w:lang w:eastAsia="en-US"/>
        </w:rPr>
        <w:t>choice on types of financing (</w:t>
      </w:r>
      <w:r w:rsidRPr="00DE3B9E">
        <w:rPr>
          <w:rFonts w:asciiTheme="minorHAnsi" w:eastAsiaTheme="minorHAnsi" w:hAnsiTheme="minorHAnsi" w:cstheme="minorBidi"/>
          <w:b w:val="0"/>
          <w:bCs w:val="0"/>
          <w:sz w:val="22"/>
          <w:szCs w:val="22"/>
          <w:lang w:eastAsia="en-US"/>
        </w:rPr>
        <w:t>internal sources</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bank debt, issue of bonds and shares</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instead becomes relevant for decisions on production and investment and has opened the way to numerous contributions </w:t>
      </w:r>
      <w:r>
        <w:rPr>
          <w:rFonts w:asciiTheme="minorHAnsi" w:eastAsiaTheme="minorHAnsi" w:hAnsiTheme="minorHAnsi" w:cstheme="minorBidi"/>
          <w:b w:val="0"/>
          <w:bCs w:val="0"/>
          <w:sz w:val="22"/>
          <w:szCs w:val="22"/>
          <w:lang w:eastAsia="en-US"/>
        </w:rPr>
        <w:t>aimed at arguing for substituting non-perfect capital markets</w:t>
      </w:r>
      <w:r w:rsidRPr="00DE3B9E">
        <w:rPr>
          <w:rFonts w:asciiTheme="minorHAnsi" w:eastAsiaTheme="minorHAnsi" w:hAnsiTheme="minorHAnsi" w:cstheme="minorBidi"/>
          <w:b w:val="0"/>
          <w:bCs w:val="0"/>
          <w:sz w:val="22"/>
          <w:szCs w:val="22"/>
          <w:lang w:eastAsia="en-US"/>
        </w:rPr>
        <w:t>.</w:t>
      </w:r>
    </w:p>
    <w:p w:rsidR="00DC4E49" w:rsidRDefault="00DC4E49" w:rsidP="00DC4E49">
      <w:pPr>
        <w:pStyle w:val="Corpotesto"/>
        <w:autoSpaceDE w:val="0"/>
        <w:autoSpaceDN w:val="0"/>
        <w:adjustRightInd w:val="0"/>
        <w:contextualSpacing/>
        <w:jc w:val="both"/>
        <w:rPr>
          <w:rFonts w:asciiTheme="minorHAnsi" w:eastAsiaTheme="minorHAnsi" w:hAnsiTheme="minorHAnsi" w:cstheme="minorBidi"/>
          <w:b w:val="0"/>
          <w:bCs w:val="0"/>
          <w:sz w:val="22"/>
          <w:szCs w:val="22"/>
          <w:lang w:eastAsia="en-US"/>
        </w:rPr>
      </w:pPr>
      <w:r w:rsidRPr="00DE3B9E">
        <w:rPr>
          <w:rFonts w:asciiTheme="minorHAnsi" w:eastAsiaTheme="minorHAnsi" w:hAnsiTheme="minorHAnsi" w:cstheme="minorBidi"/>
          <w:b w:val="0"/>
          <w:bCs w:val="0"/>
          <w:sz w:val="22"/>
          <w:szCs w:val="22"/>
          <w:lang w:eastAsia="en-US"/>
        </w:rPr>
        <w:t>A large part of this literature</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from the pioneering contributions of Myers and </w:t>
      </w:r>
      <w:proofErr w:type="spellStart"/>
      <w:r>
        <w:rPr>
          <w:rFonts w:asciiTheme="minorHAnsi" w:eastAsiaTheme="minorHAnsi" w:hAnsiTheme="minorHAnsi" w:cstheme="minorBidi"/>
          <w:b w:val="0"/>
          <w:bCs w:val="0"/>
          <w:sz w:val="22"/>
          <w:szCs w:val="22"/>
          <w:lang w:eastAsia="en-US"/>
        </w:rPr>
        <w:t>M</w:t>
      </w:r>
      <w:r w:rsidRPr="00DE3B9E">
        <w:rPr>
          <w:rFonts w:asciiTheme="minorHAnsi" w:eastAsiaTheme="minorHAnsi" w:hAnsiTheme="minorHAnsi" w:cstheme="minorBidi"/>
          <w:b w:val="0"/>
          <w:bCs w:val="0"/>
          <w:sz w:val="22"/>
          <w:szCs w:val="22"/>
          <w:lang w:eastAsia="en-US"/>
        </w:rPr>
        <w:t>ajl</w:t>
      </w:r>
      <w:r>
        <w:rPr>
          <w:rFonts w:asciiTheme="minorHAnsi" w:eastAsiaTheme="minorHAnsi" w:hAnsiTheme="minorHAnsi" w:cstheme="minorBidi"/>
          <w:b w:val="0"/>
          <w:bCs w:val="0"/>
          <w:sz w:val="22"/>
          <w:szCs w:val="22"/>
          <w:lang w:eastAsia="en-US"/>
        </w:rPr>
        <w:t>uf</w:t>
      </w:r>
      <w:proofErr w:type="spellEnd"/>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1984</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and </w:t>
      </w:r>
      <w:proofErr w:type="spellStart"/>
      <w:r>
        <w:rPr>
          <w:rFonts w:asciiTheme="minorHAnsi" w:eastAsiaTheme="minorHAnsi" w:hAnsiTheme="minorHAnsi" w:cstheme="minorBidi"/>
          <w:b w:val="0"/>
          <w:bCs w:val="0"/>
          <w:sz w:val="22"/>
          <w:szCs w:val="22"/>
          <w:lang w:eastAsia="en-US"/>
        </w:rPr>
        <w:t>Fazzari</w:t>
      </w:r>
      <w:proofErr w:type="spellEnd"/>
      <w:r>
        <w:rPr>
          <w:rFonts w:asciiTheme="minorHAnsi" w:eastAsiaTheme="minorHAnsi" w:hAnsiTheme="minorHAnsi" w:cstheme="minorBidi"/>
          <w:b w:val="0"/>
          <w:bCs w:val="0"/>
          <w:sz w:val="22"/>
          <w:szCs w:val="22"/>
          <w:lang w:eastAsia="en-US"/>
        </w:rPr>
        <w:t xml:space="preserve">, </w:t>
      </w:r>
      <w:r w:rsidRPr="00DE3B9E">
        <w:rPr>
          <w:rFonts w:asciiTheme="minorHAnsi" w:eastAsiaTheme="minorHAnsi" w:hAnsiTheme="minorHAnsi" w:cstheme="minorBidi"/>
          <w:b w:val="0"/>
          <w:bCs w:val="0"/>
          <w:sz w:val="22"/>
          <w:szCs w:val="22"/>
          <w:lang w:eastAsia="en-US"/>
        </w:rPr>
        <w:t>Hubbard and Peters</w:t>
      </w:r>
      <w:r>
        <w:rPr>
          <w:rFonts w:asciiTheme="minorHAnsi" w:eastAsiaTheme="minorHAnsi" w:hAnsiTheme="minorHAnsi" w:cstheme="minorBidi"/>
          <w:b w:val="0"/>
          <w:bCs w:val="0"/>
          <w:sz w:val="22"/>
          <w:szCs w:val="22"/>
          <w:lang w:eastAsia="en-US"/>
        </w:rPr>
        <w:t>e</w:t>
      </w:r>
      <w:r w:rsidRPr="00DE3B9E">
        <w:rPr>
          <w:rFonts w:asciiTheme="minorHAnsi" w:eastAsiaTheme="minorHAnsi" w:hAnsiTheme="minorHAnsi" w:cstheme="minorBidi"/>
          <w:b w:val="0"/>
          <w:bCs w:val="0"/>
          <w:sz w:val="22"/>
          <w:szCs w:val="22"/>
          <w:lang w:eastAsia="en-US"/>
        </w:rPr>
        <w:t xml:space="preserve">n </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1988</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has shown the presence of a genuine financial hierarchy </w:t>
      </w:r>
      <w:r>
        <w:rPr>
          <w:rFonts w:asciiTheme="minorHAnsi" w:eastAsiaTheme="minorHAnsi" w:hAnsiTheme="minorHAnsi" w:cstheme="minorBidi"/>
          <w:b w:val="0"/>
          <w:bCs w:val="0"/>
          <w:sz w:val="22"/>
          <w:szCs w:val="22"/>
          <w:lang w:eastAsia="en-US"/>
        </w:rPr>
        <w:t>in</w:t>
      </w:r>
      <w:r w:rsidRPr="00DE3B9E">
        <w:rPr>
          <w:rFonts w:asciiTheme="minorHAnsi" w:eastAsiaTheme="minorHAnsi" w:hAnsiTheme="minorHAnsi" w:cstheme="minorBidi"/>
          <w:b w:val="0"/>
          <w:bCs w:val="0"/>
          <w:sz w:val="22"/>
          <w:szCs w:val="22"/>
          <w:lang w:eastAsia="en-US"/>
        </w:rPr>
        <w:t xml:space="preserve"> business </w:t>
      </w:r>
      <w:r>
        <w:rPr>
          <w:rFonts w:asciiTheme="minorHAnsi" w:eastAsiaTheme="minorHAnsi" w:hAnsiTheme="minorHAnsi" w:cstheme="minorBidi"/>
          <w:b w:val="0"/>
          <w:bCs w:val="0"/>
          <w:sz w:val="22"/>
          <w:szCs w:val="22"/>
          <w:lang w:eastAsia="en-US"/>
        </w:rPr>
        <w:t>financing instruments,</w:t>
      </w:r>
      <w:r w:rsidRPr="00DE3B9E">
        <w:rPr>
          <w:rFonts w:asciiTheme="minorHAnsi" w:eastAsiaTheme="minorHAnsi" w:hAnsiTheme="minorHAnsi" w:cstheme="minorBidi"/>
          <w:b w:val="0"/>
          <w:bCs w:val="0"/>
          <w:sz w:val="22"/>
          <w:szCs w:val="22"/>
          <w:lang w:eastAsia="en-US"/>
        </w:rPr>
        <w:t xml:space="preserve"> the so-called </w:t>
      </w:r>
      <w:r w:rsidRPr="00A7658E">
        <w:rPr>
          <w:rFonts w:asciiTheme="minorHAnsi" w:eastAsiaTheme="minorHAnsi" w:hAnsiTheme="minorHAnsi" w:cstheme="minorBidi"/>
          <w:b w:val="0"/>
          <w:bCs w:val="0"/>
          <w:i/>
          <w:sz w:val="22"/>
          <w:szCs w:val="22"/>
          <w:lang w:eastAsia="en-US"/>
        </w:rPr>
        <w:t>Pecking Order Theory</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th</w:t>
      </w:r>
      <w:r>
        <w:rPr>
          <w:rFonts w:asciiTheme="minorHAnsi" w:eastAsiaTheme="minorHAnsi" w:hAnsiTheme="minorHAnsi" w:cstheme="minorBidi"/>
          <w:b w:val="0"/>
          <w:bCs w:val="0"/>
          <w:sz w:val="22"/>
          <w:szCs w:val="22"/>
          <w:lang w:eastAsia="en-US"/>
        </w:rPr>
        <w:t>e first choice is self-</w:t>
      </w:r>
      <w:r w:rsidRPr="00DE3B9E">
        <w:rPr>
          <w:rFonts w:asciiTheme="minorHAnsi" w:eastAsiaTheme="minorHAnsi" w:hAnsiTheme="minorHAnsi" w:cstheme="minorBidi"/>
          <w:b w:val="0"/>
          <w:bCs w:val="0"/>
          <w:sz w:val="22"/>
          <w:szCs w:val="22"/>
          <w:lang w:eastAsia="en-US"/>
        </w:rPr>
        <w:t>financing</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understood in its</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widest</w:t>
      </w:r>
      <w:r w:rsidRPr="00DE3B9E">
        <w:rPr>
          <w:rFonts w:asciiTheme="minorHAnsi" w:eastAsiaTheme="minorHAnsi" w:hAnsiTheme="minorHAnsi" w:cstheme="minorBidi"/>
          <w:b w:val="0"/>
          <w:bCs w:val="0"/>
          <w:sz w:val="22"/>
          <w:szCs w:val="22"/>
          <w:lang w:eastAsia="en-US"/>
        </w:rPr>
        <w:t xml:space="preserve"> sense</w:t>
      </w:r>
      <w:r>
        <w:rPr>
          <w:rFonts w:asciiTheme="minorHAnsi" w:eastAsiaTheme="minorHAnsi" w:hAnsiTheme="minorHAnsi" w:cstheme="minorBidi"/>
          <w:b w:val="0"/>
          <w:bCs w:val="0"/>
          <w:sz w:val="22"/>
          <w:szCs w:val="22"/>
          <w:lang w:eastAsia="en-US"/>
        </w:rPr>
        <w:t xml:space="preserve"> and including p</w:t>
      </w:r>
      <w:r w:rsidRPr="00DE3B9E">
        <w:rPr>
          <w:rFonts w:asciiTheme="minorHAnsi" w:eastAsiaTheme="minorHAnsi" w:hAnsiTheme="minorHAnsi" w:cstheme="minorBidi"/>
          <w:b w:val="0"/>
          <w:bCs w:val="0"/>
          <w:sz w:val="22"/>
          <w:szCs w:val="22"/>
          <w:lang w:eastAsia="en-US"/>
        </w:rPr>
        <w:t>ersonal resources</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which does not</w:t>
      </w:r>
      <w:r w:rsidRPr="00DE3B9E">
        <w:rPr>
          <w:rFonts w:asciiTheme="minorHAnsi" w:eastAsiaTheme="minorHAnsi" w:hAnsiTheme="minorHAnsi" w:cstheme="minorBidi"/>
          <w:b w:val="0"/>
          <w:bCs w:val="0"/>
          <w:sz w:val="22"/>
          <w:szCs w:val="22"/>
          <w:lang w:eastAsia="en-US"/>
        </w:rPr>
        <w:t xml:space="preserve"> entail sustaining agency costs during the </w:t>
      </w:r>
      <w:r w:rsidRPr="007627BA">
        <w:rPr>
          <w:rFonts w:asciiTheme="minorHAnsi" w:eastAsiaTheme="minorHAnsi" w:hAnsiTheme="minorHAnsi" w:cstheme="minorBidi"/>
          <w:b w:val="0"/>
          <w:bCs w:val="0"/>
          <w:i/>
          <w:sz w:val="22"/>
          <w:szCs w:val="22"/>
          <w:lang w:eastAsia="en-US"/>
        </w:rPr>
        <w:t>screening</w:t>
      </w:r>
      <w:r w:rsidRPr="00DE3B9E">
        <w:rPr>
          <w:rFonts w:asciiTheme="minorHAnsi" w:eastAsiaTheme="minorHAnsi" w:hAnsiTheme="minorHAnsi" w:cstheme="minorBidi"/>
          <w:b w:val="0"/>
          <w:bCs w:val="0"/>
          <w:sz w:val="22"/>
          <w:szCs w:val="22"/>
          <w:lang w:eastAsia="en-US"/>
        </w:rPr>
        <w:t xml:space="preserve"> and </w:t>
      </w:r>
      <w:r w:rsidRPr="007627BA">
        <w:rPr>
          <w:rFonts w:asciiTheme="minorHAnsi" w:eastAsiaTheme="minorHAnsi" w:hAnsiTheme="minorHAnsi" w:cstheme="minorBidi"/>
          <w:b w:val="0"/>
          <w:bCs w:val="0"/>
          <w:i/>
          <w:sz w:val="22"/>
          <w:szCs w:val="22"/>
          <w:lang w:eastAsia="en-US"/>
        </w:rPr>
        <w:t>monitoring</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phases</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due to</w:t>
      </w:r>
      <w:r w:rsidRPr="00DE3B9E">
        <w:rPr>
          <w:rFonts w:asciiTheme="minorHAnsi" w:eastAsiaTheme="minorHAnsi" w:hAnsiTheme="minorHAnsi" w:cstheme="minorBidi"/>
          <w:b w:val="0"/>
          <w:bCs w:val="0"/>
          <w:sz w:val="22"/>
          <w:szCs w:val="22"/>
          <w:lang w:eastAsia="en-US"/>
        </w:rPr>
        <w:t xml:space="preserve"> asymmetric information between the entrepreneur and the financier</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 xml:space="preserve">this is </w:t>
      </w:r>
      <w:r w:rsidRPr="00DE3B9E">
        <w:rPr>
          <w:rFonts w:asciiTheme="minorHAnsi" w:eastAsiaTheme="minorHAnsi" w:hAnsiTheme="minorHAnsi" w:cstheme="minorBidi"/>
          <w:b w:val="0"/>
          <w:bCs w:val="0"/>
          <w:sz w:val="22"/>
          <w:szCs w:val="22"/>
          <w:lang w:eastAsia="en-US"/>
        </w:rPr>
        <w:t>followed by bank debt</w:t>
      </w:r>
      <w:r>
        <w:rPr>
          <w:rFonts w:asciiTheme="minorHAnsi" w:eastAsiaTheme="minorHAnsi" w:hAnsiTheme="minorHAnsi" w:cstheme="minorBidi"/>
          <w:b w:val="0"/>
          <w:bCs w:val="0"/>
          <w:sz w:val="22"/>
          <w:szCs w:val="22"/>
          <w:lang w:eastAsia="en-US"/>
        </w:rPr>
        <w:t xml:space="preserve">, initiated during the first phases – as soon as </w:t>
      </w:r>
      <w:r w:rsidRPr="00DE3B9E">
        <w:rPr>
          <w:rFonts w:asciiTheme="minorHAnsi" w:eastAsiaTheme="minorHAnsi" w:hAnsiTheme="minorHAnsi" w:cstheme="minorBidi"/>
          <w:b w:val="0"/>
          <w:bCs w:val="0"/>
          <w:sz w:val="22"/>
          <w:szCs w:val="22"/>
          <w:lang w:eastAsia="en-US"/>
        </w:rPr>
        <w:t>information</w:t>
      </w:r>
      <w:r>
        <w:rPr>
          <w:rFonts w:asciiTheme="minorHAnsi" w:eastAsiaTheme="minorHAnsi" w:hAnsiTheme="minorHAnsi" w:cstheme="minorBidi"/>
          <w:b w:val="0"/>
          <w:bCs w:val="0"/>
          <w:sz w:val="22"/>
          <w:szCs w:val="22"/>
          <w:lang w:eastAsia="en-US"/>
        </w:rPr>
        <w:t>, at least</w:t>
      </w:r>
      <w:r w:rsidRPr="00DE3B9E">
        <w:rPr>
          <w:rFonts w:asciiTheme="minorHAnsi" w:eastAsiaTheme="minorHAnsi" w:hAnsiTheme="minorHAnsi" w:cstheme="minorBidi"/>
          <w:b w:val="0"/>
          <w:bCs w:val="0"/>
          <w:sz w:val="22"/>
          <w:szCs w:val="22"/>
          <w:lang w:eastAsia="en-US"/>
        </w:rPr>
        <w:t xml:space="preserve"> hard information</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is available </w:t>
      </w:r>
      <w:r>
        <w:rPr>
          <w:rFonts w:asciiTheme="minorHAnsi" w:eastAsiaTheme="minorHAnsi" w:hAnsiTheme="minorHAnsi" w:cstheme="minorBidi"/>
          <w:b w:val="0"/>
          <w:bCs w:val="0"/>
          <w:sz w:val="22"/>
          <w:szCs w:val="22"/>
          <w:lang w:eastAsia="en-US"/>
        </w:rPr>
        <w:t>– through loan accounts</w:t>
      </w:r>
      <w:r w:rsidRPr="00DE3B9E">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t>with</w:t>
      </w:r>
      <w:r w:rsidRPr="00DE3B9E">
        <w:rPr>
          <w:rFonts w:asciiTheme="minorHAnsi" w:eastAsiaTheme="minorHAnsi" w:hAnsiTheme="minorHAnsi" w:cstheme="minorBidi"/>
          <w:b w:val="0"/>
          <w:bCs w:val="0"/>
          <w:sz w:val="22"/>
          <w:szCs w:val="22"/>
          <w:lang w:eastAsia="en-US"/>
        </w:rPr>
        <w:t xml:space="preserve"> conditional and/or guaranteed use</w:t>
      </w:r>
      <w:r>
        <w:rPr>
          <w:rFonts w:asciiTheme="minorHAnsi" w:eastAsiaTheme="minorHAnsi" w:hAnsiTheme="minorHAnsi" w:cstheme="minorBidi"/>
          <w:b w:val="0"/>
          <w:bCs w:val="0"/>
          <w:sz w:val="22"/>
          <w:szCs w:val="22"/>
          <w:lang w:eastAsia="en-US"/>
        </w:rPr>
        <w:t>;</w:t>
      </w:r>
      <w:r w:rsidRPr="00DE3B9E">
        <w:rPr>
          <w:rFonts w:asciiTheme="minorHAnsi" w:eastAsiaTheme="minorHAnsi" w:hAnsiTheme="minorHAnsi" w:cstheme="minorBidi"/>
          <w:b w:val="0"/>
          <w:bCs w:val="0"/>
          <w:sz w:val="22"/>
          <w:szCs w:val="22"/>
          <w:lang w:eastAsia="en-US"/>
        </w:rPr>
        <w:t xml:space="preserve"> and then the direct issue of shares.</w:t>
      </w:r>
    </w:p>
    <w:p w:rsidR="00DC4E49" w:rsidRDefault="00DC4E49" w:rsidP="00DC4E49">
      <w:pPr>
        <w:contextualSpacing/>
        <w:jc w:val="both"/>
      </w:pPr>
      <w:r>
        <w:t xml:space="preserve">The </w:t>
      </w:r>
      <w:proofErr w:type="gramStart"/>
      <w:r>
        <w:t>aforementioned</w:t>
      </w:r>
      <w:r w:rsidRPr="00C26054">
        <w:t xml:space="preserve"> traditional</w:t>
      </w:r>
      <w:proofErr w:type="gramEnd"/>
      <w:r w:rsidRPr="00C26054">
        <w:t xml:space="preserve"> hierarchy of preferences</w:t>
      </w:r>
      <w:r>
        <w:t>,</w:t>
      </w:r>
      <w:r w:rsidRPr="00C26054">
        <w:t xml:space="preserve"> however</w:t>
      </w:r>
      <w:r>
        <w:t>,</w:t>
      </w:r>
      <w:r w:rsidRPr="00C26054">
        <w:t xml:space="preserve"> </w:t>
      </w:r>
      <w:r>
        <w:t>is</w:t>
      </w:r>
      <w:r w:rsidRPr="00C26054">
        <w:t xml:space="preserve"> subject to change and conditioning in light of a number of factors including the size</w:t>
      </w:r>
      <w:r>
        <w:t>,</w:t>
      </w:r>
      <w:r w:rsidRPr="00C26054">
        <w:t xml:space="preserve"> age and characteristics of the business</w:t>
      </w:r>
      <w:r>
        <w:t>.</w:t>
      </w:r>
      <w:r w:rsidRPr="00C26054">
        <w:t xml:space="preserve"> </w:t>
      </w:r>
      <w:r>
        <w:t>This is where</w:t>
      </w:r>
      <w:r w:rsidRPr="00C26054">
        <w:t xml:space="preserve"> the </w:t>
      </w:r>
      <w:r>
        <w:t>t</w:t>
      </w:r>
      <w:r w:rsidRPr="00C26054">
        <w:t xml:space="preserve">heory of the </w:t>
      </w:r>
      <w:r w:rsidRPr="00E8577F">
        <w:rPr>
          <w:i/>
        </w:rPr>
        <w:t>Financial Growth Cycle</w:t>
      </w:r>
      <w:r w:rsidRPr="00C26054">
        <w:t xml:space="preserve"> comes into play</w:t>
      </w:r>
      <w:r>
        <w:t xml:space="preserve"> which links</w:t>
      </w:r>
      <w:r w:rsidRPr="00C26054">
        <w:t xml:space="preserve"> the type of investor</w:t>
      </w:r>
      <w:r>
        <w:t>s</w:t>
      </w:r>
      <w:r w:rsidRPr="00C26054">
        <w:t xml:space="preserve"> and the </w:t>
      </w:r>
      <w:r>
        <w:t>methods</w:t>
      </w:r>
      <w:r w:rsidRPr="00C26054">
        <w:t xml:space="preserve"> of financing to </w:t>
      </w:r>
      <w:r>
        <w:t>these factor</w:t>
      </w:r>
      <w:r w:rsidRPr="00C26054">
        <w:t xml:space="preserve">s, theorising </w:t>
      </w:r>
      <w:r>
        <w:t xml:space="preserve">on </w:t>
      </w:r>
      <w:r w:rsidRPr="00C26054">
        <w:t xml:space="preserve">the existence of a causal link between the use of various financial instruments </w:t>
      </w:r>
      <w:r>
        <w:t>(</w:t>
      </w:r>
      <w:r w:rsidRPr="00C26054">
        <w:t>including finance contracts</w:t>
      </w:r>
      <w:r>
        <w:t>)</w:t>
      </w:r>
      <w:r w:rsidRPr="00C26054">
        <w:t xml:space="preserve"> and the intervention of </w:t>
      </w:r>
      <w:r>
        <w:t>various</w:t>
      </w:r>
      <w:r w:rsidRPr="00C26054">
        <w:t xml:space="preserve"> </w:t>
      </w:r>
      <w:r>
        <w:t xml:space="preserve">institutional </w:t>
      </w:r>
      <w:r w:rsidRPr="00C26054">
        <w:t>financial</w:t>
      </w:r>
      <w:r>
        <w:t xml:space="preserve">/investment intermediaries </w:t>
      </w:r>
      <w:r w:rsidRPr="00C26054">
        <w:t>in the financing of the business</w:t>
      </w:r>
      <w:r>
        <w:t>,</w:t>
      </w:r>
      <w:r w:rsidRPr="00C26054">
        <w:t xml:space="preserve"> on </w:t>
      </w:r>
      <w:r>
        <w:t xml:space="preserve">the </w:t>
      </w:r>
      <w:r w:rsidRPr="00C26054">
        <w:t xml:space="preserve">one </w:t>
      </w:r>
      <w:r>
        <w:t xml:space="preserve">hand, and, </w:t>
      </w:r>
      <w:r w:rsidRPr="00C26054">
        <w:t>on the other</w:t>
      </w:r>
      <w:r>
        <w:t xml:space="preserve"> hand,</w:t>
      </w:r>
      <w:r w:rsidRPr="00C26054">
        <w:t xml:space="preserve"> the observation of its financial requirements through the various phases of the life-cycle </w:t>
      </w:r>
      <w:r>
        <w:t>which define</w:t>
      </w:r>
      <w:r w:rsidRPr="00C26054">
        <w:t xml:space="preserve"> its development</w:t>
      </w:r>
      <w:r>
        <w:t>.</w:t>
      </w:r>
    </w:p>
    <w:p w:rsidR="00DC4E49" w:rsidRPr="00C26054" w:rsidRDefault="00DC4E49" w:rsidP="00DC4E49">
      <w:pPr>
        <w:contextualSpacing/>
        <w:jc w:val="both"/>
      </w:pPr>
      <w:r w:rsidRPr="00C26054">
        <w:t xml:space="preserve">In the case of businesses in the study </w:t>
      </w:r>
      <w:r>
        <w:t>and launch phases,</w:t>
      </w:r>
      <w:r w:rsidRPr="00C26054">
        <w:t xml:space="preserve"> recourse to internal sou</w:t>
      </w:r>
      <w:r>
        <w:t xml:space="preserve">rces, and </w:t>
      </w:r>
      <w:proofErr w:type="gramStart"/>
      <w:r>
        <w:t>in particular self-</w:t>
      </w:r>
      <w:r w:rsidRPr="00C26054">
        <w:t>financing</w:t>
      </w:r>
      <w:proofErr w:type="gramEnd"/>
      <w:r>
        <w:t>,</w:t>
      </w:r>
      <w:r w:rsidRPr="00C26054">
        <w:t xml:space="preserve"> is </w:t>
      </w:r>
      <w:r>
        <w:t>unlikely</w:t>
      </w:r>
      <w:r w:rsidRPr="00C26054">
        <w:t xml:space="preserve"> </w:t>
      </w:r>
      <w:r>
        <w:t>as they are not able</w:t>
      </w:r>
      <w:r w:rsidRPr="00C26054">
        <w:t xml:space="preserve"> to generate sufficient cash flow</w:t>
      </w:r>
      <w:r>
        <w:t>,</w:t>
      </w:r>
      <w:r w:rsidRPr="00AB52E8">
        <w:t xml:space="preserve"> </w:t>
      </w:r>
      <w:r>
        <w:t xml:space="preserve">particularly in the first </w:t>
      </w:r>
      <w:r w:rsidRPr="00C26054">
        <w:t>phases of development. As far as access to external sources is concerned</w:t>
      </w:r>
      <w:r>
        <w:t>,</w:t>
      </w:r>
      <w:r w:rsidRPr="00C26054">
        <w:t xml:space="preserve"> </w:t>
      </w:r>
      <w:r>
        <w:t xml:space="preserve">one notes that </w:t>
      </w:r>
      <w:r w:rsidRPr="00C26054">
        <w:t>the investor</w:t>
      </w:r>
      <w:r>
        <w:t>s’-</w:t>
      </w:r>
      <w:r w:rsidRPr="00C26054">
        <w:t>financ</w:t>
      </w:r>
      <w:r>
        <w:t>i</w:t>
      </w:r>
      <w:r w:rsidRPr="00C26054">
        <w:t>e</w:t>
      </w:r>
      <w:r>
        <w:t>rs’</w:t>
      </w:r>
      <w:r w:rsidRPr="00C26054">
        <w:t xml:space="preserve"> </w:t>
      </w:r>
      <w:r>
        <w:t>assessment of the</w:t>
      </w:r>
      <w:r w:rsidRPr="00C26054">
        <w:t xml:space="preserve"> innovative project is characterised by a degree of uncertainty and information </w:t>
      </w:r>
      <w:r>
        <w:t>o</w:t>
      </w:r>
      <w:r w:rsidRPr="00C26054">
        <w:t>pacity</w:t>
      </w:r>
      <w:r w:rsidRPr="00C03B76">
        <w:t xml:space="preserve"> </w:t>
      </w:r>
      <w:r>
        <w:t>which is much higher than for</w:t>
      </w:r>
      <w:r w:rsidRPr="00C26054">
        <w:t xml:space="preserve"> companies operat</w:t>
      </w:r>
      <w:r>
        <w:t>ing</w:t>
      </w:r>
      <w:r w:rsidRPr="00C26054">
        <w:t xml:space="preserve"> in traditional sectors</w:t>
      </w:r>
      <w:r>
        <w:t xml:space="preserve"> because</w:t>
      </w:r>
      <w:r w:rsidRPr="00C26054">
        <w:t xml:space="preserve"> these are young co</w:t>
      </w:r>
      <w:r>
        <w:t>mpanies that do not have a track record (H</w:t>
      </w:r>
      <w:r w:rsidRPr="00C26054">
        <w:t>art</w:t>
      </w:r>
      <w:r>
        <w:t>, 2</w:t>
      </w:r>
      <w:r w:rsidRPr="00C26054">
        <w:t>001</w:t>
      </w:r>
      <w:r>
        <w:t>), which</w:t>
      </w:r>
      <w:r w:rsidRPr="00C26054">
        <w:t xml:space="preserve"> mak</w:t>
      </w:r>
      <w:r>
        <w:t>es</w:t>
      </w:r>
      <w:r w:rsidRPr="00C26054">
        <w:t xml:space="preserve"> </w:t>
      </w:r>
      <w:r>
        <w:t xml:space="preserve">the </w:t>
      </w:r>
      <w:r w:rsidRPr="00C26054">
        <w:t xml:space="preserve">screening </w:t>
      </w:r>
      <w:r>
        <w:t>process</w:t>
      </w:r>
      <w:r w:rsidRPr="00C26054">
        <w:t xml:space="preserve"> </w:t>
      </w:r>
      <w:r>
        <w:t>by</w:t>
      </w:r>
      <w:r w:rsidRPr="00C26054">
        <w:t xml:space="preserve"> outsider</w:t>
      </w:r>
      <w:r>
        <w:t>s</w:t>
      </w:r>
      <w:r w:rsidRPr="00C26054">
        <w:t xml:space="preserve"> particularly difficult and agency costs much higher than </w:t>
      </w:r>
      <w:r>
        <w:t xml:space="preserve">average </w:t>
      </w:r>
      <w:r w:rsidRPr="00C26054">
        <w:t>and</w:t>
      </w:r>
      <w:r>
        <w:t>,</w:t>
      </w:r>
      <w:r w:rsidRPr="00C26054">
        <w:t xml:space="preserve"> in certain cases</w:t>
      </w:r>
      <w:r>
        <w:t>,</w:t>
      </w:r>
      <w:r w:rsidRPr="00C26054">
        <w:t xml:space="preserve"> even unsustainable. Innovative companies are often not even </w:t>
      </w:r>
      <w:proofErr w:type="gramStart"/>
      <w:r w:rsidRPr="00C26054">
        <w:t>in a position</w:t>
      </w:r>
      <w:proofErr w:type="gramEnd"/>
      <w:r w:rsidRPr="00C26054">
        <w:t xml:space="preserve"> to be able to provide sufficient explicit guarantees</w:t>
      </w:r>
      <w:r>
        <w:t>,</w:t>
      </w:r>
      <w:r w:rsidRPr="00C26054">
        <w:t xml:space="preserve"> or real </w:t>
      </w:r>
      <w:r>
        <w:t>assets,</w:t>
      </w:r>
      <w:r w:rsidRPr="00C26054">
        <w:t xml:space="preserve"> to </w:t>
      </w:r>
      <w:r>
        <w:t>attenuate</w:t>
      </w:r>
      <w:r w:rsidRPr="00C26054">
        <w:t xml:space="preserve"> the </w:t>
      </w:r>
      <w:r>
        <w:t>creditor’s risk</w:t>
      </w:r>
      <w:r w:rsidRPr="00C26054">
        <w:t xml:space="preserve">. The </w:t>
      </w:r>
      <w:r>
        <w:t>intangibility of the capital invested –</w:t>
      </w:r>
      <w:r w:rsidRPr="00C26054">
        <w:t xml:space="preserve"> </w:t>
      </w:r>
      <w:r>
        <w:t xml:space="preserve">which is </w:t>
      </w:r>
      <w:r w:rsidRPr="00C26054">
        <w:t xml:space="preserve">in the form of </w:t>
      </w:r>
      <w:r>
        <w:t>highl</w:t>
      </w:r>
      <w:r w:rsidRPr="00C26054">
        <w:t xml:space="preserve">y </w:t>
      </w:r>
      <w:r w:rsidRPr="00C03B76">
        <w:rPr>
          <w:i/>
        </w:rPr>
        <w:t>firm specific</w:t>
      </w:r>
      <w:r w:rsidRPr="00C26054">
        <w:t xml:space="preserve"> assets such as patents</w:t>
      </w:r>
      <w:r>
        <w:t xml:space="preserve"> or</w:t>
      </w:r>
      <w:r w:rsidRPr="00C26054">
        <w:t xml:space="preserve"> copyright</w:t>
      </w:r>
      <w:r>
        <w:t>s</w:t>
      </w:r>
      <w:r w:rsidRPr="00C26054">
        <w:t xml:space="preserve"> and </w:t>
      </w:r>
      <w:r>
        <w:t xml:space="preserve">therefore </w:t>
      </w:r>
      <w:r w:rsidRPr="00AD28AD">
        <w:t xml:space="preserve">completely allied to the </w:t>
      </w:r>
      <w:r>
        <w:t xml:space="preserve">owner company - </w:t>
      </w:r>
      <w:r w:rsidRPr="00C26054">
        <w:t>c</w:t>
      </w:r>
      <w:r>
        <w:t>an be a huge limit to bank debt (</w:t>
      </w:r>
      <w:r w:rsidRPr="00C26054">
        <w:t>Gompers</w:t>
      </w:r>
      <w:r>
        <w:t>,</w:t>
      </w:r>
      <w:r w:rsidRPr="00C26054">
        <w:t xml:space="preserve"> 1995</w:t>
      </w:r>
      <w:r>
        <w:t>;</w:t>
      </w:r>
      <w:r w:rsidRPr="00C26054">
        <w:t xml:space="preserve"> Hall</w:t>
      </w:r>
      <w:r>
        <w:t>,</w:t>
      </w:r>
      <w:r w:rsidRPr="00C26054">
        <w:t xml:space="preserve"> 2002</w:t>
      </w:r>
      <w:r>
        <w:t xml:space="preserve">) </w:t>
      </w:r>
      <w:r w:rsidRPr="00C26054">
        <w:t xml:space="preserve">because it does not allow the </w:t>
      </w:r>
      <w:r>
        <w:t>business</w:t>
      </w:r>
      <w:r w:rsidRPr="00C26054">
        <w:t xml:space="preserve"> to provide sufficient </w:t>
      </w:r>
      <w:r w:rsidRPr="00BB79F6">
        <w:rPr>
          <w:i/>
        </w:rPr>
        <w:t>inside collateral</w:t>
      </w:r>
      <w:r w:rsidRPr="00C26054">
        <w:t xml:space="preserve"> </w:t>
      </w:r>
      <w:r>
        <w:t>which means</w:t>
      </w:r>
      <w:r w:rsidRPr="00C26054">
        <w:t xml:space="preserve"> that the</w:t>
      </w:r>
      <w:r>
        <w:t xml:space="preserve"> decision to</w:t>
      </w:r>
      <w:r w:rsidRPr="00C26054">
        <w:t xml:space="preserve"> invest and</w:t>
      </w:r>
      <w:r>
        <w:t xml:space="preserve"> the</w:t>
      </w:r>
      <w:r w:rsidRPr="00C26054">
        <w:t xml:space="preserve"> financial duties </w:t>
      </w:r>
      <w:r>
        <w:t>that derive from</w:t>
      </w:r>
      <w:r w:rsidRPr="00C26054">
        <w:t xml:space="preserve"> it are practically irreversible. </w:t>
      </w:r>
    </w:p>
    <w:p w:rsidR="00DC4E49" w:rsidRPr="00C26054" w:rsidRDefault="00DC4E49" w:rsidP="00DC4E49">
      <w:pPr>
        <w:contextualSpacing/>
        <w:jc w:val="both"/>
      </w:pPr>
      <w:r>
        <w:t>F</w:t>
      </w:r>
      <w:r w:rsidRPr="00C26054">
        <w:t>or these reasons</w:t>
      </w:r>
      <w:r>
        <w:t>,</w:t>
      </w:r>
      <w:r w:rsidRPr="00C26054">
        <w:t xml:space="preserve"> the innovative company generally turns to </w:t>
      </w:r>
      <w:r>
        <w:t>two</w:t>
      </w:r>
      <w:r w:rsidRPr="00C26054">
        <w:t xml:space="preserve"> forms of </w:t>
      </w:r>
      <w:r>
        <w:t>“</w:t>
      </w:r>
      <w:r w:rsidRPr="00C26054">
        <w:t>informal</w:t>
      </w:r>
      <w:r>
        <w:t>”</w:t>
      </w:r>
      <w:r w:rsidRPr="00C26054">
        <w:t xml:space="preserve"> financing</w:t>
      </w:r>
      <w:r w:rsidRPr="00BB79F6">
        <w:t xml:space="preserve"> </w:t>
      </w:r>
      <w:r>
        <w:t>during</w:t>
      </w:r>
      <w:r w:rsidRPr="00C26054">
        <w:t xml:space="preserve"> the first </w:t>
      </w:r>
      <w:r>
        <w:t>phase:</w:t>
      </w:r>
      <w:r w:rsidRPr="00C26054">
        <w:t xml:space="preserve"> </w:t>
      </w:r>
      <w:r w:rsidRPr="00BB79F6">
        <w:rPr>
          <w:i/>
        </w:rPr>
        <w:t>insider finance</w:t>
      </w:r>
      <w:r>
        <w:t>, i.e. using capital belonging to the</w:t>
      </w:r>
      <w:r w:rsidRPr="00C26054">
        <w:t xml:space="preserve"> innovat</w:t>
      </w:r>
      <w:r>
        <w:t>ive</w:t>
      </w:r>
      <w:r w:rsidRPr="00C26054">
        <w:t xml:space="preserve"> entrepreneur </w:t>
      </w:r>
      <w:r>
        <w:t>and/or</w:t>
      </w:r>
      <w:r w:rsidRPr="00C26054">
        <w:t xml:space="preserve"> his family</w:t>
      </w:r>
      <w:r>
        <w:t>;</w:t>
      </w:r>
      <w:r w:rsidRPr="00C26054">
        <w:t xml:space="preserve"> and </w:t>
      </w:r>
      <w:r w:rsidRPr="00BB79F6">
        <w:rPr>
          <w:i/>
        </w:rPr>
        <w:t>angel finance</w:t>
      </w:r>
      <w:r>
        <w:t>, i.e. direct conferral</w:t>
      </w:r>
      <w:r w:rsidRPr="00C26054">
        <w:t xml:space="preserve"> of </w:t>
      </w:r>
      <w:r>
        <w:t xml:space="preserve">risk </w:t>
      </w:r>
      <w:r w:rsidRPr="00C26054">
        <w:t xml:space="preserve">capital </w:t>
      </w:r>
      <w:r>
        <w:t xml:space="preserve">from </w:t>
      </w:r>
      <w:r w:rsidRPr="00C26054">
        <w:t>manager</w:t>
      </w:r>
      <w:r>
        <w:t>s,</w:t>
      </w:r>
      <w:r w:rsidRPr="00C26054">
        <w:t xml:space="preserve"> entrepreneur</w:t>
      </w:r>
      <w:r>
        <w:t>s</w:t>
      </w:r>
      <w:r w:rsidRPr="00C26054">
        <w:t xml:space="preserve"> or professionals who do not have a family relationship with the f</w:t>
      </w:r>
      <w:r>
        <w:t>ou</w:t>
      </w:r>
      <w:r w:rsidRPr="00C26054">
        <w:t xml:space="preserve">nder and </w:t>
      </w:r>
      <w:r>
        <w:t xml:space="preserve">focus </w:t>
      </w:r>
      <w:r w:rsidRPr="00C26054">
        <w:t xml:space="preserve">their attention on projects within their chosen sector </w:t>
      </w:r>
      <w:r>
        <w:t>so</w:t>
      </w:r>
      <w:r w:rsidRPr="00C26054">
        <w:t xml:space="preserve"> as to be able to </w:t>
      </w:r>
      <w:r>
        <w:t xml:space="preserve">help grow the business. Furthermore, with their capital, </w:t>
      </w:r>
      <w:r w:rsidRPr="00C26054">
        <w:t xml:space="preserve">managerial </w:t>
      </w:r>
      <w:r w:rsidRPr="005F05E0">
        <w:rPr>
          <w:i/>
        </w:rPr>
        <w:t>know how</w:t>
      </w:r>
      <w:r>
        <w:t xml:space="preserve">, </w:t>
      </w:r>
      <w:r w:rsidRPr="00C26054">
        <w:t>network of personal contacts and experience</w:t>
      </w:r>
      <w:r>
        <w:t>,</w:t>
      </w:r>
      <w:r w:rsidRPr="00C26054">
        <w:t xml:space="preserve"> they </w:t>
      </w:r>
      <w:r>
        <w:t xml:space="preserve">can understand the development </w:t>
      </w:r>
      <w:r w:rsidRPr="00C26054">
        <w:t xml:space="preserve">potential </w:t>
      </w:r>
      <w:r>
        <w:t>of</w:t>
      </w:r>
      <w:r w:rsidRPr="00C26054">
        <w:t xml:space="preserve"> the business p</w:t>
      </w:r>
      <w:r>
        <w:t>lan</w:t>
      </w:r>
      <w:r w:rsidRPr="00C26054">
        <w:t>s as well as</w:t>
      </w:r>
      <w:r>
        <w:t xml:space="preserve"> the expertise of the entrepreneur </w:t>
      </w:r>
      <w:r w:rsidRPr="005F05E0">
        <w:t xml:space="preserve">(Amis, 2001; Stuart </w:t>
      </w:r>
      <w:r w:rsidRPr="005F05E0">
        <w:rPr>
          <w:i/>
        </w:rPr>
        <w:t>et al.,</w:t>
      </w:r>
      <w:r w:rsidRPr="005F05E0">
        <w:t xml:space="preserve"> 2003; </w:t>
      </w:r>
      <w:proofErr w:type="spellStart"/>
      <w:r w:rsidRPr="005F05E0">
        <w:t>Lazzeretti</w:t>
      </w:r>
      <w:proofErr w:type="spellEnd"/>
      <w:r w:rsidRPr="005F05E0">
        <w:t xml:space="preserve"> </w:t>
      </w:r>
      <w:r w:rsidRPr="005F05E0">
        <w:rPr>
          <w:i/>
        </w:rPr>
        <w:t>et al</w:t>
      </w:r>
      <w:r w:rsidRPr="005F05E0">
        <w:t xml:space="preserve">., 2004; Capizzi, </w:t>
      </w:r>
      <w:proofErr w:type="spellStart"/>
      <w:r w:rsidRPr="005F05E0">
        <w:t>Giovannini</w:t>
      </w:r>
      <w:proofErr w:type="spellEnd"/>
      <w:r w:rsidRPr="005F05E0">
        <w:t>, 2010; OEDC, 2011)</w:t>
      </w:r>
      <w:r>
        <w:t>.</w:t>
      </w:r>
      <w:r w:rsidRPr="006A7AF4">
        <w:rPr>
          <w:rStyle w:val="Rimandonotaapidipagina"/>
        </w:rPr>
        <w:footnoteReference w:id="3"/>
      </w:r>
      <w:r w:rsidRPr="00C26054">
        <w:t xml:space="preserve"> </w:t>
      </w:r>
      <w:r>
        <w:t>F</w:t>
      </w:r>
      <w:r w:rsidRPr="00C26054">
        <w:t>or a long time</w:t>
      </w:r>
      <w:r>
        <w:t>, b</w:t>
      </w:r>
      <w:r w:rsidRPr="00C26054">
        <w:t xml:space="preserve">usiness angels acted in anonymity and limited themselves to interventions </w:t>
      </w:r>
      <w:r>
        <w:t>with</w:t>
      </w:r>
      <w:r w:rsidRPr="00C26054">
        <w:t xml:space="preserve"> businesses </w:t>
      </w:r>
      <w:r>
        <w:t>within</w:t>
      </w:r>
      <w:r w:rsidRPr="00C26054">
        <w:t xml:space="preserve"> a network of personal acquaintances and on the basis of occasional meetings</w:t>
      </w:r>
      <w:r>
        <w:t xml:space="preserve">, which </w:t>
      </w:r>
      <w:r w:rsidRPr="00C26054">
        <w:t xml:space="preserve">inevitably </w:t>
      </w:r>
      <w:r>
        <w:t>meant that a</w:t>
      </w:r>
      <w:r w:rsidRPr="00C26054">
        <w:t xml:space="preserve"> relatively small number of investments </w:t>
      </w:r>
      <w:r>
        <w:t>were made compared to</w:t>
      </w:r>
      <w:r w:rsidRPr="00C26054">
        <w:t xml:space="preserve"> total investment opportunities</w:t>
      </w:r>
      <w:r>
        <w:t xml:space="preserve"> </w:t>
      </w:r>
      <w:r w:rsidRPr="0099250E">
        <w:t xml:space="preserve">(Harrison, 2002; Mason, Sorrentino, 2003; Kotler </w:t>
      </w:r>
      <w:r w:rsidRPr="0099250E">
        <w:rPr>
          <w:i/>
        </w:rPr>
        <w:t>et al</w:t>
      </w:r>
      <w:r>
        <w:t>., 2004)</w:t>
      </w:r>
      <w:r w:rsidRPr="00C26054">
        <w:t>. Over time</w:t>
      </w:r>
      <w:r>
        <w:t>,</w:t>
      </w:r>
      <w:r w:rsidRPr="00C26054">
        <w:t xml:space="preserve"> so-called </w:t>
      </w:r>
      <w:r>
        <w:t>BANs (</w:t>
      </w:r>
      <w:r w:rsidRPr="00EC507D">
        <w:rPr>
          <w:i/>
        </w:rPr>
        <w:t>Business Angel Networks</w:t>
      </w:r>
      <w:r>
        <w:t>)</w:t>
      </w:r>
      <w:r w:rsidRPr="00C26054">
        <w:t xml:space="preserve"> or associations </w:t>
      </w:r>
      <w:r>
        <w:t xml:space="preserve">have developed in </w:t>
      </w:r>
      <w:proofErr w:type="gramStart"/>
      <w:r>
        <w:t>a number of</w:t>
      </w:r>
      <w:proofErr w:type="gramEnd"/>
      <w:r>
        <w:t xml:space="preserve"> countries </w:t>
      </w:r>
      <w:r w:rsidRPr="00C26054">
        <w:t>who</w:t>
      </w:r>
      <w:r>
        <w:t>se</w:t>
      </w:r>
      <w:r w:rsidRPr="00C26054">
        <w:t xml:space="preserve"> </w:t>
      </w:r>
      <w:r>
        <w:t>role is to put</w:t>
      </w:r>
      <w:r w:rsidRPr="00C26054">
        <w:t xml:space="preserve"> investors in contact with one another</w:t>
      </w:r>
      <w:r>
        <w:t>,</w:t>
      </w:r>
      <w:r w:rsidRPr="00C26054">
        <w:t xml:space="preserve"> facilitating the reciprocal exchange of information and opportunities</w:t>
      </w:r>
      <w:r>
        <w:t>,</w:t>
      </w:r>
      <w:r w:rsidRPr="00C26054">
        <w:t xml:space="preserve"> facilitating meetings with </w:t>
      </w:r>
      <w:r>
        <w:t>applicant</w:t>
      </w:r>
      <w:r w:rsidRPr="00C26054">
        <w:t xml:space="preserve"> entrepreneurs</w:t>
      </w:r>
      <w:r>
        <w:t>,</w:t>
      </w:r>
      <w:r w:rsidRPr="00C26054">
        <w:t xml:space="preserve"> </w:t>
      </w:r>
      <w:r>
        <w:t>and fostering</w:t>
      </w:r>
      <w:r w:rsidRPr="00C26054">
        <w:t xml:space="preserve"> best practices internationally</w:t>
      </w:r>
      <w:r>
        <w:t>,</w:t>
      </w:r>
      <w:r w:rsidRPr="00C26054">
        <w:t xml:space="preserve"> </w:t>
      </w:r>
      <w:r>
        <w:t>developing</w:t>
      </w:r>
      <w:r w:rsidRPr="00C26054">
        <w:t xml:space="preserve"> the phenomenon and consequently representing the category to political institutions</w:t>
      </w:r>
      <w:r>
        <w:t>.</w:t>
      </w:r>
    </w:p>
    <w:p w:rsidR="00DC4E49" w:rsidRDefault="00DC4E49" w:rsidP="00DC4E49">
      <w:pPr>
        <w:contextualSpacing/>
        <w:jc w:val="both"/>
      </w:pPr>
      <w:r>
        <w:lastRenderedPageBreak/>
        <w:t>Increasingly frequently,</w:t>
      </w:r>
      <w:r w:rsidRPr="00C26054">
        <w:t xml:space="preserve"> operators in</w:t>
      </w:r>
      <w:r>
        <w:t xml:space="preserve"> </w:t>
      </w:r>
      <w:r w:rsidRPr="00C26054">
        <w:t>the public s</w:t>
      </w:r>
      <w:r>
        <w:t>ector are</w:t>
      </w:r>
      <w:r w:rsidRPr="00C26054">
        <w:t xml:space="preserve"> interv</w:t>
      </w:r>
      <w:r>
        <w:t>ening at</w:t>
      </w:r>
      <w:r w:rsidRPr="00C26054">
        <w:t xml:space="preserve"> the embryonic stage with various forms of </w:t>
      </w:r>
      <w:r>
        <w:t xml:space="preserve">favourable </w:t>
      </w:r>
      <w:r w:rsidRPr="00C26054">
        <w:t xml:space="preserve">financing </w:t>
      </w:r>
      <w:r>
        <w:t>and</w:t>
      </w:r>
      <w:r w:rsidRPr="00C26054">
        <w:t xml:space="preserve"> </w:t>
      </w:r>
      <w:r w:rsidRPr="00EE05C3">
        <w:rPr>
          <w:i/>
        </w:rPr>
        <w:t>business incubators</w:t>
      </w:r>
      <w:r w:rsidRPr="00C26054">
        <w:t xml:space="preserve">. The </w:t>
      </w:r>
      <w:r>
        <w:t xml:space="preserve">latter </w:t>
      </w:r>
      <w:r w:rsidRPr="00C26054">
        <w:t xml:space="preserve">are </w:t>
      </w:r>
      <w:r>
        <w:t>individual</w:t>
      </w:r>
      <w:r w:rsidRPr="00C26054">
        <w:t>s</w:t>
      </w:r>
      <w:r>
        <w:t xml:space="preserve"> from both the public and</w:t>
      </w:r>
      <w:r w:rsidRPr="00C26054">
        <w:t xml:space="preserve"> private</w:t>
      </w:r>
      <w:r>
        <w:t xml:space="preserve"> sector</w:t>
      </w:r>
      <w:r>
        <w:rPr>
          <w:rStyle w:val="Rimandonotaapidipagina"/>
        </w:rPr>
        <w:footnoteReference w:id="4"/>
      </w:r>
      <w:r w:rsidRPr="00C26054">
        <w:t xml:space="preserve"> </w:t>
      </w:r>
      <w:r>
        <w:t>who</w:t>
      </w:r>
      <w:r w:rsidRPr="00C26054">
        <w:t xml:space="preserve"> intera</w:t>
      </w:r>
      <w:r>
        <w:t>ct with potential entrepreneurs, procuring</w:t>
      </w:r>
      <w:r w:rsidRPr="00C26054">
        <w:t xml:space="preserve"> an integrated series of services</w:t>
      </w:r>
      <w:r>
        <w:rPr>
          <w:rStyle w:val="Rimandonotaapidipagina"/>
        </w:rPr>
        <w:footnoteReference w:id="5"/>
      </w:r>
      <w:r w:rsidRPr="00C26054">
        <w:t xml:space="preserve"> </w:t>
      </w:r>
      <w:r>
        <w:t xml:space="preserve">for them, supporting </w:t>
      </w:r>
      <w:r w:rsidRPr="00C26054">
        <w:t>them in developing their</w:t>
      </w:r>
      <w:r>
        <w:t xml:space="preserve"> own</w:t>
      </w:r>
      <w:r w:rsidRPr="00C26054">
        <w:t xml:space="preserve"> ideas </w:t>
      </w:r>
      <w:r>
        <w:t xml:space="preserve">right </w:t>
      </w:r>
      <w:r w:rsidRPr="00C26054">
        <w:t>from the launch of the new business</w:t>
      </w:r>
      <w:r>
        <w:t>, strengthening</w:t>
      </w:r>
      <w:r w:rsidRPr="00C26054">
        <w:t xml:space="preserve"> the</w:t>
      </w:r>
      <w:r>
        <w:t>ir</w:t>
      </w:r>
      <w:r w:rsidRPr="00C26054">
        <w:t xml:space="preserve"> </w:t>
      </w:r>
      <w:r>
        <w:t>bargaining</w:t>
      </w:r>
      <w:r w:rsidRPr="00C26054">
        <w:t xml:space="preserve"> po</w:t>
      </w:r>
      <w:r>
        <w:t>wer</w:t>
      </w:r>
      <w:r w:rsidRPr="00C26054">
        <w:t xml:space="preserve"> </w:t>
      </w:r>
      <w:r>
        <w:t>when</w:t>
      </w:r>
      <w:r w:rsidRPr="00C26054">
        <w:t xml:space="preserve"> </w:t>
      </w:r>
      <w:r>
        <w:t>dealing with</w:t>
      </w:r>
      <w:r w:rsidRPr="00C26054">
        <w:t xml:space="preserve"> financiers and increasing the</w:t>
      </w:r>
      <w:r>
        <w:t>ir</w:t>
      </w:r>
      <w:r w:rsidRPr="00C26054">
        <w:t xml:space="preserve"> chance</w:t>
      </w:r>
      <w:r>
        <w:t>s of survival and a</w:t>
      </w:r>
      <w:r w:rsidRPr="00C26054">
        <w:t xml:space="preserve"> positive outcome </w:t>
      </w:r>
      <w:r w:rsidRPr="00A966C7">
        <w:t>(</w:t>
      </w:r>
      <w:proofErr w:type="spellStart"/>
      <w:r w:rsidRPr="00A966C7">
        <w:t>Auricchio</w:t>
      </w:r>
      <w:proofErr w:type="spellEnd"/>
      <w:r w:rsidRPr="00A966C7">
        <w:t xml:space="preserve"> </w:t>
      </w:r>
      <w:r w:rsidRPr="00A966C7">
        <w:rPr>
          <w:i/>
        </w:rPr>
        <w:t>et al</w:t>
      </w:r>
      <w:r w:rsidRPr="00A966C7">
        <w:t xml:space="preserve">, 2014; </w:t>
      </w:r>
      <w:proofErr w:type="spellStart"/>
      <w:r w:rsidRPr="00A966C7">
        <w:t>Scillitoe</w:t>
      </w:r>
      <w:proofErr w:type="spellEnd"/>
      <w:r w:rsidRPr="00A966C7">
        <w:t>, Chakrabarti, 2010)</w:t>
      </w:r>
      <w:r w:rsidRPr="00C26054">
        <w:t xml:space="preserve">. The majority of them </w:t>
      </w:r>
      <w:r>
        <w:t xml:space="preserve">also </w:t>
      </w:r>
      <w:r w:rsidRPr="00C26054">
        <w:t xml:space="preserve">procure </w:t>
      </w:r>
      <w:r>
        <w:t>financial resources</w:t>
      </w:r>
      <w:r w:rsidRPr="00C26054">
        <w:t xml:space="preserve"> </w:t>
      </w:r>
      <w:r>
        <w:t>of restricted amounts,</w:t>
      </w:r>
      <w:r w:rsidRPr="00C26054">
        <w:t xml:space="preserve"> depending on the nature and size of the company </w:t>
      </w:r>
      <w:r>
        <w:t>(</w:t>
      </w:r>
      <w:r w:rsidRPr="00C26054">
        <w:t>Richards</w:t>
      </w:r>
      <w:r>
        <w:t>,</w:t>
      </w:r>
      <w:r w:rsidRPr="00C26054">
        <w:t xml:space="preserve"> 2002</w:t>
      </w:r>
      <w:r>
        <w:t>).</w:t>
      </w:r>
      <w:r>
        <w:rPr>
          <w:rStyle w:val="Rimandonotaapidipagina"/>
        </w:rPr>
        <w:footnoteReference w:id="6"/>
      </w:r>
      <w:r w:rsidRPr="00C26054">
        <w:t xml:space="preserve"> The arrival of the </w:t>
      </w:r>
      <w:r w:rsidRPr="00A966C7">
        <w:rPr>
          <w:i/>
        </w:rPr>
        <w:t>New Economy</w:t>
      </w:r>
      <w:r>
        <w:t xml:space="preserve"> has created a </w:t>
      </w:r>
      <w:r w:rsidRPr="00C26054">
        <w:t xml:space="preserve">growing specialisation of </w:t>
      </w:r>
      <w:r>
        <w:t xml:space="preserve">this </w:t>
      </w:r>
      <w:r w:rsidRPr="00C26054">
        <w:t>type of operator</w:t>
      </w:r>
      <w:r>
        <w:t xml:space="preserve"> by sector</w:t>
      </w:r>
      <w:r w:rsidRPr="00C26054">
        <w:t xml:space="preserve"> and niche </w:t>
      </w:r>
      <w:r>
        <w:t>market,</w:t>
      </w:r>
      <w:r w:rsidRPr="00C26054">
        <w:t xml:space="preserve"> </w:t>
      </w:r>
      <w:r>
        <w:t>(</w:t>
      </w:r>
      <w:r>
        <w:rPr>
          <w:i/>
        </w:rPr>
        <w:t>S</w:t>
      </w:r>
      <w:r w:rsidRPr="00A966C7">
        <w:rPr>
          <w:i/>
        </w:rPr>
        <w:t xml:space="preserve">pecialised </w:t>
      </w:r>
      <w:r>
        <w:rPr>
          <w:i/>
        </w:rPr>
        <w:t>I</w:t>
      </w:r>
      <w:r w:rsidRPr="00A966C7">
        <w:rPr>
          <w:i/>
        </w:rPr>
        <w:t>ncubator</w:t>
      </w:r>
      <w:r>
        <w:t>),</w:t>
      </w:r>
      <w:r w:rsidRPr="00C26054">
        <w:t xml:space="preserve"> while</w:t>
      </w:r>
      <w:r>
        <w:t xml:space="preserve"> </w:t>
      </w:r>
      <w:r w:rsidRPr="00C26054">
        <w:t>the second half of the 1990s</w:t>
      </w:r>
      <w:r>
        <w:t xml:space="preserve"> saw the development of the</w:t>
      </w:r>
      <w:r w:rsidRPr="00C26054">
        <w:t xml:space="preserve"> </w:t>
      </w:r>
      <w:r w:rsidRPr="00A35A95">
        <w:rPr>
          <w:i/>
        </w:rPr>
        <w:t>Networked Incubator</w:t>
      </w:r>
      <w:r>
        <w:t xml:space="preserve"> whose main</w:t>
      </w:r>
      <w:r w:rsidRPr="00C26054">
        <w:t xml:space="preserve"> </w:t>
      </w:r>
      <w:r>
        <w:t xml:space="preserve">strength is its ability </w:t>
      </w:r>
      <w:r w:rsidRPr="00C26054">
        <w:t>to offer a f</w:t>
      </w:r>
      <w:r>
        <w:t>ull</w:t>
      </w:r>
      <w:r w:rsidRPr="00C26054">
        <w:t xml:space="preserve"> package of relationships and commercial and professional contacts </w:t>
      </w:r>
      <w:r>
        <w:t>who can promote</w:t>
      </w:r>
      <w:r w:rsidRPr="00C26054">
        <w:t xml:space="preserve"> business connections and therefore create value for </w:t>
      </w:r>
      <w:r>
        <w:t xml:space="preserve">the </w:t>
      </w:r>
      <w:r w:rsidRPr="00C26054">
        <w:t>assisted companies</w:t>
      </w:r>
      <w:r>
        <w:t>,</w:t>
      </w:r>
      <w:r w:rsidRPr="00C26054">
        <w:t xml:space="preserve"> </w:t>
      </w:r>
      <w:r>
        <w:t xml:space="preserve">leveraging </w:t>
      </w:r>
      <w:r w:rsidRPr="00C26054">
        <w:t xml:space="preserve">the </w:t>
      </w:r>
      <w:r>
        <w:t>opportunity</w:t>
      </w:r>
      <w:r w:rsidRPr="00C26054">
        <w:t xml:space="preserve"> </w:t>
      </w:r>
      <w:r>
        <w:t>to access</w:t>
      </w:r>
      <w:r w:rsidRPr="00C26054">
        <w:t xml:space="preserve"> a network of relationships which can </w:t>
      </w:r>
      <w:r>
        <w:t xml:space="preserve">help </w:t>
      </w:r>
      <w:r w:rsidRPr="00C26054">
        <w:t xml:space="preserve">create strategic partnerships and </w:t>
      </w:r>
      <w:r>
        <w:t xml:space="preserve">source </w:t>
      </w:r>
      <w:r w:rsidRPr="00C26054">
        <w:t>better human resources</w:t>
      </w:r>
      <w:r>
        <w:t>.</w:t>
      </w:r>
    </w:p>
    <w:p w:rsidR="00DC4E49" w:rsidRPr="00C26054" w:rsidRDefault="00DC4E49" w:rsidP="00DC4E49">
      <w:pPr>
        <w:contextualSpacing/>
        <w:jc w:val="both"/>
      </w:pPr>
      <w:r w:rsidRPr="00D053C4">
        <w:rPr>
          <w:i/>
        </w:rPr>
        <w:t>Venture capital</w:t>
      </w:r>
      <w:r w:rsidRPr="00C26054">
        <w:t xml:space="preserve"> </w:t>
      </w:r>
      <w:r>
        <w:t>i</w:t>
      </w:r>
      <w:r w:rsidRPr="00C26054">
        <w:t xml:space="preserve">s </w:t>
      </w:r>
      <w:r>
        <w:t>the</w:t>
      </w:r>
      <w:r w:rsidRPr="00C26054">
        <w:t xml:space="preserve"> form of </w:t>
      </w:r>
      <w:r>
        <w:t>fundraising that the entrepreneur-</w:t>
      </w:r>
      <w:r w:rsidRPr="00C26054">
        <w:t xml:space="preserve">innovator </w:t>
      </w:r>
      <w:r>
        <w:t>generally uses</w:t>
      </w:r>
      <w:r w:rsidRPr="00C26054">
        <w:t xml:space="preserve"> after having already </w:t>
      </w:r>
      <w:r>
        <w:t>sought recourse in</w:t>
      </w:r>
      <w:r w:rsidRPr="00C26054">
        <w:t xml:space="preserve"> three sources previously mentioned</w:t>
      </w:r>
      <w:r>
        <w:t>,</w:t>
      </w:r>
      <w:r w:rsidRPr="00C26054">
        <w:t xml:space="preserve"> but before </w:t>
      </w:r>
      <w:r>
        <w:t xml:space="preserve">turning to bank debt </w:t>
      </w:r>
      <w:r w:rsidRPr="00D053C4">
        <w:t>(Petrella, 2001)</w:t>
      </w:r>
      <w:r w:rsidRPr="00C26054">
        <w:t xml:space="preserve">. </w:t>
      </w:r>
      <w:r>
        <w:t>The process of acquiring a shareholding</w:t>
      </w:r>
      <w:r w:rsidRPr="00C26054">
        <w:t xml:space="preserve"> </w:t>
      </w:r>
      <w:r>
        <w:t>is</w:t>
      </w:r>
      <w:r w:rsidRPr="00C26054">
        <w:t xml:space="preserve"> systematic and continuous and </w:t>
      </w:r>
      <w:r>
        <w:t>is executed -</w:t>
      </w:r>
      <w:r w:rsidRPr="00C26054">
        <w:t xml:space="preserve"> through well-defined and recognise</w:t>
      </w:r>
      <w:r>
        <w:t>d</w:t>
      </w:r>
      <w:r w:rsidRPr="00C26054">
        <w:t xml:space="preserve"> legal structures, </w:t>
      </w:r>
      <w:r w:rsidRPr="00016609">
        <w:t>generally closed securities funds m</w:t>
      </w:r>
      <w:r w:rsidRPr="00C26054">
        <w:t xml:space="preserve">anaged by </w:t>
      </w:r>
      <w:r>
        <w:t xml:space="preserve">investment </w:t>
      </w:r>
      <w:r w:rsidRPr="00C26054">
        <w:t xml:space="preserve">management companies </w:t>
      </w:r>
      <w:r>
        <w:t>and</w:t>
      </w:r>
      <w:r w:rsidRPr="00C26054">
        <w:t xml:space="preserve"> </w:t>
      </w:r>
      <w:r w:rsidRPr="0091655C">
        <w:t xml:space="preserve">specifically capitalised </w:t>
      </w:r>
      <w:r w:rsidRPr="00C26054">
        <w:t>companies</w:t>
      </w:r>
      <w:r>
        <w:t xml:space="preserve"> -</w:t>
      </w:r>
      <w:r w:rsidRPr="00C26054">
        <w:t xml:space="preserve"> </w:t>
      </w:r>
      <w:r>
        <w:t>for</w:t>
      </w:r>
      <w:r w:rsidRPr="00C26054">
        <w:t xml:space="preserve"> companies</w:t>
      </w:r>
      <w:r>
        <w:t xml:space="preserve"> which</w:t>
      </w:r>
      <w:r w:rsidRPr="00C26054">
        <w:t xml:space="preserve"> </w:t>
      </w:r>
      <w:r>
        <w:t xml:space="preserve">have </w:t>
      </w:r>
      <w:r w:rsidRPr="00C26054">
        <w:t>preferably already</w:t>
      </w:r>
      <w:r>
        <w:t xml:space="preserve"> been</w:t>
      </w:r>
      <w:r w:rsidRPr="00C26054">
        <w:t xml:space="preserve"> launched</w:t>
      </w:r>
      <w:r>
        <w:t>,</w:t>
      </w:r>
      <w:r w:rsidRPr="00C26054">
        <w:t xml:space="preserve"> </w:t>
      </w:r>
      <w:r>
        <w:t>which have a</w:t>
      </w:r>
      <w:r w:rsidRPr="00C26054">
        <w:t xml:space="preserve"> high level of technological content</w:t>
      </w:r>
      <w:r w:rsidRPr="00300974">
        <w:rPr>
          <w:color w:val="FF0000"/>
        </w:rPr>
        <w:t xml:space="preserve"> </w:t>
      </w:r>
      <w:r w:rsidRPr="00C26054">
        <w:t xml:space="preserve">and </w:t>
      </w:r>
      <w:r>
        <w:t>strong</w:t>
      </w:r>
      <w:r w:rsidRPr="00C26054">
        <w:t xml:space="preserve"> prospects </w:t>
      </w:r>
      <w:r>
        <w:t xml:space="preserve">for </w:t>
      </w:r>
      <w:r w:rsidRPr="00C26054">
        <w:t xml:space="preserve">development and growth </w:t>
      </w:r>
      <w:r>
        <w:t>(</w:t>
      </w:r>
      <w:r w:rsidRPr="002753CA">
        <w:rPr>
          <w:i/>
        </w:rPr>
        <w:t>high growth potential firm</w:t>
      </w:r>
      <w:r>
        <w:t>)</w:t>
      </w:r>
      <w:r w:rsidRPr="00C26054">
        <w:t xml:space="preserve"> in order to incentivise </w:t>
      </w:r>
      <w:r>
        <w:t xml:space="preserve">their </w:t>
      </w:r>
      <w:r w:rsidRPr="00C26054">
        <w:t xml:space="preserve">development and expansion </w:t>
      </w:r>
      <w:r w:rsidRPr="002753CA">
        <w:t xml:space="preserve">(Kaplan, Stromberg, 2004, Gervasoni, </w:t>
      </w:r>
      <w:proofErr w:type="spellStart"/>
      <w:r w:rsidRPr="002753CA">
        <w:t>Sattin</w:t>
      </w:r>
      <w:proofErr w:type="spellEnd"/>
      <w:r w:rsidRPr="002753CA">
        <w:t>, 2015)</w:t>
      </w:r>
      <w:r w:rsidRPr="00C26054">
        <w:t xml:space="preserve">. </w:t>
      </w:r>
      <w:r>
        <w:t>I</w:t>
      </w:r>
      <w:r w:rsidRPr="00300974">
        <w:t xml:space="preserve">n </w:t>
      </w:r>
      <w:r w:rsidRPr="00C26054">
        <w:t>this case</w:t>
      </w:r>
      <w:r>
        <w:t xml:space="preserve"> too,</w:t>
      </w:r>
      <w:r w:rsidRPr="00C26054">
        <w:t xml:space="preserve"> intervention is not limited to</w:t>
      </w:r>
      <w:r>
        <w:t xml:space="preserve"> a mere conferral of equity</w:t>
      </w:r>
      <w:r w:rsidRPr="00C26054">
        <w:t xml:space="preserve"> but is more a contribution of managerial </w:t>
      </w:r>
      <w:r w:rsidRPr="00291B21">
        <w:rPr>
          <w:i/>
        </w:rPr>
        <w:t>know how</w:t>
      </w:r>
      <w:r w:rsidRPr="00C26054">
        <w:t xml:space="preserve"> and </w:t>
      </w:r>
      <w:r>
        <w:t xml:space="preserve">an active role in </w:t>
      </w:r>
      <w:r w:rsidRPr="00C26054">
        <w:t>management</w:t>
      </w:r>
      <w:r>
        <w:t>,</w:t>
      </w:r>
      <w:r w:rsidRPr="00C26054">
        <w:t xml:space="preserve"> w</w:t>
      </w:r>
      <w:r>
        <w:t>h</w:t>
      </w:r>
      <w:r w:rsidRPr="00C26054">
        <w:t>ere experience</w:t>
      </w:r>
      <w:r>
        <w:t>,</w:t>
      </w:r>
      <w:r w:rsidRPr="00C26054">
        <w:t xml:space="preserve"> </w:t>
      </w:r>
      <w:r>
        <w:t>ability</w:t>
      </w:r>
      <w:r w:rsidRPr="00C26054">
        <w:t xml:space="preserve"> and </w:t>
      </w:r>
      <w:r>
        <w:t>links with</w:t>
      </w:r>
      <w:r w:rsidRPr="00C26054">
        <w:t xml:space="preserve"> venture capitalist</w:t>
      </w:r>
      <w:r>
        <w:t>s</w:t>
      </w:r>
      <w:r w:rsidRPr="00C26054">
        <w:t xml:space="preserve"> can </w:t>
      </w:r>
      <w:r>
        <w:t>help</w:t>
      </w:r>
      <w:r w:rsidRPr="00C26054">
        <w:t xml:space="preserve"> </w:t>
      </w:r>
      <w:r>
        <w:t>in defining and organising</w:t>
      </w:r>
      <w:r w:rsidRPr="00C26054">
        <w:t xml:space="preserve"> substantial investment goals and </w:t>
      </w:r>
      <w:r>
        <w:t xml:space="preserve">growing the </w:t>
      </w:r>
      <w:r w:rsidRPr="00C26054">
        <w:t>business</w:t>
      </w:r>
      <w:r>
        <w:t>.</w:t>
      </w:r>
      <w:r w:rsidRPr="00C26054">
        <w:t xml:space="preserve"> </w:t>
      </w:r>
      <w:r>
        <w:t>T</w:t>
      </w:r>
      <w:r w:rsidRPr="00C26054">
        <w:t xml:space="preserve">he investment is temporary, </w:t>
      </w:r>
      <w:r>
        <w:t xml:space="preserve">with a defined </w:t>
      </w:r>
      <w:r w:rsidRPr="00C26054">
        <w:t xml:space="preserve">exit </w:t>
      </w:r>
      <w:r>
        <w:t>date in place</w:t>
      </w:r>
      <w:r w:rsidRPr="00C26054">
        <w:t xml:space="preserve"> right from the beginning</w:t>
      </w:r>
      <w:r>
        <w:t>,</w:t>
      </w:r>
      <w:r>
        <w:rPr>
          <w:rStyle w:val="Rimandonotaapidipagina"/>
        </w:rPr>
        <w:footnoteReference w:id="7"/>
      </w:r>
      <w:r>
        <w:t xml:space="preserve"> and minority, </w:t>
      </w:r>
      <w:r w:rsidRPr="00C26054">
        <w:t xml:space="preserve">not aimed at </w:t>
      </w:r>
      <w:r>
        <w:t xml:space="preserve">taking </w:t>
      </w:r>
      <w:r w:rsidRPr="00C26054">
        <w:t>definitive control of the business. For this reason</w:t>
      </w:r>
      <w:r>
        <w:t>,</w:t>
      </w:r>
      <w:r w:rsidRPr="00C26054">
        <w:t xml:space="preserve"> despite</w:t>
      </w:r>
      <w:r>
        <w:t xml:space="preserve"> having </w:t>
      </w:r>
      <w:r w:rsidRPr="00300974">
        <w:t xml:space="preserve">a share in the risk </w:t>
      </w:r>
      <w:r w:rsidRPr="00C26054">
        <w:t xml:space="preserve">capital, </w:t>
      </w:r>
      <w:r>
        <w:t xml:space="preserve">venture capital </w:t>
      </w:r>
      <w:r w:rsidRPr="00C26054">
        <w:t xml:space="preserve">financing </w:t>
      </w:r>
      <w:r>
        <w:t>remains an operation of</w:t>
      </w:r>
      <w:r w:rsidRPr="00C26054">
        <w:t xml:space="preserve"> financial intermediation</w:t>
      </w:r>
      <w:r>
        <w:t>.</w:t>
      </w:r>
    </w:p>
    <w:p w:rsidR="00DC4E49" w:rsidRPr="00C26054" w:rsidRDefault="00DC4E49" w:rsidP="00DC4E49">
      <w:pPr>
        <w:contextualSpacing/>
        <w:jc w:val="both"/>
      </w:pPr>
      <w:r w:rsidRPr="00C26054">
        <w:t xml:space="preserve">The traditional hierarchy </w:t>
      </w:r>
      <w:r>
        <w:t xml:space="preserve">of using </w:t>
      </w:r>
      <w:r w:rsidRPr="00C26054">
        <w:t xml:space="preserve">debt capital </w:t>
      </w:r>
      <w:r>
        <w:t>rather</w:t>
      </w:r>
      <w:r w:rsidRPr="00C26054">
        <w:t xml:space="preserve"> </w:t>
      </w:r>
      <w:r>
        <w:t xml:space="preserve">than </w:t>
      </w:r>
      <w:r w:rsidRPr="00C26054">
        <w:t>risk capital</w:t>
      </w:r>
      <w:r>
        <w:t>,</w:t>
      </w:r>
      <w:r w:rsidRPr="00C26054">
        <w:t xml:space="preserve"> </w:t>
      </w:r>
      <w:r>
        <w:t xml:space="preserve">therefore, </w:t>
      </w:r>
      <w:r w:rsidRPr="00C26054">
        <w:t xml:space="preserve">is </w:t>
      </w:r>
      <w:r>
        <w:t>turned on its head</w:t>
      </w:r>
      <w:r w:rsidRPr="00C26054">
        <w:t xml:space="preserve"> in the case of innovative businesses </w:t>
      </w:r>
      <w:r>
        <w:t>(</w:t>
      </w:r>
      <w:r w:rsidRPr="00C26054">
        <w:t>table 1</w:t>
      </w:r>
      <w:r>
        <w:t>)</w:t>
      </w:r>
      <w:r w:rsidRPr="00C26054">
        <w:t>.</w:t>
      </w:r>
    </w:p>
    <w:p w:rsidR="00DC4E49" w:rsidRDefault="00DC4E49" w:rsidP="00DC4E49">
      <w:pPr>
        <w:contextualSpacing/>
        <w:jc w:val="both"/>
      </w:pPr>
    </w:p>
    <w:p w:rsidR="00B20F0F" w:rsidRPr="00A53482" w:rsidRDefault="00766DBF" w:rsidP="00DC4E49">
      <w:pPr>
        <w:contextualSpacing/>
        <w:jc w:val="both"/>
        <w:rPr>
          <w:b/>
        </w:rPr>
      </w:pPr>
      <w:r w:rsidRPr="00A53482">
        <w:rPr>
          <w:b/>
        </w:rPr>
        <w:t>To i</w:t>
      </w:r>
      <w:r w:rsidR="00B20F0F" w:rsidRPr="00A53482">
        <w:rPr>
          <w:b/>
        </w:rPr>
        <w:t>nsert Table 1</w:t>
      </w:r>
    </w:p>
    <w:p w:rsidR="00B20F0F" w:rsidRPr="00C26054" w:rsidRDefault="00B20F0F" w:rsidP="00DC4E49">
      <w:pPr>
        <w:contextualSpacing/>
        <w:jc w:val="both"/>
      </w:pPr>
    </w:p>
    <w:p w:rsidR="00DC4E49" w:rsidRPr="00C26054" w:rsidRDefault="00DC4E49" w:rsidP="00DC4E49">
      <w:pPr>
        <w:contextualSpacing/>
        <w:jc w:val="both"/>
      </w:pPr>
      <w:r>
        <w:t xml:space="preserve">Businesses </w:t>
      </w:r>
      <w:r w:rsidRPr="00C26054">
        <w:t>tu</w:t>
      </w:r>
      <w:r>
        <w:t>rn</w:t>
      </w:r>
      <w:r w:rsidRPr="00C26054">
        <w:t xml:space="preserve"> to bank finance only after having obtained resources through </w:t>
      </w:r>
      <w:r w:rsidRPr="008A4A41">
        <w:rPr>
          <w:i/>
        </w:rPr>
        <w:t>venture capital</w:t>
      </w:r>
      <w:r w:rsidRPr="00C26054">
        <w:t xml:space="preserve"> and this</w:t>
      </w:r>
      <w:r>
        <w:t xml:space="preserve"> is true regardless of the size of the </w:t>
      </w:r>
      <w:r w:rsidRPr="00C26054">
        <w:t>innovative companies and</w:t>
      </w:r>
      <w:r>
        <w:t>,</w:t>
      </w:r>
      <w:r w:rsidRPr="00C26054">
        <w:t xml:space="preserve"> </w:t>
      </w:r>
      <w:proofErr w:type="gramStart"/>
      <w:r>
        <w:t>in order for</w:t>
      </w:r>
      <w:proofErr w:type="gramEnd"/>
      <w:r>
        <w:t xml:space="preserve"> them to be able to use it, both the level </w:t>
      </w:r>
      <w:r w:rsidRPr="00C26054">
        <w:t>of information opacity</w:t>
      </w:r>
      <w:r>
        <w:t xml:space="preserve"> and</w:t>
      </w:r>
      <w:r w:rsidRPr="00C26054">
        <w:t xml:space="preserve"> </w:t>
      </w:r>
      <w:r>
        <w:t>the level</w:t>
      </w:r>
      <w:r w:rsidRPr="00C26054">
        <w:t xml:space="preserve"> </w:t>
      </w:r>
      <w:r>
        <w:t>of im</w:t>
      </w:r>
      <w:r w:rsidRPr="00C26054">
        <w:t>materiality of the capital goods used</w:t>
      </w:r>
      <w:r>
        <w:t xml:space="preserve"> must be reduced</w:t>
      </w:r>
      <w:r w:rsidRPr="00C26054">
        <w:t xml:space="preserve"> </w:t>
      </w:r>
      <w:r>
        <w:t>(</w:t>
      </w:r>
      <w:r w:rsidRPr="00011F80">
        <w:t xml:space="preserve">Berger, </w:t>
      </w:r>
      <w:proofErr w:type="spellStart"/>
      <w:r w:rsidRPr="00011F80">
        <w:t>Udell</w:t>
      </w:r>
      <w:proofErr w:type="spellEnd"/>
      <w:r w:rsidRPr="00011F80">
        <w:t>, 1998</w:t>
      </w:r>
      <w:r>
        <w:t>)</w:t>
      </w:r>
      <w:r w:rsidRPr="00C26054">
        <w:t xml:space="preserve">. The role of </w:t>
      </w:r>
      <w:r w:rsidRPr="00C57485">
        <w:rPr>
          <w:i/>
        </w:rPr>
        <w:t>price discovery</w:t>
      </w:r>
      <w:r w:rsidRPr="00C26054">
        <w:t xml:space="preserve"> </w:t>
      </w:r>
      <w:r>
        <w:t xml:space="preserve">played </w:t>
      </w:r>
      <w:r w:rsidRPr="00C26054">
        <w:t xml:space="preserve">by </w:t>
      </w:r>
      <w:r w:rsidRPr="00C57485">
        <w:rPr>
          <w:i/>
        </w:rPr>
        <w:t>venture capital</w:t>
      </w:r>
      <w:r>
        <w:t xml:space="preserve">, </w:t>
      </w:r>
      <w:r w:rsidRPr="00C26054">
        <w:t>however</w:t>
      </w:r>
      <w:r>
        <w:t>,</w:t>
      </w:r>
      <w:r w:rsidRPr="00C26054">
        <w:t xml:space="preserve"> provides operators </w:t>
      </w:r>
      <w:r>
        <w:t xml:space="preserve">with </w:t>
      </w:r>
      <w:r w:rsidRPr="00C26054">
        <w:t xml:space="preserve">useful </w:t>
      </w:r>
      <w:r>
        <w:t>indicator</w:t>
      </w:r>
      <w:r w:rsidRPr="00C26054">
        <w:t>s for evaluatin</w:t>
      </w:r>
      <w:r>
        <w:t>g innovative companies and facilitating</w:t>
      </w:r>
      <w:r w:rsidRPr="00C26054">
        <w:t xml:space="preserve"> successive commercial credit </w:t>
      </w:r>
      <w:r>
        <w:t>by</w:t>
      </w:r>
      <w:r w:rsidRPr="00C26054">
        <w:t xml:space="preserve"> providers and bank financing. However</w:t>
      </w:r>
      <w:r>
        <w:t>,</w:t>
      </w:r>
      <w:r w:rsidRPr="00C26054">
        <w:t xml:space="preserve"> because</w:t>
      </w:r>
      <w:r>
        <w:t xml:space="preserve"> this is the optimal channel for</w:t>
      </w:r>
      <w:r w:rsidRPr="00C26054">
        <w:t xml:space="preserve"> financing innovation</w:t>
      </w:r>
      <w:r>
        <w:t xml:space="preserve">, </w:t>
      </w:r>
      <w:r w:rsidRPr="00C26054">
        <w:t xml:space="preserve">an efficient and transparent </w:t>
      </w:r>
      <w:r w:rsidRPr="00C26054">
        <w:lastRenderedPageBreak/>
        <w:t xml:space="preserve">second market </w:t>
      </w:r>
      <w:r>
        <w:t xml:space="preserve">is also required </w:t>
      </w:r>
      <w:r w:rsidRPr="00C26054">
        <w:t xml:space="preserve">which allows the disinvestment of </w:t>
      </w:r>
      <w:r>
        <w:t xml:space="preserve">invested capital </w:t>
      </w:r>
      <w:r w:rsidRPr="00C26054">
        <w:t xml:space="preserve">through </w:t>
      </w:r>
      <w:r>
        <w:t xml:space="preserve">an </w:t>
      </w:r>
      <w:r w:rsidRPr="00C26054">
        <w:t xml:space="preserve">exit </w:t>
      </w:r>
      <w:r>
        <w:t>b</w:t>
      </w:r>
      <w:r w:rsidRPr="00C26054">
        <w:t xml:space="preserve">y IPO and/or a </w:t>
      </w:r>
      <w:r>
        <w:t>“</w:t>
      </w:r>
      <w:r w:rsidRPr="00C26054">
        <w:t>supply chain</w:t>
      </w:r>
      <w:r>
        <w:t>”</w:t>
      </w:r>
      <w:r w:rsidRPr="00C26054">
        <w:t xml:space="preserve"> of </w:t>
      </w:r>
      <w:r w:rsidRPr="00C57485">
        <w:rPr>
          <w:i/>
        </w:rPr>
        <w:t xml:space="preserve">private equity </w:t>
      </w:r>
      <w:r w:rsidRPr="00C26054">
        <w:t>operato</w:t>
      </w:r>
      <w:r>
        <w:t xml:space="preserve">rs </w:t>
      </w:r>
      <w:r w:rsidRPr="00C26054">
        <w:t>(</w:t>
      </w:r>
      <w:proofErr w:type="spellStart"/>
      <w:r w:rsidRPr="00C26054">
        <w:t>Bertoni</w:t>
      </w:r>
      <w:proofErr w:type="spellEnd"/>
      <w:r w:rsidRPr="00C26054">
        <w:t xml:space="preserve"> </w:t>
      </w:r>
      <w:r w:rsidRPr="00C26054">
        <w:rPr>
          <w:i/>
        </w:rPr>
        <w:t>et al</w:t>
      </w:r>
      <w:r w:rsidRPr="00C26054">
        <w:t xml:space="preserve">., 2011). </w:t>
      </w:r>
    </w:p>
    <w:p w:rsidR="00DC4E49" w:rsidRPr="00C26054" w:rsidRDefault="00DC4E49" w:rsidP="00DC4E49">
      <w:pPr>
        <w:contextualSpacing/>
        <w:jc w:val="both"/>
      </w:pPr>
      <w:r w:rsidRPr="00C26054">
        <w:t xml:space="preserve">As for </w:t>
      </w:r>
      <w:r w:rsidRPr="00C57485">
        <w:rPr>
          <w:i/>
        </w:rPr>
        <w:t>public equity</w:t>
      </w:r>
      <w:r w:rsidRPr="00C26054">
        <w:t xml:space="preserve"> and the issue of bonds</w:t>
      </w:r>
      <w:r>
        <w:t xml:space="preserve">, these are </w:t>
      </w:r>
      <w:r w:rsidRPr="00C26054">
        <w:t>practicable wh</w:t>
      </w:r>
      <w:r>
        <w:t>en, as the business grows in size and is consequently restructured,</w:t>
      </w:r>
      <w:r w:rsidRPr="00C26054">
        <w:t xml:space="preserve"> the </w:t>
      </w:r>
      <w:r>
        <w:t>level</w:t>
      </w:r>
      <w:r w:rsidRPr="00C26054">
        <w:t xml:space="preserve"> of information </w:t>
      </w:r>
      <w:r>
        <w:t>o</w:t>
      </w:r>
      <w:r w:rsidRPr="00C26054">
        <w:t xml:space="preserve">pacity and risk is noticeably </w:t>
      </w:r>
      <w:proofErr w:type="gramStart"/>
      <w:r w:rsidRPr="00C26054">
        <w:t>lower</w:t>
      </w:r>
      <w:proofErr w:type="gramEnd"/>
      <w:r w:rsidRPr="00C26054">
        <w:t xml:space="preserve"> and the company</w:t>
      </w:r>
      <w:r>
        <w:t>’s</w:t>
      </w:r>
      <w:r w:rsidRPr="00C26054">
        <w:t xml:space="preserve"> reputation </w:t>
      </w:r>
      <w:r>
        <w:t>has been</w:t>
      </w:r>
      <w:r w:rsidRPr="00C26054">
        <w:t xml:space="preserve"> consolidated.</w:t>
      </w:r>
      <w:r>
        <w:rPr>
          <w:rStyle w:val="Rimandonotaapidipagina"/>
        </w:rPr>
        <w:footnoteReference w:id="8"/>
      </w:r>
    </w:p>
    <w:p w:rsidR="00DC4E49" w:rsidRDefault="00DC4E49" w:rsidP="00DC4E49">
      <w:pPr>
        <w:contextualSpacing/>
        <w:jc w:val="both"/>
      </w:pPr>
    </w:p>
    <w:p w:rsidR="00DC4E49" w:rsidRPr="00DC42D4" w:rsidRDefault="00DC4E49" w:rsidP="00DC4E49">
      <w:pPr>
        <w:pStyle w:val="Paragrafoelenco"/>
        <w:ind w:left="284" w:hanging="284"/>
        <w:jc w:val="both"/>
        <w:rPr>
          <w:b/>
        </w:rPr>
      </w:pPr>
      <w:r w:rsidRPr="00DC42D4">
        <w:rPr>
          <w:b/>
        </w:rPr>
        <w:t>3.</w:t>
      </w:r>
      <w:r w:rsidRPr="00DC42D4">
        <w:rPr>
          <w:b/>
        </w:rPr>
        <w:tab/>
      </w:r>
      <w:r>
        <w:rPr>
          <w:b/>
        </w:rPr>
        <w:t>Recently launched s</w:t>
      </w:r>
      <w:r w:rsidRPr="00DC42D4">
        <w:rPr>
          <w:b/>
        </w:rPr>
        <w:t xml:space="preserve">upport policies and some </w:t>
      </w:r>
      <w:r>
        <w:rPr>
          <w:b/>
        </w:rPr>
        <w:t>“</w:t>
      </w:r>
      <w:r w:rsidRPr="00DC42D4">
        <w:rPr>
          <w:b/>
        </w:rPr>
        <w:t>numbers</w:t>
      </w:r>
      <w:r>
        <w:rPr>
          <w:b/>
        </w:rPr>
        <w:t xml:space="preserve">” </w:t>
      </w:r>
      <w:r w:rsidR="004E308D">
        <w:rPr>
          <w:b/>
        </w:rPr>
        <w:t xml:space="preserve">of the competitive </w:t>
      </w:r>
      <w:r>
        <w:rPr>
          <w:b/>
        </w:rPr>
        <w:t>context</w:t>
      </w:r>
    </w:p>
    <w:p w:rsidR="00DC4E49" w:rsidRDefault="00DC4E49" w:rsidP="00DC4E49">
      <w:pPr>
        <w:contextualSpacing/>
        <w:jc w:val="both"/>
      </w:pPr>
      <w:r w:rsidRPr="00DC42D4">
        <w:rPr>
          <w:i/>
        </w:rPr>
        <w:t>Policymakers</w:t>
      </w:r>
      <w:r>
        <w:t xml:space="preserve"> play a key</w:t>
      </w:r>
      <w:r w:rsidRPr="00DC42D4">
        <w:t xml:space="preserve"> role in promoting development </w:t>
      </w:r>
      <w:r>
        <w:t>within</w:t>
      </w:r>
      <w:r w:rsidRPr="00DC42D4">
        <w:t xml:space="preserve"> the sector of innovativ</w:t>
      </w:r>
      <w:r>
        <w:t xml:space="preserve">e companies and companies in the </w:t>
      </w:r>
      <w:r w:rsidRPr="00DC42D4">
        <w:t xml:space="preserve">start-up </w:t>
      </w:r>
      <w:r>
        <w:t>phase; these are</w:t>
      </w:r>
      <w:r w:rsidRPr="00DC42D4">
        <w:t xml:space="preserve"> institutional stakeholders </w:t>
      </w:r>
      <w:r>
        <w:t>in the</w:t>
      </w:r>
      <w:r w:rsidRPr="00DC42D4">
        <w:t xml:space="preserve"> public sector who, </w:t>
      </w:r>
      <w:r>
        <w:t xml:space="preserve">due to their authority, policy </w:t>
      </w:r>
      <w:r w:rsidRPr="00DC42D4">
        <w:t xml:space="preserve">making powers and powers of regulation and control, </w:t>
      </w:r>
      <w:r>
        <w:t>have over</w:t>
      </w:r>
      <w:r w:rsidRPr="00DC42D4">
        <w:t xml:space="preserve"> the last few years launched a </w:t>
      </w:r>
      <w:r>
        <w:t>“path”</w:t>
      </w:r>
      <w:r w:rsidRPr="00DC42D4">
        <w:t xml:space="preserve"> aimed at supporting the promotion of </w:t>
      </w:r>
      <w:r>
        <w:t>new innovative entrepreneurship under</w:t>
      </w:r>
      <w:r w:rsidRPr="00DC42D4">
        <w:t xml:space="preserve"> the premise that this is one of the channels </w:t>
      </w:r>
      <w:r>
        <w:t>that can</w:t>
      </w:r>
      <w:r w:rsidRPr="00DC42D4">
        <w:t xml:space="preserve"> increase </w:t>
      </w:r>
      <w:r>
        <w:t xml:space="preserve">the </w:t>
      </w:r>
      <w:r w:rsidRPr="00DC42D4">
        <w:t>competit</w:t>
      </w:r>
      <w:r>
        <w:t>iveness</w:t>
      </w:r>
      <w:r w:rsidRPr="00DC42D4">
        <w:t xml:space="preserve"> </w:t>
      </w:r>
      <w:r>
        <w:t>of</w:t>
      </w:r>
      <w:r w:rsidRPr="00DC42D4">
        <w:t xml:space="preserve"> national production. Th</w:t>
      </w:r>
      <w:r>
        <w:t xml:space="preserve">ese interventions are made within </w:t>
      </w:r>
      <w:r w:rsidRPr="00DC42D4">
        <w:t>an ecosystem where the government</w:t>
      </w:r>
      <w:r>
        <w:t>’</w:t>
      </w:r>
      <w:r w:rsidRPr="00DC42D4">
        <w:t>s r</w:t>
      </w:r>
      <w:r>
        <w:t>o</w:t>
      </w:r>
      <w:r w:rsidRPr="00DC42D4">
        <w:t xml:space="preserve">le in guiding and orientating </w:t>
      </w:r>
      <w:r>
        <w:t>h</w:t>
      </w:r>
      <w:r w:rsidRPr="00DC42D4">
        <w:t xml:space="preserve">as </w:t>
      </w:r>
      <w:r>
        <w:t>benefitted from</w:t>
      </w:r>
      <w:r w:rsidRPr="00DC42D4">
        <w:t xml:space="preserve"> constant discussion with market operators and the world</w:t>
      </w:r>
      <w:r>
        <w:t xml:space="preserve"> of research</w:t>
      </w:r>
      <w:r w:rsidRPr="00DC42D4">
        <w:t xml:space="preserve">. </w:t>
      </w:r>
    </w:p>
    <w:p w:rsidR="00DC4E49" w:rsidRPr="00786684" w:rsidRDefault="00DC4E49" w:rsidP="00DC4E49">
      <w:pPr>
        <w:contextualSpacing/>
        <w:jc w:val="both"/>
      </w:pPr>
      <w:r>
        <w:t xml:space="preserve">Initially, attention was </w:t>
      </w:r>
      <w:r w:rsidRPr="00302CE7">
        <w:t xml:space="preserve">focused on new innovative businesses or recently formed businesses, the so-called </w:t>
      </w:r>
      <w:r w:rsidRPr="00302CE7">
        <w:rPr>
          <w:i/>
        </w:rPr>
        <w:t>innovative start-ups</w:t>
      </w:r>
      <w:r w:rsidRPr="00302CE7">
        <w:t>, characterised by</w:t>
      </w:r>
      <w:r>
        <w:t xml:space="preserve"> their focus on</w:t>
      </w:r>
      <w:r w:rsidRPr="00302CE7">
        <w:t xml:space="preserve"> innovation, </w:t>
      </w:r>
      <w:r>
        <w:t>through</w:t>
      </w:r>
      <w:r w:rsidRPr="00302CE7">
        <w:t xml:space="preserve"> the definition of </w:t>
      </w:r>
      <w:r w:rsidRPr="00203C73">
        <w:t xml:space="preserve">a preferential </w:t>
      </w:r>
      <w:r>
        <w:t xml:space="preserve">framework and renewed </w:t>
      </w:r>
      <w:r w:rsidRPr="00302CE7">
        <w:t>public support. The rel</w:t>
      </w:r>
      <w:r>
        <w:t>evant</w:t>
      </w:r>
      <w:r w:rsidRPr="00302CE7">
        <w:t xml:space="preserve"> legislation is </w:t>
      </w:r>
      <w:r>
        <w:t>de</w:t>
      </w:r>
      <w:r w:rsidRPr="00302CE7">
        <w:t xml:space="preserve">fined in </w:t>
      </w:r>
      <w:r>
        <w:t>Decree L</w:t>
      </w:r>
      <w:r w:rsidRPr="00302CE7">
        <w:t xml:space="preserve">aw 179/2012, </w:t>
      </w:r>
      <w:r>
        <w:t>“</w:t>
      </w:r>
      <w:r w:rsidRPr="00B06283">
        <w:rPr>
          <w:i/>
        </w:rPr>
        <w:t>Further urgent measures for the growth of the country</w:t>
      </w:r>
      <w:r>
        <w:t>”, modified from L</w:t>
      </w:r>
      <w:r w:rsidRPr="00302CE7">
        <w:t xml:space="preserve">aw </w:t>
      </w:r>
      <w:r>
        <w:t xml:space="preserve">no. 221 of </w:t>
      </w:r>
      <w:r w:rsidRPr="00302CE7">
        <w:t xml:space="preserve">17 December 2012, brought into force 19 December 2012, which provides a systematic legislative </w:t>
      </w:r>
      <w:r w:rsidRPr="00B06283">
        <w:rPr>
          <w:i/>
        </w:rPr>
        <w:t>corpus</w:t>
      </w:r>
      <w:r w:rsidRPr="00302CE7">
        <w:t xml:space="preserve"> </w:t>
      </w:r>
      <w:r>
        <w:t>covering</w:t>
      </w:r>
      <w:r w:rsidRPr="00302CE7">
        <w:t xml:space="preserve"> the most </w:t>
      </w:r>
      <w:r>
        <w:t>important</w:t>
      </w:r>
      <w:r w:rsidRPr="00302CE7">
        <w:t xml:space="preserve"> aspects of </w:t>
      </w:r>
      <w:r>
        <w:t>its</w:t>
      </w:r>
      <w:r w:rsidRPr="00302CE7">
        <w:t xml:space="preserve"> life-cycle.</w:t>
      </w:r>
      <w:r>
        <w:t xml:space="preserve"> </w:t>
      </w:r>
    </w:p>
    <w:p w:rsidR="00DC4E49" w:rsidRPr="00302CE7" w:rsidRDefault="00DC4E49" w:rsidP="00DC4E49">
      <w:pPr>
        <w:contextualSpacing/>
      </w:pPr>
      <w:r w:rsidRPr="00302CE7">
        <w:t xml:space="preserve">In addition to a series of formal </w:t>
      </w:r>
      <w:r>
        <w:t>requirement</w:t>
      </w:r>
      <w:r w:rsidRPr="00302CE7">
        <w:t>s</w:t>
      </w:r>
      <w:r>
        <w:t>,</w:t>
      </w:r>
      <w:r>
        <w:rPr>
          <w:rStyle w:val="Rimandonotaapidipagina"/>
        </w:rPr>
        <w:footnoteReference w:id="9"/>
      </w:r>
      <w:r w:rsidRPr="00302CE7">
        <w:t xml:space="preserve"> </w:t>
      </w:r>
      <w:r>
        <w:t>in</w:t>
      </w:r>
      <w:r w:rsidRPr="00302CE7">
        <w:t xml:space="preserve"> </w:t>
      </w:r>
      <w:r>
        <w:t>“</w:t>
      </w:r>
      <w:r w:rsidRPr="00302CE7">
        <w:t>substance</w:t>
      </w:r>
      <w:r>
        <w:t>”</w:t>
      </w:r>
      <w:r w:rsidRPr="00302CE7">
        <w:t>, the innovative companies must meet one of the following conditions:</w:t>
      </w:r>
    </w:p>
    <w:p w:rsidR="00DC4E49" w:rsidRPr="00302CE7" w:rsidRDefault="00DC4E49" w:rsidP="00DC4E49">
      <w:pPr>
        <w:pStyle w:val="Paragrafoelenco"/>
        <w:numPr>
          <w:ilvl w:val="0"/>
          <w:numId w:val="3"/>
        </w:numPr>
        <w:ind w:left="284" w:hanging="284"/>
        <w:jc w:val="both"/>
      </w:pPr>
      <w:r w:rsidRPr="00302CE7">
        <w:t xml:space="preserve">the total research and development expenses of each business must be equal or greater than 15% of </w:t>
      </w:r>
      <w:r>
        <w:t>whichever is greater,</w:t>
      </w:r>
      <w:r w:rsidRPr="00302CE7">
        <w:t xml:space="preserve"> total expenses </w:t>
      </w:r>
      <w:r>
        <w:t>or</w:t>
      </w:r>
      <w:r w:rsidRPr="00302CE7">
        <w:t xml:space="preserve"> production value;</w:t>
      </w:r>
    </w:p>
    <w:p w:rsidR="00DC4E49" w:rsidRPr="00302CE7" w:rsidRDefault="00DC4E49" w:rsidP="00DC4E49">
      <w:pPr>
        <w:pStyle w:val="Paragrafoelenco"/>
        <w:numPr>
          <w:ilvl w:val="0"/>
          <w:numId w:val="3"/>
        </w:numPr>
        <w:ind w:left="284" w:hanging="284"/>
        <w:jc w:val="both"/>
      </w:pPr>
      <w:r w:rsidRPr="00302CE7">
        <w:t xml:space="preserve">at least one third of the workforce must have or be working toward a PhD at an Italian or foreign university, or at least two thirds of the total workforce must hold a </w:t>
      </w:r>
      <w:proofErr w:type="spellStart"/>
      <w:proofErr w:type="gramStart"/>
      <w:r w:rsidRPr="00302CE7">
        <w:t>Masters</w:t>
      </w:r>
      <w:proofErr w:type="spellEnd"/>
      <w:proofErr w:type="gramEnd"/>
      <w:r w:rsidRPr="00302CE7">
        <w:t xml:space="preserve"> degree;</w:t>
      </w:r>
    </w:p>
    <w:p w:rsidR="00DC4E49" w:rsidRPr="00302CE7" w:rsidRDefault="00DC4E49" w:rsidP="00DC4E49">
      <w:pPr>
        <w:pStyle w:val="Paragrafoelenco"/>
        <w:numPr>
          <w:ilvl w:val="0"/>
          <w:numId w:val="3"/>
        </w:numPr>
        <w:ind w:left="284" w:hanging="284"/>
        <w:jc w:val="both"/>
      </w:pPr>
      <w:r w:rsidRPr="00302CE7">
        <w:t>the business must be the owner</w:t>
      </w:r>
      <w:r>
        <w:t>,</w:t>
      </w:r>
      <w:r w:rsidRPr="00302CE7">
        <w:t xml:space="preserve"> depository or li</w:t>
      </w:r>
      <w:r>
        <w:t>censee of at least one patent</w:t>
      </w:r>
      <w:r w:rsidRPr="00302CE7">
        <w:t xml:space="preserve"> </w:t>
      </w:r>
      <w:r>
        <w:t>directly related</w:t>
      </w:r>
      <w:r w:rsidRPr="00302CE7">
        <w:t xml:space="preserve"> </w:t>
      </w:r>
      <w:r>
        <w:t xml:space="preserve">to its </w:t>
      </w:r>
      <w:r w:rsidRPr="00302CE7">
        <w:t>corporate purpose and business activity</w:t>
      </w:r>
      <w:r>
        <w:t>.</w:t>
      </w:r>
      <w:r w:rsidRPr="00302CE7">
        <w:rPr>
          <w:rStyle w:val="Rimandonotaapidipagina"/>
        </w:rPr>
        <w:t xml:space="preserve"> </w:t>
      </w:r>
      <w:r>
        <w:rPr>
          <w:rStyle w:val="Rimandonotaapidipagina"/>
        </w:rPr>
        <w:footnoteReference w:id="10"/>
      </w:r>
    </w:p>
    <w:p w:rsidR="00DC4E49" w:rsidRPr="00302CE7" w:rsidRDefault="00DC4E49" w:rsidP="00975A32">
      <w:pPr>
        <w:contextualSpacing/>
        <w:jc w:val="both"/>
      </w:pPr>
      <w:r w:rsidRPr="00302CE7">
        <w:t>The basic objective is to promote sustainable growth, technological progress, employment (particularly youth employment), the development of a new entrepreneurial culture,</w:t>
      </w:r>
      <w:r>
        <w:t xml:space="preserve"> the</w:t>
      </w:r>
      <w:r w:rsidRPr="00302CE7">
        <w:t xml:space="preserve"> implementation of an ecosystem more orientated towards innovation</w:t>
      </w:r>
      <w:r>
        <w:t xml:space="preserve"> which</w:t>
      </w:r>
      <w:r w:rsidRPr="00302CE7">
        <w:t xml:space="preserve"> also promot</w:t>
      </w:r>
      <w:r>
        <w:t>es</w:t>
      </w:r>
      <w:r w:rsidRPr="00302CE7">
        <w:t xml:space="preserve"> greater mobility and </w:t>
      </w:r>
      <w:r>
        <w:t>an increase in foreign</w:t>
      </w:r>
      <w:r w:rsidRPr="00302CE7">
        <w:t xml:space="preserve"> capital and talent. All this must be done by creating a favourable environment which provides </w:t>
      </w:r>
      <w:r>
        <w:t>preferential</w:t>
      </w:r>
      <w:r w:rsidRPr="00302CE7">
        <w:t xml:space="preserve"> measures such as simplified procedures</w:t>
      </w:r>
      <w:r>
        <w:t>,</w:t>
      </w:r>
      <w:r w:rsidRPr="00302CE7">
        <w:t xml:space="preserve"> reduction </w:t>
      </w:r>
      <w:r>
        <w:t>in</w:t>
      </w:r>
      <w:r w:rsidRPr="00302CE7">
        <w:t xml:space="preserve"> burdens</w:t>
      </w:r>
      <w:r>
        <w:t>,</w:t>
      </w:r>
      <w:r w:rsidRPr="00302CE7">
        <w:t xml:space="preserve"> some waivers in company law</w:t>
      </w:r>
      <w:r>
        <w:t>,</w:t>
      </w:r>
      <w:r w:rsidRPr="00302CE7">
        <w:t xml:space="preserve"> r</w:t>
      </w:r>
      <w:r>
        <w:t>ecourse to a favourable winding-</w:t>
      </w:r>
      <w:r w:rsidRPr="00302CE7">
        <w:t xml:space="preserve">up procedure and </w:t>
      </w:r>
      <w:r>
        <w:t xml:space="preserve">by </w:t>
      </w:r>
      <w:r w:rsidRPr="00302CE7">
        <w:t>introducing a series of fiscal incentives for stakeholders who wish to invest.</w:t>
      </w:r>
      <w:r>
        <w:rPr>
          <w:rStyle w:val="Rimandonotaapidipagina"/>
        </w:rPr>
        <w:footnoteReference w:id="11"/>
      </w:r>
    </w:p>
    <w:p w:rsidR="00DC4E49" w:rsidRDefault="00DC4E49" w:rsidP="00975A32">
      <w:pPr>
        <w:spacing w:after="160" w:line="259" w:lineRule="auto"/>
        <w:contextualSpacing/>
        <w:jc w:val="both"/>
      </w:pPr>
      <w:r w:rsidRPr="004D3582">
        <w:t>According to the latest statistics, the Italian start-up ecosystem is in good health (</w:t>
      </w:r>
      <w:r>
        <w:t>figure</w:t>
      </w:r>
      <w:r w:rsidRPr="004D3582">
        <w:t xml:space="preserve"> 1)</w:t>
      </w:r>
      <w:r>
        <w:t>. On 30 June 2016 there were 5,</w:t>
      </w:r>
      <w:r w:rsidRPr="004D3582">
        <w:t xml:space="preserve">942 companies registered in the specific section of the </w:t>
      </w:r>
      <w:r>
        <w:t>R</w:t>
      </w:r>
      <w:r w:rsidRPr="004D3582">
        <w:t xml:space="preserve">egister of </w:t>
      </w:r>
      <w:r>
        <w:t>C</w:t>
      </w:r>
      <w:r w:rsidRPr="004D3582">
        <w:t xml:space="preserve">ompanies, which has been growing consistently since it came into law, </w:t>
      </w:r>
      <w:r>
        <w:t>bearing in mind</w:t>
      </w:r>
      <w:r w:rsidRPr="004D3582">
        <w:t xml:space="preserve"> that the data for 2016 is biannual. It is </w:t>
      </w:r>
      <w:r>
        <w:t>undoubtedly</w:t>
      </w:r>
      <w:r w:rsidRPr="004D3582">
        <w:t xml:space="preserve"> </w:t>
      </w:r>
      <w:r w:rsidRPr="004D3582">
        <w:lastRenderedPageBreak/>
        <w:t xml:space="preserve">an encouraging sign, confirming that the mechanism is starting to work. </w:t>
      </w:r>
      <w:r>
        <w:t>A breakdown</w:t>
      </w:r>
      <w:r w:rsidRPr="004D3582">
        <w:t xml:space="preserve"> </w:t>
      </w:r>
      <w:r>
        <w:t xml:space="preserve">of </w:t>
      </w:r>
      <w:r w:rsidRPr="004D3582">
        <w:t xml:space="preserve">this </w:t>
      </w:r>
      <w:r>
        <w:t xml:space="preserve">business </w:t>
      </w:r>
      <w:r w:rsidRPr="004D3582">
        <w:t>category i</w:t>
      </w:r>
      <w:r>
        <w:t>nto sectors (figure 2) shows that</w:t>
      </w:r>
      <w:r w:rsidRPr="004D3582">
        <w:t xml:space="preserve"> 53%</w:t>
      </w:r>
      <w:r>
        <w:t xml:space="preserve"> operate in high-tech</w:t>
      </w:r>
      <w:r w:rsidRPr="004D3582">
        <w:t xml:space="preserve"> sectors using highly specialised human capital. </w:t>
      </w:r>
      <w:proofErr w:type="gramStart"/>
      <w:r w:rsidRPr="004D3582">
        <w:t>In particular, 30%</w:t>
      </w:r>
      <w:proofErr w:type="gramEnd"/>
      <w:r w:rsidRPr="004D3582">
        <w:t xml:space="preserve"> are active in the IT and software sector, approximately 15% in scientific research and development, 20% in industry and craftsmanship, with the remainder split </w:t>
      </w:r>
      <w:r>
        <w:t>between</w:t>
      </w:r>
      <w:r w:rsidRPr="004D3582">
        <w:t xml:space="preserve"> other sectors. From a geo</w:t>
      </w:r>
      <w:r>
        <w:t>graphical</w:t>
      </w:r>
      <w:r w:rsidRPr="004D3582">
        <w:t xml:space="preserve"> perspective, data from </w:t>
      </w:r>
      <w:proofErr w:type="spellStart"/>
      <w:r w:rsidRPr="004D3582">
        <w:t>Infocamere</w:t>
      </w:r>
      <w:proofErr w:type="spellEnd"/>
      <w:r>
        <w:t xml:space="preserve"> shows</w:t>
      </w:r>
      <w:r w:rsidRPr="004D3582">
        <w:t xml:space="preserve"> the greatest concentration in the North (55.1%), followed by </w:t>
      </w:r>
      <w:r>
        <w:t xml:space="preserve">the </w:t>
      </w:r>
      <w:r w:rsidRPr="004D3582">
        <w:t xml:space="preserve">central region (24.6%) and </w:t>
      </w:r>
      <w:r>
        <w:t>then</w:t>
      </w:r>
      <w:r w:rsidRPr="004D3582">
        <w:t xml:space="preserve"> the south and the islands (20.3%). The region with the highest percent</w:t>
      </w:r>
      <w:r>
        <w:t>age</w:t>
      </w:r>
      <w:r w:rsidRPr="004D3582">
        <w:t xml:space="preserve"> is Lombardy (21.6%) with Milan out</w:t>
      </w:r>
      <w:r>
        <w:t xml:space="preserve"> in</w:t>
      </w:r>
      <w:r w:rsidRPr="004D3582">
        <w:t xml:space="preserve"> front thanks to its efficient university system and special relationships with the Municipality and the Region, followed by Emilia Romagna (11.8%), Lazio (10.1%) and Veneto (7.6%). Among the southern regions, Campania and Sicily are ranked sixth and ninth in the national classification, representing 6.2% and 4.6% respectively of total start-ups.</w:t>
      </w:r>
    </w:p>
    <w:p w:rsidR="000D3CDE" w:rsidRDefault="000D3CDE" w:rsidP="00975A32">
      <w:pPr>
        <w:spacing w:after="160" w:line="259" w:lineRule="auto"/>
        <w:contextualSpacing/>
        <w:jc w:val="both"/>
      </w:pPr>
    </w:p>
    <w:p w:rsidR="000D3CDE" w:rsidRPr="00A53482" w:rsidRDefault="00766DBF" w:rsidP="00975A32">
      <w:pPr>
        <w:spacing w:after="160" w:line="259" w:lineRule="auto"/>
        <w:contextualSpacing/>
        <w:jc w:val="both"/>
        <w:rPr>
          <w:b/>
        </w:rPr>
      </w:pPr>
      <w:r w:rsidRPr="00A53482">
        <w:rPr>
          <w:b/>
        </w:rPr>
        <w:t>To i</w:t>
      </w:r>
      <w:r w:rsidR="00DA7DDA">
        <w:rPr>
          <w:b/>
        </w:rPr>
        <w:t>nsert Figure 1 and F</w:t>
      </w:r>
      <w:r w:rsidR="000D3CDE" w:rsidRPr="00A53482">
        <w:rPr>
          <w:b/>
        </w:rPr>
        <w:t>igure 2</w:t>
      </w:r>
    </w:p>
    <w:p w:rsidR="00DC4E49" w:rsidRPr="004D3582" w:rsidRDefault="00DC4E49" w:rsidP="00DC4E49">
      <w:pPr>
        <w:contextualSpacing/>
      </w:pPr>
    </w:p>
    <w:p w:rsidR="00DC4E49" w:rsidRDefault="00DC4E49" w:rsidP="00DC4E49">
      <w:pPr>
        <w:contextualSpacing/>
        <w:jc w:val="both"/>
      </w:pPr>
      <w:r w:rsidRPr="004D3582">
        <w:t>A further legislative measure</w:t>
      </w:r>
      <w:r>
        <w:t xml:space="preserve"> is</w:t>
      </w:r>
      <w:r w:rsidRPr="004D3582">
        <w:t xml:space="preserve"> aimed at promoting development of the so-called </w:t>
      </w:r>
      <w:r w:rsidRPr="00FE10AA">
        <w:rPr>
          <w:i/>
        </w:rPr>
        <w:t>certified incubators</w:t>
      </w:r>
      <w:r w:rsidRPr="004D3582">
        <w:t>, supporting the progressive g</w:t>
      </w:r>
      <w:r>
        <w:t xml:space="preserve">rowth of these businesses and </w:t>
      </w:r>
      <w:r w:rsidRPr="004D3582">
        <w:t xml:space="preserve">nationally </w:t>
      </w:r>
      <w:r w:rsidRPr="00D75863">
        <w:t xml:space="preserve">promoting centres of </w:t>
      </w:r>
      <w:r w:rsidRPr="004D3582">
        <w:t xml:space="preserve">excellence </w:t>
      </w:r>
      <w:r>
        <w:t>that can help develop</w:t>
      </w:r>
      <w:r w:rsidRPr="004D3582">
        <w:t xml:space="preserve"> the production system. The relevant qualifying </w:t>
      </w:r>
      <w:r>
        <w:t>requirements</w:t>
      </w:r>
      <w:r w:rsidRPr="004D3582">
        <w:t xml:space="preserve"> are defined </w:t>
      </w:r>
      <w:r>
        <w:t>in</w:t>
      </w:r>
      <w:r w:rsidRPr="004D3582">
        <w:t xml:space="preserve"> the </w:t>
      </w:r>
      <w:r>
        <w:t>D</w:t>
      </w:r>
      <w:r w:rsidRPr="004D3582">
        <w:t xml:space="preserve">ecree </w:t>
      </w:r>
      <w:r>
        <w:t>issued by t</w:t>
      </w:r>
      <w:r w:rsidRPr="004D3582">
        <w:t xml:space="preserve">he </w:t>
      </w:r>
      <w:r w:rsidRPr="00FE10AA">
        <w:t>Ministry</w:t>
      </w:r>
      <w:r w:rsidRPr="004D3582">
        <w:t xml:space="preserve"> of </w:t>
      </w:r>
      <w:r>
        <w:t>E</w:t>
      </w:r>
      <w:r w:rsidRPr="004D3582">
        <w:t xml:space="preserve">conomic </w:t>
      </w:r>
      <w:r>
        <w:t>D</w:t>
      </w:r>
      <w:r w:rsidRPr="004D3582">
        <w:t xml:space="preserve">evelopment on 22 February 2013, following a consultation involving numerous public and private </w:t>
      </w:r>
      <w:r>
        <w:t xml:space="preserve">bodies </w:t>
      </w:r>
      <w:r w:rsidRPr="004D3582">
        <w:t>from across the country.</w:t>
      </w:r>
      <w:r>
        <w:rPr>
          <w:rStyle w:val="Rimandonotaapidipagina"/>
        </w:rPr>
        <w:footnoteReference w:id="12"/>
      </w:r>
      <w:r w:rsidRPr="004D3582">
        <w:t xml:space="preserve"> </w:t>
      </w:r>
      <w:r w:rsidRPr="00FE10AA">
        <w:t>Certification is in the interests of both those applying for services and the bodies supply</w:t>
      </w:r>
      <w:r>
        <w:t>ing those services</w:t>
      </w:r>
      <w:r w:rsidRPr="00FE10AA">
        <w:t xml:space="preserve"> and </w:t>
      </w:r>
      <w:r>
        <w:t>who are</w:t>
      </w:r>
      <w:r w:rsidRPr="00FE10AA">
        <w:t xml:space="preserve"> recognised </w:t>
      </w:r>
      <w:r>
        <w:t xml:space="preserve">as having </w:t>
      </w:r>
      <w:r w:rsidRPr="00FE10AA">
        <w:t xml:space="preserve">greater </w:t>
      </w:r>
      <w:r>
        <w:t>authority than</w:t>
      </w:r>
      <w:r w:rsidRPr="00FE10AA">
        <w:t xml:space="preserve"> other enterprises. </w:t>
      </w:r>
      <w:r>
        <w:t>Although, o</w:t>
      </w:r>
      <w:r w:rsidRPr="00FE10AA">
        <w:t>n the one hand</w:t>
      </w:r>
      <w:r>
        <w:t>,</w:t>
      </w:r>
      <w:r w:rsidRPr="00FE10AA">
        <w:t xml:space="preserve"> the proliferation of incubators and accelerators</w:t>
      </w:r>
      <w:r>
        <w:t xml:space="preserve"> underlines</w:t>
      </w:r>
      <w:r w:rsidRPr="00FE10AA">
        <w:t xml:space="preserve"> the attractiveness and the strong unrest that this market is experiencing</w:t>
      </w:r>
      <w:r>
        <w:t xml:space="preserve">; on </w:t>
      </w:r>
      <w:r w:rsidRPr="00FE10AA">
        <w:t>the other hand</w:t>
      </w:r>
      <w:r>
        <w:t>,</w:t>
      </w:r>
      <w:r w:rsidRPr="00FE10AA">
        <w:t xml:space="preserve"> </w:t>
      </w:r>
      <w:r>
        <w:t xml:space="preserve">it </w:t>
      </w:r>
      <w:r w:rsidRPr="00FE10AA">
        <w:t xml:space="preserve">is necessary to separate the players worthy of greater consideration from </w:t>
      </w:r>
      <w:r>
        <w:t>improvised</w:t>
      </w:r>
      <w:r w:rsidRPr="00FE10AA">
        <w:t xml:space="preserve"> p</w:t>
      </w:r>
      <w:r>
        <w:t>lan</w:t>
      </w:r>
      <w:r w:rsidRPr="00FE10AA">
        <w:t xml:space="preserve">s and initiatives which often do not have the </w:t>
      </w:r>
      <w:r>
        <w:t xml:space="preserve">necessary </w:t>
      </w:r>
      <w:r w:rsidRPr="00FE10AA">
        <w:t>resources (not just financial) to drive the launch of a successful start-up.</w:t>
      </w:r>
    </w:p>
    <w:p w:rsidR="00DC4E49" w:rsidRPr="00EE7A2F" w:rsidRDefault="00DC4E49" w:rsidP="00DC4E49">
      <w:pPr>
        <w:contextualSpacing/>
        <w:jc w:val="both"/>
      </w:pPr>
      <w:r w:rsidRPr="00EE7A2F">
        <w:t xml:space="preserve">On 30 June 2016, according to data from </w:t>
      </w:r>
      <w:proofErr w:type="spellStart"/>
      <w:r w:rsidRPr="00EE7A2F">
        <w:t>Infocamere</w:t>
      </w:r>
      <w:proofErr w:type="spellEnd"/>
      <w:r w:rsidRPr="00EE7A2F">
        <w:t>, the number of certi</w:t>
      </w:r>
      <w:r>
        <w:t>fied incubators – who must self-</w:t>
      </w:r>
      <w:r w:rsidRPr="00EE7A2F">
        <w:t>certify that they are in possession of the require</w:t>
      </w:r>
      <w:r>
        <w:t>ments specified in law</w:t>
      </w:r>
      <w:r w:rsidRPr="00EE7A2F">
        <w:t>, have registered in the</w:t>
      </w:r>
      <w:r>
        <w:t xml:space="preserve"> special section of the Register</w:t>
      </w:r>
      <w:r w:rsidRPr="00EE7A2F">
        <w:t xml:space="preserve"> of Companies and periodically update their information – was 39</w:t>
      </w:r>
      <w:r>
        <w:t>,</w:t>
      </w:r>
      <w:r w:rsidRPr="00EE7A2F">
        <w:t xml:space="preserve"> with a higher concentration in northern Italy w</w:t>
      </w:r>
      <w:r>
        <w:t>h</w:t>
      </w:r>
      <w:r w:rsidRPr="00EE7A2F">
        <w:t xml:space="preserve">ere approximately 77% of companies are based. </w:t>
      </w:r>
    </w:p>
    <w:p w:rsidR="00DC4E49" w:rsidRDefault="00DC4E49" w:rsidP="00975A32">
      <w:pPr>
        <w:spacing w:after="160" w:line="259" w:lineRule="auto"/>
        <w:contextualSpacing/>
        <w:jc w:val="both"/>
      </w:pPr>
      <w:r w:rsidRPr="00EE7A2F">
        <w:t xml:space="preserve">With the publication of </w:t>
      </w:r>
      <w:r>
        <w:t xml:space="preserve">the </w:t>
      </w:r>
      <w:r w:rsidRPr="00EE7A2F">
        <w:t>Consob R</w:t>
      </w:r>
      <w:r w:rsidRPr="00DF3F6F">
        <w:t>egulation</w:t>
      </w:r>
      <w:r w:rsidRPr="00EE7A2F">
        <w:t xml:space="preserve"> in June 2013, Italy was the first country to regulate </w:t>
      </w:r>
      <w:r w:rsidRPr="00EE7A2F">
        <w:rPr>
          <w:i/>
        </w:rPr>
        <w:t>equity crowdfunding</w:t>
      </w:r>
      <w:r w:rsidRPr="00EE7A2F">
        <w:t>, making it a pioneer in</w:t>
      </w:r>
      <w:r>
        <w:t xml:space="preserve"> this field. In short, through i</w:t>
      </w:r>
      <w:r w:rsidRPr="00EE7A2F">
        <w:t>nternet sites, a group of financial stakeholders</w:t>
      </w:r>
      <w:r>
        <w:t>,</w:t>
      </w:r>
      <w:r w:rsidRPr="00EE7A2F">
        <w:t xml:space="preserve"> even with small amounts</w:t>
      </w:r>
      <w:r>
        <w:t>, finance</w:t>
      </w:r>
      <w:r w:rsidRPr="00EE7A2F">
        <w:t xml:space="preserve"> a new industrial project, acquiring </w:t>
      </w:r>
      <w:r>
        <w:t xml:space="preserve">a shareholding </w:t>
      </w:r>
      <w:r w:rsidRPr="00EE7A2F">
        <w:t xml:space="preserve">in a company with concurrent acquisition of </w:t>
      </w:r>
      <w:r>
        <w:t xml:space="preserve">the </w:t>
      </w:r>
      <w:r w:rsidRPr="00EE7A2F">
        <w:t>proprietary and administrative rights</w:t>
      </w:r>
      <w:r>
        <w:t xml:space="preserve"> that come from it</w:t>
      </w:r>
      <w:r w:rsidRPr="00EE7A2F">
        <w:t xml:space="preserve">. </w:t>
      </w:r>
      <w:r w:rsidRPr="00FD0CE0">
        <w:t xml:space="preserve">This arrangement, which </w:t>
      </w:r>
      <w:r w:rsidRPr="00EE7A2F">
        <w:t xml:space="preserve">is based on the strong potential of a network of interconnected individuals, is a genuine </w:t>
      </w:r>
      <w:r>
        <w:t>means of raising “</w:t>
      </w:r>
      <w:r w:rsidRPr="00EE7A2F">
        <w:t>equity</w:t>
      </w:r>
      <w:r>
        <w:t>” online, either in the form of stocks</w:t>
      </w:r>
      <w:r w:rsidRPr="00EE7A2F">
        <w:t xml:space="preserve"> </w:t>
      </w:r>
      <w:r w:rsidRPr="00016609">
        <w:t>or shares</w:t>
      </w:r>
      <w:r w:rsidRPr="00EE7A2F">
        <w:t xml:space="preserve">, </w:t>
      </w:r>
      <w:r>
        <w:t xml:space="preserve">and </w:t>
      </w:r>
      <w:r w:rsidRPr="00EE7A2F">
        <w:t xml:space="preserve">therefore risk capital for the companies, </w:t>
      </w:r>
      <w:r>
        <w:t>and has</w:t>
      </w:r>
      <w:r w:rsidRPr="00EE7A2F">
        <w:t xml:space="preserve"> many similarities to an IPO (</w:t>
      </w:r>
      <w:r>
        <w:rPr>
          <w:i/>
        </w:rPr>
        <w:t>Initial Public O</w:t>
      </w:r>
      <w:r w:rsidRPr="00EE7A2F">
        <w:rPr>
          <w:i/>
        </w:rPr>
        <w:t>ffering</w:t>
      </w:r>
      <w:r>
        <w:t xml:space="preserve">), with the financier </w:t>
      </w:r>
      <w:r w:rsidRPr="00EE7A2F">
        <w:t>effectively becoming a partner in the entrepreneurial initiative which he financed th</w:t>
      </w:r>
      <w:r>
        <w:t>rough the platform</w:t>
      </w:r>
      <w:r w:rsidRPr="00EE7A2F">
        <w:t xml:space="preserve"> </w:t>
      </w:r>
      <w:r w:rsidRPr="000902E0">
        <w:t>(</w:t>
      </w:r>
      <w:proofErr w:type="spellStart"/>
      <w:r w:rsidRPr="000902E0">
        <w:t>Lerro</w:t>
      </w:r>
      <w:proofErr w:type="spellEnd"/>
      <w:r w:rsidRPr="000902E0">
        <w:t xml:space="preserve">, 2013; </w:t>
      </w:r>
      <w:proofErr w:type="spellStart"/>
      <w:r w:rsidRPr="000902E0">
        <w:t>Mollick</w:t>
      </w:r>
      <w:proofErr w:type="spellEnd"/>
      <w:r w:rsidRPr="000902E0">
        <w:t xml:space="preserve">, 2014, </w:t>
      </w:r>
      <w:proofErr w:type="spellStart"/>
      <w:r w:rsidRPr="000902E0">
        <w:rPr>
          <w:rFonts w:cstheme="minorHAnsi"/>
        </w:rPr>
        <w:t>Pais</w:t>
      </w:r>
      <w:proofErr w:type="spellEnd"/>
      <w:r w:rsidRPr="000902E0">
        <w:rPr>
          <w:rFonts w:cstheme="minorHAnsi"/>
        </w:rPr>
        <w:t xml:space="preserve"> </w:t>
      </w:r>
      <w:r w:rsidRPr="000902E0">
        <w:rPr>
          <w:rFonts w:cstheme="minorHAnsi"/>
          <w:i/>
        </w:rPr>
        <w:t>et al.</w:t>
      </w:r>
      <w:r w:rsidRPr="000902E0">
        <w:rPr>
          <w:rFonts w:cstheme="minorHAnsi"/>
        </w:rPr>
        <w:t xml:space="preserve"> 2014)</w:t>
      </w:r>
      <w:r>
        <w:rPr>
          <w:rFonts w:cstheme="minorHAnsi"/>
        </w:rPr>
        <w:t>.</w:t>
      </w:r>
      <w:r w:rsidRPr="00011F80">
        <w:rPr>
          <w:rStyle w:val="Rimandonotaapidipagina"/>
        </w:rPr>
        <w:footnoteReference w:id="13"/>
      </w:r>
      <w:r w:rsidRPr="000902E0">
        <w:t xml:space="preserve"> </w:t>
      </w:r>
    </w:p>
    <w:p w:rsidR="00DC4E49" w:rsidRPr="00786684" w:rsidRDefault="00DC4E49" w:rsidP="00975A32">
      <w:pPr>
        <w:spacing w:after="160" w:line="259" w:lineRule="auto"/>
        <w:contextualSpacing/>
        <w:jc w:val="both"/>
      </w:pPr>
      <w:r w:rsidRPr="000902E0">
        <w:t>The cited Regulation, approved by resolution n</w:t>
      </w:r>
      <w:r>
        <w:t>o</w:t>
      </w:r>
      <w:r w:rsidRPr="000902E0">
        <w:t xml:space="preserve">. 18592, </w:t>
      </w:r>
      <w:r>
        <w:t xml:space="preserve">regulates </w:t>
      </w:r>
      <w:r w:rsidRPr="000902E0">
        <w:t>both the registration of intermediaries, i.e. the portal managers, in the appropriate registry held by Consob, and the proposals launched th</w:t>
      </w:r>
      <w:r>
        <w:t>rough the platform. As present</w:t>
      </w:r>
      <w:r w:rsidRPr="00016609">
        <w:t xml:space="preserve">, </w:t>
      </w:r>
      <w:r>
        <w:t>t</w:t>
      </w:r>
      <w:r w:rsidRPr="000902E0">
        <w:t xml:space="preserve">he task of managing the </w:t>
      </w:r>
      <w:r>
        <w:t xml:space="preserve">online capital-raising </w:t>
      </w:r>
      <w:r w:rsidRPr="000902E0">
        <w:t>portals is reserved for monitored intermediaries such as banks and investment companies (</w:t>
      </w:r>
      <w:r>
        <w:t>“</w:t>
      </w:r>
      <w:r w:rsidRPr="000902E0">
        <w:t>rights management companies</w:t>
      </w:r>
      <w:r>
        <w:t>”</w:t>
      </w:r>
      <w:r w:rsidRPr="000902E0">
        <w:t xml:space="preserve">), who do not require specific authorisation and are </w:t>
      </w:r>
      <w:r>
        <w:t>list</w:t>
      </w:r>
      <w:r w:rsidRPr="000902E0">
        <w:t xml:space="preserve">ed in the special section, and to managers who have been </w:t>
      </w:r>
      <w:r>
        <w:t>“</w:t>
      </w:r>
      <w:r w:rsidRPr="000902E0">
        <w:t>authorised</w:t>
      </w:r>
      <w:r>
        <w:t>”</w:t>
      </w:r>
      <w:r w:rsidRPr="000902E0">
        <w:t xml:space="preserve"> by </w:t>
      </w:r>
      <w:r w:rsidRPr="000902E0">
        <w:lastRenderedPageBreak/>
        <w:t xml:space="preserve">Consob and registered in the </w:t>
      </w:r>
      <w:r>
        <w:t>ordinary</w:t>
      </w:r>
      <w:r w:rsidRPr="000902E0">
        <w:t xml:space="preserve"> section, for whom the </w:t>
      </w:r>
      <w:r w:rsidRPr="0032453D">
        <w:t>regulation</w:t>
      </w:r>
      <w:r w:rsidRPr="000902E0">
        <w:t xml:space="preserve"> provides exemption from the ‘common’ MiFID (Markets in Financial Instruments Directive) rules regarding the execution of investment services</w:t>
      </w:r>
      <w:r>
        <w:t>,</w:t>
      </w:r>
      <w:r w:rsidRPr="000902E0">
        <w:t xml:space="preserve"> </w:t>
      </w:r>
      <w:r>
        <w:t xml:space="preserve">specific requirements concerning the </w:t>
      </w:r>
      <w:r w:rsidRPr="000902E0">
        <w:t xml:space="preserve">good repute and competence </w:t>
      </w:r>
      <w:r>
        <w:t xml:space="preserve">of the partners, </w:t>
      </w:r>
      <w:r w:rsidRPr="000902E0">
        <w:t xml:space="preserve">as well as specific disclosure obligations and a series of </w:t>
      </w:r>
      <w:r>
        <w:t>“</w:t>
      </w:r>
      <w:r w:rsidRPr="000902E0">
        <w:t>rules of conduct</w:t>
      </w:r>
      <w:r>
        <w:t>”</w:t>
      </w:r>
      <w:r w:rsidRPr="000902E0">
        <w:t xml:space="preserve"> to guarantee diligence, correctness and transparency of behaviour, management of conflicts of interests,</w:t>
      </w:r>
      <w:r>
        <w:t xml:space="preserve"> and</w:t>
      </w:r>
      <w:r w:rsidRPr="000902E0">
        <w:t xml:space="preserve"> equal treatment of</w:t>
      </w:r>
      <w:r>
        <w:t xml:space="preserve"> the recipients of the offering.</w:t>
      </w:r>
      <w:r>
        <w:rPr>
          <w:rStyle w:val="Rimandonotaapidipagina"/>
        </w:rPr>
        <w:footnoteReference w:id="14"/>
      </w:r>
    </w:p>
    <w:p w:rsidR="00DC4E49" w:rsidRDefault="00DC4E49" w:rsidP="00975A32">
      <w:pPr>
        <w:spacing w:after="160" w:line="259" w:lineRule="auto"/>
        <w:contextualSpacing/>
        <w:jc w:val="both"/>
      </w:pPr>
      <w:r w:rsidRPr="00045BFE">
        <w:t xml:space="preserve">The fundamental role of the portal is </w:t>
      </w:r>
      <w:r>
        <w:t xml:space="preserve">to enable </w:t>
      </w:r>
      <w:r w:rsidRPr="00045BFE">
        <w:t xml:space="preserve">investors to understand </w:t>
      </w:r>
      <w:r>
        <w:t>the characteristic</w:t>
      </w:r>
      <w:r w:rsidRPr="00045BFE">
        <w:t>s and risks of the proposed investments</w:t>
      </w:r>
      <w:r>
        <w:rPr>
          <w:rStyle w:val="Rimandonotaapidipagina"/>
        </w:rPr>
        <w:footnoteReference w:id="15"/>
      </w:r>
      <w:r w:rsidRPr="00045BFE">
        <w:t xml:space="preserve"> and</w:t>
      </w:r>
      <w:r>
        <w:t>,</w:t>
      </w:r>
      <w:r w:rsidRPr="00045BFE">
        <w:t xml:space="preserve"> therefore</w:t>
      </w:r>
      <w:r>
        <w:t>,</w:t>
      </w:r>
      <w:r w:rsidRPr="00045BFE">
        <w:t xml:space="preserve"> information to the public must be correct</w:t>
      </w:r>
      <w:r>
        <w:t>,</w:t>
      </w:r>
      <w:r w:rsidRPr="00045BFE">
        <w:t xml:space="preserve"> up-t</w:t>
      </w:r>
      <w:r>
        <w:t>o-date, clear and not misleading.</w:t>
      </w:r>
      <w:r>
        <w:rPr>
          <w:rStyle w:val="Rimandonotaapidipagina"/>
        </w:rPr>
        <w:footnoteReference w:id="16"/>
      </w:r>
    </w:p>
    <w:p w:rsidR="00DC4E49" w:rsidRDefault="00DC4E49" w:rsidP="00975A32">
      <w:pPr>
        <w:spacing w:after="160" w:line="259" w:lineRule="auto"/>
        <w:jc w:val="both"/>
      </w:pPr>
      <w:r w:rsidRPr="00045BFE">
        <w:t xml:space="preserve">Despite the </w:t>
      </w:r>
      <w:r>
        <w:t xml:space="preserve">fact that the </w:t>
      </w:r>
      <w:r w:rsidRPr="00045BFE">
        <w:t xml:space="preserve">system </w:t>
      </w:r>
      <w:r>
        <w:t>has been drawn up in law</w:t>
      </w:r>
      <w:r w:rsidRPr="00045BFE">
        <w:t xml:space="preserve"> and there are a number of platforms in operation</w:t>
      </w:r>
      <w:r>
        <w:t>,</w:t>
      </w:r>
      <w:r w:rsidRPr="00045BFE">
        <w:rPr>
          <w:rStyle w:val="Rimandonotaapidipagina"/>
        </w:rPr>
        <w:t xml:space="preserve"> </w:t>
      </w:r>
      <w:r>
        <w:rPr>
          <w:rStyle w:val="Rimandonotaapidipagina"/>
        </w:rPr>
        <w:footnoteReference w:id="17"/>
      </w:r>
      <w:r>
        <w:t xml:space="preserve"> </w:t>
      </w:r>
      <w:r w:rsidRPr="00045BFE">
        <w:t xml:space="preserve">the </w:t>
      </w:r>
      <w:r>
        <w:t>contribution of</w:t>
      </w:r>
      <w:r w:rsidRPr="00045BFE">
        <w:t xml:space="preserve"> capital</w:t>
      </w:r>
      <w:r>
        <w:t xml:space="preserve"> raised</w:t>
      </w:r>
      <w:r w:rsidRPr="00045BFE">
        <w:t xml:space="preserve"> through crowdfunding has been </w:t>
      </w:r>
      <w:r>
        <w:t>small</w:t>
      </w:r>
      <w:r w:rsidRPr="00045BFE">
        <w:t xml:space="preserve"> in these years, </w:t>
      </w:r>
      <w:r>
        <w:t xml:space="preserve">both </w:t>
      </w:r>
      <w:r w:rsidRPr="00045BFE">
        <w:t xml:space="preserve">overall </w:t>
      </w:r>
      <w:proofErr w:type="gramStart"/>
      <w:r>
        <w:t xml:space="preserve">and in comparison </w:t>
      </w:r>
      <w:proofErr w:type="gramEnd"/>
      <w:r>
        <w:t xml:space="preserve">to </w:t>
      </w:r>
      <w:r w:rsidRPr="00045BFE">
        <w:t xml:space="preserve">aggregate data </w:t>
      </w:r>
      <w:r>
        <w:t>at</w:t>
      </w:r>
      <w:r w:rsidRPr="00045BFE">
        <w:t xml:space="preserve"> an international level. In fact</w:t>
      </w:r>
      <w:r>
        <w:t>,</w:t>
      </w:r>
      <w:r w:rsidRPr="00045BFE">
        <w:t xml:space="preserve"> while network funding on a global level (</w:t>
      </w:r>
      <w:r>
        <w:t>figure</w:t>
      </w:r>
      <w:r w:rsidRPr="00045BFE">
        <w:t xml:space="preserve"> </w:t>
      </w:r>
      <w:r>
        <w:t>3</w:t>
      </w:r>
      <w:r w:rsidRPr="00045BFE">
        <w:t>) has achieved significant validation and i</w:t>
      </w:r>
      <w:r>
        <w:t>s a positive trend growing by 1,</w:t>
      </w:r>
      <w:r w:rsidRPr="00045BFE">
        <w:t xml:space="preserve">276% from 2012 to 2015 </w:t>
      </w:r>
      <w:r>
        <w:t>and raising $34.4b</w:t>
      </w:r>
      <w:r w:rsidRPr="00045BFE">
        <w:t xml:space="preserve">n in 2015 alone </w:t>
      </w:r>
      <w:r>
        <w:t>(up $19.2b</w:t>
      </w:r>
      <w:r w:rsidRPr="00045BFE">
        <w:t xml:space="preserve">n compared to 2014), in Italy we are </w:t>
      </w:r>
      <w:r>
        <w:t xml:space="preserve">only </w:t>
      </w:r>
      <w:r w:rsidRPr="00045BFE">
        <w:t xml:space="preserve">beginning and the numbers, </w:t>
      </w:r>
      <w:r>
        <w:t xml:space="preserve">both </w:t>
      </w:r>
      <w:r w:rsidRPr="00045BFE">
        <w:t xml:space="preserve">the total </w:t>
      </w:r>
      <w:r w:rsidRPr="00DB1D7D">
        <w:t xml:space="preserve">amount raised </w:t>
      </w:r>
      <w:r w:rsidRPr="00045BFE">
        <w:t>(</w:t>
      </w:r>
      <w:r>
        <w:t>figure</w:t>
      </w:r>
      <w:r w:rsidRPr="00045BFE">
        <w:t xml:space="preserve"> </w:t>
      </w:r>
      <w:r>
        <w:t>4</w:t>
      </w:r>
      <w:r w:rsidRPr="00045BFE">
        <w:t xml:space="preserve">) </w:t>
      </w:r>
      <w:r>
        <w:t>and the</w:t>
      </w:r>
      <w:r w:rsidRPr="00045BFE">
        <w:t xml:space="preserve"> investors who have embraced this innovative practice, </w:t>
      </w:r>
      <w:r>
        <w:t>although increasing,</w:t>
      </w:r>
      <w:r w:rsidRPr="00045BFE">
        <w:t xml:space="preserve"> are essentially irrelevant</w:t>
      </w:r>
      <w:r>
        <w:t>.</w:t>
      </w:r>
      <w:r>
        <w:rPr>
          <w:rStyle w:val="Rimandonotaapidipagina"/>
        </w:rPr>
        <w:footnoteReference w:id="18"/>
      </w:r>
    </w:p>
    <w:p w:rsidR="00DC4E49" w:rsidRPr="00A53482" w:rsidRDefault="00766DBF" w:rsidP="00DC4E49">
      <w:pPr>
        <w:contextualSpacing/>
        <w:jc w:val="both"/>
        <w:rPr>
          <w:b/>
        </w:rPr>
      </w:pPr>
      <w:r w:rsidRPr="00A53482">
        <w:rPr>
          <w:b/>
        </w:rPr>
        <w:t>To i</w:t>
      </w:r>
      <w:r w:rsidR="00A53482" w:rsidRPr="00A53482">
        <w:rPr>
          <w:b/>
        </w:rPr>
        <w:t>nsert Figure 3 and F</w:t>
      </w:r>
      <w:r w:rsidR="000D3CDE" w:rsidRPr="00A53482">
        <w:rPr>
          <w:b/>
        </w:rPr>
        <w:t>igure 4</w:t>
      </w:r>
    </w:p>
    <w:p w:rsidR="000D3CDE" w:rsidRDefault="000D3CDE" w:rsidP="00DC4E49">
      <w:pPr>
        <w:contextualSpacing/>
        <w:jc w:val="both"/>
      </w:pPr>
    </w:p>
    <w:p w:rsidR="00DC4E49" w:rsidRPr="004F1A2D" w:rsidRDefault="00DC4E49" w:rsidP="00975A32">
      <w:pPr>
        <w:contextualSpacing/>
        <w:jc w:val="both"/>
      </w:pPr>
      <w:r w:rsidRPr="004F1A2D">
        <w:t xml:space="preserve">Article 4 of Decree Law 3/2015 on urgent measures for the banking system and investments (the so-called </w:t>
      </w:r>
      <w:r>
        <w:t>“</w:t>
      </w:r>
      <w:r w:rsidRPr="004F1A2D">
        <w:t>Investment Compact</w:t>
      </w:r>
      <w:r>
        <w:t>”</w:t>
      </w:r>
      <w:r w:rsidRPr="004F1A2D">
        <w:t xml:space="preserve">), modified in Law 3/2015, finally introduced the new figure of </w:t>
      </w:r>
      <w:r w:rsidRPr="004F1A2D">
        <w:rPr>
          <w:i/>
        </w:rPr>
        <w:t>innovative SMEs</w:t>
      </w:r>
      <w:r w:rsidRPr="004F1A2D">
        <w:t xml:space="preserve">, </w:t>
      </w:r>
      <w:r>
        <w:t xml:space="preserve">who can avail of a </w:t>
      </w:r>
      <w:r w:rsidRPr="004F1A2D">
        <w:t xml:space="preserve">large </w:t>
      </w:r>
      <w:r>
        <w:t>proportion</w:t>
      </w:r>
      <w:r w:rsidRPr="004F1A2D">
        <w:t xml:space="preserve"> of</w:t>
      </w:r>
      <w:r>
        <w:t xml:space="preserve"> the</w:t>
      </w:r>
      <w:r w:rsidRPr="004F1A2D">
        <w:t xml:space="preserve"> planned measures to assist innovative start-ups </w:t>
      </w:r>
      <w:r>
        <w:t>under Decree L</w:t>
      </w:r>
      <w:r w:rsidRPr="004F1A2D">
        <w:t xml:space="preserve">aw </w:t>
      </w:r>
      <w:r>
        <w:t xml:space="preserve">no. </w:t>
      </w:r>
      <w:r w:rsidRPr="004F1A2D">
        <w:t xml:space="preserve">179 of 2012, </w:t>
      </w:r>
      <w:r>
        <w:t>with</w:t>
      </w:r>
      <w:r w:rsidRPr="004F1A2D">
        <w:t xml:space="preserve"> particular </w:t>
      </w:r>
      <w:r>
        <w:t xml:space="preserve">reference </w:t>
      </w:r>
      <w:r w:rsidRPr="004F1A2D">
        <w:t xml:space="preserve">to fiscal incentives for investment and the </w:t>
      </w:r>
      <w:r>
        <w:t>opportunity to raise</w:t>
      </w:r>
      <w:r w:rsidRPr="004F1A2D">
        <w:t xml:space="preserve"> risk capital on the market through equity crowdfunding, and in order to access this the</w:t>
      </w:r>
      <w:r>
        <w:t xml:space="preserve">y must register in the specifically designed special </w:t>
      </w:r>
      <w:r w:rsidRPr="004F1A2D">
        <w:t xml:space="preserve">section of the Register of Companies </w:t>
      </w:r>
      <w:r>
        <w:t>in a</w:t>
      </w:r>
      <w:r w:rsidRPr="004F1A2D">
        <w:t xml:space="preserve"> C</w:t>
      </w:r>
      <w:r>
        <w:t>hamber</w:t>
      </w:r>
      <w:r w:rsidRPr="004F1A2D">
        <w:t xml:space="preserve"> of Commerce.</w:t>
      </w:r>
      <w:r>
        <w:rPr>
          <w:rStyle w:val="Rimandonotaapidipagina"/>
        </w:rPr>
        <w:footnoteReference w:id="19"/>
      </w:r>
      <w:r w:rsidRPr="004F1A2D">
        <w:t xml:space="preserve"> </w:t>
      </w:r>
      <w:r>
        <w:t>Also</w:t>
      </w:r>
      <w:r w:rsidRPr="004F1A2D">
        <w:t xml:space="preserve"> in this case</w:t>
      </w:r>
      <w:r>
        <w:t>,</w:t>
      </w:r>
      <w:r w:rsidRPr="004F1A2D">
        <w:t xml:space="preserve"> the </w:t>
      </w:r>
      <w:r>
        <w:t>“</w:t>
      </w:r>
      <w:r w:rsidRPr="004F1A2D">
        <w:t>innovative</w:t>
      </w:r>
      <w:r>
        <w:t>”</w:t>
      </w:r>
      <w:r w:rsidRPr="004F1A2D">
        <w:t xml:space="preserve"> </w:t>
      </w:r>
      <w:r>
        <w:t>nature</w:t>
      </w:r>
      <w:r w:rsidRPr="004F1A2D">
        <w:t xml:space="preserve"> of the bus</w:t>
      </w:r>
      <w:r>
        <w:t>iness</w:t>
      </w:r>
      <w:r>
        <w:rPr>
          <w:rStyle w:val="Rimandonotaapidipagina"/>
        </w:rPr>
        <w:footnoteReference w:id="20"/>
      </w:r>
      <w:r w:rsidRPr="004F1A2D">
        <w:t xml:space="preserve"> is established by the existence of at least two of the following three </w:t>
      </w:r>
      <w:r>
        <w:t>requirement</w:t>
      </w:r>
      <w:r w:rsidRPr="004F1A2D">
        <w:t>s: R</w:t>
      </w:r>
      <w:r>
        <w:t>&amp;</w:t>
      </w:r>
      <w:r w:rsidRPr="004F1A2D">
        <w:t xml:space="preserve">D expenses equal to at least 3% of whichever is greater </w:t>
      </w:r>
      <w:r>
        <w:t xml:space="preserve">between the </w:t>
      </w:r>
      <w:r w:rsidRPr="004F1A2D">
        <w:t>value and cost of production; employment of hig</w:t>
      </w:r>
      <w:r>
        <w:t xml:space="preserve">hly qualified staff (at least 1 in </w:t>
      </w:r>
      <w:r w:rsidRPr="004F1A2D">
        <w:t xml:space="preserve">5 </w:t>
      </w:r>
      <w:r>
        <w:t xml:space="preserve">research </w:t>
      </w:r>
      <w:r w:rsidRPr="004F1A2D">
        <w:t>PhDs or at least 1</w:t>
      </w:r>
      <w:r>
        <w:t xml:space="preserve"> in </w:t>
      </w:r>
      <w:r w:rsidRPr="004F1A2D">
        <w:t xml:space="preserve">3 with a </w:t>
      </w:r>
      <w:proofErr w:type="spellStart"/>
      <w:r w:rsidRPr="004F1A2D">
        <w:t>Masters</w:t>
      </w:r>
      <w:proofErr w:type="spellEnd"/>
      <w:r w:rsidRPr="004F1A2D">
        <w:t xml:space="preserve"> degree; be the owner</w:t>
      </w:r>
      <w:r>
        <w:t>/depository/</w:t>
      </w:r>
      <w:r w:rsidRPr="004F1A2D">
        <w:t xml:space="preserve">licensee of at least one patent or </w:t>
      </w:r>
      <w:r>
        <w:t xml:space="preserve">piece of </w:t>
      </w:r>
      <w:r w:rsidRPr="004F1A2D">
        <w:t xml:space="preserve">software registered in the public </w:t>
      </w:r>
      <w:r w:rsidRPr="004F1A2D">
        <w:lastRenderedPageBreak/>
        <w:t xml:space="preserve">registry of the </w:t>
      </w:r>
      <w:r>
        <w:t>SIAE</w:t>
      </w:r>
      <w:r w:rsidRPr="004F1A2D">
        <w:t xml:space="preserve"> </w:t>
      </w:r>
      <w:r>
        <w:t>(</w:t>
      </w:r>
      <w:r w:rsidRPr="004F1A2D">
        <w:t xml:space="preserve">Italian Society of </w:t>
      </w:r>
      <w:r>
        <w:t>A</w:t>
      </w:r>
      <w:r w:rsidRPr="004F1A2D">
        <w:t xml:space="preserve">uthors and </w:t>
      </w:r>
      <w:r>
        <w:t>P</w:t>
      </w:r>
      <w:r w:rsidRPr="004F1A2D">
        <w:t>ublishers</w:t>
      </w:r>
      <w:r>
        <w:t>)</w:t>
      </w:r>
      <w:r w:rsidRPr="004F1A2D">
        <w:t xml:space="preserve"> </w:t>
      </w:r>
      <w:r>
        <w:t xml:space="preserve">which </w:t>
      </w:r>
      <w:r w:rsidRPr="004F1A2D">
        <w:t xml:space="preserve">directly </w:t>
      </w:r>
      <w:r>
        <w:t>relates to the</w:t>
      </w:r>
      <w:r w:rsidRPr="004F1A2D">
        <w:t xml:space="preserve"> corporate purpose and </w:t>
      </w:r>
      <w:r>
        <w:t xml:space="preserve">business </w:t>
      </w:r>
      <w:r w:rsidRPr="004F1A2D">
        <w:t>activity.</w:t>
      </w:r>
    </w:p>
    <w:p w:rsidR="00DC4E49" w:rsidRPr="004F1A2D" w:rsidRDefault="00DC4E49" w:rsidP="00975A32">
      <w:pPr>
        <w:spacing w:after="160" w:line="259" w:lineRule="auto"/>
        <w:contextualSpacing/>
        <w:jc w:val="both"/>
      </w:pPr>
      <w:r w:rsidRPr="004F1A2D">
        <w:t xml:space="preserve">In June 2016, according to data from </w:t>
      </w:r>
      <w:proofErr w:type="spellStart"/>
      <w:r w:rsidRPr="004F1A2D">
        <w:t>Infocamere</w:t>
      </w:r>
      <w:proofErr w:type="spellEnd"/>
      <w:r w:rsidRPr="004F1A2D">
        <w:t xml:space="preserve">, 204 SMEs were registered in the </w:t>
      </w:r>
      <w:r>
        <w:t>“</w:t>
      </w:r>
      <w:r w:rsidRPr="004F1A2D">
        <w:t>Innovative SMEs</w:t>
      </w:r>
      <w:r>
        <w:t>”</w:t>
      </w:r>
      <w:r w:rsidRPr="004F1A2D">
        <w:t xml:space="preserve"> section</w:t>
      </w:r>
      <w:r>
        <w:t>, registering</w:t>
      </w:r>
      <w:r w:rsidRPr="004F1A2D">
        <w:t xml:space="preserve"> linear growth in the two-year period 2015</w:t>
      </w:r>
      <w:r>
        <w:t>-</w:t>
      </w:r>
      <w:r w:rsidRPr="004F1A2D">
        <w:t xml:space="preserve">2016 and </w:t>
      </w:r>
      <w:r>
        <w:t xml:space="preserve">with </w:t>
      </w:r>
      <w:r w:rsidRPr="004F1A2D">
        <w:t xml:space="preserve">an economic sector breakdown similar to that already seen for innovative start-ups: 63.4% operate in the service sector (36% of these in IT and software, 20% in R&amp;D), while the percentage of those in industry and craftsmanship is 33%. </w:t>
      </w:r>
      <w:proofErr w:type="gramStart"/>
      <w:r w:rsidRPr="004F1A2D">
        <w:t>Also</w:t>
      </w:r>
      <w:proofErr w:type="gramEnd"/>
      <w:r w:rsidRPr="004F1A2D">
        <w:t xml:space="preserve"> in this case, the Italian region with the highest level of registered innovative SMEs is Lombardi (22.8%), followed by Emilia Romagna and Puglia (8.4%) and Lazio (6.9%)</w:t>
      </w:r>
      <w:r>
        <w:t>.</w:t>
      </w:r>
    </w:p>
    <w:p w:rsidR="00DC4E49" w:rsidRPr="004F1A2D" w:rsidRDefault="00DC4E49" w:rsidP="00DC4E49">
      <w:pPr>
        <w:contextualSpacing/>
        <w:jc w:val="both"/>
      </w:pPr>
      <w:r w:rsidRPr="004F1A2D">
        <w:t xml:space="preserve">As with the innovative start-ups, the innovative SMEs have free and easy access to the Guarantee Fund for SMEs under law 662/1996 </w:t>
      </w:r>
      <w:r>
        <w:rPr>
          <w:rStyle w:val="Rimandonotaapidipagina"/>
        </w:rPr>
        <w:footnoteReference w:id="21"/>
      </w:r>
      <w:r w:rsidRPr="004F1A2D">
        <w:t xml:space="preserve"> for an amount equal to 80% of th</w:t>
      </w:r>
      <w:r>
        <w:t>e bank loan and a limit of €2.5</w:t>
      </w:r>
      <w:r w:rsidRPr="004F1A2D">
        <w:t xml:space="preserve">m as a total maximum guaranteed amount, </w:t>
      </w:r>
      <w:r>
        <w:t>which can be used</w:t>
      </w:r>
      <w:r w:rsidRPr="004F1A2D">
        <w:t xml:space="preserve"> for multiple operations until it reaches the threshold, as there is no maximum limit of operations which can be made. Such support is growing significantly, considering that innovative start-ups, being recently</w:t>
      </w:r>
      <w:r>
        <w:t>-</w:t>
      </w:r>
      <w:r w:rsidRPr="004F1A2D">
        <w:t>launched entrepreneurial companies, often encounter significant difficulty in getting bank loans.</w:t>
      </w:r>
      <w:r>
        <w:rPr>
          <w:rStyle w:val="Rimandonotaapidipagina"/>
        </w:rPr>
        <w:footnoteReference w:id="22"/>
      </w:r>
    </w:p>
    <w:p w:rsidR="00DC4E49" w:rsidRPr="004F1A2D" w:rsidRDefault="00DC4E49" w:rsidP="00975A32">
      <w:pPr>
        <w:spacing w:after="160" w:line="259" w:lineRule="auto"/>
        <w:contextualSpacing/>
        <w:jc w:val="both"/>
      </w:pPr>
      <w:r w:rsidRPr="00CD7C24">
        <w:t>The gov</w:t>
      </w:r>
      <w:r>
        <w:t>ernment has recently intervened with, not only</w:t>
      </w:r>
      <w:r w:rsidRPr="00CD7C24">
        <w:t xml:space="preserve"> various measures in specific sectors to promote the innovative start-up ecosystem,</w:t>
      </w:r>
      <w:r>
        <w:rPr>
          <w:rStyle w:val="Rimandonotaapidipagina"/>
        </w:rPr>
        <w:footnoteReference w:id="23"/>
      </w:r>
      <w:r w:rsidRPr="00CD7C24">
        <w:t xml:space="preserve"> </w:t>
      </w:r>
      <w:r>
        <w:t>but also</w:t>
      </w:r>
      <w:r w:rsidRPr="004F1A2D">
        <w:t xml:space="preserve"> </w:t>
      </w:r>
      <w:r>
        <w:t xml:space="preserve">venture </w:t>
      </w:r>
      <w:r w:rsidRPr="004F1A2D">
        <w:t xml:space="preserve">capital projects in the wake of </w:t>
      </w:r>
      <w:r>
        <w:t>discussions at the C</w:t>
      </w:r>
      <w:r w:rsidRPr="004F1A2D">
        <w:t xml:space="preserve">ommunity level </w:t>
      </w:r>
      <w:r>
        <w:t>where</w:t>
      </w:r>
      <w:r w:rsidRPr="004F1A2D">
        <w:t xml:space="preserve"> the European </w:t>
      </w:r>
      <w:r>
        <w:t>C</w:t>
      </w:r>
      <w:r w:rsidRPr="004F1A2D">
        <w:t xml:space="preserve">ommission has underlined many times that in Europe there is an </w:t>
      </w:r>
      <w:r w:rsidRPr="004F1A2D">
        <w:rPr>
          <w:i/>
        </w:rPr>
        <w:t>equity gap</w:t>
      </w:r>
      <w:r>
        <w:t>, i.e. a</w:t>
      </w:r>
      <w:r w:rsidRPr="004F1A2D">
        <w:t xml:space="preserve"> serious and generalised lack </w:t>
      </w:r>
      <w:r>
        <w:t>of start-up funding,</w:t>
      </w:r>
      <w:r w:rsidRPr="004F1A2D">
        <w:t xml:space="preserve"> particularly for more innovative entrepreneurial initiatives. The recent economic crisis </w:t>
      </w:r>
      <w:r>
        <w:t xml:space="preserve">has </w:t>
      </w:r>
      <w:r w:rsidRPr="004F1A2D">
        <w:t>certainly contributed to intensifying this market problem which risks increasing the gap in entrepreneurial development and economic growth compared to countries which</w:t>
      </w:r>
      <w:r>
        <w:t>,</w:t>
      </w:r>
      <w:r w:rsidRPr="004F1A2D">
        <w:t xml:space="preserve"> for some time now</w:t>
      </w:r>
      <w:r>
        <w:t>,</w:t>
      </w:r>
      <w:r w:rsidRPr="004F1A2D">
        <w:t xml:space="preserve"> have </w:t>
      </w:r>
      <w:r>
        <w:t xml:space="preserve">been </w:t>
      </w:r>
      <w:r w:rsidRPr="004F1A2D">
        <w:t>put</w:t>
      </w:r>
      <w:r>
        <w:t>ting</w:t>
      </w:r>
      <w:r w:rsidRPr="004F1A2D">
        <w:t xml:space="preserve"> public intervention measures in place. The interventions in question are generally the </w:t>
      </w:r>
      <w:r>
        <w:t xml:space="preserve">establishment </w:t>
      </w:r>
      <w:r w:rsidRPr="004F1A2D">
        <w:t>of venture capital funds</w:t>
      </w:r>
      <w:r>
        <w:t>, also</w:t>
      </w:r>
      <w:r w:rsidRPr="004F1A2D">
        <w:t xml:space="preserve"> in partnership with private bodies,</w:t>
      </w:r>
      <w:r>
        <w:t xml:space="preserve"> or</w:t>
      </w:r>
      <w:r w:rsidRPr="004F1A2D">
        <w:t xml:space="preserve"> investment in funds which operate solely through </w:t>
      </w:r>
      <w:r>
        <w:t>underwriting the shares of other venture capital funds, where the resources</w:t>
      </w:r>
      <w:r w:rsidRPr="004F1A2D">
        <w:t xml:space="preserve"> </w:t>
      </w:r>
      <w:r>
        <w:t xml:space="preserve">made </w:t>
      </w:r>
      <w:r w:rsidRPr="004F1A2D">
        <w:t>available throug</w:t>
      </w:r>
      <w:r>
        <w:t xml:space="preserve">h public administration are </w:t>
      </w:r>
      <w:r w:rsidRPr="004F1A2D">
        <w:t xml:space="preserve">assigned </w:t>
      </w:r>
      <w:r>
        <w:t>in</w:t>
      </w:r>
      <w:r w:rsidRPr="004F1A2D">
        <w:t xml:space="preserve"> management, through a competitive process, to private operators on the condition that they raise </w:t>
      </w:r>
      <w:r>
        <w:t>an</w:t>
      </w:r>
      <w:r w:rsidRPr="004F1A2D">
        <w:t xml:space="preserve"> equivalent </w:t>
      </w:r>
      <w:r>
        <w:t>amount on</w:t>
      </w:r>
      <w:r w:rsidRPr="004F1A2D">
        <w:t xml:space="preserve"> the market. </w:t>
      </w:r>
    </w:p>
    <w:p w:rsidR="00DC4E49" w:rsidRPr="00786684" w:rsidRDefault="00DC4E49" w:rsidP="00DC4E49">
      <w:pPr>
        <w:contextualSpacing/>
        <w:jc w:val="both"/>
      </w:pPr>
      <w:r w:rsidRPr="00786684">
        <w:t>In our country</w:t>
      </w:r>
      <w:r>
        <w:t>,</w:t>
      </w:r>
      <w:r w:rsidRPr="00786684">
        <w:t xml:space="preserve"> the</w:t>
      </w:r>
      <w:r w:rsidRPr="00786684">
        <w:rPr>
          <w:i/>
        </w:rPr>
        <w:t xml:space="preserve"> </w:t>
      </w:r>
      <w:proofErr w:type="spellStart"/>
      <w:r w:rsidRPr="00786684">
        <w:rPr>
          <w:i/>
        </w:rPr>
        <w:t>Fondo</w:t>
      </w:r>
      <w:proofErr w:type="spellEnd"/>
      <w:r w:rsidRPr="00786684">
        <w:rPr>
          <w:i/>
        </w:rPr>
        <w:t xml:space="preserve"> </w:t>
      </w:r>
      <w:proofErr w:type="spellStart"/>
      <w:r w:rsidRPr="00786684">
        <w:rPr>
          <w:i/>
        </w:rPr>
        <w:t>Italiano</w:t>
      </w:r>
      <w:proofErr w:type="spellEnd"/>
      <w:r w:rsidRPr="00786684">
        <w:rPr>
          <w:i/>
        </w:rPr>
        <w:t xml:space="preserve"> </w:t>
      </w:r>
      <w:proofErr w:type="spellStart"/>
      <w:r w:rsidRPr="00786684">
        <w:rPr>
          <w:i/>
        </w:rPr>
        <w:t>d’Investimento</w:t>
      </w:r>
      <w:proofErr w:type="spellEnd"/>
      <w:r w:rsidRPr="00786684">
        <w:rPr>
          <w:i/>
        </w:rPr>
        <w:t xml:space="preserve"> S</w:t>
      </w:r>
      <w:r>
        <w:rPr>
          <w:i/>
        </w:rPr>
        <w:t>GR</w:t>
      </w:r>
      <w:r w:rsidRPr="00786684">
        <w:t xml:space="preserve"> (Italian Investment Fund) h</w:t>
      </w:r>
      <w:r>
        <w:t xml:space="preserve">as been active for some time. It </w:t>
      </w:r>
      <w:r w:rsidRPr="00786684">
        <w:t xml:space="preserve">depends on the </w:t>
      </w:r>
      <w:proofErr w:type="spellStart"/>
      <w:r w:rsidRPr="00786684">
        <w:rPr>
          <w:i/>
        </w:rPr>
        <w:t>Cassa</w:t>
      </w:r>
      <w:proofErr w:type="spellEnd"/>
      <w:r w:rsidRPr="00786684">
        <w:rPr>
          <w:i/>
        </w:rPr>
        <w:t xml:space="preserve"> </w:t>
      </w:r>
      <w:proofErr w:type="spellStart"/>
      <w:r w:rsidRPr="00786684">
        <w:rPr>
          <w:i/>
        </w:rPr>
        <w:t>Depositi</w:t>
      </w:r>
      <w:proofErr w:type="spellEnd"/>
      <w:r w:rsidRPr="00786684">
        <w:rPr>
          <w:i/>
        </w:rPr>
        <w:t xml:space="preserve"> e </w:t>
      </w:r>
      <w:proofErr w:type="spellStart"/>
      <w:r w:rsidRPr="00786684">
        <w:rPr>
          <w:i/>
        </w:rPr>
        <w:t>Prestiti</w:t>
      </w:r>
      <w:proofErr w:type="spellEnd"/>
      <w:r w:rsidRPr="00786684">
        <w:t xml:space="preserve"> (</w:t>
      </w:r>
      <w:r>
        <w:t>Italian Savings and Loans Agency</w:t>
      </w:r>
      <w:r w:rsidRPr="00786684">
        <w:t>) for 25%</w:t>
      </w:r>
      <w:r>
        <w:t>,</w:t>
      </w:r>
      <w:r w:rsidRPr="00786684">
        <w:t xml:space="preserve"> </w:t>
      </w:r>
      <w:r>
        <w:t>the ABI (</w:t>
      </w:r>
      <w:r w:rsidRPr="00786684">
        <w:t xml:space="preserve">Italian </w:t>
      </w:r>
      <w:r>
        <w:t>B</w:t>
      </w:r>
      <w:r w:rsidRPr="00786684">
        <w:t>anking Association</w:t>
      </w:r>
      <w:r>
        <w:t>)</w:t>
      </w:r>
      <w:r w:rsidRPr="00786684">
        <w:t xml:space="preserve">, and </w:t>
      </w:r>
      <w:proofErr w:type="spellStart"/>
      <w:r w:rsidRPr="00786684">
        <w:t>Unicredit</w:t>
      </w:r>
      <w:proofErr w:type="spellEnd"/>
      <w:r w:rsidRPr="00786684">
        <w:t xml:space="preserve"> and Sanpaolo</w:t>
      </w:r>
      <w:r>
        <w:t xml:space="preserve"> </w:t>
      </w:r>
      <w:r w:rsidRPr="00786684">
        <w:t>amongst others</w:t>
      </w:r>
      <w:r>
        <w:t>, and operates</w:t>
      </w:r>
      <w:r w:rsidRPr="00786684">
        <w:t xml:space="preserve"> predominantly in th</w:t>
      </w:r>
      <w:r>
        <w:t>is</w:t>
      </w:r>
      <w:r w:rsidRPr="00786684">
        <w:t xml:space="preserve"> sector investing in specialised funds</w:t>
      </w:r>
      <w:r>
        <w:t>.</w:t>
      </w:r>
      <w:r>
        <w:rPr>
          <w:rStyle w:val="Rimandonotaapidipagina"/>
        </w:rPr>
        <w:footnoteReference w:id="24"/>
      </w:r>
      <w:r w:rsidRPr="00786684">
        <w:t xml:space="preserve"> With the decree of 29 January 2015, the Ministry of Economic D</w:t>
      </w:r>
      <w:r>
        <w:t>evelopment allocated €50m</w:t>
      </w:r>
      <w:r w:rsidRPr="00786684">
        <w:t xml:space="preserve"> to allow </w:t>
      </w:r>
      <w:proofErr w:type="spellStart"/>
      <w:r w:rsidRPr="00786684">
        <w:t>Invitalia</w:t>
      </w:r>
      <w:proofErr w:type="spellEnd"/>
      <w:r w:rsidRPr="00786684">
        <w:t xml:space="preserve"> S.p.A. to establish a dedicated fund called </w:t>
      </w:r>
      <w:r>
        <w:t>“</w:t>
      </w:r>
      <w:r w:rsidRPr="00786684">
        <w:t>Italia Venture 1</w:t>
      </w:r>
      <w:r>
        <w:t>”,</w:t>
      </w:r>
      <w:r w:rsidRPr="00786684">
        <w:t xml:space="preserve"> managed by </w:t>
      </w:r>
      <w:proofErr w:type="spellStart"/>
      <w:r w:rsidRPr="00786684">
        <w:rPr>
          <w:i/>
        </w:rPr>
        <w:t>Invitalia</w:t>
      </w:r>
      <w:proofErr w:type="spellEnd"/>
      <w:r w:rsidRPr="00786684">
        <w:rPr>
          <w:i/>
        </w:rPr>
        <w:t xml:space="preserve"> Ventures S</w:t>
      </w:r>
      <w:r>
        <w:rPr>
          <w:i/>
        </w:rPr>
        <w:t>GR</w:t>
      </w:r>
      <w:r w:rsidRPr="00786684">
        <w:t xml:space="preserve">. The fund operates with an equity investment for every single operation </w:t>
      </w:r>
      <w:r>
        <w:t>of</w:t>
      </w:r>
      <w:r w:rsidRPr="00786684">
        <w:t xml:space="preserve"> €500,000</w:t>
      </w:r>
      <w:r>
        <w:t xml:space="preserve"> to €1.5m, up to a maximum of 70</w:t>
      </w:r>
      <w:r w:rsidRPr="00786684">
        <w:t>% of the total sum, investing in</w:t>
      </w:r>
      <w:r>
        <w:t xml:space="preserve"> </w:t>
      </w:r>
      <w:r w:rsidRPr="00786684">
        <w:t>the risk capital of the businesses</w:t>
      </w:r>
      <w:r>
        <w:t xml:space="preserve"> </w:t>
      </w:r>
      <w:r w:rsidRPr="00786684">
        <w:t xml:space="preserve">along with and </w:t>
      </w:r>
      <w:r>
        <w:t>simultaneously</w:t>
      </w:r>
      <w:r w:rsidRPr="00786684">
        <w:t xml:space="preserve"> to private and independent national and internation</w:t>
      </w:r>
      <w:r>
        <w:t>al investors</w:t>
      </w:r>
      <w:r w:rsidRPr="00786684">
        <w:t>.</w:t>
      </w:r>
      <w:r>
        <w:rPr>
          <w:rStyle w:val="Rimandonotaapidipagina"/>
        </w:rPr>
        <w:footnoteReference w:id="25"/>
      </w:r>
    </w:p>
    <w:p w:rsidR="00DC4E49" w:rsidRPr="00C36B3A" w:rsidRDefault="00DC4E49" w:rsidP="00975A32">
      <w:pPr>
        <w:spacing w:after="160" w:line="259" w:lineRule="auto"/>
        <w:contextualSpacing/>
        <w:jc w:val="both"/>
      </w:pPr>
      <w:r>
        <w:t>Despite the</w:t>
      </w:r>
      <w:r w:rsidRPr="00C36B3A">
        <w:t xml:space="preserve"> </w:t>
      </w:r>
      <w:r>
        <w:t>“</w:t>
      </w:r>
      <w:r w:rsidRPr="00C36B3A">
        <w:t>media</w:t>
      </w:r>
      <w:r>
        <w:t>”</w:t>
      </w:r>
      <w:r w:rsidRPr="00C36B3A">
        <w:t xml:space="preserve"> attention and a reasonable number of new initiatives, in absolute terms the Italian venture capital market is still undersized compared to other industrialised countries, with significant consequences for the innovative potential of</w:t>
      </w:r>
      <w:r>
        <w:t xml:space="preserve"> the</w:t>
      </w:r>
      <w:r w:rsidRPr="00C36B3A">
        <w:t xml:space="preserve"> entrepreneurial system, and consequently on the dynamics of economic growth.</w:t>
      </w:r>
    </w:p>
    <w:p w:rsidR="00DC4E49" w:rsidRDefault="009D3121" w:rsidP="00975A32">
      <w:pPr>
        <w:spacing w:after="160" w:line="259" w:lineRule="auto"/>
        <w:contextualSpacing/>
        <w:jc w:val="both"/>
      </w:pPr>
      <w:r>
        <w:lastRenderedPageBreak/>
        <w:t xml:space="preserve">In the period examined (2013-2016), </w:t>
      </w:r>
      <w:r>
        <w:rPr>
          <w:i/>
        </w:rPr>
        <w:t>early stage</w:t>
      </w:r>
      <w:r>
        <w:t xml:space="preserve"> operations </w:t>
      </w:r>
      <w:r w:rsidR="0016703E">
        <w:t xml:space="preserve">(figure 5) </w:t>
      </w:r>
      <w:r>
        <w:t>fluctuated, but increased overall, with a good performance in 2016 when total investment exceeded the €100m threshold, consolidating, with an increase of 40%, the recovery of investments registered in 2015, after the low point of 2014. More precisely,</w:t>
      </w:r>
      <w:r w:rsidR="00DC4E49" w:rsidRPr="00C36B3A">
        <w:t xml:space="preserve"> </w:t>
      </w:r>
      <w:r w:rsidRPr="00C36B3A">
        <w:t>12</w:t>
      </w:r>
      <w:r>
        <w:t>8</w:t>
      </w:r>
      <w:r w:rsidRPr="00C36B3A">
        <w:t xml:space="preserve"> </w:t>
      </w:r>
      <w:r w:rsidR="00DC4E49" w:rsidRPr="00C36B3A">
        <w:t xml:space="preserve">new investment operations were registered </w:t>
      </w:r>
      <w:r w:rsidR="00DC4E49">
        <w:t>at</w:t>
      </w:r>
      <w:r w:rsidR="00DC4E49" w:rsidRPr="00C36B3A">
        <w:t xml:space="preserve"> the end of </w:t>
      </w:r>
      <w:r w:rsidRPr="00C36B3A">
        <w:t>201</w:t>
      </w:r>
      <w:r>
        <w:t>6</w:t>
      </w:r>
      <w:r w:rsidR="00DC4E49" w:rsidRPr="00C36B3A">
        <w:t xml:space="preserve">, distributed across </w:t>
      </w:r>
      <w:r w:rsidRPr="00C36B3A">
        <w:t>8</w:t>
      </w:r>
      <w:r>
        <w:t>7</w:t>
      </w:r>
      <w:r w:rsidRPr="00C36B3A">
        <w:t xml:space="preserve"> </w:t>
      </w:r>
      <w:r w:rsidR="00DC4E49" w:rsidRPr="00C36B3A">
        <w:t>companies with a value of €</w:t>
      </w:r>
      <w:r>
        <w:t>10</w:t>
      </w:r>
      <w:r w:rsidRPr="00C36B3A">
        <w:t>4</w:t>
      </w:r>
      <w:r>
        <w:t>m</w:t>
      </w:r>
      <w:r w:rsidR="00DC4E49" w:rsidRPr="00C36B3A">
        <w:t>. As regards the type of investor (</w:t>
      </w:r>
      <w:r w:rsidR="00DC4E49">
        <w:t>figure</w:t>
      </w:r>
      <w:r w:rsidR="00DC4E49" w:rsidRPr="00C36B3A">
        <w:t xml:space="preserve"> 6), </w:t>
      </w:r>
      <w:r>
        <w:t>40</w:t>
      </w:r>
      <w:r w:rsidR="00DC4E49" w:rsidRPr="00C36B3A">
        <w:t xml:space="preserve">% were </w:t>
      </w:r>
      <w:r w:rsidR="00DC4E49" w:rsidRPr="00C36B3A">
        <w:rPr>
          <w:i/>
        </w:rPr>
        <w:t>early stage</w:t>
      </w:r>
      <w:r w:rsidR="00DC4E49" w:rsidRPr="00C36B3A">
        <w:t xml:space="preserve"> operators, 26% general </w:t>
      </w:r>
      <w:r w:rsidR="00DC4E49">
        <w:t>investment management companies</w:t>
      </w:r>
      <w:r w:rsidR="00DC4E49" w:rsidRPr="00C36B3A">
        <w:t xml:space="preserve">, </w:t>
      </w:r>
      <w:r>
        <w:t>19</w:t>
      </w:r>
      <w:r w:rsidR="00DC4E49" w:rsidRPr="00C36B3A">
        <w:t xml:space="preserve">% </w:t>
      </w:r>
      <w:r>
        <w:t xml:space="preserve">foreign operators and 15% </w:t>
      </w:r>
      <w:r w:rsidR="00DC4E49" w:rsidRPr="00C36B3A">
        <w:t>public operators.</w:t>
      </w:r>
    </w:p>
    <w:p w:rsidR="00110EA9" w:rsidRPr="00C36B3A" w:rsidRDefault="00110EA9" w:rsidP="00975A32">
      <w:pPr>
        <w:spacing w:after="160" w:line="259" w:lineRule="auto"/>
        <w:contextualSpacing/>
        <w:jc w:val="both"/>
      </w:pPr>
    </w:p>
    <w:p w:rsidR="00110EA9" w:rsidRPr="0016703E" w:rsidRDefault="00110EA9" w:rsidP="00110EA9">
      <w:pPr>
        <w:contextualSpacing/>
        <w:jc w:val="both"/>
        <w:rPr>
          <w:b/>
        </w:rPr>
      </w:pPr>
      <w:r w:rsidRPr="0016703E">
        <w:rPr>
          <w:b/>
        </w:rPr>
        <w:t>To i</w:t>
      </w:r>
      <w:r w:rsidR="00613D84">
        <w:rPr>
          <w:b/>
        </w:rPr>
        <w:t xml:space="preserve">nsert Figure 5 </w:t>
      </w:r>
      <w:r>
        <w:rPr>
          <w:b/>
        </w:rPr>
        <w:t>and F</w:t>
      </w:r>
      <w:r w:rsidRPr="0016703E">
        <w:rPr>
          <w:b/>
        </w:rPr>
        <w:t>igure 6</w:t>
      </w:r>
    </w:p>
    <w:p w:rsidR="00110EA9" w:rsidRDefault="00110EA9" w:rsidP="00DC4E49">
      <w:pPr>
        <w:spacing w:after="160" w:line="259" w:lineRule="auto"/>
        <w:contextualSpacing/>
      </w:pPr>
    </w:p>
    <w:p w:rsidR="00DC4E49" w:rsidRPr="00C36B3A" w:rsidRDefault="00DC4E49" w:rsidP="00DC4E49">
      <w:pPr>
        <w:spacing w:after="160" w:line="259" w:lineRule="auto"/>
        <w:contextualSpacing/>
      </w:pPr>
      <w:proofErr w:type="gramStart"/>
      <w:r w:rsidRPr="00C36B3A">
        <w:t>As a whole, the</w:t>
      </w:r>
      <w:proofErr w:type="gramEnd"/>
      <w:r w:rsidRPr="00C36B3A">
        <w:t xml:space="preserve"> Italian venture capital sector is still very f</w:t>
      </w:r>
      <w:r>
        <w:t>a</w:t>
      </w:r>
      <w:r w:rsidRPr="00C36B3A">
        <w:t>r from the volume of registered investment in the US and is behind even compared to Europe.</w:t>
      </w:r>
    </w:p>
    <w:p w:rsidR="00DC4E49" w:rsidRPr="00C36B3A" w:rsidRDefault="00DC4E49" w:rsidP="00975A32">
      <w:pPr>
        <w:spacing w:after="160" w:line="259" w:lineRule="auto"/>
        <w:contextualSpacing/>
        <w:jc w:val="both"/>
      </w:pPr>
      <w:r w:rsidRPr="00C36B3A">
        <w:t>The American market (</w:t>
      </w:r>
      <w:r>
        <w:t>figure</w:t>
      </w:r>
      <w:r w:rsidRPr="00C36B3A">
        <w:t xml:space="preserve"> 7) is characterised by </w:t>
      </w:r>
      <w:r>
        <w:t xml:space="preserve">a </w:t>
      </w:r>
      <w:r w:rsidRPr="00C36B3A">
        <w:t xml:space="preserve">significant growth in investment activity of </w:t>
      </w:r>
      <w:r w:rsidR="009D3121">
        <w:t>60</w:t>
      </w:r>
      <w:r w:rsidRPr="00C36B3A">
        <w:t xml:space="preserve">% in the period between </w:t>
      </w:r>
      <w:r w:rsidR="009D3121">
        <w:t>2013</w:t>
      </w:r>
      <w:r w:rsidRPr="00C36B3A">
        <w:t xml:space="preserve"> and 201</w:t>
      </w:r>
      <w:r w:rsidR="00D5571C">
        <w:t>6</w:t>
      </w:r>
      <w:r w:rsidRPr="00C36B3A">
        <w:t xml:space="preserve">. </w:t>
      </w:r>
      <w:r w:rsidR="0065425A">
        <w:t>In t</w:t>
      </w:r>
      <w:r w:rsidR="009D3121" w:rsidRPr="009D3121">
        <w:t>hat year, however, the “movement” experienced a slight decline compared to 2015, both in the number of operations concluded, down to 8,529 (the lowest level of the four-year period</w:t>
      </w:r>
      <w:r w:rsidR="0075184D">
        <w:t>)</w:t>
      </w:r>
      <w:r w:rsidR="009D3121" w:rsidRPr="009D3121">
        <w:t xml:space="preserve"> and in value $71.5bn with a decrease of 9%.</w:t>
      </w:r>
      <w:r w:rsidR="009D3121">
        <w:t xml:space="preserve"> </w:t>
      </w:r>
    </w:p>
    <w:p w:rsidR="00DC4E49" w:rsidRDefault="00DC4E49" w:rsidP="00DC4E49">
      <w:pPr>
        <w:contextualSpacing/>
        <w:jc w:val="both"/>
      </w:pPr>
      <w:r w:rsidRPr="00C36B3A">
        <w:t xml:space="preserve">At the European level, </w:t>
      </w:r>
      <w:r>
        <w:t xml:space="preserve">investments in the period </w:t>
      </w:r>
      <w:r w:rsidR="009D3121">
        <w:t>2013</w:t>
      </w:r>
      <w:r>
        <w:t>-</w:t>
      </w:r>
      <w:r w:rsidR="00D02140" w:rsidRPr="00C36B3A">
        <w:t>201</w:t>
      </w:r>
      <w:r w:rsidR="00D02140">
        <w:t>6</w:t>
      </w:r>
      <w:r w:rsidR="00D02140" w:rsidRPr="00C36B3A">
        <w:t xml:space="preserve"> </w:t>
      </w:r>
      <w:r w:rsidRPr="00C36B3A">
        <w:t>(</w:t>
      </w:r>
      <w:r>
        <w:t>figure</w:t>
      </w:r>
      <w:r w:rsidRPr="00C36B3A">
        <w:t xml:space="preserve"> 8) </w:t>
      </w:r>
      <w:r w:rsidR="00D02140">
        <w:t>grew consistently</w:t>
      </w:r>
      <w:r>
        <w:t>, reaching €</w:t>
      </w:r>
      <w:r w:rsidR="00D02140">
        <w:t>4.3</w:t>
      </w:r>
      <w:r>
        <w:t>b</w:t>
      </w:r>
      <w:r w:rsidRPr="00C36B3A">
        <w:t xml:space="preserve">n in 31 December </w:t>
      </w:r>
      <w:r w:rsidR="00D02140" w:rsidRPr="00C36B3A">
        <w:t>201</w:t>
      </w:r>
      <w:r w:rsidR="00D02140">
        <w:t>6</w:t>
      </w:r>
      <w:r w:rsidRPr="00C36B3A">
        <w:t xml:space="preserve">. Of these, </w:t>
      </w:r>
      <w:r w:rsidR="00D02140">
        <w:t>48.9</w:t>
      </w:r>
      <w:r w:rsidRPr="00C36B3A">
        <w:t xml:space="preserve">% were </w:t>
      </w:r>
      <w:r w:rsidRPr="00C36B3A">
        <w:rPr>
          <w:i/>
        </w:rPr>
        <w:t>start-up</w:t>
      </w:r>
      <w:r w:rsidRPr="00C36B3A">
        <w:t xml:space="preserve"> investments, </w:t>
      </w:r>
      <w:r w:rsidR="00D02140">
        <w:t>41.8</w:t>
      </w:r>
      <w:r w:rsidRPr="00C36B3A">
        <w:t xml:space="preserve">% </w:t>
      </w:r>
      <w:r w:rsidRPr="00C36B3A">
        <w:rPr>
          <w:i/>
        </w:rPr>
        <w:t>seed</w:t>
      </w:r>
      <w:r w:rsidRPr="00C36B3A">
        <w:t xml:space="preserve"> investments and the remaining </w:t>
      </w:r>
      <w:r w:rsidR="00D02140">
        <w:t>9.3</w:t>
      </w:r>
      <w:r w:rsidRPr="00C36B3A">
        <w:t xml:space="preserve">% </w:t>
      </w:r>
      <w:r w:rsidRPr="00C36B3A">
        <w:rPr>
          <w:i/>
        </w:rPr>
        <w:t>later stage</w:t>
      </w:r>
      <w:r w:rsidRPr="00C36B3A">
        <w:t xml:space="preserve"> investments.</w:t>
      </w:r>
    </w:p>
    <w:p w:rsidR="000D3CDE" w:rsidRDefault="000D3CDE" w:rsidP="00DC4E49">
      <w:pPr>
        <w:contextualSpacing/>
        <w:jc w:val="both"/>
      </w:pPr>
    </w:p>
    <w:p w:rsidR="00DC4E49" w:rsidRPr="0016703E" w:rsidRDefault="00766DBF" w:rsidP="00DC4E49">
      <w:pPr>
        <w:pStyle w:val="Nessunaspaziatura"/>
        <w:contextualSpacing/>
        <w:jc w:val="both"/>
        <w:rPr>
          <w:b/>
          <w:lang w:val="en-GB"/>
        </w:rPr>
      </w:pPr>
      <w:r w:rsidRPr="0016703E">
        <w:rPr>
          <w:b/>
          <w:lang w:val="en-GB"/>
        </w:rPr>
        <w:t>To i</w:t>
      </w:r>
      <w:r w:rsidR="0016703E" w:rsidRPr="0016703E">
        <w:rPr>
          <w:b/>
          <w:lang w:val="en-GB"/>
        </w:rPr>
        <w:t>nsert Figure 7 and F</w:t>
      </w:r>
      <w:r w:rsidR="000D3CDE" w:rsidRPr="0016703E">
        <w:rPr>
          <w:b/>
          <w:lang w:val="en-GB"/>
        </w:rPr>
        <w:t>igure 8</w:t>
      </w:r>
    </w:p>
    <w:p w:rsidR="00DC4E49" w:rsidRPr="00C36B3A" w:rsidRDefault="00DC4E49" w:rsidP="00DC4E49">
      <w:pPr>
        <w:pStyle w:val="Nessunaspaziatura"/>
        <w:contextualSpacing/>
        <w:jc w:val="both"/>
        <w:rPr>
          <w:lang w:val="en-GB"/>
        </w:rPr>
      </w:pPr>
    </w:p>
    <w:p w:rsidR="00D02140" w:rsidRPr="00D02140" w:rsidRDefault="00DC4E49" w:rsidP="00D02140">
      <w:pPr>
        <w:spacing w:after="160" w:line="259" w:lineRule="auto"/>
        <w:contextualSpacing/>
        <w:jc w:val="both"/>
      </w:pPr>
      <w:r w:rsidRPr="005667D6">
        <w:t xml:space="preserve">In a comparison of individual countries </w:t>
      </w:r>
      <w:r w:rsidR="00D02140">
        <w:t xml:space="preserve">(figure 9) </w:t>
      </w:r>
      <w:r>
        <w:t>by</w:t>
      </w:r>
      <w:r w:rsidRPr="005667D6">
        <w:t xml:space="preserve"> total amount of investment</w:t>
      </w:r>
      <w:r w:rsidR="00D02140">
        <w:t xml:space="preserve"> during the period 2013-2016</w:t>
      </w:r>
      <w:r>
        <w:t>,</w:t>
      </w:r>
      <w:r w:rsidRPr="005667D6">
        <w:t xml:space="preserve"> the </w:t>
      </w:r>
      <w:r>
        <w:t>UK</w:t>
      </w:r>
      <w:r w:rsidRPr="005667D6">
        <w:t xml:space="preserve"> stands out. Here venture capital has experienced rapid growth</w:t>
      </w:r>
      <w:r>
        <w:t>,</w:t>
      </w:r>
      <w:r w:rsidRPr="005667D6">
        <w:t xml:space="preserve"> finding fertile gr</w:t>
      </w:r>
      <w:r>
        <w:t>ound in a well-</w:t>
      </w:r>
      <w:r w:rsidRPr="005667D6">
        <w:t xml:space="preserve">organised </w:t>
      </w:r>
      <w:r>
        <w:t>country</w:t>
      </w:r>
      <w:r w:rsidRPr="005667D6">
        <w:t xml:space="preserve"> with a lot of capital to invest. In the last number of years, Germany, which registers the highest number of active operators, and France managed to regain ground, </w:t>
      </w:r>
      <w:r w:rsidR="00D02140" w:rsidRPr="00C0777B">
        <w:rPr>
          <w:lang w:val="en-US"/>
        </w:rPr>
        <w:t xml:space="preserve">and, by the end of 2016, had investment levels on a par with those in the UK, while Spain and </w:t>
      </w:r>
      <w:proofErr w:type="spellStart"/>
      <w:r w:rsidR="00D02140" w:rsidRPr="00C0777B">
        <w:rPr>
          <w:lang w:val="en-US"/>
        </w:rPr>
        <w:t>particualrly</w:t>
      </w:r>
      <w:proofErr w:type="spellEnd"/>
      <w:r w:rsidR="00D02140" w:rsidRPr="00C0777B">
        <w:rPr>
          <w:lang w:val="en-US"/>
        </w:rPr>
        <w:t xml:space="preserve"> Italy, even within the context of increasing trends, are still showing significant gaps.</w:t>
      </w:r>
    </w:p>
    <w:p w:rsidR="00DC4E49" w:rsidRDefault="00DC4E49" w:rsidP="00975A32">
      <w:pPr>
        <w:spacing w:after="160" w:line="259" w:lineRule="auto"/>
        <w:contextualSpacing/>
        <w:jc w:val="both"/>
      </w:pPr>
    </w:p>
    <w:p w:rsidR="00011DB5" w:rsidRPr="0016703E" w:rsidRDefault="00766DBF" w:rsidP="00975A32">
      <w:pPr>
        <w:spacing w:after="160" w:line="259" w:lineRule="auto"/>
        <w:contextualSpacing/>
        <w:jc w:val="both"/>
        <w:rPr>
          <w:b/>
        </w:rPr>
      </w:pPr>
      <w:r w:rsidRPr="0016703E">
        <w:rPr>
          <w:b/>
        </w:rPr>
        <w:t>To i</w:t>
      </w:r>
      <w:r w:rsidR="00011DB5" w:rsidRPr="0016703E">
        <w:rPr>
          <w:b/>
        </w:rPr>
        <w:t>nsert Figure 9</w:t>
      </w:r>
    </w:p>
    <w:p w:rsidR="00DC4E49" w:rsidRPr="005667D6" w:rsidRDefault="00DC4E49" w:rsidP="00DC4E49">
      <w:pPr>
        <w:spacing w:after="160" w:line="259" w:lineRule="auto"/>
        <w:contextualSpacing/>
      </w:pPr>
    </w:p>
    <w:p w:rsidR="00DC4E49" w:rsidRPr="005667D6" w:rsidRDefault="00DC4E49" w:rsidP="00975A32">
      <w:pPr>
        <w:spacing w:after="160" w:line="259" w:lineRule="auto"/>
        <w:contextualSpacing/>
        <w:jc w:val="both"/>
      </w:pPr>
      <w:r>
        <w:t>E</w:t>
      </w:r>
      <w:r w:rsidRPr="005667D6">
        <w:t>mp</w:t>
      </w:r>
      <w:r>
        <w:t>i</w:t>
      </w:r>
      <w:r w:rsidRPr="005667D6">
        <w:t>ri</w:t>
      </w:r>
      <w:r>
        <w:t>c</w:t>
      </w:r>
      <w:r w:rsidRPr="005667D6">
        <w:t xml:space="preserve">al evidence confirms the correlation between the expansion of the risk capital sector and the nature of its financial system, </w:t>
      </w:r>
      <w:r>
        <w:t>highlighting how</w:t>
      </w:r>
      <w:r w:rsidRPr="005667D6">
        <w:t xml:space="preserve"> the phenomenon</w:t>
      </w:r>
      <w:r>
        <w:t xml:space="preserve"> has</w:t>
      </w:r>
      <w:r w:rsidRPr="005667D6">
        <w:t xml:space="preserve"> developed most markedly in </w:t>
      </w:r>
      <w:r>
        <w:t xml:space="preserve">“market-oriented” </w:t>
      </w:r>
      <w:r w:rsidRPr="005667D6">
        <w:t>countries, typically Anglo-Saxon countries, compared to systems were bank intermediation has played a bigger strategic role.</w:t>
      </w:r>
    </w:p>
    <w:p w:rsidR="00DC4E49" w:rsidRDefault="00DC4E49" w:rsidP="00DC4E49">
      <w:pPr>
        <w:spacing w:after="160" w:line="259" w:lineRule="auto"/>
        <w:rPr>
          <w:b/>
        </w:rPr>
      </w:pPr>
    </w:p>
    <w:p w:rsidR="00DC4E49" w:rsidRPr="000F514C" w:rsidRDefault="00DC4E49" w:rsidP="00DA7DDA">
      <w:pPr>
        <w:spacing w:line="259" w:lineRule="auto"/>
        <w:rPr>
          <w:b/>
        </w:rPr>
      </w:pPr>
      <w:r w:rsidRPr="000F514C">
        <w:rPr>
          <w:b/>
        </w:rPr>
        <w:t xml:space="preserve">4. The results of an empirical study on </w:t>
      </w:r>
      <w:r w:rsidR="009E4CCA">
        <w:rPr>
          <w:b/>
        </w:rPr>
        <w:t xml:space="preserve">the </w:t>
      </w:r>
      <w:r w:rsidR="009B7ABA">
        <w:rPr>
          <w:b/>
        </w:rPr>
        <w:t>modus operandi</w:t>
      </w:r>
      <w:r w:rsidRPr="000F514C">
        <w:rPr>
          <w:b/>
        </w:rPr>
        <w:t xml:space="preserve"> and strategies of market operators</w:t>
      </w:r>
    </w:p>
    <w:p w:rsidR="00DC4E49" w:rsidRDefault="00DC4E49" w:rsidP="00DA7DDA">
      <w:pPr>
        <w:jc w:val="both"/>
      </w:pPr>
      <w:r w:rsidRPr="00860678">
        <w:t>In order to better contextualise the state of support activities for start-ups and innovative SMEs, management solutions adopted by the operators involved</w:t>
      </w:r>
      <w:r>
        <w:t>,</w:t>
      </w:r>
      <w:r w:rsidRPr="00860678">
        <w:t xml:space="preserve"> and current trends within the system,</w:t>
      </w:r>
      <w:r>
        <w:t xml:space="preserve"> further </w:t>
      </w:r>
      <w:r w:rsidRPr="00860678">
        <w:t>r</w:t>
      </w:r>
      <w:r>
        <w:t>eflection and close examination</w:t>
      </w:r>
      <w:r w:rsidRPr="00860678">
        <w:t xml:space="preserve"> of the theme</w:t>
      </w:r>
      <w:r>
        <w:t xml:space="preserve"> was required.</w:t>
      </w:r>
      <w:r w:rsidRPr="00860678">
        <w:t xml:space="preserve"> </w:t>
      </w:r>
      <w:r>
        <w:t>An analy</w:t>
      </w:r>
      <w:r w:rsidRPr="00860678">
        <w:t>si</w:t>
      </w:r>
      <w:r>
        <w:t>s was carried out of</w:t>
      </w:r>
      <w:r w:rsidRPr="00860678">
        <w:t xml:space="preserve"> the responses </w:t>
      </w:r>
      <w:r>
        <w:t>provided</w:t>
      </w:r>
      <w:r w:rsidRPr="00860678">
        <w:t xml:space="preserve"> by a group of business incubators/accelerators, venture capital operators and business angels </w:t>
      </w:r>
      <w:r>
        <w:t>in</w:t>
      </w:r>
      <w:r w:rsidRPr="00860678">
        <w:t xml:space="preserve"> a specific</w:t>
      </w:r>
      <w:r>
        <w:t>ally-designed</w:t>
      </w:r>
      <w:r w:rsidRPr="00860678">
        <w:t xml:space="preserve"> questionnaire designed to collect, on the one hand, data and </w:t>
      </w:r>
      <w:r>
        <w:t>information</w:t>
      </w:r>
      <w:r w:rsidRPr="00860678">
        <w:t xml:space="preserve"> on </w:t>
      </w:r>
      <w:r w:rsidRPr="00FC1518">
        <w:t xml:space="preserve">the background </w:t>
      </w:r>
      <w:r>
        <w:t>to</w:t>
      </w:r>
      <w:r w:rsidRPr="00FC1518">
        <w:t xml:space="preserve"> the </w:t>
      </w:r>
      <w:r w:rsidRPr="00860678">
        <w:t xml:space="preserve">initiative and </w:t>
      </w:r>
      <w:r>
        <w:t>its</w:t>
      </w:r>
      <w:r w:rsidRPr="00860678">
        <w:t xml:space="preserve"> operat</w:t>
      </w:r>
      <w:r>
        <w:t>ing</w:t>
      </w:r>
      <w:r w:rsidRPr="00860678">
        <w:t xml:space="preserve"> size in terms of the nature of services offered, businesses involved, investment</w:t>
      </w:r>
      <w:r>
        <w:t>s</w:t>
      </w:r>
      <w:r w:rsidRPr="00860678">
        <w:t xml:space="preserve"> made, and</w:t>
      </w:r>
      <w:r>
        <w:t>,</w:t>
      </w:r>
      <w:r w:rsidRPr="00860678">
        <w:t xml:space="preserve"> on the other hand</w:t>
      </w:r>
      <w:r>
        <w:t>,</w:t>
      </w:r>
      <w:r w:rsidRPr="00860678">
        <w:t xml:space="preserve"> reference</w:t>
      </w:r>
      <w:r>
        <w:t xml:space="preserve"> points</w:t>
      </w:r>
      <w:r w:rsidRPr="00860678">
        <w:t xml:space="preserve"> and indications on strategies and changes </w:t>
      </w:r>
      <w:r>
        <w:t>in progress</w:t>
      </w:r>
      <w:r w:rsidRPr="00860678">
        <w:t xml:space="preserve"> in </w:t>
      </w:r>
      <w:r w:rsidRPr="00FC1518">
        <w:t xml:space="preserve">the respective </w:t>
      </w:r>
      <w:r w:rsidRPr="00860678">
        <w:t xml:space="preserve">managements. The questionnaire </w:t>
      </w:r>
      <w:r w:rsidR="001C17B5">
        <w:t>deals with and deepen</w:t>
      </w:r>
      <w:r w:rsidR="00306450">
        <w:t>s these</w:t>
      </w:r>
      <w:r w:rsidR="001C17B5">
        <w:t xml:space="preserve"> elements that also main literature considers relevant to examine and </w:t>
      </w:r>
      <w:r w:rsidR="00306450">
        <w:t xml:space="preserve">to </w:t>
      </w:r>
      <w:r w:rsidR="001C17B5">
        <w:t xml:space="preserve">evaluate </w:t>
      </w:r>
      <w:r w:rsidR="00C72D3E">
        <w:t xml:space="preserve">the </w:t>
      </w:r>
      <w:r w:rsidR="001C17B5">
        <w:t>cons</w:t>
      </w:r>
      <w:r w:rsidR="00306450">
        <w:t xml:space="preserve">istency </w:t>
      </w:r>
      <w:r w:rsidR="001C17B5">
        <w:t>of th</w:t>
      </w:r>
      <w:r w:rsidR="00306450">
        <w:t>eir</w:t>
      </w:r>
      <w:r w:rsidR="001C17B5">
        <w:t xml:space="preserve"> activity through </w:t>
      </w:r>
      <w:r w:rsidRPr="00860678">
        <w:t>24 questions for incubators/accelerators, 2</w:t>
      </w:r>
      <w:r>
        <w:t>0 for</w:t>
      </w:r>
      <w:r w:rsidRPr="00860678">
        <w:t xml:space="preserve"> venture capital operators and 18 for business angel associations and/or clubs. </w:t>
      </w:r>
      <w:proofErr w:type="gramStart"/>
      <w:r>
        <w:t>The majority of</w:t>
      </w:r>
      <w:proofErr w:type="gramEnd"/>
      <w:r>
        <w:t xml:space="preserve"> the questions</w:t>
      </w:r>
      <w:r w:rsidRPr="00860678">
        <w:t xml:space="preserve"> </w:t>
      </w:r>
      <w:r>
        <w:t>are the same</w:t>
      </w:r>
      <w:r w:rsidRPr="00860678">
        <w:t xml:space="preserve"> for </w:t>
      </w:r>
      <w:r>
        <w:t>all</w:t>
      </w:r>
      <w:r w:rsidRPr="00860678">
        <w:t xml:space="preserve"> three types as</w:t>
      </w:r>
      <w:r>
        <w:t>, evidently,</w:t>
      </w:r>
      <w:r w:rsidRPr="00860678">
        <w:t xml:space="preserve"> </w:t>
      </w:r>
      <w:r>
        <w:t>there are</w:t>
      </w:r>
      <w:r w:rsidRPr="00860678">
        <w:t xml:space="preserve"> ma</w:t>
      </w:r>
      <w:r>
        <w:t>ny areas of common interest and</w:t>
      </w:r>
      <w:r w:rsidRPr="00860678">
        <w:t xml:space="preserve"> overlapping profiles, while some </w:t>
      </w:r>
      <w:r>
        <w:t>specific features were subject to</w:t>
      </w:r>
      <w:r w:rsidRPr="00860678">
        <w:t xml:space="preserve"> individual </w:t>
      </w:r>
      <w:r>
        <w:t>inquiry</w:t>
      </w:r>
      <w:r w:rsidRPr="00860678">
        <w:t xml:space="preserve">. </w:t>
      </w:r>
      <w:r w:rsidR="00D02140" w:rsidRPr="00D02140">
        <w:t xml:space="preserve">Prior to distribution, the questionnaire was tested </w:t>
      </w:r>
      <w:r w:rsidR="0075184D">
        <w:t xml:space="preserve">with </w:t>
      </w:r>
      <w:r w:rsidR="00D02140" w:rsidRPr="00D02140">
        <w:t>a</w:t>
      </w:r>
      <w:r w:rsidR="0075184D">
        <w:t xml:space="preserve"> few primary </w:t>
      </w:r>
      <w:r w:rsidR="00D02140" w:rsidRPr="00D02140">
        <w:t>operators.</w:t>
      </w:r>
    </w:p>
    <w:p w:rsidR="00DC4E49" w:rsidRPr="00860678" w:rsidRDefault="00DC4E49" w:rsidP="00975A32">
      <w:pPr>
        <w:jc w:val="both"/>
      </w:pPr>
      <w:r w:rsidRPr="00860678">
        <w:lastRenderedPageBreak/>
        <w:t xml:space="preserve">17 </w:t>
      </w:r>
      <w:r w:rsidR="00D02140">
        <w:t xml:space="preserve">of the 27 </w:t>
      </w:r>
      <w:r w:rsidRPr="00860678">
        <w:t>companies</w:t>
      </w:r>
      <w:r w:rsidR="00D02140">
        <w:t xml:space="preserve"> contacted</w:t>
      </w:r>
      <w:r w:rsidRPr="00860678">
        <w:t xml:space="preserve"> participated in the survey which was conducted in t</w:t>
      </w:r>
      <w:r>
        <w:t xml:space="preserve">he first few months of 2017; for </w:t>
      </w:r>
      <w:r w:rsidRPr="00860678">
        <w:t>reasons of privacy</w:t>
      </w:r>
      <w:r>
        <w:t>,</w:t>
      </w:r>
      <w:r w:rsidRPr="00860678">
        <w:t xml:space="preserve"> the</w:t>
      </w:r>
      <w:r>
        <w:t>ir</w:t>
      </w:r>
      <w:r w:rsidRPr="00860678">
        <w:t xml:space="preserve"> names have not been </w:t>
      </w:r>
      <w:r>
        <w:t>disclos</w:t>
      </w:r>
      <w:r w:rsidRPr="00860678">
        <w:t xml:space="preserve">ed in this </w:t>
      </w:r>
      <w:r>
        <w:t>paper</w:t>
      </w:r>
      <w:r w:rsidRPr="00860678">
        <w:t>. More specifically</w:t>
      </w:r>
      <w:r>
        <w:t>,</w:t>
      </w:r>
      <w:r w:rsidRPr="00860678">
        <w:t xml:space="preserve"> there were </w:t>
      </w:r>
      <w:r>
        <w:t>5</w:t>
      </w:r>
      <w:r w:rsidRPr="00860678">
        <w:t xml:space="preserve"> incubators/accelerators (one of whom is in the public sector), </w:t>
      </w:r>
      <w:r>
        <w:t>10</w:t>
      </w:r>
      <w:r w:rsidRPr="00860678">
        <w:t xml:space="preserve"> venture capital operators (</w:t>
      </w:r>
      <w:r>
        <w:t>one of whom</w:t>
      </w:r>
      <w:r w:rsidRPr="00860678">
        <w:t xml:space="preserve"> is in the public sector and one in banking) and </w:t>
      </w:r>
      <w:r>
        <w:t>2</w:t>
      </w:r>
      <w:r w:rsidRPr="00860678">
        <w:t xml:space="preserve"> business angel associations which together constitute a diverse base </w:t>
      </w:r>
      <w:r>
        <w:t>of</w:t>
      </w:r>
      <w:r w:rsidRPr="00860678">
        <w:t xml:space="preserve"> analysis of current operations within the sector.</w:t>
      </w:r>
    </w:p>
    <w:p w:rsidR="00DC4E49" w:rsidRPr="00860678" w:rsidRDefault="00DC4E49" w:rsidP="00DC4E49">
      <w:pPr>
        <w:contextualSpacing/>
        <w:jc w:val="both"/>
      </w:pPr>
      <w:r>
        <w:t>In p</w:t>
      </w:r>
      <w:r w:rsidRPr="00860678">
        <w:t>rocessing</w:t>
      </w:r>
      <w:r>
        <w:t xml:space="preserve"> </w:t>
      </w:r>
      <w:r w:rsidRPr="00860678">
        <w:t xml:space="preserve">the </w:t>
      </w:r>
      <w:r>
        <w:t>results,</w:t>
      </w:r>
      <w:r w:rsidRPr="00860678">
        <w:t xml:space="preserve"> </w:t>
      </w:r>
      <w:r>
        <w:t>each</w:t>
      </w:r>
      <w:r w:rsidRPr="00860678">
        <w:t xml:space="preserve"> type of question </w:t>
      </w:r>
      <w:r>
        <w:t>was treated as follows:</w:t>
      </w:r>
    </w:p>
    <w:p w:rsidR="00DC4E49" w:rsidRPr="00860678" w:rsidRDefault="00DC4E49" w:rsidP="00975A32">
      <w:pPr>
        <w:ind w:left="142" w:hanging="142"/>
        <w:jc w:val="both"/>
      </w:pPr>
      <w:r>
        <w:t xml:space="preserve">- for </w:t>
      </w:r>
      <w:r w:rsidRPr="00860678">
        <w:t xml:space="preserve">questions which required a relevancy and/or frequency value on a scale of 1 to 5 (where </w:t>
      </w:r>
      <w:r>
        <w:t>1</w:t>
      </w:r>
      <w:r w:rsidRPr="00860678">
        <w:t xml:space="preserve"> is </w:t>
      </w:r>
      <w:r>
        <w:t>“</w:t>
      </w:r>
      <w:r w:rsidRPr="007946A6">
        <w:rPr>
          <w:i/>
        </w:rPr>
        <w:t>never/not relevant</w:t>
      </w:r>
      <w:r>
        <w:t xml:space="preserve">” </w:t>
      </w:r>
      <w:r w:rsidRPr="00860678">
        <w:t xml:space="preserve">and </w:t>
      </w:r>
      <w:r>
        <w:t>5</w:t>
      </w:r>
      <w:r w:rsidRPr="00860678">
        <w:t xml:space="preserve"> is </w:t>
      </w:r>
      <w:r>
        <w:t>“</w:t>
      </w:r>
      <w:r w:rsidRPr="007946A6">
        <w:rPr>
          <w:i/>
        </w:rPr>
        <w:t>very frequent/very relevant</w:t>
      </w:r>
      <w:r>
        <w:t>”</w:t>
      </w:r>
      <w:r w:rsidRPr="00860678">
        <w:t xml:space="preserve">) </w:t>
      </w:r>
      <w:r>
        <w:t>a summary was made of</w:t>
      </w:r>
      <w:r w:rsidRPr="00860678">
        <w:t xml:space="preserve"> both the average of </w:t>
      </w:r>
      <w:r>
        <w:t>the reference cluster</w:t>
      </w:r>
      <w:r w:rsidRPr="00860678">
        <w:t xml:space="preserve"> (incubators/accelerators, indicated by </w:t>
      </w:r>
      <w:r>
        <w:t>the letter</w:t>
      </w:r>
      <w:r w:rsidRPr="00860678">
        <w:t xml:space="preserve"> </w:t>
      </w:r>
      <w:r>
        <w:t>A;</w:t>
      </w:r>
      <w:r w:rsidRPr="00860678">
        <w:t xml:space="preserve"> venture capital operators, indicated by </w:t>
      </w:r>
      <w:r>
        <w:t>the letter</w:t>
      </w:r>
      <w:r w:rsidRPr="00860678">
        <w:t xml:space="preserve"> V</w:t>
      </w:r>
      <w:r>
        <w:t>;</w:t>
      </w:r>
      <w:r w:rsidRPr="00860678">
        <w:t xml:space="preserve"> and business angels, indicated by </w:t>
      </w:r>
      <w:r>
        <w:t>the letter B</w:t>
      </w:r>
      <w:r w:rsidRPr="00860678">
        <w:t xml:space="preserve">) </w:t>
      </w:r>
      <w:r>
        <w:t>and</w:t>
      </w:r>
      <w:r w:rsidRPr="00860678">
        <w:t xml:space="preserve"> the total </w:t>
      </w:r>
      <w:r>
        <w:t xml:space="preserve">average of the </w:t>
      </w:r>
      <w:r w:rsidRPr="00860678">
        <w:t>sample analysed;</w:t>
      </w:r>
    </w:p>
    <w:p w:rsidR="00DC4E49" w:rsidRPr="00860678" w:rsidRDefault="00DC4E49" w:rsidP="00DC4E49">
      <w:pPr>
        <w:pStyle w:val="Paragrafoelenco"/>
        <w:numPr>
          <w:ilvl w:val="0"/>
          <w:numId w:val="7"/>
        </w:numPr>
        <w:ind w:left="142" w:hanging="142"/>
        <w:jc w:val="both"/>
      </w:pPr>
      <w:r>
        <w:t xml:space="preserve">for </w:t>
      </w:r>
      <w:r w:rsidRPr="00860678">
        <w:t>questions which required (</w:t>
      </w:r>
      <w:proofErr w:type="spellStart"/>
      <w:r w:rsidRPr="00860678">
        <w:t>i</w:t>
      </w:r>
      <w:proofErr w:type="spellEnd"/>
      <w:r w:rsidRPr="00860678">
        <w:t xml:space="preserve">) </w:t>
      </w:r>
      <w:r>
        <w:t xml:space="preserve">a </w:t>
      </w:r>
      <w:r w:rsidRPr="00860678">
        <w:t xml:space="preserve">frequency in percentage terms and (ii) aspects of a qualitative nature, the frequency </w:t>
      </w:r>
      <w:r>
        <w:t>of</w:t>
      </w:r>
      <w:r w:rsidRPr="00860678">
        <w:t xml:space="preserve"> </w:t>
      </w:r>
      <w:r w:rsidRPr="001C3E66">
        <w:t xml:space="preserve">the relative responses </w:t>
      </w:r>
      <w:r>
        <w:t>is referred to</w:t>
      </w:r>
      <w:r w:rsidRPr="00860678">
        <w:t>;</w:t>
      </w:r>
    </w:p>
    <w:p w:rsidR="00DC4E49" w:rsidRPr="00860678" w:rsidRDefault="00DC4E49" w:rsidP="00DC4E49">
      <w:pPr>
        <w:pStyle w:val="Paragrafoelenco"/>
        <w:numPr>
          <w:ilvl w:val="0"/>
          <w:numId w:val="7"/>
        </w:numPr>
        <w:ind w:left="142" w:hanging="142"/>
        <w:jc w:val="both"/>
      </w:pPr>
      <w:r>
        <w:t xml:space="preserve">for </w:t>
      </w:r>
      <w:r w:rsidRPr="00860678">
        <w:t>questions which requ</w:t>
      </w:r>
      <w:r>
        <w:t>ired</w:t>
      </w:r>
      <w:r w:rsidRPr="00860678">
        <w:t xml:space="preserve"> a response within a certain range of percentage values for multiple response options, </w:t>
      </w:r>
      <w:r>
        <w:t>the</w:t>
      </w:r>
      <w:r w:rsidRPr="00860678">
        <w:t xml:space="preserve"> average value of the range of responses </w:t>
      </w:r>
      <w:r>
        <w:t xml:space="preserve">was taken </w:t>
      </w:r>
      <w:r w:rsidRPr="00860678">
        <w:t>and an</w:t>
      </w:r>
      <w:r>
        <w:t xml:space="preserve"> average of the values obtained</w:t>
      </w:r>
      <w:r w:rsidRPr="00F72488">
        <w:t xml:space="preserve"> </w:t>
      </w:r>
      <w:r>
        <w:t>was calculated</w:t>
      </w:r>
      <w:r w:rsidRPr="00860678">
        <w:t>;</w:t>
      </w:r>
    </w:p>
    <w:p w:rsidR="00DC4E49" w:rsidRPr="00860678" w:rsidRDefault="00DC4E49" w:rsidP="00DC4E49">
      <w:pPr>
        <w:pStyle w:val="Paragrafoelenco"/>
        <w:tabs>
          <w:tab w:val="left" w:pos="142"/>
        </w:tabs>
        <w:ind w:left="0"/>
        <w:jc w:val="both"/>
      </w:pPr>
      <w:r w:rsidRPr="00860678">
        <w:t>-</w:t>
      </w:r>
      <w:r w:rsidRPr="00860678">
        <w:tab/>
      </w:r>
      <w:r>
        <w:t xml:space="preserve">for </w:t>
      </w:r>
      <w:r w:rsidRPr="00860678">
        <w:t xml:space="preserve">questions </w:t>
      </w:r>
      <w:r>
        <w:t>which were put to</w:t>
      </w:r>
      <w:r w:rsidRPr="00860678">
        <w:t xml:space="preserve"> only some types of operators, </w:t>
      </w:r>
      <w:r>
        <w:t>the decision was taken</w:t>
      </w:r>
      <w:r w:rsidRPr="00860678">
        <w:t xml:space="preserve"> </w:t>
      </w:r>
      <w:r>
        <w:t xml:space="preserve">either </w:t>
      </w:r>
      <w:r w:rsidRPr="00860678">
        <w:t xml:space="preserve">to omit them or </w:t>
      </w:r>
      <w:r>
        <w:t>mark them</w:t>
      </w:r>
      <w:r w:rsidRPr="00860678">
        <w:t xml:space="preserve"> </w:t>
      </w:r>
      <w:r>
        <w:t>as non-applicable (“n/a”</w:t>
      </w:r>
      <w:r w:rsidRPr="00860678">
        <w:t xml:space="preserve">) </w:t>
      </w:r>
      <w:r>
        <w:t>a</w:t>
      </w:r>
      <w:r w:rsidRPr="00860678">
        <w:t xml:space="preserve">nd </w:t>
      </w:r>
      <w:r>
        <w:t xml:space="preserve">to </w:t>
      </w:r>
      <w:r w:rsidRPr="00860678">
        <w:t xml:space="preserve">process the average of the sample without </w:t>
      </w:r>
      <w:r>
        <w:t xml:space="preserve">taking </w:t>
      </w:r>
      <w:r w:rsidRPr="00860678">
        <w:t>th</w:t>
      </w:r>
      <w:r>
        <w:t>ose responses into consideration.</w:t>
      </w:r>
    </w:p>
    <w:p w:rsidR="00DC4E49" w:rsidRDefault="00DC4E49" w:rsidP="00DC4E49">
      <w:pPr>
        <w:contextualSpacing/>
        <w:jc w:val="both"/>
      </w:pPr>
      <w:r w:rsidRPr="00860678">
        <w:t xml:space="preserve">The sample of operators interviewed, </w:t>
      </w:r>
      <w:r>
        <w:t>while</w:t>
      </w:r>
      <w:r w:rsidRPr="00860678">
        <w:t xml:space="preserve"> not statistically valid </w:t>
      </w:r>
      <w:r>
        <w:t>due</w:t>
      </w:r>
      <w:r w:rsidRPr="00860678">
        <w:t xml:space="preserve"> the low number who participated in the study, </w:t>
      </w:r>
      <w:r>
        <w:t xml:space="preserve">nonetheless </w:t>
      </w:r>
      <w:r w:rsidRPr="00860678">
        <w:t xml:space="preserve">offers interesting reflections and </w:t>
      </w:r>
      <w:r>
        <w:t>information</w:t>
      </w:r>
      <w:r w:rsidRPr="00860678">
        <w:t xml:space="preserve"> for </w:t>
      </w:r>
      <w:r>
        <w:t>an</w:t>
      </w:r>
      <w:r w:rsidRPr="00860678">
        <w:t xml:space="preserve"> in-depth discussion of the phenomenon </w:t>
      </w:r>
      <w:r>
        <w:t xml:space="preserve">under </w:t>
      </w:r>
      <w:r w:rsidRPr="00860678">
        <w:t>examin</w:t>
      </w:r>
      <w:r>
        <w:t>ation</w:t>
      </w:r>
      <w:r w:rsidRPr="00860678">
        <w:t xml:space="preserve">, </w:t>
      </w:r>
      <w:r>
        <w:t>particularly</w:t>
      </w:r>
      <w:r w:rsidRPr="00860678">
        <w:t xml:space="preserve"> </w:t>
      </w:r>
      <w:r>
        <w:t xml:space="preserve">given </w:t>
      </w:r>
      <w:r w:rsidRPr="00860678">
        <w:t xml:space="preserve">the inclusion of stakeholders of various sizes and various backgrounds. </w:t>
      </w:r>
    </w:p>
    <w:p w:rsidR="00DC4E49" w:rsidRPr="00860678" w:rsidRDefault="00DC4E49" w:rsidP="00DC4E49">
      <w:pPr>
        <w:contextualSpacing/>
        <w:jc w:val="both"/>
        <w:rPr>
          <w:b/>
        </w:rPr>
      </w:pPr>
      <w:r w:rsidRPr="001C4B7E">
        <w:t xml:space="preserve">The following </w:t>
      </w:r>
      <w:r>
        <w:t>is</w:t>
      </w:r>
      <w:r w:rsidRPr="00860678">
        <w:t xml:space="preserve"> </w:t>
      </w:r>
      <w:r>
        <w:t>the</w:t>
      </w:r>
      <w:r w:rsidRPr="00860678">
        <w:t xml:space="preserve"> </w:t>
      </w:r>
      <w:r>
        <w:t xml:space="preserve">presentation </w:t>
      </w:r>
      <w:r w:rsidRPr="00860678">
        <w:t xml:space="preserve">of the </w:t>
      </w:r>
      <w:r>
        <w:t>key</w:t>
      </w:r>
      <w:r w:rsidRPr="00860678">
        <w:t xml:space="preserve"> results </w:t>
      </w:r>
      <w:r>
        <w:t xml:space="preserve">emerging </w:t>
      </w:r>
      <w:r w:rsidRPr="00860678">
        <w:t xml:space="preserve">from the </w:t>
      </w:r>
      <w:r>
        <w:t>study</w:t>
      </w:r>
      <w:r w:rsidRPr="00860678">
        <w:t xml:space="preserve">, with the clarification that – </w:t>
      </w:r>
      <w:r>
        <w:t xml:space="preserve">for </w:t>
      </w:r>
      <w:r w:rsidRPr="00860678">
        <w:t xml:space="preserve">reasons of space and </w:t>
      </w:r>
      <w:r>
        <w:t xml:space="preserve">so as not to burden the reader </w:t>
      </w:r>
      <w:proofErr w:type="gramStart"/>
      <w:r>
        <w:t xml:space="preserve">– </w:t>
      </w:r>
      <w:r w:rsidRPr="00860678">
        <w:t xml:space="preserve"> </w:t>
      </w:r>
      <w:r>
        <w:t>the</w:t>
      </w:r>
      <w:proofErr w:type="gramEnd"/>
      <w:r>
        <w:t xml:space="preserve"> </w:t>
      </w:r>
      <w:r w:rsidRPr="00860678">
        <w:t xml:space="preserve">responses to certain questions are reported without </w:t>
      </w:r>
      <w:r>
        <w:t>reference</w:t>
      </w:r>
      <w:r w:rsidRPr="00860678">
        <w:t xml:space="preserve"> to the related figure/table</w:t>
      </w:r>
      <w:r>
        <w:t>,</w:t>
      </w:r>
      <w:r w:rsidRPr="00860678">
        <w:t xml:space="preserve"> and other responses, </w:t>
      </w:r>
      <w:r>
        <w:t xml:space="preserve">which were </w:t>
      </w:r>
      <w:r w:rsidRPr="00860678">
        <w:t xml:space="preserve">considered of </w:t>
      </w:r>
      <w:r>
        <w:t>minor relevance, have been omitted</w:t>
      </w:r>
      <w:r w:rsidRPr="00860678">
        <w:t>.</w:t>
      </w:r>
    </w:p>
    <w:p w:rsidR="00DC4E49" w:rsidRDefault="00DC4E49" w:rsidP="00975A32">
      <w:pPr>
        <w:jc w:val="both"/>
      </w:pPr>
      <w:r w:rsidRPr="00860678">
        <w:t xml:space="preserve">The first interesting </w:t>
      </w:r>
      <w:r>
        <w:t>observation</w:t>
      </w:r>
      <w:r w:rsidRPr="00860678">
        <w:t xml:space="preserve"> </w:t>
      </w:r>
      <w:r>
        <w:t>from</w:t>
      </w:r>
      <w:r w:rsidRPr="00860678">
        <w:t xml:space="preserve"> the analysis </w:t>
      </w:r>
      <w:r>
        <w:t>is the</w:t>
      </w:r>
      <w:r w:rsidRPr="00860678">
        <w:t xml:space="preserve"> comparison </w:t>
      </w:r>
      <w:r>
        <w:t>between</w:t>
      </w:r>
      <w:r w:rsidRPr="00860678">
        <w:t xml:space="preserve"> the number of </w:t>
      </w:r>
      <w:r>
        <w:t>“</w:t>
      </w:r>
      <w:r w:rsidRPr="00860678">
        <w:t>applications</w:t>
      </w:r>
      <w:r>
        <w:t>”</w:t>
      </w:r>
      <w:r w:rsidRPr="00860678">
        <w:t xml:space="preserve"> that the operators interviewed receive on average</w:t>
      </w:r>
      <w:r>
        <w:t>,</w:t>
      </w:r>
      <w:r w:rsidRPr="00860678">
        <w:t xml:space="preserve"> each year</w:t>
      </w:r>
      <w:r>
        <w:t>,</w:t>
      </w:r>
      <w:r w:rsidRPr="00860678">
        <w:t xml:space="preserve"> from companies potentially interested in entering the </w:t>
      </w:r>
      <w:r>
        <w:t>“</w:t>
      </w:r>
      <w:r w:rsidRPr="00860678">
        <w:t>orbit</w:t>
      </w:r>
      <w:r>
        <w:t>”</w:t>
      </w:r>
      <w:r w:rsidRPr="00860678">
        <w:t xml:space="preserve"> of an incubator or receiving equity shares and the number of companies that</w:t>
      </w:r>
      <w:r>
        <w:t>,</w:t>
      </w:r>
      <w:r w:rsidRPr="00860678">
        <w:t xml:space="preserve"> after the selection process, are approved by the incubator or are considered worthy of a participatory investment (figure</w:t>
      </w:r>
      <w:r>
        <w:t>s 10 and</w:t>
      </w:r>
      <w:r w:rsidRPr="00860678">
        <w:t xml:space="preserve"> 11).</w:t>
      </w:r>
    </w:p>
    <w:p w:rsidR="00DC4E49" w:rsidRDefault="00DC4E49" w:rsidP="00975A32">
      <w:pPr>
        <w:jc w:val="both"/>
      </w:pPr>
      <w:r>
        <w:t>What stands out is that</w:t>
      </w:r>
      <w:r w:rsidRPr="00860678">
        <w:t xml:space="preserve">, </w:t>
      </w:r>
      <w:r>
        <w:t>given the</w:t>
      </w:r>
      <w:r w:rsidRPr="00860678">
        <w:t xml:space="preserve"> numerous requests (the </w:t>
      </w:r>
      <w:r>
        <w:t>number</w:t>
      </w:r>
      <w:r w:rsidRPr="00860678">
        <w:t xml:space="preserve"> </w:t>
      </w:r>
      <w:r>
        <w:t>varies greatly for</w:t>
      </w:r>
      <w:r w:rsidRPr="00860678">
        <w:t xml:space="preserve"> incubators/accelerators, wh</w:t>
      </w:r>
      <w:r>
        <w:t>o</w:t>
      </w:r>
      <w:r w:rsidRPr="00860678">
        <w:t>, in 2</w:t>
      </w:r>
      <w:r>
        <w:t xml:space="preserve"> out of </w:t>
      </w:r>
      <w:r w:rsidRPr="00860678">
        <w:t xml:space="preserve">5 cases, </w:t>
      </w:r>
      <w:r>
        <w:t>respond</w:t>
      </w:r>
      <w:r w:rsidRPr="00860678">
        <w:t xml:space="preserve">ed </w:t>
      </w:r>
      <w:r>
        <w:t>“</w:t>
      </w:r>
      <w:r w:rsidRPr="00440967">
        <w:rPr>
          <w:i/>
        </w:rPr>
        <w:t>between 100 and 300</w:t>
      </w:r>
      <w:r>
        <w:t>”</w:t>
      </w:r>
      <w:r w:rsidRPr="00860678">
        <w:t xml:space="preserve"> and </w:t>
      </w:r>
      <w:r>
        <w:t xml:space="preserve">is </w:t>
      </w:r>
      <w:r w:rsidRPr="00860678">
        <w:t xml:space="preserve">significantly higher for venture </w:t>
      </w:r>
      <w:r>
        <w:t>capital operators who responded, in 6</w:t>
      </w:r>
      <w:r w:rsidRPr="00860678">
        <w:t xml:space="preserve"> out of 10</w:t>
      </w:r>
      <w:r>
        <w:t xml:space="preserve"> cases,</w:t>
      </w:r>
      <w:r w:rsidRPr="00860678">
        <w:t xml:space="preserve"> </w:t>
      </w:r>
      <w:r>
        <w:t>in the</w:t>
      </w:r>
      <w:r w:rsidRPr="00860678">
        <w:t xml:space="preserve"> range </w:t>
      </w:r>
      <w:r>
        <w:t>“</w:t>
      </w:r>
      <w:r>
        <w:rPr>
          <w:i/>
        </w:rPr>
        <w:t>over</w:t>
      </w:r>
      <w:r w:rsidRPr="00440967">
        <w:rPr>
          <w:i/>
        </w:rPr>
        <w:t xml:space="preserve"> 300</w:t>
      </w:r>
      <w:r>
        <w:t>”</w:t>
      </w:r>
      <w:r w:rsidRPr="00860678">
        <w:t>), the level of positive responses is significantly low, predominantly in the range</w:t>
      </w:r>
      <w:r>
        <w:t xml:space="preserve"> of</w:t>
      </w:r>
      <w:r w:rsidRPr="00860678">
        <w:t xml:space="preserve"> </w:t>
      </w:r>
      <w:r>
        <w:t>“</w:t>
      </w:r>
      <w:r w:rsidRPr="00440967">
        <w:rPr>
          <w:i/>
        </w:rPr>
        <w:t>between 10 and 20</w:t>
      </w:r>
      <w:r>
        <w:t>”</w:t>
      </w:r>
      <w:r w:rsidRPr="00860678">
        <w:t xml:space="preserve"> for both types of operator, who provided </w:t>
      </w:r>
      <w:r>
        <w:t>largely similar</w:t>
      </w:r>
      <w:r w:rsidRPr="00860678">
        <w:t xml:space="preserve"> respon</w:t>
      </w:r>
      <w:r>
        <w:t>ses. T</w:t>
      </w:r>
      <w:r w:rsidRPr="00860678">
        <w:t>he business angels</w:t>
      </w:r>
      <w:r>
        <w:t>’</w:t>
      </w:r>
      <w:r w:rsidRPr="00860678">
        <w:t xml:space="preserve"> </w:t>
      </w:r>
      <w:r>
        <w:t xml:space="preserve">execution capacity is even more </w:t>
      </w:r>
      <w:r w:rsidRPr="00425751">
        <w:t>limited.</w:t>
      </w:r>
    </w:p>
    <w:p w:rsidR="00DC4E49" w:rsidRDefault="00DC4E49" w:rsidP="00DC4E49">
      <w:pPr>
        <w:contextualSpacing/>
        <w:jc w:val="both"/>
      </w:pPr>
    </w:p>
    <w:p w:rsidR="00DC4E49" w:rsidRPr="0016703E" w:rsidRDefault="00766DBF" w:rsidP="00DC4E49">
      <w:pPr>
        <w:contextualSpacing/>
        <w:jc w:val="both"/>
        <w:rPr>
          <w:b/>
        </w:rPr>
      </w:pPr>
      <w:r w:rsidRPr="0016703E">
        <w:rPr>
          <w:b/>
        </w:rPr>
        <w:t>To i</w:t>
      </w:r>
      <w:r w:rsidR="00011DB5" w:rsidRPr="0016703E">
        <w:rPr>
          <w:b/>
        </w:rPr>
        <w:t>nsert Figure 10</w:t>
      </w:r>
      <w:r w:rsidR="0016703E">
        <w:rPr>
          <w:b/>
        </w:rPr>
        <w:t xml:space="preserve"> and Figure 11</w:t>
      </w:r>
    </w:p>
    <w:p w:rsidR="001C17B5" w:rsidRDefault="001C17B5" w:rsidP="00DC4E49">
      <w:pPr>
        <w:contextualSpacing/>
        <w:jc w:val="both"/>
      </w:pPr>
    </w:p>
    <w:p w:rsidR="00DC4E49" w:rsidRPr="00860678" w:rsidRDefault="00DC4E49" w:rsidP="00DC4E49">
      <w:r>
        <w:t>Among</w:t>
      </w:r>
      <w:r w:rsidRPr="00860678">
        <w:t xml:space="preserve"> the following </w:t>
      </w:r>
      <w:r>
        <w:t>factor</w:t>
      </w:r>
      <w:r w:rsidRPr="00860678">
        <w:t xml:space="preserve">s and criteria </w:t>
      </w:r>
      <w:r>
        <w:t>for selecting</w:t>
      </w:r>
      <w:r w:rsidRPr="00860678">
        <w:t xml:space="preserve"> </w:t>
      </w:r>
      <w:r>
        <w:t xml:space="preserve">which </w:t>
      </w:r>
      <w:r w:rsidRPr="00860678">
        <w:t xml:space="preserve">businesses to host and </w:t>
      </w:r>
      <w:r>
        <w:t>i</w:t>
      </w:r>
      <w:r w:rsidRPr="00860678">
        <w:t>nvest</w:t>
      </w:r>
      <w:r>
        <w:t xml:space="preserve"> in</w:t>
      </w:r>
      <w:r w:rsidRPr="00860678">
        <w:t xml:space="preserve"> (table 2), in first place, with </w:t>
      </w:r>
      <w:r>
        <w:t xml:space="preserve">a </w:t>
      </w:r>
      <w:r w:rsidRPr="00860678">
        <w:t xml:space="preserve">unanimous response, is </w:t>
      </w:r>
      <w:r>
        <w:t>“</w:t>
      </w:r>
      <w:r w:rsidRPr="00322552">
        <w:rPr>
          <w:i/>
        </w:rPr>
        <w:t>characteristics of the entrepreneurial team</w:t>
      </w:r>
      <w:r>
        <w:t>”,</w:t>
      </w:r>
      <w:r w:rsidRPr="00860678">
        <w:t xml:space="preserve"> which </w:t>
      </w:r>
      <w:r>
        <w:t>i</w:t>
      </w:r>
      <w:r w:rsidRPr="00860678">
        <w:t xml:space="preserve">s the </w:t>
      </w:r>
      <w:r>
        <w:t>singular</w:t>
      </w:r>
      <w:r w:rsidRPr="00860678">
        <w:t xml:space="preserve"> </w:t>
      </w:r>
      <w:r>
        <w:t xml:space="preserve">most important </w:t>
      </w:r>
      <w:r w:rsidRPr="00860678">
        <w:t xml:space="preserve">driver for evaluating </w:t>
      </w:r>
      <w:r>
        <w:t>their capability of</w:t>
      </w:r>
      <w:r w:rsidRPr="00860678">
        <w:t xml:space="preserve"> develop</w:t>
      </w:r>
      <w:r>
        <w:t>ing</w:t>
      </w:r>
      <w:r w:rsidRPr="00860678">
        <w:t xml:space="preserve"> the </w:t>
      </w:r>
      <w:r>
        <w:t>business</w:t>
      </w:r>
      <w:r w:rsidRPr="00860678">
        <w:t xml:space="preserve"> plan, followed by the </w:t>
      </w:r>
      <w:r>
        <w:t>“</w:t>
      </w:r>
      <w:r w:rsidRPr="00322552">
        <w:rPr>
          <w:i/>
        </w:rPr>
        <w:t>potential of the business idea</w:t>
      </w:r>
      <w:r>
        <w:t>”. Other responses include</w:t>
      </w:r>
      <w:r w:rsidRPr="00860678">
        <w:t xml:space="preserve"> </w:t>
      </w:r>
      <w:r>
        <w:t>“</w:t>
      </w:r>
      <w:r>
        <w:rPr>
          <w:i/>
        </w:rPr>
        <w:t>area of business</w:t>
      </w:r>
      <w:r w:rsidRPr="00860678">
        <w:t xml:space="preserve"> (of the </w:t>
      </w:r>
      <w:r>
        <w:t>company</w:t>
      </w:r>
      <w:r w:rsidRPr="00860678">
        <w:t xml:space="preserve">) </w:t>
      </w:r>
      <w:r>
        <w:rPr>
          <w:i/>
        </w:rPr>
        <w:t>consistent with</w:t>
      </w:r>
      <w:r w:rsidRPr="00322552">
        <w:rPr>
          <w:i/>
        </w:rPr>
        <w:t xml:space="preserve"> the operator’s mission</w:t>
      </w:r>
      <w:r>
        <w:t xml:space="preserve">” </w:t>
      </w:r>
      <w:r w:rsidRPr="00860678">
        <w:t xml:space="preserve">and the </w:t>
      </w:r>
      <w:r>
        <w:t>“</w:t>
      </w:r>
      <w:r w:rsidRPr="00322552">
        <w:rPr>
          <w:i/>
        </w:rPr>
        <w:t xml:space="preserve">level of </w:t>
      </w:r>
      <w:r>
        <w:rPr>
          <w:i/>
        </w:rPr>
        <w:t>technology offered</w:t>
      </w:r>
      <w:r>
        <w:t>”</w:t>
      </w:r>
      <w:r w:rsidRPr="00860678">
        <w:t>, while less important is the availability, on the part of the business</w:t>
      </w:r>
      <w:r>
        <w:t>,</w:t>
      </w:r>
      <w:r w:rsidRPr="00860678">
        <w:t xml:space="preserve"> of financial resources in the form of equity and debt.</w:t>
      </w:r>
    </w:p>
    <w:p w:rsidR="00011DB5" w:rsidRDefault="00011DB5" w:rsidP="00DC4E49">
      <w:pPr>
        <w:contextualSpacing/>
        <w:jc w:val="both"/>
      </w:pPr>
    </w:p>
    <w:p w:rsidR="00011DB5" w:rsidRPr="0016703E" w:rsidRDefault="00766DBF" w:rsidP="00DC4E49">
      <w:pPr>
        <w:contextualSpacing/>
        <w:jc w:val="both"/>
        <w:rPr>
          <w:b/>
        </w:rPr>
      </w:pPr>
      <w:r w:rsidRPr="0016703E">
        <w:rPr>
          <w:b/>
        </w:rPr>
        <w:t>To i</w:t>
      </w:r>
      <w:r w:rsidR="00011DB5" w:rsidRPr="0016703E">
        <w:rPr>
          <w:b/>
        </w:rPr>
        <w:t>nsert Table 2</w:t>
      </w:r>
    </w:p>
    <w:p w:rsidR="00011DB5" w:rsidRDefault="00011DB5" w:rsidP="00DC4E49">
      <w:pPr>
        <w:contextualSpacing/>
        <w:jc w:val="both"/>
      </w:pPr>
    </w:p>
    <w:p w:rsidR="00DC4E49" w:rsidRDefault="00DC4E49" w:rsidP="00975A32">
      <w:pPr>
        <w:jc w:val="both"/>
      </w:pPr>
      <w:r w:rsidRPr="00860678">
        <w:t xml:space="preserve">The business sector </w:t>
      </w:r>
      <w:r>
        <w:t xml:space="preserve">which attracts most interest (figure 12) is, as predicted, the </w:t>
      </w:r>
      <w:r w:rsidRPr="00E157AD">
        <w:rPr>
          <w:i/>
        </w:rPr>
        <w:t>internet</w:t>
      </w:r>
      <w:r w:rsidRPr="00860678">
        <w:t xml:space="preserve">. </w:t>
      </w:r>
      <w:r w:rsidRPr="00322552">
        <w:t>Other attractive sectors</w:t>
      </w:r>
      <w:r>
        <w:t xml:space="preserve"> are</w:t>
      </w:r>
      <w:r w:rsidRPr="00322552">
        <w:t xml:space="preserve"> </w:t>
      </w:r>
      <w:r w:rsidRPr="00E157AD">
        <w:rPr>
          <w:i/>
        </w:rPr>
        <w:t>computer science</w:t>
      </w:r>
      <w:r w:rsidRPr="00322552">
        <w:t xml:space="preserve">, </w:t>
      </w:r>
      <w:r w:rsidRPr="00E157AD">
        <w:rPr>
          <w:i/>
        </w:rPr>
        <w:t>telecommunications</w:t>
      </w:r>
      <w:r w:rsidRPr="00322552">
        <w:t xml:space="preserve"> and </w:t>
      </w:r>
      <w:r w:rsidRPr="00E157AD">
        <w:rPr>
          <w:i/>
        </w:rPr>
        <w:t>electronics</w:t>
      </w:r>
      <w:r w:rsidRPr="00322552">
        <w:t>.</w:t>
      </w:r>
    </w:p>
    <w:p w:rsidR="001C17B5" w:rsidRDefault="001C17B5" w:rsidP="00975A32">
      <w:pPr>
        <w:jc w:val="both"/>
      </w:pPr>
    </w:p>
    <w:p w:rsidR="001C17B5" w:rsidRPr="0016703E" w:rsidRDefault="00766DBF" w:rsidP="00975A32">
      <w:pPr>
        <w:jc w:val="both"/>
        <w:rPr>
          <w:b/>
        </w:rPr>
      </w:pPr>
      <w:r w:rsidRPr="0016703E">
        <w:rPr>
          <w:b/>
        </w:rPr>
        <w:t>To i</w:t>
      </w:r>
      <w:r w:rsidR="00CE3DB2" w:rsidRPr="0016703E">
        <w:rPr>
          <w:b/>
        </w:rPr>
        <w:t>nsert Figure 12</w:t>
      </w:r>
    </w:p>
    <w:p w:rsidR="001C17B5" w:rsidRDefault="001C17B5" w:rsidP="00975A32">
      <w:pPr>
        <w:jc w:val="both"/>
      </w:pPr>
    </w:p>
    <w:p w:rsidR="00DC4E49" w:rsidRDefault="00DC4E49" w:rsidP="00C0777B">
      <w:pPr>
        <w:jc w:val="both"/>
      </w:pPr>
      <w:r w:rsidRPr="00860678">
        <w:lastRenderedPageBreak/>
        <w:t xml:space="preserve">As regards the </w:t>
      </w:r>
      <w:r>
        <w:t xml:space="preserve">phase of the business </w:t>
      </w:r>
      <w:r w:rsidRPr="00860678">
        <w:t xml:space="preserve">life-cycle </w:t>
      </w:r>
      <w:r>
        <w:t>in which the</w:t>
      </w:r>
      <w:r w:rsidRPr="00860678">
        <w:t xml:space="preserve"> operators first become involve</w:t>
      </w:r>
      <w:r>
        <w:t>d (table 3), responses showed that</w:t>
      </w:r>
      <w:r w:rsidRPr="00860678">
        <w:t xml:space="preserve"> incubators/accelerators </w:t>
      </w:r>
      <w:r>
        <w:t>are</w:t>
      </w:r>
      <w:r w:rsidRPr="00860678">
        <w:t xml:space="preserve"> more frequently present during the </w:t>
      </w:r>
      <w:r w:rsidRPr="00DD1FBA">
        <w:rPr>
          <w:i/>
        </w:rPr>
        <w:t>pre-seed</w:t>
      </w:r>
      <w:r w:rsidRPr="00860678">
        <w:t xml:space="preserve"> and </w:t>
      </w:r>
      <w:r w:rsidRPr="00DD1FBA">
        <w:rPr>
          <w:i/>
        </w:rPr>
        <w:t xml:space="preserve">seed </w:t>
      </w:r>
      <w:r>
        <w:t xml:space="preserve">phases, while </w:t>
      </w:r>
      <w:r w:rsidRPr="00860678">
        <w:t>venture capital operators</w:t>
      </w:r>
      <w:r>
        <w:t>’</w:t>
      </w:r>
      <w:r w:rsidRPr="00860678">
        <w:t xml:space="preserve"> focus centre</w:t>
      </w:r>
      <w:r>
        <w:t>s</w:t>
      </w:r>
      <w:r w:rsidRPr="00860678">
        <w:t xml:space="preserve"> on the </w:t>
      </w:r>
      <w:r w:rsidRPr="00DD1FBA">
        <w:rPr>
          <w:i/>
        </w:rPr>
        <w:t>start-up</w:t>
      </w:r>
      <w:r w:rsidRPr="00860678">
        <w:t xml:space="preserve"> </w:t>
      </w:r>
      <w:r>
        <w:t>phase</w:t>
      </w:r>
      <w:r w:rsidRPr="00860678">
        <w:t xml:space="preserve"> and those immediately preceding (</w:t>
      </w:r>
      <w:r w:rsidRPr="00DD1FBA">
        <w:rPr>
          <w:i/>
        </w:rPr>
        <w:t>seed</w:t>
      </w:r>
      <w:r w:rsidRPr="00860678">
        <w:t>) and following (</w:t>
      </w:r>
      <w:r w:rsidRPr="00DD1FBA">
        <w:rPr>
          <w:i/>
        </w:rPr>
        <w:t>first stage of growth</w:t>
      </w:r>
      <w:r w:rsidRPr="00860678">
        <w:t xml:space="preserve">) it. </w:t>
      </w:r>
    </w:p>
    <w:p w:rsidR="00C0777B" w:rsidRDefault="00C0777B" w:rsidP="00C0777B">
      <w:pPr>
        <w:jc w:val="both"/>
      </w:pPr>
    </w:p>
    <w:p w:rsidR="00CE3DB2" w:rsidRPr="0016703E" w:rsidRDefault="00CE3DB2" w:rsidP="00C0777B">
      <w:pPr>
        <w:jc w:val="both"/>
        <w:rPr>
          <w:b/>
        </w:rPr>
      </w:pPr>
      <w:r w:rsidRPr="0016703E">
        <w:rPr>
          <w:b/>
        </w:rPr>
        <w:t>To insert Table 3</w:t>
      </w:r>
    </w:p>
    <w:p w:rsidR="00CE3DB2" w:rsidRDefault="00CE3DB2" w:rsidP="00DC4E49">
      <w:pPr>
        <w:contextualSpacing/>
        <w:jc w:val="both"/>
      </w:pPr>
    </w:p>
    <w:p w:rsidR="00DC4E49" w:rsidRPr="002F72B6" w:rsidRDefault="00DC4E49" w:rsidP="00DC4E49">
      <w:pPr>
        <w:contextualSpacing/>
        <w:jc w:val="both"/>
      </w:pPr>
      <w:r>
        <w:t>There was a</w:t>
      </w:r>
      <w:r w:rsidRPr="002F72B6">
        <w:t xml:space="preserve"> </w:t>
      </w:r>
      <w:r>
        <w:t xml:space="preserve">wide </w:t>
      </w:r>
      <w:r w:rsidRPr="002F72B6">
        <w:t xml:space="preserve">range of responses to questions </w:t>
      </w:r>
      <w:r>
        <w:t>on</w:t>
      </w:r>
      <w:r w:rsidRPr="002F72B6">
        <w:t xml:space="preserve"> financial support.</w:t>
      </w:r>
    </w:p>
    <w:p w:rsidR="00DC4E49" w:rsidRPr="002F72B6" w:rsidRDefault="00DC4E49" w:rsidP="00DC4E49">
      <w:pPr>
        <w:contextualSpacing/>
        <w:jc w:val="both"/>
      </w:pPr>
      <w:r>
        <w:t>Firstly</w:t>
      </w:r>
      <w:r w:rsidRPr="002F72B6">
        <w:t xml:space="preserve">, the incubators/accelerators contacted </w:t>
      </w:r>
      <w:r>
        <w:t>stated that they went</w:t>
      </w:r>
      <w:r w:rsidRPr="002F72B6">
        <w:t xml:space="preserve"> ahead even with investments in equity, as well as providing active managerial assistance and access to privileged channels of finance to the incubated companies. Specifically, the financial resources conferred to the business projects can be </w:t>
      </w:r>
      <w:r>
        <w:t>grouped as</w:t>
      </w:r>
      <w:r w:rsidRPr="002F72B6">
        <w:t xml:space="preserve"> </w:t>
      </w:r>
      <w:r>
        <w:t>follows</w:t>
      </w:r>
      <w:r w:rsidRPr="002F72B6">
        <w:t>:</w:t>
      </w:r>
    </w:p>
    <w:p w:rsidR="00DC4E49" w:rsidRPr="002F72B6" w:rsidRDefault="00DC4E49" w:rsidP="00DC4E49">
      <w:pPr>
        <w:pStyle w:val="Paragrafoelenco"/>
        <w:numPr>
          <w:ilvl w:val="0"/>
          <w:numId w:val="3"/>
        </w:numPr>
        <w:ind w:left="284" w:hanging="284"/>
        <w:jc w:val="both"/>
      </w:pPr>
      <w:r w:rsidRPr="002F72B6">
        <w:rPr>
          <w:i/>
        </w:rPr>
        <w:t>separate investment fund</w:t>
      </w:r>
      <w:r w:rsidRPr="002F72B6">
        <w:t xml:space="preserve">, where the incubator </w:t>
      </w:r>
      <w:r>
        <w:t>creates</w:t>
      </w:r>
      <w:r w:rsidRPr="002F72B6">
        <w:t xml:space="preserve"> a fund which can also be managed by an external company; </w:t>
      </w:r>
    </w:p>
    <w:p w:rsidR="00DC4E49" w:rsidRPr="002F72B6" w:rsidRDefault="00DC4E49" w:rsidP="00DC4E49">
      <w:pPr>
        <w:pStyle w:val="Paragrafoelenco"/>
        <w:numPr>
          <w:ilvl w:val="0"/>
          <w:numId w:val="3"/>
        </w:numPr>
        <w:ind w:left="284" w:hanging="284"/>
        <w:jc w:val="both"/>
      </w:pPr>
      <w:r w:rsidRPr="002F72B6">
        <w:rPr>
          <w:i/>
        </w:rPr>
        <w:t>direct capital investment</w:t>
      </w:r>
      <w:r w:rsidRPr="002F72B6">
        <w:t xml:space="preserve">, where the incubator, equipped with a certain amount of capital, invests directly and in total </w:t>
      </w:r>
      <w:r>
        <w:t>autonomy, in</w:t>
      </w:r>
      <w:r w:rsidRPr="002F72B6">
        <w:t xml:space="preserve"> new potential businesses; </w:t>
      </w:r>
    </w:p>
    <w:p w:rsidR="00DC4E49" w:rsidRPr="002F72B6" w:rsidRDefault="00DC4E49" w:rsidP="00DC4E49">
      <w:pPr>
        <w:pStyle w:val="Paragrafoelenco"/>
        <w:numPr>
          <w:ilvl w:val="0"/>
          <w:numId w:val="3"/>
        </w:numPr>
        <w:ind w:left="284" w:hanging="284"/>
        <w:jc w:val="both"/>
      </w:pPr>
      <w:r w:rsidRPr="002F72B6">
        <w:rPr>
          <w:i/>
        </w:rPr>
        <w:t>limited partnership/angel network</w:t>
      </w:r>
      <w:r w:rsidRPr="002F72B6">
        <w:t>, where the incubator, through a network of private financiers</w:t>
      </w:r>
      <w:r>
        <w:t xml:space="preserve"> </w:t>
      </w:r>
      <w:r w:rsidRPr="007D672A">
        <w:t>and on a case-by-case basis, raises the re</w:t>
      </w:r>
      <w:r>
        <w:t>quired</w:t>
      </w:r>
      <w:r w:rsidRPr="002F72B6">
        <w:t xml:space="preserve"> amounts for </w:t>
      </w:r>
      <w:r>
        <w:t>individual</w:t>
      </w:r>
      <w:r w:rsidRPr="002F72B6">
        <w:t xml:space="preserve"> investments. </w:t>
      </w:r>
    </w:p>
    <w:p w:rsidR="00DC4E49" w:rsidRDefault="00DC4E49" w:rsidP="00975A32">
      <w:pPr>
        <w:jc w:val="both"/>
      </w:pPr>
      <w:r w:rsidRPr="002F72B6">
        <w:t xml:space="preserve">The value of </w:t>
      </w:r>
      <w:r>
        <w:t>a</w:t>
      </w:r>
      <w:r w:rsidRPr="002F72B6">
        <w:t xml:space="preserve"> single </w:t>
      </w:r>
      <w:r>
        <w:t>“</w:t>
      </w:r>
      <w:r w:rsidRPr="00781F15">
        <w:rPr>
          <w:i/>
        </w:rPr>
        <w:t>ticket</w:t>
      </w:r>
      <w:r>
        <w:t xml:space="preserve">” </w:t>
      </w:r>
      <w:r w:rsidRPr="002F72B6">
        <w:t>vari</w:t>
      </w:r>
      <w:r>
        <w:t>es</w:t>
      </w:r>
      <w:r w:rsidRPr="002F72B6">
        <w:t xml:space="preserve"> (figure 13): for the incubators/accelerators</w:t>
      </w:r>
      <w:r>
        <w:t>,</w:t>
      </w:r>
      <w:r w:rsidRPr="002F72B6">
        <w:t xml:space="preserve"> </w:t>
      </w:r>
      <w:r>
        <w:t>in</w:t>
      </w:r>
      <w:r w:rsidRPr="002F72B6">
        <w:t xml:space="preserve"> 3</w:t>
      </w:r>
      <w:r>
        <w:t xml:space="preserve"> out of </w:t>
      </w:r>
      <w:r w:rsidRPr="002F72B6">
        <w:t>5 cases</w:t>
      </w:r>
      <w:r>
        <w:t>,</w:t>
      </w:r>
      <w:r w:rsidRPr="002F72B6">
        <w:t xml:space="preserve"> </w:t>
      </w:r>
      <w:r>
        <w:t>it</w:t>
      </w:r>
      <w:r w:rsidRPr="002F72B6">
        <w:t xml:space="preserve"> is </w:t>
      </w:r>
      <w:r>
        <w:t>“</w:t>
      </w:r>
      <w:r w:rsidRPr="002F72B6">
        <w:t>less than €30,000</w:t>
      </w:r>
      <w:r>
        <w:t>” and,</w:t>
      </w:r>
      <w:r w:rsidRPr="002F72B6">
        <w:t xml:space="preserve"> in 2</w:t>
      </w:r>
      <w:r>
        <w:t xml:space="preserve"> out of </w:t>
      </w:r>
      <w:r w:rsidRPr="002F72B6">
        <w:t>5 cases</w:t>
      </w:r>
      <w:r>
        <w:t>, it is</w:t>
      </w:r>
      <w:r w:rsidRPr="002F72B6">
        <w:t xml:space="preserve"> </w:t>
      </w:r>
      <w:r>
        <w:t>“</w:t>
      </w:r>
      <w:r w:rsidRPr="002F72B6">
        <w:t>between €50,000 and €100,000</w:t>
      </w:r>
      <w:r>
        <w:t>”</w:t>
      </w:r>
      <w:r w:rsidRPr="002F72B6">
        <w:t xml:space="preserve">. A value which rises </w:t>
      </w:r>
      <w:r>
        <w:t>to over</w:t>
      </w:r>
      <w:r w:rsidRPr="002F72B6">
        <w:t xml:space="preserve"> €100,000 for the two business angel associations </w:t>
      </w:r>
      <w:r>
        <w:t>that</w:t>
      </w:r>
      <w:r w:rsidRPr="002F72B6">
        <w:t xml:space="preserve"> participated in the study. The venture capital operators, for their part, invest higher amounts</w:t>
      </w:r>
      <w:r>
        <w:t>,</w:t>
      </w:r>
      <w:r w:rsidRPr="002F72B6">
        <w:t xml:space="preserve"> with the </w:t>
      </w:r>
      <w:r>
        <w:t>value</w:t>
      </w:r>
      <w:r w:rsidRPr="002F72B6">
        <w:t xml:space="preserve"> of a single deal</w:t>
      </w:r>
      <w:r>
        <w:t xml:space="preserve"> sitting at: in 5</w:t>
      </w:r>
      <w:r w:rsidRPr="002F72B6">
        <w:t xml:space="preserve"> out of 10</w:t>
      </w:r>
      <w:r>
        <w:t xml:space="preserve"> </w:t>
      </w:r>
      <w:r w:rsidRPr="002F72B6">
        <w:t>cases</w:t>
      </w:r>
      <w:r>
        <w:t>,</w:t>
      </w:r>
      <w:r w:rsidRPr="002F72B6">
        <w:t xml:space="preserve"> </w:t>
      </w:r>
      <w:r>
        <w:t>“over</w:t>
      </w:r>
      <w:r w:rsidRPr="002F72B6">
        <w:t xml:space="preserve"> </w:t>
      </w:r>
      <w:r>
        <w:t xml:space="preserve">€1m”; in 2 </w:t>
      </w:r>
      <w:r w:rsidRPr="002F72B6">
        <w:t xml:space="preserve">out of 10 </w:t>
      </w:r>
      <w:r>
        <w:t>cases “</w:t>
      </w:r>
      <w:r w:rsidRPr="002F72B6">
        <w:t xml:space="preserve">between </w:t>
      </w:r>
      <w:r>
        <w:t>€500,000 and €1m”;</w:t>
      </w:r>
      <w:r w:rsidRPr="002F72B6">
        <w:t xml:space="preserve"> in </w:t>
      </w:r>
      <w:r>
        <w:t>1 in 10</w:t>
      </w:r>
      <w:r w:rsidRPr="002F72B6">
        <w:t xml:space="preserve"> case</w:t>
      </w:r>
      <w:r>
        <w:t>s, “</w:t>
      </w:r>
      <w:r w:rsidRPr="002F72B6">
        <w:t>between €300,000 and €500,000</w:t>
      </w:r>
      <w:r>
        <w:t>”</w:t>
      </w:r>
      <w:r w:rsidRPr="002F72B6">
        <w:t xml:space="preserve">; </w:t>
      </w:r>
      <w:r>
        <w:t xml:space="preserve">and </w:t>
      </w:r>
      <w:r w:rsidRPr="002F72B6">
        <w:t>in 2</w:t>
      </w:r>
      <w:r>
        <w:t xml:space="preserve"> out of </w:t>
      </w:r>
      <w:r w:rsidRPr="002F72B6">
        <w:t xml:space="preserve">10 cases </w:t>
      </w:r>
      <w:r>
        <w:t>“</w:t>
      </w:r>
      <w:r w:rsidRPr="002F72B6">
        <w:t xml:space="preserve">between </w:t>
      </w:r>
      <w:r>
        <w:t>€</w:t>
      </w:r>
      <w:r w:rsidRPr="002F72B6">
        <w:t>50,000 and €100,000</w:t>
      </w:r>
      <w:r>
        <w:t>”</w:t>
      </w:r>
      <w:r w:rsidRPr="002F72B6">
        <w:t>.</w:t>
      </w:r>
    </w:p>
    <w:p w:rsidR="00DC4E49" w:rsidRDefault="00DC4E49" w:rsidP="00DC4E49"/>
    <w:p w:rsidR="001C17B5" w:rsidRPr="0016703E" w:rsidRDefault="00CE3DB2" w:rsidP="00DC4E49">
      <w:pPr>
        <w:rPr>
          <w:b/>
        </w:rPr>
      </w:pPr>
      <w:r w:rsidRPr="0016703E">
        <w:rPr>
          <w:b/>
        </w:rPr>
        <w:t>To insert Figure 13</w:t>
      </w:r>
    </w:p>
    <w:p w:rsidR="001C17B5" w:rsidRDefault="001C17B5" w:rsidP="00DC4E49"/>
    <w:p w:rsidR="00DC4E49" w:rsidRDefault="00DC4E49" w:rsidP="00DC4E49">
      <w:pPr>
        <w:contextualSpacing/>
        <w:jc w:val="both"/>
      </w:pPr>
      <w:r w:rsidRPr="002F72B6">
        <w:t xml:space="preserve">The number of </w:t>
      </w:r>
      <w:r>
        <w:t>stake holdings in place at 31-12-</w:t>
      </w:r>
      <w:r w:rsidRPr="002F72B6">
        <w:t xml:space="preserve">2016 </w:t>
      </w:r>
      <w:r>
        <w:t>by</w:t>
      </w:r>
      <w:r w:rsidRPr="002F72B6">
        <w:t xml:space="preserve"> </w:t>
      </w:r>
      <w:r>
        <w:t xml:space="preserve">the </w:t>
      </w:r>
      <w:r w:rsidRPr="002F72B6">
        <w:t xml:space="preserve">venture capital operators </w:t>
      </w:r>
      <w:r>
        <w:t xml:space="preserve">involved </w:t>
      </w:r>
      <w:r w:rsidRPr="002F72B6">
        <w:t xml:space="preserve">in the survey is extremely </w:t>
      </w:r>
      <w:r>
        <w:t>varie</w:t>
      </w:r>
      <w:r w:rsidRPr="002F72B6">
        <w:t>d: in 6</w:t>
      </w:r>
      <w:r>
        <w:t xml:space="preserve"> out of </w:t>
      </w:r>
      <w:r w:rsidRPr="002F72B6">
        <w:t>10 cases</w:t>
      </w:r>
      <w:r>
        <w:t>,</w:t>
      </w:r>
      <w:r w:rsidRPr="002F72B6">
        <w:t xml:space="preserve"> it is </w:t>
      </w:r>
      <w:r>
        <w:t>less than</w:t>
      </w:r>
      <w:r w:rsidRPr="002F72B6">
        <w:t xml:space="preserve"> 20, with </w:t>
      </w:r>
      <w:r>
        <w:t>some</w:t>
      </w:r>
      <w:r w:rsidRPr="002F72B6">
        <w:t xml:space="preserve"> </w:t>
      </w:r>
      <w:r>
        <w:t>having</w:t>
      </w:r>
      <w:r w:rsidRPr="002F72B6">
        <w:t xml:space="preserve"> just </w:t>
      </w:r>
      <w:r>
        <w:t>2</w:t>
      </w:r>
      <w:r w:rsidRPr="002F72B6">
        <w:t xml:space="preserve"> </w:t>
      </w:r>
      <w:r>
        <w:t>or</w:t>
      </w:r>
      <w:r w:rsidRPr="002F72B6">
        <w:t xml:space="preserve"> </w:t>
      </w:r>
      <w:r>
        <w:t>3</w:t>
      </w:r>
      <w:r w:rsidRPr="002F72B6">
        <w:t xml:space="preserve"> investments in place, while in the other </w:t>
      </w:r>
      <w:r>
        <w:t>4</w:t>
      </w:r>
      <w:r w:rsidRPr="002F72B6">
        <w:t xml:space="preserve"> cases</w:t>
      </w:r>
      <w:r>
        <w:t>,</w:t>
      </w:r>
      <w:r w:rsidRPr="002F72B6">
        <w:t xml:space="preserve"> it is </w:t>
      </w:r>
      <w:r>
        <w:t xml:space="preserve">more than </w:t>
      </w:r>
      <w:r w:rsidRPr="002F72B6">
        <w:t xml:space="preserve">20, with peaks of 40 and 42 </w:t>
      </w:r>
      <w:r>
        <w:t>investee companies</w:t>
      </w:r>
      <w:r w:rsidRPr="002F72B6">
        <w:t xml:space="preserve">. </w:t>
      </w:r>
    </w:p>
    <w:p w:rsidR="00DC4E49" w:rsidRPr="002F72B6" w:rsidRDefault="00DC4E49" w:rsidP="00DC4E49">
      <w:pPr>
        <w:contextualSpacing/>
        <w:jc w:val="both"/>
      </w:pPr>
      <w:r w:rsidRPr="002F72B6">
        <w:t>Investments are predominantly small (in 9</w:t>
      </w:r>
      <w:r>
        <w:t xml:space="preserve"> out of </w:t>
      </w:r>
      <w:r w:rsidRPr="002F72B6">
        <w:t xml:space="preserve">10 cases) and </w:t>
      </w:r>
      <w:r>
        <w:t>the practice</w:t>
      </w:r>
      <w:r w:rsidRPr="002F72B6">
        <w:t xml:space="preserve"> of participating in investment operations </w:t>
      </w:r>
      <w:r>
        <w:t>“</w:t>
      </w:r>
      <w:r w:rsidRPr="002F72B6">
        <w:t>in syndicate</w:t>
      </w:r>
      <w:r>
        <w:t>”</w:t>
      </w:r>
      <w:r w:rsidRPr="002F72B6">
        <w:t xml:space="preserve"> emerged unequivocally. </w:t>
      </w:r>
      <w:r>
        <w:t>It is an</w:t>
      </w:r>
      <w:r w:rsidRPr="002F72B6">
        <w:t xml:space="preserve"> approach </w:t>
      </w:r>
      <w:r>
        <w:t xml:space="preserve">that is </w:t>
      </w:r>
      <w:r w:rsidRPr="002F72B6">
        <w:t xml:space="preserve">also followed </w:t>
      </w:r>
      <w:r>
        <w:t>by</w:t>
      </w:r>
      <w:r w:rsidRPr="002F72B6">
        <w:t xml:space="preserve"> business angel associations and, in a different way, incubators/accelerators wh</w:t>
      </w:r>
      <w:r>
        <w:t xml:space="preserve">ose portfolio is equally mixed, with these </w:t>
      </w:r>
      <w:r w:rsidRPr="002F72B6">
        <w:t xml:space="preserve">last </w:t>
      </w:r>
      <w:r>
        <w:t>2</w:t>
      </w:r>
      <w:r w:rsidRPr="002F72B6">
        <w:t xml:space="preserve"> operators registering 40 </w:t>
      </w:r>
      <w:r>
        <w:t>plus</w:t>
      </w:r>
      <w:r w:rsidRPr="002F72B6">
        <w:t xml:space="preserve"> investments</w:t>
      </w:r>
      <w:r>
        <w:t>,</w:t>
      </w:r>
      <w:r w:rsidRPr="002F72B6">
        <w:t xml:space="preserve"> and </w:t>
      </w:r>
      <w:r>
        <w:t xml:space="preserve">3 </w:t>
      </w:r>
      <w:r w:rsidRPr="002F72B6">
        <w:t xml:space="preserve">with less than </w:t>
      </w:r>
      <w:r>
        <w:t>5</w:t>
      </w:r>
      <w:r w:rsidRPr="002F72B6">
        <w:t xml:space="preserve"> </w:t>
      </w:r>
      <w:r>
        <w:t>stake holdings</w:t>
      </w:r>
      <w:r w:rsidRPr="002F72B6">
        <w:t>.</w:t>
      </w:r>
    </w:p>
    <w:p w:rsidR="00DC4E49" w:rsidRDefault="00DC4E49" w:rsidP="00975A32">
      <w:pPr>
        <w:jc w:val="both"/>
      </w:pPr>
      <w:r w:rsidRPr="002F72B6">
        <w:t xml:space="preserve">As regards the time period </w:t>
      </w:r>
      <w:r>
        <w:t>a</w:t>
      </w:r>
      <w:r w:rsidRPr="002F72B6">
        <w:t xml:space="preserve"> business spen</w:t>
      </w:r>
      <w:r w:rsidR="0016703E">
        <w:t>t</w:t>
      </w:r>
      <w:r w:rsidRPr="002F72B6">
        <w:t xml:space="preserve"> </w:t>
      </w:r>
      <w:r>
        <w:t>with</w:t>
      </w:r>
      <w:r w:rsidRPr="002F72B6">
        <w:t>in the specific programme arranged by the incubator/accelerator</w:t>
      </w:r>
      <w:r>
        <w:t>,</w:t>
      </w:r>
      <w:r w:rsidRPr="002F72B6">
        <w:t xml:space="preserve"> </w:t>
      </w:r>
      <w:r>
        <w:t>who is responsible for</w:t>
      </w:r>
      <w:r w:rsidRPr="002F72B6">
        <w:t xml:space="preserve"> </w:t>
      </w:r>
      <w:r>
        <w:t>assembl</w:t>
      </w:r>
      <w:r w:rsidRPr="002F72B6">
        <w:t xml:space="preserve">ing and following through the entrepreneurial ideas </w:t>
      </w:r>
      <w:r>
        <w:t xml:space="preserve">which are </w:t>
      </w:r>
      <w:r w:rsidRPr="002F72B6">
        <w:t xml:space="preserve">considered as </w:t>
      </w:r>
      <w:r>
        <w:t xml:space="preserve">having </w:t>
      </w:r>
      <w:r w:rsidRPr="002F72B6">
        <w:t xml:space="preserve">high potential for </w:t>
      </w:r>
      <w:r>
        <w:t>financial</w:t>
      </w:r>
      <w:r w:rsidRPr="002F72B6">
        <w:t xml:space="preserve"> return</w:t>
      </w:r>
      <w:r>
        <w:t>s</w:t>
      </w:r>
      <w:r w:rsidRPr="002F72B6">
        <w:t xml:space="preserve"> but not yet ready for the market (</w:t>
      </w:r>
      <w:r w:rsidR="0016703E">
        <w:t>figure</w:t>
      </w:r>
      <w:r w:rsidRPr="002F72B6">
        <w:t xml:space="preserve"> 14), there is no summary </w:t>
      </w:r>
      <w:r>
        <w:t>available as</w:t>
      </w:r>
      <w:r w:rsidRPr="002F72B6">
        <w:t xml:space="preserve"> every company responded in a different way, although </w:t>
      </w:r>
      <w:r>
        <w:t xml:space="preserve">all </w:t>
      </w:r>
      <w:r w:rsidRPr="002F72B6">
        <w:t xml:space="preserve">within a time period of less than </w:t>
      </w:r>
      <w:r>
        <w:t>2</w:t>
      </w:r>
      <w:r w:rsidRPr="002F72B6">
        <w:t xml:space="preserve"> years. In comparison, the v</w:t>
      </w:r>
      <w:r>
        <w:t>enture capital operators and</w:t>
      </w:r>
      <w:r w:rsidRPr="002F72B6">
        <w:t xml:space="preserve"> business angels, in responding to the same question on </w:t>
      </w:r>
      <w:r>
        <w:t>the length of</w:t>
      </w:r>
      <w:r w:rsidRPr="002F72B6">
        <w:t xml:space="preserve"> the </w:t>
      </w:r>
      <w:r w:rsidRPr="0045128D">
        <w:rPr>
          <w:i/>
        </w:rPr>
        <w:t>holding period</w:t>
      </w:r>
      <w:r w:rsidRPr="002F72B6">
        <w:t xml:space="preserve"> of their </w:t>
      </w:r>
      <w:r>
        <w:t>stake holdings, cite</w:t>
      </w:r>
      <w:r w:rsidRPr="002F72B6">
        <w:t>d tim</w:t>
      </w:r>
      <w:r>
        <w:t>e</w:t>
      </w:r>
      <w:r w:rsidRPr="002F72B6">
        <w:t xml:space="preserve">s that were </w:t>
      </w:r>
      <w:proofErr w:type="gramStart"/>
      <w:r w:rsidRPr="002F72B6">
        <w:t>fairly consistent</w:t>
      </w:r>
      <w:proofErr w:type="gramEnd"/>
      <w:r w:rsidRPr="002F72B6">
        <w:t xml:space="preserve">, </w:t>
      </w:r>
      <w:r>
        <w:t xml:space="preserve">“over 5 </w:t>
      </w:r>
      <w:r w:rsidRPr="002F72B6">
        <w:t>years</w:t>
      </w:r>
      <w:r>
        <w:t>”</w:t>
      </w:r>
      <w:r w:rsidRPr="002F72B6">
        <w:t xml:space="preserve"> and </w:t>
      </w:r>
      <w:r>
        <w:t>“3-4”</w:t>
      </w:r>
      <w:r w:rsidRPr="002F72B6">
        <w:t xml:space="preserve"> years</w:t>
      </w:r>
      <w:r w:rsidRPr="00A80916">
        <w:t xml:space="preserve"> </w:t>
      </w:r>
      <w:r w:rsidRPr="002F72B6">
        <w:t>respectively.</w:t>
      </w:r>
    </w:p>
    <w:p w:rsidR="00C0777B" w:rsidRDefault="00C0777B" w:rsidP="00DC4E49"/>
    <w:p w:rsidR="00CE3DB2" w:rsidRPr="0016703E" w:rsidRDefault="00CE3DB2" w:rsidP="00DC4E49">
      <w:pPr>
        <w:rPr>
          <w:b/>
        </w:rPr>
      </w:pPr>
      <w:r w:rsidRPr="0016703E">
        <w:rPr>
          <w:b/>
        </w:rPr>
        <w:t>To insert Figure 14</w:t>
      </w:r>
    </w:p>
    <w:p w:rsidR="00DC4E49" w:rsidRDefault="00DC4E49" w:rsidP="00DC4E49">
      <w:pPr>
        <w:contextualSpacing/>
        <w:jc w:val="both"/>
      </w:pPr>
    </w:p>
    <w:p w:rsidR="00DC4E49" w:rsidRPr="002F72B6" w:rsidRDefault="00CE3DB2" w:rsidP="00DC4E49">
      <w:pPr>
        <w:contextualSpacing/>
        <w:jc w:val="both"/>
      </w:pPr>
      <w:r>
        <w:t>A</w:t>
      </w:r>
      <w:r w:rsidR="00DC4E49" w:rsidRPr="002F72B6">
        <w:t xml:space="preserve">s already highlighted, intervention by venture capital operators usually happens by </w:t>
      </w:r>
      <w:r w:rsidR="00DC4E49">
        <w:t xml:space="preserve">them </w:t>
      </w:r>
      <w:r w:rsidR="00DC4E49" w:rsidRPr="002F72B6">
        <w:t xml:space="preserve">taking </w:t>
      </w:r>
      <w:r w:rsidR="00DC4E49" w:rsidRPr="0045128D">
        <w:t xml:space="preserve">on </w:t>
      </w:r>
      <w:r w:rsidR="00DC4E49">
        <w:t>a share</w:t>
      </w:r>
      <w:r w:rsidR="00DC4E49" w:rsidRPr="0045128D">
        <w:t>holding or underwriting convertible bonds in the companies, therefore, fully sharing the f</w:t>
      </w:r>
      <w:r w:rsidR="00DC4E49">
        <w:t>ate</w:t>
      </w:r>
      <w:r w:rsidR="00DC4E49" w:rsidRPr="002F72B6">
        <w:t xml:space="preserve"> of the company and assuming all risks related to the development of the </w:t>
      </w:r>
      <w:r w:rsidR="00DC4E49">
        <w:t>business</w:t>
      </w:r>
      <w:r w:rsidR="00DC4E49" w:rsidRPr="002F72B6">
        <w:t xml:space="preserve">. The intention is to actively guide the business </w:t>
      </w:r>
      <w:r w:rsidR="00DC4E49">
        <w:t>through</w:t>
      </w:r>
      <w:r w:rsidR="00DC4E49" w:rsidRPr="002F72B6">
        <w:t xml:space="preserve"> </w:t>
      </w:r>
      <w:r w:rsidR="00DC4E49">
        <w:t xml:space="preserve">an </w:t>
      </w:r>
      <w:r w:rsidR="00DC4E49" w:rsidRPr="002F72B6">
        <w:t xml:space="preserve">accelerated </w:t>
      </w:r>
      <w:r w:rsidR="00DC4E49">
        <w:t xml:space="preserve">development </w:t>
      </w:r>
      <w:r w:rsidR="00DC4E49" w:rsidRPr="002F72B6">
        <w:t xml:space="preserve">process, participating in the various phases of the </w:t>
      </w:r>
      <w:r w:rsidR="00DC4E49">
        <w:t>business</w:t>
      </w:r>
      <w:r w:rsidR="00DC4E49" w:rsidRPr="002F72B6">
        <w:t xml:space="preserve"> plan </w:t>
      </w:r>
      <w:r w:rsidR="00DC4E49">
        <w:t>with its own specific technical–</w:t>
      </w:r>
      <w:r w:rsidR="00DC4E49" w:rsidRPr="002F72B6">
        <w:t>professional contribution, with the aim of maximising, within a reasonable time</w:t>
      </w:r>
      <w:r w:rsidR="00DC4E49">
        <w:t>frame</w:t>
      </w:r>
      <w:r w:rsidR="00DC4E49" w:rsidRPr="002F72B6">
        <w:t xml:space="preserve">, the </w:t>
      </w:r>
      <w:r w:rsidR="00DC4E49">
        <w:t>capital gain</w:t>
      </w:r>
      <w:r w:rsidR="00DC4E49" w:rsidRPr="002F72B6">
        <w:t xml:space="preserve"> realisable </w:t>
      </w:r>
      <w:r w:rsidR="00DC4E49">
        <w:t>through the</w:t>
      </w:r>
      <w:r w:rsidR="00DC4E49" w:rsidRPr="002F72B6">
        <w:t xml:space="preserve"> release of </w:t>
      </w:r>
      <w:r w:rsidR="00DC4E49">
        <w:t xml:space="preserve">the </w:t>
      </w:r>
      <w:r w:rsidR="00DC4E49" w:rsidRPr="002F72B6">
        <w:t xml:space="preserve">acquired </w:t>
      </w:r>
      <w:r w:rsidR="00DC4E49">
        <w:t>stake holding</w:t>
      </w:r>
      <w:r w:rsidR="00DC4E49" w:rsidRPr="002F72B6">
        <w:t xml:space="preserve"> </w:t>
      </w:r>
      <w:r w:rsidR="00DC4E49">
        <w:t>after</w:t>
      </w:r>
      <w:r w:rsidR="00DC4E49" w:rsidRPr="002F72B6">
        <w:t xml:space="preserve"> the pre</w:t>
      </w:r>
      <w:r w:rsidR="00DC4E49">
        <w:t>-defined</w:t>
      </w:r>
      <w:r w:rsidR="00DC4E49" w:rsidRPr="002F72B6">
        <w:t xml:space="preserve"> growth objectives have been </w:t>
      </w:r>
      <w:r w:rsidR="00DC4E49">
        <w:t>achieved</w:t>
      </w:r>
      <w:r w:rsidR="00DC4E49" w:rsidRPr="002F72B6">
        <w:t>.</w:t>
      </w:r>
    </w:p>
    <w:p w:rsidR="00DC4E49" w:rsidRPr="002F72B6" w:rsidRDefault="00DC4E49" w:rsidP="00975A32">
      <w:pPr>
        <w:jc w:val="both"/>
      </w:pPr>
      <w:r w:rsidRPr="002F72B6">
        <w:t xml:space="preserve">During the period when the business’ fate is shared, the venture capitalist </w:t>
      </w:r>
      <w:r>
        <w:t>assumes an active</w:t>
      </w:r>
      <w:r w:rsidRPr="002F72B6">
        <w:t xml:space="preserve"> management</w:t>
      </w:r>
      <w:r>
        <w:t xml:space="preserve"> role with a</w:t>
      </w:r>
      <w:r w:rsidRPr="002F72B6">
        <w:t xml:space="preserve"> series </w:t>
      </w:r>
      <w:r>
        <w:t>of activities providing guidance</w:t>
      </w:r>
      <w:r w:rsidRPr="002F72B6">
        <w:t xml:space="preserve"> and assist</w:t>
      </w:r>
      <w:r>
        <w:t>ance (table 4). To this end,</w:t>
      </w:r>
      <w:r w:rsidRPr="002F72B6">
        <w:t xml:space="preserve"> </w:t>
      </w:r>
      <w:r>
        <w:t xml:space="preserve">the most important </w:t>
      </w:r>
      <w:r>
        <w:lastRenderedPageBreak/>
        <w:t>contributions are the</w:t>
      </w:r>
      <w:r w:rsidRPr="002F72B6">
        <w:t xml:space="preserve"> </w:t>
      </w:r>
      <w:r>
        <w:t>“</w:t>
      </w:r>
      <w:r w:rsidRPr="00D05363">
        <w:rPr>
          <w:i/>
        </w:rPr>
        <w:t>introduction to strategic industrial and commercial relationships</w:t>
      </w:r>
      <w:r>
        <w:t>”</w:t>
      </w:r>
      <w:r w:rsidRPr="002F72B6">
        <w:t xml:space="preserve">, useful </w:t>
      </w:r>
      <w:r>
        <w:t>in</w:t>
      </w:r>
      <w:r w:rsidRPr="002F72B6">
        <w:t xml:space="preserve"> </w:t>
      </w:r>
      <w:r>
        <w:t>promoting the growth and/or</w:t>
      </w:r>
      <w:r w:rsidRPr="002F72B6">
        <w:t xml:space="preserve"> consolidation of the business, </w:t>
      </w:r>
      <w:r>
        <w:t>“</w:t>
      </w:r>
      <w:r w:rsidRPr="00D05363">
        <w:rPr>
          <w:i/>
        </w:rPr>
        <w:t>managerial support</w:t>
      </w:r>
      <w:r>
        <w:t>”</w:t>
      </w:r>
      <w:r w:rsidRPr="002F72B6">
        <w:t xml:space="preserve">, </w:t>
      </w:r>
      <w:r>
        <w:t>the “</w:t>
      </w:r>
      <w:r>
        <w:rPr>
          <w:i/>
        </w:rPr>
        <w:t>employment</w:t>
      </w:r>
      <w:r w:rsidRPr="00D05363">
        <w:rPr>
          <w:i/>
        </w:rPr>
        <w:t xml:space="preserve"> </w:t>
      </w:r>
      <w:r>
        <w:rPr>
          <w:i/>
        </w:rPr>
        <w:t xml:space="preserve">of </w:t>
      </w:r>
      <w:r w:rsidRPr="00D05363">
        <w:rPr>
          <w:i/>
        </w:rPr>
        <w:t xml:space="preserve">trustworthy and/or respected people </w:t>
      </w:r>
      <w:r>
        <w:rPr>
          <w:i/>
        </w:rPr>
        <w:t xml:space="preserve">to key positions </w:t>
      </w:r>
      <w:r w:rsidRPr="00D05363">
        <w:rPr>
          <w:i/>
        </w:rPr>
        <w:t>in the organisational structure</w:t>
      </w:r>
      <w:r>
        <w:t>”</w:t>
      </w:r>
      <w:r w:rsidRPr="002F72B6">
        <w:t xml:space="preserve">. The first two elements were </w:t>
      </w:r>
      <w:r>
        <w:t>cite</w:t>
      </w:r>
      <w:r w:rsidRPr="002F72B6">
        <w:t>d, though in inverse order, by the business angels as well, who, as noted, are clearly differentiated from other institutional operators active in the private equity market because their intervention is less structured and more flexible</w:t>
      </w:r>
      <w:r>
        <w:t>,</w:t>
      </w:r>
      <w:r w:rsidRPr="002F72B6">
        <w:t xml:space="preserve"> both in</w:t>
      </w:r>
      <w:r>
        <w:t xml:space="preserve"> its nature and in terms of timing</w:t>
      </w:r>
      <w:r w:rsidRPr="002F72B6">
        <w:t>, making them more suitable than others for financing the initial phase of business development.</w:t>
      </w:r>
    </w:p>
    <w:p w:rsidR="00DC4E49" w:rsidRDefault="00DC4E49" w:rsidP="00DC4E49">
      <w:pPr>
        <w:contextualSpacing/>
        <w:jc w:val="both"/>
      </w:pPr>
    </w:p>
    <w:p w:rsidR="00CE3DB2" w:rsidRPr="0016703E" w:rsidRDefault="00CE3DB2" w:rsidP="00DC4E49">
      <w:pPr>
        <w:contextualSpacing/>
        <w:jc w:val="both"/>
        <w:rPr>
          <w:b/>
        </w:rPr>
      </w:pPr>
      <w:r w:rsidRPr="0016703E">
        <w:rPr>
          <w:b/>
        </w:rPr>
        <w:t>To insert Table 4</w:t>
      </w:r>
    </w:p>
    <w:p w:rsidR="00CE3DB2" w:rsidRDefault="00CE3DB2" w:rsidP="00DC4E49">
      <w:pPr>
        <w:contextualSpacing/>
        <w:jc w:val="both"/>
      </w:pPr>
    </w:p>
    <w:p w:rsidR="00DC4E49" w:rsidRPr="002F72B6" w:rsidRDefault="00DC4E49" w:rsidP="00DC4E49">
      <w:pPr>
        <w:contextualSpacing/>
        <w:jc w:val="both"/>
      </w:pPr>
      <w:r w:rsidRPr="002F72B6">
        <w:t xml:space="preserve">The disinvestment of </w:t>
      </w:r>
      <w:r>
        <w:t>the stake holding</w:t>
      </w:r>
      <w:r w:rsidRPr="002F72B6">
        <w:t xml:space="preserve"> </w:t>
      </w:r>
      <w:r>
        <w:t>represents</w:t>
      </w:r>
      <w:r w:rsidRPr="002F72B6">
        <w:t xml:space="preserve"> the natural </w:t>
      </w:r>
      <w:r>
        <w:t>end</w:t>
      </w:r>
      <w:r w:rsidRPr="002F72B6">
        <w:t xml:space="preserve"> of the operation for</w:t>
      </w:r>
      <w:r>
        <w:t xml:space="preserve"> all</w:t>
      </w:r>
      <w:r w:rsidRPr="002F72B6">
        <w:t xml:space="preserve"> three types of operator in the study</w:t>
      </w:r>
      <w:proofErr w:type="gramStart"/>
      <w:r w:rsidRPr="002F72B6">
        <w:t>, in particular</w:t>
      </w:r>
      <w:r>
        <w:t>, the</w:t>
      </w:r>
      <w:proofErr w:type="gramEnd"/>
      <w:r w:rsidRPr="002F72B6">
        <w:t xml:space="preserve"> venture capital operators and business angels, and also </w:t>
      </w:r>
      <w:r>
        <w:t xml:space="preserve">allows them to rotate their portfolios which is necessary in </w:t>
      </w:r>
      <w:r w:rsidRPr="002F72B6">
        <w:t>guarantee</w:t>
      </w:r>
      <w:r>
        <w:t>ing</w:t>
      </w:r>
      <w:r w:rsidRPr="002F72B6">
        <w:t xml:space="preserve"> an a</w:t>
      </w:r>
      <w:r>
        <w:t xml:space="preserve">dequate flow of resources for </w:t>
      </w:r>
      <w:r w:rsidRPr="002F72B6">
        <w:t>new investments</w:t>
      </w:r>
      <w:r>
        <w:t>; it</w:t>
      </w:r>
      <w:r w:rsidRPr="002F72B6">
        <w:t xml:space="preserve"> </w:t>
      </w:r>
      <w:r>
        <w:t>is the</w:t>
      </w:r>
      <w:r w:rsidRPr="002F72B6">
        <w:t xml:space="preserve"> critical point </w:t>
      </w:r>
      <w:r>
        <w:t>for</w:t>
      </w:r>
      <w:r w:rsidRPr="002F72B6">
        <w:t xml:space="preserve"> e</w:t>
      </w:r>
      <w:r>
        <w:t>very</w:t>
      </w:r>
      <w:r w:rsidRPr="002F72B6">
        <w:t xml:space="preserve"> operation. In our country, the lack of a strong tradition of exchanges for SMEs and high-growth companies, </w:t>
      </w:r>
      <w:r>
        <w:t xml:space="preserve">which is </w:t>
      </w:r>
      <w:r w:rsidRPr="002F72B6">
        <w:t xml:space="preserve">only partly mitigated by the </w:t>
      </w:r>
      <w:r>
        <w:t>efforts</w:t>
      </w:r>
      <w:r w:rsidRPr="002F72B6">
        <w:t xml:space="preserve"> of the AIM, and the existence of a private equity supply chain which </w:t>
      </w:r>
      <w:r>
        <w:t>has not yet been fully</w:t>
      </w:r>
      <w:r w:rsidRPr="002F72B6">
        <w:t xml:space="preserve"> consolidated</w:t>
      </w:r>
      <w:r>
        <w:t>,</w:t>
      </w:r>
      <w:r w:rsidRPr="002F72B6">
        <w:t xml:space="preserve"> </w:t>
      </w:r>
      <w:r>
        <w:t xml:space="preserve">forces operators, </w:t>
      </w:r>
      <w:r w:rsidRPr="002F72B6">
        <w:t>where possible</w:t>
      </w:r>
      <w:r>
        <w:t xml:space="preserve"> and</w:t>
      </w:r>
      <w:r w:rsidRPr="002F72B6">
        <w:t xml:space="preserve"> </w:t>
      </w:r>
      <w:r>
        <w:t xml:space="preserve">even </w:t>
      </w:r>
      <w:r w:rsidRPr="002F72B6">
        <w:t xml:space="preserve">at the </w:t>
      </w:r>
      <w:r>
        <w:t xml:space="preserve">signing of </w:t>
      </w:r>
      <w:r w:rsidRPr="002F72B6">
        <w:t>the agreement</w:t>
      </w:r>
      <w:r>
        <w:t xml:space="preserve">, to put together a plan </w:t>
      </w:r>
      <w:r w:rsidRPr="002F72B6">
        <w:t xml:space="preserve">with various </w:t>
      </w:r>
      <w:r>
        <w:t>options for subsequent</w:t>
      </w:r>
      <w:r w:rsidRPr="002F72B6">
        <w:t xml:space="preserve"> disposal.</w:t>
      </w:r>
    </w:p>
    <w:p w:rsidR="00DC4E49" w:rsidRDefault="00DC4E49" w:rsidP="00975A32">
      <w:pPr>
        <w:jc w:val="both"/>
      </w:pPr>
      <w:r w:rsidRPr="002F72B6">
        <w:t>From the responses provided (</w:t>
      </w:r>
      <w:r w:rsidR="0016703E">
        <w:t xml:space="preserve">figure </w:t>
      </w:r>
      <w:r w:rsidRPr="002F72B6">
        <w:t xml:space="preserve">15), the type of </w:t>
      </w:r>
      <w:r w:rsidRPr="00B47A26">
        <w:rPr>
          <w:i/>
        </w:rPr>
        <w:t>exit</w:t>
      </w:r>
      <w:r w:rsidRPr="002F72B6">
        <w:t xml:space="preserve"> </w:t>
      </w:r>
      <w:r>
        <w:t>cit</w:t>
      </w:r>
      <w:r w:rsidRPr="002F72B6">
        <w:t xml:space="preserve">ed most frequently and consistently is </w:t>
      </w:r>
      <w:r>
        <w:t>“</w:t>
      </w:r>
      <w:r w:rsidRPr="00B47A26">
        <w:rPr>
          <w:i/>
        </w:rPr>
        <w:t>transferral to industrial groups</w:t>
      </w:r>
      <w:r>
        <w:t>”</w:t>
      </w:r>
      <w:r w:rsidRPr="002F72B6">
        <w:t xml:space="preserve"> with an overall average of 59%, </w:t>
      </w:r>
      <w:r>
        <w:t>followed by</w:t>
      </w:r>
      <w:r w:rsidRPr="002F72B6">
        <w:t xml:space="preserve"> quotation which </w:t>
      </w:r>
      <w:r>
        <w:t>i</w:t>
      </w:r>
      <w:r w:rsidRPr="002F72B6">
        <w:t xml:space="preserve">s a valid </w:t>
      </w:r>
      <w:r>
        <w:t xml:space="preserve">option only for venture capital operators who cited it, in 5 out of 10 cases, as </w:t>
      </w:r>
      <w:r w:rsidRPr="002F72B6">
        <w:t>between 10% and 25%.</w:t>
      </w:r>
    </w:p>
    <w:p w:rsidR="00DC4E49" w:rsidRDefault="00DC4E49" w:rsidP="00DC4E49"/>
    <w:p w:rsidR="00CE3DB2" w:rsidRPr="0016703E" w:rsidRDefault="00CE3DB2" w:rsidP="00DC4E49">
      <w:pPr>
        <w:rPr>
          <w:b/>
        </w:rPr>
      </w:pPr>
      <w:r w:rsidRPr="0016703E">
        <w:rPr>
          <w:b/>
        </w:rPr>
        <w:t>To insert Figure 15</w:t>
      </w:r>
    </w:p>
    <w:p w:rsidR="00DC4E49" w:rsidRDefault="00DC4E49" w:rsidP="00DC4E49">
      <w:pPr>
        <w:contextualSpacing/>
        <w:jc w:val="both"/>
      </w:pPr>
    </w:p>
    <w:p w:rsidR="00DC4E49" w:rsidRDefault="00DC4E49" w:rsidP="00DC4E49">
      <w:pPr>
        <w:contextualSpacing/>
        <w:jc w:val="both"/>
      </w:pPr>
      <w:r w:rsidRPr="002F72B6">
        <w:t xml:space="preserve">More generally, </w:t>
      </w:r>
      <w:proofErr w:type="gramStart"/>
      <w:r>
        <w:t>in regard to</w:t>
      </w:r>
      <w:proofErr w:type="gramEnd"/>
      <w:r w:rsidRPr="002F72B6">
        <w:t xml:space="preserve"> the percentage of successfully executed exits (figure 16), </w:t>
      </w:r>
      <w:r>
        <w:t>responses were mixed and</w:t>
      </w:r>
      <w:r w:rsidRPr="002F72B6">
        <w:t xml:space="preserve"> generally at low level</w:t>
      </w:r>
      <w:r>
        <w:t>s</w:t>
      </w:r>
      <w:r w:rsidRPr="002F72B6">
        <w:t xml:space="preserve">. Of the 17 stakeholders who took part in the survey, 10 </w:t>
      </w:r>
      <w:r>
        <w:t>gave</w:t>
      </w:r>
      <w:r w:rsidRPr="002F72B6">
        <w:t xml:space="preserve"> a response</w:t>
      </w:r>
      <w:r>
        <w:t xml:space="preserve"> of</w:t>
      </w:r>
      <w:r w:rsidRPr="002F72B6">
        <w:t xml:space="preserve"> </w:t>
      </w:r>
      <w:r>
        <w:t>“</w:t>
      </w:r>
      <w:r w:rsidRPr="00BA6A1D">
        <w:rPr>
          <w:i/>
        </w:rPr>
        <w:t>less than 10%</w:t>
      </w:r>
      <w:r>
        <w:t>”</w:t>
      </w:r>
      <w:r w:rsidRPr="002F72B6">
        <w:t xml:space="preserve"> and only </w:t>
      </w:r>
      <w:r>
        <w:t>4</w:t>
      </w:r>
      <w:r w:rsidRPr="002F72B6">
        <w:t xml:space="preserve"> </w:t>
      </w:r>
      <w:r>
        <w:t>reported</w:t>
      </w:r>
      <w:r w:rsidRPr="002F72B6">
        <w:t xml:space="preserve"> results around 50% (</w:t>
      </w:r>
      <w:r>
        <w:t>2</w:t>
      </w:r>
      <w:r w:rsidRPr="002F72B6">
        <w:t xml:space="preserve"> </w:t>
      </w:r>
      <w:r>
        <w:t>“</w:t>
      </w:r>
      <w:r w:rsidRPr="00BA6A1D">
        <w:rPr>
          <w:i/>
        </w:rPr>
        <w:t>between 25% and 50%</w:t>
      </w:r>
      <w:r>
        <w:t>”</w:t>
      </w:r>
      <w:r w:rsidRPr="002F72B6">
        <w:t xml:space="preserve"> and </w:t>
      </w:r>
      <w:r>
        <w:t>2</w:t>
      </w:r>
      <w:r w:rsidRPr="002F72B6">
        <w:t xml:space="preserve"> </w:t>
      </w:r>
      <w:r>
        <w:t>“</w:t>
      </w:r>
      <w:r w:rsidRPr="00FC3CA0">
        <w:rPr>
          <w:i/>
        </w:rPr>
        <w:t>between 50% and 75%</w:t>
      </w:r>
      <w:r>
        <w:t>”). I</w:t>
      </w:r>
      <w:r w:rsidRPr="002F72B6">
        <w:t>n all probability</w:t>
      </w:r>
      <w:r>
        <w:t xml:space="preserve">, these results </w:t>
      </w:r>
      <w:r w:rsidRPr="002F72B6">
        <w:t xml:space="preserve">reflect the </w:t>
      </w:r>
      <w:r>
        <w:t xml:space="preserve">phase of the </w:t>
      </w:r>
      <w:r w:rsidRPr="002F72B6">
        <w:t xml:space="preserve">life-cycle that the operators interviewed </w:t>
      </w:r>
      <w:r>
        <w:t>experienced</w:t>
      </w:r>
      <w:r w:rsidRPr="002F72B6">
        <w:t xml:space="preserve">, some </w:t>
      </w:r>
      <w:r>
        <w:t xml:space="preserve">of whom </w:t>
      </w:r>
      <w:r w:rsidRPr="002F72B6">
        <w:t>launch</w:t>
      </w:r>
      <w:r>
        <w:t>ed</w:t>
      </w:r>
      <w:r w:rsidRPr="002F72B6">
        <w:t xml:space="preserve"> their bus</w:t>
      </w:r>
      <w:r>
        <w:t xml:space="preserve">iness just a few years ago, and, </w:t>
      </w:r>
      <w:r w:rsidRPr="002F72B6">
        <w:t>more generally</w:t>
      </w:r>
      <w:r>
        <w:t>, it</w:t>
      </w:r>
      <w:r w:rsidRPr="002F72B6">
        <w:t xml:space="preserve"> confirm</w:t>
      </w:r>
      <w:r>
        <w:t>s</w:t>
      </w:r>
      <w:r w:rsidRPr="002F72B6">
        <w:t xml:space="preserve"> </w:t>
      </w:r>
      <w:r>
        <w:t>that the</w:t>
      </w:r>
      <w:r w:rsidRPr="002F72B6">
        <w:t xml:space="preserve"> risk capital market in Italy </w:t>
      </w:r>
      <w:r>
        <w:t>has not</w:t>
      </w:r>
      <w:r w:rsidRPr="002F72B6">
        <w:t xml:space="preserve"> </w:t>
      </w:r>
      <w:r>
        <w:t>reached full</w:t>
      </w:r>
      <w:r w:rsidRPr="002F72B6">
        <w:t xml:space="preserve"> maturity. </w:t>
      </w:r>
    </w:p>
    <w:p w:rsidR="0016703E" w:rsidRDefault="0016703E" w:rsidP="00DC4E49">
      <w:pPr>
        <w:contextualSpacing/>
        <w:jc w:val="both"/>
      </w:pPr>
    </w:p>
    <w:p w:rsidR="0016703E" w:rsidRPr="0016703E" w:rsidRDefault="0016703E" w:rsidP="0016703E">
      <w:pPr>
        <w:contextualSpacing/>
        <w:jc w:val="both"/>
        <w:rPr>
          <w:b/>
        </w:rPr>
      </w:pPr>
      <w:r w:rsidRPr="0016703E">
        <w:rPr>
          <w:b/>
        </w:rPr>
        <w:t>To insert Figure 16</w:t>
      </w:r>
    </w:p>
    <w:p w:rsidR="0016703E" w:rsidRDefault="0016703E" w:rsidP="00DC4E49">
      <w:pPr>
        <w:contextualSpacing/>
        <w:jc w:val="both"/>
      </w:pPr>
    </w:p>
    <w:p w:rsidR="00DC4E49" w:rsidRDefault="00DC4E49" w:rsidP="00DC4E49">
      <w:pPr>
        <w:contextualSpacing/>
        <w:jc w:val="both"/>
      </w:pPr>
      <w:r w:rsidRPr="002F72B6">
        <w:t xml:space="preserve">Similar variability was seen </w:t>
      </w:r>
      <w:r>
        <w:t>in</w:t>
      </w:r>
      <w:r w:rsidRPr="002F72B6">
        <w:t xml:space="preserve"> analysing the responses provided </w:t>
      </w:r>
      <w:r>
        <w:t>on</w:t>
      </w:r>
      <w:r w:rsidRPr="002F72B6">
        <w:t xml:space="preserve"> the percentage of </w:t>
      </w:r>
      <w:r w:rsidRPr="002C41AC">
        <w:rPr>
          <w:i/>
        </w:rPr>
        <w:t>write-offs</w:t>
      </w:r>
      <w:r w:rsidRPr="002F72B6">
        <w:t xml:space="preserve">, or operations which did not finish well and </w:t>
      </w:r>
      <w:r>
        <w:t>incurred</w:t>
      </w:r>
      <w:r w:rsidRPr="002F72B6">
        <w:t xml:space="preserve"> a loss of investment with the consequent write-off of the relative value (figure 17). In </w:t>
      </w:r>
      <w:proofErr w:type="gramStart"/>
      <w:r w:rsidRPr="002F72B6">
        <w:t>the majority of</w:t>
      </w:r>
      <w:proofErr w:type="gramEnd"/>
      <w:r w:rsidRPr="002F72B6">
        <w:t xml:space="preserve"> cases (11</w:t>
      </w:r>
      <w:r>
        <w:t xml:space="preserve"> out of </w:t>
      </w:r>
      <w:r w:rsidRPr="002F72B6">
        <w:t>17)</w:t>
      </w:r>
      <w:r>
        <w:t>,</w:t>
      </w:r>
      <w:r w:rsidRPr="002F72B6">
        <w:t xml:space="preserve"> this was below 25%, meaning that almost one in four operations </w:t>
      </w:r>
      <w:r>
        <w:t>were a failure. T</w:t>
      </w:r>
      <w:r w:rsidRPr="002F72B6">
        <w:t xml:space="preserve">his result is </w:t>
      </w:r>
      <w:r>
        <w:t>also partly attributable</w:t>
      </w:r>
      <w:r w:rsidRPr="002F72B6">
        <w:t xml:space="preserve"> to the </w:t>
      </w:r>
      <w:r>
        <w:t>“</w:t>
      </w:r>
      <w:r w:rsidRPr="002C41AC">
        <w:t>youth</w:t>
      </w:r>
      <w:r>
        <w:t>”</w:t>
      </w:r>
      <w:r w:rsidRPr="002F72B6">
        <w:t xml:space="preserve"> of the operations </w:t>
      </w:r>
      <w:r>
        <w:t xml:space="preserve">put </w:t>
      </w:r>
      <w:r w:rsidRPr="002F72B6">
        <w:t>in place by the stakeholders who participated in th</w:t>
      </w:r>
      <w:r>
        <w:t>e study, particularl</w:t>
      </w:r>
      <w:r w:rsidRPr="002F72B6">
        <w:t>y when compared to</w:t>
      </w:r>
      <w:r>
        <w:t xml:space="preserve"> sector</w:t>
      </w:r>
      <w:r w:rsidRPr="002F72B6">
        <w:t xml:space="preserve"> data which shows </w:t>
      </w:r>
      <w:r>
        <w:t xml:space="preserve">that </w:t>
      </w:r>
      <w:r w:rsidRPr="002F72B6">
        <w:t xml:space="preserve">percentage </w:t>
      </w:r>
      <w:r>
        <w:t>at</w:t>
      </w:r>
      <w:r w:rsidRPr="002F72B6">
        <w:t xml:space="preserve"> generally higher levels.</w:t>
      </w:r>
    </w:p>
    <w:p w:rsidR="0016703E" w:rsidRDefault="0016703E" w:rsidP="00DC4E49">
      <w:pPr>
        <w:contextualSpacing/>
        <w:jc w:val="both"/>
      </w:pPr>
    </w:p>
    <w:p w:rsidR="0016703E" w:rsidRPr="0016703E" w:rsidRDefault="0016703E" w:rsidP="0016703E">
      <w:pPr>
        <w:contextualSpacing/>
        <w:jc w:val="both"/>
        <w:rPr>
          <w:b/>
        </w:rPr>
      </w:pPr>
      <w:r>
        <w:rPr>
          <w:b/>
        </w:rPr>
        <w:t>To insert Figure 17</w:t>
      </w:r>
    </w:p>
    <w:p w:rsidR="0016703E" w:rsidRDefault="0016703E" w:rsidP="00DC4E49">
      <w:pPr>
        <w:contextualSpacing/>
        <w:jc w:val="both"/>
      </w:pPr>
    </w:p>
    <w:p w:rsidR="00DC4E49" w:rsidRDefault="00DC4E49" w:rsidP="00DC4E49">
      <w:pPr>
        <w:pStyle w:val="Paragrafoelenco"/>
        <w:tabs>
          <w:tab w:val="left" w:pos="284"/>
          <w:tab w:val="left" w:pos="426"/>
        </w:tabs>
        <w:ind w:left="0"/>
        <w:jc w:val="both"/>
      </w:pPr>
      <w:bookmarkStart w:id="0" w:name="_MON_1557754082"/>
      <w:bookmarkStart w:id="1" w:name="_MON_1557753360"/>
      <w:bookmarkEnd w:id="0"/>
      <w:bookmarkEnd w:id="1"/>
      <w:r>
        <w:t>F</w:t>
      </w:r>
      <w:r w:rsidRPr="00371B3A">
        <w:t>or the incubators/accelerators</w:t>
      </w:r>
      <w:r>
        <w:t>, w</w:t>
      </w:r>
      <w:r w:rsidRPr="00371B3A">
        <w:t xml:space="preserve">hat </w:t>
      </w:r>
      <w:r>
        <w:t xml:space="preserve">also </w:t>
      </w:r>
      <w:r w:rsidRPr="00371B3A">
        <w:t xml:space="preserve">stands out – </w:t>
      </w:r>
      <w:r>
        <w:t xml:space="preserve">as </w:t>
      </w:r>
      <w:r w:rsidRPr="00371B3A">
        <w:t xml:space="preserve">an important element in evaluating the quality of their work in </w:t>
      </w:r>
      <w:r>
        <w:t>supportin</w:t>
      </w:r>
      <w:r w:rsidRPr="00371B3A">
        <w:t>g and encouraging the launch and development of new entrepreneurial proposals when th</w:t>
      </w:r>
      <w:r>
        <w:t>ey</w:t>
      </w:r>
      <w:r w:rsidRPr="00371B3A">
        <w:t xml:space="preserve"> are most vulnerable, providing active managerial assistance, access to privileged channels of finance and support in using technical and business services (all highly critical elements at this </w:t>
      </w:r>
      <w:r>
        <w:t>phase</w:t>
      </w:r>
      <w:r w:rsidRPr="00371B3A">
        <w:t xml:space="preserve">) – is the future of the </w:t>
      </w:r>
      <w:r>
        <w:t>“</w:t>
      </w:r>
      <w:r w:rsidRPr="00371B3A">
        <w:t>incubated</w:t>
      </w:r>
      <w:r>
        <w:t>”</w:t>
      </w:r>
      <w:r w:rsidRPr="00371B3A">
        <w:t xml:space="preserve"> business </w:t>
      </w:r>
      <w:r>
        <w:t>after</w:t>
      </w:r>
      <w:r w:rsidRPr="00371B3A">
        <w:t xml:space="preserve"> it has left the incubation programme. The responses </w:t>
      </w:r>
      <w:r>
        <w:t>given</w:t>
      </w:r>
      <w:r w:rsidRPr="00371B3A">
        <w:t xml:space="preserve"> by the incubators/accelerators interviewed</w:t>
      </w:r>
      <w:r>
        <w:t>, although</w:t>
      </w:r>
      <w:r w:rsidRPr="00371B3A">
        <w:t xml:space="preserve"> different, </w:t>
      </w:r>
      <w:r>
        <w:t>are</w:t>
      </w:r>
      <w:r w:rsidRPr="00371B3A">
        <w:t xml:space="preserve"> encouraging</w:t>
      </w:r>
      <w:r>
        <w:t xml:space="preserve"> </w:t>
      </w:r>
      <w:proofErr w:type="gramStart"/>
      <w:r>
        <w:t>on the whole</w:t>
      </w:r>
      <w:proofErr w:type="gramEnd"/>
      <w:r w:rsidRPr="00371B3A">
        <w:t xml:space="preserve">, on average over 50% of </w:t>
      </w:r>
      <w:r>
        <w:t>businesses</w:t>
      </w:r>
      <w:r w:rsidRPr="00371B3A">
        <w:t xml:space="preserve"> continue successfully </w:t>
      </w:r>
      <w:r>
        <w:t>post</w:t>
      </w:r>
      <w:r w:rsidRPr="00371B3A">
        <w:t xml:space="preserve"> incubation. </w:t>
      </w:r>
    </w:p>
    <w:p w:rsidR="00DC4E49" w:rsidRPr="00371B3A" w:rsidRDefault="00DC4E49" w:rsidP="00DC4E49">
      <w:pPr>
        <w:pStyle w:val="Paragrafoelenco"/>
        <w:tabs>
          <w:tab w:val="left" w:pos="284"/>
          <w:tab w:val="left" w:pos="426"/>
        </w:tabs>
        <w:ind w:left="0"/>
        <w:jc w:val="both"/>
      </w:pPr>
      <w:r w:rsidRPr="00371B3A">
        <w:t xml:space="preserve">One particularly </w:t>
      </w:r>
      <w:r w:rsidRPr="002C41AC">
        <w:t xml:space="preserve">interesting </w:t>
      </w:r>
      <w:r>
        <w:t>feature that came out</w:t>
      </w:r>
      <w:r w:rsidRPr="002C41AC">
        <w:t xml:space="preserve"> </w:t>
      </w:r>
      <w:r>
        <w:t>of</w:t>
      </w:r>
      <w:r w:rsidRPr="00371B3A">
        <w:t xml:space="preserve"> the questionnaire, is the prominence, </w:t>
      </w:r>
      <w:r>
        <w:t>within</w:t>
      </w:r>
      <w:r w:rsidRPr="00371B3A">
        <w:t xml:space="preserve"> current operations by operators involved in the development of start-ups, of networking with other players involved (tables 5, </w:t>
      </w:r>
      <w:r>
        <w:t>6</w:t>
      </w:r>
      <w:r w:rsidRPr="00371B3A">
        <w:t xml:space="preserve"> and </w:t>
      </w:r>
      <w:r>
        <w:t>7</w:t>
      </w:r>
      <w:r w:rsidRPr="00371B3A">
        <w:t>).</w:t>
      </w:r>
    </w:p>
    <w:p w:rsidR="00DC4E49" w:rsidRPr="00371B3A" w:rsidRDefault="00DC4E49" w:rsidP="00DC4E49">
      <w:pPr>
        <w:pStyle w:val="Paragrafoelenco"/>
        <w:tabs>
          <w:tab w:val="left" w:pos="284"/>
          <w:tab w:val="left" w:pos="426"/>
        </w:tabs>
        <w:ind w:left="0"/>
        <w:jc w:val="both"/>
      </w:pPr>
      <w:r>
        <w:lastRenderedPageBreak/>
        <w:t>Aside from</w:t>
      </w:r>
      <w:r w:rsidRPr="00371B3A">
        <w:t xml:space="preserve"> the already </w:t>
      </w:r>
      <w:r>
        <w:t>observ</w:t>
      </w:r>
      <w:r w:rsidRPr="00371B3A">
        <w:t xml:space="preserve">ed, widespread tendency to implement </w:t>
      </w:r>
      <w:r>
        <w:t>“</w:t>
      </w:r>
      <w:r w:rsidRPr="009F2283">
        <w:rPr>
          <w:i/>
        </w:rPr>
        <w:t>joint i</w:t>
      </w:r>
      <w:r w:rsidRPr="00031E5A">
        <w:rPr>
          <w:i/>
        </w:rPr>
        <w:t>nvestments in equity</w:t>
      </w:r>
      <w:r>
        <w:t xml:space="preserve">”, the results reveal that the </w:t>
      </w:r>
      <w:r w:rsidRPr="00371B3A">
        <w:t>incubators/accelerators</w:t>
      </w:r>
      <w:r>
        <w:t xml:space="preserve"> focus their</w:t>
      </w:r>
      <w:r w:rsidRPr="00371B3A">
        <w:t xml:space="preserve"> attention </w:t>
      </w:r>
      <w:r>
        <w:t>on</w:t>
      </w:r>
      <w:r w:rsidRPr="00371B3A">
        <w:t xml:space="preserve"> </w:t>
      </w:r>
      <w:r>
        <w:t>“</w:t>
      </w:r>
      <w:r w:rsidRPr="00031E5A">
        <w:rPr>
          <w:i/>
        </w:rPr>
        <w:t>specific development projects in certain sectors</w:t>
      </w:r>
      <w:r>
        <w:t>”</w:t>
      </w:r>
      <w:r w:rsidRPr="00371B3A">
        <w:t xml:space="preserve"> and participation in </w:t>
      </w:r>
      <w:r>
        <w:t>“</w:t>
      </w:r>
      <w:r>
        <w:rPr>
          <w:i/>
        </w:rPr>
        <w:t>shared</w:t>
      </w:r>
      <w:r w:rsidRPr="00031E5A">
        <w:rPr>
          <w:i/>
        </w:rPr>
        <w:t xml:space="preserve"> promotional initiatives</w:t>
      </w:r>
      <w:r>
        <w:t>”</w:t>
      </w:r>
      <w:r w:rsidRPr="00371B3A">
        <w:t xml:space="preserve">, while venture capital operators seem more focused on </w:t>
      </w:r>
      <w:r>
        <w:t>“</w:t>
      </w:r>
      <w:r w:rsidRPr="00031E5A">
        <w:rPr>
          <w:i/>
        </w:rPr>
        <w:t xml:space="preserve">participation in observatories and </w:t>
      </w:r>
      <w:r w:rsidRPr="00754F90">
        <w:rPr>
          <w:i/>
        </w:rPr>
        <w:t>technical panels</w:t>
      </w:r>
      <w:r>
        <w:t>”</w:t>
      </w:r>
      <w:r w:rsidRPr="00371B3A">
        <w:t xml:space="preserve">. This last element, </w:t>
      </w:r>
      <w:r>
        <w:t xml:space="preserve">together </w:t>
      </w:r>
      <w:r w:rsidRPr="00371B3A">
        <w:t xml:space="preserve">with </w:t>
      </w:r>
      <w:r>
        <w:t>the activation of “</w:t>
      </w:r>
      <w:r w:rsidRPr="00031E5A">
        <w:rPr>
          <w:i/>
        </w:rPr>
        <w:t>specific development projects in certain sectors</w:t>
      </w:r>
      <w:r>
        <w:t>”</w:t>
      </w:r>
      <w:r w:rsidRPr="00371B3A">
        <w:t xml:space="preserve">, </w:t>
      </w:r>
      <w:r>
        <w:t>is also</w:t>
      </w:r>
      <w:r w:rsidRPr="00371B3A">
        <w:t xml:space="preserve"> the area of collaboration </w:t>
      </w:r>
      <w:r w:rsidRPr="009F2283">
        <w:t xml:space="preserve">most valued by </w:t>
      </w:r>
      <w:r w:rsidRPr="00371B3A">
        <w:t>business angels.</w:t>
      </w:r>
    </w:p>
    <w:p w:rsidR="00766DBF" w:rsidRDefault="00766DBF" w:rsidP="00DC4E49">
      <w:pPr>
        <w:pStyle w:val="Paragrafoelenco"/>
        <w:tabs>
          <w:tab w:val="left" w:pos="284"/>
          <w:tab w:val="left" w:pos="426"/>
        </w:tabs>
        <w:ind w:left="0"/>
        <w:jc w:val="both"/>
      </w:pPr>
    </w:p>
    <w:p w:rsidR="00DC4E49" w:rsidRDefault="00766DBF" w:rsidP="00DC4E49">
      <w:pPr>
        <w:pStyle w:val="Paragrafoelenco"/>
        <w:tabs>
          <w:tab w:val="left" w:pos="284"/>
          <w:tab w:val="left" w:pos="426"/>
        </w:tabs>
        <w:ind w:left="0"/>
        <w:jc w:val="both"/>
        <w:rPr>
          <w:b/>
        </w:rPr>
      </w:pPr>
      <w:r w:rsidRPr="0016703E">
        <w:rPr>
          <w:b/>
        </w:rPr>
        <w:t>To insert Table 5</w:t>
      </w:r>
    </w:p>
    <w:p w:rsidR="00613D84" w:rsidRPr="0016703E" w:rsidRDefault="00613D84" w:rsidP="00DC4E49">
      <w:pPr>
        <w:pStyle w:val="Paragrafoelenco"/>
        <w:tabs>
          <w:tab w:val="left" w:pos="284"/>
          <w:tab w:val="left" w:pos="426"/>
        </w:tabs>
        <w:ind w:left="0"/>
        <w:jc w:val="both"/>
        <w:rPr>
          <w:b/>
        </w:rPr>
      </w:pPr>
    </w:p>
    <w:p w:rsidR="00DC4E49" w:rsidRPr="00371B3A" w:rsidRDefault="00DC4E49" w:rsidP="00DC4E49">
      <w:bookmarkStart w:id="2" w:name="_MON_1557745445"/>
      <w:bookmarkEnd w:id="2"/>
      <w:r w:rsidRPr="00371B3A">
        <w:t>Relationships with banks</w:t>
      </w:r>
      <w:r>
        <w:t>,</w:t>
      </w:r>
      <w:r w:rsidRPr="00371B3A">
        <w:t xml:space="preserve"> however, </w:t>
      </w:r>
      <w:r>
        <w:t>are less frequent and usually limited to</w:t>
      </w:r>
      <w:r w:rsidRPr="00371B3A">
        <w:t xml:space="preserve"> the acquisition of lines of credit to </w:t>
      </w:r>
      <w:r>
        <w:t>support</w:t>
      </w:r>
      <w:r w:rsidRPr="00371B3A">
        <w:t xml:space="preserve"> investment in equity.</w:t>
      </w:r>
    </w:p>
    <w:p w:rsidR="00DC4E49" w:rsidRDefault="00DC4E49" w:rsidP="00DC4E49">
      <w:pPr>
        <w:pStyle w:val="Paragrafoelenco"/>
        <w:tabs>
          <w:tab w:val="left" w:pos="284"/>
          <w:tab w:val="left" w:pos="426"/>
        </w:tabs>
        <w:ind w:left="0"/>
        <w:jc w:val="both"/>
      </w:pPr>
    </w:p>
    <w:p w:rsidR="00766DBF" w:rsidRPr="0016703E" w:rsidRDefault="00766DBF" w:rsidP="00766DBF">
      <w:pPr>
        <w:pStyle w:val="Paragrafoelenco"/>
        <w:tabs>
          <w:tab w:val="left" w:pos="284"/>
          <w:tab w:val="left" w:pos="426"/>
        </w:tabs>
        <w:ind w:left="0"/>
        <w:jc w:val="both"/>
        <w:rPr>
          <w:b/>
        </w:rPr>
      </w:pPr>
      <w:r w:rsidRPr="0016703E">
        <w:rPr>
          <w:b/>
        </w:rPr>
        <w:t>To insert Table 6</w:t>
      </w:r>
    </w:p>
    <w:p w:rsidR="00766DBF" w:rsidRPr="00371B3A" w:rsidRDefault="00766DBF" w:rsidP="00DC4E49">
      <w:pPr>
        <w:pStyle w:val="Paragrafoelenco"/>
        <w:tabs>
          <w:tab w:val="left" w:pos="284"/>
          <w:tab w:val="left" w:pos="426"/>
        </w:tabs>
        <w:ind w:left="0"/>
        <w:jc w:val="both"/>
      </w:pPr>
    </w:p>
    <w:p w:rsidR="00DC4E49" w:rsidRDefault="00DC4E49" w:rsidP="00975A32">
      <w:pPr>
        <w:jc w:val="both"/>
      </w:pPr>
      <w:r w:rsidRPr="00371B3A">
        <w:t xml:space="preserve">Of </w:t>
      </w:r>
      <w:r>
        <w:t>great</w:t>
      </w:r>
      <w:r w:rsidRPr="00371B3A">
        <w:t xml:space="preserve"> </w:t>
      </w:r>
      <w:r>
        <w:t>importance, particularly among</w:t>
      </w:r>
      <w:r w:rsidRPr="00371B3A">
        <w:t xml:space="preserve"> incubators/accelerators, </w:t>
      </w:r>
      <w:r>
        <w:t xml:space="preserve">are </w:t>
      </w:r>
      <w:r w:rsidRPr="00371B3A">
        <w:t>relationships with large industria</w:t>
      </w:r>
      <w:r>
        <w:t xml:space="preserve">l groups who are </w:t>
      </w:r>
      <w:r w:rsidRPr="00371B3A">
        <w:t xml:space="preserve">obviously interested in start-ups and SMEs who </w:t>
      </w:r>
      <w:r>
        <w:t xml:space="preserve">are </w:t>
      </w:r>
      <w:r w:rsidRPr="00371B3A">
        <w:t>propos</w:t>
      </w:r>
      <w:r>
        <w:t>ing</w:t>
      </w:r>
      <w:r w:rsidRPr="00371B3A">
        <w:t xml:space="preserve"> innovative and advanced solutions in their sector</w:t>
      </w:r>
      <w:r>
        <w:t>s</w:t>
      </w:r>
      <w:r w:rsidRPr="00371B3A">
        <w:t>, explor</w:t>
      </w:r>
      <w:r>
        <w:t>ing</w:t>
      </w:r>
      <w:r w:rsidRPr="00371B3A">
        <w:t xml:space="preserve"> </w:t>
      </w:r>
      <w:r>
        <w:t>specific</w:t>
      </w:r>
      <w:r w:rsidRPr="00371B3A">
        <w:t xml:space="preserve"> new segments of the market and develop</w:t>
      </w:r>
      <w:r>
        <w:t>ing</w:t>
      </w:r>
      <w:r w:rsidRPr="00371B3A">
        <w:t xml:space="preserve"> new technologies</w:t>
      </w:r>
      <w:r>
        <w:t>,</w:t>
      </w:r>
      <w:r w:rsidRPr="00371B3A">
        <w:t xml:space="preserve"> with the </w:t>
      </w:r>
      <w:r>
        <w:t xml:space="preserve">aim of </w:t>
      </w:r>
      <w:r w:rsidRPr="00371B3A">
        <w:t>integrat</w:t>
      </w:r>
      <w:r>
        <w:t>ing them</w:t>
      </w:r>
      <w:r w:rsidRPr="00371B3A">
        <w:t xml:space="preserve"> into their business at the end of the </w:t>
      </w:r>
      <w:r>
        <w:t>“path”.</w:t>
      </w:r>
      <w:r w:rsidRPr="00371B3A">
        <w:t xml:space="preserve"> Seen </w:t>
      </w:r>
      <w:r>
        <w:t>from another perspective</w:t>
      </w:r>
      <w:r w:rsidRPr="00371B3A">
        <w:t xml:space="preserve">, large businesses can become </w:t>
      </w:r>
      <w:r>
        <w:t>“</w:t>
      </w:r>
      <w:r w:rsidRPr="00371B3A">
        <w:t>buyers</w:t>
      </w:r>
      <w:r>
        <w:t>”</w:t>
      </w:r>
      <w:r w:rsidRPr="00371B3A">
        <w:t xml:space="preserve"> and/or </w:t>
      </w:r>
      <w:r>
        <w:t>“</w:t>
      </w:r>
      <w:r w:rsidRPr="00371B3A">
        <w:t>clients</w:t>
      </w:r>
      <w:r>
        <w:t>”</w:t>
      </w:r>
      <w:r w:rsidRPr="00371B3A">
        <w:t xml:space="preserve"> of the products/services provided by the new entrepreneurial initiatives, and so accelerate their </w:t>
      </w:r>
      <w:r w:rsidRPr="00985193">
        <w:rPr>
          <w:i/>
        </w:rPr>
        <w:t>time to market</w:t>
      </w:r>
      <w:r w:rsidRPr="00371B3A">
        <w:t xml:space="preserve"> and therefore the</w:t>
      </w:r>
      <w:r>
        <w:t>ir</w:t>
      </w:r>
      <w:r w:rsidRPr="00371B3A">
        <w:t xml:space="preserve"> growth process. </w:t>
      </w:r>
    </w:p>
    <w:p w:rsidR="00DC4E49" w:rsidRDefault="00DC4E49" w:rsidP="00975A32">
      <w:pPr>
        <w:jc w:val="both"/>
      </w:pPr>
      <w:r w:rsidRPr="00371B3A">
        <w:t>On the</w:t>
      </w:r>
      <w:r>
        <w:t xml:space="preserve"> same</w:t>
      </w:r>
      <w:r w:rsidRPr="00371B3A">
        <w:t xml:space="preserve"> </w:t>
      </w:r>
      <w:r>
        <w:t>topic</w:t>
      </w:r>
      <w:r w:rsidRPr="00371B3A">
        <w:t xml:space="preserve">, </w:t>
      </w:r>
      <w:r>
        <w:t>in addition to the “</w:t>
      </w:r>
      <w:r w:rsidRPr="00985193">
        <w:rPr>
          <w:i/>
        </w:rPr>
        <w:t>organisation of promotional events</w:t>
      </w:r>
      <w:r>
        <w:t>”</w:t>
      </w:r>
      <w:r w:rsidRPr="00371B3A">
        <w:t xml:space="preserve">, which are always important </w:t>
      </w:r>
      <w:r>
        <w:t>in</w:t>
      </w:r>
      <w:r w:rsidRPr="00371B3A">
        <w:t xml:space="preserve"> increas</w:t>
      </w:r>
      <w:r>
        <w:t>ing</w:t>
      </w:r>
      <w:r w:rsidRPr="00371B3A">
        <w:t xml:space="preserve"> awareness of individual initiatives and improv</w:t>
      </w:r>
      <w:r>
        <w:t>ing</w:t>
      </w:r>
      <w:r w:rsidRPr="00371B3A">
        <w:t xml:space="preserve"> the busi</w:t>
      </w:r>
      <w:r>
        <w:t>ness culture at various levels, it i</w:t>
      </w:r>
      <w:r w:rsidRPr="00371B3A">
        <w:t>s also interest</w:t>
      </w:r>
      <w:r>
        <w:t>ing how</w:t>
      </w:r>
      <w:r w:rsidRPr="00371B3A">
        <w:t xml:space="preserve"> incubators/accelerators</w:t>
      </w:r>
      <w:r>
        <w:t>, in particular, implement</w:t>
      </w:r>
      <w:r w:rsidRPr="00371B3A">
        <w:t xml:space="preserve"> </w:t>
      </w:r>
      <w:r>
        <w:t>“</w:t>
      </w:r>
      <w:r w:rsidRPr="00353164">
        <w:rPr>
          <w:i/>
        </w:rPr>
        <w:t>industrial and technological development projects in certain sectors</w:t>
      </w:r>
      <w:r>
        <w:t>”, while</w:t>
      </w:r>
      <w:r w:rsidRPr="00371B3A">
        <w:t xml:space="preserve"> </w:t>
      </w:r>
      <w:r>
        <w:t>“</w:t>
      </w:r>
      <w:r w:rsidRPr="00985193">
        <w:rPr>
          <w:i/>
        </w:rPr>
        <w:t>joint participation as partners and/or shareholders in specific initiatives in the sector</w:t>
      </w:r>
      <w:r>
        <w:t>”</w:t>
      </w:r>
      <w:r w:rsidRPr="00371B3A">
        <w:t xml:space="preserve"> is generally less practised. </w:t>
      </w:r>
    </w:p>
    <w:p w:rsidR="00C0777B" w:rsidRDefault="00C0777B" w:rsidP="00975A32">
      <w:pPr>
        <w:jc w:val="both"/>
      </w:pPr>
    </w:p>
    <w:p w:rsidR="00766DBF" w:rsidRPr="0016703E" w:rsidRDefault="00766DBF" w:rsidP="00975A32">
      <w:pPr>
        <w:jc w:val="both"/>
        <w:rPr>
          <w:b/>
        </w:rPr>
      </w:pPr>
      <w:r w:rsidRPr="0016703E">
        <w:rPr>
          <w:b/>
        </w:rPr>
        <w:t>To insert Table 7</w:t>
      </w:r>
    </w:p>
    <w:p w:rsidR="00DC4E49" w:rsidRDefault="00DC4E49" w:rsidP="00DC4E49">
      <w:pPr>
        <w:pStyle w:val="Paragrafoelenco"/>
        <w:tabs>
          <w:tab w:val="left" w:pos="284"/>
          <w:tab w:val="left" w:pos="426"/>
        </w:tabs>
        <w:ind w:left="0"/>
        <w:jc w:val="both"/>
      </w:pPr>
    </w:p>
    <w:p w:rsidR="00DC4E49" w:rsidRPr="0090288E" w:rsidRDefault="00DC4E49" w:rsidP="00975A32">
      <w:pPr>
        <w:jc w:val="both"/>
      </w:pPr>
      <w:r w:rsidRPr="0090288E">
        <w:t xml:space="preserve">Finally, of </w:t>
      </w:r>
      <w:proofErr w:type="gramStart"/>
      <w:r w:rsidRPr="0090288E">
        <w:t>particular note</w:t>
      </w:r>
      <w:proofErr w:type="gramEnd"/>
      <w:r w:rsidRPr="0090288E">
        <w:t xml:space="preserve">, </w:t>
      </w:r>
      <w:r>
        <w:t>i</w:t>
      </w:r>
      <w:r w:rsidRPr="0090288E">
        <w:t xml:space="preserve">s the data on the prospects and further requirements </w:t>
      </w:r>
      <w:r>
        <w:t>of</w:t>
      </w:r>
      <w:r w:rsidRPr="0090288E">
        <w:t xml:space="preserve"> the </w:t>
      </w:r>
      <w:r>
        <w:t>“</w:t>
      </w:r>
      <w:r w:rsidRPr="0090288E">
        <w:t>system</w:t>
      </w:r>
      <w:r>
        <w:t>”</w:t>
      </w:r>
      <w:r w:rsidRPr="0090288E">
        <w:t xml:space="preserve"> </w:t>
      </w:r>
      <w:r>
        <w:t>under examination</w:t>
      </w:r>
      <w:r w:rsidRPr="0090288E">
        <w:t>.</w:t>
      </w:r>
    </w:p>
    <w:p w:rsidR="00DC4E49" w:rsidRDefault="00DC4E49" w:rsidP="00975A32">
      <w:pPr>
        <w:jc w:val="both"/>
      </w:pPr>
      <w:r w:rsidRPr="00D25BAE">
        <w:t xml:space="preserve">First of all, the operators involved agree on the potential, </w:t>
      </w:r>
      <w:r>
        <w:t xml:space="preserve">which they </w:t>
      </w:r>
      <w:r w:rsidRPr="00D25BAE">
        <w:t xml:space="preserve">described as </w:t>
      </w:r>
      <w:r>
        <w:t>“</w:t>
      </w:r>
      <w:r w:rsidRPr="00D25BAE">
        <w:t>interesting</w:t>
      </w:r>
      <w:r>
        <w:t>”</w:t>
      </w:r>
      <w:r w:rsidRPr="00D25BAE">
        <w:t xml:space="preserve">, of </w:t>
      </w:r>
      <w:r w:rsidRPr="0090288E">
        <w:rPr>
          <w:i/>
        </w:rPr>
        <w:t>crowdfunding</w:t>
      </w:r>
      <w:r w:rsidRPr="00D25BAE">
        <w:t xml:space="preserve"> platforms (figure 18), whose role as a </w:t>
      </w:r>
      <w:r>
        <w:t>“</w:t>
      </w:r>
      <w:r w:rsidRPr="00D25BAE">
        <w:t>collector</w:t>
      </w:r>
      <w:r>
        <w:t>”</w:t>
      </w:r>
      <w:r w:rsidRPr="00D25BAE">
        <w:t xml:space="preserve"> of financial resources online could be seen as an initial approach to financial markets which, in time and </w:t>
      </w:r>
      <w:r>
        <w:t xml:space="preserve">as the </w:t>
      </w:r>
      <w:r w:rsidRPr="00D25BAE">
        <w:t>phenomenon</w:t>
      </w:r>
      <w:r>
        <w:t xml:space="preserve"> is</w:t>
      </w:r>
      <w:r w:rsidRPr="00D25BAE">
        <w:t xml:space="preserve"> consolidat</w:t>
      </w:r>
      <w:r>
        <w:t>ed</w:t>
      </w:r>
      <w:r w:rsidRPr="00D25BAE">
        <w:t>, could launch a new generation of businesses</w:t>
      </w:r>
      <w:r>
        <w:t>,</w:t>
      </w:r>
      <w:r w:rsidRPr="00D25BAE">
        <w:t xml:space="preserve"> whose natural </w:t>
      </w:r>
      <w:r>
        <w:t>end</w:t>
      </w:r>
      <w:r w:rsidRPr="00D25BAE">
        <w:t xml:space="preserve"> would be, first of all</w:t>
      </w:r>
      <w:r w:rsidRPr="008B1420">
        <w:t xml:space="preserve">, listing on the </w:t>
      </w:r>
      <w:r w:rsidRPr="00D25BAE">
        <w:t xml:space="preserve">minor markets (dedicated to SMEs, such as </w:t>
      </w:r>
      <w:r w:rsidRPr="008B1420">
        <w:rPr>
          <w:i/>
        </w:rPr>
        <w:t>AIM Italia</w:t>
      </w:r>
      <w:r w:rsidRPr="00D25BAE">
        <w:t xml:space="preserve">) and, later, </w:t>
      </w:r>
      <w:r w:rsidRPr="0064798B">
        <w:rPr>
          <w:i/>
        </w:rPr>
        <w:t>listing</w:t>
      </w:r>
      <w:r w:rsidRPr="00D25BAE">
        <w:t xml:space="preserve"> on the major regulated markets. </w:t>
      </w:r>
      <w:proofErr w:type="gramStart"/>
      <w:r w:rsidRPr="00D25BAE">
        <w:t xml:space="preserve">In reality, </w:t>
      </w:r>
      <w:r>
        <w:t>the</w:t>
      </w:r>
      <w:proofErr w:type="gramEnd"/>
      <w:r w:rsidRPr="00D25BAE">
        <w:t xml:space="preserve"> development</w:t>
      </w:r>
      <w:r>
        <w:t xml:space="preserve"> of the market,</w:t>
      </w:r>
      <w:r w:rsidRPr="00D25BAE">
        <w:t xml:space="preserve"> which</w:t>
      </w:r>
      <w:r>
        <w:t xml:space="preserve"> is</w:t>
      </w:r>
      <w:r w:rsidRPr="00D25BAE">
        <w:t xml:space="preserve"> </w:t>
      </w:r>
      <w:r w:rsidRPr="008B1420">
        <w:t xml:space="preserve">inevitably affected by </w:t>
      </w:r>
      <w:r>
        <w:t>resistance</w:t>
      </w:r>
      <w:r w:rsidRPr="00D25BAE">
        <w:t xml:space="preserve"> imposed </w:t>
      </w:r>
      <w:r>
        <w:t xml:space="preserve">mostly </w:t>
      </w:r>
      <w:r w:rsidRPr="00D25BAE">
        <w:t xml:space="preserve">by </w:t>
      </w:r>
      <w:r>
        <w:t>“</w:t>
      </w:r>
      <w:r w:rsidRPr="00D25BAE">
        <w:t>cultural</w:t>
      </w:r>
      <w:r>
        <w:t>”</w:t>
      </w:r>
      <w:r w:rsidRPr="00D25BAE">
        <w:t xml:space="preserve"> factors, </w:t>
      </w:r>
      <w:r>
        <w:t>is</w:t>
      </w:r>
      <w:r w:rsidRPr="00D25BAE">
        <w:t xml:space="preserve"> co</w:t>
      </w:r>
      <w:r>
        <w:t>nsist</w:t>
      </w:r>
      <w:r w:rsidRPr="00D25BAE">
        <w:t xml:space="preserve">ent with the growth data </w:t>
      </w:r>
      <w:r>
        <w:t>reported</w:t>
      </w:r>
      <w:r w:rsidRPr="00D25BAE">
        <w:t xml:space="preserve"> at </w:t>
      </w:r>
      <w:r>
        <w:t>an</w:t>
      </w:r>
      <w:r w:rsidRPr="00D25BAE">
        <w:t xml:space="preserve"> international level, as well as the </w:t>
      </w:r>
      <w:r>
        <w:t xml:space="preserve">optimistic </w:t>
      </w:r>
      <w:r w:rsidRPr="00D25BAE">
        <w:t xml:space="preserve">predictions </w:t>
      </w:r>
      <w:r>
        <w:t xml:space="preserve">from many parts and confirmed </w:t>
      </w:r>
      <w:r w:rsidRPr="00D25BAE">
        <w:t xml:space="preserve">herein. Moreover, the use of </w:t>
      </w:r>
      <w:r>
        <w:t>“alternate” finance</w:t>
      </w:r>
      <w:r w:rsidRPr="00D25BAE">
        <w:t xml:space="preserve"> instruments, which is exactly what </w:t>
      </w:r>
      <w:r w:rsidRPr="008B1420">
        <w:rPr>
          <w:i/>
        </w:rPr>
        <w:t>crowdfunding</w:t>
      </w:r>
      <w:r w:rsidRPr="00D25BAE">
        <w:t xml:space="preserve"> is, has other relevant effects, including </w:t>
      </w:r>
      <w:r>
        <w:t>helping to overcome</w:t>
      </w:r>
      <w:r w:rsidRPr="00D25BAE">
        <w:t xml:space="preserve"> two </w:t>
      </w:r>
      <w:r>
        <w:t>issue</w:t>
      </w:r>
      <w:r w:rsidRPr="00D25BAE">
        <w:t>s which often limit the potentia</w:t>
      </w:r>
      <w:r>
        <w:t>l of Italian SMEs, namely under-</w:t>
      </w:r>
      <w:r w:rsidRPr="00D25BAE">
        <w:t xml:space="preserve">capitalisation and </w:t>
      </w:r>
      <w:r w:rsidRPr="008B1420">
        <w:t xml:space="preserve">the limitations </w:t>
      </w:r>
      <w:r w:rsidRPr="00D25BAE">
        <w:t>of corporate structure.</w:t>
      </w:r>
    </w:p>
    <w:p w:rsidR="00DC4E49" w:rsidRDefault="00DC4E49" w:rsidP="00DC4E49">
      <w:pPr>
        <w:contextualSpacing/>
        <w:jc w:val="both"/>
      </w:pPr>
    </w:p>
    <w:p w:rsidR="00766DBF" w:rsidRPr="0016703E" w:rsidRDefault="00766DBF" w:rsidP="00DC4E49">
      <w:pPr>
        <w:contextualSpacing/>
        <w:jc w:val="both"/>
        <w:rPr>
          <w:b/>
        </w:rPr>
      </w:pPr>
      <w:r w:rsidRPr="0016703E">
        <w:rPr>
          <w:b/>
        </w:rPr>
        <w:t>To insert Figure 18</w:t>
      </w:r>
    </w:p>
    <w:p w:rsidR="00DC4E49" w:rsidRPr="006065F7" w:rsidRDefault="00DC4E49" w:rsidP="00DC4E49">
      <w:pPr>
        <w:pStyle w:val="Paragrafoelenco"/>
        <w:tabs>
          <w:tab w:val="left" w:pos="284"/>
          <w:tab w:val="left" w:pos="426"/>
        </w:tabs>
        <w:ind w:left="0"/>
        <w:jc w:val="both"/>
      </w:pPr>
    </w:p>
    <w:p w:rsidR="00DC4E49" w:rsidRPr="00D25BAE" w:rsidRDefault="00DC4E49" w:rsidP="00975A32">
      <w:pPr>
        <w:jc w:val="both"/>
      </w:pPr>
      <w:r w:rsidRPr="00D25BAE">
        <w:t xml:space="preserve">From a subjective point of view, the operators interviewed, in judging their own competitive position (table 8), </w:t>
      </w:r>
      <w:r>
        <w:t>given</w:t>
      </w:r>
      <w:r w:rsidRPr="00D25BAE">
        <w:t xml:space="preserve"> what </w:t>
      </w:r>
      <w:r>
        <w:t xml:space="preserve">is already </w:t>
      </w:r>
      <w:r w:rsidRPr="00D25BAE">
        <w:t>happen</w:t>
      </w:r>
      <w:r>
        <w:t xml:space="preserve">ing with </w:t>
      </w:r>
      <w:r w:rsidRPr="00D25BAE">
        <w:t>co</w:t>
      </w:r>
      <w:r>
        <w:t>-</w:t>
      </w:r>
      <w:r w:rsidRPr="00D25BAE">
        <w:t>investment operation</w:t>
      </w:r>
      <w:r>
        <w:t xml:space="preserve">s, consider it advantageous to strengthen </w:t>
      </w:r>
      <w:r w:rsidRPr="00D25BAE">
        <w:t>the</w:t>
      </w:r>
      <w:r>
        <w:t>ir</w:t>
      </w:r>
      <w:r w:rsidRPr="00D25BAE">
        <w:t xml:space="preserve"> network of relationships, expanding it to </w:t>
      </w:r>
      <w:r>
        <w:t>include foreign interlocutors, and</w:t>
      </w:r>
      <w:r w:rsidRPr="00D25BAE">
        <w:t xml:space="preserve"> consolidate the</w:t>
      </w:r>
      <w:r>
        <w:t>ir</w:t>
      </w:r>
      <w:r w:rsidRPr="00D25BAE">
        <w:t xml:space="preserve"> capacity to </w:t>
      </w:r>
      <w:r>
        <w:t>find</w:t>
      </w:r>
      <w:r w:rsidRPr="00D25BAE">
        <w:t xml:space="preserve"> financial resources. More precisely, they believe they must </w:t>
      </w:r>
      <w:r>
        <w:t>work primarily on the following actions</w:t>
      </w:r>
      <w:r w:rsidRPr="00D25BAE">
        <w:t>:</w:t>
      </w:r>
    </w:p>
    <w:p w:rsidR="00DC4E49" w:rsidRDefault="00DC4E49" w:rsidP="00DC4E49">
      <w:pPr>
        <w:pStyle w:val="Paragrafoelenco"/>
        <w:numPr>
          <w:ilvl w:val="0"/>
          <w:numId w:val="3"/>
        </w:numPr>
        <w:tabs>
          <w:tab w:val="left" w:pos="284"/>
          <w:tab w:val="left" w:pos="426"/>
        </w:tabs>
        <w:ind w:left="284" w:hanging="284"/>
        <w:jc w:val="both"/>
      </w:pPr>
      <w:r>
        <w:t>“</w:t>
      </w:r>
      <w:r>
        <w:rPr>
          <w:i/>
        </w:rPr>
        <w:t>draw up</w:t>
      </w:r>
      <w:r w:rsidRPr="00390C6C">
        <w:rPr>
          <w:i/>
        </w:rPr>
        <w:t xml:space="preserve"> cooperation agreements with foreign operators</w:t>
      </w:r>
      <w:r>
        <w:t>”, “</w:t>
      </w:r>
      <w:r w:rsidRPr="008B1420">
        <w:rPr>
          <w:i/>
        </w:rPr>
        <w:t>develop and increase the network of relationships</w:t>
      </w:r>
      <w:r>
        <w:t>”</w:t>
      </w:r>
      <w:r w:rsidRPr="00390C6C">
        <w:t xml:space="preserve"> </w:t>
      </w:r>
      <w:r>
        <w:t>and “</w:t>
      </w:r>
      <w:r>
        <w:rPr>
          <w:i/>
        </w:rPr>
        <w:t>favour</w:t>
      </w:r>
      <w:r w:rsidRPr="006065F7">
        <w:rPr>
          <w:i/>
        </w:rPr>
        <w:t xml:space="preserve"> transactions where </w:t>
      </w:r>
      <w:r>
        <w:rPr>
          <w:i/>
        </w:rPr>
        <w:t>multiple</w:t>
      </w:r>
      <w:r w:rsidRPr="006065F7">
        <w:rPr>
          <w:i/>
        </w:rPr>
        <w:t xml:space="preserve"> operators co-invest</w:t>
      </w:r>
      <w:r>
        <w:t>”</w:t>
      </w:r>
      <w:r w:rsidRPr="00390C6C">
        <w:t xml:space="preserve"> in the case of incubators/accelerators; </w:t>
      </w:r>
    </w:p>
    <w:p w:rsidR="00DC4E49" w:rsidRPr="00390C6C" w:rsidRDefault="00DC4E49" w:rsidP="00DC4E49">
      <w:pPr>
        <w:pStyle w:val="Paragrafoelenco"/>
        <w:numPr>
          <w:ilvl w:val="0"/>
          <w:numId w:val="3"/>
        </w:numPr>
        <w:tabs>
          <w:tab w:val="left" w:pos="284"/>
          <w:tab w:val="left" w:pos="426"/>
        </w:tabs>
        <w:ind w:left="284" w:hanging="284"/>
        <w:jc w:val="both"/>
      </w:pPr>
      <w:r>
        <w:t>“</w:t>
      </w:r>
      <w:r w:rsidRPr="004E0EF5">
        <w:rPr>
          <w:i/>
        </w:rPr>
        <w:t xml:space="preserve">increase the </w:t>
      </w:r>
      <w:r>
        <w:rPr>
          <w:i/>
        </w:rPr>
        <w:t xml:space="preserve">amount of </w:t>
      </w:r>
      <w:r w:rsidRPr="004E0EF5">
        <w:rPr>
          <w:i/>
        </w:rPr>
        <w:t>financial resources available and the base of subscribers and/or associates</w:t>
      </w:r>
      <w:r>
        <w:t>”</w:t>
      </w:r>
      <w:r w:rsidRPr="00390C6C">
        <w:t xml:space="preserve"> </w:t>
      </w:r>
      <w:r>
        <w:t>and “</w:t>
      </w:r>
      <w:r w:rsidRPr="00390C6C">
        <w:rPr>
          <w:i/>
        </w:rPr>
        <w:t>develop and increase the network of relationships</w:t>
      </w:r>
      <w:r>
        <w:t>”</w:t>
      </w:r>
      <w:r w:rsidRPr="00390C6C">
        <w:t xml:space="preserve"> for venture capital operators and business angels.</w:t>
      </w:r>
    </w:p>
    <w:p w:rsidR="0016703E" w:rsidRDefault="0016703E" w:rsidP="00975A32">
      <w:pPr>
        <w:jc w:val="both"/>
      </w:pPr>
    </w:p>
    <w:p w:rsidR="0016703E" w:rsidRPr="0016703E" w:rsidRDefault="0016703E" w:rsidP="0016703E">
      <w:pPr>
        <w:tabs>
          <w:tab w:val="left" w:pos="284"/>
          <w:tab w:val="left" w:pos="426"/>
        </w:tabs>
        <w:jc w:val="both"/>
        <w:rPr>
          <w:b/>
        </w:rPr>
      </w:pPr>
      <w:r w:rsidRPr="0016703E">
        <w:rPr>
          <w:b/>
        </w:rPr>
        <w:t>To insert Table 8</w:t>
      </w:r>
    </w:p>
    <w:p w:rsidR="0016703E" w:rsidRDefault="0016703E" w:rsidP="00975A32">
      <w:pPr>
        <w:jc w:val="both"/>
      </w:pPr>
    </w:p>
    <w:p w:rsidR="00DC4E49" w:rsidRPr="004E0EF5" w:rsidRDefault="00DC4E49" w:rsidP="00975A32">
      <w:pPr>
        <w:jc w:val="both"/>
      </w:pPr>
      <w:r>
        <w:t>At</w:t>
      </w:r>
      <w:r w:rsidRPr="004E0EF5">
        <w:t xml:space="preserve"> </w:t>
      </w:r>
      <w:r>
        <w:t>an “</w:t>
      </w:r>
      <w:r w:rsidRPr="004E0EF5">
        <w:t>institutional</w:t>
      </w:r>
      <w:r>
        <w:t>”</w:t>
      </w:r>
      <w:r w:rsidRPr="004E0EF5">
        <w:t xml:space="preserve"> level however, the drivers </w:t>
      </w:r>
      <w:r>
        <w:t xml:space="preserve">cited in the responses have </w:t>
      </w:r>
      <w:r w:rsidRPr="004E0EF5">
        <w:t>general</w:t>
      </w:r>
      <w:r>
        <w:t>ly been</w:t>
      </w:r>
      <w:r w:rsidRPr="004E0EF5">
        <w:t xml:space="preserve"> accept</w:t>
      </w:r>
      <w:r>
        <w:t>ed</w:t>
      </w:r>
      <w:r w:rsidRPr="004E0EF5">
        <w:t xml:space="preserve"> </w:t>
      </w:r>
      <w:r>
        <w:t>by the</w:t>
      </w:r>
      <w:r w:rsidRPr="004E0EF5">
        <w:t xml:space="preserve"> stakeholders </w:t>
      </w:r>
      <w:r>
        <w:t>involved</w:t>
      </w:r>
      <w:r w:rsidRPr="004E0EF5">
        <w:t xml:space="preserve"> in the study</w:t>
      </w:r>
      <w:r>
        <w:t>,</w:t>
      </w:r>
      <w:r w:rsidRPr="004E0EF5">
        <w:t xml:space="preserve"> with medium-high </w:t>
      </w:r>
      <w:r>
        <w:t>degrees</w:t>
      </w:r>
      <w:r w:rsidRPr="004E0EF5">
        <w:t xml:space="preserve"> of relevance (table 9). In order </w:t>
      </w:r>
      <w:r>
        <w:t xml:space="preserve">of </w:t>
      </w:r>
      <w:r w:rsidRPr="004E0EF5">
        <w:t xml:space="preserve">preference, </w:t>
      </w:r>
      <w:r>
        <w:t xml:space="preserve">based on </w:t>
      </w:r>
      <w:r w:rsidRPr="004E0EF5">
        <w:t xml:space="preserve">aggregate data, </w:t>
      </w:r>
      <w:r>
        <w:t>the main drivers are</w:t>
      </w:r>
      <w:r w:rsidRPr="004E0EF5">
        <w:t xml:space="preserve"> (</w:t>
      </w:r>
      <w:proofErr w:type="spellStart"/>
      <w:r w:rsidRPr="004E0EF5">
        <w:t>i</w:t>
      </w:r>
      <w:proofErr w:type="spellEnd"/>
      <w:r w:rsidRPr="004E0EF5">
        <w:t xml:space="preserve">) </w:t>
      </w:r>
      <w:r>
        <w:t xml:space="preserve">the </w:t>
      </w:r>
      <w:r w:rsidRPr="004E0EF5">
        <w:t xml:space="preserve">need for a greater contribution by business associations and large industrial groups, (ii) </w:t>
      </w:r>
      <w:r>
        <w:t xml:space="preserve">strong </w:t>
      </w:r>
      <w:r w:rsidRPr="004E0EF5">
        <w:t xml:space="preserve">government </w:t>
      </w:r>
      <w:r>
        <w:t xml:space="preserve">focus </w:t>
      </w:r>
      <w:r w:rsidRPr="004E0EF5">
        <w:t xml:space="preserve">on </w:t>
      </w:r>
      <w:r>
        <w:t xml:space="preserve">dedicated </w:t>
      </w:r>
      <w:r w:rsidRPr="004E0EF5">
        <w:t>policies</w:t>
      </w:r>
      <w:r>
        <w:t xml:space="preserve"> for</w:t>
      </w:r>
      <w:r w:rsidRPr="004E0EF5">
        <w:t xml:space="preserve"> the start-up ecosystem, (iii) research into more efficient cooperation and networking among the various types of operators and investors involve</w:t>
      </w:r>
      <w:r>
        <w:t>d</w:t>
      </w:r>
      <w:r w:rsidRPr="004E0EF5">
        <w:t xml:space="preserve">, (iv) greater involvement </w:t>
      </w:r>
      <w:r>
        <w:t>by</w:t>
      </w:r>
      <w:r w:rsidRPr="004E0EF5">
        <w:t xml:space="preserve"> universities and research centres.</w:t>
      </w:r>
    </w:p>
    <w:p w:rsidR="00DC4E49" w:rsidRDefault="00DC4E49" w:rsidP="00DC4E49">
      <w:pPr>
        <w:tabs>
          <w:tab w:val="left" w:pos="284"/>
          <w:tab w:val="left" w:pos="426"/>
        </w:tabs>
        <w:jc w:val="both"/>
      </w:pPr>
    </w:p>
    <w:p w:rsidR="001C17B5" w:rsidRPr="0016703E" w:rsidRDefault="00766DBF" w:rsidP="00DC4E49">
      <w:pPr>
        <w:contextualSpacing/>
        <w:jc w:val="both"/>
        <w:rPr>
          <w:b/>
          <w:noProof/>
          <w:lang w:eastAsia="it-IT"/>
        </w:rPr>
      </w:pPr>
      <w:r w:rsidRPr="0016703E">
        <w:rPr>
          <w:b/>
          <w:noProof/>
          <w:lang w:eastAsia="it-IT"/>
        </w:rPr>
        <w:t>To insert Table 9</w:t>
      </w:r>
    </w:p>
    <w:p w:rsidR="0065425A" w:rsidRDefault="0065425A" w:rsidP="00DC4E49">
      <w:pPr>
        <w:tabs>
          <w:tab w:val="left" w:pos="426"/>
        </w:tabs>
        <w:contextualSpacing/>
        <w:jc w:val="both"/>
        <w:rPr>
          <w:b/>
        </w:rPr>
      </w:pPr>
    </w:p>
    <w:p w:rsidR="00DC4E49" w:rsidRPr="00390C6C" w:rsidRDefault="00DC4E49" w:rsidP="00DC4E49">
      <w:pPr>
        <w:tabs>
          <w:tab w:val="left" w:pos="426"/>
        </w:tabs>
        <w:contextualSpacing/>
        <w:jc w:val="both"/>
        <w:rPr>
          <w:b/>
        </w:rPr>
      </w:pPr>
      <w:r w:rsidRPr="00390C6C">
        <w:rPr>
          <w:b/>
        </w:rPr>
        <w:t>5.</w:t>
      </w:r>
      <w:r w:rsidRPr="00390C6C">
        <w:rPr>
          <w:b/>
        </w:rPr>
        <w:tab/>
      </w:r>
      <w:r>
        <w:rPr>
          <w:b/>
        </w:rPr>
        <w:t>Conclusion</w:t>
      </w:r>
    </w:p>
    <w:p w:rsidR="00DC4E49" w:rsidRDefault="00DC4E49" w:rsidP="00975A32">
      <w:pPr>
        <w:jc w:val="both"/>
      </w:pPr>
      <w:r w:rsidRPr="00390C6C">
        <w:t xml:space="preserve">Italian SMEs </w:t>
      </w:r>
      <w:r>
        <w:t xml:space="preserve">have </w:t>
      </w:r>
      <w:r w:rsidRPr="00390C6C">
        <w:t xml:space="preserve">often </w:t>
      </w:r>
      <w:r>
        <w:t>been the focus of</w:t>
      </w:r>
      <w:r w:rsidRPr="00390C6C">
        <w:t xml:space="preserve"> attention </w:t>
      </w:r>
      <w:r>
        <w:t>of</w:t>
      </w:r>
      <w:r w:rsidRPr="00390C6C">
        <w:t xml:space="preserve"> institutions</w:t>
      </w:r>
      <w:r>
        <w:t>,</w:t>
      </w:r>
      <w:r w:rsidRPr="00390C6C">
        <w:t xml:space="preserve"> financial intermediaries and </w:t>
      </w:r>
      <w:r>
        <w:t xml:space="preserve">the </w:t>
      </w:r>
      <w:r w:rsidRPr="00390C6C">
        <w:t>media because of the</w:t>
      </w:r>
      <w:r>
        <w:t>ir importance in terms of e</w:t>
      </w:r>
      <w:r w:rsidRPr="00390C6C">
        <w:t xml:space="preserve">mployment and </w:t>
      </w:r>
      <w:r>
        <w:t xml:space="preserve">for their </w:t>
      </w:r>
      <w:r w:rsidRPr="00390C6C">
        <w:t xml:space="preserve">contribution to national GDP. More recently, interest </w:t>
      </w:r>
      <w:r>
        <w:t>has been</w:t>
      </w:r>
      <w:r w:rsidRPr="00390C6C">
        <w:t xml:space="preserve"> focused on start-ups </w:t>
      </w:r>
      <w:r>
        <w:t>and innovative businesses with a</w:t>
      </w:r>
      <w:r w:rsidRPr="00390C6C">
        <w:t xml:space="preserve"> series of legislative interventions aimed at </w:t>
      </w:r>
      <w:r w:rsidRPr="003D500A">
        <w:t xml:space="preserve">introducing special terms and </w:t>
      </w:r>
      <w:r>
        <w:t>simplifying</w:t>
      </w:r>
      <w:r w:rsidRPr="00390C6C">
        <w:t xml:space="preserve"> measures of various types to support the</w:t>
      </w:r>
      <w:r>
        <w:t>ir</w:t>
      </w:r>
      <w:r w:rsidRPr="00390C6C">
        <w:t xml:space="preserve"> development</w:t>
      </w:r>
      <w:r>
        <w:t>,</w:t>
      </w:r>
      <w:r w:rsidRPr="00390C6C">
        <w:t xml:space="preserve"> under the premise that </w:t>
      </w:r>
      <w:r w:rsidR="001C17B5">
        <w:t xml:space="preserve">strengthening </w:t>
      </w:r>
      <w:r w:rsidR="00306450">
        <w:t>of</w:t>
      </w:r>
      <w:r>
        <w:t xml:space="preserve"> this</w:t>
      </w:r>
      <w:r w:rsidRPr="00390C6C">
        <w:t xml:space="preserve"> sector </w:t>
      </w:r>
      <w:r>
        <w:t xml:space="preserve">would </w:t>
      </w:r>
      <w:r w:rsidRPr="00390C6C">
        <w:t>fundamental</w:t>
      </w:r>
      <w:r>
        <w:t>ly</w:t>
      </w:r>
      <w:r w:rsidRPr="00390C6C">
        <w:t xml:space="preserve"> support the economic growth of the country. This has </w:t>
      </w:r>
      <w:r>
        <w:t>caus</w:t>
      </w:r>
      <w:r w:rsidRPr="00390C6C">
        <w:t xml:space="preserve">ed </w:t>
      </w:r>
      <w:r w:rsidR="00D02140">
        <w:t xml:space="preserve">a stir on the communications front, as well as </w:t>
      </w:r>
      <w:r>
        <w:t>the</w:t>
      </w:r>
      <w:r w:rsidRPr="00390C6C">
        <w:t xml:space="preserve"> launch</w:t>
      </w:r>
      <w:r w:rsidR="00D02140">
        <w:t xml:space="preserve"> and consolidation</w:t>
      </w:r>
      <w:r w:rsidRPr="00390C6C">
        <w:t xml:space="preserve"> of various</w:t>
      </w:r>
      <w:r w:rsidR="00D02140">
        <w:t xml:space="preserve"> operational</w:t>
      </w:r>
      <w:r w:rsidRPr="00390C6C">
        <w:t xml:space="preserve"> initiatives</w:t>
      </w:r>
      <w:r>
        <w:t>,</w:t>
      </w:r>
      <w:r w:rsidRPr="00390C6C">
        <w:t xml:space="preserve"> </w:t>
      </w:r>
      <w:r>
        <w:t>which have been viewed with a certain optimism, even in</w:t>
      </w:r>
      <w:r w:rsidRPr="00390C6C">
        <w:t xml:space="preserve"> the knowledge of the steps </w:t>
      </w:r>
      <w:r>
        <w:t>that must b</w:t>
      </w:r>
      <w:r w:rsidRPr="00390C6C">
        <w:t xml:space="preserve">e taken to reach </w:t>
      </w:r>
      <w:r>
        <w:t>a position which is more in line with our</w:t>
      </w:r>
      <w:r w:rsidRPr="00390C6C">
        <w:t xml:space="preserve"> </w:t>
      </w:r>
      <w:r>
        <w:t xml:space="preserve">country’s </w:t>
      </w:r>
      <w:r w:rsidRPr="00390C6C">
        <w:t xml:space="preserve">status </w:t>
      </w:r>
      <w:r>
        <w:t xml:space="preserve">of being amongst the most industrialised in the world, </w:t>
      </w:r>
      <w:r w:rsidRPr="00390C6C">
        <w:t xml:space="preserve">and to bridge the gap with </w:t>
      </w:r>
      <w:r>
        <w:t xml:space="preserve">more fully-equipped </w:t>
      </w:r>
      <w:r w:rsidRPr="00390C6C">
        <w:t>economic systems.</w:t>
      </w:r>
    </w:p>
    <w:p w:rsidR="00DC4E49" w:rsidRDefault="00DC4E49" w:rsidP="00C0777B">
      <w:pPr>
        <w:jc w:val="both"/>
      </w:pPr>
      <w:r w:rsidRPr="00390C6C">
        <w:t xml:space="preserve">In </w:t>
      </w:r>
      <w:r>
        <w:t>fact, on</w:t>
      </w:r>
      <w:r w:rsidRPr="00390C6C">
        <w:t xml:space="preserve"> one hand – at the institutional level – the legislative and regulatory framework characte</w:t>
      </w:r>
      <w:r>
        <w:t>rised by significant tax savings/</w:t>
      </w:r>
      <w:r w:rsidRPr="00390C6C">
        <w:t xml:space="preserve">reliefs, </w:t>
      </w:r>
      <w:r>
        <w:t>has been</w:t>
      </w:r>
      <w:r w:rsidRPr="00390C6C">
        <w:t xml:space="preserve"> </w:t>
      </w:r>
      <w:r w:rsidRPr="00F04412">
        <w:t xml:space="preserve">strengthened and </w:t>
      </w:r>
      <w:r w:rsidRPr="00390C6C">
        <w:t>appears consistent and coherent with the fundamental macro objectives, on the other hand – at a concrete level – the d</w:t>
      </w:r>
      <w:r>
        <w:t>ata reveals a</w:t>
      </w:r>
      <w:r w:rsidRPr="00390C6C">
        <w:t xml:space="preserve"> system that is still </w:t>
      </w:r>
      <w:proofErr w:type="gramStart"/>
      <w:r>
        <w:t xml:space="preserve">lagging </w:t>
      </w:r>
      <w:r w:rsidRPr="00390C6C">
        <w:t>behind</w:t>
      </w:r>
      <w:proofErr w:type="gramEnd"/>
      <w:r w:rsidRPr="00390C6C">
        <w:t>.</w:t>
      </w:r>
    </w:p>
    <w:p w:rsidR="00DC4E49" w:rsidRDefault="00DC4E49" w:rsidP="00975A32">
      <w:pPr>
        <w:jc w:val="both"/>
      </w:pPr>
      <w:r w:rsidRPr="00390C6C">
        <w:t xml:space="preserve">Although in constant growth, in absolute terms, </w:t>
      </w:r>
      <w:r>
        <w:t xml:space="preserve">there are </w:t>
      </w:r>
      <w:r w:rsidRPr="00390C6C">
        <w:t xml:space="preserve">only a few </w:t>
      </w:r>
      <w:r>
        <w:t>businesse</w:t>
      </w:r>
      <w:r w:rsidRPr="00390C6C">
        <w:t xml:space="preserve">s which qualify as </w:t>
      </w:r>
      <w:r>
        <w:t>“</w:t>
      </w:r>
      <w:r w:rsidRPr="00390C6C">
        <w:t>start-up</w:t>
      </w:r>
      <w:r>
        <w:t>”</w:t>
      </w:r>
      <w:r w:rsidRPr="00390C6C">
        <w:t xml:space="preserve"> and/or </w:t>
      </w:r>
      <w:r>
        <w:t>“</w:t>
      </w:r>
      <w:r w:rsidRPr="00390C6C">
        <w:t xml:space="preserve">innovative </w:t>
      </w:r>
      <w:r>
        <w:t>SME</w:t>
      </w:r>
      <w:r w:rsidRPr="00390C6C">
        <w:t>s</w:t>
      </w:r>
      <w:r>
        <w:t>”</w:t>
      </w:r>
      <w:r w:rsidRPr="00390C6C">
        <w:t xml:space="preserve"> and </w:t>
      </w:r>
      <w:r>
        <w:t>which</w:t>
      </w:r>
      <w:r w:rsidRPr="00390C6C">
        <w:t xml:space="preserve"> turn to specialised incubators/accelerators (so-called </w:t>
      </w:r>
      <w:r>
        <w:t>“</w:t>
      </w:r>
      <w:r w:rsidRPr="00390C6C">
        <w:t>certified incubators</w:t>
      </w:r>
      <w:r>
        <w:t>”</w:t>
      </w:r>
      <w:r w:rsidRPr="00390C6C">
        <w:t xml:space="preserve">) in the initial </w:t>
      </w:r>
      <w:r>
        <w:t>phase</w:t>
      </w:r>
      <w:r w:rsidRPr="00390C6C">
        <w:t xml:space="preserve"> of their business. </w:t>
      </w:r>
      <w:r>
        <w:rPr>
          <w:i/>
        </w:rPr>
        <w:t>C</w:t>
      </w:r>
      <w:r w:rsidRPr="0036224C">
        <w:rPr>
          <w:i/>
        </w:rPr>
        <w:t>rowdfunding</w:t>
      </w:r>
      <w:r>
        <w:t xml:space="preserve"> platforms are only in their infancy, and therefore practically insignificant,</w:t>
      </w:r>
      <w:r w:rsidRPr="00390C6C">
        <w:t xml:space="preserve"> while the venture capital operat</w:t>
      </w:r>
      <w:r>
        <w:t>or</w:t>
      </w:r>
      <w:r w:rsidRPr="00390C6C">
        <w:t xml:space="preserve">s market </w:t>
      </w:r>
      <w:r>
        <w:t>reveals</w:t>
      </w:r>
      <w:r w:rsidRPr="00390C6C">
        <w:t xml:space="preserve"> an annual volume of investments which is much lower than that of the United States </w:t>
      </w:r>
      <w:r>
        <w:t>and</w:t>
      </w:r>
      <w:r w:rsidRPr="00390C6C">
        <w:t xml:space="preserve"> major European countries.</w:t>
      </w:r>
    </w:p>
    <w:p w:rsidR="00DC4E49" w:rsidRDefault="00DC4E49" w:rsidP="00C0777B">
      <w:pPr>
        <w:jc w:val="both"/>
      </w:pPr>
      <w:r w:rsidRPr="00E00BBE">
        <w:t>The empirical study</w:t>
      </w:r>
      <w:r>
        <w:t>, conduct</w:t>
      </w:r>
      <w:r w:rsidRPr="00E00BBE">
        <w:t xml:space="preserve">ed </w:t>
      </w:r>
      <w:r>
        <w:t>by means of</w:t>
      </w:r>
      <w:r w:rsidRPr="00E00BBE">
        <w:t xml:space="preserve"> a specially designed questionnaire</w:t>
      </w:r>
      <w:r w:rsidR="00D02140">
        <w:t xml:space="preserve">, which is however limited in terms of its statistical validity and, more generally, by the </w:t>
      </w:r>
      <w:r w:rsidR="0075184D">
        <w:t xml:space="preserve">descriptive </w:t>
      </w:r>
      <w:r w:rsidR="00D02140">
        <w:t>nature of analyses of this type,</w:t>
      </w:r>
      <w:r w:rsidRPr="00E00BBE">
        <w:t xml:space="preserve"> and</w:t>
      </w:r>
      <w:r w:rsidR="0065425A">
        <w:t xml:space="preserve"> the </w:t>
      </w:r>
      <w:r w:rsidRPr="00E00BBE">
        <w:t>informal conversations with the operators interviewed</w:t>
      </w:r>
      <w:r w:rsidR="0065425A">
        <w:t xml:space="preserve"> </w:t>
      </w:r>
      <w:r w:rsidRPr="00E00BBE">
        <w:t xml:space="preserve">confirmed that the situation </w:t>
      </w:r>
      <w:r>
        <w:t>i</w:t>
      </w:r>
      <w:r w:rsidRPr="00E00BBE">
        <w:t>s</w:t>
      </w:r>
      <w:r>
        <w:t>, on the whole,</w:t>
      </w:r>
      <w:r w:rsidRPr="00E00BBE">
        <w:t xml:space="preserve"> </w:t>
      </w:r>
      <w:r>
        <w:t xml:space="preserve">still developing and is still a long way from having </w:t>
      </w:r>
      <w:r w:rsidRPr="00E00BBE">
        <w:t>consolidated and definitive structures and practices</w:t>
      </w:r>
      <w:r>
        <w:t xml:space="preserve"> in place</w:t>
      </w:r>
      <w:r w:rsidRPr="00E00BBE">
        <w:t>. The operators involved, wh</w:t>
      </w:r>
      <w:r>
        <w:t>o</w:t>
      </w:r>
      <w:r w:rsidRPr="00E00BBE">
        <w:t xml:space="preserve"> represent a diverse sample in terms of size </w:t>
      </w:r>
      <w:r w:rsidRPr="003D500A">
        <w:t xml:space="preserve">and background, </w:t>
      </w:r>
      <w:r>
        <w:t>highlighted</w:t>
      </w:r>
      <w:r w:rsidRPr="00E00BBE">
        <w:t xml:space="preserve"> an activity </w:t>
      </w:r>
      <w:r>
        <w:t xml:space="preserve">which is developing strongly, even if </w:t>
      </w:r>
      <w:r w:rsidRPr="003D500A">
        <w:t xml:space="preserve">the behaviours and </w:t>
      </w:r>
      <w:r w:rsidRPr="00F3757A">
        <w:rPr>
          <w:i/>
        </w:rPr>
        <w:t>modus operandi</w:t>
      </w:r>
      <w:r w:rsidRPr="00E00BBE">
        <w:t xml:space="preserve"> are different.</w:t>
      </w:r>
    </w:p>
    <w:p w:rsidR="00DC4E49" w:rsidRDefault="00DC4E49" w:rsidP="00975A32">
      <w:pPr>
        <w:jc w:val="both"/>
      </w:pPr>
      <w:r w:rsidRPr="00E00BBE">
        <w:t xml:space="preserve">In other </w:t>
      </w:r>
      <w:r>
        <w:t>word</w:t>
      </w:r>
      <w:r w:rsidRPr="00E00BBE">
        <w:t>s, the field study bears witness to the existence of a structure of individuals who, at v</w:t>
      </w:r>
      <w:r>
        <w:t xml:space="preserve">arious levels and with various </w:t>
      </w:r>
      <w:r w:rsidRPr="00E00BBE">
        <w:t>a</w:t>
      </w:r>
      <w:r>
        <w:t>i</w:t>
      </w:r>
      <w:r w:rsidRPr="00E00BBE">
        <w:t xml:space="preserve">ms, </w:t>
      </w:r>
      <w:r>
        <w:t>are working</w:t>
      </w:r>
      <w:r w:rsidRPr="00E00BBE">
        <w:t xml:space="preserve"> steadily in support of start-ups and SMEs </w:t>
      </w:r>
      <w:r>
        <w:t>during their growth phases. S</w:t>
      </w:r>
      <w:r w:rsidRPr="00E00BBE">
        <w:t>ome of them, because of specific competitive advantages such as</w:t>
      </w:r>
      <w:r>
        <w:t>,</w:t>
      </w:r>
      <w:r w:rsidRPr="00E00BBE">
        <w:t xml:space="preserve"> for example</w:t>
      </w:r>
      <w:r>
        <w:t>,</w:t>
      </w:r>
      <w:r w:rsidRPr="00E00BBE">
        <w:t xml:space="preserve"> the</w:t>
      </w:r>
      <w:r>
        <w:t>ir</w:t>
      </w:r>
      <w:r w:rsidRPr="00E00BBE">
        <w:t xml:space="preserve"> financial resources </w:t>
      </w:r>
      <w:r>
        <w:t>or a well-</w:t>
      </w:r>
      <w:r w:rsidRPr="00E00BBE">
        <w:t>established operative tradition, are a</w:t>
      </w:r>
      <w:r>
        <w:t xml:space="preserve">ssuming a more visible role </w:t>
      </w:r>
      <w:r w:rsidRPr="00E00BBE">
        <w:t xml:space="preserve">and </w:t>
      </w:r>
      <w:r>
        <w:t xml:space="preserve">are </w:t>
      </w:r>
      <w:r w:rsidRPr="00E00BBE">
        <w:t>consequently</w:t>
      </w:r>
      <w:r>
        <w:t xml:space="preserve"> becoming a</w:t>
      </w:r>
      <w:r w:rsidRPr="00E00BBE">
        <w:t xml:space="preserve"> reference point for the entire movement; others</w:t>
      </w:r>
      <w:r>
        <w:t>,</w:t>
      </w:r>
      <w:r w:rsidRPr="00E00BBE">
        <w:t xml:space="preserve"> on the other hand</w:t>
      </w:r>
      <w:r>
        <w:t>,</w:t>
      </w:r>
      <w:r w:rsidRPr="00E00BBE">
        <w:t xml:space="preserve"> operate more </w:t>
      </w:r>
      <w:r>
        <w:t xml:space="preserve">in </w:t>
      </w:r>
      <w:r w:rsidRPr="00E00BBE">
        <w:t>isolat</w:t>
      </w:r>
      <w:r>
        <w:t>ion</w:t>
      </w:r>
      <w:r w:rsidRPr="00E00BBE">
        <w:t xml:space="preserve"> and with initiatives </w:t>
      </w:r>
      <w:r>
        <w:t>that are not really connected</w:t>
      </w:r>
      <w:r w:rsidRPr="00E00BBE">
        <w:t xml:space="preserve"> to the rest of the system.</w:t>
      </w:r>
    </w:p>
    <w:p w:rsidR="00DC4E49" w:rsidRDefault="00DC4E49" w:rsidP="00975A32">
      <w:pPr>
        <w:jc w:val="both"/>
      </w:pPr>
      <w:r>
        <w:t>After all,</w:t>
      </w:r>
      <w:r w:rsidRPr="00E00BBE">
        <w:t xml:space="preserve"> co</w:t>
      </w:r>
      <w:r>
        <w:t>-</w:t>
      </w:r>
      <w:r w:rsidRPr="00E00BBE">
        <w:t>investment</w:t>
      </w:r>
      <w:r>
        <w:t xml:space="preserve"> operations</w:t>
      </w:r>
      <w:r w:rsidRPr="00E00BBE">
        <w:t xml:space="preserve">, networking activity and cooperation in general </w:t>
      </w:r>
      <w:r>
        <w:t>are</w:t>
      </w:r>
      <w:r w:rsidRPr="00E00BBE">
        <w:t xml:space="preserve"> the necessary gl</w:t>
      </w:r>
      <w:r>
        <w:t>ue to lend</w:t>
      </w:r>
      <w:r w:rsidRPr="00E00BBE">
        <w:t xml:space="preserve"> strength and depth to a sector which </w:t>
      </w:r>
      <w:r>
        <w:t>needs</w:t>
      </w:r>
      <w:r w:rsidRPr="00E00BBE">
        <w:t xml:space="preserve"> all its components</w:t>
      </w:r>
      <w:r>
        <w:t xml:space="preserve"> to be involved</w:t>
      </w:r>
      <w:r w:rsidRPr="00E00BBE">
        <w:t xml:space="preserve">. </w:t>
      </w:r>
      <w:r>
        <w:t>In this regard</w:t>
      </w:r>
      <w:r w:rsidRPr="00E00BBE">
        <w:t xml:space="preserve">, the study does not move away from theoretical hypotheses, confirming the relevance and validity of a mixed approach in which, </w:t>
      </w:r>
      <w:r>
        <w:t>in addition to</w:t>
      </w:r>
      <w:r w:rsidRPr="00E00BBE">
        <w:t xml:space="preserve"> the natural acti</w:t>
      </w:r>
      <w:r>
        <w:t>on</w:t>
      </w:r>
      <w:r w:rsidRPr="00E00BBE">
        <w:t xml:space="preserve"> of market forces with autonomous and independent projects and proposals, the public </w:t>
      </w:r>
      <w:r>
        <w:t>sector</w:t>
      </w:r>
      <w:r w:rsidRPr="00E00BBE">
        <w:t xml:space="preserve">, represented by government and </w:t>
      </w:r>
      <w:r>
        <w:t xml:space="preserve">relevant </w:t>
      </w:r>
      <w:r w:rsidRPr="00E00BBE">
        <w:t>minist</w:t>
      </w:r>
      <w:r>
        <w:t>ries</w:t>
      </w:r>
      <w:r w:rsidRPr="00E00BBE">
        <w:t xml:space="preserve">, and the private </w:t>
      </w:r>
      <w:r>
        <w:t>sector</w:t>
      </w:r>
      <w:r w:rsidRPr="00E00BBE">
        <w:t xml:space="preserve">, represented by operators and associations in the sector, cooperate and </w:t>
      </w:r>
      <w:r>
        <w:t>meet with one other</w:t>
      </w:r>
      <w:r w:rsidRPr="00E00BBE">
        <w:t xml:space="preserve"> open</w:t>
      </w:r>
      <w:r>
        <w:t>ly</w:t>
      </w:r>
      <w:r w:rsidRPr="00E00BBE">
        <w:t xml:space="preserve"> and systematic</w:t>
      </w:r>
      <w:r>
        <w:t>ally</w:t>
      </w:r>
      <w:r w:rsidRPr="00E00BBE">
        <w:t xml:space="preserve"> to </w:t>
      </w:r>
      <w:r>
        <w:t xml:space="preserve">continually </w:t>
      </w:r>
      <w:r w:rsidRPr="00E00BBE">
        <w:t>define the most suitable support and intervention instruments and best practices.</w:t>
      </w:r>
    </w:p>
    <w:p w:rsidR="00DC4E49" w:rsidRDefault="00DC4E49" w:rsidP="005067C6">
      <w:pPr>
        <w:jc w:val="both"/>
      </w:pPr>
      <w:r>
        <w:t>In fact</w:t>
      </w:r>
      <w:r w:rsidRPr="00E00BBE">
        <w:t xml:space="preserve">, the </w:t>
      </w:r>
      <w:r>
        <w:t>“</w:t>
      </w:r>
      <w:r w:rsidRPr="00296BAD">
        <w:t>technical panel</w:t>
      </w:r>
      <w:r>
        <w:t>”</w:t>
      </w:r>
      <w:r w:rsidRPr="00E00BBE">
        <w:t xml:space="preserve"> has been established and collaboration started, but data on annual </w:t>
      </w:r>
      <w:r w:rsidRPr="0063608B">
        <w:rPr>
          <w:i/>
        </w:rPr>
        <w:t>early-stage</w:t>
      </w:r>
      <w:r w:rsidRPr="00E00BBE">
        <w:t xml:space="preserve"> investment in Italy in recent</w:t>
      </w:r>
      <w:r>
        <w:t xml:space="preserve"> years, </w:t>
      </w:r>
      <w:r w:rsidR="00A975EB">
        <w:t>which exceeded €100m only in 2016,</w:t>
      </w:r>
      <w:r w:rsidRPr="00E00BBE">
        <w:t xml:space="preserve"> provides an unequivocal indication of </w:t>
      </w:r>
      <w:r w:rsidRPr="00E00BBE">
        <w:lastRenderedPageBreak/>
        <w:t>the fact that we need to do more and do it better. The input from the research shows, amongst other</w:t>
      </w:r>
      <w:r>
        <w:t xml:space="preserve"> things</w:t>
      </w:r>
      <w:r w:rsidRPr="00E00BBE">
        <w:t xml:space="preserve">, the need for more involvement by large industrial groups, either as innovation </w:t>
      </w:r>
      <w:r>
        <w:t>“</w:t>
      </w:r>
      <w:r w:rsidRPr="00E00BBE">
        <w:t>inspirer</w:t>
      </w:r>
      <w:r>
        <w:t>s”</w:t>
      </w:r>
      <w:r w:rsidRPr="00E00BBE">
        <w:t xml:space="preserve"> or </w:t>
      </w:r>
      <w:r>
        <w:t>“</w:t>
      </w:r>
      <w:r w:rsidRPr="00E00BBE">
        <w:t>buyers</w:t>
      </w:r>
      <w:r>
        <w:t>”</w:t>
      </w:r>
      <w:r w:rsidRPr="00E00BBE">
        <w:t xml:space="preserve"> of products </w:t>
      </w:r>
      <w:r>
        <w:t xml:space="preserve">and services which are the result of </w:t>
      </w:r>
      <w:r w:rsidRPr="00E00BBE">
        <w:t>innovation</w:t>
      </w:r>
      <w:r>
        <w:t>,</w:t>
      </w:r>
      <w:r w:rsidRPr="00E00BBE">
        <w:t xml:space="preserve"> and </w:t>
      </w:r>
      <w:r>
        <w:t xml:space="preserve">by </w:t>
      </w:r>
      <w:r w:rsidRPr="00E00BBE">
        <w:t xml:space="preserve">universities and research centres, whose contribution </w:t>
      </w:r>
      <w:r>
        <w:t>could</w:t>
      </w:r>
      <w:r w:rsidRPr="00E00BBE">
        <w:t xml:space="preserve"> grow significantly in terms of planning and execution if appropriately financed with ad hoc allocations.</w:t>
      </w:r>
    </w:p>
    <w:p w:rsidR="00DC4E49" w:rsidRDefault="00DC4E49" w:rsidP="005067C6">
      <w:pPr>
        <w:jc w:val="both"/>
      </w:pPr>
      <w:r w:rsidRPr="003D5EF3">
        <w:t xml:space="preserve">The availability </w:t>
      </w:r>
      <w:r w:rsidRPr="00E00BBE">
        <w:t xml:space="preserve">of </w:t>
      </w:r>
      <w:r>
        <w:t>a constant and adequate</w:t>
      </w:r>
      <w:r w:rsidRPr="00E00BBE">
        <w:t xml:space="preserve"> </w:t>
      </w:r>
      <w:r>
        <w:t>s</w:t>
      </w:r>
      <w:r w:rsidR="001C17B5">
        <w:t>tock</w:t>
      </w:r>
      <w:r w:rsidRPr="00E00BBE">
        <w:t xml:space="preserve"> of financial resources </w:t>
      </w:r>
      <w:r w:rsidR="001C17B5">
        <w:t xml:space="preserve">to permanently allocate to this type of </w:t>
      </w:r>
      <w:r w:rsidR="000C2B8A">
        <w:t xml:space="preserve"> companies </w:t>
      </w:r>
      <w:r w:rsidRPr="00E00BBE">
        <w:t xml:space="preserve">is, in a country </w:t>
      </w:r>
      <w:r>
        <w:t xml:space="preserve">such as </w:t>
      </w:r>
      <w:r w:rsidRPr="00E00BBE">
        <w:t xml:space="preserve">ours, the </w:t>
      </w:r>
      <w:r>
        <w:t>key</w:t>
      </w:r>
      <w:r w:rsidRPr="00E00BBE">
        <w:t xml:space="preserve"> driver to allow the system to take off</w:t>
      </w:r>
      <w:r>
        <w:t>, as well as</w:t>
      </w:r>
      <w:r w:rsidRPr="00E00BBE">
        <w:t xml:space="preserve"> the ability to identify and select </w:t>
      </w:r>
      <w:r>
        <w:t xml:space="preserve">the </w:t>
      </w:r>
      <w:r w:rsidRPr="00E00BBE">
        <w:t xml:space="preserve">businesses and projects </w:t>
      </w:r>
      <w:r>
        <w:t xml:space="preserve">which are </w:t>
      </w:r>
      <w:r w:rsidRPr="00E00BBE">
        <w:t xml:space="preserve">most </w:t>
      </w:r>
      <w:r>
        <w:t>deserving and have</w:t>
      </w:r>
      <w:r w:rsidRPr="00E00BBE">
        <w:t xml:space="preserve"> the greatest development potential and </w:t>
      </w:r>
      <w:r>
        <w:t>to accompany</w:t>
      </w:r>
      <w:r w:rsidRPr="00E00BBE">
        <w:t xml:space="preserve"> and support them </w:t>
      </w:r>
      <w:r>
        <w:t>through</w:t>
      </w:r>
      <w:r w:rsidRPr="00E00BBE">
        <w:t xml:space="preserve"> the various phases of the journey.</w:t>
      </w:r>
    </w:p>
    <w:p w:rsidR="00DC4E49" w:rsidRDefault="00A975EB" w:rsidP="00975A32">
      <w:pPr>
        <w:jc w:val="both"/>
      </w:pPr>
      <w:r>
        <w:t xml:space="preserve">Therefore, and this </w:t>
      </w:r>
      <w:r w:rsidR="009E4CCA">
        <w:t>can</w:t>
      </w:r>
      <w:r>
        <w:t xml:space="preserve"> be verified through further research</w:t>
      </w:r>
      <w:r w:rsidR="00DC4E49" w:rsidRPr="00E00BBE">
        <w:t xml:space="preserve">, the stakeholders who are involved in various ways, and </w:t>
      </w:r>
      <w:r w:rsidR="00DC4E49">
        <w:t xml:space="preserve">who </w:t>
      </w:r>
      <w:r w:rsidR="00DC4E49" w:rsidRPr="00E00BBE">
        <w:t xml:space="preserve">have been </w:t>
      </w:r>
      <w:r w:rsidR="00DC4E49">
        <w:t>referenced</w:t>
      </w:r>
      <w:r w:rsidR="00DC4E49" w:rsidRPr="00E00BBE">
        <w:t xml:space="preserve"> many times in this contribution, must fully fulfil the</w:t>
      </w:r>
      <w:r w:rsidR="00DC4E49">
        <w:t>ir</w:t>
      </w:r>
      <w:r w:rsidR="00DC4E49" w:rsidRPr="00E00BBE">
        <w:t xml:space="preserve"> role </w:t>
      </w:r>
      <w:r w:rsidR="00DC4E49">
        <w:t xml:space="preserve">in </w:t>
      </w:r>
      <w:r w:rsidR="00DC4E49" w:rsidRPr="003D5EF3">
        <w:t>a process, which</w:t>
      </w:r>
      <w:r w:rsidR="00DC4E49" w:rsidRPr="00E00BBE">
        <w:t xml:space="preserve">, as </w:t>
      </w:r>
      <w:r w:rsidR="00DC4E49">
        <w:t>has</w:t>
      </w:r>
      <w:r w:rsidR="00DC4E49" w:rsidRPr="00E00BBE">
        <w:t xml:space="preserve"> been </w:t>
      </w:r>
      <w:r w:rsidR="00DC4E49">
        <w:t xml:space="preserve">highlighted repeatedly, must be </w:t>
      </w:r>
      <w:r w:rsidR="00DC4E49" w:rsidRPr="00E00BBE">
        <w:t xml:space="preserve">configured as a </w:t>
      </w:r>
      <w:r w:rsidR="00DC4E49">
        <w:t>real</w:t>
      </w:r>
      <w:r w:rsidR="00DC4E49" w:rsidRPr="00E00BBE">
        <w:t xml:space="preserve"> system.</w:t>
      </w:r>
    </w:p>
    <w:p w:rsidR="00DC4E49" w:rsidRPr="00DB1399" w:rsidRDefault="00DC4E49" w:rsidP="00C0777B">
      <w:pPr>
        <w:jc w:val="both"/>
        <w:rPr>
          <w:caps/>
        </w:rPr>
      </w:pPr>
      <w:r>
        <w:t>It should start</w:t>
      </w:r>
      <w:r w:rsidRPr="00E00BBE">
        <w:t xml:space="preserve"> w</w:t>
      </w:r>
      <w:r>
        <w:t>ith the banks, who until now</w:t>
      </w:r>
      <w:r w:rsidRPr="00E00BBE">
        <w:t>, with a few exceptions, when dealing with innovative businesses in the start-up phase, ha</w:t>
      </w:r>
      <w:r>
        <w:t>ve</w:t>
      </w:r>
      <w:r w:rsidRPr="00E00BBE">
        <w:t xml:space="preserve"> taken a generally marginal and un-dynamic approach</w:t>
      </w:r>
      <w:r>
        <w:t>. Although</w:t>
      </w:r>
      <w:r w:rsidRPr="00E00BBE">
        <w:t xml:space="preserve"> </w:t>
      </w:r>
      <w:r>
        <w:t xml:space="preserve">they </w:t>
      </w:r>
      <w:r w:rsidRPr="00E00BBE">
        <w:t xml:space="preserve">frequently participate </w:t>
      </w:r>
      <w:r>
        <w:t>in their capacity as</w:t>
      </w:r>
      <w:r w:rsidRPr="00E00BBE">
        <w:t xml:space="preserve"> underwrit</w:t>
      </w:r>
      <w:r>
        <w:t>ers of</w:t>
      </w:r>
      <w:r w:rsidRPr="00E00BBE">
        <w:t xml:space="preserve"> investment vehicles, </w:t>
      </w:r>
      <w:r>
        <w:t>it must be emphasised</w:t>
      </w:r>
      <w:r w:rsidRPr="00E00BBE">
        <w:t xml:space="preserve"> </w:t>
      </w:r>
      <w:r>
        <w:t>that</w:t>
      </w:r>
      <w:r w:rsidRPr="00E00BBE">
        <w:t xml:space="preserve"> the promotion </w:t>
      </w:r>
      <w:r>
        <w:t xml:space="preserve">and </w:t>
      </w:r>
      <w:r w:rsidRPr="00242DCA">
        <w:rPr>
          <w:i/>
        </w:rPr>
        <w:t>sponsorship</w:t>
      </w:r>
      <w:r w:rsidRPr="00E00BBE">
        <w:t xml:space="preserve"> of specific initiatives </w:t>
      </w:r>
      <w:r>
        <w:t>should specifical</w:t>
      </w:r>
      <w:r w:rsidRPr="003D5EF3">
        <w:t xml:space="preserve">ly </w:t>
      </w:r>
      <w:r>
        <w:t>be</w:t>
      </w:r>
      <w:r w:rsidRPr="003D5EF3">
        <w:t xml:space="preserve"> referred </w:t>
      </w:r>
      <w:r w:rsidRPr="00E00BBE">
        <w:t xml:space="preserve">to large banking groups, </w:t>
      </w:r>
      <w:r>
        <w:t>who have a strong r</w:t>
      </w:r>
      <w:r w:rsidRPr="00E00BBE">
        <w:t>ole as not only short-</w:t>
      </w:r>
      <w:r>
        <w:t>term credit financers but also</w:t>
      </w:r>
      <w:r w:rsidRPr="00E00BBE">
        <w:t xml:space="preserve"> </w:t>
      </w:r>
      <w:r>
        <w:t xml:space="preserve">as </w:t>
      </w:r>
      <w:r w:rsidRPr="00E00BBE">
        <w:t xml:space="preserve">promoters of </w:t>
      </w:r>
      <w:r>
        <w:t>“</w:t>
      </w:r>
      <w:r w:rsidRPr="00E00BBE">
        <w:t>external</w:t>
      </w:r>
      <w:r>
        <w:t>” finance and as organisers of</w:t>
      </w:r>
      <w:r w:rsidRPr="00E00BBE">
        <w:t xml:space="preserve"> operations on the market</w:t>
      </w:r>
      <w:r w:rsidRPr="003D5EF3">
        <w:t xml:space="preserve">, and who </w:t>
      </w:r>
      <w:r w:rsidRPr="00E00BBE">
        <w:t xml:space="preserve">have demonstrated </w:t>
      </w:r>
      <w:r>
        <w:t>over</w:t>
      </w:r>
      <w:r w:rsidRPr="00E00BBE">
        <w:t xml:space="preserve"> time </w:t>
      </w:r>
      <w:r>
        <w:t>a</w:t>
      </w:r>
      <w:r w:rsidRPr="00E00BBE">
        <w:t xml:space="preserve"> propensity for innovation </w:t>
      </w:r>
      <w:r>
        <w:t>by</w:t>
      </w:r>
      <w:r w:rsidRPr="00E00BBE">
        <w:t xml:space="preserve"> the</w:t>
      </w:r>
      <w:r>
        <w:t>ir</w:t>
      </w:r>
      <w:r w:rsidRPr="00E00BBE">
        <w:t xml:space="preserve"> package of offers and sensitivity to the </w:t>
      </w:r>
      <w:r>
        <w:t>need to renew</w:t>
      </w:r>
      <w:r w:rsidRPr="00E00BBE">
        <w:t xml:space="preserve"> the industrial syste</w:t>
      </w:r>
      <w:r w:rsidRPr="00553F01">
        <w:t xml:space="preserve">m. Other banks, however, are characterised by limited involvement, copying or, in any case, being influenced by counterparts and operators in the system. </w:t>
      </w:r>
      <w:r w:rsidRPr="00E00BBE">
        <w:t>However</w:t>
      </w:r>
      <w:r>
        <w:t>, what is needed</w:t>
      </w:r>
      <w:r w:rsidRPr="00E00BBE">
        <w:t xml:space="preserve"> </w:t>
      </w:r>
      <w:r>
        <w:t>from</w:t>
      </w:r>
      <w:r w:rsidRPr="00E00BBE">
        <w:t xml:space="preserve"> Italian cred</w:t>
      </w:r>
      <w:r>
        <w:t>it institutions</w:t>
      </w:r>
      <w:r w:rsidRPr="00E00BBE">
        <w:t xml:space="preserve"> is more convincing action, based on a precise strategic plan which</w:t>
      </w:r>
      <w:r>
        <w:t>,</w:t>
      </w:r>
      <w:r w:rsidRPr="00E00BBE">
        <w:t xml:space="preserve"> </w:t>
      </w:r>
      <w:r>
        <w:t>steadily and</w:t>
      </w:r>
      <w:r w:rsidRPr="00E00BBE">
        <w:t xml:space="preserve"> systematic</w:t>
      </w:r>
      <w:r>
        <w:t>ally,</w:t>
      </w:r>
      <w:r w:rsidRPr="00E00BBE">
        <w:t xml:space="preserve"> </w:t>
      </w:r>
      <w:r>
        <w:t>with</w:t>
      </w:r>
      <w:r w:rsidRPr="00E00BBE">
        <w:t xml:space="preserve"> </w:t>
      </w:r>
      <w:r>
        <w:t>its range of services,</w:t>
      </w:r>
      <w:r w:rsidRPr="00E00BBE">
        <w:t xml:space="preserve"> p</w:t>
      </w:r>
      <w:r>
        <w:t>rovides</w:t>
      </w:r>
      <w:r w:rsidRPr="00E00BBE">
        <w:t xml:space="preserve"> financial assistance to start-ups and innovative SMEs with potential for development, either </w:t>
      </w:r>
      <w:r>
        <w:t>by</w:t>
      </w:r>
      <w:r w:rsidRPr="00E00BBE">
        <w:t xml:space="preserve"> </w:t>
      </w:r>
      <w:proofErr w:type="gramStart"/>
      <w:r>
        <w:t xml:space="preserve">providing </w:t>
      </w:r>
      <w:r w:rsidRPr="00E00BBE">
        <w:t xml:space="preserve"> equity</w:t>
      </w:r>
      <w:proofErr w:type="gramEnd"/>
      <w:r w:rsidRPr="00E00BBE">
        <w:t xml:space="preserve"> or more suitable and functional financing instruments. </w:t>
      </w:r>
      <w:r>
        <w:t>And with that,</w:t>
      </w:r>
      <w:r w:rsidRPr="00E00BBE">
        <w:t xml:space="preserve"> </w:t>
      </w:r>
      <w:r w:rsidRPr="008B16BE">
        <w:t>regenerating a</w:t>
      </w:r>
      <w:r w:rsidRPr="00E00BBE">
        <w:t xml:space="preserve">nd promoting </w:t>
      </w:r>
      <w:r>
        <w:t xml:space="preserve">from </w:t>
      </w:r>
      <w:r w:rsidRPr="00E00BBE">
        <w:t>inside the system</w:t>
      </w:r>
      <w:r>
        <w:t>, t</w:t>
      </w:r>
      <w:r w:rsidRPr="00E00BBE">
        <w:t>he subject of the current paper</w:t>
      </w:r>
      <w:r>
        <w:t>,</w:t>
      </w:r>
      <w:r w:rsidRPr="00E00BBE">
        <w:t xml:space="preserve"> </w:t>
      </w:r>
      <w:r>
        <w:t xml:space="preserve">the </w:t>
      </w:r>
      <w:r w:rsidRPr="00E00BBE">
        <w:t xml:space="preserve">contribution of the banking system, </w:t>
      </w:r>
      <w:r>
        <w:t xml:space="preserve">which has always been the </w:t>
      </w:r>
      <w:r w:rsidRPr="00E00BBE">
        <w:t>determin</w:t>
      </w:r>
      <w:r>
        <w:t>ant</w:t>
      </w:r>
      <w:r w:rsidRPr="00E00BBE">
        <w:t xml:space="preserve"> of business financing in our country.</w:t>
      </w:r>
    </w:p>
    <w:p w:rsidR="00DC4E49" w:rsidRPr="00DB1399" w:rsidRDefault="00DC4E49" w:rsidP="00DC4E49">
      <w:pPr>
        <w:contextualSpacing/>
        <w:jc w:val="center"/>
        <w:rPr>
          <w:caps/>
        </w:rPr>
      </w:pPr>
    </w:p>
    <w:p w:rsidR="00DC4E49" w:rsidRPr="00DB1399" w:rsidRDefault="00DC4E49" w:rsidP="00DC4E49">
      <w:pPr>
        <w:contextualSpacing/>
        <w:jc w:val="center"/>
        <w:rPr>
          <w:caps/>
        </w:rPr>
      </w:pPr>
    </w:p>
    <w:p w:rsidR="00DC4E49" w:rsidRPr="00DB1399" w:rsidRDefault="00DC4E49" w:rsidP="00DC4E49">
      <w:pPr>
        <w:spacing w:after="160" w:line="259" w:lineRule="auto"/>
        <w:rPr>
          <w:caps/>
        </w:rPr>
      </w:pPr>
      <w:r w:rsidRPr="00DB1399">
        <w:rPr>
          <w:caps/>
        </w:rPr>
        <w:br w:type="page"/>
      </w:r>
    </w:p>
    <w:p w:rsidR="00DC4E49" w:rsidRPr="004566E6" w:rsidRDefault="00DC4E49" w:rsidP="00DC4E49">
      <w:pPr>
        <w:contextualSpacing/>
        <w:jc w:val="center"/>
        <w:rPr>
          <w:caps/>
          <w:lang w:val="en-US"/>
        </w:rPr>
      </w:pPr>
      <w:r w:rsidRPr="004566E6">
        <w:rPr>
          <w:caps/>
          <w:lang w:val="en-US"/>
        </w:rPr>
        <w:lastRenderedPageBreak/>
        <w:t>bibliogra</w:t>
      </w:r>
      <w:r>
        <w:rPr>
          <w:caps/>
          <w:lang w:val="en-US"/>
        </w:rPr>
        <w:t>PHY</w:t>
      </w:r>
    </w:p>
    <w:p w:rsidR="00DC4E49" w:rsidRPr="004566E6" w:rsidRDefault="00DC4E49" w:rsidP="00DC4E49">
      <w:pPr>
        <w:contextualSpacing/>
        <w:jc w:val="center"/>
        <w:rPr>
          <w:caps/>
          <w:lang w:val="en-US"/>
        </w:rPr>
      </w:pPr>
    </w:p>
    <w:p w:rsidR="00DC4E49" w:rsidRDefault="00DC4E49" w:rsidP="005067C6">
      <w:pPr>
        <w:contextualSpacing/>
        <w:jc w:val="both"/>
        <w:rPr>
          <w:lang w:val="en-US"/>
        </w:rPr>
      </w:pPr>
      <w:proofErr w:type="spellStart"/>
      <w:r w:rsidRPr="00DD5EEF">
        <w:rPr>
          <w:lang w:val="en-US"/>
        </w:rPr>
        <w:t>Aernoudt</w:t>
      </w:r>
      <w:proofErr w:type="spellEnd"/>
      <w:r w:rsidRPr="00DD5EEF">
        <w:rPr>
          <w:lang w:val="en-US"/>
        </w:rPr>
        <w:t xml:space="preserve"> R. (2004), “Incubators: Tool for Entreprene</w:t>
      </w:r>
      <w:r w:rsidRPr="00F80914">
        <w:rPr>
          <w:lang w:val="en-US"/>
        </w:rPr>
        <w:t>urship?</w:t>
      </w:r>
      <w:r w:rsidRPr="00F56865">
        <w:rPr>
          <w:lang w:val="en-US"/>
        </w:rPr>
        <w:t>”</w:t>
      </w:r>
      <w:r>
        <w:rPr>
          <w:lang w:val="en-US"/>
        </w:rPr>
        <w:t>,</w:t>
      </w:r>
      <w:r w:rsidRPr="00F56865">
        <w:rPr>
          <w:lang w:val="en-US"/>
        </w:rPr>
        <w:t xml:space="preserve"> in </w:t>
      </w:r>
      <w:r w:rsidRPr="001D31D5">
        <w:rPr>
          <w:lang w:val="en-US"/>
        </w:rPr>
        <w:t>«</w:t>
      </w:r>
      <w:r>
        <w:rPr>
          <w:lang w:val="en-US"/>
        </w:rPr>
        <w:t>Small Business Economics</w:t>
      </w:r>
      <w:r w:rsidRPr="001D31D5">
        <w:rPr>
          <w:lang w:val="en-US"/>
        </w:rPr>
        <w:t>»</w:t>
      </w:r>
      <w:r>
        <w:rPr>
          <w:lang w:val="en-US"/>
        </w:rPr>
        <w:t>, vol. 23, pp. 127-135</w:t>
      </w:r>
    </w:p>
    <w:p w:rsidR="00DC4E49" w:rsidRDefault="00DC4E49" w:rsidP="005067C6">
      <w:pPr>
        <w:contextualSpacing/>
        <w:jc w:val="both"/>
        <w:rPr>
          <w:lang w:val="en-US"/>
        </w:rPr>
      </w:pPr>
    </w:p>
    <w:p w:rsidR="00DC4E49" w:rsidRPr="002F390B" w:rsidRDefault="00DC4E49" w:rsidP="005067C6">
      <w:pPr>
        <w:contextualSpacing/>
        <w:jc w:val="both"/>
        <w:rPr>
          <w:lang w:val="it-IT"/>
        </w:rPr>
      </w:pPr>
      <w:r w:rsidRPr="002F390B">
        <w:rPr>
          <w:lang w:val="it-IT"/>
        </w:rPr>
        <w:t xml:space="preserve">AIFI, </w:t>
      </w:r>
      <w:proofErr w:type="spellStart"/>
      <w:r w:rsidRPr="002F390B">
        <w:rPr>
          <w:lang w:val="it-IT"/>
        </w:rPr>
        <w:t>PwC</w:t>
      </w:r>
      <w:proofErr w:type="spellEnd"/>
      <w:r w:rsidRPr="002F390B">
        <w:rPr>
          <w:lang w:val="it-IT"/>
        </w:rPr>
        <w:t xml:space="preserve"> (2016), </w:t>
      </w:r>
      <w:r w:rsidRPr="002F390B">
        <w:rPr>
          <w:i/>
          <w:lang w:val="it-IT"/>
        </w:rPr>
        <w:t>Il Mercato Del Private Equity E Del Venture Capital Nel 2015</w:t>
      </w:r>
    </w:p>
    <w:p w:rsidR="00DC4E49" w:rsidRPr="002F390B" w:rsidRDefault="00DC4E49" w:rsidP="005067C6">
      <w:pPr>
        <w:contextualSpacing/>
        <w:jc w:val="both"/>
        <w:rPr>
          <w:lang w:val="it-IT"/>
        </w:rPr>
      </w:pPr>
    </w:p>
    <w:p w:rsidR="00DC4E49" w:rsidRPr="00021C55" w:rsidRDefault="00DC4E49" w:rsidP="0088404E">
      <w:pPr>
        <w:contextualSpacing/>
        <w:jc w:val="both"/>
        <w:rPr>
          <w:caps/>
          <w:lang w:val="en-US"/>
        </w:rPr>
      </w:pPr>
      <w:r w:rsidRPr="00021C55">
        <w:rPr>
          <w:lang w:val="en-US"/>
        </w:rPr>
        <w:t>Al-</w:t>
      </w:r>
      <w:proofErr w:type="spellStart"/>
      <w:r w:rsidRPr="00021C55">
        <w:rPr>
          <w:lang w:val="en-US"/>
        </w:rPr>
        <w:t>Mubaraki</w:t>
      </w:r>
      <w:proofErr w:type="spellEnd"/>
      <w:r w:rsidRPr="00021C55">
        <w:rPr>
          <w:lang w:val="en-US"/>
        </w:rPr>
        <w:t xml:space="preserve"> H. (2012), “A Comparative Study of Incubator</w:t>
      </w:r>
      <w:r>
        <w:rPr>
          <w:lang w:val="en-US"/>
        </w:rPr>
        <w:t>’</w:t>
      </w:r>
      <w:r w:rsidRPr="00021C55">
        <w:rPr>
          <w:lang w:val="en-US"/>
        </w:rPr>
        <w:t xml:space="preserve">s Landscapes in Europe and in the Middle East”, </w:t>
      </w:r>
      <w:r>
        <w:rPr>
          <w:lang w:val="en-US"/>
        </w:rPr>
        <w:t xml:space="preserve">in </w:t>
      </w:r>
      <w:r w:rsidRPr="001D31D5">
        <w:rPr>
          <w:lang w:val="en-US"/>
        </w:rPr>
        <w:t>«</w:t>
      </w:r>
      <w:r w:rsidRPr="00F80914">
        <w:rPr>
          <w:lang w:val="en-US"/>
        </w:rPr>
        <w:t>European Journal of Business and Management</w:t>
      </w:r>
      <w:r w:rsidRPr="001D31D5">
        <w:rPr>
          <w:lang w:val="en-US"/>
        </w:rPr>
        <w:t>»</w:t>
      </w:r>
      <w:r>
        <w:rPr>
          <w:lang w:val="en-US"/>
        </w:rPr>
        <w:t>, v</w:t>
      </w:r>
      <w:r w:rsidRPr="00021C55">
        <w:rPr>
          <w:lang w:val="en-US"/>
        </w:rPr>
        <w:t xml:space="preserve">ol. </w:t>
      </w:r>
      <w:r>
        <w:rPr>
          <w:lang w:val="en-US"/>
        </w:rPr>
        <w:t>4, n. 10, pp. 1-10</w:t>
      </w:r>
    </w:p>
    <w:p w:rsidR="00DC4E49" w:rsidRPr="00021C55" w:rsidRDefault="00DC4E49" w:rsidP="00C0777B">
      <w:pPr>
        <w:contextualSpacing/>
        <w:jc w:val="both"/>
        <w:rPr>
          <w:smallCaps/>
          <w:lang w:val="en-US"/>
        </w:rPr>
      </w:pPr>
    </w:p>
    <w:p w:rsidR="00DC4E49" w:rsidRPr="002F390B" w:rsidRDefault="00DC4E49" w:rsidP="005067C6">
      <w:pPr>
        <w:contextualSpacing/>
        <w:jc w:val="both"/>
        <w:rPr>
          <w:lang w:val="it-IT"/>
        </w:rPr>
      </w:pPr>
      <w:proofErr w:type="spellStart"/>
      <w:r w:rsidRPr="002F390B">
        <w:rPr>
          <w:lang w:val="it-IT"/>
        </w:rPr>
        <w:t>Auricchio</w:t>
      </w:r>
      <w:proofErr w:type="spellEnd"/>
      <w:r w:rsidRPr="002F390B">
        <w:rPr>
          <w:lang w:val="it-IT"/>
        </w:rPr>
        <w:t xml:space="preserve"> M., </w:t>
      </w:r>
      <w:proofErr w:type="spellStart"/>
      <w:r w:rsidRPr="002F390B">
        <w:rPr>
          <w:lang w:val="it-IT"/>
        </w:rPr>
        <w:t>Cantamessa</w:t>
      </w:r>
      <w:proofErr w:type="spellEnd"/>
      <w:r w:rsidRPr="002F390B">
        <w:rPr>
          <w:lang w:val="it-IT"/>
        </w:rPr>
        <w:t xml:space="preserve"> M., Colombelli A., Cullino R., </w:t>
      </w:r>
      <w:proofErr w:type="spellStart"/>
      <w:r w:rsidRPr="002F390B">
        <w:rPr>
          <w:lang w:val="it-IT"/>
        </w:rPr>
        <w:t>Orame</w:t>
      </w:r>
      <w:proofErr w:type="spellEnd"/>
      <w:r w:rsidRPr="002F390B">
        <w:rPr>
          <w:lang w:val="it-IT"/>
        </w:rPr>
        <w:t xml:space="preserve"> A., Paolucci </w:t>
      </w:r>
      <w:proofErr w:type="gramStart"/>
      <w:r w:rsidRPr="002F390B">
        <w:rPr>
          <w:lang w:val="it-IT"/>
        </w:rPr>
        <w:t>E.(</w:t>
      </w:r>
      <w:proofErr w:type="gramEnd"/>
      <w:r w:rsidRPr="002F390B">
        <w:rPr>
          <w:lang w:val="it-IT"/>
        </w:rPr>
        <w:t xml:space="preserve">2014), </w:t>
      </w:r>
      <w:r w:rsidRPr="002F390B">
        <w:rPr>
          <w:i/>
          <w:lang w:val="it-IT"/>
        </w:rPr>
        <w:t xml:space="preserve">Gli incubatori d’impresa in Italia, </w:t>
      </w:r>
      <w:r w:rsidRPr="002F390B">
        <w:rPr>
          <w:lang w:val="it-IT"/>
        </w:rPr>
        <w:t>Banca d’Italia, QEF n. 216</w:t>
      </w:r>
    </w:p>
    <w:p w:rsidR="00DC4E49" w:rsidRPr="002F390B" w:rsidRDefault="00DC4E49" w:rsidP="005067C6">
      <w:pPr>
        <w:contextualSpacing/>
        <w:jc w:val="both"/>
        <w:rPr>
          <w:sz w:val="16"/>
          <w:szCs w:val="16"/>
          <w:lang w:val="it-IT"/>
        </w:rPr>
      </w:pPr>
    </w:p>
    <w:p w:rsidR="00DC4E49" w:rsidRPr="00F80914" w:rsidRDefault="00DC4E49" w:rsidP="005067C6">
      <w:pPr>
        <w:contextualSpacing/>
        <w:jc w:val="both"/>
        <w:rPr>
          <w:lang w:val="en-US"/>
        </w:rPr>
      </w:pPr>
      <w:r>
        <w:rPr>
          <w:lang w:val="en-US"/>
        </w:rPr>
        <w:t xml:space="preserve">Amis D., Stevenson H. (2001), </w:t>
      </w:r>
      <w:r>
        <w:rPr>
          <w:i/>
          <w:lang w:val="en-US"/>
        </w:rPr>
        <w:t>Winning Angel: The Seven Fundamentals of Early S</w:t>
      </w:r>
      <w:r w:rsidRPr="000038F1">
        <w:rPr>
          <w:i/>
          <w:lang w:val="en-US"/>
        </w:rPr>
        <w:t xml:space="preserve">tage </w:t>
      </w:r>
      <w:r>
        <w:rPr>
          <w:i/>
          <w:lang w:val="en-US"/>
        </w:rPr>
        <w:t>Investing</w:t>
      </w:r>
      <w:r>
        <w:rPr>
          <w:lang w:val="en-US"/>
        </w:rPr>
        <w:t>, Financial Times Prentice Hall</w:t>
      </w:r>
      <w:r w:rsidR="00BA2B20">
        <w:rPr>
          <w:lang w:val="en-US"/>
        </w:rPr>
        <w:t>, Harlow, UK</w:t>
      </w:r>
    </w:p>
    <w:p w:rsidR="00DC4E49" w:rsidRDefault="00DC4E49" w:rsidP="005067C6">
      <w:pPr>
        <w:contextualSpacing/>
        <w:jc w:val="both"/>
        <w:rPr>
          <w:lang w:val="en-US"/>
        </w:rPr>
      </w:pPr>
    </w:p>
    <w:p w:rsidR="00DC4E49" w:rsidRPr="00655D7E" w:rsidRDefault="00DC4E49" w:rsidP="0088404E">
      <w:pPr>
        <w:contextualSpacing/>
        <w:jc w:val="both"/>
        <w:rPr>
          <w:lang w:val="en-US"/>
        </w:rPr>
      </w:pPr>
      <w:r w:rsidRPr="00655D7E">
        <w:rPr>
          <w:lang w:val="en-US"/>
        </w:rPr>
        <w:t xml:space="preserve">Berger A.N., </w:t>
      </w:r>
      <w:proofErr w:type="spellStart"/>
      <w:r w:rsidRPr="00655D7E">
        <w:rPr>
          <w:lang w:val="en-US"/>
        </w:rPr>
        <w:t>Udell</w:t>
      </w:r>
      <w:proofErr w:type="spellEnd"/>
      <w:r w:rsidRPr="00655D7E">
        <w:rPr>
          <w:lang w:val="en-US"/>
        </w:rPr>
        <w:t xml:space="preserve"> G.F. (1998), </w:t>
      </w:r>
      <w:r>
        <w:rPr>
          <w:lang w:val="en-US"/>
        </w:rPr>
        <w:t>“</w:t>
      </w:r>
      <w:r w:rsidRPr="00655D7E">
        <w:rPr>
          <w:lang w:val="en-US"/>
        </w:rPr>
        <w:t>The Economics of Small Business Finance: The Role</w:t>
      </w:r>
      <w:r>
        <w:rPr>
          <w:lang w:val="en-US"/>
        </w:rPr>
        <w:t>s</w:t>
      </w:r>
      <w:r w:rsidRPr="00655D7E">
        <w:rPr>
          <w:lang w:val="en-US"/>
        </w:rPr>
        <w:t xml:space="preserve"> of </w:t>
      </w:r>
      <w:r>
        <w:rPr>
          <w:lang w:val="en-US"/>
        </w:rPr>
        <w:t>Private Equity and D</w:t>
      </w:r>
      <w:r w:rsidRPr="00655D7E">
        <w:rPr>
          <w:lang w:val="en-US"/>
        </w:rPr>
        <w:t xml:space="preserve">ebt </w:t>
      </w:r>
      <w:r>
        <w:rPr>
          <w:lang w:val="en-US"/>
        </w:rPr>
        <w:t xml:space="preserve">Markets in the Financial Growth Cycle”, in </w:t>
      </w:r>
      <w:r w:rsidRPr="001D31D5">
        <w:rPr>
          <w:lang w:val="en-US"/>
        </w:rPr>
        <w:t>«</w:t>
      </w:r>
      <w:r>
        <w:rPr>
          <w:lang w:val="en-US"/>
        </w:rPr>
        <w:t>Journal of Banking and Finance</w:t>
      </w:r>
      <w:r w:rsidRPr="001D31D5">
        <w:rPr>
          <w:lang w:val="en-US"/>
        </w:rPr>
        <w:t>»</w:t>
      </w:r>
      <w:r>
        <w:rPr>
          <w:lang w:val="en-US"/>
        </w:rPr>
        <w:t>, vol. 22, pp. 613-673</w:t>
      </w:r>
    </w:p>
    <w:p w:rsidR="00DC4E49" w:rsidRDefault="00DC4E49" w:rsidP="0088404E">
      <w:pPr>
        <w:contextualSpacing/>
        <w:jc w:val="both"/>
        <w:rPr>
          <w:lang w:val="en-US"/>
        </w:rPr>
      </w:pPr>
    </w:p>
    <w:p w:rsidR="00DC4E49" w:rsidRPr="0044676C" w:rsidRDefault="00DC4E49" w:rsidP="0088404E">
      <w:pPr>
        <w:contextualSpacing/>
        <w:jc w:val="both"/>
        <w:rPr>
          <w:lang w:val="en-US"/>
        </w:rPr>
      </w:pPr>
      <w:proofErr w:type="spellStart"/>
      <w:r w:rsidRPr="0044676C">
        <w:rPr>
          <w:lang w:val="en-US"/>
        </w:rPr>
        <w:t>Bertoni</w:t>
      </w:r>
      <w:proofErr w:type="spellEnd"/>
      <w:r w:rsidRPr="0044676C">
        <w:rPr>
          <w:lang w:val="en-US"/>
        </w:rPr>
        <w:t xml:space="preserve"> F, Colombo M.G., </w:t>
      </w:r>
      <w:proofErr w:type="spellStart"/>
      <w:r w:rsidRPr="0044676C">
        <w:rPr>
          <w:lang w:val="en-US"/>
        </w:rPr>
        <w:t>Grilli</w:t>
      </w:r>
      <w:proofErr w:type="spellEnd"/>
      <w:r w:rsidRPr="0044676C">
        <w:rPr>
          <w:lang w:val="en-US"/>
        </w:rPr>
        <w:t xml:space="preserve"> L. (2011), </w:t>
      </w:r>
      <w:r>
        <w:rPr>
          <w:lang w:val="en-US"/>
        </w:rPr>
        <w:t>“</w:t>
      </w:r>
      <w:r w:rsidRPr="00E95C4C">
        <w:rPr>
          <w:lang w:val="en-US"/>
        </w:rPr>
        <w:t xml:space="preserve">Venture Capital Financing and the Growth of High-Tech Start-Up: Disentangling Treatment </w:t>
      </w:r>
      <w:proofErr w:type="gramStart"/>
      <w:r w:rsidRPr="00E95C4C">
        <w:rPr>
          <w:lang w:val="en-US"/>
        </w:rPr>
        <w:t>From</w:t>
      </w:r>
      <w:proofErr w:type="gramEnd"/>
      <w:r w:rsidRPr="00E95C4C">
        <w:rPr>
          <w:lang w:val="en-US"/>
        </w:rPr>
        <w:t xml:space="preserve"> Selection Effects</w:t>
      </w:r>
      <w:r>
        <w:rPr>
          <w:i/>
          <w:lang w:val="en-US"/>
        </w:rPr>
        <w:t>”</w:t>
      </w:r>
      <w:r w:rsidRPr="0044676C">
        <w:rPr>
          <w:lang w:val="en-US"/>
        </w:rPr>
        <w:t xml:space="preserve">, </w:t>
      </w:r>
      <w:r>
        <w:rPr>
          <w:lang w:val="en-US"/>
        </w:rPr>
        <w:t xml:space="preserve">in </w:t>
      </w:r>
      <w:r w:rsidRPr="001D31D5">
        <w:rPr>
          <w:lang w:val="en-US"/>
        </w:rPr>
        <w:t>«</w:t>
      </w:r>
      <w:r w:rsidRPr="0044676C">
        <w:rPr>
          <w:lang w:val="en-US"/>
        </w:rPr>
        <w:t>Research Policy</w:t>
      </w:r>
      <w:r w:rsidRPr="001D31D5">
        <w:rPr>
          <w:lang w:val="en-US"/>
        </w:rPr>
        <w:t>»</w:t>
      </w:r>
      <w:r w:rsidRPr="0044676C">
        <w:rPr>
          <w:lang w:val="en-US"/>
        </w:rPr>
        <w:t>,</w:t>
      </w:r>
      <w:r>
        <w:rPr>
          <w:lang w:val="en-US"/>
        </w:rPr>
        <w:t xml:space="preserve"> vol. 40, pp. 1028-1043</w:t>
      </w:r>
    </w:p>
    <w:p w:rsidR="00DC4E49" w:rsidRPr="0044676C" w:rsidRDefault="00DC4E49" w:rsidP="0088404E">
      <w:pPr>
        <w:contextualSpacing/>
        <w:jc w:val="both"/>
        <w:rPr>
          <w:lang w:val="en-US"/>
        </w:rPr>
      </w:pPr>
    </w:p>
    <w:p w:rsidR="00DC4E49" w:rsidRDefault="00DC4E49" w:rsidP="0088404E">
      <w:pPr>
        <w:contextualSpacing/>
        <w:jc w:val="both"/>
        <w:rPr>
          <w:lang w:val="en-US"/>
        </w:rPr>
      </w:pPr>
      <w:r w:rsidRPr="00194879">
        <w:rPr>
          <w:lang w:val="en-US"/>
        </w:rPr>
        <w:t>Blank</w:t>
      </w:r>
      <w:r>
        <w:rPr>
          <w:lang w:val="en-US"/>
        </w:rPr>
        <w:t xml:space="preserve"> S.</w:t>
      </w:r>
      <w:r w:rsidRPr="00194879">
        <w:rPr>
          <w:lang w:val="en-US"/>
        </w:rPr>
        <w:t>, Dorf B</w:t>
      </w:r>
      <w:r>
        <w:rPr>
          <w:lang w:val="en-US"/>
        </w:rPr>
        <w:t>.</w:t>
      </w:r>
      <w:r w:rsidRPr="00194879">
        <w:rPr>
          <w:lang w:val="en-US"/>
        </w:rPr>
        <w:t xml:space="preserve"> (2012), </w:t>
      </w:r>
      <w:r>
        <w:rPr>
          <w:lang w:val="en-US"/>
        </w:rPr>
        <w:t>“The startup o</w:t>
      </w:r>
      <w:r w:rsidRPr="00194879">
        <w:rPr>
          <w:lang w:val="en-US"/>
        </w:rPr>
        <w:t>wner’s manual</w:t>
      </w:r>
      <w:r>
        <w:rPr>
          <w:lang w:val="en-US"/>
        </w:rPr>
        <w:t xml:space="preserve">: the step by step guide for building a great company”, K&amp;S </w:t>
      </w:r>
      <w:proofErr w:type="spellStart"/>
      <w:r>
        <w:rPr>
          <w:lang w:val="en-US"/>
        </w:rPr>
        <w:t>Ronch</w:t>
      </w:r>
      <w:proofErr w:type="spellEnd"/>
      <w:r>
        <w:rPr>
          <w:lang w:val="en-US"/>
        </w:rPr>
        <w:t xml:space="preserve"> Publishing LLC</w:t>
      </w:r>
      <w:r w:rsidR="00BA2B20">
        <w:rPr>
          <w:lang w:val="en-US"/>
        </w:rPr>
        <w:t xml:space="preserve">, </w:t>
      </w:r>
      <w:proofErr w:type="spellStart"/>
      <w:r w:rsidR="00BA2B20">
        <w:rPr>
          <w:lang w:val="en-US"/>
        </w:rPr>
        <w:t>Pescadero</w:t>
      </w:r>
      <w:proofErr w:type="spellEnd"/>
      <w:r w:rsidR="00BA2B20">
        <w:rPr>
          <w:lang w:val="en-US"/>
        </w:rPr>
        <w:t>, California</w:t>
      </w:r>
    </w:p>
    <w:p w:rsidR="00DC4E49" w:rsidRDefault="00DC4E49" w:rsidP="0088404E">
      <w:pPr>
        <w:contextualSpacing/>
        <w:jc w:val="both"/>
        <w:rPr>
          <w:lang w:val="en-US"/>
        </w:rPr>
      </w:pPr>
    </w:p>
    <w:p w:rsidR="00DC4E49" w:rsidRPr="005F018C" w:rsidRDefault="00DC4E49" w:rsidP="0088404E">
      <w:pPr>
        <w:contextualSpacing/>
        <w:jc w:val="both"/>
        <w:rPr>
          <w:lang w:val="en-US"/>
        </w:rPr>
      </w:pPr>
      <w:r w:rsidRPr="005F018C">
        <w:rPr>
          <w:lang w:val="en-US"/>
        </w:rPr>
        <w:t>Bower</w:t>
      </w:r>
      <w:r>
        <w:rPr>
          <w:lang w:val="en-US"/>
        </w:rPr>
        <w:t xml:space="preserve"> </w:t>
      </w:r>
      <w:r w:rsidRPr="005F018C">
        <w:rPr>
          <w:lang w:val="en-US"/>
        </w:rPr>
        <w:t>J.L., Christensen C.</w:t>
      </w:r>
      <w:r>
        <w:rPr>
          <w:lang w:val="en-US"/>
        </w:rPr>
        <w:t>M.</w:t>
      </w:r>
      <w:r w:rsidRPr="005F018C">
        <w:rPr>
          <w:lang w:val="en-US"/>
        </w:rPr>
        <w:t xml:space="preserve"> </w:t>
      </w:r>
      <w:r>
        <w:rPr>
          <w:lang w:val="en-US"/>
        </w:rPr>
        <w:t>(</w:t>
      </w:r>
      <w:r w:rsidRPr="005F018C">
        <w:rPr>
          <w:lang w:val="en-US"/>
        </w:rPr>
        <w:t>1995</w:t>
      </w:r>
      <w:r>
        <w:rPr>
          <w:lang w:val="en-US"/>
        </w:rPr>
        <w:t>),</w:t>
      </w:r>
      <w:r w:rsidRPr="005F018C">
        <w:rPr>
          <w:lang w:val="en-US"/>
        </w:rPr>
        <w:t xml:space="preserve"> “Dis</w:t>
      </w:r>
      <w:r>
        <w:rPr>
          <w:lang w:val="en-US"/>
        </w:rPr>
        <w:t>ruptive</w:t>
      </w:r>
      <w:r w:rsidRPr="005F018C">
        <w:rPr>
          <w:lang w:val="en-US"/>
        </w:rPr>
        <w:t xml:space="preserve"> Technologies: Catching the Wave”, in</w:t>
      </w:r>
      <m:oMath>
        <m:r>
          <m:rPr>
            <m:sty m:val="p"/>
          </m:rPr>
          <w:rPr>
            <w:rFonts w:ascii="Cambria Math" w:hAnsi="Cambria Math"/>
            <w:lang w:val="en-US"/>
          </w:rPr>
          <m:t xml:space="preserve"> «</m:t>
        </m:r>
      </m:oMath>
      <w:r>
        <w:rPr>
          <w:lang w:val="en-US"/>
        </w:rPr>
        <w:t>Harvard Business Review</w:t>
      </w:r>
      <w:r w:rsidRPr="001D31D5">
        <w:rPr>
          <w:lang w:val="en-US"/>
        </w:rPr>
        <w:t>»</w:t>
      </w:r>
      <w:r>
        <w:rPr>
          <w:lang w:val="en-US"/>
        </w:rPr>
        <w:t xml:space="preserve">, </w:t>
      </w:r>
      <w:r w:rsidR="006D6D55">
        <w:rPr>
          <w:lang w:val="en-US"/>
        </w:rPr>
        <w:t xml:space="preserve">January </w:t>
      </w:r>
      <w:r w:rsidR="00571E1A">
        <w:rPr>
          <w:lang w:val="en-US"/>
        </w:rPr>
        <w:t xml:space="preserve">- </w:t>
      </w:r>
      <w:r w:rsidR="006D6D55">
        <w:rPr>
          <w:lang w:val="en-US"/>
        </w:rPr>
        <w:t>February</w:t>
      </w:r>
      <w:r w:rsidR="00571E1A">
        <w:rPr>
          <w:lang w:val="en-US"/>
        </w:rPr>
        <w:t>,</w:t>
      </w:r>
      <w:r w:rsidR="006D6D55">
        <w:rPr>
          <w:lang w:val="en-US"/>
        </w:rPr>
        <w:t xml:space="preserve"> </w:t>
      </w:r>
      <w:r>
        <w:rPr>
          <w:lang w:val="en-US"/>
        </w:rPr>
        <w:t>n. 1</w:t>
      </w:r>
      <w:r w:rsidR="00BA2B20">
        <w:rPr>
          <w:lang w:val="en-US"/>
        </w:rPr>
        <w:t xml:space="preserve">, pp 43-53 </w:t>
      </w:r>
    </w:p>
    <w:p w:rsidR="00DC4E49" w:rsidRPr="00194879" w:rsidRDefault="00DC4E49" w:rsidP="00C0777B">
      <w:pPr>
        <w:contextualSpacing/>
        <w:jc w:val="both"/>
        <w:rPr>
          <w:lang w:val="en-US"/>
        </w:rPr>
      </w:pPr>
    </w:p>
    <w:p w:rsidR="00DC4E49" w:rsidRPr="002F390B" w:rsidRDefault="00DC4E49" w:rsidP="00C0777B">
      <w:pPr>
        <w:contextualSpacing/>
        <w:jc w:val="both"/>
        <w:rPr>
          <w:lang w:val="it-IT"/>
        </w:rPr>
      </w:pPr>
      <w:r w:rsidRPr="002F390B">
        <w:rPr>
          <w:lang w:val="it-IT"/>
        </w:rPr>
        <w:t xml:space="preserve">Capizzi V, Giovannini R. (2010), </w:t>
      </w:r>
      <w:r w:rsidRPr="002F390B">
        <w:rPr>
          <w:i/>
          <w:lang w:val="it-IT"/>
        </w:rPr>
        <w:t xml:space="preserve">Business Angel e </w:t>
      </w:r>
      <w:proofErr w:type="spellStart"/>
      <w:r w:rsidRPr="002F390B">
        <w:rPr>
          <w:i/>
          <w:lang w:val="it-IT"/>
        </w:rPr>
        <w:t>Informal</w:t>
      </w:r>
      <w:proofErr w:type="spellEnd"/>
      <w:r w:rsidRPr="002F390B">
        <w:rPr>
          <w:i/>
          <w:lang w:val="it-IT"/>
        </w:rPr>
        <w:t xml:space="preserve"> Venture Capital in Italia</w:t>
      </w:r>
      <w:r w:rsidRPr="002F390B">
        <w:rPr>
          <w:lang w:val="it-IT"/>
        </w:rPr>
        <w:t>, Bancaria Editrice</w:t>
      </w:r>
    </w:p>
    <w:p w:rsidR="00DC4E49" w:rsidRPr="002F390B" w:rsidRDefault="00DC4E49" w:rsidP="00C0777B">
      <w:pPr>
        <w:contextualSpacing/>
        <w:jc w:val="both"/>
        <w:rPr>
          <w:lang w:val="it-IT"/>
        </w:rPr>
      </w:pPr>
    </w:p>
    <w:p w:rsidR="00DC4E49" w:rsidRPr="00925120" w:rsidRDefault="00DC4E49" w:rsidP="00C0777B">
      <w:pPr>
        <w:contextualSpacing/>
        <w:jc w:val="both"/>
        <w:rPr>
          <w:lang w:val="en-US"/>
        </w:rPr>
      </w:pPr>
      <w:proofErr w:type="spellStart"/>
      <w:r w:rsidRPr="00925120">
        <w:rPr>
          <w:lang w:val="en-US"/>
        </w:rPr>
        <w:t>CrowdExpert</w:t>
      </w:r>
      <w:proofErr w:type="spellEnd"/>
      <w:r w:rsidRPr="00925120">
        <w:rPr>
          <w:lang w:val="en-US"/>
        </w:rPr>
        <w:t xml:space="preserve"> (2016), </w:t>
      </w:r>
      <w:proofErr w:type="spellStart"/>
      <w:r w:rsidRPr="00925120">
        <w:rPr>
          <w:i/>
          <w:lang w:val="en-US"/>
        </w:rPr>
        <w:t>Crowfunding</w:t>
      </w:r>
      <w:proofErr w:type="spellEnd"/>
      <w:r w:rsidRPr="00925120">
        <w:rPr>
          <w:i/>
          <w:lang w:val="en-US"/>
        </w:rPr>
        <w:t xml:space="preserve"> Industry Report</w:t>
      </w:r>
      <w:r w:rsidRPr="00925120">
        <w:rPr>
          <w:lang w:val="en-US"/>
        </w:rPr>
        <w:t xml:space="preserve"> 2015-2016</w:t>
      </w:r>
      <w:r w:rsidR="00BA2B20">
        <w:rPr>
          <w:lang w:val="en-US"/>
        </w:rPr>
        <w:t xml:space="preserve">, 29 </w:t>
      </w:r>
      <w:proofErr w:type="gramStart"/>
      <w:r w:rsidR="00BA2B20">
        <w:rPr>
          <w:lang w:val="en-US"/>
        </w:rPr>
        <w:t>February,</w:t>
      </w:r>
      <w:proofErr w:type="gramEnd"/>
      <w:r w:rsidR="006D6D55">
        <w:rPr>
          <w:lang w:val="en-US"/>
        </w:rPr>
        <w:t xml:space="preserve"> </w:t>
      </w:r>
      <w:r w:rsidR="00BA2B20">
        <w:rPr>
          <w:lang w:val="en-US"/>
        </w:rPr>
        <w:t>2016, www.crowdexpert.com/crowdfunding-industry-statistics/</w:t>
      </w:r>
    </w:p>
    <w:p w:rsidR="00DC4E49" w:rsidRPr="00925120" w:rsidRDefault="00DC4E49" w:rsidP="00C0777B">
      <w:pPr>
        <w:contextualSpacing/>
        <w:jc w:val="both"/>
        <w:rPr>
          <w:lang w:val="en-US"/>
        </w:rPr>
      </w:pPr>
    </w:p>
    <w:p w:rsidR="00DC4E49" w:rsidRPr="00925120" w:rsidRDefault="00DC4E49" w:rsidP="00C0777B">
      <w:pPr>
        <w:contextualSpacing/>
        <w:jc w:val="both"/>
        <w:rPr>
          <w:lang w:val="en-US"/>
        </w:rPr>
      </w:pPr>
      <w:r w:rsidRPr="00925120">
        <w:rPr>
          <w:lang w:val="en-US"/>
        </w:rPr>
        <w:t xml:space="preserve">EVCA (2016), </w:t>
      </w:r>
      <w:r w:rsidRPr="00925120">
        <w:rPr>
          <w:i/>
          <w:lang w:val="en-US"/>
        </w:rPr>
        <w:t>European Private Equity Activity</w:t>
      </w:r>
      <w:r w:rsidR="00BA2B20">
        <w:rPr>
          <w:i/>
          <w:lang w:val="en-US"/>
        </w:rPr>
        <w:t xml:space="preserve">, </w:t>
      </w:r>
      <w:r w:rsidR="00BA2B20" w:rsidRPr="00BA2B20">
        <w:rPr>
          <w:lang w:val="en-US"/>
        </w:rPr>
        <w:t>Invest Europe, 5 July 2017, site www.investeurope.e</w:t>
      </w:r>
      <w:r w:rsidR="00BA2B20">
        <w:rPr>
          <w:lang w:val="en-US"/>
        </w:rPr>
        <w:t>u</w:t>
      </w:r>
    </w:p>
    <w:p w:rsidR="00DC4E49" w:rsidRPr="00925120" w:rsidRDefault="00DC4E49" w:rsidP="00C0777B">
      <w:pPr>
        <w:contextualSpacing/>
        <w:jc w:val="both"/>
        <w:rPr>
          <w:lang w:val="en-US"/>
        </w:rPr>
      </w:pPr>
    </w:p>
    <w:p w:rsidR="00DC4E49" w:rsidRDefault="00DC4E49" w:rsidP="00C0777B">
      <w:pPr>
        <w:contextualSpacing/>
        <w:jc w:val="both"/>
        <w:rPr>
          <w:bCs/>
          <w:lang w:val="en-US"/>
        </w:rPr>
      </w:pPr>
      <w:proofErr w:type="spellStart"/>
      <w:r w:rsidRPr="00DD1FF8">
        <w:rPr>
          <w:bCs/>
          <w:lang w:val="en-US"/>
        </w:rPr>
        <w:t>Fazzari</w:t>
      </w:r>
      <w:proofErr w:type="spellEnd"/>
      <w:r w:rsidRPr="00DD1FF8">
        <w:rPr>
          <w:bCs/>
          <w:lang w:val="en-US"/>
        </w:rPr>
        <w:t xml:space="preserve"> S., Hubbard G., Petersen B.C. (1988), “Financing Constraints and Corporate Investment”, in </w:t>
      </w:r>
      <w:r w:rsidRPr="00DD1FF8">
        <w:rPr>
          <w:lang w:val="en-US"/>
        </w:rPr>
        <w:t>«</w:t>
      </w:r>
      <w:r w:rsidRPr="00DD1FF8">
        <w:rPr>
          <w:bCs/>
          <w:lang w:val="en-US"/>
        </w:rPr>
        <w:t>Brookings Paper</w:t>
      </w:r>
      <w:r w:rsidRPr="00DD3115">
        <w:rPr>
          <w:bCs/>
          <w:lang w:val="en-US"/>
        </w:rPr>
        <w:t>s on Economic Activity</w:t>
      </w:r>
      <w:r w:rsidRPr="001D31D5">
        <w:rPr>
          <w:lang w:val="en-US"/>
        </w:rPr>
        <w:t>»</w:t>
      </w:r>
      <w:r>
        <w:rPr>
          <w:bCs/>
          <w:lang w:val="en-US"/>
        </w:rPr>
        <w:t>, vol. 1, pp. 141-205</w:t>
      </w:r>
    </w:p>
    <w:p w:rsidR="00DC4E49" w:rsidRDefault="00DC4E49" w:rsidP="00C0777B">
      <w:pPr>
        <w:contextualSpacing/>
        <w:jc w:val="both"/>
        <w:rPr>
          <w:lang w:val="en-US"/>
        </w:rPr>
      </w:pPr>
    </w:p>
    <w:p w:rsidR="00DC4E49" w:rsidRPr="002F390B" w:rsidRDefault="00DC4E49" w:rsidP="00C0777B">
      <w:pPr>
        <w:contextualSpacing/>
        <w:jc w:val="both"/>
        <w:rPr>
          <w:lang w:val="it-IT"/>
        </w:rPr>
      </w:pPr>
      <w:r w:rsidRPr="002F390B">
        <w:rPr>
          <w:lang w:val="it-IT"/>
        </w:rPr>
        <w:t xml:space="preserve">Gervasoni A., </w:t>
      </w:r>
      <w:proofErr w:type="spellStart"/>
      <w:r w:rsidRPr="002F390B">
        <w:rPr>
          <w:lang w:val="it-IT"/>
        </w:rPr>
        <w:t>Sattin</w:t>
      </w:r>
      <w:proofErr w:type="spellEnd"/>
      <w:r w:rsidRPr="002F390B">
        <w:rPr>
          <w:lang w:val="it-IT"/>
        </w:rPr>
        <w:t xml:space="preserve"> F.L., (2015), </w:t>
      </w:r>
      <w:r w:rsidRPr="002F390B">
        <w:rPr>
          <w:i/>
          <w:lang w:val="it-IT"/>
        </w:rPr>
        <w:t>Private Equity e Venture Capital. Manuale di investimento nel capitale di rischio</w:t>
      </w:r>
      <w:r w:rsidRPr="002F390B">
        <w:rPr>
          <w:lang w:val="it-IT"/>
        </w:rPr>
        <w:t xml:space="preserve">, </w:t>
      </w:r>
      <w:proofErr w:type="spellStart"/>
      <w:r w:rsidRPr="002F390B">
        <w:rPr>
          <w:lang w:val="it-IT"/>
        </w:rPr>
        <w:t>Guerini</w:t>
      </w:r>
      <w:proofErr w:type="spellEnd"/>
      <w:r w:rsidRPr="002F390B">
        <w:rPr>
          <w:lang w:val="it-IT"/>
        </w:rPr>
        <w:t xml:space="preserve"> </w:t>
      </w:r>
      <w:proofErr w:type="spellStart"/>
      <w:r w:rsidRPr="002F390B">
        <w:rPr>
          <w:lang w:val="it-IT"/>
        </w:rPr>
        <w:t>Next</w:t>
      </w:r>
      <w:proofErr w:type="spellEnd"/>
      <w:r w:rsidRPr="002F390B">
        <w:rPr>
          <w:lang w:val="it-IT"/>
        </w:rPr>
        <w:t xml:space="preserve"> </w:t>
      </w:r>
    </w:p>
    <w:p w:rsidR="00DC4E49" w:rsidRPr="002F390B" w:rsidRDefault="00DC4E49" w:rsidP="00C0777B">
      <w:pPr>
        <w:contextualSpacing/>
        <w:jc w:val="both"/>
        <w:rPr>
          <w:lang w:val="it-IT"/>
        </w:rPr>
      </w:pPr>
    </w:p>
    <w:p w:rsidR="00DC4E49" w:rsidRPr="002F390B" w:rsidRDefault="00DC4E49" w:rsidP="00C0777B">
      <w:pPr>
        <w:contextualSpacing/>
        <w:jc w:val="both"/>
        <w:rPr>
          <w:lang w:val="it-IT"/>
        </w:rPr>
      </w:pPr>
      <w:proofErr w:type="spellStart"/>
      <w:r w:rsidRPr="002F390B">
        <w:rPr>
          <w:lang w:val="it-IT"/>
        </w:rPr>
        <w:t>Gompers</w:t>
      </w:r>
      <w:proofErr w:type="spellEnd"/>
      <w:r w:rsidRPr="002F390B">
        <w:rPr>
          <w:lang w:val="it-IT"/>
        </w:rPr>
        <w:t xml:space="preserve"> P. (1995), “</w:t>
      </w:r>
      <w:proofErr w:type="spellStart"/>
      <w:r w:rsidRPr="002F390B">
        <w:rPr>
          <w:lang w:val="it-IT"/>
        </w:rPr>
        <w:t>Optimal</w:t>
      </w:r>
      <w:proofErr w:type="spellEnd"/>
      <w:r w:rsidRPr="002F390B">
        <w:rPr>
          <w:lang w:val="it-IT"/>
        </w:rPr>
        <w:t xml:space="preserve"> </w:t>
      </w:r>
      <w:proofErr w:type="spellStart"/>
      <w:r w:rsidRPr="002F390B">
        <w:rPr>
          <w:lang w:val="it-IT"/>
        </w:rPr>
        <w:t>Investment</w:t>
      </w:r>
      <w:proofErr w:type="spellEnd"/>
      <w:r w:rsidRPr="002F390B">
        <w:rPr>
          <w:lang w:val="it-IT"/>
        </w:rPr>
        <w:t xml:space="preserve">, Monitoring and the </w:t>
      </w:r>
      <w:proofErr w:type="spellStart"/>
      <w:r w:rsidRPr="002F390B">
        <w:rPr>
          <w:lang w:val="it-IT"/>
        </w:rPr>
        <w:t>Staging</w:t>
      </w:r>
      <w:proofErr w:type="spellEnd"/>
      <w:r w:rsidRPr="002F390B">
        <w:rPr>
          <w:lang w:val="it-IT"/>
        </w:rPr>
        <w:t xml:space="preserve"> of Venture Capital”, in «Journal of Finance», vol. 50, pp. 1461-1489</w:t>
      </w:r>
    </w:p>
    <w:p w:rsidR="00DC4E49" w:rsidRPr="002F390B" w:rsidRDefault="00DC4E49" w:rsidP="00C0777B">
      <w:pPr>
        <w:contextualSpacing/>
        <w:jc w:val="both"/>
        <w:rPr>
          <w:lang w:val="it-IT"/>
        </w:rPr>
      </w:pPr>
    </w:p>
    <w:p w:rsidR="00DC4E49" w:rsidRPr="002F390B" w:rsidRDefault="00DC4E49" w:rsidP="00C0777B">
      <w:pPr>
        <w:autoSpaceDE w:val="0"/>
        <w:autoSpaceDN w:val="0"/>
        <w:adjustRightInd w:val="0"/>
        <w:contextualSpacing/>
        <w:jc w:val="both"/>
        <w:rPr>
          <w:lang w:val="it-IT"/>
        </w:rPr>
      </w:pPr>
      <w:proofErr w:type="spellStart"/>
      <w:r w:rsidRPr="002F390B">
        <w:rPr>
          <w:lang w:val="it-IT"/>
        </w:rPr>
        <w:t>Gualandri</w:t>
      </w:r>
      <w:proofErr w:type="spellEnd"/>
      <w:r w:rsidRPr="002F390B">
        <w:rPr>
          <w:lang w:val="it-IT"/>
        </w:rPr>
        <w:t xml:space="preserve"> E., Venturelli V. (2011), </w:t>
      </w:r>
      <w:r w:rsidRPr="002F390B">
        <w:rPr>
          <w:i/>
          <w:lang w:val="it-IT"/>
        </w:rPr>
        <w:t>Business Angel: investitori a valore aggiunto</w:t>
      </w:r>
      <w:r w:rsidRPr="002F390B">
        <w:rPr>
          <w:lang w:val="it-IT"/>
        </w:rPr>
        <w:t>, Confindustria Modena</w:t>
      </w:r>
    </w:p>
    <w:p w:rsidR="00DC4E49" w:rsidRPr="002F390B" w:rsidRDefault="00DC4E49" w:rsidP="00C0777B">
      <w:pPr>
        <w:contextualSpacing/>
        <w:jc w:val="both"/>
        <w:rPr>
          <w:lang w:val="it-IT"/>
        </w:rPr>
      </w:pPr>
    </w:p>
    <w:p w:rsidR="00DC4E49" w:rsidRPr="00091526" w:rsidRDefault="00DC4E49" w:rsidP="00C0777B">
      <w:pPr>
        <w:contextualSpacing/>
        <w:jc w:val="both"/>
        <w:rPr>
          <w:rFonts w:cstheme="minorHAnsi"/>
          <w:lang w:val="en-US"/>
        </w:rPr>
      </w:pPr>
      <w:r w:rsidRPr="00091526">
        <w:rPr>
          <w:rFonts w:cstheme="minorHAnsi"/>
          <w:lang w:val="en-US"/>
        </w:rPr>
        <w:t xml:space="preserve">Hackett S., </w:t>
      </w:r>
      <w:proofErr w:type="spellStart"/>
      <w:r w:rsidRPr="00091526">
        <w:rPr>
          <w:rFonts w:cstheme="minorHAnsi"/>
          <w:lang w:val="en-US"/>
        </w:rPr>
        <w:t>Dilts</w:t>
      </w:r>
      <w:proofErr w:type="spellEnd"/>
      <w:r w:rsidRPr="00091526">
        <w:rPr>
          <w:rFonts w:cstheme="minorHAnsi"/>
          <w:lang w:val="en-US"/>
        </w:rPr>
        <w:t xml:space="preserve"> D. (2004)</w:t>
      </w:r>
      <w:r>
        <w:rPr>
          <w:rFonts w:cstheme="minorHAnsi"/>
          <w:lang w:val="en-US"/>
        </w:rPr>
        <w:t>,</w:t>
      </w:r>
      <w:r w:rsidRPr="00091526">
        <w:rPr>
          <w:rFonts w:cstheme="minorHAnsi"/>
          <w:lang w:val="en-US"/>
        </w:rPr>
        <w:t xml:space="preserve"> “A Systematic Review of Business Incubation Research”, in «Journal of Technology Transfer», </w:t>
      </w:r>
      <w:r>
        <w:rPr>
          <w:rFonts w:cstheme="minorHAnsi"/>
          <w:lang w:val="en-US"/>
        </w:rPr>
        <w:t xml:space="preserve">vol. </w:t>
      </w:r>
      <w:r w:rsidRPr="00091526">
        <w:rPr>
          <w:rFonts w:cstheme="minorHAnsi"/>
          <w:lang w:val="en-US"/>
        </w:rPr>
        <w:t>29, pp. 55-82</w:t>
      </w:r>
    </w:p>
    <w:p w:rsidR="00DC4E49" w:rsidRPr="00091526" w:rsidRDefault="00DC4E49" w:rsidP="00C0777B">
      <w:pPr>
        <w:contextualSpacing/>
        <w:jc w:val="both"/>
        <w:rPr>
          <w:rFonts w:cstheme="minorHAnsi"/>
          <w:lang w:val="en-US"/>
        </w:rPr>
      </w:pPr>
    </w:p>
    <w:p w:rsidR="00DC4E49" w:rsidRDefault="00DC4E49" w:rsidP="00C0777B">
      <w:pPr>
        <w:contextualSpacing/>
        <w:jc w:val="both"/>
        <w:rPr>
          <w:rFonts w:cstheme="minorHAnsi"/>
          <w:lang w:val="en-US"/>
        </w:rPr>
      </w:pPr>
      <w:r w:rsidRPr="00091526">
        <w:rPr>
          <w:rFonts w:cstheme="minorHAnsi"/>
          <w:lang w:val="en-US"/>
        </w:rPr>
        <w:t xml:space="preserve">Hall B.H. (2002), </w:t>
      </w:r>
      <w:r w:rsidRPr="00091526">
        <w:rPr>
          <w:rFonts w:cstheme="minorHAnsi"/>
          <w:i/>
          <w:lang w:val="en-US"/>
        </w:rPr>
        <w:t>The Financing of Research and Development</w:t>
      </w:r>
      <w:r w:rsidRPr="00091526">
        <w:rPr>
          <w:rFonts w:cstheme="minorHAnsi"/>
          <w:lang w:val="en-US"/>
        </w:rPr>
        <w:t>, NBER</w:t>
      </w:r>
      <w:r>
        <w:rPr>
          <w:rFonts w:cstheme="minorHAnsi"/>
          <w:lang w:val="en-US"/>
        </w:rPr>
        <w:t xml:space="preserve"> National Bureau of Economic Research, Working Paper</w:t>
      </w:r>
      <w:r w:rsidRPr="00091526">
        <w:rPr>
          <w:rFonts w:cstheme="minorHAnsi"/>
          <w:lang w:val="en-US"/>
        </w:rPr>
        <w:t xml:space="preserve"> n. 8773</w:t>
      </w:r>
    </w:p>
    <w:p w:rsidR="00DC4E49" w:rsidRDefault="00DC4E49" w:rsidP="00C0777B">
      <w:pPr>
        <w:contextualSpacing/>
        <w:jc w:val="both"/>
        <w:rPr>
          <w:rFonts w:cstheme="minorHAnsi"/>
          <w:lang w:val="en-US"/>
        </w:rPr>
      </w:pPr>
    </w:p>
    <w:p w:rsidR="00DC4E49" w:rsidRDefault="00DC4E49" w:rsidP="00C0777B">
      <w:pPr>
        <w:contextualSpacing/>
        <w:jc w:val="both"/>
        <w:rPr>
          <w:rFonts w:cstheme="minorHAnsi"/>
          <w:lang w:val="en-US"/>
        </w:rPr>
      </w:pPr>
      <w:r>
        <w:rPr>
          <w:rFonts w:cstheme="minorHAnsi"/>
          <w:lang w:val="en-US"/>
        </w:rPr>
        <w:lastRenderedPageBreak/>
        <w:t>Harrison R.T., (2002), “</w:t>
      </w:r>
      <w:r w:rsidRPr="0070492D">
        <w:rPr>
          <w:rFonts w:cstheme="minorHAnsi"/>
          <w:lang w:val="en-US"/>
        </w:rPr>
        <w:t>Barriers to Investment in the Informal Venture Capital Sector</w:t>
      </w:r>
      <w:r>
        <w:rPr>
          <w:rFonts w:cstheme="minorHAnsi"/>
          <w:lang w:val="en-US"/>
        </w:rPr>
        <w:t>”, in «Entrepreneurship &amp; Regional Development», vol. 14, pp. 271-287</w:t>
      </w:r>
    </w:p>
    <w:p w:rsidR="00DC4E49" w:rsidRPr="00091526" w:rsidRDefault="00DC4E49" w:rsidP="00C0777B">
      <w:pPr>
        <w:contextualSpacing/>
        <w:jc w:val="both"/>
        <w:rPr>
          <w:rFonts w:cstheme="minorHAnsi"/>
          <w:lang w:val="en-US"/>
        </w:rPr>
      </w:pPr>
    </w:p>
    <w:p w:rsidR="00DC4E49" w:rsidRDefault="00DC4E49" w:rsidP="00C0777B">
      <w:pPr>
        <w:contextualSpacing/>
        <w:jc w:val="both"/>
        <w:rPr>
          <w:rFonts w:cstheme="minorHAnsi"/>
          <w:lang w:val="en-US"/>
        </w:rPr>
      </w:pPr>
      <w:r w:rsidRPr="00091526">
        <w:rPr>
          <w:rFonts w:cstheme="minorHAnsi"/>
          <w:lang w:val="en-US"/>
        </w:rPr>
        <w:t xml:space="preserve">Hart O. (2001), </w:t>
      </w:r>
      <w:r w:rsidRPr="00091526">
        <w:rPr>
          <w:rFonts w:cstheme="minorHAnsi"/>
          <w:i/>
          <w:lang w:val="en-US"/>
        </w:rPr>
        <w:t>Financial Contracting</w:t>
      </w:r>
      <w:r w:rsidRPr="00091526">
        <w:rPr>
          <w:rFonts w:cstheme="minorHAnsi"/>
          <w:lang w:val="en-US"/>
        </w:rPr>
        <w:t>, NBER</w:t>
      </w:r>
      <w:r>
        <w:rPr>
          <w:rFonts w:cstheme="minorHAnsi"/>
          <w:lang w:val="en-US"/>
        </w:rPr>
        <w:t xml:space="preserve"> National Bureau of Economic Research, Working Paper</w:t>
      </w:r>
      <w:r w:rsidRPr="00091526">
        <w:rPr>
          <w:rFonts w:cstheme="minorHAnsi"/>
          <w:lang w:val="en-US"/>
        </w:rPr>
        <w:t xml:space="preserve"> n. 8285</w:t>
      </w:r>
    </w:p>
    <w:p w:rsidR="00DC4E49" w:rsidRPr="005D1EF9" w:rsidRDefault="00DC4E49" w:rsidP="00C0777B">
      <w:pPr>
        <w:contextualSpacing/>
        <w:jc w:val="both"/>
        <w:rPr>
          <w:rFonts w:cstheme="minorHAnsi"/>
          <w:i/>
          <w:lang w:val="en-US"/>
        </w:rPr>
      </w:pPr>
    </w:p>
    <w:p w:rsidR="00DC4E49" w:rsidRPr="00C02A25" w:rsidRDefault="00DC4E49" w:rsidP="00C0777B">
      <w:pPr>
        <w:contextualSpacing/>
        <w:jc w:val="both"/>
        <w:rPr>
          <w:rFonts w:cstheme="minorHAnsi"/>
          <w:lang w:val="en-US"/>
        </w:rPr>
      </w:pPr>
      <w:proofErr w:type="spellStart"/>
      <w:r w:rsidRPr="00C02A25">
        <w:rPr>
          <w:rFonts w:cstheme="minorHAnsi"/>
          <w:lang w:val="en-US"/>
        </w:rPr>
        <w:t>Infocamere</w:t>
      </w:r>
      <w:proofErr w:type="spellEnd"/>
      <w:r w:rsidRPr="00C02A25">
        <w:rPr>
          <w:rFonts w:cstheme="minorHAnsi"/>
          <w:lang w:val="en-US"/>
        </w:rPr>
        <w:t xml:space="preserve"> (2016), </w:t>
      </w:r>
      <w:r w:rsidRPr="00C02A25">
        <w:rPr>
          <w:rFonts w:cstheme="minorHAnsi"/>
          <w:i/>
          <w:lang w:val="en-US"/>
        </w:rPr>
        <w:t xml:space="preserve">Report </w:t>
      </w:r>
      <w:r w:rsidR="006D6D55">
        <w:rPr>
          <w:rFonts w:cstheme="minorHAnsi"/>
          <w:i/>
          <w:lang w:val="en-US"/>
        </w:rPr>
        <w:t>-</w:t>
      </w:r>
      <w:r w:rsidR="00C02A25" w:rsidRPr="00C02A25">
        <w:rPr>
          <w:rFonts w:cstheme="minorHAnsi"/>
          <w:i/>
          <w:lang w:val="en-US"/>
        </w:rPr>
        <w:t xml:space="preserve"> </w:t>
      </w:r>
      <w:proofErr w:type="spellStart"/>
      <w:r w:rsidR="00C02A25" w:rsidRPr="00C02A25">
        <w:rPr>
          <w:rFonts w:cstheme="minorHAnsi"/>
          <w:i/>
          <w:lang w:val="en-US"/>
        </w:rPr>
        <w:t>R</w:t>
      </w:r>
      <w:r w:rsidRPr="00C02A25">
        <w:rPr>
          <w:rFonts w:cstheme="minorHAnsi"/>
          <w:i/>
          <w:lang w:val="en-US"/>
        </w:rPr>
        <w:t>iepilog</w:t>
      </w:r>
      <w:r w:rsidR="00C02A25" w:rsidRPr="00C02A25">
        <w:rPr>
          <w:rFonts w:cstheme="minorHAnsi"/>
          <w:i/>
          <w:lang w:val="en-US"/>
        </w:rPr>
        <w:t>o</w:t>
      </w:r>
      <w:proofErr w:type="spellEnd"/>
      <w:r w:rsidR="00C02A25" w:rsidRPr="00C02A25">
        <w:rPr>
          <w:rFonts w:cstheme="minorHAnsi"/>
          <w:i/>
          <w:lang w:val="en-US"/>
        </w:rPr>
        <w:t xml:space="preserve"> </w:t>
      </w:r>
      <w:proofErr w:type="spellStart"/>
      <w:r w:rsidR="00C02A25" w:rsidRPr="00C02A25">
        <w:rPr>
          <w:rFonts w:cstheme="minorHAnsi"/>
          <w:i/>
          <w:lang w:val="en-US"/>
        </w:rPr>
        <w:t>sulle</w:t>
      </w:r>
      <w:proofErr w:type="spellEnd"/>
      <w:r w:rsidR="00C02A25" w:rsidRPr="00C02A25">
        <w:rPr>
          <w:rFonts w:cstheme="minorHAnsi"/>
          <w:i/>
          <w:lang w:val="en-US"/>
        </w:rPr>
        <w:t xml:space="preserve"> Start-up Innovative, with Cooperation of Chamber of </w:t>
      </w:r>
      <w:r w:rsidR="00353189">
        <w:rPr>
          <w:rFonts w:cstheme="minorHAnsi"/>
          <w:i/>
          <w:lang w:val="en-US"/>
        </w:rPr>
        <w:t>C</w:t>
      </w:r>
      <w:r w:rsidR="00C02A25" w:rsidRPr="00C02A25">
        <w:rPr>
          <w:rFonts w:cstheme="minorHAnsi"/>
          <w:i/>
          <w:lang w:val="en-US"/>
        </w:rPr>
        <w:t>ommerce of Italy,</w:t>
      </w:r>
      <w:r w:rsidR="00C02A25">
        <w:rPr>
          <w:rFonts w:cstheme="minorHAnsi"/>
          <w:lang w:val="en-US"/>
        </w:rPr>
        <w:t xml:space="preserve"> www.infocamere.it</w:t>
      </w:r>
    </w:p>
    <w:p w:rsidR="00DC4E49" w:rsidRPr="00C02A25" w:rsidRDefault="00DC4E49" w:rsidP="00C0777B">
      <w:pPr>
        <w:tabs>
          <w:tab w:val="left" w:pos="3894"/>
        </w:tabs>
        <w:contextualSpacing/>
        <w:jc w:val="both"/>
        <w:rPr>
          <w:rFonts w:cstheme="minorHAnsi"/>
          <w:lang w:val="en-US"/>
        </w:rPr>
      </w:pPr>
      <w:r w:rsidRPr="00C02A25">
        <w:rPr>
          <w:rFonts w:cstheme="minorHAnsi"/>
          <w:lang w:val="en-US"/>
        </w:rPr>
        <w:tab/>
      </w:r>
    </w:p>
    <w:p w:rsidR="00DC4E49" w:rsidRDefault="00DC4E49" w:rsidP="00C0777B">
      <w:pPr>
        <w:contextualSpacing/>
        <w:jc w:val="both"/>
        <w:rPr>
          <w:lang w:val="en-US"/>
        </w:rPr>
      </w:pPr>
      <w:r w:rsidRPr="00091526">
        <w:rPr>
          <w:rFonts w:cstheme="minorHAnsi"/>
          <w:lang w:val="en-US"/>
        </w:rPr>
        <w:t>Kaplan S.N., Stromberg</w:t>
      </w:r>
      <w:r>
        <w:rPr>
          <w:lang w:val="en-US"/>
        </w:rPr>
        <w:t xml:space="preserve"> P. (2004), “Characteristics, Contracts and Actions: Evidence from Venture Capitalist Analyses”, in </w:t>
      </w:r>
      <w:r>
        <w:rPr>
          <w:rFonts w:cstheme="minorHAnsi"/>
          <w:lang w:val="en-US"/>
        </w:rPr>
        <w:t>«Journal of Finance», vol. 59 (5), pp. 2177-2210</w:t>
      </w:r>
    </w:p>
    <w:p w:rsidR="00DC4E49" w:rsidRDefault="00DC4E49" w:rsidP="00C0777B">
      <w:pPr>
        <w:contextualSpacing/>
        <w:jc w:val="both"/>
        <w:rPr>
          <w:lang w:val="en-US"/>
        </w:rPr>
      </w:pPr>
    </w:p>
    <w:p w:rsidR="00DC4E49" w:rsidRDefault="00DC4E49" w:rsidP="00C0777B">
      <w:pPr>
        <w:contextualSpacing/>
        <w:jc w:val="both"/>
        <w:rPr>
          <w:lang w:val="en-US"/>
        </w:rPr>
      </w:pPr>
      <w:r>
        <w:rPr>
          <w:lang w:val="en-US"/>
        </w:rPr>
        <w:t xml:space="preserve">Kotler P. </w:t>
      </w:r>
      <w:proofErr w:type="spellStart"/>
      <w:r>
        <w:rPr>
          <w:lang w:val="en-US"/>
        </w:rPr>
        <w:t>Kartajaya</w:t>
      </w:r>
      <w:proofErr w:type="spellEnd"/>
      <w:r>
        <w:rPr>
          <w:lang w:val="en-US"/>
        </w:rPr>
        <w:t xml:space="preserve"> H, Young S.D. (2004), </w:t>
      </w:r>
      <w:r w:rsidRPr="00CB0326">
        <w:rPr>
          <w:i/>
          <w:lang w:val="en-US"/>
        </w:rPr>
        <w:t>Attracting Investors. A Marketing Approach to Finding Funds for Your Business</w:t>
      </w:r>
      <w:r>
        <w:rPr>
          <w:lang w:val="en-US"/>
        </w:rPr>
        <w:t>, Wiley, New Jersey</w:t>
      </w:r>
    </w:p>
    <w:p w:rsidR="00DC4E49" w:rsidRDefault="00DC4E49" w:rsidP="00C0777B">
      <w:pPr>
        <w:contextualSpacing/>
        <w:jc w:val="both"/>
        <w:rPr>
          <w:lang w:val="en-US"/>
        </w:rPr>
      </w:pPr>
    </w:p>
    <w:p w:rsidR="00DC4E49" w:rsidRPr="0008211B" w:rsidRDefault="00DC4E49" w:rsidP="00C0777B">
      <w:pPr>
        <w:contextualSpacing/>
        <w:jc w:val="both"/>
        <w:rPr>
          <w:lang w:val="en-US"/>
        </w:rPr>
      </w:pPr>
      <w:proofErr w:type="spellStart"/>
      <w:r w:rsidRPr="0008211B">
        <w:rPr>
          <w:lang w:val="en-US"/>
        </w:rPr>
        <w:t>Lazzeretti</w:t>
      </w:r>
      <w:proofErr w:type="spellEnd"/>
      <w:r w:rsidRPr="0008211B">
        <w:rPr>
          <w:lang w:val="en-US"/>
        </w:rPr>
        <w:t xml:space="preserve"> L., De </w:t>
      </w:r>
      <w:proofErr w:type="spellStart"/>
      <w:r w:rsidRPr="0008211B">
        <w:rPr>
          <w:lang w:val="en-US"/>
        </w:rPr>
        <w:t>Propis</w:t>
      </w:r>
      <w:proofErr w:type="spellEnd"/>
      <w:r w:rsidRPr="0008211B">
        <w:rPr>
          <w:lang w:val="en-US"/>
        </w:rPr>
        <w:t xml:space="preserve"> L., </w:t>
      </w:r>
      <w:proofErr w:type="spellStart"/>
      <w:r w:rsidRPr="0008211B">
        <w:rPr>
          <w:lang w:val="en-US"/>
        </w:rPr>
        <w:t>Storai</w:t>
      </w:r>
      <w:proofErr w:type="spellEnd"/>
      <w:r w:rsidRPr="0008211B">
        <w:rPr>
          <w:lang w:val="en-US"/>
        </w:rPr>
        <w:t xml:space="preserve"> D.</w:t>
      </w:r>
      <w:r>
        <w:rPr>
          <w:lang w:val="en-US"/>
        </w:rPr>
        <w:t xml:space="preserve"> (2004)</w:t>
      </w:r>
      <w:r w:rsidRPr="0008211B">
        <w:rPr>
          <w:lang w:val="en-US"/>
        </w:rPr>
        <w:t xml:space="preserve">, </w:t>
      </w:r>
      <w:r>
        <w:rPr>
          <w:lang w:val="en-US"/>
        </w:rPr>
        <w:t>“</w:t>
      </w:r>
      <w:proofErr w:type="spellStart"/>
      <w:r>
        <w:rPr>
          <w:lang w:val="en-US"/>
        </w:rPr>
        <w:t>Impannatori</w:t>
      </w:r>
      <w:proofErr w:type="spellEnd"/>
      <w:r>
        <w:rPr>
          <w:lang w:val="en-US"/>
        </w:rPr>
        <w:t xml:space="preserve"> and Business Angel</w:t>
      </w:r>
      <w:r w:rsidRPr="0008211B">
        <w:rPr>
          <w:lang w:val="en-US"/>
        </w:rPr>
        <w:t>: Two Model</w:t>
      </w:r>
      <w:r>
        <w:rPr>
          <w:lang w:val="en-US"/>
        </w:rPr>
        <w:t>s</w:t>
      </w:r>
      <w:r w:rsidRPr="0008211B">
        <w:rPr>
          <w:lang w:val="en-US"/>
        </w:rPr>
        <w:t xml:space="preserve"> of Informal Capital Provision”, in </w:t>
      </w:r>
      <w:r w:rsidRPr="001D31D5">
        <w:rPr>
          <w:lang w:val="en-US"/>
        </w:rPr>
        <w:t>«</w:t>
      </w:r>
      <w:r w:rsidRPr="0070492D">
        <w:rPr>
          <w:lang w:val="en-US"/>
        </w:rPr>
        <w:t>International Journal of Urban &amp; Regional Research</w:t>
      </w:r>
      <w:r w:rsidRPr="001D31D5">
        <w:rPr>
          <w:lang w:val="en-US"/>
        </w:rPr>
        <w:t>»</w:t>
      </w:r>
      <w:r w:rsidRPr="0008211B">
        <w:rPr>
          <w:lang w:val="en-US"/>
        </w:rPr>
        <w:t xml:space="preserve">, vol. </w:t>
      </w:r>
      <w:r>
        <w:rPr>
          <w:lang w:val="en-US"/>
        </w:rPr>
        <w:t>28, n. 4, 839-854</w:t>
      </w:r>
    </w:p>
    <w:p w:rsidR="00DC4E49" w:rsidRDefault="00DC4E49" w:rsidP="00C0777B">
      <w:pPr>
        <w:contextualSpacing/>
        <w:jc w:val="both"/>
        <w:rPr>
          <w:lang w:val="en-US"/>
        </w:rPr>
      </w:pPr>
    </w:p>
    <w:p w:rsidR="00DC4E49" w:rsidRPr="002F390B" w:rsidRDefault="00DC4E49" w:rsidP="00C0777B">
      <w:pPr>
        <w:contextualSpacing/>
        <w:jc w:val="both"/>
        <w:rPr>
          <w:i/>
          <w:lang w:val="it-IT"/>
        </w:rPr>
      </w:pPr>
      <w:proofErr w:type="spellStart"/>
      <w:r>
        <w:rPr>
          <w:lang w:val="en-US"/>
        </w:rPr>
        <w:t>Lerro</w:t>
      </w:r>
      <w:proofErr w:type="spellEnd"/>
      <w:r>
        <w:rPr>
          <w:lang w:val="en-US"/>
        </w:rPr>
        <w:t xml:space="preserve"> A.M. (2013), </w:t>
      </w:r>
      <w:r>
        <w:rPr>
          <w:i/>
          <w:lang w:val="en-US"/>
        </w:rPr>
        <w:t xml:space="preserve">Equity crowdfunding. </w:t>
      </w:r>
      <w:r w:rsidRPr="002F390B">
        <w:rPr>
          <w:i/>
          <w:lang w:val="it-IT"/>
        </w:rPr>
        <w:t xml:space="preserve">Investire e finanziare l’impresa tramite internet, </w:t>
      </w:r>
      <w:r w:rsidRPr="002F390B">
        <w:rPr>
          <w:lang w:val="it-IT"/>
        </w:rPr>
        <w:t>Il Sole 24 Ore</w:t>
      </w:r>
    </w:p>
    <w:p w:rsidR="00DC4E49" w:rsidRPr="002F390B" w:rsidRDefault="00DC4E49" w:rsidP="00C0777B">
      <w:pPr>
        <w:contextualSpacing/>
        <w:jc w:val="both"/>
        <w:rPr>
          <w:lang w:val="it-IT"/>
        </w:rPr>
      </w:pPr>
    </w:p>
    <w:p w:rsidR="00DC4E49" w:rsidRPr="00BA2B20" w:rsidRDefault="00DC4E49" w:rsidP="00C0777B">
      <w:pPr>
        <w:contextualSpacing/>
        <w:jc w:val="both"/>
        <w:rPr>
          <w:i/>
          <w:lang w:val="en-US"/>
        </w:rPr>
      </w:pPr>
      <w:r w:rsidRPr="00BA2B20">
        <w:rPr>
          <w:lang w:val="en-US"/>
        </w:rPr>
        <w:t xml:space="preserve">LIUC, AIFI (2016), </w:t>
      </w:r>
      <w:proofErr w:type="spellStart"/>
      <w:r w:rsidRPr="00BA2B20">
        <w:rPr>
          <w:i/>
          <w:lang w:val="en-US"/>
        </w:rPr>
        <w:t>Rapporto</w:t>
      </w:r>
      <w:proofErr w:type="spellEnd"/>
      <w:r w:rsidRPr="00BA2B20">
        <w:rPr>
          <w:i/>
          <w:lang w:val="en-US"/>
        </w:rPr>
        <w:t xml:space="preserve"> 2015</w:t>
      </w:r>
      <w:r w:rsidRPr="00BA2B20">
        <w:rPr>
          <w:lang w:val="en-US"/>
        </w:rPr>
        <w:t xml:space="preserve"> - </w:t>
      </w:r>
      <w:r w:rsidRPr="00BA2B20">
        <w:rPr>
          <w:i/>
          <w:lang w:val="en-US"/>
        </w:rPr>
        <w:t>Early Stage in Italia</w:t>
      </w:r>
      <w:r w:rsidR="00BA2B20" w:rsidRPr="00BA2B20">
        <w:rPr>
          <w:i/>
          <w:lang w:val="en-US"/>
        </w:rPr>
        <w:t>, w</w:t>
      </w:r>
      <w:r w:rsidR="00BA2B20">
        <w:rPr>
          <w:i/>
          <w:lang w:val="en-US"/>
        </w:rPr>
        <w:t xml:space="preserve">ith cooperation of IBAN </w:t>
      </w:r>
      <w:r w:rsidR="006D6D55">
        <w:rPr>
          <w:i/>
          <w:lang w:val="en-US"/>
        </w:rPr>
        <w:t>-</w:t>
      </w:r>
      <w:r w:rsidR="00BA2B20">
        <w:rPr>
          <w:i/>
          <w:lang w:val="en-US"/>
        </w:rPr>
        <w:t xml:space="preserve"> Italian Business Angel Network and </w:t>
      </w:r>
      <w:proofErr w:type="spellStart"/>
      <w:r w:rsidR="00BA2B20">
        <w:rPr>
          <w:i/>
          <w:lang w:val="en-US"/>
        </w:rPr>
        <w:t>VeM</w:t>
      </w:r>
      <w:proofErr w:type="spellEnd"/>
      <w:r w:rsidR="0090434C">
        <w:rPr>
          <w:i/>
          <w:lang w:val="en-US"/>
        </w:rPr>
        <w:t xml:space="preserve"> </w:t>
      </w:r>
      <w:proofErr w:type="gramStart"/>
      <w:r w:rsidR="0090434C">
        <w:rPr>
          <w:i/>
          <w:lang w:val="en-US"/>
        </w:rPr>
        <w:t xml:space="preserve">- </w:t>
      </w:r>
      <w:bookmarkStart w:id="3" w:name="_GoBack"/>
      <w:bookmarkEnd w:id="3"/>
      <w:r w:rsidR="00BA2B20">
        <w:rPr>
          <w:i/>
          <w:lang w:val="en-US"/>
        </w:rPr>
        <w:t xml:space="preserve"> Venture</w:t>
      </w:r>
      <w:proofErr w:type="gramEnd"/>
      <w:r w:rsidR="00BA2B20">
        <w:rPr>
          <w:i/>
          <w:lang w:val="en-US"/>
        </w:rPr>
        <w:t xml:space="preserve"> Capital Monitor, </w:t>
      </w:r>
      <w:r w:rsidR="00BA2B20" w:rsidRPr="00BA2B20">
        <w:rPr>
          <w:lang w:val="en-US"/>
        </w:rPr>
        <w:t>Milan.</w:t>
      </w:r>
    </w:p>
    <w:p w:rsidR="00DC4E49" w:rsidRPr="00BA2B20" w:rsidRDefault="00DC4E49" w:rsidP="00C0777B">
      <w:pPr>
        <w:contextualSpacing/>
        <w:jc w:val="both"/>
        <w:rPr>
          <w:lang w:val="en-US"/>
        </w:rPr>
      </w:pPr>
    </w:p>
    <w:p w:rsidR="00DC4E49" w:rsidRPr="002F390B" w:rsidRDefault="00DC4E49" w:rsidP="00C0777B">
      <w:pPr>
        <w:contextualSpacing/>
        <w:jc w:val="both"/>
        <w:rPr>
          <w:lang w:val="it-IT"/>
        </w:rPr>
      </w:pPr>
      <w:r w:rsidRPr="002F390B">
        <w:rPr>
          <w:lang w:val="it-IT"/>
        </w:rPr>
        <w:t xml:space="preserve">Mason C.M., Sorrentino M. (2003), “I business </w:t>
      </w:r>
      <w:proofErr w:type="spellStart"/>
      <w:r w:rsidRPr="002F390B">
        <w:rPr>
          <w:lang w:val="it-IT"/>
        </w:rPr>
        <w:t>angel</w:t>
      </w:r>
      <w:proofErr w:type="spellEnd"/>
      <w:r w:rsidRPr="002F390B">
        <w:rPr>
          <w:lang w:val="it-IT"/>
        </w:rPr>
        <w:t xml:space="preserve"> in Italia”, in M. </w:t>
      </w:r>
      <w:proofErr w:type="spellStart"/>
      <w:r w:rsidRPr="002F390B">
        <w:rPr>
          <w:lang w:val="it-IT"/>
        </w:rPr>
        <w:t>Mustilli</w:t>
      </w:r>
      <w:proofErr w:type="spellEnd"/>
      <w:r w:rsidRPr="002F390B">
        <w:rPr>
          <w:lang w:val="it-IT"/>
        </w:rPr>
        <w:t xml:space="preserve">, M. Sorrentino (a cura </w:t>
      </w:r>
      <w:proofErr w:type="gramStart"/>
      <w:r w:rsidRPr="002F390B">
        <w:rPr>
          <w:lang w:val="it-IT"/>
        </w:rPr>
        <w:t>di )</w:t>
      </w:r>
      <w:proofErr w:type="gramEnd"/>
      <w:r w:rsidRPr="002F390B">
        <w:rPr>
          <w:lang w:val="it-IT"/>
        </w:rPr>
        <w:t xml:space="preserve">, </w:t>
      </w:r>
      <w:r w:rsidRPr="002F390B">
        <w:rPr>
          <w:i/>
          <w:lang w:val="it-IT"/>
        </w:rPr>
        <w:t xml:space="preserve">Business </w:t>
      </w:r>
      <w:proofErr w:type="spellStart"/>
      <w:r w:rsidRPr="002F390B">
        <w:rPr>
          <w:i/>
          <w:lang w:val="it-IT"/>
        </w:rPr>
        <w:t>angel</w:t>
      </w:r>
      <w:proofErr w:type="spellEnd"/>
      <w:r w:rsidRPr="002F390B">
        <w:rPr>
          <w:i/>
          <w:lang w:val="it-IT"/>
        </w:rPr>
        <w:t xml:space="preserve"> in Italia</w:t>
      </w:r>
      <w:r w:rsidRPr="002F390B">
        <w:rPr>
          <w:lang w:val="it-IT"/>
        </w:rPr>
        <w:t>, Giappichelli</w:t>
      </w:r>
    </w:p>
    <w:p w:rsidR="00DC4E49" w:rsidRPr="002F390B" w:rsidRDefault="00DC4E49" w:rsidP="00C0777B">
      <w:pPr>
        <w:contextualSpacing/>
        <w:jc w:val="both"/>
        <w:rPr>
          <w:lang w:val="it-IT"/>
        </w:rPr>
      </w:pPr>
    </w:p>
    <w:p w:rsidR="00DC4E49" w:rsidRDefault="00DC4E49" w:rsidP="00C0777B">
      <w:pPr>
        <w:contextualSpacing/>
        <w:jc w:val="both"/>
        <w:rPr>
          <w:lang w:val="en-US"/>
        </w:rPr>
      </w:pPr>
      <w:proofErr w:type="spellStart"/>
      <w:r w:rsidRPr="000012F2">
        <w:rPr>
          <w:lang w:val="en-US"/>
        </w:rPr>
        <w:t>Mollick</w:t>
      </w:r>
      <w:proofErr w:type="spellEnd"/>
      <w:r w:rsidRPr="000012F2">
        <w:rPr>
          <w:lang w:val="en-US"/>
        </w:rPr>
        <w:t xml:space="preserve"> E.</w:t>
      </w:r>
      <w:r>
        <w:rPr>
          <w:lang w:val="en-US"/>
        </w:rPr>
        <w:t xml:space="preserve"> (</w:t>
      </w:r>
      <w:r w:rsidRPr="000012F2">
        <w:rPr>
          <w:lang w:val="en-US"/>
        </w:rPr>
        <w:t>2014</w:t>
      </w:r>
      <w:r>
        <w:rPr>
          <w:lang w:val="en-US"/>
        </w:rPr>
        <w:t>), “</w:t>
      </w:r>
      <w:r w:rsidRPr="000038F1">
        <w:rPr>
          <w:lang w:val="en-US"/>
        </w:rPr>
        <w:t>The dynamics of crowdfunding: an exploratory study</w:t>
      </w:r>
      <w:r>
        <w:rPr>
          <w:lang w:val="en-US"/>
        </w:rPr>
        <w:t xml:space="preserve">”, in </w:t>
      </w:r>
      <w:r w:rsidRPr="001D31D5">
        <w:rPr>
          <w:lang w:val="en-US"/>
        </w:rPr>
        <w:t>«</w:t>
      </w:r>
      <w:r>
        <w:rPr>
          <w:lang w:val="en-US"/>
        </w:rPr>
        <w:t>Journal of Business Venturing</w:t>
      </w:r>
      <w:r w:rsidRPr="001D31D5">
        <w:rPr>
          <w:lang w:val="en-US"/>
        </w:rPr>
        <w:t>»</w:t>
      </w:r>
      <w:r>
        <w:rPr>
          <w:lang w:val="en-US"/>
        </w:rPr>
        <w:t>, vol. 29 (1), pp.1-16</w:t>
      </w:r>
    </w:p>
    <w:p w:rsidR="00DC4E49" w:rsidRPr="004724D1" w:rsidRDefault="00DC4E49" w:rsidP="00C0777B">
      <w:pPr>
        <w:contextualSpacing/>
        <w:jc w:val="both"/>
        <w:rPr>
          <w:lang w:val="en-US"/>
        </w:rPr>
      </w:pPr>
    </w:p>
    <w:p w:rsidR="00DC4E49" w:rsidRDefault="00DC4E49" w:rsidP="00C0777B">
      <w:pPr>
        <w:contextualSpacing/>
        <w:jc w:val="both"/>
        <w:rPr>
          <w:bCs/>
          <w:lang w:val="en-US"/>
        </w:rPr>
      </w:pPr>
      <w:r w:rsidRPr="003A30DC">
        <w:rPr>
          <w:bCs/>
          <w:lang w:val="en-US"/>
        </w:rPr>
        <w:t xml:space="preserve">Myers S.C., </w:t>
      </w:r>
      <w:proofErr w:type="spellStart"/>
      <w:r w:rsidRPr="003A30DC">
        <w:rPr>
          <w:bCs/>
          <w:lang w:val="en-US"/>
        </w:rPr>
        <w:t>Majluf</w:t>
      </w:r>
      <w:proofErr w:type="spellEnd"/>
      <w:r w:rsidRPr="003A30DC">
        <w:rPr>
          <w:bCs/>
          <w:lang w:val="en-US"/>
        </w:rPr>
        <w:t xml:space="preserve"> N.S. (1984), “Corporate Financing and Investment Decision When Firms Have Information th</w:t>
      </w:r>
      <w:r>
        <w:rPr>
          <w:bCs/>
          <w:lang w:val="en-US"/>
        </w:rPr>
        <w:t xml:space="preserve">at Investors Do Not Have”, in </w:t>
      </w:r>
      <w:r w:rsidRPr="001D31D5">
        <w:rPr>
          <w:lang w:val="en-US"/>
        </w:rPr>
        <w:t>«</w:t>
      </w:r>
      <w:r>
        <w:rPr>
          <w:bCs/>
          <w:lang w:val="en-US"/>
        </w:rPr>
        <w:t>Journal of Financial Economics</w:t>
      </w:r>
      <w:r w:rsidRPr="001D31D5">
        <w:rPr>
          <w:lang w:val="en-US"/>
        </w:rPr>
        <w:t>»</w:t>
      </w:r>
      <w:r>
        <w:rPr>
          <w:bCs/>
          <w:lang w:val="en-US"/>
        </w:rPr>
        <w:t>, vol. 13, pp. 187-221</w:t>
      </w:r>
    </w:p>
    <w:p w:rsidR="00DC4E49" w:rsidRDefault="00DC4E49" w:rsidP="00C0777B">
      <w:pPr>
        <w:contextualSpacing/>
        <w:jc w:val="both"/>
        <w:rPr>
          <w:bCs/>
          <w:lang w:val="en-US"/>
        </w:rPr>
      </w:pPr>
    </w:p>
    <w:p w:rsidR="00DC4E49" w:rsidRPr="005D1EF9" w:rsidRDefault="00DC4E49" w:rsidP="00C0777B">
      <w:pPr>
        <w:contextualSpacing/>
        <w:jc w:val="both"/>
        <w:rPr>
          <w:bCs/>
          <w:lang w:val="en-US"/>
        </w:rPr>
      </w:pPr>
      <w:r>
        <w:rPr>
          <w:bCs/>
          <w:lang w:val="en-US"/>
        </w:rPr>
        <w:t xml:space="preserve">NVCA (2016), </w:t>
      </w:r>
      <w:r w:rsidRPr="00925120">
        <w:rPr>
          <w:bCs/>
          <w:i/>
          <w:lang w:val="en-US"/>
        </w:rPr>
        <w:t>Yearbook</w:t>
      </w:r>
      <w:r w:rsidR="00250E79">
        <w:rPr>
          <w:bCs/>
          <w:i/>
          <w:lang w:val="en-US"/>
        </w:rPr>
        <w:t xml:space="preserve">, </w:t>
      </w:r>
      <w:r w:rsidR="00250E79" w:rsidRPr="00250E79">
        <w:rPr>
          <w:bCs/>
          <w:lang w:val="en-US"/>
        </w:rPr>
        <w:t>data provided by Thomson Reuters, www.nvca.org</w:t>
      </w:r>
      <w:r w:rsidRPr="005D1EF9">
        <w:rPr>
          <w:bCs/>
          <w:lang w:val="en-US"/>
        </w:rPr>
        <w:t xml:space="preserve"> </w:t>
      </w:r>
    </w:p>
    <w:p w:rsidR="00DC4E49" w:rsidRDefault="00DC4E49" w:rsidP="00C0777B">
      <w:pPr>
        <w:contextualSpacing/>
        <w:jc w:val="both"/>
        <w:rPr>
          <w:bCs/>
          <w:lang w:val="en-US"/>
        </w:rPr>
      </w:pPr>
    </w:p>
    <w:p w:rsidR="00DC4E49" w:rsidRPr="00893206" w:rsidRDefault="00DC4E49" w:rsidP="00C0777B">
      <w:pPr>
        <w:contextualSpacing/>
        <w:jc w:val="both"/>
        <w:rPr>
          <w:bCs/>
          <w:color w:val="000000" w:themeColor="text1"/>
          <w:lang w:val="en-US"/>
        </w:rPr>
      </w:pPr>
      <w:r>
        <w:rPr>
          <w:bCs/>
          <w:lang w:val="en-US"/>
        </w:rPr>
        <w:t xml:space="preserve">OEDC (2011), </w:t>
      </w:r>
      <w:r w:rsidRPr="000038F1">
        <w:rPr>
          <w:bCs/>
          <w:i/>
          <w:lang w:val="en-US"/>
        </w:rPr>
        <w:t>Financing High-Growth Firms</w:t>
      </w:r>
      <w:r>
        <w:rPr>
          <w:bCs/>
          <w:lang w:val="en-US"/>
        </w:rPr>
        <w:t xml:space="preserve">: </w:t>
      </w:r>
      <w:r w:rsidRPr="00E82EF6">
        <w:rPr>
          <w:bCs/>
          <w:i/>
          <w:lang w:val="en-US"/>
        </w:rPr>
        <w:t>The Role of Angel Investors</w:t>
      </w:r>
      <w:r>
        <w:rPr>
          <w:bCs/>
          <w:lang w:val="en-US"/>
        </w:rPr>
        <w:t>, OEDC Publishing, a</w:t>
      </w:r>
      <w:r w:rsidRPr="00E82EF6">
        <w:rPr>
          <w:bCs/>
          <w:lang w:val="en-US"/>
        </w:rPr>
        <w:t xml:space="preserve">vailable at: </w:t>
      </w:r>
      <w:hyperlink r:id="rId7" w:history="1">
        <w:r w:rsidRPr="00893206">
          <w:rPr>
            <w:rStyle w:val="Collegamentoipertestuale"/>
            <w:bCs/>
            <w:color w:val="000000" w:themeColor="text1"/>
            <w:lang w:val="en-US"/>
          </w:rPr>
          <w:t>http://dx.doi.org/10.1787/9789264118782-en</w:t>
        </w:r>
      </w:hyperlink>
    </w:p>
    <w:p w:rsidR="00DC4E49" w:rsidRPr="00660103" w:rsidRDefault="00DC4E49" w:rsidP="00C0777B">
      <w:pPr>
        <w:contextualSpacing/>
        <w:jc w:val="both"/>
        <w:rPr>
          <w:lang w:val="en-US"/>
        </w:rPr>
      </w:pPr>
    </w:p>
    <w:p w:rsidR="00DC4E49" w:rsidRPr="006D6D55" w:rsidRDefault="00DC4E49" w:rsidP="00C0777B">
      <w:pPr>
        <w:contextualSpacing/>
        <w:jc w:val="both"/>
        <w:rPr>
          <w:bCs/>
          <w:lang w:val="en-US"/>
        </w:rPr>
      </w:pPr>
      <w:proofErr w:type="spellStart"/>
      <w:r w:rsidRPr="006D6D55">
        <w:rPr>
          <w:bCs/>
          <w:lang w:val="en-US"/>
        </w:rPr>
        <w:t>Osservatorio</w:t>
      </w:r>
      <w:proofErr w:type="spellEnd"/>
      <w:r w:rsidRPr="006D6D55">
        <w:rPr>
          <w:bCs/>
          <w:lang w:val="en-US"/>
        </w:rPr>
        <w:t xml:space="preserve"> Crowdfunding (2016), </w:t>
      </w:r>
      <w:r w:rsidRPr="006D6D55">
        <w:rPr>
          <w:bCs/>
          <w:i/>
          <w:lang w:val="en-US"/>
        </w:rPr>
        <w:t xml:space="preserve">1° Report </w:t>
      </w:r>
      <w:proofErr w:type="spellStart"/>
      <w:r w:rsidRPr="006D6D55">
        <w:rPr>
          <w:bCs/>
          <w:i/>
          <w:lang w:val="en-US"/>
        </w:rPr>
        <w:t>italiano</w:t>
      </w:r>
      <w:proofErr w:type="spellEnd"/>
      <w:r w:rsidRPr="006D6D55">
        <w:rPr>
          <w:bCs/>
          <w:i/>
          <w:lang w:val="en-US"/>
        </w:rPr>
        <w:t xml:space="preserve"> </w:t>
      </w:r>
      <w:proofErr w:type="spellStart"/>
      <w:r w:rsidRPr="006D6D55">
        <w:rPr>
          <w:bCs/>
          <w:i/>
          <w:lang w:val="en-US"/>
        </w:rPr>
        <w:t>sul</w:t>
      </w:r>
      <w:proofErr w:type="spellEnd"/>
      <w:r w:rsidRPr="006D6D55">
        <w:rPr>
          <w:bCs/>
          <w:i/>
          <w:lang w:val="en-US"/>
        </w:rPr>
        <w:t xml:space="preserve"> </w:t>
      </w:r>
      <w:proofErr w:type="spellStart"/>
      <w:r w:rsidRPr="006D6D55">
        <w:rPr>
          <w:bCs/>
          <w:i/>
          <w:lang w:val="en-US"/>
        </w:rPr>
        <w:t>Crowd</w:t>
      </w:r>
      <w:r w:rsidR="006D6D55">
        <w:rPr>
          <w:bCs/>
          <w:i/>
          <w:lang w:val="en-US"/>
        </w:rPr>
        <w:t>I</w:t>
      </w:r>
      <w:r w:rsidRPr="006D6D55">
        <w:rPr>
          <w:bCs/>
          <w:i/>
          <w:lang w:val="en-US"/>
        </w:rPr>
        <w:t>nvesting</w:t>
      </w:r>
      <w:proofErr w:type="spellEnd"/>
      <w:r w:rsidR="00EF15F8" w:rsidRPr="006D6D55">
        <w:rPr>
          <w:bCs/>
          <w:i/>
          <w:lang w:val="en-US"/>
        </w:rPr>
        <w:t xml:space="preserve">, </w:t>
      </w:r>
      <w:proofErr w:type="spellStart"/>
      <w:r w:rsidR="00EF15F8" w:rsidRPr="006D6D55">
        <w:rPr>
          <w:bCs/>
          <w:lang w:val="en-US"/>
        </w:rPr>
        <w:t>Politecnico</w:t>
      </w:r>
      <w:proofErr w:type="spellEnd"/>
      <w:r w:rsidR="00EF15F8" w:rsidRPr="006D6D55">
        <w:rPr>
          <w:bCs/>
          <w:lang w:val="en-US"/>
        </w:rPr>
        <w:t xml:space="preserve"> di Milano </w:t>
      </w:r>
      <w:r w:rsidR="006D6D55">
        <w:rPr>
          <w:bCs/>
          <w:lang w:val="en-US"/>
        </w:rPr>
        <w:t>-</w:t>
      </w:r>
      <w:r w:rsidR="00EF15F8" w:rsidRPr="006D6D55">
        <w:rPr>
          <w:bCs/>
          <w:lang w:val="en-US"/>
        </w:rPr>
        <w:t xml:space="preserve"> School of Management, Milan</w:t>
      </w:r>
    </w:p>
    <w:p w:rsidR="00DC4E49" w:rsidRPr="006D6D55" w:rsidRDefault="00DC4E49" w:rsidP="00C0777B">
      <w:pPr>
        <w:contextualSpacing/>
        <w:jc w:val="both"/>
        <w:rPr>
          <w:lang w:val="en-US"/>
        </w:rPr>
      </w:pPr>
    </w:p>
    <w:p w:rsidR="00DC4E49" w:rsidRPr="002F390B" w:rsidRDefault="00DC4E49" w:rsidP="00C0777B">
      <w:pPr>
        <w:contextualSpacing/>
        <w:jc w:val="both"/>
        <w:rPr>
          <w:lang w:val="it-IT"/>
        </w:rPr>
      </w:pPr>
      <w:proofErr w:type="spellStart"/>
      <w:r w:rsidRPr="006D6D55">
        <w:rPr>
          <w:lang w:val="en-US"/>
        </w:rPr>
        <w:t>Pais</w:t>
      </w:r>
      <w:proofErr w:type="spellEnd"/>
      <w:r w:rsidRPr="006D6D55">
        <w:rPr>
          <w:lang w:val="en-US"/>
        </w:rPr>
        <w:t xml:space="preserve"> I., </w:t>
      </w:r>
      <w:proofErr w:type="spellStart"/>
      <w:r w:rsidRPr="006D6D55">
        <w:rPr>
          <w:lang w:val="en-US"/>
        </w:rPr>
        <w:t>Peretti</w:t>
      </w:r>
      <w:proofErr w:type="spellEnd"/>
      <w:r w:rsidRPr="006D6D55">
        <w:rPr>
          <w:lang w:val="en-US"/>
        </w:rPr>
        <w:t xml:space="preserve"> P., Spinelli C. (2014),</w:t>
      </w:r>
      <w:r w:rsidRPr="006D6D55">
        <w:rPr>
          <w:i/>
          <w:lang w:val="en-US"/>
        </w:rPr>
        <w:t xml:space="preserve"> Crowdfunding</w:t>
      </w:r>
      <w:r w:rsidRPr="006D6D55">
        <w:rPr>
          <w:lang w:val="en-US"/>
        </w:rPr>
        <w:t xml:space="preserve">. </w:t>
      </w:r>
      <w:r w:rsidRPr="002F390B">
        <w:rPr>
          <w:i/>
          <w:lang w:val="it-IT"/>
        </w:rPr>
        <w:t>La via collaborativa all’imprenditorialità</w:t>
      </w:r>
      <w:r w:rsidRPr="002F390B">
        <w:rPr>
          <w:lang w:val="it-IT"/>
        </w:rPr>
        <w:t>, Egea</w:t>
      </w:r>
    </w:p>
    <w:p w:rsidR="00DC4E49" w:rsidRPr="002F390B" w:rsidRDefault="00DC4E49" w:rsidP="00C0777B">
      <w:pPr>
        <w:contextualSpacing/>
        <w:jc w:val="both"/>
        <w:rPr>
          <w:lang w:val="it-IT"/>
        </w:rPr>
      </w:pPr>
    </w:p>
    <w:p w:rsidR="00DC4E49" w:rsidRPr="002F390B" w:rsidRDefault="00DC4E49" w:rsidP="00C0777B">
      <w:pPr>
        <w:contextualSpacing/>
        <w:jc w:val="both"/>
        <w:rPr>
          <w:lang w:val="it-IT"/>
        </w:rPr>
      </w:pPr>
      <w:r w:rsidRPr="002F390B">
        <w:rPr>
          <w:lang w:val="it-IT"/>
        </w:rPr>
        <w:t xml:space="preserve">Petrella G. (2001), </w:t>
      </w:r>
      <w:r w:rsidRPr="002F390B">
        <w:rPr>
          <w:i/>
          <w:lang w:val="it-IT"/>
        </w:rPr>
        <w:t>Sistemi finanziari e finanziamento delle imprese Innovative: profili teorici ed evidenze empiriche dall’Europa</w:t>
      </w:r>
      <w:r w:rsidRPr="002F390B">
        <w:rPr>
          <w:lang w:val="it-IT"/>
        </w:rPr>
        <w:t>, Quaderni REF, n. 4</w:t>
      </w:r>
    </w:p>
    <w:p w:rsidR="00DC4E49" w:rsidRPr="002F390B" w:rsidRDefault="00DC4E49" w:rsidP="00C0777B">
      <w:pPr>
        <w:contextualSpacing/>
        <w:jc w:val="both"/>
        <w:rPr>
          <w:lang w:val="it-IT"/>
        </w:rPr>
      </w:pPr>
    </w:p>
    <w:p w:rsidR="00DC4E49" w:rsidRPr="00EF15F8" w:rsidRDefault="00DC4E49" w:rsidP="00C0777B">
      <w:pPr>
        <w:contextualSpacing/>
        <w:jc w:val="both"/>
        <w:rPr>
          <w:lang w:val="it-IT"/>
        </w:rPr>
      </w:pPr>
      <w:proofErr w:type="spellStart"/>
      <w:r w:rsidRPr="002F390B">
        <w:rPr>
          <w:lang w:val="it-IT"/>
        </w:rPr>
        <w:t>PricewaterhouseCoopers</w:t>
      </w:r>
      <w:proofErr w:type="spellEnd"/>
      <w:r w:rsidRPr="002F390B">
        <w:rPr>
          <w:lang w:val="it-IT"/>
        </w:rPr>
        <w:t xml:space="preserve"> (2015), </w:t>
      </w:r>
      <w:r w:rsidRPr="002F390B">
        <w:rPr>
          <w:i/>
          <w:lang w:val="it-IT"/>
        </w:rPr>
        <w:t>L’impatto economico del Private Equity e del Venture Capital in Italia</w:t>
      </w:r>
      <w:r w:rsidR="00EF15F8">
        <w:rPr>
          <w:i/>
          <w:lang w:val="it-IT"/>
        </w:rPr>
        <w:t xml:space="preserve">, </w:t>
      </w:r>
      <w:r w:rsidR="00EF15F8" w:rsidRPr="00EF15F8">
        <w:rPr>
          <w:lang w:val="it-IT"/>
        </w:rPr>
        <w:t xml:space="preserve">27 March, 2017, www.pwc.com/it/it/industries/private-equity/economic-impact-2017.html </w:t>
      </w:r>
    </w:p>
    <w:p w:rsidR="00DC4E49" w:rsidRPr="002F390B" w:rsidRDefault="00DC4E49" w:rsidP="00DC4E49">
      <w:pPr>
        <w:contextualSpacing/>
        <w:jc w:val="both"/>
        <w:rPr>
          <w:lang w:val="it-IT"/>
        </w:rPr>
      </w:pPr>
    </w:p>
    <w:p w:rsidR="00DC4E49" w:rsidRPr="000737EB" w:rsidRDefault="00DC4E49" w:rsidP="00DC4E49">
      <w:pPr>
        <w:contextualSpacing/>
        <w:jc w:val="both"/>
        <w:rPr>
          <w:lang w:val="en-US"/>
        </w:rPr>
      </w:pPr>
      <w:proofErr w:type="spellStart"/>
      <w:r w:rsidRPr="000737EB">
        <w:rPr>
          <w:lang w:val="en-US"/>
        </w:rPr>
        <w:t>Relander</w:t>
      </w:r>
      <w:proofErr w:type="spellEnd"/>
      <w:r w:rsidRPr="000737EB">
        <w:rPr>
          <w:lang w:val="en-US"/>
        </w:rPr>
        <w:t xml:space="preserve"> K.E., </w:t>
      </w:r>
      <w:proofErr w:type="spellStart"/>
      <w:r w:rsidRPr="000737EB">
        <w:rPr>
          <w:lang w:val="en-US"/>
        </w:rPr>
        <w:t>Syrjanen</w:t>
      </w:r>
      <w:proofErr w:type="spellEnd"/>
      <w:r w:rsidRPr="000737EB">
        <w:rPr>
          <w:lang w:val="en-US"/>
        </w:rPr>
        <w:t xml:space="preserve"> A.P.</w:t>
      </w:r>
      <w:r>
        <w:rPr>
          <w:lang w:val="en-US"/>
        </w:rPr>
        <w:t xml:space="preserve"> (1993)</w:t>
      </w:r>
      <w:r w:rsidRPr="000737EB">
        <w:rPr>
          <w:lang w:val="en-US"/>
        </w:rPr>
        <w:t>, “</w:t>
      </w:r>
      <w:proofErr w:type="spellStart"/>
      <w:r w:rsidRPr="00EA1758">
        <w:rPr>
          <w:lang w:val="en-US"/>
        </w:rPr>
        <w:t>Analisys</w:t>
      </w:r>
      <w:proofErr w:type="spellEnd"/>
      <w:r w:rsidRPr="00EA1758">
        <w:rPr>
          <w:lang w:val="en-US"/>
        </w:rPr>
        <w:t xml:space="preserve"> of the trade as a venture capital exit way</w:t>
      </w:r>
      <w:r w:rsidRPr="000737EB">
        <w:rPr>
          <w:lang w:val="en-US"/>
        </w:rPr>
        <w:t xml:space="preserve">”, in </w:t>
      </w:r>
      <w:r w:rsidRPr="001D31D5">
        <w:rPr>
          <w:lang w:val="en-US"/>
        </w:rPr>
        <w:t>«</w:t>
      </w:r>
      <w:r w:rsidRPr="000737EB">
        <w:rPr>
          <w:lang w:val="en-US"/>
        </w:rPr>
        <w:t>European Venture Capital Journal</w:t>
      </w:r>
      <w:r w:rsidRPr="001D31D5">
        <w:rPr>
          <w:lang w:val="en-US"/>
        </w:rPr>
        <w:t>»</w:t>
      </w:r>
      <w:r>
        <w:rPr>
          <w:lang w:val="en-US"/>
        </w:rPr>
        <w:t>, April-May</w:t>
      </w:r>
    </w:p>
    <w:p w:rsidR="00DC4E49" w:rsidRPr="00294E94" w:rsidRDefault="00DC4E49" w:rsidP="00DC4E49">
      <w:pPr>
        <w:contextualSpacing/>
        <w:jc w:val="both"/>
        <w:rPr>
          <w:lang w:val="en-US"/>
        </w:rPr>
      </w:pPr>
    </w:p>
    <w:p w:rsidR="00DC4E49" w:rsidRPr="006F2477" w:rsidRDefault="00DC4E49" w:rsidP="00DC4E49">
      <w:pPr>
        <w:contextualSpacing/>
        <w:jc w:val="both"/>
        <w:rPr>
          <w:lang w:val="en-US"/>
        </w:rPr>
      </w:pPr>
      <w:r w:rsidRPr="00CC7BA2">
        <w:rPr>
          <w:lang w:val="en-US"/>
        </w:rPr>
        <w:t>Richards S. (2002)</w:t>
      </w:r>
      <w:r>
        <w:rPr>
          <w:lang w:val="en-US"/>
        </w:rPr>
        <w:t xml:space="preserve">, </w:t>
      </w:r>
      <w:r w:rsidRPr="00780337">
        <w:rPr>
          <w:i/>
          <w:lang w:val="en-US"/>
        </w:rPr>
        <w:t>Inside business incubators &amp; corporate ventures</w:t>
      </w:r>
      <w:r>
        <w:rPr>
          <w:lang w:val="en-US"/>
        </w:rPr>
        <w:t>, John Wiley &amp; Sons</w:t>
      </w:r>
      <w:r w:rsidR="00BA2B20">
        <w:rPr>
          <w:lang w:val="en-US"/>
        </w:rPr>
        <w:t>, New York</w:t>
      </w:r>
    </w:p>
    <w:p w:rsidR="00DC4E49" w:rsidRDefault="00DC4E49" w:rsidP="00DC4E49">
      <w:pPr>
        <w:contextualSpacing/>
        <w:jc w:val="both"/>
        <w:rPr>
          <w:lang w:val="en-US"/>
        </w:rPr>
      </w:pPr>
    </w:p>
    <w:p w:rsidR="00DC4E49" w:rsidRDefault="00DC4E49" w:rsidP="00DC4E49">
      <w:pPr>
        <w:contextualSpacing/>
        <w:jc w:val="both"/>
        <w:rPr>
          <w:lang w:val="en-US"/>
        </w:rPr>
      </w:pPr>
      <w:r w:rsidRPr="003870ED">
        <w:rPr>
          <w:lang w:val="en-US"/>
        </w:rPr>
        <w:lastRenderedPageBreak/>
        <w:t xml:space="preserve">Schwartz M. (2008), </w:t>
      </w:r>
      <w:r w:rsidRPr="003870ED">
        <w:rPr>
          <w:i/>
          <w:lang w:val="en-US"/>
        </w:rPr>
        <w:t>Inc</w:t>
      </w:r>
      <w:r>
        <w:rPr>
          <w:i/>
          <w:lang w:val="en-US"/>
        </w:rPr>
        <w:t>u</w:t>
      </w:r>
      <w:r w:rsidRPr="003870ED">
        <w:rPr>
          <w:i/>
          <w:lang w:val="en-US"/>
        </w:rPr>
        <w:t xml:space="preserve">bator Age and Incubation time: Determinants of Firm Survival after </w:t>
      </w:r>
      <w:proofErr w:type="gramStart"/>
      <w:r w:rsidRPr="003870ED">
        <w:rPr>
          <w:i/>
          <w:lang w:val="en-US"/>
        </w:rPr>
        <w:t>Graduation</w:t>
      </w:r>
      <w:r w:rsidRPr="003870ED">
        <w:rPr>
          <w:lang w:val="en-US"/>
        </w:rPr>
        <w:t>?,</w:t>
      </w:r>
      <w:proofErr w:type="gramEnd"/>
      <w:r>
        <w:rPr>
          <w:i/>
          <w:lang w:val="en-US"/>
        </w:rPr>
        <w:t xml:space="preserve"> </w:t>
      </w:r>
      <w:r w:rsidRPr="003870ED">
        <w:rPr>
          <w:lang w:val="en-US"/>
        </w:rPr>
        <w:t xml:space="preserve">IWH Discussion Papers, n. </w:t>
      </w:r>
      <w:r>
        <w:rPr>
          <w:lang w:val="en-US"/>
        </w:rPr>
        <w:t>14</w:t>
      </w:r>
    </w:p>
    <w:p w:rsidR="00DC4E49" w:rsidRPr="006F2477" w:rsidRDefault="00DC4E49" w:rsidP="00DC4E49">
      <w:pPr>
        <w:contextualSpacing/>
        <w:jc w:val="both"/>
        <w:rPr>
          <w:lang w:val="en-US"/>
        </w:rPr>
      </w:pPr>
    </w:p>
    <w:p w:rsidR="00DC4E49" w:rsidRPr="00CD5820" w:rsidRDefault="00DC4E49" w:rsidP="00DC4E49">
      <w:pPr>
        <w:contextualSpacing/>
        <w:jc w:val="both"/>
        <w:rPr>
          <w:lang w:val="en-US"/>
        </w:rPr>
      </w:pPr>
      <w:proofErr w:type="spellStart"/>
      <w:r w:rsidRPr="003870ED">
        <w:rPr>
          <w:lang w:val="en-US"/>
        </w:rPr>
        <w:t>Scillitoe</w:t>
      </w:r>
      <w:proofErr w:type="spellEnd"/>
      <w:r>
        <w:rPr>
          <w:lang w:val="en-US"/>
        </w:rPr>
        <w:t xml:space="preserve"> J</w:t>
      </w:r>
      <w:r w:rsidRPr="003870ED">
        <w:rPr>
          <w:lang w:val="en-US"/>
        </w:rPr>
        <w:t>., Chakrabarti A.K. (2010),</w:t>
      </w:r>
      <w:r w:rsidRPr="00CD5820">
        <w:rPr>
          <w:lang w:val="en-US"/>
        </w:rPr>
        <w:t xml:space="preserve"> “</w:t>
      </w:r>
      <w:r w:rsidRPr="00CD5820">
        <w:rPr>
          <w:i/>
          <w:lang w:val="en-US"/>
        </w:rPr>
        <w:t>The role of incubator interactions in assisting new ventures</w:t>
      </w:r>
      <w:r w:rsidRPr="00CD5820">
        <w:rPr>
          <w:lang w:val="en-US"/>
        </w:rPr>
        <w:t xml:space="preserve">”, in </w:t>
      </w:r>
      <w:r w:rsidRPr="001D31D5">
        <w:rPr>
          <w:lang w:val="en-US"/>
        </w:rPr>
        <w:t>«</w:t>
      </w:r>
      <w:proofErr w:type="spellStart"/>
      <w:r>
        <w:rPr>
          <w:lang w:val="en-US"/>
        </w:rPr>
        <w:t>Technovation</w:t>
      </w:r>
      <w:proofErr w:type="spellEnd"/>
      <w:r w:rsidRPr="001D31D5">
        <w:rPr>
          <w:lang w:val="en-US"/>
        </w:rPr>
        <w:t>»</w:t>
      </w:r>
      <w:r>
        <w:rPr>
          <w:lang w:val="en-US"/>
        </w:rPr>
        <w:t>, vol. 30, pp. 155-167</w:t>
      </w:r>
    </w:p>
    <w:p w:rsidR="00DC4E49" w:rsidRPr="000106FF" w:rsidRDefault="00DC4E49" w:rsidP="00DC4E49">
      <w:pPr>
        <w:contextualSpacing/>
        <w:jc w:val="both"/>
        <w:rPr>
          <w:lang w:val="en-US"/>
        </w:rPr>
      </w:pPr>
    </w:p>
    <w:p w:rsidR="00DC4E49" w:rsidRPr="002F390B" w:rsidRDefault="00DC4E49" w:rsidP="00DC4E49">
      <w:pPr>
        <w:contextualSpacing/>
        <w:jc w:val="both"/>
        <w:rPr>
          <w:lang w:val="it-IT"/>
        </w:rPr>
      </w:pPr>
      <w:proofErr w:type="spellStart"/>
      <w:r w:rsidRPr="002F390B">
        <w:rPr>
          <w:lang w:val="it-IT"/>
        </w:rPr>
        <w:t>Scutti</w:t>
      </w:r>
      <w:proofErr w:type="spellEnd"/>
      <w:r w:rsidRPr="002F390B">
        <w:rPr>
          <w:lang w:val="it-IT"/>
        </w:rPr>
        <w:t xml:space="preserve"> A. (2017), “L’equity crowdfunding: uno strumento all’avanguardia per la crescita delle PMI”, in «</w:t>
      </w:r>
      <w:proofErr w:type="spellStart"/>
      <w:r w:rsidRPr="002F390B">
        <w:rPr>
          <w:lang w:val="it-IT"/>
        </w:rPr>
        <w:t>Andaf</w:t>
      </w:r>
      <w:proofErr w:type="spellEnd"/>
      <w:r w:rsidRPr="002F390B">
        <w:rPr>
          <w:lang w:val="it-IT"/>
        </w:rPr>
        <w:t xml:space="preserve"> </w:t>
      </w:r>
      <w:proofErr w:type="gramStart"/>
      <w:r w:rsidRPr="002F390B">
        <w:rPr>
          <w:lang w:val="it-IT"/>
        </w:rPr>
        <w:t>Magazine »</w:t>
      </w:r>
      <w:proofErr w:type="gramEnd"/>
      <w:r w:rsidRPr="002F390B">
        <w:rPr>
          <w:lang w:val="it-IT"/>
        </w:rPr>
        <w:t>, n. 2</w:t>
      </w:r>
    </w:p>
    <w:p w:rsidR="00DC4E49" w:rsidRPr="002F390B" w:rsidRDefault="00DC4E49" w:rsidP="00DC4E49">
      <w:pPr>
        <w:contextualSpacing/>
        <w:jc w:val="both"/>
        <w:rPr>
          <w:lang w:val="it-IT"/>
        </w:rPr>
      </w:pPr>
    </w:p>
    <w:p w:rsidR="00DC4E49" w:rsidRPr="00E4628A" w:rsidRDefault="00DC4E49" w:rsidP="00DC4E49">
      <w:pPr>
        <w:contextualSpacing/>
        <w:jc w:val="both"/>
        <w:rPr>
          <w:lang w:val="en-US"/>
        </w:rPr>
      </w:pPr>
      <w:r w:rsidRPr="00B13061">
        <w:rPr>
          <w:lang w:val="en-US"/>
        </w:rPr>
        <w:t xml:space="preserve">Stuart </w:t>
      </w:r>
      <w:r>
        <w:rPr>
          <w:lang w:val="en-US"/>
        </w:rPr>
        <w:t>P., Whittam G., Johnston J.B.</w:t>
      </w:r>
      <w:r w:rsidRPr="0030026A">
        <w:rPr>
          <w:i/>
          <w:lang w:val="en-US"/>
        </w:rPr>
        <w:t xml:space="preserve"> </w:t>
      </w:r>
      <w:r w:rsidRPr="0030026A">
        <w:rPr>
          <w:lang w:val="en-US"/>
        </w:rPr>
        <w:t>(2003),</w:t>
      </w:r>
      <w:r>
        <w:rPr>
          <w:lang w:val="en-US"/>
        </w:rPr>
        <w:t xml:space="preserve"> “The Operation of Informal Venture Capital Market in Scotland”, in </w:t>
      </w:r>
      <w:r w:rsidRPr="001D31D5">
        <w:rPr>
          <w:lang w:val="en-US"/>
        </w:rPr>
        <w:t>«</w:t>
      </w:r>
      <w:r w:rsidRPr="0070492D">
        <w:rPr>
          <w:lang w:val="en-US"/>
        </w:rPr>
        <w:t>Venture Capital: An International Journal of Entrepreneurial Finance</w:t>
      </w:r>
      <w:r w:rsidRPr="001D31D5">
        <w:rPr>
          <w:lang w:val="en-US"/>
        </w:rPr>
        <w:t>»</w:t>
      </w:r>
      <w:r>
        <w:rPr>
          <w:i/>
          <w:lang w:val="en-US"/>
        </w:rPr>
        <w:t xml:space="preserve">, </w:t>
      </w:r>
      <w:r w:rsidRPr="00E4628A">
        <w:rPr>
          <w:lang w:val="en-US"/>
        </w:rPr>
        <w:t>vol. 5, n. 4</w:t>
      </w:r>
      <w:r w:rsidR="00BA2B20">
        <w:rPr>
          <w:lang w:val="en-US"/>
        </w:rPr>
        <w:t>, pp. 313-335</w:t>
      </w:r>
    </w:p>
    <w:p w:rsidR="00DC4E49" w:rsidRDefault="00DC4E49" w:rsidP="00DC4E49">
      <w:pPr>
        <w:contextualSpacing/>
        <w:jc w:val="both"/>
        <w:rPr>
          <w:lang w:val="en-US"/>
        </w:rPr>
      </w:pPr>
    </w:p>
    <w:p w:rsidR="00DC4E49" w:rsidRDefault="00DC4E49" w:rsidP="00DC4E49">
      <w:pPr>
        <w:contextualSpacing/>
        <w:jc w:val="both"/>
        <w:rPr>
          <w:lang w:val="en-US"/>
        </w:rPr>
      </w:pPr>
    </w:p>
    <w:p w:rsidR="00DC4E49" w:rsidRPr="00282B52" w:rsidRDefault="00DC4E49" w:rsidP="00DC4E49">
      <w:pPr>
        <w:contextualSpacing/>
        <w:jc w:val="both"/>
        <w:rPr>
          <w:lang w:val="en-US"/>
        </w:rPr>
      </w:pPr>
    </w:p>
    <w:p w:rsidR="00DC4E49" w:rsidRPr="00282B52" w:rsidRDefault="00DC4E49" w:rsidP="00DC4E49">
      <w:pPr>
        <w:contextualSpacing/>
        <w:jc w:val="both"/>
        <w:rPr>
          <w:lang w:val="en-US"/>
        </w:rPr>
      </w:pPr>
    </w:p>
    <w:p w:rsidR="00DC4E49" w:rsidRDefault="00DC4E49"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0D3CDE" w:rsidP="00DC4E49">
      <w:pPr>
        <w:contextualSpacing/>
      </w:pPr>
    </w:p>
    <w:p w:rsidR="000D3CDE" w:rsidRDefault="00C5220A" w:rsidP="00C5220A">
      <w:pPr>
        <w:contextualSpacing/>
        <w:jc w:val="center"/>
        <w:rPr>
          <w:b/>
        </w:rPr>
      </w:pPr>
      <w:r w:rsidRPr="00C5220A">
        <w:rPr>
          <w:b/>
        </w:rPr>
        <w:t>Table</w:t>
      </w:r>
      <w:r w:rsidR="00613D84">
        <w:rPr>
          <w:b/>
        </w:rPr>
        <w:t>s</w:t>
      </w:r>
      <w:r w:rsidRPr="00C5220A">
        <w:rPr>
          <w:b/>
        </w:rPr>
        <w:t xml:space="preserve"> and Figure</w:t>
      </w:r>
      <w:r w:rsidR="007B1D98">
        <w:rPr>
          <w:b/>
        </w:rPr>
        <w:t>s</w:t>
      </w:r>
    </w:p>
    <w:p w:rsidR="00C5220A" w:rsidRDefault="00C5220A" w:rsidP="00C5220A">
      <w:pPr>
        <w:contextualSpacing/>
        <w:jc w:val="center"/>
        <w:rPr>
          <w:b/>
        </w:rPr>
      </w:pPr>
    </w:p>
    <w:p w:rsidR="00C5220A" w:rsidRDefault="00C5220A" w:rsidP="00C5220A">
      <w:pPr>
        <w:contextualSpacing/>
        <w:jc w:val="both"/>
        <w:rPr>
          <w:b/>
        </w:rPr>
      </w:pPr>
      <w:r>
        <w:rPr>
          <w:b/>
        </w:rPr>
        <w:t>Second Paragraph</w:t>
      </w:r>
    </w:p>
    <w:p w:rsidR="00C5220A" w:rsidRPr="00C5220A" w:rsidRDefault="00C5220A" w:rsidP="00C5220A">
      <w:pPr>
        <w:contextualSpacing/>
        <w:jc w:val="both"/>
        <w:rPr>
          <w:b/>
        </w:rPr>
      </w:pPr>
    </w:p>
    <w:p w:rsidR="000D3CDE" w:rsidRPr="008043BF" w:rsidRDefault="000D3CDE" w:rsidP="000D3CDE">
      <w:pPr>
        <w:contextualSpacing/>
        <w:jc w:val="both"/>
      </w:pPr>
      <w:r w:rsidRPr="008043BF">
        <w:t xml:space="preserve">Table 1: </w:t>
      </w:r>
      <w:r>
        <w:t>categorisation</w:t>
      </w:r>
      <w:r w:rsidRPr="008043BF">
        <w:t xml:space="preserve"> of financial support and business life cycle</w:t>
      </w:r>
    </w:p>
    <w:tbl>
      <w:tblPr>
        <w:tblStyle w:val="Grigliatabella"/>
        <w:tblW w:w="0" w:type="auto"/>
        <w:tblInd w:w="108" w:type="dxa"/>
        <w:tblLook w:val="04A0" w:firstRow="1" w:lastRow="0" w:firstColumn="1" w:lastColumn="0" w:noHBand="0" w:noVBand="1"/>
      </w:tblPr>
      <w:tblGrid>
        <w:gridCol w:w="2308"/>
        <w:gridCol w:w="2412"/>
        <w:gridCol w:w="2407"/>
        <w:gridCol w:w="2678"/>
      </w:tblGrid>
      <w:tr w:rsidR="000D3CDE" w:rsidRPr="000C63ED" w:rsidTr="00CE3DB2">
        <w:tc>
          <w:tcPr>
            <w:tcW w:w="2336" w:type="dxa"/>
            <w:shd w:val="clear" w:color="auto" w:fill="BFBFBF" w:themeFill="background1" w:themeFillShade="BF"/>
          </w:tcPr>
          <w:p w:rsidR="000D3CDE" w:rsidRPr="000C63ED" w:rsidRDefault="000D3CDE" w:rsidP="00CE3DB2">
            <w:pPr>
              <w:contextualSpacing/>
              <w:jc w:val="center"/>
              <w:rPr>
                <w:sz w:val="18"/>
                <w:szCs w:val="18"/>
              </w:rPr>
            </w:pPr>
            <w:r>
              <w:rPr>
                <w:sz w:val="18"/>
                <w:szCs w:val="18"/>
              </w:rPr>
              <w:t xml:space="preserve">Business </w:t>
            </w:r>
            <w:proofErr w:type="spellStart"/>
            <w:r>
              <w:rPr>
                <w:sz w:val="18"/>
                <w:szCs w:val="18"/>
              </w:rPr>
              <w:t>development</w:t>
            </w:r>
            <w:proofErr w:type="spellEnd"/>
            <w:r>
              <w:rPr>
                <w:sz w:val="18"/>
                <w:szCs w:val="18"/>
              </w:rPr>
              <w:t xml:space="preserve"> stage</w:t>
            </w:r>
          </w:p>
        </w:tc>
        <w:tc>
          <w:tcPr>
            <w:tcW w:w="2444" w:type="dxa"/>
            <w:shd w:val="clear" w:color="auto" w:fill="BFBFBF" w:themeFill="background1" w:themeFillShade="BF"/>
          </w:tcPr>
          <w:p w:rsidR="000D3CDE" w:rsidRPr="000C63ED" w:rsidRDefault="000D3CDE" w:rsidP="00CE3DB2">
            <w:pPr>
              <w:contextualSpacing/>
              <w:jc w:val="center"/>
              <w:rPr>
                <w:sz w:val="18"/>
                <w:szCs w:val="18"/>
              </w:rPr>
            </w:pPr>
            <w:proofErr w:type="spellStart"/>
            <w:r>
              <w:rPr>
                <w:sz w:val="18"/>
                <w:szCs w:val="18"/>
              </w:rPr>
              <w:t>Type</w:t>
            </w:r>
            <w:proofErr w:type="spellEnd"/>
            <w:r>
              <w:rPr>
                <w:sz w:val="18"/>
                <w:szCs w:val="18"/>
              </w:rPr>
              <w:t xml:space="preserve"> of </w:t>
            </w:r>
            <w:proofErr w:type="spellStart"/>
            <w:r>
              <w:rPr>
                <w:sz w:val="18"/>
                <w:szCs w:val="18"/>
              </w:rPr>
              <w:t>intervention</w:t>
            </w:r>
            <w:proofErr w:type="spellEnd"/>
          </w:p>
        </w:tc>
        <w:tc>
          <w:tcPr>
            <w:tcW w:w="2445" w:type="dxa"/>
            <w:shd w:val="clear" w:color="auto" w:fill="BFBFBF" w:themeFill="background1" w:themeFillShade="BF"/>
          </w:tcPr>
          <w:p w:rsidR="000D3CDE" w:rsidRPr="008043BF" w:rsidRDefault="000D3CDE" w:rsidP="00CE3DB2">
            <w:pPr>
              <w:contextualSpacing/>
              <w:jc w:val="center"/>
              <w:rPr>
                <w:sz w:val="18"/>
                <w:szCs w:val="18"/>
                <w:lang w:val="en-GB"/>
              </w:rPr>
            </w:pPr>
            <w:r w:rsidRPr="008043BF">
              <w:rPr>
                <w:sz w:val="18"/>
                <w:szCs w:val="18"/>
                <w:lang w:val="en-GB"/>
              </w:rPr>
              <w:t>Level of financial resources required</w:t>
            </w:r>
          </w:p>
        </w:tc>
        <w:tc>
          <w:tcPr>
            <w:tcW w:w="2698" w:type="dxa"/>
            <w:shd w:val="clear" w:color="auto" w:fill="BFBFBF" w:themeFill="background1" w:themeFillShade="BF"/>
          </w:tcPr>
          <w:p w:rsidR="000D3CDE" w:rsidRPr="000C63ED" w:rsidRDefault="000D3CDE" w:rsidP="00CE3DB2">
            <w:pPr>
              <w:contextualSpacing/>
              <w:jc w:val="center"/>
              <w:rPr>
                <w:sz w:val="18"/>
                <w:szCs w:val="18"/>
              </w:rPr>
            </w:pPr>
            <w:proofErr w:type="spellStart"/>
            <w:r>
              <w:rPr>
                <w:sz w:val="18"/>
                <w:szCs w:val="18"/>
              </w:rPr>
              <w:t>Type</w:t>
            </w:r>
            <w:proofErr w:type="spellEnd"/>
            <w:r>
              <w:rPr>
                <w:sz w:val="18"/>
                <w:szCs w:val="18"/>
              </w:rPr>
              <w:t xml:space="preserve"> of </w:t>
            </w:r>
            <w:proofErr w:type="spellStart"/>
            <w:r>
              <w:rPr>
                <w:sz w:val="18"/>
                <w:szCs w:val="18"/>
              </w:rPr>
              <w:t>financier</w:t>
            </w:r>
            <w:proofErr w:type="spellEnd"/>
            <w:r>
              <w:rPr>
                <w:sz w:val="18"/>
                <w:szCs w:val="18"/>
              </w:rPr>
              <w:t>/investor</w:t>
            </w:r>
          </w:p>
        </w:tc>
      </w:tr>
      <w:tr w:rsidR="000D3CDE" w:rsidRPr="000C63ED" w:rsidTr="00CE3DB2">
        <w:tc>
          <w:tcPr>
            <w:tcW w:w="2336" w:type="dxa"/>
            <w:vAlign w:val="center"/>
          </w:tcPr>
          <w:p w:rsidR="000D3CDE" w:rsidRPr="000C63ED" w:rsidRDefault="000D3CDE" w:rsidP="00CE3DB2">
            <w:pPr>
              <w:contextualSpacing/>
              <w:jc w:val="center"/>
              <w:rPr>
                <w:i/>
                <w:sz w:val="18"/>
                <w:szCs w:val="18"/>
              </w:rPr>
            </w:pPr>
            <w:proofErr w:type="spellStart"/>
            <w:r w:rsidRPr="000C63ED">
              <w:rPr>
                <w:i/>
                <w:sz w:val="18"/>
                <w:szCs w:val="18"/>
              </w:rPr>
              <w:t>Pre-Seed</w:t>
            </w:r>
            <w:proofErr w:type="spellEnd"/>
          </w:p>
        </w:tc>
        <w:tc>
          <w:tcPr>
            <w:tcW w:w="2444" w:type="dxa"/>
            <w:vAlign w:val="center"/>
          </w:tcPr>
          <w:p w:rsidR="000D3CDE" w:rsidRPr="000C63ED" w:rsidRDefault="000D3CDE" w:rsidP="00CE3DB2">
            <w:pPr>
              <w:contextualSpacing/>
              <w:jc w:val="center"/>
              <w:rPr>
                <w:i/>
                <w:sz w:val="18"/>
                <w:szCs w:val="18"/>
              </w:rPr>
            </w:pPr>
            <w:proofErr w:type="spellStart"/>
            <w:r w:rsidRPr="000C63ED">
              <w:rPr>
                <w:i/>
                <w:sz w:val="18"/>
                <w:szCs w:val="18"/>
              </w:rPr>
              <w:t>Pre-Seed</w:t>
            </w:r>
            <w:proofErr w:type="spellEnd"/>
            <w:r w:rsidRPr="000C63ED">
              <w:rPr>
                <w:i/>
                <w:sz w:val="18"/>
                <w:szCs w:val="18"/>
              </w:rPr>
              <w:t xml:space="preserve"> </w:t>
            </w:r>
            <w:proofErr w:type="spellStart"/>
            <w:r w:rsidRPr="000C63ED">
              <w:rPr>
                <w:i/>
                <w:sz w:val="18"/>
                <w:szCs w:val="18"/>
              </w:rPr>
              <w:t>financing</w:t>
            </w:r>
            <w:proofErr w:type="spellEnd"/>
          </w:p>
        </w:tc>
        <w:tc>
          <w:tcPr>
            <w:tcW w:w="2445" w:type="dxa"/>
            <w:vAlign w:val="center"/>
          </w:tcPr>
          <w:p w:rsidR="000D3CDE" w:rsidRPr="000C63ED" w:rsidRDefault="000D3CDE" w:rsidP="00CE3DB2">
            <w:pPr>
              <w:contextualSpacing/>
              <w:jc w:val="center"/>
              <w:rPr>
                <w:sz w:val="18"/>
                <w:szCs w:val="18"/>
              </w:rPr>
            </w:pPr>
            <w:proofErr w:type="spellStart"/>
            <w:r>
              <w:rPr>
                <w:sz w:val="18"/>
                <w:szCs w:val="18"/>
              </w:rPr>
              <w:t>Very</w:t>
            </w:r>
            <w:proofErr w:type="spellEnd"/>
            <w:r>
              <w:rPr>
                <w:sz w:val="18"/>
                <w:szCs w:val="18"/>
              </w:rPr>
              <w:t xml:space="preserve"> low</w:t>
            </w:r>
          </w:p>
        </w:tc>
        <w:tc>
          <w:tcPr>
            <w:tcW w:w="2698" w:type="dxa"/>
            <w:vAlign w:val="center"/>
          </w:tcPr>
          <w:p w:rsidR="000D3CDE" w:rsidRPr="000C63ED" w:rsidRDefault="000D3CDE" w:rsidP="00CE3DB2">
            <w:pPr>
              <w:contextualSpacing/>
              <w:jc w:val="center"/>
              <w:rPr>
                <w:i/>
                <w:sz w:val="18"/>
                <w:szCs w:val="18"/>
              </w:rPr>
            </w:pPr>
            <w:r w:rsidRPr="000C63ED">
              <w:rPr>
                <w:i/>
                <w:sz w:val="18"/>
                <w:szCs w:val="18"/>
              </w:rPr>
              <w:t>Family/Friends</w:t>
            </w:r>
          </w:p>
        </w:tc>
      </w:tr>
      <w:tr w:rsidR="000D3CDE" w:rsidRPr="000C63ED" w:rsidTr="00CE3DB2">
        <w:tc>
          <w:tcPr>
            <w:tcW w:w="2336" w:type="dxa"/>
            <w:vAlign w:val="center"/>
          </w:tcPr>
          <w:p w:rsidR="000D3CDE" w:rsidRPr="000C63ED" w:rsidRDefault="000D3CDE" w:rsidP="00CE3DB2">
            <w:pPr>
              <w:contextualSpacing/>
              <w:jc w:val="center"/>
              <w:rPr>
                <w:i/>
                <w:sz w:val="18"/>
                <w:szCs w:val="18"/>
              </w:rPr>
            </w:pPr>
            <w:proofErr w:type="spellStart"/>
            <w:r w:rsidRPr="000C63ED">
              <w:rPr>
                <w:i/>
                <w:sz w:val="18"/>
                <w:szCs w:val="18"/>
              </w:rPr>
              <w:t>Seed</w:t>
            </w:r>
            <w:proofErr w:type="spellEnd"/>
          </w:p>
        </w:tc>
        <w:tc>
          <w:tcPr>
            <w:tcW w:w="2444" w:type="dxa"/>
            <w:vAlign w:val="center"/>
          </w:tcPr>
          <w:p w:rsidR="000D3CDE" w:rsidRPr="000C63ED" w:rsidRDefault="000D3CDE" w:rsidP="00CE3DB2">
            <w:pPr>
              <w:contextualSpacing/>
              <w:jc w:val="center"/>
              <w:rPr>
                <w:i/>
                <w:sz w:val="18"/>
                <w:szCs w:val="18"/>
              </w:rPr>
            </w:pPr>
            <w:proofErr w:type="spellStart"/>
            <w:r w:rsidRPr="000C63ED">
              <w:rPr>
                <w:i/>
                <w:sz w:val="18"/>
                <w:szCs w:val="18"/>
              </w:rPr>
              <w:t>Seed</w:t>
            </w:r>
            <w:proofErr w:type="spellEnd"/>
            <w:r w:rsidRPr="000C63ED">
              <w:rPr>
                <w:i/>
                <w:sz w:val="18"/>
                <w:szCs w:val="18"/>
              </w:rPr>
              <w:t xml:space="preserve"> </w:t>
            </w:r>
            <w:proofErr w:type="spellStart"/>
            <w:r w:rsidRPr="000C63ED">
              <w:rPr>
                <w:i/>
                <w:sz w:val="18"/>
                <w:szCs w:val="18"/>
              </w:rPr>
              <w:t>financing</w:t>
            </w:r>
            <w:proofErr w:type="spellEnd"/>
          </w:p>
        </w:tc>
        <w:tc>
          <w:tcPr>
            <w:tcW w:w="2445" w:type="dxa"/>
            <w:vAlign w:val="center"/>
          </w:tcPr>
          <w:p w:rsidR="000D3CDE" w:rsidRPr="000C63ED" w:rsidRDefault="000D3CDE" w:rsidP="00CE3DB2">
            <w:pPr>
              <w:contextualSpacing/>
              <w:jc w:val="center"/>
              <w:rPr>
                <w:sz w:val="18"/>
                <w:szCs w:val="18"/>
              </w:rPr>
            </w:pPr>
            <w:r>
              <w:rPr>
                <w:sz w:val="18"/>
                <w:szCs w:val="18"/>
              </w:rPr>
              <w:t>Low</w:t>
            </w:r>
          </w:p>
        </w:tc>
        <w:tc>
          <w:tcPr>
            <w:tcW w:w="2698" w:type="dxa"/>
            <w:vAlign w:val="center"/>
          </w:tcPr>
          <w:p w:rsidR="000D3CDE" w:rsidRPr="000C63ED" w:rsidRDefault="000D3CDE" w:rsidP="00CE3DB2">
            <w:pPr>
              <w:contextualSpacing/>
              <w:jc w:val="center"/>
              <w:rPr>
                <w:i/>
                <w:sz w:val="18"/>
                <w:szCs w:val="18"/>
              </w:rPr>
            </w:pPr>
            <w:r>
              <w:rPr>
                <w:i/>
                <w:sz w:val="18"/>
                <w:szCs w:val="18"/>
              </w:rPr>
              <w:t>Business Angel</w:t>
            </w:r>
          </w:p>
        </w:tc>
      </w:tr>
      <w:tr w:rsidR="000D3CDE" w:rsidRPr="000C63ED" w:rsidTr="00CE3DB2">
        <w:tc>
          <w:tcPr>
            <w:tcW w:w="2336" w:type="dxa"/>
            <w:vAlign w:val="center"/>
          </w:tcPr>
          <w:p w:rsidR="000D3CDE" w:rsidRPr="000C63ED" w:rsidRDefault="000D3CDE" w:rsidP="00CE3DB2">
            <w:pPr>
              <w:contextualSpacing/>
              <w:jc w:val="center"/>
              <w:rPr>
                <w:i/>
                <w:sz w:val="18"/>
                <w:szCs w:val="18"/>
              </w:rPr>
            </w:pPr>
            <w:r w:rsidRPr="000C63ED">
              <w:rPr>
                <w:i/>
                <w:sz w:val="18"/>
                <w:szCs w:val="18"/>
              </w:rPr>
              <w:t>Start-up</w:t>
            </w:r>
          </w:p>
        </w:tc>
        <w:tc>
          <w:tcPr>
            <w:tcW w:w="2444" w:type="dxa"/>
            <w:vAlign w:val="center"/>
          </w:tcPr>
          <w:p w:rsidR="000D3CDE" w:rsidRPr="000C63ED" w:rsidRDefault="000D3CDE" w:rsidP="00CE3DB2">
            <w:pPr>
              <w:contextualSpacing/>
              <w:jc w:val="center"/>
              <w:rPr>
                <w:i/>
                <w:sz w:val="18"/>
                <w:szCs w:val="18"/>
              </w:rPr>
            </w:pPr>
            <w:r w:rsidRPr="000C63ED">
              <w:rPr>
                <w:i/>
                <w:sz w:val="18"/>
                <w:szCs w:val="18"/>
              </w:rPr>
              <w:t xml:space="preserve">Start-up </w:t>
            </w:r>
            <w:proofErr w:type="spellStart"/>
            <w:r w:rsidRPr="000C63ED">
              <w:rPr>
                <w:i/>
                <w:sz w:val="18"/>
                <w:szCs w:val="18"/>
              </w:rPr>
              <w:t>financing</w:t>
            </w:r>
            <w:proofErr w:type="spellEnd"/>
          </w:p>
        </w:tc>
        <w:tc>
          <w:tcPr>
            <w:tcW w:w="2445" w:type="dxa"/>
            <w:vAlign w:val="center"/>
          </w:tcPr>
          <w:p w:rsidR="000D3CDE" w:rsidRPr="000C63ED" w:rsidRDefault="000D3CDE" w:rsidP="00CE3DB2">
            <w:pPr>
              <w:contextualSpacing/>
              <w:jc w:val="center"/>
              <w:rPr>
                <w:sz w:val="18"/>
                <w:szCs w:val="18"/>
              </w:rPr>
            </w:pPr>
            <w:r>
              <w:rPr>
                <w:sz w:val="18"/>
                <w:szCs w:val="18"/>
              </w:rPr>
              <w:t>Medium</w:t>
            </w:r>
          </w:p>
        </w:tc>
        <w:tc>
          <w:tcPr>
            <w:tcW w:w="2698" w:type="dxa"/>
            <w:vAlign w:val="center"/>
          </w:tcPr>
          <w:p w:rsidR="000D3CDE" w:rsidRPr="000C63ED" w:rsidRDefault="000D3CDE" w:rsidP="00CE3DB2">
            <w:pPr>
              <w:contextualSpacing/>
              <w:jc w:val="center"/>
              <w:rPr>
                <w:i/>
                <w:sz w:val="18"/>
                <w:szCs w:val="18"/>
              </w:rPr>
            </w:pPr>
            <w:r w:rsidRPr="000C63ED">
              <w:rPr>
                <w:i/>
                <w:sz w:val="18"/>
                <w:szCs w:val="18"/>
              </w:rPr>
              <w:t xml:space="preserve">Business </w:t>
            </w:r>
            <w:r>
              <w:rPr>
                <w:i/>
                <w:sz w:val="18"/>
                <w:szCs w:val="18"/>
              </w:rPr>
              <w:t>A</w:t>
            </w:r>
            <w:r w:rsidRPr="000C63ED">
              <w:rPr>
                <w:i/>
                <w:sz w:val="18"/>
                <w:szCs w:val="18"/>
              </w:rPr>
              <w:t>ngel/Venture capital</w:t>
            </w:r>
          </w:p>
        </w:tc>
      </w:tr>
      <w:tr w:rsidR="000D3CDE" w:rsidRPr="000C63ED" w:rsidTr="00CE3DB2">
        <w:tc>
          <w:tcPr>
            <w:tcW w:w="2336" w:type="dxa"/>
            <w:vAlign w:val="center"/>
          </w:tcPr>
          <w:p w:rsidR="000D3CDE" w:rsidRPr="000C63ED" w:rsidRDefault="000D3CDE" w:rsidP="00CE3DB2">
            <w:pPr>
              <w:contextualSpacing/>
              <w:jc w:val="center"/>
              <w:rPr>
                <w:i/>
                <w:sz w:val="18"/>
                <w:szCs w:val="18"/>
              </w:rPr>
            </w:pPr>
            <w:r w:rsidRPr="000C63ED">
              <w:rPr>
                <w:i/>
                <w:sz w:val="18"/>
                <w:szCs w:val="18"/>
              </w:rPr>
              <w:t>Early growth</w:t>
            </w:r>
          </w:p>
        </w:tc>
        <w:tc>
          <w:tcPr>
            <w:tcW w:w="2444" w:type="dxa"/>
            <w:vAlign w:val="center"/>
          </w:tcPr>
          <w:p w:rsidR="000D3CDE" w:rsidRPr="000C63ED" w:rsidRDefault="000D3CDE" w:rsidP="00CE3DB2">
            <w:pPr>
              <w:contextualSpacing/>
              <w:jc w:val="center"/>
              <w:rPr>
                <w:i/>
                <w:sz w:val="18"/>
                <w:szCs w:val="18"/>
              </w:rPr>
            </w:pPr>
            <w:r w:rsidRPr="000C63ED">
              <w:rPr>
                <w:i/>
                <w:sz w:val="18"/>
                <w:szCs w:val="18"/>
              </w:rPr>
              <w:t xml:space="preserve">Expansion </w:t>
            </w:r>
            <w:proofErr w:type="spellStart"/>
            <w:r w:rsidRPr="000C63ED">
              <w:rPr>
                <w:i/>
                <w:sz w:val="18"/>
                <w:szCs w:val="18"/>
              </w:rPr>
              <w:t>financing</w:t>
            </w:r>
            <w:proofErr w:type="spellEnd"/>
          </w:p>
        </w:tc>
        <w:tc>
          <w:tcPr>
            <w:tcW w:w="2445" w:type="dxa"/>
            <w:vAlign w:val="center"/>
          </w:tcPr>
          <w:p w:rsidR="000D3CDE" w:rsidRPr="000C63ED" w:rsidRDefault="000D3CDE" w:rsidP="00CE3DB2">
            <w:pPr>
              <w:contextualSpacing/>
              <w:jc w:val="center"/>
              <w:rPr>
                <w:sz w:val="18"/>
                <w:szCs w:val="18"/>
              </w:rPr>
            </w:pPr>
            <w:r>
              <w:rPr>
                <w:sz w:val="18"/>
                <w:szCs w:val="18"/>
              </w:rPr>
              <w:t>High</w:t>
            </w:r>
          </w:p>
        </w:tc>
        <w:tc>
          <w:tcPr>
            <w:tcW w:w="2698" w:type="dxa"/>
            <w:vAlign w:val="center"/>
          </w:tcPr>
          <w:p w:rsidR="000D3CDE" w:rsidRPr="000C63ED" w:rsidRDefault="000D3CDE" w:rsidP="00CE3DB2">
            <w:pPr>
              <w:contextualSpacing/>
              <w:jc w:val="center"/>
              <w:rPr>
                <w:sz w:val="18"/>
                <w:szCs w:val="18"/>
              </w:rPr>
            </w:pPr>
            <w:r w:rsidRPr="000C63ED">
              <w:rPr>
                <w:i/>
                <w:sz w:val="18"/>
                <w:szCs w:val="18"/>
              </w:rPr>
              <w:t>Venture Capital</w:t>
            </w:r>
            <w:r w:rsidRPr="000C63ED">
              <w:rPr>
                <w:sz w:val="18"/>
                <w:szCs w:val="18"/>
              </w:rPr>
              <w:t>/</w:t>
            </w:r>
            <w:r>
              <w:rPr>
                <w:i/>
                <w:sz w:val="18"/>
                <w:szCs w:val="18"/>
              </w:rPr>
              <w:t>Banks</w:t>
            </w:r>
          </w:p>
        </w:tc>
      </w:tr>
      <w:tr w:rsidR="000D3CDE" w:rsidRPr="000C63ED" w:rsidTr="00CE3DB2">
        <w:tc>
          <w:tcPr>
            <w:tcW w:w="2336" w:type="dxa"/>
            <w:vAlign w:val="center"/>
          </w:tcPr>
          <w:p w:rsidR="000D3CDE" w:rsidRPr="000C63ED" w:rsidRDefault="000D3CDE" w:rsidP="00CE3DB2">
            <w:pPr>
              <w:contextualSpacing/>
              <w:jc w:val="center"/>
              <w:rPr>
                <w:i/>
                <w:sz w:val="18"/>
                <w:szCs w:val="18"/>
              </w:rPr>
            </w:pPr>
            <w:proofErr w:type="spellStart"/>
            <w:r w:rsidRPr="000C63ED">
              <w:rPr>
                <w:i/>
                <w:sz w:val="18"/>
                <w:szCs w:val="18"/>
              </w:rPr>
              <w:t>Sustained</w:t>
            </w:r>
            <w:proofErr w:type="spellEnd"/>
            <w:r w:rsidRPr="000C63ED">
              <w:rPr>
                <w:i/>
                <w:sz w:val="18"/>
                <w:szCs w:val="18"/>
              </w:rPr>
              <w:t xml:space="preserve"> growth</w:t>
            </w:r>
          </w:p>
        </w:tc>
        <w:tc>
          <w:tcPr>
            <w:tcW w:w="2444" w:type="dxa"/>
            <w:vAlign w:val="center"/>
          </w:tcPr>
          <w:p w:rsidR="000D3CDE" w:rsidRPr="000C63ED" w:rsidRDefault="000D3CDE" w:rsidP="00CE3DB2">
            <w:pPr>
              <w:contextualSpacing/>
              <w:jc w:val="center"/>
              <w:rPr>
                <w:i/>
                <w:sz w:val="18"/>
                <w:szCs w:val="18"/>
              </w:rPr>
            </w:pPr>
            <w:r w:rsidRPr="000C63ED">
              <w:rPr>
                <w:i/>
                <w:sz w:val="18"/>
                <w:szCs w:val="18"/>
              </w:rPr>
              <w:t>Development capital</w:t>
            </w:r>
          </w:p>
        </w:tc>
        <w:tc>
          <w:tcPr>
            <w:tcW w:w="2445" w:type="dxa"/>
            <w:vAlign w:val="center"/>
          </w:tcPr>
          <w:p w:rsidR="000D3CDE" w:rsidRPr="000C63ED" w:rsidRDefault="000D3CDE" w:rsidP="00CE3DB2">
            <w:pPr>
              <w:contextualSpacing/>
              <w:jc w:val="center"/>
              <w:rPr>
                <w:sz w:val="18"/>
                <w:szCs w:val="18"/>
              </w:rPr>
            </w:pPr>
            <w:r>
              <w:rPr>
                <w:sz w:val="18"/>
                <w:szCs w:val="18"/>
              </w:rPr>
              <w:t>High</w:t>
            </w:r>
          </w:p>
        </w:tc>
        <w:tc>
          <w:tcPr>
            <w:tcW w:w="2698" w:type="dxa"/>
            <w:vAlign w:val="center"/>
          </w:tcPr>
          <w:p w:rsidR="000D3CDE" w:rsidRPr="000C63ED" w:rsidRDefault="000D3CDE" w:rsidP="00CE3DB2">
            <w:pPr>
              <w:contextualSpacing/>
              <w:jc w:val="center"/>
              <w:rPr>
                <w:sz w:val="18"/>
                <w:szCs w:val="18"/>
              </w:rPr>
            </w:pPr>
            <w:r w:rsidRPr="000C63ED">
              <w:rPr>
                <w:i/>
                <w:sz w:val="18"/>
                <w:szCs w:val="18"/>
              </w:rPr>
              <w:t>Venture Capital</w:t>
            </w:r>
            <w:r w:rsidRPr="000C63ED">
              <w:rPr>
                <w:sz w:val="18"/>
                <w:szCs w:val="18"/>
              </w:rPr>
              <w:t>/</w:t>
            </w:r>
            <w:r>
              <w:rPr>
                <w:i/>
                <w:sz w:val="18"/>
                <w:szCs w:val="18"/>
              </w:rPr>
              <w:t>Banks/</w:t>
            </w:r>
            <w:proofErr w:type="spellStart"/>
            <w:r>
              <w:rPr>
                <w:i/>
                <w:sz w:val="18"/>
                <w:szCs w:val="18"/>
              </w:rPr>
              <w:t>Markets</w:t>
            </w:r>
            <w:proofErr w:type="spellEnd"/>
          </w:p>
        </w:tc>
      </w:tr>
    </w:tbl>
    <w:p w:rsidR="000D3CDE" w:rsidRDefault="000D3CDE" w:rsidP="000D3CDE">
      <w:pPr>
        <w:contextualSpacing/>
        <w:jc w:val="both"/>
      </w:pPr>
    </w:p>
    <w:p w:rsidR="000D3CDE" w:rsidRPr="00C5220A" w:rsidRDefault="00C5220A" w:rsidP="00DC4E49">
      <w:pPr>
        <w:contextualSpacing/>
        <w:rPr>
          <w:b/>
        </w:rPr>
      </w:pPr>
      <w:r w:rsidRPr="00C5220A">
        <w:rPr>
          <w:b/>
        </w:rPr>
        <w:t>Third Paragraph</w:t>
      </w:r>
    </w:p>
    <w:p w:rsidR="000D3CDE" w:rsidRPr="00371E6F" w:rsidRDefault="000D3CDE" w:rsidP="00DC4E49">
      <w:pPr>
        <w:contextualSpacing/>
      </w:pPr>
      <w:r>
        <w:rPr>
          <w:noProof/>
          <w:lang w:val="it-IT" w:eastAsia="it-IT"/>
        </w:rPr>
        <mc:AlternateContent>
          <mc:Choice Requires="wps">
            <w:drawing>
              <wp:anchor distT="0" distB="0" distL="114300" distR="114300" simplePos="0" relativeHeight="251686912" behindDoc="0" locked="0" layoutInCell="1" allowOverlap="1" wp14:anchorId="32E5BDB6" wp14:editId="32ABB70D">
                <wp:simplePos x="0" y="0"/>
                <wp:positionH relativeFrom="column">
                  <wp:posOffset>3178810</wp:posOffset>
                </wp:positionH>
                <wp:positionV relativeFrom="paragraph">
                  <wp:posOffset>80645</wp:posOffset>
                </wp:positionV>
                <wp:extent cx="3019425" cy="2150110"/>
                <wp:effectExtent l="0" t="0" r="28575" b="2159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150110"/>
                        </a:xfrm>
                        <a:prstGeom prst="rect">
                          <a:avLst/>
                        </a:prstGeom>
                        <a:solidFill>
                          <a:srgbClr val="FFFFFF"/>
                        </a:solidFill>
                        <a:ln w="9525">
                          <a:solidFill>
                            <a:srgbClr val="000000"/>
                          </a:solidFill>
                          <a:miter lim="800000"/>
                          <a:headEnd/>
                          <a:tailEnd/>
                        </a:ln>
                      </wps:spPr>
                      <wps:txbx>
                        <w:txbxContent>
                          <w:p w:rsidR="004E3DE9" w:rsidRPr="004D3582" w:rsidRDefault="004E3DE9" w:rsidP="000D3CDE">
                            <w:pPr>
                              <w:pStyle w:val="Nessunaspaziatura"/>
                              <w:rPr>
                                <w:sz w:val="18"/>
                                <w:szCs w:val="18"/>
                                <w:lang w:val="en-GB"/>
                              </w:rPr>
                            </w:pPr>
                            <w:r>
                              <w:rPr>
                                <w:sz w:val="18"/>
                                <w:szCs w:val="18"/>
                                <w:lang w:val="en-GB"/>
                              </w:rPr>
                              <w:t>Figure</w:t>
                            </w:r>
                            <w:r w:rsidRPr="004D3582">
                              <w:rPr>
                                <w:sz w:val="18"/>
                                <w:szCs w:val="18"/>
                                <w:lang w:val="en-GB"/>
                              </w:rPr>
                              <w:t xml:space="preserve"> 2: innovative start-ups by sector </w:t>
                            </w:r>
                            <w:r>
                              <w:rPr>
                                <w:sz w:val="18"/>
                                <w:szCs w:val="18"/>
                                <w:lang w:val="en-GB"/>
                              </w:rPr>
                              <w:t xml:space="preserve">at </w:t>
                            </w:r>
                            <w:r w:rsidRPr="004D3582">
                              <w:rPr>
                                <w:sz w:val="18"/>
                                <w:szCs w:val="18"/>
                                <w:lang w:val="en-GB"/>
                              </w:rPr>
                              <w:t xml:space="preserve">30 </w:t>
                            </w:r>
                            <w:r>
                              <w:rPr>
                                <w:sz w:val="18"/>
                                <w:szCs w:val="18"/>
                                <w:lang w:val="en-GB"/>
                              </w:rPr>
                              <w:t>June</w:t>
                            </w:r>
                            <w:r w:rsidRPr="004D3582">
                              <w:rPr>
                                <w:sz w:val="18"/>
                                <w:szCs w:val="18"/>
                                <w:lang w:val="en-GB"/>
                              </w:rPr>
                              <w:t xml:space="preserve"> 2016</w:t>
                            </w:r>
                          </w:p>
                          <w:p w:rsidR="004E3DE9" w:rsidRDefault="004E3DE9" w:rsidP="000D3CDE">
                            <w:r w:rsidRPr="005F2A7F">
                              <w:rPr>
                                <w:noProof/>
                                <w:lang w:val="it-IT" w:eastAsia="it-IT"/>
                              </w:rPr>
                              <w:drawing>
                                <wp:inline distT="0" distB="0" distL="0" distR="0" wp14:anchorId="236B2612" wp14:editId="60A040D3">
                                  <wp:extent cx="2867025" cy="1600200"/>
                                  <wp:effectExtent l="0" t="0" r="0" b="0"/>
                                  <wp:docPr id="25"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3DE9" w:rsidRPr="002F390B" w:rsidRDefault="004E3DE9" w:rsidP="000D3CDE">
                            <w:pPr>
                              <w:pStyle w:val="Nessunaspaziatura"/>
                              <w:spacing w:before="120"/>
                              <w:rPr>
                                <w:i/>
                                <w:sz w:val="18"/>
                                <w:szCs w:val="18"/>
                                <w:lang w:val="en-US"/>
                              </w:rPr>
                            </w:pPr>
                            <w:r w:rsidRPr="002F390B">
                              <w:rPr>
                                <w:b/>
                                <w:i/>
                                <w:sz w:val="16"/>
                                <w:szCs w:val="16"/>
                                <w:lang w:val="en-US"/>
                              </w:rPr>
                              <w:t>Source:</w:t>
                            </w:r>
                            <w:r w:rsidRPr="002F390B">
                              <w:rPr>
                                <w:i/>
                                <w:sz w:val="16"/>
                                <w:szCs w:val="16"/>
                                <w:lang w:val="en-US"/>
                              </w:rPr>
                              <w:t xml:space="preserve"> based on data from Infocamere</w:t>
                            </w:r>
                          </w:p>
                          <w:p w:rsidR="004E3DE9" w:rsidRPr="002F390B" w:rsidRDefault="004E3DE9" w:rsidP="000D3CDE">
                            <w:pPr>
                              <w:pStyle w:val="Nessunaspaziatura"/>
                              <w:spacing w:before="120"/>
                              <w:rPr>
                                <w:i/>
                                <w:sz w:val="18"/>
                                <w:szCs w:val="18"/>
                                <w:lang w:val="en-US"/>
                              </w:rPr>
                            </w:pPr>
                          </w:p>
                          <w:p w:rsidR="004E3DE9" w:rsidRDefault="004E3DE9" w:rsidP="000D3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5BDB6" id="_x0000_t202" coordsize="21600,21600" o:spt="202" path="m,l,21600r21600,l21600,xe">
                <v:stroke joinstyle="miter"/>
                <v:path gradientshapeok="t" o:connecttype="rect"/>
              </v:shapetype>
              <v:shape id="Casella di testo 24" o:spid="_x0000_s1026" type="#_x0000_t202" style="position:absolute;margin-left:250.3pt;margin-top:6.35pt;width:237.75pt;height:16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">
                <v:textbox>
                  <w:txbxContent>
                    <w:p w:rsidR="004E3DE9" w:rsidRPr="004D3582" w:rsidRDefault="004E3DE9" w:rsidP="000D3CDE">
                      <w:pPr>
                        <w:pStyle w:val="Nessunaspaziatura"/>
                        <w:rPr>
                          <w:sz w:val="18"/>
                          <w:szCs w:val="18"/>
                          <w:lang w:val="en-GB"/>
                        </w:rPr>
                      </w:pPr>
                      <w:r>
                        <w:rPr>
                          <w:sz w:val="18"/>
                          <w:szCs w:val="18"/>
                          <w:lang w:val="en-GB"/>
                        </w:rPr>
                        <w:t>Figure</w:t>
                      </w:r>
                      <w:r w:rsidRPr="004D3582">
                        <w:rPr>
                          <w:sz w:val="18"/>
                          <w:szCs w:val="18"/>
                          <w:lang w:val="en-GB"/>
                        </w:rPr>
                        <w:t xml:space="preserve"> 2: innovative start-ups by sector </w:t>
                      </w:r>
                      <w:r>
                        <w:rPr>
                          <w:sz w:val="18"/>
                          <w:szCs w:val="18"/>
                          <w:lang w:val="en-GB"/>
                        </w:rPr>
                        <w:t xml:space="preserve">at </w:t>
                      </w:r>
                      <w:r w:rsidRPr="004D3582">
                        <w:rPr>
                          <w:sz w:val="18"/>
                          <w:szCs w:val="18"/>
                          <w:lang w:val="en-GB"/>
                        </w:rPr>
                        <w:t xml:space="preserve">30 </w:t>
                      </w:r>
                      <w:r>
                        <w:rPr>
                          <w:sz w:val="18"/>
                          <w:szCs w:val="18"/>
                          <w:lang w:val="en-GB"/>
                        </w:rPr>
                        <w:t>June</w:t>
                      </w:r>
                      <w:r w:rsidRPr="004D3582">
                        <w:rPr>
                          <w:sz w:val="18"/>
                          <w:szCs w:val="18"/>
                          <w:lang w:val="en-GB"/>
                        </w:rPr>
                        <w:t xml:space="preserve"> 2016</w:t>
                      </w:r>
                    </w:p>
                    <w:p w:rsidR="004E3DE9" w:rsidRDefault="004E3DE9" w:rsidP="000D3CDE">
                      <w:r w:rsidRPr="005F2A7F">
                        <w:rPr>
                          <w:noProof/>
                          <w:lang w:val="it-IT" w:eastAsia="it-IT"/>
                        </w:rPr>
                        <w:drawing>
                          <wp:inline distT="0" distB="0" distL="0" distR="0" wp14:anchorId="236B2612" wp14:editId="60A040D3">
                            <wp:extent cx="2867025" cy="1600200"/>
                            <wp:effectExtent l="0" t="0" r="0" b="0"/>
                            <wp:docPr id="25"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3DE9" w:rsidRPr="002F390B" w:rsidRDefault="004E3DE9" w:rsidP="000D3CDE">
                      <w:pPr>
                        <w:pStyle w:val="Nessunaspaziatura"/>
                        <w:spacing w:before="120"/>
                        <w:rPr>
                          <w:i/>
                          <w:sz w:val="18"/>
                          <w:szCs w:val="18"/>
                          <w:lang w:val="en-US"/>
                        </w:rPr>
                      </w:pPr>
                      <w:r w:rsidRPr="002F390B">
                        <w:rPr>
                          <w:b/>
                          <w:i/>
                          <w:sz w:val="16"/>
                          <w:szCs w:val="16"/>
                          <w:lang w:val="en-US"/>
                        </w:rPr>
                        <w:t>Source:</w:t>
                      </w:r>
                      <w:r w:rsidRPr="002F390B">
                        <w:rPr>
                          <w:i/>
                          <w:sz w:val="16"/>
                          <w:szCs w:val="16"/>
                          <w:lang w:val="en-US"/>
                        </w:rPr>
                        <w:t xml:space="preserve"> based on data from Infocamere</w:t>
                      </w:r>
                    </w:p>
                    <w:p w:rsidR="004E3DE9" w:rsidRPr="002F390B" w:rsidRDefault="004E3DE9" w:rsidP="000D3CDE">
                      <w:pPr>
                        <w:pStyle w:val="Nessunaspaziatura"/>
                        <w:spacing w:before="120"/>
                        <w:rPr>
                          <w:i/>
                          <w:sz w:val="18"/>
                          <w:szCs w:val="18"/>
                          <w:lang w:val="en-US"/>
                        </w:rPr>
                      </w:pPr>
                    </w:p>
                    <w:p w:rsidR="004E3DE9" w:rsidRDefault="004E3DE9" w:rsidP="000D3CDE"/>
                  </w:txbxContent>
                </v:textbox>
              </v:shape>
            </w:pict>
          </mc:Fallback>
        </mc:AlternateContent>
      </w:r>
      <w:r>
        <w:rPr>
          <w:noProof/>
          <w:lang w:val="it-IT" w:eastAsia="it-IT"/>
        </w:rPr>
        <mc:AlternateContent>
          <mc:Choice Requires="wps">
            <w:drawing>
              <wp:anchor distT="0" distB="0" distL="114300" distR="114300" simplePos="0" relativeHeight="251684864" behindDoc="0" locked="0" layoutInCell="1" allowOverlap="1" wp14:anchorId="2536F25A" wp14:editId="47FC3E10">
                <wp:simplePos x="0" y="0"/>
                <wp:positionH relativeFrom="column">
                  <wp:posOffset>57785</wp:posOffset>
                </wp:positionH>
                <wp:positionV relativeFrom="paragraph">
                  <wp:posOffset>84455</wp:posOffset>
                </wp:positionV>
                <wp:extent cx="2937510" cy="2140585"/>
                <wp:effectExtent l="0" t="0" r="15240" b="1206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140585"/>
                        </a:xfrm>
                        <a:prstGeom prst="rect">
                          <a:avLst/>
                        </a:prstGeom>
                        <a:solidFill>
                          <a:srgbClr val="FFFFFF"/>
                        </a:solidFill>
                        <a:ln w="9525">
                          <a:solidFill>
                            <a:srgbClr val="000000"/>
                          </a:solidFill>
                          <a:miter lim="800000"/>
                          <a:headEnd/>
                          <a:tailEnd/>
                        </a:ln>
                      </wps:spPr>
                      <wps:txbx>
                        <w:txbxContent>
                          <w:p w:rsidR="004E3DE9" w:rsidRDefault="004E3DE9" w:rsidP="000D3CDE">
                            <w:pPr>
                              <w:pStyle w:val="Nessunaspaziatura"/>
                              <w:rPr>
                                <w:sz w:val="18"/>
                                <w:szCs w:val="18"/>
                                <w:lang w:val="en-GB"/>
                              </w:rPr>
                            </w:pPr>
                            <w:r>
                              <w:rPr>
                                <w:sz w:val="18"/>
                                <w:szCs w:val="18"/>
                                <w:lang w:val="en-GB"/>
                              </w:rPr>
                              <w:t>Figure</w:t>
                            </w:r>
                            <w:r w:rsidRPr="004D3582">
                              <w:rPr>
                                <w:sz w:val="18"/>
                                <w:szCs w:val="18"/>
                                <w:lang w:val="en-GB"/>
                              </w:rPr>
                              <w:t xml:space="preserve"> 1: evolution of innovative start-ups</w:t>
                            </w:r>
                          </w:p>
                          <w:p w:rsidR="004E3DE9" w:rsidRPr="004D3582" w:rsidRDefault="004E3DE9" w:rsidP="000D3CDE">
                            <w:pPr>
                              <w:pStyle w:val="Nessunaspaziatura"/>
                              <w:rPr>
                                <w:sz w:val="18"/>
                                <w:szCs w:val="18"/>
                                <w:lang w:val="en-GB"/>
                              </w:rPr>
                            </w:pPr>
                          </w:p>
                          <w:p w:rsidR="004E3DE9" w:rsidRPr="004D3582" w:rsidRDefault="004E3DE9" w:rsidP="000D3CDE">
                            <w:pPr>
                              <w:pStyle w:val="Nessunaspaziatura"/>
                              <w:rPr>
                                <w:sz w:val="20"/>
                                <w:szCs w:val="20"/>
                                <w:lang w:val="en-GB"/>
                              </w:rPr>
                            </w:pPr>
                            <w:r>
                              <w:rPr>
                                <w:noProof/>
                                <w:lang w:eastAsia="it-IT"/>
                              </w:rPr>
                              <w:drawing>
                                <wp:inline distT="0" distB="0" distL="0" distR="0" wp14:anchorId="6E246351" wp14:editId="050307AD">
                                  <wp:extent cx="2725046" cy="1507787"/>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47" cy="1511882"/>
                                          </a:xfrm>
                                          <a:prstGeom prst="rect">
                                            <a:avLst/>
                                          </a:prstGeom>
                                          <a:noFill/>
                                          <a:ln>
                                            <a:noFill/>
                                          </a:ln>
                                        </pic:spPr>
                                      </pic:pic>
                                    </a:graphicData>
                                  </a:graphic>
                                </wp:inline>
                              </w:drawing>
                            </w:r>
                          </w:p>
                          <w:p w:rsidR="004E3DE9" w:rsidRPr="002F390B" w:rsidRDefault="004E3DE9" w:rsidP="000D3CDE">
                            <w:pPr>
                              <w:pStyle w:val="Nessunaspaziatura"/>
                              <w:spacing w:before="120"/>
                              <w:rPr>
                                <w:i/>
                                <w:sz w:val="18"/>
                                <w:szCs w:val="18"/>
                                <w:lang w:val="en-US"/>
                              </w:rPr>
                            </w:pPr>
                            <w:r w:rsidRPr="002F390B">
                              <w:rPr>
                                <w:b/>
                                <w:i/>
                                <w:sz w:val="18"/>
                                <w:szCs w:val="18"/>
                                <w:lang w:val="en-US"/>
                              </w:rPr>
                              <w:t>Source:</w:t>
                            </w:r>
                            <w:r w:rsidRPr="002F390B">
                              <w:rPr>
                                <w:i/>
                                <w:sz w:val="18"/>
                                <w:szCs w:val="18"/>
                                <w:lang w:val="en-US"/>
                              </w:rPr>
                              <w:t xml:space="preserve"> based on data from </w:t>
                            </w:r>
                            <w:r w:rsidRPr="002F390B">
                              <w:rPr>
                                <w:i/>
                                <w:sz w:val="18"/>
                                <w:szCs w:val="18"/>
                                <w:lang w:val="en-US"/>
                              </w:rPr>
                              <w:t>Infocamere</w:t>
                            </w:r>
                          </w:p>
                          <w:p w:rsidR="004E3DE9" w:rsidRPr="002F390B" w:rsidRDefault="004E3DE9" w:rsidP="000D3CDE">
                            <w:pPr>
                              <w:pStyle w:val="Nessunaspaziatura"/>
                              <w:spacing w:before="120"/>
                              <w:rPr>
                                <w:i/>
                                <w:sz w:val="18"/>
                                <w:szCs w:val="18"/>
                                <w:lang w:val="en-US"/>
                              </w:rPr>
                            </w:pPr>
                          </w:p>
                          <w:p w:rsidR="004E3DE9" w:rsidRPr="002F390B" w:rsidRDefault="004E3DE9" w:rsidP="000D3CDE">
                            <w:pPr>
                              <w:pStyle w:val="Nessunaspaziatura"/>
                              <w:spacing w:before="120"/>
                              <w:rPr>
                                <w:i/>
                                <w:sz w:val="18"/>
                                <w:szCs w:val="18"/>
                                <w:lang w:val="en-US"/>
                              </w:rPr>
                            </w:pPr>
                          </w:p>
                          <w:p w:rsidR="004E3DE9" w:rsidRPr="002F390B" w:rsidRDefault="004E3DE9" w:rsidP="000D3CDE">
                            <w:pPr>
                              <w:pStyle w:val="Nessunaspaziatura"/>
                              <w:spacing w:before="120"/>
                              <w:rPr>
                                <w:i/>
                                <w:sz w:val="18"/>
                                <w:szCs w:val="18"/>
                                <w:lang w:val="en-US"/>
                              </w:rPr>
                            </w:pPr>
                          </w:p>
                          <w:p w:rsidR="004E3DE9" w:rsidRDefault="004E3DE9" w:rsidP="000D3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F25A" id="Casella di testo 21" o:spid="_x0000_s1027" type="#_x0000_t202" style="position:absolute;margin-left:4.55pt;margin-top:6.65pt;width:231.3pt;height:16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">
                <v:textbox>
                  <w:txbxContent>
                    <w:p w:rsidR="004E3DE9" w:rsidRDefault="004E3DE9" w:rsidP="000D3CDE">
                      <w:pPr>
                        <w:pStyle w:val="Nessunaspaziatura"/>
                        <w:rPr>
                          <w:sz w:val="18"/>
                          <w:szCs w:val="18"/>
                          <w:lang w:val="en-GB"/>
                        </w:rPr>
                      </w:pPr>
                      <w:r>
                        <w:rPr>
                          <w:sz w:val="18"/>
                          <w:szCs w:val="18"/>
                          <w:lang w:val="en-GB"/>
                        </w:rPr>
                        <w:t>Figure</w:t>
                      </w:r>
                      <w:r w:rsidRPr="004D3582">
                        <w:rPr>
                          <w:sz w:val="18"/>
                          <w:szCs w:val="18"/>
                          <w:lang w:val="en-GB"/>
                        </w:rPr>
                        <w:t xml:space="preserve"> 1: evolution of innovative start-ups</w:t>
                      </w:r>
                    </w:p>
                    <w:p w:rsidR="004E3DE9" w:rsidRPr="004D3582" w:rsidRDefault="004E3DE9" w:rsidP="000D3CDE">
                      <w:pPr>
                        <w:pStyle w:val="Nessunaspaziatura"/>
                        <w:rPr>
                          <w:sz w:val="18"/>
                          <w:szCs w:val="18"/>
                          <w:lang w:val="en-GB"/>
                        </w:rPr>
                      </w:pPr>
                    </w:p>
                    <w:p w:rsidR="004E3DE9" w:rsidRPr="004D3582" w:rsidRDefault="004E3DE9" w:rsidP="000D3CDE">
                      <w:pPr>
                        <w:pStyle w:val="Nessunaspaziatura"/>
                        <w:rPr>
                          <w:sz w:val="20"/>
                          <w:szCs w:val="20"/>
                          <w:lang w:val="en-GB"/>
                        </w:rPr>
                      </w:pPr>
                      <w:r>
                        <w:rPr>
                          <w:noProof/>
                          <w:lang w:eastAsia="it-IT"/>
                        </w:rPr>
                        <w:drawing>
                          <wp:inline distT="0" distB="0" distL="0" distR="0" wp14:anchorId="6E246351" wp14:editId="050307AD">
                            <wp:extent cx="2725046" cy="1507787"/>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447" cy="1511882"/>
                                    </a:xfrm>
                                    <a:prstGeom prst="rect">
                                      <a:avLst/>
                                    </a:prstGeom>
                                    <a:noFill/>
                                    <a:ln>
                                      <a:noFill/>
                                    </a:ln>
                                  </pic:spPr>
                                </pic:pic>
                              </a:graphicData>
                            </a:graphic>
                          </wp:inline>
                        </w:drawing>
                      </w:r>
                    </w:p>
                    <w:p w:rsidR="004E3DE9" w:rsidRPr="002F390B" w:rsidRDefault="004E3DE9" w:rsidP="000D3CDE">
                      <w:pPr>
                        <w:pStyle w:val="Nessunaspaziatura"/>
                        <w:spacing w:before="120"/>
                        <w:rPr>
                          <w:i/>
                          <w:sz w:val="18"/>
                          <w:szCs w:val="18"/>
                          <w:lang w:val="en-US"/>
                        </w:rPr>
                      </w:pPr>
                      <w:r w:rsidRPr="002F390B">
                        <w:rPr>
                          <w:b/>
                          <w:i/>
                          <w:sz w:val="18"/>
                          <w:szCs w:val="18"/>
                          <w:lang w:val="en-US"/>
                        </w:rPr>
                        <w:t>Source:</w:t>
                      </w:r>
                      <w:r w:rsidRPr="002F390B">
                        <w:rPr>
                          <w:i/>
                          <w:sz w:val="18"/>
                          <w:szCs w:val="18"/>
                          <w:lang w:val="en-US"/>
                        </w:rPr>
                        <w:t xml:space="preserve"> based on data from </w:t>
                      </w:r>
                      <w:r w:rsidRPr="002F390B">
                        <w:rPr>
                          <w:i/>
                          <w:sz w:val="18"/>
                          <w:szCs w:val="18"/>
                          <w:lang w:val="en-US"/>
                        </w:rPr>
                        <w:t>Infocamere</w:t>
                      </w:r>
                    </w:p>
                    <w:p w:rsidR="004E3DE9" w:rsidRPr="002F390B" w:rsidRDefault="004E3DE9" w:rsidP="000D3CDE">
                      <w:pPr>
                        <w:pStyle w:val="Nessunaspaziatura"/>
                        <w:spacing w:before="120"/>
                        <w:rPr>
                          <w:i/>
                          <w:sz w:val="18"/>
                          <w:szCs w:val="18"/>
                          <w:lang w:val="en-US"/>
                        </w:rPr>
                      </w:pPr>
                    </w:p>
                    <w:p w:rsidR="004E3DE9" w:rsidRPr="002F390B" w:rsidRDefault="004E3DE9" w:rsidP="000D3CDE">
                      <w:pPr>
                        <w:pStyle w:val="Nessunaspaziatura"/>
                        <w:spacing w:before="120"/>
                        <w:rPr>
                          <w:i/>
                          <w:sz w:val="18"/>
                          <w:szCs w:val="18"/>
                          <w:lang w:val="en-US"/>
                        </w:rPr>
                      </w:pPr>
                    </w:p>
                    <w:p w:rsidR="004E3DE9" w:rsidRPr="002F390B" w:rsidRDefault="004E3DE9" w:rsidP="000D3CDE">
                      <w:pPr>
                        <w:pStyle w:val="Nessunaspaziatura"/>
                        <w:spacing w:before="120"/>
                        <w:rPr>
                          <w:i/>
                          <w:sz w:val="18"/>
                          <w:szCs w:val="18"/>
                          <w:lang w:val="en-US"/>
                        </w:rPr>
                      </w:pPr>
                    </w:p>
                    <w:p w:rsidR="004E3DE9" w:rsidRDefault="004E3DE9" w:rsidP="000D3CDE"/>
                  </w:txbxContent>
                </v:textbox>
              </v:shape>
            </w:pict>
          </mc:Fallback>
        </mc:AlternateContent>
      </w:r>
    </w:p>
    <w:p w:rsidR="00E248AA" w:rsidRDefault="00E248AA"/>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r>
        <w:rPr>
          <w:noProof/>
          <w:lang w:val="it-IT" w:eastAsia="it-IT"/>
        </w:rPr>
        <mc:AlternateContent>
          <mc:Choice Requires="wps">
            <w:drawing>
              <wp:anchor distT="0" distB="0" distL="114300" distR="114300" simplePos="0" relativeHeight="251691008" behindDoc="0" locked="0" layoutInCell="1" allowOverlap="1" wp14:anchorId="736B6D06" wp14:editId="7B4285E6">
                <wp:simplePos x="0" y="0"/>
                <wp:positionH relativeFrom="column">
                  <wp:posOffset>3357245</wp:posOffset>
                </wp:positionH>
                <wp:positionV relativeFrom="paragraph">
                  <wp:posOffset>146685</wp:posOffset>
                </wp:positionV>
                <wp:extent cx="3013710" cy="1841500"/>
                <wp:effectExtent l="0" t="0" r="15240" b="2540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841500"/>
                        </a:xfrm>
                        <a:prstGeom prst="rect">
                          <a:avLst/>
                        </a:prstGeom>
                        <a:solidFill>
                          <a:srgbClr val="FFFFFF"/>
                        </a:solidFill>
                        <a:ln w="9525">
                          <a:solidFill>
                            <a:srgbClr val="000000"/>
                          </a:solidFill>
                          <a:miter lim="800000"/>
                          <a:headEnd/>
                          <a:tailEnd/>
                        </a:ln>
                      </wps:spPr>
                      <wps:txbx>
                        <w:txbxContent>
                          <w:p w:rsidR="004E3DE9" w:rsidRPr="00565E4F" w:rsidRDefault="004E3DE9" w:rsidP="000D3CDE">
                            <w:pPr>
                              <w:pStyle w:val="Nessunaspaziatura"/>
                              <w:rPr>
                                <w:sz w:val="18"/>
                                <w:szCs w:val="18"/>
                                <w:lang w:val="en-GB"/>
                              </w:rPr>
                            </w:pPr>
                            <w:r w:rsidRPr="00565E4F">
                              <w:rPr>
                                <w:sz w:val="18"/>
                                <w:szCs w:val="18"/>
                                <w:lang w:val="en-GB"/>
                              </w:rPr>
                              <w:t>Figure 4: crow</w:t>
                            </w:r>
                            <w:r>
                              <w:rPr>
                                <w:sz w:val="18"/>
                                <w:szCs w:val="18"/>
                                <w:lang w:val="en-GB"/>
                              </w:rPr>
                              <w:t>d</w:t>
                            </w:r>
                            <w:r w:rsidRPr="00565E4F">
                              <w:rPr>
                                <w:sz w:val="18"/>
                                <w:szCs w:val="18"/>
                                <w:lang w:val="en-GB"/>
                              </w:rPr>
                              <w:t xml:space="preserve">funding in Italy 2014-2016 </w:t>
                            </w:r>
                            <w:r w:rsidRPr="00565E4F">
                              <w:rPr>
                                <w:i/>
                                <w:sz w:val="18"/>
                                <w:szCs w:val="18"/>
                                <w:lang w:val="en-GB"/>
                              </w:rPr>
                              <w:t>(€</w:t>
                            </w:r>
                            <w:r>
                              <w:rPr>
                                <w:i/>
                                <w:sz w:val="18"/>
                                <w:szCs w:val="18"/>
                                <w:lang w:val="en-GB"/>
                              </w:rPr>
                              <w:t>000’s</w:t>
                            </w:r>
                            <w:r w:rsidRPr="00565E4F">
                              <w:rPr>
                                <w:i/>
                                <w:sz w:val="18"/>
                                <w:szCs w:val="18"/>
                                <w:lang w:val="en-GB"/>
                              </w:rPr>
                              <w:t>)</w:t>
                            </w:r>
                          </w:p>
                          <w:p w:rsidR="004E3DE9" w:rsidRDefault="004E3DE9" w:rsidP="000D3CDE">
                            <w:r>
                              <w:rPr>
                                <w:noProof/>
                                <w:lang w:val="it-IT" w:eastAsia="it-IT"/>
                              </w:rPr>
                              <w:drawing>
                                <wp:inline distT="0" distB="0" distL="0" distR="0" wp14:anchorId="48161AAA" wp14:editId="1309B5F1">
                                  <wp:extent cx="2603577" cy="1186775"/>
                                  <wp:effectExtent l="0" t="0" r="635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385" cy="1186687"/>
                                          </a:xfrm>
                                          <a:prstGeom prst="rect">
                                            <a:avLst/>
                                          </a:prstGeom>
                                          <a:noFill/>
                                          <a:ln>
                                            <a:noFill/>
                                          </a:ln>
                                        </pic:spPr>
                                      </pic:pic>
                                    </a:graphicData>
                                  </a:graphic>
                                </wp:inline>
                              </w:drawing>
                            </w:r>
                          </w:p>
                          <w:p w:rsidR="004E3DE9" w:rsidRPr="00646FCF" w:rsidRDefault="004E3DE9" w:rsidP="000D3CDE">
                            <w:pPr>
                              <w:pStyle w:val="Nessunaspaziatura"/>
                              <w:spacing w:before="120"/>
                              <w:jc w:val="both"/>
                              <w:rPr>
                                <w:sz w:val="16"/>
                                <w:szCs w:val="16"/>
                                <w:lang w:val="en-GB"/>
                              </w:rPr>
                            </w:pPr>
                            <w:r w:rsidRPr="00646FCF">
                              <w:rPr>
                                <w:sz w:val="16"/>
                                <w:szCs w:val="16"/>
                                <w:lang w:val="en-GB"/>
                              </w:rPr>
                              <w:t>*</w:t>
                            </w:r>
                            <w:r>
                              <w:rPr>
                                <w:sz w:val="16"/>
                                <w:szCs w:val="16"/>
                                <w:lang w:val="en-GB"/>
                              </w:rPr>
                              <w:t>D</w:t>
                            </w:r>
                            <w:r w:rsidRPr="00646FCF">
                              <w:rPr>
                                <w:sz w:val="16"/>
                                <w:szCs w:val="16"/>
                                <w:lang w:val="en-GB"/>
                              </w:rPr>
                              <w:t>ata is updated 30 June</w:t>
                            </w:r>
                            <w:r w:rsidRPr="004A62E7">
                              <w:rPr>
                                <w:sz w:val="16"/>
                                <w:szCs w:val="16"/>
                                <w:lang w:val="en-GB"/>
                              </w:rPr>
                              <w:t xml:space="preserve"> </w:t>
                            </w:r>
                            <w:r>
                              <w:rPr>
                                <w:sz w:val="16"/>
                                <w:szCs w:val="16"/>
                                <w:lang w:val="en-GB"/>
                              </w:rPr>
                              <w:t>f</w:t>
                            </w:r>
                            <w:r w:rsidRPr="00646FCF">
                              <w:rPr>
                                <w:sz w:val="16"/>
                                <w:szCs w:val="16"/>
                                <w:lang w:val="en-GB"/>
                              </w:rPr>
                              <w:t>or the year 2016</w:t>
                            </w:r>
                          </w:p>
                          <w:p w:rsidR="004E3DE9" w:rsidRPr="008D0FFB" w:rsidRDefault="004E3DE9" w:rsidP="000D3CDE">
                            <w:pPr>
                              <w:pStyle w:val="Nessunaspaziatura"/>
                              <w:spacing w:before="120"/>
                              <w:rPr>
                                <w:i/>
                                <w:sz w:val="16"/>
                                <w:szCs w:val="16"/>
                              </w:rPr>
                            </w:pPr>
                            <w:r>
                              <w:rPr>
                                <w:b/>
                                <w:i/>
                                <w:sz w:val="16"/>
                                <w:szCs w:val="16"/>
                              </w:rPr>
                              <w:t>Source</w:t>
                            </w:r>
                            <w:r w:rsidRPr="008D0FFB">
                              <w:rPr>
                                <w:b/>
                                <w:i/>
                                <w:sz w:val="16"/>
                                <w:szCs w:val="16"/>
                              </w:rPr>
                              <w:t>:</w:t>
                            </w:r>
                            <w:r w:rsidRPr="008D0FFB">
                              <w:rPr>
                                <w:i/>
                                <w:sz w:val="16"/>
                                <w:szCs w:val="16"/>
                              </w:rPr>
                              <w:t xml:space="preserve"> Crowfundingbuzz.it</w:t>
                            </w:r>
                          </w:p>
                          <w:p w:rsidR="004E3DE9" w:rsidRDefault="004E3DE9" w:rsidP="000D3CDE">
                            <w:pPr>
                              <w:pStyle w:val="Nessunaspaziatura"/>
                              <w:spacing w:before="120"/>
                              <w:rPr>
                                <w:i/>
                                <w:sz w:val="18"/>
                                <w:szCs w:val="18"/>
                              </w:rPr>
                            </w:pPr>
                          </w:p>
                          <w:p w:rsidR="004E3DE9" w:rsidRDefault="004E3DE9" w:rsidP="000D3CDE">
                            <w:pPr>
                              <w:pStyle w:val="Nessunaspaziatura"/>
                              <w:spacing w:before="120"/>
                              <w:rPr>
                                <w:i/>
                                <w:sz w:val="18"/>
                                <w:szCs w:val="18"/>
                              </w:rPr>
                            </w:pPr>
                          </w:p>
                          <w:p w:rsidR="004E3DE9" w:rsidRPr="005F2A7F" w:rsidRDefault="004E3DE9" w:rsidP="000D3CDE">
                            <w:pPr>
                              <w:pStyle w:val="Nessunaspaziatura"/>
                              <w:spacing w:before="120"/>
                              <w:rPr>
                                <w:i/>
                                <w:sz w:val="18"/>
                                <w:szCs w:val="18"/>
                              </w:rPr>
                            </w:pPr>
                          </w:p>
                          <w:p w:rsidR="004E3DE9" w:rsidRDefault="004E3DE9" w:rsidP="000D3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6D06" id="Casella di testo 14" o:spid="_x0000_s1028" type="#_x0000_t202" style="position:absolute;margin-left:264.35pt;margin-top:11.55pt;width:237.3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">
                <v:textbox>
                  <w:txbxContent>
                    <w:p w:rsidR="004E3DE9" w:rsidRPr="00565E4F" w:rsidRDefault="004E3DE9" w:rsidP="000D3CDE">
                      <w:pPr>
                        <w:pStyle w:val="Nessunaspaziatura"/>
                        <w:rPr>
                          <w:sz w:val="18"/>
                          <w:szCs w:val="18"/>
                          <w:lang w:val="en-GB"/>
                        </w:rPr>
                      </w:pPr>
                      <w:r w:rsidRPr="00565E4F">
                        <w:rPr>
                          <w:sz w:val="18"/>
                          <w:szCs w:val="18"/>
                          <w:lang w:val="en-GB"/>
                        </w:rPr>
                        <w:t>Figure 4: crow</w:t>
                      </w:r>
                      <w:r>
                        <w:rPr>
                          <w:sz w:val="18"/>
                          <w:szCs w:val="18"/>
                          <w:lang w:val="en-GB"/>
                        </w:rPr>
                        <w:t>d</w:t>
                      </w:r>
                      <w:r w:rsidRPr="00565E4F">
                        <w:rPr>
                          <w:sz w:val="18"/>
                          <w:szCs w:val="18"/>
                          <w:lang w:val="en-GB"/>
                        </w:rPr>
                        <w:t xml:space="preserve">funding in Italy 2014-2016 </w:t>
                      </w:r>
                      <w:r w:rsidRPr="00565E4F">
                        <w:rPr>
                          <w:i/>
                          <w:sz w:val="18"/>
                          <w:szCs w:val="18"/>
                          <w:lang w:val="en-GB"/>
                        </w:rPr>
                        <w:t>(€</w:t>
                      </w:r>
                      <w:r>
                        <w:rPr>
                          <w:i/>
                          <w:sz w:val="18"/>
                          <w:szCs w:val="18"/>
                          <w:lang w:val="en-GB"/>
                        </w:rPr>
                        <w:t>000’s</w:t>
                      </w:r>
                      <w:r w:rsidRPr="00565E4F">
                        <w:rPr>
                          <w:i/>
                          <w:sz w:val="18"/>
                          <w:szCs w:val="18"/>
                          <w:lang w:val="en-GB"/>
                        </w:rPr>
                        <w:t>)</w:t>
                      </w:r>
                    </w:p>
                    <w:p w:rsidR="004E3DE9" w:rsidRDefault="004E3DE9" w:rsidP="000D3CDE">
                      <w:r>
                        <w:rPr>
                          <w:noProof/>
                          <w:lang w:val="it-IT" w:eastAsia="it-IT"/>
                        </w:rPr>
                        <w:drawing>
                          <wp:inline distT="0" distB="0" distL="0" distR="0" wp14:anchorId="48161AAA" wp14:editId="1309B5F1">
                            <wp:extent cx="2603577" cy="1186775"/>
                            <wp:effectExtent l="0" t="0" r="635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385" cy="1186687"/>
                                    </a:xfrm>
                                    <a:prstGeom prst="rect">
                                      <a:avLst/>
                                    </a:prstGeom>
                                    <a:noFill/>
                                    <a:ln>
                                      <a:noFill/>
                                    </a:ln>
                                  </pic:spPr>
                                </pic:pic>
                              </a:graphicData>
                            </a:graphic>
                          </wp:inline>
                        </w:drawing>
                      </w:r>
                    </w:p>
                    <w:p w:rsidR="004E3DE9" w:rsidRPr="00646FCF" w:rsidRDefault="004E3DE9" w:rsidP="000D3CDE">
                      <w:pPr>
                        <w:pStyle w:val="Nessunaspaziatura"/>
                        <w:spacing w:before="120"/>
                        <w:jc w:val="both"/>
                        <w:rPr>
                          <w:sz w:val="16"/>
                          <w:szCs w:val="16"/>
                          <w:lang w:val="en-GB"/>
                        </w:rPr>
                      </w:pPr>
                      <w:r w:rsidRPr="00646FCF">
                        <w:rPr>
                          <w:sz w:val="16"/>
                          <w:szCs w:val="16"/>
                          <w:lang w:val="en-GB"/>
                        </w:rPr>
                        <w:t>*</w:t>
                      </w:r>
                      <w:r>
                        <w:rPr>
                          <w:sz w:val="16"/>
                          <w:szCs w:val="16"/>
                          <w:lang w:val="en-GB"/>
                        </w:rPr>
                        <w:t>D</w:t>
                      </w:r>
                      <w:r w:rsidRPr="00646FCF">
                        <w:rPr>
                          <w:sz w:val="16"/>
                          <w:szCs w:val="16"/>
                          <w:lang w:val="en-GB"/>
                        </w:rPr>
                        <w:t>ata is updated 30 June</w:t>
                      </w:r>
                      <w:r w:rsidRPr="004A62E7">
                        <w:rPr>
                          <w:sz w:val="16"/>
                          <w:szCs w:val="16"/>
                          <w:lang w:val="en-GB"/>
                        </w:rPr>
                        <w:t xml:space="preserve"> </w:t>
                      </w:r>
                      <w:r>
                        <w:rPr>
                          <w:sz w:val="16"/>
                          <w:szCs w:val="16"/>
                          <w:lang w:val="en-GB"/>
                        </w:rPr>
                        <w:t>f</w:t>
                      </w:r>
                      <w:r w:rsidRPr="00646FCF">
                        <w:rPr>
                          <w:sz w:val="16"/>
                          <w:szCs w:val="16"/>
                          <w:lang w:val="en-GB"/>
                        </w:rPr>
                        <w:t>or the year 2016</w:t>
                      </w:r>
                    </w:p>
                    <w:p w:rsidR="004E3DE9" w:rsidRPr="008D0FFB" w:rsidRDefault="004E3DE9" w:rsidP="000D3CDE">
                      <w:pPr>
                        <w:pStyle w:val="Nessunaspaziatura"/>
                        <w:spacing w:before="120"/>
                        <w:rPr>
                          <w:i/>
                          <w:sz w:val="16"/>
                          <w:szCs w:val="16"/>
                        </w:rPr>
                      </w:pPr>
                      <w:r>
                        <w:rPr>
                          <w:b/>
                          <w:i/>
                          <w:sz w:val="16"/>
                          <w:szCs w:val="16"/>
                        </w:rPr>
                        <w:t>Source</w:t>
                      </w:r>
                      <w:r w:rsidRPr="008D0FFB">
                        <w:rPr>
                          <w:b/>
                          <w:i/>
                          <w:sz w:val="16"/>
                          <w:szCs w:val="16"/>
                        </w:rPr>
                        <w:t>:</w:t>
                      </w:r>
                      <w:r w:rsidRPr="008D0FFB">
                        <w:rPr>
                          <w:i/>
                          <w:sz w:val="16"/>
                          <w:szCs w:val="16"/>
                        </w:rPr>
                        <w:t xml:space="preserve"> Crowfundingbuzz.it</w:t>
                      </w:r>
                    </w:p>
                    <w:p w:rsidR="004E3DE9" w:rsidRDefault="004E3DE9" w:rsidP="000D3CDE">
                      <w:pPr>
                        <w:pStyle w:val="Nessunaspaziatura"/>
                        <w:spacing w:before="120"/>
                        <w:rPr>
                          <w:i/>
                          <w:sz w:val="18"/>
                          <w:szCs w:val="18"/>
                        </w:rPr>
                      </w:pPr>
                    </w:p>
                    <w:p w:rsidR="004E3DE9" w:rsidRDefault="004E3DE9" w:rsidP="000D3CDE">
                      <w:pPr>
                        <w:pStyle w:val="Nessunaspaziatura"/>
                        <w:spacing w:before="120"/>
                        <w:rPr>
                          <w:i/>
                          <w:sz w:val="18"/>
                          <w:szCs w:val="18"/>
                        </w:rPr>
                      </w:pPr>
                    </w:p>
                    <w:p w:rsidR="004E3DE9" w:rsidRPr="005F2A7F" w:rsidRDefault="004E3DE9" w:rsidP="000D3CDE">
                      <w:pPr>
                        <w:pStyle w:val="Nessunaspaziatura"/>
                        <w:spacing w:before="120"/>
                        <w:rPr>
                          <w:i/>
                          <w:sz w:val="18"/>
                          <w:szCs w:val="18"/>
                        </w:rPr>
                      </w:pPr>
                    </w:p>
                    <w:p w:rsidR="004E3DE9" w:rsidRDefault="004E3DE9" w:rsidP="000D3CDE"/>
                  </w:txbxContent>
                </v:textbox>
              </v:shape>
            </w:pict>
          </mc:Fallback>
        </mc:AlternateContent>
      </w:r>
      <w:r>
        <w:rPr>
          <w:noProof/>
          <w:lang w:val="it-IT" w:eastAsia="it-IT"/>
        </w:rPr>
        <mc:AlternateContent>
          <mc:Choice Requires="wps">
            <w:drawing>
              <wp:anchor distT="0" distB="0" distL="114300" distR="114300" simplePos="0" relativeHeight="251688960" behindDoc="0" locked="0" layoutInCell="1" allowOverlap="1" wp14:anchorId="3605A034" wp14:editId="10DFC3E9">
                <wp:simplePos x="0" y="0"/>
                <wp:positionH relativeFrom="column">
                  <wp:posOffset>74295</wp:posOffset>
                </wp:positionH>
                <wp:positionV relativeFrom="paragraph">
                  <wp:posOffset>127635</wp:posOffset>
                </wp:positionV>
                <wp:extent cx="3196590" cy="1841500"/>
                <wp:effectExtent l="0" t="0" r="22860" b="254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841500"/>
                        </a:xfrm>
                        <a:prstGeom prst="rect">
                          <a:avLst/>
                        </a:prstGeom>
                        <a:solidFill>
                          <a:srgbClr val="FFFFFF"/>
                        </a:solidFill>
                        <a:ln w="9525">
                          <a:solidFill>
                            <a:srgbClr val="000000"/>
                          </a:solidFill>
                          <a:miter lim="800000"/>
                          <a:headEnd/>
                          <a:tailEnd/>
                        </a:ln>
                      </wps:spPr>
                      <wps:txbx>
                        <w:txbxContent>
                          <w:p w:rsidR="004E3DE9" w:rsidRPr="00565E4F" w:rsidRDefault="004E3DE9" w:rsidP="000D3CDE">
                            <w:pPr>
                              <w:pStyle w:val="Nessunaspaziatura"/>
                              <w:rPr>
                                <w:sz w:val="18"/>
                                <w:szCs w:val="18"/>
                                <w:lang w:val="en-GB"/>
                              </w:rPr>
                            </w:pPr>
                            <w:r w:rsidRPr="00565E4F">
                              <w:rPr>
                                <w:sz w:val="18"/>
                                <w:szCs w:val="18"/>
                                <w:lang w:val="en-GB"/>
                              </w:rPr>
                              <w:t>Figure 3: crow</w:t>
                            </w:r>
                            <w:r>
                              <w:rPr>
                                <w:sz w:val="18"/>
                                <w:szCs w:val="18"/>
                                <w:lang w:val="en-GB"/>
                              </w:rPr>
                              <w:t>d</w:t>
                            </w:r>
                            <w:r w:rsidRPr="00565E4F">
                              <w:rPr>
                                <w:sz w:val="18"/>
                                <w:szCs w:val="18"/>
                                <w:lang w:val="en-GB"/>
                              </w:rPr>
                              <w:t xml:space="preserve">funding globally 2012-2015 </w:t>
                            </w:r>
                            <w:r w:rsidRPr="00565E4F">
                              <w:rPr>
                                <w:i/>
                                <w:sz w:val="18"/>
                                <w:szCs w:val="18"/>
                                <w:lang w:val="en-GB"/>
                              </w:rPr>
                              <w:t>($</w:t>
                            </w:r>
                            <w:r>
                              <w:rPr>
                                <w:i/>
                                <w:sz w:val="18"/>
                                <w:szCs w:val="18"/>
                                <w:lang w:val="en-GB"/>
                              </w:rPr>
                              <w:t>bn</w:t>
                            </w:r>
                            <w:r w:rsidRPr="00565E4F">
                              <w:rPr>
                                <w:i/>
                                <w:sz w:val="18"/>
                                <w:szCs w:val="18"/>
                                <w:lang w:val="en-GB"/>
                              </w:rPr>
                              <w:t>)</w:t>
                            </w:r>
                          </w:p>
                          <w:p w:rsidR="004E3DE9" w:rsidRDefault="004E3DE9" w:rsidP="000D3CDE">
                            <w:r w:rsidRPr="00790B26">
                              <w:rPr>
                                <w:noProof/>
                                <w:lang w:val="it-IT" w:eastAsia="it-IT"/>
                              </w:rPr>
                              <w:drawing>
                                <wp:inline distT="0" distB="0" distL="0" distR="0" wp14:anchorId="56EE5480" wp14:editId="102C9A47">
                                  <wp:extent cx="3105150" cy="120650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04764" cy="1206350"/>
                                          </a:xfrm>
                                          <a:prstGeom prst="rect">
                                            <a:avLst/>
                                          </a:prstGeom>
                                          <a:noFill/>
                                          <a:ln w="9525">
                                            <a:noFill/>
                                            <a:miter lim="800000"/>
                                            <a:headEnd/>
                                            <a:tailEnd/>
                                          </a:ln>
                                        </pic:spPr>
                                      </pic:pic>
                                    </a:graphicData>
                                  </a:graphic>
                                </wp:inline>
                              </w:drawing>
                            </w:r>
                          </w:p>
                          <w:p w:rsidR="004E3DE9" w:rsidRPr="004A7B89" w:rsidRDefault="004E3DE9" w:rsidP="000D3CDE">
                            <w:pPr>
                              <w:pStyle w:val="Nessunaspaziatura"/>
                              <w:spacing w:before="240"/>
                              <w:rPr>
                                <w:i/>
                                <w:sz w:val="16"/>
                                <w:szCs w:val="16"/>
                              </w:rPr>
                            </w:pPr>
                            <w:r>
                              <w:rPr>
                                <w:b/>
                                <w:i/>
                                <w:sz w:val="16"/>
                                <w:szCs w:val="16"/>
                              </w:rPr>
                              <w:t>Source</w:t>
                            </w:r>
                            <w:r w:rsidRPr="004A7B89">
                              <w:rPr>
                                <w:b/>
                                <w:i/>
                                <w:sz w:val="16"/>
                                <w:szCs w:val="16"/>
                              </w:rPr>
                              <w:t>:</w:t>
                            </w:r>
                            <w:r w:rsidRPr="004A7B89">
                              <w:rPr>
                                <w:i/>
                                <w:sz w:val="16"/>
                                <w:szCs w:val="16"/>
                              </w:rPr>
                              <w:t xml:space="preserve"> </w:t>
                            </w:r>
                            <w:r w:rsidRPr="004A7B89">
                              <w:rPr>
                                <w:i/>
                                <w:sz w:val="16"/>
                                <w:szCs w:val="16"/>
                              </w:rPr>
                              <w:t>Crowfunding Industry Report 2015-2016</w:t>
                            </w:r>
                          </w:p>
                          <w:p w:rsidR="004E3DE9" w:rsidRDefault="004E3DE9" w:rsidP="000D3CDE">
                            <w:pPr>
                              <w:pStyle w:val="Nessunaspaziatura"/>
                              <w:spacing w:before="120"/>
                              <w:rPr>
                                <w:i/>
                                <w:sz w:val="18"/>
                                <w:szCs w:val="18"/>
                              </w:rPr>
                            </w:pPr>
                          </w:p>
                          <w:p w:rsidR="004E3DE9" w:rsidRPr="005F2A7F" w:rsidRDefault="004E3DE9" w:rsidP="000D3CDE">
                            <w:pPr>
                              <w:pStyle w:val="Nessunaspaziatura"/>
                              <w:spacing w:before="120"/>
                              <w:rPr>
                                <w:i/>
                                <w:sz w:val="18"/>
                                <w:szCs w:val="18"/>
                              </w:rPr>
                            </w:pPr>
                          </w:p>
                          <w:p w:rsidR="004E3DE9" w:rsidRDefault="004E3DE9" w:rsidP="000D3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A034" id="Casella di testo 1" o:spid="_x0000_s1029" type="#_x0000_t202" style="position:absolute;margin-left:5.85pt;margin-top:10.05pt;width:251.7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">
                <v:textbox>
                  <w:txbxContent>
                    <w:p w:rsidR="004E3DE9" w:rsidRPr="00565E4F" w:rsidRDefault="004E3DE9" w:rsidP="000D3CDE">
                      <w:pPr>
                        <w:pStyle w:val="Nessunaspaziatura"/>
                        <w:rPr>
                          <w:sz w:val="18"/>
                          <w:szCs w:val="18"/>
                          <w:lang w:val="en-GB"/>
                        </w:rPr>
                      </w:pPr>
                      <w:r w:rsidRPr="00565E4F">
                        <w:rPr>
                          <w:sz w:val="18"/>
                          <w:szCs w:val="18"/>
                          <w:lang w:val="en-GB"/>
                        </w:rPr>
                        <w:t>Figure 3: crow</w:t>
                      </w:r>
                      <w:r>
                        <w:rPr>
                          <w:sz w:val="18"/>
                          <w:szCs w:val="18"/>
                          <w:lang w:val="en-GB"/>
                        </w:rPr>
                        <w:t>d</w:t>
                      </w:r>
                      <w:r w:rsidRPr="00565E4F">
                        <w:rPr>
                          <w:sz w:val="18"/>
                          <w:szCs w:val="18"/>
                          <w:lang w:val="en-GB"/>
                        </w:rPr>
                        <w:t xml:space="preserve">funding globally 2012-2015 </w:t>
                      </w:r>
                      <w:r w:rsidRPr="00565E4F">
                        <w:rPr>
                          <w:i/>
                          <w:sz w:val="18"/>
                          <w:szCs w:val="18"/>
                          <w:lang w:val="en-GB"/>
                        </w:rPr>
                        <w:t>($</w:t>
                      </w:r>
                      <w:r>
                        <w:rPr>
                          <w:i/>
                          <w:sz w:val="18"/>
                          <w:szCs w:val="18"/>
                          <w:lang w:val="en-GB"/>
                        </w:rPr>
                        <w:t>bn</w:t>
                      </w:r>
                      <w:r w:rsidRPr="00565E4F">
                        <w:rPr>
                          <w:i/>
                          <w:sz w:val="18"/>
                          <w:szCs w:val="18"/>
                          <w:lang w:val="en-GB"/>
                        </w:rPr>
                        <w:t>)</w:t>
                      </w:r>
                    </w:p>
                    <w:p w:rsidR="004E3DE9" w:rsidRDefault="004E3DE9" w:rsidP="000D3CDE">
                      <w:r w:rsidRPr="00790B26">
                        <w:rPr>
                          <w:noProof/>
                          <w:lang w:val="it-IT" w:eastAsia="it-IT"/>
                        </w:rPr>
                        <w:drawing>
                          <wp:inline distT="0" distB="0" distL="0" distR="0" wp14:anchorId="56EE5480" wp14:editId="102C9A47">
                            <wp:extent cx="3105150" cy="120650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04764" cy="1206350"/>
                                    </a:xfrm>
                                    <a:prstGeom prst="rect">
                                      <a:avLst/>
                                    </a:prstGeom>
                                    <a:noFill/>
                                    <a:ln w="9525">
                                      <a:noFill/>
                                      <a:miter lim="800000"/>
                                      <a:headEnd/>
                                      <a:tailEnd/>
                                    </a:ln>
                                  </pic:spPr>
                                </pic:pic>
                              </a:graphicData>
                            </a:graphic>
                          </wp:inline>
                        </w:drawing>
                      </w:r>
                    </w:p>
                    <w:p w:rsidR="004E3DE9" w:rsidRPr="004A7B89" w:rsidRDefault="004E3DE9" w:rsidP="000D3CDE">
                      <w:pPr>
                        <w:pStyle w:val="Nessunaspaziatura"/>
                        <w:spacing w:before="240"/>
                        <w:rPr>
                          <w:i/>
                          <w:sz w:val="16"/>
                          <w:szCs w:val="16"/>
                        </w:rPr>
                      </w:pPr>
                      <w:r>
                        <w:rPr>
                          <w:b/>
                          <w:i/>
                          <w:sz w:val="16"/>
                          <w:szCs w:val="16"/>
                        </w:rPr>
                        <w:t>Source</w:t>
                      </w:r>
                      <w:r w:rsidRPr="004A7B89">
                        <w:rPr>
                          <w:b/>
                          <w:i/>
                          <w:sz w:val="16"/>
                          <w:szCs w:val="16"/>
                        </w:rPr>
                        <w:t>:</w:t>
                      </w:r>
                      <w:r w:rsidRPr="004A7B89">
                        <w:rPr>
                          <w:i/>
                          <w:sz w:val="16"/>
                          <w:szCs w:val="16"/>
                        </w:rPr>
                        <w:t xml:space="preserve"> </w:t>
                      </w:r>
                      <w:r w:rsidRPr="004A7B89">
                        <w:rPr>
                          <w:i/>
                          <w:sz w:val="16"/>
                          <w:szCs w:val="16"/>
                        </w:rPr>
                        <w:t>Crowfunding Industry Report 2015-2016</w:t>
                      </w:r>
                    </w:p>
                    <w:p w:rsidR="004E3DE9" w:rsidRDefault="004E3DE9" w:rsidP="000D3CDE">
                      <w:pPr>
                        <w:pStyle w:val="Nessunaspaziatura"/>
                        <w:spacing w:before="120"/>
                        <w:rPr>
                          <w:i/>
                          <w:sz w:val="18"/>
                          <w:szCs w:val="18"/>
                        </w:rPr>
                      </w:pPr>
                    </w:p>
                    <w:p w:rsidR="004E3DE9" w:rsidRPr="005F2A7F" w:rsidRDefault="004E3DE9" w:rsidP="000D3CDE">
                      <w:pPr>
                        <w:pStyle w:val="Nessunaspaziatura"/>
                        <w:spacing w:before="120"/>
                        <w:rPr>
                          <w:i/>
                          <w:sz w:val="18"/>
                          <w:szCs w:val="18"/>
                        </w:rPr>
                      </w:pPr>
                    </w:p>
                    <w:p w:rsidR="004E3DE9" w:rsidRDefault="004E3DE9" w:rsidP="000D3CDE"/>
                  </w:txbxContent>
                </v:textbox>
              </v:shape>
            </w:pict>
          </mc:Fallback>
        </mc:AlternateContent>
      </w:r>
    </w:p>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r>
        <w:rPr>
          <w:noProof/>
          <w:lang w:val="it-IT" w:eastAsia="it-IT"/>
        </w:rPr>
        <mc:AlternateContent>
          <mc:Choice Requires="wps">
            <w:drawing>
              <wp:anchor distT="0" distB="0" distL="114300" distR="114300" simplePos="0" relativeHeight="251695104" behindDoc="0" locked="0" layoutInCell="1" allowOverlap="1" wp14:anchorId="1661542E" wp14:editId="2EE7349D">
                <wp:simplePos x="0" y="0"/>
                <wp:positionH relativeFrom="column">
                  <wp:posOffset>3359150</wp:posOffset>
                </wp:positionH>
                <wp:positionV relativeFrom="paragraph">
                  <wp:posOffset>95885</wp:posOffset>
                </wp:positionV>
                <wp:extent cx="3116580" cy="2194560"/>
                <wp:effectExtent l="0" t="0" r="26670" b="1524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194560"/>
                        </a:xfrm>
                        <a:prstGeom prst="rect">
                          <a:avLst/>
                        </a:prstGeom>
                        <a:solidFill>
                          <a:srgbClr val="FFFFFF"/>
                        </a:solidFill>
                        <a:ln w="9525">
                          <a:solidFill>
                            <a:srgbClr val="000000"/>
                          </a:solidFill>
                          <a:miter lim="800000"/>
                          <a:headEnd/>
                          <a:tailEnd/>
                        </a:ln>
                      </wps:spPr>
                      <wps:txbx>
                        <w:txbxContent>
                          <w:p w:rsidR="004E3DE9" w:rsidRDefault="004E3DE9" w:rsidP="000D3CDE">
                            <w:pPr>
                              <w:jc w:val="both"/>
                              <w:rPr>
                                <w:sz w:val="18"/>
                                <w:szCs w:val="18"/>
                              </w:rPr>
                            </w:pPr>
                            <w:r w:rsidRPr="005667D6">
                              <w:rPr>
                                <w:sz w:val="18"/>
                                <w:szCs w:val="18"/>
                              </w:rPr>
                              <w:t xml:space="preserve">Figure 6: </w:t>
                            </w:r>
                            <w:r w:rsidRPr="005667D6">
                              <w:rPr>
                                <w:sz w:val="18"/>
                                <w:szCs w:val="18"/>
                              </w:rPr>
                              <w:t>ealy stage investments by</w:t>
                            </w:r>
                            <w:r>
                              <w:rPr>
                                <w:sz w:val="18"/>
                                <w:szCs w:val="18"/>
                              </w:rPr>
                              <w:t xml:space="preserve"> operator type at 31 De</w:t>
                            </w:r>
                            <w:r w:rsidRPr="005667D6">
                              <w:rPr>
                                <w:sz w:val="18"/>
                                <w:szCs w:val="18"/>
                              </w:rPr>
                              <w:t>cemb</w:t>
                            </w:r>
                            <w:r>
                              <w:rPr>
                                <w:sz w:val="18"/>
                                <w:szCs w:val="18"/>
                              </w:rPr>
                              <w:t>e</w:t>
                            </w:r>
                            <w:r w:rsidRPr="005667D6">
                              <w:rPr>
                                <w:sz w:val="18"/>
                                <w:szCs w:val="18"/>
                              </w:rPr>
                              <w:t>r 201</w:t>
                            </w:r>
                            <w:r>
                              <w:rPr>
                                <w:sz w:val="18"/>
                                <w:szCs w:val="18"/>
                              </w:rPr>
                              <w:t>6</w:t>
                            </w:r>
                          </w:p>
                          <w:p w:rsidR="004E3DE9" w:rsidRPr="00F66003" w:rsidRDefault="004E3DE9" w:rsidP="000D3CDE">
                            <w:pPr>
                              <w:spacing w:after="240"/>
                              <w:jc w:val="both"/>
                              <w:rPr>
                                <w:sz w:val="18"/>
                                <w:szCs w:val="18"/>
                                <w:lang w:val="en-US"/>
                              </w:rPr>
                            </w:pPr>
                            <w:r>
                              <w:rPr>
                                <w:noProof/>
                                <w:lang w:val="it-IT" w:eastAsia="it-IT"/>
                              </w:rPr>
                              <w:drawing>
                                <wp:inline distT="0" distB="0" distL="0" distR="0" wp14:anchorId="7778BB6D" wp14:editId="6DBB3CB5">
                                  <wp:extent cx="2764800" cy="1504800"/>
                                  <wp:effectExtent l="0" t="0" r="0" b="635"/>
                                  <wp:docPr id="28"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4800" cy="1504800"/>
                                          </a:xfrm>
                                          <a:prstGeom prst="rect">
                                            <a:avLst/>
                                          </a:prstGeom>
                                          <a:noFill/>
                                          <a:ln>
                                            <a:noFill/>
                                          </a:ln>
                                        </pic:spPr>
                                      </pic:pic>
                                    </a:graphicData>
                                  </a:graphic>
                                </wp:inline>
                              </w:drawing>
                            </w:r>
                          </w:p>
                          <w:p w:rsidR="004E3DE9" w:rsidRPr="00F66003" w:rsidRDefault="004E3DE9" w:rsidP="000D3CDE">
                            <w:pPr>
                              <w:pStyle w:val="Nessunaspaziatura"/>
                              <w:spacing w:before="120"/>
                              <w:rPr>
                                <w:i/>
                                <w:sz w:val="18"/>
                                <w:szCs w:val="18"/>
                                <w:lang w:val="en-US"/>
                              </w:rPr>
                            </w:pPr>
                            <w:r w:rsidRPr="00F66003">
                              <w:rPr>
                                <w:b/>
                                <w:i/>
                                <w:sz w:val="18"/>
                                <w:szCs w:val="18"/>
                                <w:lang w:val="en-US"/>
                              </w:rPr>
                              <w:t xml:space="preserve"> </w:t>
                            </w:r>
                            <w:r>
                              <w:rPr>
                                <w:b/>
                                <w:i/>
                                <w:sz w:val="18"/>
                                <w:szCs w:val="18"/>
                                <w:lang w:val="en-US"/>
                              </w:rPr>
                              <w:t>Source</w:t>
                            </w:r>
                            <w:r w:rsidRPr="00F66003">
                              <w:rPr>
                                <w:b/>
                                <w:i/>
                                <w:sz w:val="18"/>
                                <w:szCs w:val="18"/>
                                <w:lang w:val="en-US"/>
                              </w:rPr>
                              <w:t>:</w:t>
                            </w:r>
                            <w:r w:rsidRPr="00F66003">
                              <w:rPr>
                                <w:i/>
                                <w:sz w:val="18"/>
                                <w:szCs w:val="18"/>
                                <w:lang w:val="en-US"/>
                              </w:rPr>
                              <w:t xml:space="preserve"> based on data from AIFI and PwC</w:t>
                            </w:r>
                          </w:p>
                          <w:p w:rsidR="004E3DE9" w:rsidRPr="00F66003" w:rsidRDefault="004E3DE9" w:rsidP="000D3CDE">
                            <w:pPr>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542E" id="Casella di testo 26" o:spid="_x0000_s1030" type="#_x0000_t202" style="position:absolute;margin-left:264.5pt;margin-top:7.55pt;width:245.4pt;height:17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">
                <v:textbox>
                  <w:txbxContent>
                    <w:p w:rsidR="004E3DE9" w:rsidRDefault="004E3DE9" w:rsidP="000D3CDE">
                      <w:pPr>
                        <w:jc w:val="both"/>
                        <w:rPr>
                          <w:sz w:val="18"/>
                          <w:szCs w:val="18"/>
                        </w:rPr>
                      </w:pPr>
                      <w:r w:rsidRPr="005667D6">
                        <w:rPr>
                          <w:sz w:val="18"/>
                          <w:szCs w:val="18"/>
                        </w:rPr>
                        <w:t xml:space="preserve">Figure 6: </w:t>
                      </w:r>
                      <w:r w:rsidRPr="005667D6">
                        <w:rPr>
                          <w:sz w:val="18"/>
                          <w:szCs w:val="18"/>
                        </w:rPr>
                        <w:t>ealy stage investments by</w:t>
                      </w:r>
                      <w:r>
                        <w:rPr>
                          <w:sz w:val="18"/>
                          <w:szCs w:val="18"/>
                        </w:rPr>
                        <w:t xml:space="preserve"> operator type at 31 De</w:t>
                      </w:r>
                      <w:r w:rsidRPr="005667D6">
                        <w:rPr>
                          <w:sz w:val="18"/>
                          <w:szCs w:val="18"/>
                        </w:rPr>
                        <w:t>cemb</w:t>
                      </w:r>
                      <w:r>
                        <w:rPr>
                          <w:sz w:val="18"/>
                          <w:szCs w:val="18"/>
                        </w:rPr>
                        <w:t>e</w:t>
                      </w:r>
                      <w:r w:rsidRPr="005667D6">
                        <w:rPr>
                          <w:sz w:val="18"/>
                          <w:szCs w:val="18"/>
                        </w:rPr>
                        <w:t>r 201</w:t>
                      </w:r>
                      <w:r>
                        <w:rPr>
                          <w:sz w:val="18"/>
                          <w:szCs w:val="18"/>
                        </w:rPr>
                        <w:t>6</w:t>
                      </w:r>
                    </w:p>
                    <w:p w:rsidR="004E3DE9" w:rsidRPr="00F66003" w:rsidRDefault="004E3DE9" w:rsidP="000D3CDE">
                      <w:pPr>
                        <w:spacing w:after="240"/>
                        <w:jc w:val="both"/>
                        <w:rPr>
                          <w:sz w:val="18"/>
                          <w:szCs w:val="18"/>
                          <w:lang w:val="en-US"/>
                        </w:rPr>
                      </w:pPr>
                      <w:r>
                        <w:rPr>
                          <w:noProof/>
                          <w:lang w:val="it-IT" w:eastAsia="it-IT"/>
                        </w:rPr>
                        <w:drawing>
                          <wp:inline distT="0" distB="0" distL="0" distR="0" wp14:anchorId="7778BB6D" wp14:editId="6DBB3CB5">
                            <wp:extent cx="2764800" cy="1504800"/>
                            <wp:effectExtent l="0" t="0" r="0" b="635"/>
                            <wp:docPr id="28"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4800" cy="1504800"/>
                                    </a:xfrm>
                                    <a:prstGeom prst="rect">
                                      <a:avLst/>
                                    </a:prstGeom>
                                    <a:noFill/>
                                    <a:ln>
                                      <a:noFill/>
                                    </a:ln>
                                  </pic:spPr>
                                </pic:pic>
                              </a:graphicData>
                            </a:graphic>
                          </wp:inline>
                        </w:drawing>
                      </w:r>
                    </w:p>
                    <w:p w:rsidR="004E3DE9" w:rsidRPr="00F66003" w:rsidRDefault="004E3DE9" w:rsidP="000D3CDE">
                      <w:pPr>
                        <w:pStyle w:val="Nessunaspaziatura"/>
                        <w:spacing w:before="120"/>
                        <w:rPr>
                          <w:i/>
                          <w:sz w:val="18"/>
                          <w:szCs w:val="18"/>
                          <w:lang w:val="en-US"/>
                        </w:rPr>
                      </w:pPr>
                      <w:r w:rsidRPr="00F66003">
                        <w:rPr>
                          <w:b/>
                          <w:i/>
                          <w:sz w:val="18"/>
                          <w:szCs w:val="18"/>
                          <w:lang w:val="en-US"/>
                        </w:rPr>
                        <w:t xml:space="preserve"> </w:t>
                      </w:r>
                      <w:r>
                        <w:rPr>
                          <w:b/>
                          <w:i/>
                          <w:sz w:val="18"/>
                          <w:szCs w:val="18"/>
                          <w:lang w:val="en-US"/>
                        </w:rPr>
                        <w:t>Source</w:t>
                      </w:r>
                      <w:r w:rsidRPr="00F66003">
                        <w:rPr>
                          <w:b/>
                          <w:i/>
                          <w:sz w:val="18"/>
                          <w:szCs w:val="18"/>
                          <w:lang w:val="en-US"/>
                        </w:rPr>
                        <w:t>:</w:t>
                      </w:r>
                      <w:r w:rsidRPr="00F66003">
                        <w:rPr>
                          <w:i/>
                          <w:sz w:val="18"/>
                          <w:szCs w:val="18"/>
                          <w:lang w:val="en-US"/>
                        </w:rPr>
                        <w:t xml:space="preserve"> based on data from AIFI and PwC</w:t>
                      </w:r>
                    </w:p>
                    <w:p w:rsidR="004E3DE9" w:rsidRPr="00F66003" w:rsidRDefault="004E3DE9" w:rsidP="000D3CDE">
                      <w:pPr>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rPr>
                          <w:lang w:val="en-US"/>
                        </w:rPr>
                      </w:pPr>
                    </w:p>
                  </w:txbxContent>
                </v:textbox>
              </v:shape>
            </w:pict>
          </mc:Fallback>
        </mc:AlternateContent>
      </w:r>
      <w:r>
        <w:rPr>
          <w:noProof/>
          <w:lang w:val="it-IT" w:eastAsia="it-IT"/>
        </w:rPr>
        <mc:AlternateContent>
          <mc:Choice Requires="wps">
            <w:drawing>
              <wp:anchor distT="0" distB="0" distL="114300" distR="114300" simplePos="0" relativeHeight="251693056" behindDoc="0" locked="0" layoutInCell="1" allowOverlap="1" wp14:anchorId="1DC06D17" wp14:editId="7A25C772">
                <wp:simplePos x="0" y="0"/>
                <wp:positionH relativeFrom="column">
                  <wp:posOffset>43815</wp:posOffset>
                </wp:positionH>
                <wp:positionV relativeFrom="paragraph">
                  <wp:posOffset>100965</wp:posOffset>
                </wp:positionV>
                <wp:extent cx="3131820" cy="2194560"/>
                <wp:effectExtent l="0" t="0" r="11430" b="1524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194560"/>
                        </a:xfrm>
                        <a:prstGeom prst="rect">
                          <a:avLst/>
                        </a:prstGeom>
                        <a:solidFill>
                          <a:srgbClr val="FFFFFF"/>
                        </a:solidFill>
                        <a:ln w="9525">
                          <a:solidFill>
                            <a:srgbClr val="000000"/>
                          </a:solidFill>
                          <a:miter lim="800000"/>
                          <a:headEnd/>
                          <a:tailEnd/>
                        </a:ln>
                      </wps:spPr>
                      <wps:txbx>
                        <w:txbxContent>
                          <w:p w:rsidR="004E3DE9" w:rsidRPr="00F66003" w:rsidRDefault="004E3DE9" w:rsidP="000D3CDE">
                            <w:pPr>
                              <w:rPr>
                                <w:sz w:val="18"/>
                                <w:szCs w:val="18"/>
                                <w:lang w:val="en-US"/>
                              </w:rPr>
                            </w:pPr>
                            <w:r w:rsidRPr="005667D6">
                              <w:rPr>
                                <w:sz w:val="18"/>
                                <w:szCs w:val="18"/>
                              </w:rPr>
                              <w:t xml:space="preserve">Figure 5: </w:t>
                            </w:r>
                            <w:r w:rsidRPr="005667D6">
                              <w:rPr>
                                <w:i/>
                                <w:sz w:val="18"/>
                                <w:szCs w:val="18"/>
                              </w:rPr>
                              <w:t>early stage</w:t>
                            </w:r>
                            <w:r>
                              <w:rPr>
                                <w:sz w:val="18"/>
                                <w:szCs w:val="18"/>
                              </w:rPr>
                              <w:t xml:space="preserve"> investments in Italy 2013-2016</w:t>
                            </w:r>
                          </w:p>
                          <w:p w:rsidR="004E3DE9" w:rsidRPr="008A3404" w:rsidRDefault="004E3DE9" w:rsidP="000D3CDE">
                            <w:pPr>
                              <w:rPr>
                                <w:lang w:val="en-US"/>
                              </w:rPr>
                            </w:pPr>
                            <w:r w:rsidRPr="008A3404">
                              <w:rPr>
                                <w:noProof/>
                                <w:lang w:val="it-IT" w:eastAsia="it-IT"/>
                              </w:rPr>
                              <w:drawing>
                                <wp:inline distT="0" distB="0" distL="0" distR="0" wp14:anchorId="019F3A2A" wp14:editId="54871933">
                                  <wp:extent cx="2979420" cy="169926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80018" cy="1699601"/>
                                          </a:xfrm>
                                          <a:prstGeom prst="rect">
                                            <a:avLst/>
                                          </a:prstGeom>
                                          <a:noFill/>
                                          <a:ln w="9525">
                                            <a:noFill/>
                                            <a:miter lim="800000"/>
                                            <a:headEnd/>
                                            <a:tailEnd/>
                                          </a:ln>
                                        </pic:spPr>
                                      </pic:pic>
                                    </a:graphicData>
                                  </a:graphic>
                                </wp:inline>
                              </w:drawing>
                            </w:r>
                          </w:p>
                          <w:p w:rsidR="004E3DE9" w:rsidRPr="00F66003" w:rsidRDefault="004E3DE9" w:rsidP="000D3CDE">
                            <w:pPr>
                              <w:pStyle w:val="Nessunaspaziatura"/>
                              <w:spacing w:before="120"/>
                              <w:rPr>
                                <w:i/>
                                <w:sz w:val="18"/>
                                <w:szCs w:val="18"/>
                                <w:lang w:val="en-US"/>
                              </w:rPr>
                            </w:pPr>
                            <w:r>
                              <w:rPr>
                                <w:b/>
                                <w:i/>
                                <w:sz w:val="18"/>
                                <w:szCs w:val="18"/>
                                <w:lang w:val="en-US"/>
                              </w:rPr>
                              <w:t>Source</w:t>
                            </w:r>
                            <w:r w:rsidRPr="00F66003">
                              <w:rPr>
                                <w:b/>
                                <w:i/>
                                <w:sz w:val="18"/>
                                <w:szCs w:val="18"/>
                                <w:lang w:val="en-US"/>
                              </w:rPr>
                              <w:t>:</w:t>
                            </w:r>
                            <w:r w:rsidRPr="00F66003">
                              <w:rPr>
                                <w:i/>
                                <w:sz w:val="18"/>
                                <w:szCs w:val="18"/>
                                <w:lang w:val="en-US"/>
                              </w:rPr>
                              <w:t xml:space="preserve"> based on data from AIFI and PwC</w:t>
                            </w:r>
                          </w:p>
                          <w:p w:rsidR="004E3DE9" w:rsidRPr="00F66003" w:rsidRDefault="004E3DE9" w:rsidP="000D3CDE">
                            <w:pPr>
                              <w:pStyle w:val="Nessunaspaziatura"/>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06D17" id="Casella di testo 31" o:spid="_x0000_s1031" type="#_x0000_t202" style="position:absolute;margin-left:3.45pt;margin-top:7.95pt;width:246.6pt;height:17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">
                <v:textbox>
                  <w:txbxContent>
                    <w:p w:rsidR="004E3DE9" w:rsidRPr="00F66003" w:rsidRDefault="004E3DE9" w:rsidP="000D3CDE">
                      <w:pPr>
                        <w:rPr>
                          <w:sz w:val="18"/>
                          <w:szCs w:val="18"/>
                          <w:lang w:val="en-US"/>
                        </w:rPr>
                      </w:pPr>
                      <w:r w:rsidRPr="005667D6">
                        <w:rPr>
                          <w:sz w:val="18"/>
                          <w:szCs w:val="18"/>
                        </w:rPr>
                        <w:t xml:space="preserve">Figure 5: </w:t>
                      </w:r>
                      <w:r w:rsidRPr="005667D6">
                        <w:rPr>
                          <w:i/>
                          <w:sz w:val="18"/>
                          <w:szCs w:val="18"/>
                        </w:rPr>
                        <w:t>early stage</w:t>
                      </w:r>
                      <w:r>
                        <w:rPr>
                          <w:sz w:val="18"/>
                          <w:szCs w:val="18"/>
                        </w:rPr>
                        <w:t xml:space="preserve"> investments in Italy 2013-2016</w:t>
                      </w:r>
                    </w:p>
                    <w:p w:rsidR="004E3DE9" w:rsidRPr="008A3404" w:rsidRDefault="004E3DE9" w:rsidP="000D3CDE">
                      <w:pPr>
                        <w:rPr>
                          <w:lang w:val="en-US"/>
                        </w:rPr>
                      </w:pPr>
                      <w:r w:rsidRPr="008A3404">
                        <w:rPr>
                          <w:noProof/>
                          <w:lang w:val="it-IT" w:eastAsia="it-IT"/>
                        </w:rPr>
                        <w:drawing>
                          <wp:inline distT="0" distB="0" distL="0" distR="0" wp14:anchorId="019F3A2A" wp14:editId="54871933">
                            <wp:extent cx="2979420" cy="169926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80018" cy="1699601"/>
                                    </a:xfrm>
                                    <a:prstGeom prst="rect">
                                      <a:avLst/>
                                    </a:prstGeom>
                                    <a:noFill/>
                                    <a:ln w="9525">
                                      <a:noFill/>
                                      <a:miter lim="800000"/>
                                      <a:headEnd/>
                                      <a:tailEnd/>
                                    </a:ln>
                                  </pic:spPr>
                                </pic:pic>
                              </a:graphicData>
                            </a:graphic>
                          </wp:inline>
                        </w:drawing>
                      </w:r>
                    </w:p>
                    <w:p w:rsidR="004E3DE9" w:rsidRPr="00F66003" w:rsidRDefault="004E3DE9" w:rsidP="000D3CDE">
                      <w:pPr>
                        <w:pStyle w:val="Nessunaspaziatura"/>
                        <w:spacing w:before="120"/>
                        <w:rPr>
                          <w:i/>
                          <w:sz w:val="18"/>
                          <w:szCs w:val="18"/>
                          <w:lang w:val="en-US"/>
                        </w:rPr>
                      </w:pPr>
                      <w:r>
                        <w:rPr>
                          <w:b/>
                          <w:i/>
                          <w:sz w:val="18"/>
                          <w:szCs w:val="18"/>
                          <w:lang w:val="en-US"/>
                        </w:rPr>
                        <w:t>Source</w:t>
                      </w:r>
                      <w:r w:rsidRPr="00F66003">
                        <w:rPr>
                          <w:b/>
                          <w:i/>
                          <w:sz w:val="18"/>
                          <w:szCs w:val="18"/>
                          <w:lang w:val="en-US"/>
                        </w:rPr>
                        <w:t>:</w:t>
                      </w:r>
                      <w:r w:rsidRPr="00F66003">
                        <w:rPr>
                          <w:i/>
                          <w:sz w:val="18"/>
                          <w:szCs w:val="18"/>
                          <w:lang w:val="en-US"/>
                        </w:rPr>
                        <w:t xml:space="preserve"> based on data from AIFI and PwC</w:t>
                      </w:r>
                    </w:p>
                    <w:p w:rsidR="004E3DE9" w:rsidRPr="00F66003" w:rsidRDefault="004E3DE9" w:rsidP="000D3CDE">
                      <w:pPr>
                        <w:pStyle w:val="Nessunaspaziatura"/>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pStyle w:val="Nessunaspaziatura"/>
                        <w:spacing w:before="120"/>
                        <w:rPr>
                          <w:i/>
                          <w:sz w:val="18"/>
                          <w:szCs w:val="18"/>
                          <w:lang w:val="en-US"/>
                        </w:rPr>
                      </w:pPr>
                    </w:p>
                    <w:p w:rsidR="004E3DE9" w:rsidRPr="00F66003" w:rsidRDefault="004E3DE9" w:rsidP="000D3CDE">
                      <w:pPr>
                        <w:rPr>
                          <w:lang w:val="en-US"/>
                        </w:rPr>
                      </w:pPr>
                    </w:p>
                  </w:txbxContent>
                </v:textbox>
              </v:shape>
            </w:pict>
          </mc:Fallback>
        </mc:AlternateContent>
      </w:r>
    </w:p>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DA7DDA" w:rsidRDefault="00DA7DDA">
      <w:r>
        <w:rPr>
          <w:noProof/>
          <w:lang w:val="it-IT" w:eastAsia="it-IT"/>
        </w:rPr>
        <mc:AlternateContent>
          <mc:Choice Requires="wps">
            <w:drawing>
              <wp:anchor distT="0" distB="0" distL="114300" distR="114300" simplePos="0" relativeHeight="251699200" behindDoc="0" locked="0" layoutInCell="1" allowOverlap="1" wp14:anchorId="076D09DD" wp14:editId="7D200513">
                <wp:simplePos x="0" y="0"/>
                <wp:positionH relativeFrom="column">
                  <wp:posOffset>3442335</wp:posOffset>
                </wp:positionH>
                <wp:positionV relativeFrom="paragraph">
                  <wp:posOffset>43180</wp:posOffset>
                </wp:positionV>
                <wp:extent cx="3108960" cy="2028825"/>
                <wp:effectExtent l="0" t="0" r="15240" b="28575"/>
                <wp:wrapNone/>
                <wp:docPr id="463" name="Casella di testo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028825"/>
                        </a:xfrm>
                        <a:prstGeom prst="rect">
                          <a:avLst/>
                        </a:prstGeom>
                        <a:solidFill>
                          <a:srgbClr val="FFFFFF"/>
                        </a:solidFill>
                        <a:ln w="9525">
                          <a:solidFill>
                            <a:srgbClr val="000000"/>
                          </a:solidFill>
                          <a:miter lim="800000"/>
                          <a:headEnd/>
                          <a:tailEnd/>
                        </a:ln>
                      </wps:spPr>
                      <wps:txbx>
                        <w:txbxContent>
                          <w:p w:rsidR="004E3DE9" w:rsidRPr="00D547FB" w:rsidRDefault="004E3DE9" w:rsidP="000D3CDE">
                            <w:pPr>
                              <w:rPr>
                                <w:sz w:val="18"/>
                                <w:szCs w:val="18"/>
                              </w:rPr>
                            </w:pPr>
                            <w:r>
                              <w:rPr>
                                <w:sz w:val="18"/>
                                <w:szCs w:val="18"/>
                              </w:rPr>
                              <w:t>Figure 8: venture capital in Europe</w:t>
                            </w:r>
                            <w:r w:rsidRPr="00D547FB">
                              <w:rPr>
                                <w:sz w:val="18"/>
                                <w:szCs w:val="18"/>
                              </w:rPr>
                              <w:t xml:space="preserve"> 201</w:t>
                            </w:r>
                            <w:r>
                              <w:rPr>
                                <w:sz w:val="18"/>
                                <w:szCs w:val="18"/>
                              </w:rPr>
                              <w:t>3-2016</w:t>
                            </w:r>
                            <w:r w:rsidRPr="00D547FB">
                              <w:rPr>
                                <w:sz w:val="18"/>
                                <w:szCs w:val="18"/>
                              </w:rPr>
                              <w:t xml:space="preserve"> </w:t>
                            </w:r>
                            <w:r w:rsidRPr="00D547FB">
                              <w:rPr>
                                <w:i/>
                                <w:sz w:val="18"/>
                                <w:szCs w:val="18"/>
                              </w:rPr>
                              <w:t>(€</w:t>
                            </w:r>
                            <w:r>
                              <w:rPr>
                                <w:i/>
                                <w:sz w:val="18"/>
                                <w:szCs w:val="18"/>
                              </w:rPr>
                              <w:t>bn</w:t>
                            </w:r>
                            <w:r w:rsidRPr="00D547FB">
                              <w:rPr>
                                <w:i/>
                                <w:sz w:val="18"/>
                                <w:szCs w:val="18"/>
                              </w:rPr>
                              <w:t>)</w:t>
                            </w:r>
                          </w:p>
                          <w:p w:rsidR="004E3DE9" w:rsidRDefault="004E3DE9" w:rsidP="000D3CDE">
                            <w:r w:rsidRPr="008A3404">
                              <w:rPr>
                                <w:noProof/>
                                <w:lang w:val="it-IT" w:eastAsia="it-IT"/>
                              </w:rPr>
                              <w:drawing>
                                <wp:inline distT="0" distB="0" distL="0" distR="0" wp14:anchorId="07E3DE54" wp14:editId="4BD4F742">
                                  <wp:extent cx="2964180" cy="1474481"/>
                                  <wp:effectExtent l="0" t="0" r="0" b="0"/>
                                  <wp:docPr id="462" name="Immagin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967234" cy="1476000"/>
                                          </a:xfrm>
                                          <a:prstGeom prst="rect">
                                            <a:avLst/>
                                          </a:prstGeom>
                                          <a:noFill/>
                                          <a:ln w="9525">
                                            <a:noFill/>
                                            <a:miter lim="800000"/>
                                            <a:headEnd/>
                                            <a:tailEnd/>
                                          </a:ln>
                                        </pic:spPr>
                                      </pic:pic>
                                    </a:graphicData>
                                  </a:graphic>
                                </wp:inline>
                              </w:drawing>
                            </w:r>
                          </w:p>
                          <w:p w:rsidR="004E3DE9" w:rsidRDefault="004E3DE9" w:rsidP="00DA7DDA">
                            <w:pPr>
                              <w:spacing w:before="120"/>
                            </w:pPr>
                            <w:r>
                              <w:rPr>
                                <w:i/>
                                <w:sz w:val="18"/>
                                <w:szCs w:val="18"/>
                              </w:rPr>
                              <w:t xml:space="preserve"> </w:t>
                            </w:r>
                            <w:r w:rsidRPr="00F66003">
                              <w:rPr>
                                <w:b/>
                                <w:i/>
                                <w:sz w:val="18"/>
                                <w:szCs w:val="18"/>
                              </w:rPr>
                              <w:t>Source:</w:t>
                            </w:r>
                            <w:r w:rsidRPr="00F66003">
                              <w:rPr>
                                <w:i/>
                                <w:sz w:val="18"/>
                                <w:szCs w:val="18"/>
                              </w:rPr>
                              <w:t xml:space="preserve"> EVCA Yearbook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9DD" id="Casella di testo 463" o:spid="_x0000_s1032" type="#_x0000_t202" style="position:absolute;margin-left:271.05pt;margin-top:3.4pt;width:244.8pt;height:15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">
                <v:textbox>
                  <w:txbxContent>
                    <w:p w:rsidR="004E3DE9" w:rsidRPr="00D547FB" w:rsidRDefault="004E3DE9" w:rsidP="000D3CDE">
                      <w:pPr>
                        <w:rPr>
                          <w:sz w:val="18"/>
                          <w:szCs w:val="18"/>
                        </w:rPr>
                      </w:pPr>
                      <w:r>
                        <w:rPr>
                          <w:sz w:val="18"/>
                          <w:szCs w:val="18"/>
                        </w:rPr>
                        <w:t>Figure 8: venture capital in Europe</w:t>
                      </w:r>
                      <w:r w:rsidRPr="00D547FB">
                        <w:rPr>
                          <w:sz w:val="18"/>
                          <w:szCs w:val="18"/>
                        </w:rPr>
                        <w:t xml:space="preserve"> 201</w:t>
                      </w:r>
                      <w:r>
                        <w:rPr>
                          <w:sz w:val="18"/>
                          <w:szCs w:val="18"/>
                        </w:rPr>
                        <w:t>3-2016</w:t>
                      </w:r>
                      <w:r w:rsidRPr="00D547FB">
                        <w:rPr>
                          <w:sz w:val="18"/>
                          <w:szCs w:val="18"/>
                        </w:rPr>
                        <w:t xml:space="preserve"> </w:t>
                      </w:r>
                      <w:r w:rsidRPr="00D547FB">
                        <w:rPr>
                          <w:i/>
                          <w:sz w:val="18"/>
                          <w:szCs w:val="18"/>
                        </w:rPr>
                        <w:t>(€</w:t>
                      </w:r>
                      <w:r>
                        <w:rPr>
                          <w:i/>
                          <w:sz w:val="18"/>
                          <w:szCs w:val="18"/>
                        </w:rPr>
                        <w:t>bn</w:t>
                      </w:r>
                      <w:r w:rsidRPr="00D547FB">
                        <w:rPr>
                          <w:i/>
                          <w:sz w:val="18"/>
                          <w:szCs w:val="18"/>
                        </w:rPr>
                        <w:t>)</w:t>
                      </w:r>
                    </w:p>
                    <w:p w:rsidR="004E3DE9" w:rsidRDefault="004E3DE9" w:rsidP="000D3CDE">
                      <w:r w:rsidRPr="008A3404">
                        <w:rPr>
                          <w:noProof/>
                          <w:lang w:val="it-IT" w:eastAsia="it-IT"/>
                        </w:rPr>
                        <w:drawing>
                          <wp:inline distT="0" distB="0" distL="0" distR="0" wp14:anchorId="07E3DE54" wp14:editId="4BD4F742">
                            <wp:extent cx="2964180" cy="1474481"/>
                            <wp:effectExtent l="0" t="0" r="0" b="0"/>
                            <wp:docPr id="462" name="Immagin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967234" cy="1476000"/>
                                    </a:xfrm>
                                    <a:prstGeom prst="rect">
                                      <a:avLst/>
                                    </a:prstGeom>
                                    <a:noFill/>
                                    <a:ln w="9525">
                                      <a:noFill/>
                                      <a:miter lim="800000"/>
                                      <a:headEnd/>
                                      <a:tailEnd/>
                                    </a:ln>
                                  </pic:spPr>
                                </pic:pic>
                              </a:graphicData>
                            </a:graphic>
                          </wp:inline>
                        </w:drawing>
                      </w:r>
                    </w:p>
                    <w:p w:rsidR="004E3DE9" w:rsidRDefault="004E3DE9" w:rsidP="00DA7DDA">
                      <w:pPr>
                        <w:spacing w:before="120"/>
                      </w:pPr>
                      <w:r>
                        <w:rPr>
                          <w:i/>
                          <w:sz w:val="18"/>
                          <w:szCs w:val="18"/>
                        </w:rPr>
                        <w:t xml:space="preserve"> </w:t>
                      </w:r>
                      <w:r w:rsidRPr="00F66003">
                        <w:rPr>
                          <w:b/>
                          <w:i/>
                          <w:sz w:val="18"/>
                          <w:szCs w:val="18"/>
                        </w:rPr>
                        <w:t>Source:</w:t>
                      </w:r>
                      <w:r w:rsidRPr="00F66003">
                        <w:rPr>
                          <w:i/>
                          <w:sz w:val="18"/>
                          <w:szCs w:val="18"/>
                        </w:rPr>
                        <w:t xml:space="preserve"> EVCA Yearbook 2016</w:t>
                      </w:r>
                    </w:p>
                  </w:txbxContent>
                </v:textbox>
              </v:shape>
            </w:pict>
          </mc:Fallback>
        </mc:AlternateContent>
      </w:r>
      <w:r>
        <w:rPr>
          <w:noProof/>
          <w:lang w:val="it-IT" w:eastAsia="it-IT"/>
        </w:rPr>
        <mc:AlternateContent>
          <mc:Choice Requires="wps">
            <w:drawing>
              <wp:anchor distT="0" distB="0" distL="114300" distR="114300" simplePos="0" relativeHeight="251697152" behindDoc="0" locked="0" layoutInCell="1" allowOverlap="1" wp14:anchorId="6263A0B2" wp14:editId="2318BF3B">
                <wp:simplePos x="0" y="0"/>
                <wp:positionH relativeFrom="column">
                  <wp:posOffset>41910</wp:posOffset>
                </wp:positionH>
                <wp:positionV relativeFrom="paragraph">
                  <wp:posOffset>43180</wp:posOffset>
                </wp:positionV>
                <wp:extent cx="3124200" cy="2085975"/>
                <wp:effectExtent l="0" t="0" r="19050" b="28575"/>
                <wp:wrapNone/>
                <wp:docPr id="451" name="Casella di testo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85975"/>
                        </a:xfrm>
                        <a:prstGeom prst="rect">
                          <a:avLst/>
                        </a:prstGeom>
                        <a:solidFill>
                          <a:srgbClr val="FFFFFF"/>
                        </a:solidFill>
                        <a:ln w="9525">
                          <a:solidFill>
                            <a:srgbClr val="000000"/>
                          </a:solidFill>
                          <a:miter lim="800000"/>
                          <a:headEnd/>
                          <a:tailEnd/>
                        </a:ln>
                      </wps:spPr>
                      <wps:txbx>
                        <w:txbxContent>
                          <w:p w:rsidR="004E3DE9" w:rsidRPr="00F66003" w:rsidRDefault="004E3DE9" w:rsidP="000D3CDE">
                            <w:pPr>
                              <w:rPr>
                                <w:sz w:val="18"/>
                                <w:szCs w:val="18"/>
                                <w:lang w:val="en-US"/>
                              </w:rPr>
                            </w:pPr>
                            <w:r w:rsidRPr="008043BF">
                              <w:rPr>
                                <w:sz w:val="18"/>
                                <w:szCs w:val="18"/>
                              </w:rPr>
                              <w:t>Figure 7: venture capital in the US 201</w:t>
                            </w:r>
                            <w:r>
                              <w:rPr>
                                <w:sz w:val="18"/>
                                <w:szCs w:val="18"/>
                              </w:rPr>
                              <w:t>3-2016</w:t>
                            </w:r>
                          </w:p>
                          <w:p w:rsidR="004E3DE9" w:rsidRDefault="004E3DE9" w:rsidP="000D3CDE">
                            <w:r w:rsidRPr="008A3404">
                              <w:rPr>
                                <w:noProof/>
                                <w:lang w:val="it-IT" w:eastAsia="it-IT"/>
                              </w:rPr>
                              <w:drawing>
                                <wp:inline distT="0" distB="0" distL="0" distR="0" wp14:anchorId="46F4164F" wp14:editId="1D08A866">
                                  <wp:extent cx="2931795" cy="1524533"/>
                                  <wp:effectExtent l="0" t="0" r="0" b="0"/>
                                  <wp:docPr id="449" name="Immagin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31795" cy="1524533"/>
                                          </a:xfrm>
                                          <a:prstGeom prst="rect">
                                            <a:avLst/>
                                          </a:prstGeom>
                                          <a:noFill/>
                                          <a:ln w="9525">
                                            <a:noFill/>
                                            <a:miter lim="800000"/>
                                            <a:headEnd/>
                                            <a:tailEnd/>
                                          </a:ln>
                                        </pic:spPr>
                                      </pic:pic>
                                    </a:graphicData>
                                  </a:graphic>
                                </wp:inline>
                              </w:drawing>
                            </w:r>
                          </w:p>
                          <w:p w:rsidR="004E3DE9" w:rsidRPr="00DA7DDA" w:rsidRDefault="004E3DE9" w:rsidP="00DA7DDA">
                            <w:pPr>
                              <w:spacing w:before="120"/>
                              <w:rPr>
                                <w:i/>
                                <w:sz w:val="18"/>
                                <w:szCs w:val="18"/>
                                <w:lang w:val="en-US"/>
                              </w:rPr>
                            </w:pPr>
                            <w:r w:rsidRPr="00F66003">
                              <w:rPr>
                                <w:b/>
                                <w:i/>
                                <w:sz w:val="18"/>
                                <w:szCs w:val="18"/>
                                <w:lang w:val="en-US"/>
                              </w:rPr>
                              <w:t>Source:</w:t>
                            </w:r>
                            <w:r w:rsidRPr="00F66003">
                              <w:rPr>
                                <w:i/>
                                <w:sz w:val="18"/>
                                <w:szCs w:val="18"/>
                                <w:lang w:val="en-US"/>
                              </w:rPr>
                              <w:t xml:space="preserve"> NVCA Pitch Book 2Q,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A0B2" id="Casella di testo 451" o:spid="_x0000_s1033" type="#_x0000_t202" style="position:absolute;margin-left:3.3pt;margin-top:3.4pt;width:246pt;height:16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">
                <v:textbox>
                  <w:txbxContent>
                    <w:p w:rsidR="004E3DE9" w:rsidRPr="00F66003" w:rsidRDefault="004E3DE9" w:rsidP="000D3CDE">
                      <w:pPr>
                        <w:rPr>
                          <w:sz w:val="18"/>
                          <w:szCs w:val="18"/>
                          <w:lang w:val="en-US"/>
                        </w:rPr>
                      </w:pPr>
                      <w:r w:rsidRPr="008043BF">
                        <w:rPr>
                          <w:sz w:val="18"/>
                          <w:szCs w:val="18"/>
                        </w:rPr>
                        <w:t>Figure 7: venture capital in the US 201</w:t>
                      </w:r>
                      <w:r>
                        <w:rPr>
                          <w:sz w:val="18"/>
                          <w:szCs w:val="18"/>
                        </w:rPr>
                        <w:t>3-2016</w:t>
                      </w:r>
                    </w:p>
                    <w:p w:rsidR="004E3DE9" w:rsidRDefault="004E3DE9" w:rsidP="000D3CDE">
                      <w:r w:rsidRPr="008A3404">
                        <w:rPr>
                          <w:noProof/>
                          <w:lang w:val="it-IT" w:eastAsia="it-IT"/>
                        </w:rPr>
                        <w:drawing>
                          <wp:inline distT="0" distB="0" distL="0" distR="0" wp14:anchorId="46F4164F" wp14:editId="1D08A866">
                            <wp:extent cx="2931795" cy="1524533"/>
                            <wp:effectExtent l="0" t="0" r="0" b="0"/>
                            <wp:docPr id="449" name="Immagin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31795" cy="1524533"/>
                                    </a:xfrm>
                                    <a:prstGeom prst="rect">
                                      <a:avLst/>
                                    </a:prstGeom>
                                    <a:noFill/>
                                    <a:ln w="9525">
                                      <a:noFill/>
                                      <a:miter lim="800000"/>
                                      <a:headEnd/>
                                      <a:tailEnd/>
                                    </a:ln>
                                  </pic:spPr>
                                </pic:pic>
                              </a:graphicData>
                            </a:graphic>
                          </wp:inline>
                        </w:drawing>
                      </w:r>
                    </w:p>
                    <w:p w:rsidR="004E3DE9" w:rsidRPr="00DA7DDA" w:rsidRDefault="004E3DE9" w:rsidP="00DA7DDA">
                      <w:pPr>
                        <w:spacing w:before="120"/>
                        <w:rPr>
                          <w:i/>
                          <w:sz w:val="18"/>
                          <w:szCs w:val="18"/>
                          <w:lang w:val="en-US"/>
                        </w:rPr>
                      </w:pPr>
                      <w:r w:rsidRPr="00F66003">
                        <w:rPr>
                          <w:b/>
                          <w:i/>
                          <w:sz w:val="18"/>
                          <w:szCs w:val="18"/>
                          <w:lang w:val="en-US"/>
                        </w:rPr>
                        <w:t>Source:</w:t>
                      </w:r>
                      <w:r w:rsidRPr="00F66003">
                        <w:rPr>
                          <w:i/>
                          <w:sz w:val="18"/>
                          <w:szCs w:val="18"/>
                          <w:lang w:val="en-US"/>
                        </w:rPr>
                        <w:t xml:space="preserve"> NVCA Pitch Book 2Q, 2017</w:t>
                      </w:r>
                    </w:p>
                  </w:txbxContent>
                </v:textbox>
              </v:shape>
            </w:pict>
          </mc:Fallback>
        </mc:AlternateContent>
      </w:r>
    </w:p>
    <w:p w:rsidR="00DA7DDA" w:rsidRDefault="00DA7DDA"/>
    <w:p w:rsidR="00DA7DDA" w:rsidRDefault="00DA7DDA"/>
    <w:p w:rsidR="00DA7DDA" w:rsidRDefault="00DA7DDA"/>
    <w:p w:rsidR="00DA7DDA" w:rsidRDefault="00DA7DDA"/>
    <w:p w:rsidR="00DA7DDA" w:rsidRDefault="00DA7DDA"/>
    <w:p w:rsidR="00DA7DDA" w:rsidRDefault="00DA7DDA"/>
    <w:p w:rsidR="00DA7DDA" w:rsidRDefault="00DA7DDA"/>
    <w:p w:rsidR="00DA7DDA" w:rsidRDefault="00DA7DDA"/>
    <w:p w:rsidR="00DA7DDA" w:rsidRDefault="00DA7DDA"/>
    <w:p w:rsidR="00DA7DDA" w:rsidRDefault="00DA7DDA"/>
    <w:p w:rsidR="00DA7DDA" w:rsidRDefault="00DA7DDA"/>
    <w:p w:rsidR="000D3CDE" w:rsidRDefault="000D3CDE"/>
    <w:p w:rsidR="000D3CDE" w:rsidRDefault="00DA7DDA">
      <w:r>
        <w:rPr>
          <w:noProof/>
          <w:lang w:val="it-IT" w:eastAsia="it-IT"/>
        </w:rPr>
        <mc:AlternateContent>
          <mc:Choice Requires="wps">
            <w:drawing>
              <wp:anchor distT="0" distB="0" distL="114300" distR="114300" simplePos="0" relativeHeight="251701248" behindDoc="0" locked="0" layoutInCell="1" allowOverlap="1" wp14:anchorId="69D85526" wp14:editId="2B478359">
                <wp:simplePos x="0" y="0"/>
                <wp:positionH relativeFrom="column">
                  <wp:posOffset>41910</wp:posOffset>
                </wp:positionH>
                <wp:positionV relativeFrom="paragraph">
                  <wp:posOffset>108585</wp:posOffset>
                </wp:positionV>
                <wp:extent cx="5857875" cy="1836420"/>
                <wp:effectExtent l="0" t="0" r="28575" b="11430"/>
                <wp:wrapNone/>
                <wp:docPr id="475" name="Casella di tes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36420"/>
                        </a:xfrm>
                        <a:prstGeom prst="rect">
                          <a:avLst/>
                        </a:prstGeom>
                        <a:solidFill>
                          <a:srgbClr val="FFFFFF"/>
                        </a:solidFill>
                        <a:ln w="9525">
                          <a:solidFill>
                            <a:srgbClr val="000000"/>
                          </a:solidFill>
                          <a:miter lim="800000"/>
                          <a:headEnd/>
                          <a:tailEnd/>
                        </a:ln>
                      </wps:spPr>
                      <wps:txbx>
                        <w:txbxContent>
                          <w:p w:rsidR="004E3DE9" w:rsidRPr="00B93D54" w:rsidRDefault="004E3DE9" w:rsidP="00011DB5">
                            <w:pPr>
                              <w:rPr>
                                <w:i/>
                                <w:sz w:val="18"/>
                                <w:szCs w:val="18"/>
                                <w:lang w:val="en-US"/>
                              </w:rPr>
                            </w:pPr>
                            <w:r w:rsidRPr="00237BB0">
                              <w:rPr>
                                <w:sz w:val="18"/>
                                <w:szCs w:val="18"/>
                              </w:rPr>
                              <w:t>Figure 9: invest</w:t>
                            </w:r>
                            <w:r>
                              <w:rPr>
                                <w:sz w:val="18"/>
                                <w:szCs w:val="18"/>
                              </w:rPr>
                              <w:t>ments</w:t>
                            </w:r>
                            <w:r w:rsidRPr="00237BB0">
                              <w:rPr>
                                <w:sz w:val="18"/>
                                <w:szCs w:val="18"/>
                              </w:rPr>
                              <w:t xml:space="preserve"> in venture capital in major European countries 201</w:t>
                            </w:r>
                            <w:r>
                              <w:rPr>
                                <w:sz w:val="18"/>
                                <w:szCs w:val="18"/>
                              </w:rPr>
                              <w:t>3-2016</w:t>
                            </w:r>
                            <w:r w:rsidRPr="00237BB0">
                              <w:rPr>
                                <w:sz w:val="18"/>
                                <w:szCs w:val="18"/>
                              </w:rPr>
                              <w:t xml:space="preserve"> </w:t>
                            </w:r>
                            <w:r>
                              <w:rPr>
                                <w:i/>
                                <w:sz w:val="18"/>
                                <w:szCs w:val="18"/>
                              </w:rPr>
                              <w:t>(</w:t>
                            </w:r>
                            <w:r w:rsidRPr="00237BB0">
                              <w:rPr>
                                <w:i/>
                                <w:sz w:val="18"/>
                                <w:szCs w:val="18"/>
                              </w:rPr>
                              <w:t>€</w:t>
                            </w:r>
                            <w:r>
                              <w:rPr>
                                <w:i/>
                                <w:sz w:val="18"/>
                                <w:szCs w:val="18"/>
                              </w:rPr>
                              <w:t>bn</w:t>
                            </w:r>
                            <w:r w:rsidRPr="00237BB0">
                              <w:rPr>
                                <w:i/>
                                <w:sz w:val="18"/>
                                <w:szCs w:val="18"/>
                              </w:rPr>
                              <w:t>)</w:t>
                            </w:r>
                          </w:p>
                          <w:p w:rsidR="004E3DE9" w:rsidRDefault="004E3DE9" w:rsidP="00011DB5">
                            <w:r w:rsidRPr="008A3404">
                              <w:rPr>
                                <w:noProof/>
                                <w:lang w:val="it-IT" w:eastAsia="it-IT"/>
                              </w:rPr>
                              <w:drawing>
                                <wp:inline distT="0" distB="0" distL="0" distR="0" wp14:anchorId="2984C6BB" wp14:editId="65C8C5D4">
                                  <wp:extent cx="5724525" cy="1332000"/>
                                  <wp:effectExtent l="0" t="0" r="0" b="0"/>
                                  <wp:docPr id="47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24525" cy="1332000"/>
                                          </a:xfrm>
                                          <a:prstGeom prst="rect">
                                            <a:avLst/>
                                          </a:prstGeom>
                                          <a:noFill/>
                                          <a:ln w="9525">
                                            <a:noFill/>
                                            <a:miter lim="800000"/>
                                            <a:headEnd/>
                                            <a:tailEnd/>
                                          </a:ln>
                                        </pic:spPr>
                                      </pic:pic>
                                    </a:graphicData>
                                  </a:graphic>
                                </wp:inline>
                              </w:drawing>
                            </w:r>
                          </w:p>
                          <w:p w:rsidR="004E3DE9" w:rsidRDefault="004E3DE9" w:rsidP="00011DB5">
                            <w:pPr>
                              <w:pStyle w:val="Nessunaspaziatura"/>
                              <w:spacing w:before="120"/>
                              <w:rPr>
                                <w:i/>
                                <w:sz w:val="18"/>
                                <w:szCs w:val="18"/>
                              </w:rPr>
                            </w:pPr>
                            <w:r>
                              <w:rPr>
                                <w:b/>
                                <w:i/>
                                <w:sz w:val="18"/>
                                <w:szCs w:val="18"/>
                              </w:rPr>
                              <w:t>Source</w:t>
                            </w:r>
                            <w:r w:rsidRPr="00F27209">
                              <w:rPr>
                                <w:b/>
                                <w:i/>
                                <w:sz w:val="18"/>
                                <w:szCs w:val="18"/>
                              </w:rPr>
                              <w:t>:</w:t>
                            </w:r>
                            <w:r>
                              <w:rPr>
                                <w:i/>
                                <w:sz w:val="18"/>
                                <w:szCs w:val="18"/>
                              </w:rPr>
                              <w:t xml:space="preserve"> EVCA Yearbook 2016</w:t>
                            </w:r>
                          </w:p>
                          <w:p w:rsidR="004E3DE9" w:rsidRPr="005F2A7F" w:rsidRDefault="004E3DE9" w:rsidP="00011DB5">
                            <w:pPr>
                              <w:pStyle w:val="Nessunaspaziatura"/>
                              <w:spacing w:before="120"/>
                              <w:rPr>
                                <w:i/>
                                <w:sz w:val="18"/>
                                <w:szCs w:val="18"/>
                              </w:rPr>
                            </w:pPr>
                          </w:p>
                          <w:p w:rsidR="004E3DE9" w:rsidRDefault="004E3DE9" w:rsidP="00011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5526" id="Casella di testo 475" o:spid="_x0000_s1034" type="#_x0000_t202" style="position:absolute;margin-left:3.3pt;margin-top:8.55pt;width:461.25pt;height:14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">
                <v:textbox>
                  <w:txbxContent>
                    <w:p w:rsidR="004E3DE9" w:rsidRPr="00B93D54" w:rsidRDefault="004E3DE9" w:rsidP="00011DB5">
                      <w:pPr>
                        <w:rPr>
                          <w:i/>
                          <w:sz w:val="18"/>
                          <w:szCs w:val="18"/>
                          <w:lang w:val="en-US"/>
                        </w:rPr>
                      </w:pPr>
                      <w:r w:rsidRPr="00237BB0">
                        <w:rPr>
                          <w:sz w:val="18"/>
                          <w:szCs w:val="18"/>
                        </w:rPr>
                        <w:t>Figure 9: invest</w:t>
                      </w:r>
                      <w:r>
                        <w:rPr>
                          <w:sz w:val="18"/>
                          <w:szCs w:val="18"/>
                        </w:rPr>
                        <w:t>ments</w:t>
                      </w:r>
                      <w:r w:rsidRPr="00237BB0">
                        <w:rPr>
                          <w:sz w:val="18"/>
                          <w:szCs w:val="18"/>
                        </w:rPr>
                        <w:t xml:space="preserve"> in venture capital in major European countries 201</w:t>
                      </w:r>
                      <w:r>
                        <w:rPr>
                          <w:sz w:val="18"/>
                          <w:szCs w:val="18"/>
                        </w:rPr>
                        <w:t>3-2016</w:t>
                      </w:r>
                      <w:r w:rsidRPr="00237BB0">
                        <w:rPr>
                          <w:sz w:val="18"/>
                          <w:szCs w:val="18"/>
                        </w:rPr>
                        <w:t xml:space="preserve"> </w:t>
                      </w:r>
                      <w:r>
                        <w:rPr>
                          <w:i/>
                          <w:sz w:val="18"/>
                          <w:szCs w:val="18"/>
                        </w:rPr>
                        <w:t>(</w:t>
                      </w:r>
                      <w:r w:rsidRPr="00237BB0">
                        <w:rPr>
                          <w:i/>
                          <w:sz w:val="18"/>
                          <w:szCs w:val="18"/>
                        </w:rPr>
                        <w:t>€</w:t>
                      </w:r>
                      <w:r>
                        <w:rPr>
                          <w:i/>
                          <w:sz w:val="18"/>
                          <w:szCs w:val="18"/>
                        </w:rPr>
                        <w:t>bn</w:t>
                      </w:r>
                      <w:r w:rsidRPr="00237BB0">
                        <w:rPr>
                          <w:i/>
                          <w:sz w:val="18"/>
                          <w:szCs w:val="18"/>
                        </w:rPr>
                        <w:t>)</w:t>
                      </w:r>
                    </w:p>
                    <w:p w:rsidR="004E3DE9" w:rsidRDefault="004E3DE9" w:rsidP="00011DB5">
                      <w:r w:rsidRPr="008A3404">
                        <w:rPr>
                          <w:noProof/>
                          <w:lang w:val="it-IT" w:eastAsia="it-IT"/>
                        </w:rPr>
                        <w:drawing>
                          <wp:inline distT="0" distB="0" distL="0" distR="0" wp14:anchorId="2984C6BB" wp14:editId="65C8C5D4">
                            <wp:extent cx="5724525" cy="1332000"/>
                            <wp:effectExtent l="0" t="0" r="0" b="0"/>
                            <wp:docPr id="47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24525" cy="1332000"/>
                                    </a:xfrm>
                                    <a:prstGeom prst="rect">
                                      <a:avLst/>
                                    </a:prstGeom>
                                    <a:noFill/>
                                    <a:ln w="9525">
                                      <a:noFill/>
                                      <a:miter lim="800000"/>
                                      <a:headEnd/>
                                      <a:tailEnd/>
                                    </a:ln>
                                  </pic:spPr>
                                </pic:pic>
                              </a:graphicData>
                            </a:graphic>
                          </wp:inline>
                        </w:drawing>
                      </w:r>
                    </w:p>
                    <w:p w:rsidR="004E3DE9" w:rsidRDefault="004E3DE9" w:rsidP="00011DB5">
                      <w:pPr>
                        <w:pStyle w:val="Nessunaspaziatura"/>
                        <w:spacing w:before="120"/>
                        <w:rPr>
                          <w:i/>
                          <w:sz w:val="18"/>
                          <w:szCs w:val="18"/>
                        </w:rPr>
                      </w:pPr>
                      <w:r>
                        <w:rPr>
                          <w:b/>
                          <w:i/>
                          <w:sz w:val="18"/>
                          <w:szCs w:val="18"/>
                        </w:rPr>
                        <w:t>Source</w:t>
                      </w:r>
                      <w:r w:rsidRPr="00F27209">
                        <w:rPr>
                          <w:b/>
                          <w:i/>
                          <w:sz w:val="18"/>
                          <w:szCs w:val="18"/>
                        </w:rPr>
                        <w:t>:</w:t>
                      </w:r>
                      <w:r>
                        <w:rPr>
                          <w:i/>
                          <w:sz w:val="18"/>
                          <w:szCs w:val="18"/>
                        </w:rPr>
                        <w:t xml:space="preserve"> EVCA Yearbook 2016</w:t>
                      </w:r>
                    </w:p>
                    <w:p w:rsidR="004E3DE9" w:rsidRPr="005F2A7F" w:rsidRDefault="004E3DE9" w:rsidP="00011DB5">
                      <w:pPr>
                        <w:pStyle w:val="Nessunaspaziatura"/>
                        <w:spacing w:before="120"/>
                        <w:rPr>
                          <w:i/>
                          <w:sz w:val="18"/>
                          <w:szCs w:val="18"/>
                        </w:rPr>
                      </w:pPr>
                    </w:p>
                    <w:p w:rsidR="004E3DE9" w:rsidRDefault="004E3DE9" w:rsidP="00011DB5"/>
                  </w:txbxContent>
                </v:textbox>
              </v:shape>
            </w:pict>
          </mc:Fallback>
        </mc:AlternateContent>
      </w:r>
    </w:p>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D3CDE" w:rsidRDefault="000D3CDE"/>
    <w:p w:rsidR="00011DB5" w:rsidRDefault="00011DB5"/>
    <w:p w:rsidR="00DA7DDA" w:rsidRPr="00C5220A" w:rsidRDefault="00DA7DDA" w:rsidP="00DA7DDA">
      <w:pPr>
        <w:rPr>
          <w:b/>
        </w:rPr>
      </w:pPr>
      <w:r w:rsidRPr="00C5220A">
        <w:rPr>
          <w:b/>
        </w:rPr>
        <w:t>Fourth Paragraph</w:t>
      </w:r>
    </w:p>
    <w:p w:rsidR="00011DB5" w:rsidRDefault="00011DB5"/>
    <w:tbl>
      <w:tblPr>
        <w:tblStyle w:val="Grigliatabella"/>
        <w:tblW w:w="4962" w:type="dxa"/>
        <w:tblInd w:w="108" w:type="dxa"/>
        <w:tblLook w:val="04A0" w:firstRow="1" w:lastRow="0" w:firstColumn="1" w:lastColumn="0" w:noHBand="0" w:noVBand="1"/>
      </w:tblPr>
      <w:tblGrid>
        <w:gridCol w:w="4962"/>
      </w:tblGrid>
      <w:tr w:rsidR="00DA7DDA" w:rsidTr="004E3DE9">
        <w:tc>
          <w:tcPr>
            <w:tcW w:w="4962" w:type="dxa"/>
          </w:tcPr>
          <w:p w:rsidR="00DA7DDA" w:rsidRDefault="00DA7DDA" w:rsidP="004E3DE9">
            <w:pPr>
              <w:contextualSpacing/>
              <w:rPr>
                <w:sz w:val="18"/>
                <w:szCs w:val="18"/>
                <w:lang w:val="en-GB"/>
              </w:rPr>
            </w:pPr>
            <w:r w:rsidRPr="00A63F78">
              <w:rPr>
                <w:sz w:val="18"/>
                <w:szCs w:val="18"/>
                <w:lang w:val="en-GB"/>
              </w:rPr>
              <w:t>Figure 10: average num</w:t>
            </w:r>
            <w:r>
              <w:rPr>
                <w:sz w:val="18"/>
                <w:szCs w:val="18"/>
                <w:lang w:val="en-GB"/>
              </w:rPr>
              <w:t>b</w:t>
            </w:r>
            <w:r w:rsidRPr="00A63F78">
              <w:rPr>
                <w:sz w:val="18"/>
                <w:szCs w:val="18"/>
                <w:lang w:val="en-GB"/>
              </w:rPr>
              <w:t>er of “applications” received per</w:t>
            </w:r>
            <w:r>
              <w:rPr>
                <w:sz w:val="18"/>
                <w:szCs w:val="18"/>
                <w:lang w:val="en-GB"/>
              </w:rPr>
              <w:t xml:space="preserve"> annum</w:t>
            </w:r>
          </w:p>
          <w:p w:rsidR="00DA7DDA" w:rsidRPr="00A63F78" w:rsidRDefault="00DA7DDA" w:rsidP="004E3DE9">
            <w:pPr>
              <w:contextualSpacing/>
              <w:rPr>
                <w:sz w:val="18"/>
                <w:szCs w:val="18"/>
                <w:lang w:val="en-GB"/>
              </w:rPr>
            </w:pPr>
          </w:p>
          <w:p w:rsidR="00DA7DDA" w:rsidRDefault="00DA7DDA" w:rsidP="004E3DE9">
            <w:pPr>
              <w:contextualSpacing/>
              <w:jc w:val="both"/>
            </w:pPr>
            <w:r>
              <w:rPr>
                <w:noProof/>
                <w:lang w:eastAsia="it-IT"/>
              </w:rPr>
              <w:drawing>
                <wp:inline distT="0" distB="0" distL="0" distR="0" wp14:anchorId="79E0279C" wp14:editId="275C7E50">
                  <wp:extent cx="2810554" cy="1800000"/>
                  <wp:effectExtent l="0" t="0" r="8890" b="381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0554" cy="1800000"/>
                          </a:xfrm>
                          <a:prstGeom prst="rect">
                            <a:avLst/>
                          </a:prstGeom>
                          <a:noFill/>
                          <a:ln>
                            <a:noFill/>
                          </a:ln>
                        </pic:spPr>
                      </pic:pic>
                    </a:graphicData>
                  </a:graphic>
                </wp:inline>
              </w:drawing>
            </w:r>
          </w:p>
        </w:tc>
      </w:tr>
    </w:tbl>
    <w:p w:rsidR="00011DB5" w:rsidRDefault="00011DB5"/>
    <w:p w:rsidR="000D3CDE" w:rsidRDefault="000D3CDE"/>
    <w:p w:rsidR="00011DB5" w:rsidRDefault="00011DB5"/>
    <w:p w:rsidR="00011DB5" w:rsidRPr="00860678" w:rsidRDefault="00011DB5" w:rsidP="00011DB5">
      <w:pPr>
        <w:contextualSpacing/>
        <w:jc w:val="both"/>
      </w:pPr>
    </w:p>
    <w:p w:rsidR="00011DB5" w:rsidRDefault="00011DB5"/>
    <w:p w:rsidR="00011DB5" w:rsidRDefault="00011DB5"/>
    <w:p w:rsidR="00C5220A" w:rsidRDefault="00C5220A"/>
    <w:p w:rsidR="00C5220A" w:rsidRDefault="00C5220A"/>
    <w:p w:rsidR="00C5220A" w:rsidRDefault="00C5220A"/>
    <w:p w:rsidR="00C5220A" w:rsidRDefault="00C5220A"/>
    <w:p w:rsidR="00C5220A" w:rsidRDefault="00C5220A"/>
    <w:p w:rsidR="00C5220A" w:rsidRDefault="00C5220A"/>
    <w:p w:rsidR="00C5220A" w:rsidRDefault="00C5220A"/>
    <w:p w:rsidR="00C5220A" w:rsidRPr="00A63F78" w:rsidRDefault="00C5220A" w:rsidP="00C5220A">
      <w:pPr>
        <w:pBdr>
          <w:top w:val="single" w:sz="4" w:space="1" w:color="auto"/>
          <w:left w:val="single" w:sz="4" w:space="4" w:color="auto"/>
          <w:bottom w:val="single" w:sz="4" w:space="0" w:color="auto"/>
          <w:right w:val="single" w:sz="4" w:space="4" w:color="auto"/>
        </w:pBdr>
        <w:ind w:right="4961"/>
        <w:contextualSpacing/>
        <w:rPr>
          <w:sz w:val="18"/>
          <w:szCs w:val="18"/>
        </w:rPr>
      </w:pPr>
      <w:r w:rsidRPr="00A63F78">
        <w:rPr>
          <w:sz w:val="18"/>
          <w:szCs w:val="18"/>
        </w:rPr>
        <w:t>Figure 11: average num</w:t>
      </w:r>
      <w:r>
        <w:rPr>
          <w:sz w:val="18"/>
          <w:szCs w:val="18"/>
        </w:rPr>
        <w:t>b</w:t>
      </w:r>
      <w:r w:rsidRPr="00A63F78">
        <w:rPr>
          <w:sz w:val="18"/>
          <w:szCs w:val="18"/>
        </w:rPr>
        <w:t xml:space="preserve">er of “applications” </w:t>
      </w:r>
      <w:r>
        <w:rPr>
          <w:sz w:val="18"/>
          <w:szCs w:val="18"/>
        </w:rPr>
        <w:t>accepte</w:t>
      </w:r>
      <w:r w:rsidRPr="00A63F78">
        <w:rPr>
          <w:sz w:val="18"/>
          <w:szCs w:val="18"/>
        </w:rPr>
        <w:t>d per</w:t>
      </w:r>
      <w:r>
        <w:rPr>
          <w:sz w:val="18"/>
          <w:szCs w:val="18"/>
        </w:rPr>
        <w:t xml:space="preserve"> annum</w:t>
      </w:r>
      <w:r w:rsidRPr="00A63F78">
        <w:rPr>
          <w:sz w:val="18"/>
          <w:szCs w:val="18"/>
        </w:rPr>
        <w:t xml:space="preserve"> </w:t>
      </w:r>
    </w:p>
    <w:p w:rsidR="00011DB5" w:rsidRDefault="00C5220A" w:rsidP="00C5220A">
      <w:pPr>
        <w:pBdr>
          <w:top w:val="single" w:sz="4" w:space="1" w:color="auto"/>
          <w:left w:val="single" w:sz="4" w:space="4" w:color="auto"/>
          <w:bottom w:val="single" w:sz="4" w:space="0" w:color="auto"/>
          <w:right w:val="single" w:sz="4" w:space="4" w:color="auto"/>
        </w:pBdr>
        <w:ind w:right="4961"/>
      </w:pPr>
      <w:r>
        <w:rPr>
          <w:noProof/>
          <w:lang w:val="it-IT" w:eastAsia="it-IT"/>
        </w:rPr>
        <w:drawing>
          <wp:inline distT="0" distB="0" distL="0" distR="0" wp14:anchorId="5260955D" wp14:editId="5E4EE3E1">
            <wp:extent cx="3152775" cy="1943100"/>
            <wp:effectExtent l="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381" cy="1942857"/>
                    </a:xfrm>
                    <a:prstGeom prst="rect">
                      <a:avLst/>
                    </a:prstGeom>
                    <a:noFill/>
                    <a:ln>
                      <a:noFill/>
                    </a:ln>
                  </pic:spPr>
                </pic:pic>
              </a:graphicData>
            </a:graphic>
          </wp:inline>
        </w:drawing>
      </w:r>
    </w:p>
    <w:p w:rsidR="00011DB5" w:rsidRDefault="00011DB5"/>
    <w:p w:rsidR="00011DB5" w:rsidRDefault="00011DB5"/>
    <w:p w:rsidR="00011DB5" w:rsidRPr="00C5220A" w:rsidRDefault="00011DB5" w:rsidP="00011DB5">
      <w:pPr>
        <w:contextualSpacing/>
        <w:rPr>
          <w:b/>
        </w:rPr>
      </w:pPr>
      <w:r w:rsidRPr="00C5220A">
        <w:rPr>
          <w:b/>
        </w:rPr>
        <w:t xml:space="preserve">Table 2: relevance of start-up selection criteria  </w:t>
      </w:r>
    </w:p>
    <w:p w:rsidR="00011DB5" w:rsidRDefault="00011DB5">
      <w:r>
        <w:rPr>
          <w:noProof/>
          <w:lang w:val="it-IT" w:eastAsia="it-IT"/>
        </w:rPr>
        <w:drawing>
          <wp:inline distT="0" distB="0" distL="0" distR="0" wp14:anchorId="3E3F7AE4" wp14:editId="245A59AB">
            <wp:extent cx="6301105" cy="2584450"/>
            <wp:effectExtent l="0" t="0" r="4445" b="635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1105" cy="2584450"/>
                    </a:xfrm>
                    <a:prstGeom prst="rect">
                      <a:avLst/>
                    </a:prstGeom>
                    <a:noFill/>
                    <a:ln>
                      <a:noFill/>
                    </a:ln>
                  </pic:spPr>
                </pic:pic>
              </a:graphicData>
            </a:graphic>
          </wp:inline>
        </w:drawing>
      </w:r>
    </w:p>
    <w:p w:rsidR="00011DB5" w:rsidRDefault="00011DB5"/>
    <w:p w:rsidR="00CE3DB2" w:rsidRPr="00DD1FBA" w:rsidRDefault="00CE3DB2" w:rsidP="00CE3DB2">
      <w:pPr>
        <w:contextualSpacing/>
        <w:rPr>
          <w:sz w:val="18"/>
          <w:szCs w:val="18"/>
        </w:rPr>
      </w:pPr>
      <w:r w:rsidRPr="00DD1FBA">
        <w:rPr>
          <w:sz w:val="18"/>
          <w:szCs w:val="18"/>
        </w:rPr>
        <w:t>Figure 12: business sector of the incubate</w:t>
      </w:r>
      <w:r>
        <w:rPr>
          <w:sz w:val="18"/>
          <w:szCs w:val="18"/>
        </w:rPr>
        <w:t>d</w:t>
      </w:r>
      <w:r w:rsidRPr="00DD1FBA">
        <w:rPr>
          <w:sz w:val="18"/>
          <w:szCs w:val="18"/>
        </w:rPr>
        <w:t>/</w:t>
      </w:r>
      <w:r>
        <w:rPr>
          <w:sz w:val="18"/>
          <w:szCs w:val="18"/>
        </w:rPr>
        <w:t>investee companies</w:t>
      </w:r>
    </w:p>
    <w:p w:rsidR="00011DB5" w:rsidRDefault="00CE3DB2" w:rsidP="00CE3DB2">
      <w:r>
        <w:rPr>
          <w:noProof/>
          <w:lang w:val="it-IT" w:eastAsia="it-IT"/>
        </w:rPr>
        <w:drawing>
          <wp:inline distT="0" distB="0" distL="0" distR="0" wp14:anchorId="05C4E0D5" wp14:editId="6CF20106">
            <wp:extent cx="5581650" cy="2152650"/>
            <wp:effectExtent l="19050" t="19050" r="19050" b="19050"/>
            <wp:docPr id="2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9550" cy="2151840"/>
                    </a:xfrm>
                    <a:prstGeom prst="rect">
                      <a:avLst/>
                    </a:prstGeom>
                    <a:noFill/>
                    <a:ln>
                      <a:solidFill>
                        <a:schemeClr val="tx1"/>
                      </a:solidFill>
                    </a:ln>
                  </pic:spPr>
                </pic:pic>
              </a:graphicData>
            </a:graphic>
          </wp:inline>
        </w:drawing>
      </w:r>
    </w:p>
    <w:p w:rsidR="00011DB5" w:rsidRDefault="00011DB5"/>
    <w:p w:rsidR="00DA7DDA" w:rsidRDefault="00DA7DDA" w:rsidP="00CE3DB2">
      <w:pPr>
        <w:contextualSpacing/>
        <w:jc w:val="both"/>
      </w:pPr>
    </w:p>
    <w:p w:rsidR="00DA7DDA" w:rsidRDefault="00DA7DDA" w:rsidP="00CE3DB2">
      <w:pPr>
        <w:contextualSpacing/>
        <w:jc w:val="both"/>
      </w:pPr>
    </w:p>
    <w:p w:rsidR="00DA7DDA" w:rsidRDefault="00DA7DDA" w:rsidP="00CE3DB2">
      <w:pPr>
        <w:contextualSpacing/>
        <w:jc w:val="both"/>
      </w:pPr>
    </w:p>
    <w:p w:rsidR="00DA7DDA" w:rsidRDefault="00DA7DDA" w:rsidP="00CE3DB2">
      <w:pPr>
        <w:contextualSpacing/>
        <w:jc w:val="both"/>
      </w:pPr>
    </w:p>
    <w:p w:rsidR="00DA7DDA" w:rsidRDefault="00DA7DDA" w:rsidP="00CE3DB2">
      <w:pPr>
        <w:contextualSpacing/>
        <w:jc w:val="both"/>
      </w:pPr>
    </w:p>
    <w:p w:rsidR="00CE3DB2" w:rsidRPr="00A63F78" w:rsidRDefault="00CE3DB2" w:rsidP="00CE3DB2">
      <w:pPr>
        <w:contextualSpacing/>
        <w:jc w:val="both"/>
        <w:rPr>
          <w:b/>
        </w:rPr>
      </w:pPr>
      <w:r w:rsidRPr="00A63F78">
        <w:t xml:space="preserve">Table 3: level of involvement in the life cycle </w:t>
      </w:r>
      <w:r>
        <w:t xml:space="preserve">phases </w:t>
      </w:r>
      <w:r w:rsidRPr="00A63F78">
        <w:t xml:space="preserve">of the </w:t>
      </w:r>
      <w:r>
        <w:t>incubated/investee business</w:t>
      </w:r>
    </w:p>
    <w:p w:rsidR="00CE3DB2" w:rsidRDefault="00CE3DB2" w:rsidP="00CE3DB2">
      <w:pPr>
        <w:contextualSpacing/>
        <w:jc w:val="both"/>
      </w:pPr>
      <w:r>
        <w:rPr>
          <w:noProof/>
          <w:lang w:val="it-IT" w:eastAsia="it-IT"/>
        </w:rPr>
        <w:drawing>
          <wp:inline distT="0" distB="0" distL="0" distR="0" wp14:anchorId="337F0E36" wp14:editId="2C50FEEA">
            <wp:extent cx="6301105" cy="983629"/>
            <wp:effectExtent l="0" t="0" r="0" b="6985"/>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1105" cy="983629"/>
                    </a:xfrm>
                    <a:prstGeom prst="rect">
                      <a:avLst/>
                    </a:prstGeom>
                    <a:noFill/>
                    <a:ln>
                      <a:noFill/>
                    </a:ln>
                  </pic:spPr>
                </pic:pic>
              </a:graphicData>
            </a:graphic>
          </wp:inline>
        </w:drawing>
      </w:r>
    </w:p>
    <w:p w:rsidR="00CE3DB2" w:rsidRDefault="00CE3DB2" w:rsidP="00CE3DB2"/>
    <w:tbl>
      <w:tblPr>
        <w:tblStyle w:val="Grigliatabella"/>
        <w:tblW w:w="0" w:type="auto"/>
        <w:tblInd w:w="108" w:type="dxa"/>
        <w:tblLook w:val="04A0" w:firstRow="1" w:lastRow="0" w:firstColumn="1" w:lastColumn="0" w:noHBand="0" w:noVBand="1"/>
      </w:tblPr>
      <w:tblGrid>
        <w:gridCol w:w="7272"/>
      </w:tblGrid>
      <w:tr w:rsidR="00CE3DB2" w:rsidTr="00CE3DB2">
        <w:tc>
          <w:tcPr>
            <w:tcW w:w="7230" w:type="dxa"/>
          </w:tcPr>
          <w:p w:rsidR="00CE3DB2" w:rsidRPr="00D17D38" w:rsidRDefault="00CE3DB2" w:rsidP="00CE3DB2">
            <w:pPr>
              <w:contextualSpacing/>
              <w:rPr>
                <w:sz w:val="18"/>
                <w:szCs w:val="18"/>
                <w:lang w:val="en-GB"/>
              </w:rPr>
            </w:pPr>
            <w:r w:rsidRPr="00D17D38">
              <w:rPr>
                <w:sz w:val="18"/>
                <w:szCs w:val="18"/>
                <w:lang w:val="en-GB"/>
              </w:rPr>
              <w:t xml:space="preserve">Figure 13: average </w:t>
            </w:r>
            <w:r>
              <w:rPr>
                <w:sz w:val="18"/>
                <w:szCs w:val="18"/>
                <w:lang w:val="en-GB"/>
              </w:rPr>
              <w:t>invest</w:t>
            </w:r>
            <w:r w:rsidRPr="00D17D38">
              <w:rPr>
                <w:sz w:val="18"/>
                <w:szCs w:val="18"/>
                <w:lang w:val="en-GB"/>
              </w:rPr>
              <w:t>ment in equity in a single business</w:t>
            </w:r>
          </w:p>
          <w:p w:rsidR="00CE3DB2" w:rsidRDefault="00CE3DB2" w:rsidP="00CE3DB2">
            <w:pPr>
              <w:contextualSpacing/>
              <w:jc w:val="both"/>
            </w:pPr>
            <w:r>
              <w:rPr>
                <w:noProof/>
                <w:lang w:eastAsia="it-IT"/>
              </w:rPr>
              <w:drawing>
                <wp:inline distT="0" distB="0" distL="0" distR="0" wp14:anchorId="12DA1655" wp14:editId="53976776">
                  <wp:extent cx="4481104" cy="2016000"/>
                  <wp:effectExtent l="0" t="0" r="0" b="0"/>
                  <wp:docPr id="27"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1104" cy="2016000"/>
                          </a:xfrm>
                          <a:prstGeom prst="rect">
                            <a:avLst/>
                          </a:prstGeom>
                          <a:noFill/>
                          <a:ln>
                            <a:noFill/>
                          </a:ln>
                        </pic:spPr>
                      </pic:pic>
                    </a:graphicData>
                  </a:graphic>
                </wp:inline>
              </w:drawing>
            </w:r>
          </w:p>
        </w:tc>
      </w:tr>
    </w:tbl>
    <w:p w:rsidR="00011DB5" w:rsidRDefault="00011DB5"/>
    <w:p w:rsidR="00011DB5" w:rsidRDefault="00011DB5"/>
    <w:tbl>
      <w:tblPr>
        <w:tblStyle w:val="Grigliatabella"/>
        <w:tblpPr w:leftFromText="141" w:rightFromText="141" w:vertAnchor="text" w:horzAnchor="margin" w:tblpX="108" w:tblpY="55"/>
        <w:tblW w:w="0" w:type="auto"/>
        <w:tblLayout w:type="fixed"/>
        <w:tblLook w:val="04A0" w:firstRow="1" w:lastRow="0" w:firstColumn="1" w:lastColumn="0" w:noHBand="0" w:noVBand="1"/>
      </w:tblPr>
      <w:tblGrid>
        <w:gridCol w:w="7972"/>
      </w:tblGrid>
      <w:tr w:rsidR="00CE3DB2" w:rsidTr="00CE3DB2">
        <w:tc>
          <w:tcPr>
            <w:tcW w:w="7972" w:type="dxa"/>
          </w:tcPr>
          <w:p w:rsidR="00CE3DB2" w:rsidRPr="00A80916" w:rsidRDefault="00CE3DB2" w:rsidP="00CE3DB2">
            <w:pPr>
              <w:tabs>
                <w:tab w:val="left" w:pos="2835"/>
              </w:tabs>
              <w:contextualSpacing/>
              <w:jc w:val="both"/>
              <w:rPr>
                <w:sz w:val="18"/>
                <w:szCs w:val="18"/>
                <w:lang w:val="en-GB"/>
              </w:rPr>
            </w:pPr>
            <w:r w:rsidRPr="00A80916">
              <w:rPr>
                <w:sz w:val="18"/>
                <w:szCs w:val="18"/>
                <w:lang w:val="en-GB"/>
              </w:rPr>
              <w:t xml:space="preserve">Figure 14: average length of the </w:t>
            </w:r>
            <w:r w:rsidRPr="00A80916">
              <w:rPr>
                <w:i/>
                <w:sz w:val="18"/>
                <w:szCs w:val="18"/>
                <w:lang w:val="en-GB"/>
              </w:rPr>
              <w:t>holding period</w:t>
            </w:r>
          </w:p>
          <w:p w:rsidR="00CE3DB2" w:rsidRDefault="00CE3DB2" w:rsidP="00CE3DB2">
            <w:pPr>
              <w:ind w:right="4536"/>
              <w:contextualSpacing/>
              <w:jc w:val="both"/>
              <w:rPr>
                <w:i/>
                <w:sz w:val="14"/>
                <w:szCs w:val="14"/>
              </w:rPr>
            </w:pPr>
            <w:r>
              <w:rPr>
                <w:i/>
                <w:noProof/>
                <w:sz w:val="14"/>
                <w:szCs w:val="14"/>
                <w:lang w:eastAsia="it-IT"/>
              </w:rPr>
              <w:drawing>
                <wp:inline distT="0" distB="0" distL="0" distR="0" wp14:anchorId="74A8F8A3" wp14:editId="115782B9">
                  <wp:extent cx="4966775" cy="1742347"/>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6775" cy="1742347"/>
                          </a:xfrm>
                          <a:prstGeom prst="rect">
                            <a:avLst/>
                          </a:prstGeom>
                          <a:noFill/>
                          <a:ln>
                            <a:noFill/>
                          </a:ln>
                        </pic:spPr>
                      </pic:pic>
                    </a:graphicData>
                  </a:graphic>
                </wp:inline>
              </w:drawing>
            </w:r>
          </w:p>
        </w:tc>
      </w:tr>
    </w:tbl>
    <w:p w:rsidR="00011DB5" w:rsidRDefault="00011DB5"/>
    <w:p w:rsidR="00011DB5" w:rsidRDefault="00011DB5"/>
    <w:p w:rsidR="00011DB5" w:rsidRDefault="00011DB5"/>
    <w:p w:rsidR="00011DB5" w:rsidRDefault="00011DB5"/>
    <w:p w:rsidR="00011DB5" w:rsidRDefault="00011DB5"/>
    <w:p w:rsidR="00011DB5" w:rsidRDefault="00011DB5"/>
    <w:p w:rsidR="00011DB5" w:rsidRDefault="00011DB5"/>
    <w:p w:rsidR="00011DB5" w:rsidRDefault="00011DB5"/>
    <w:p w:rsidR="00011DB5" w:rsidRDefault="00011DB5"/>
    <w:p w:rsidR="00011DB5" w:rsidRDefault="00011DB5"/>
    <w:p w:rsidR="00011DB5" w:rsidRDefault="00011DB5"/>
    <w:p w:rsidR="00011DB5" w:rsidRDefault="00011DB5"/>
    <w:p w:rsidR="00011DB5" w:rsidRDefault="00011DB5"/>
    <w:p w:rsidR="00CE3DB2" w:rsidRPr="00D05363" w:rsidRDefault="00CE3DB2" w:rsidP="00CE3DB2">
      <w:pPr>
        <w:contextualSpacing/>
        <w:jc w:val="both"/>
      </w:pPr>
      <w:r w:rsidRPr="00D05363">
        <w:t xml:space="preserve">Table 4: “contribution” to investee businesses beyond </w:t>
      </w:r>
      <w:r>
        <w:t xml:space="preserve">the </w:t>
      </w:r>
      <w:r w:rsidRPr="00D05363">
        <w:t>conferment of capital</w:t>
      </w:r>
    </w:p>
    <w:p w:rsidR="00CE3DB2" w:rsidRDefault="00CE3DB2" w:rsidP="00CE3DB2">
      <w:pPr>
        <w:contextualSpacing/>
        <w:jc w:val="both"/>
      </w:pPr>
      <w:r>
        <w:rPr>
          <w:noProof/>
          <w:lang w:val="it-IT" w:eastAsia="it-IT"/>
        </w:rPr>
        <w:lastRenderedPageBreak/>
        <w:drawing>
          <wp:inline distT="0" distB="0" distL="0" distR="0" wp14:anchorId="634FFBE6" wp14:editId="0E7F960D">
            <wp:extent cx="6011105" cy="2432442"/>
            <wp:effectExtent l="0" t="0" r="8890" b="6350"/>
            <wp:docPr id="1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1105" cy="2432442"/>
                    </a:xfrm>
                    <a:prstGeom prst="rect">
                      <a:avLst/>
                    </a:prstGeom>
                    <a:noFill/>
                    <a:ln>
                      <a:noFill/>
                    </a:ln>
                  </pic:spPr>
                </pic:pic>
              </a:graphicData>
            </a:graphic>
          </wp:inline>
        </w:drawing>
      </w:r>
    </w:p>
    <w:p w:rsidR="00CE3DB2" w:rsidRDefault="00CE3DB2" w:rsidP="00CE3DB2">
      <w:pPr>
        <w:contextualSpacing/>
        <w:jc w:val="both"/>
      </w:pPr>
    </w:p>
    <w:p w:rsidR="00011DB5" w:rsidRDefault="00011DB5"/>
    <w:p w:rsidR="00CE3DB2" w:rsidRPr="00A80916" w:rsidRDefault="00CE3DB2" w:rsidP="00CE3DB2">
      <w:pPr>
        <w:tabs>
          <w:tab w:val="left" w:pos="2835"/>
        </w:tabs>
        <w:contextualSpacing/>
        <w:rPr>
          <w:sz w:val="18"/>
          <w:szCs w:val="18"/>
        </w:rPr>
      </w:pPr>
      <w:r w:rsidRPr="00A80916">
        <w:rPr>
          <w:sz w:val="18"/>
          <w:szCs w:val="18"/>
        </w:rPr>
        <w:t>Figure 1</w:t>
      </w:r>
      <w:r>
        <w:rPr>
          <w:sz w:val="18"/>
          <w:szCs w:val="18"/>
        </w:rPr>
        <w:t>5</w:t>
      </w:r>
      <w:r w:rsidRPr="00A80916">
        <w:rPr>
          <w:sz w:val="18"/>
          <w:szCs w:val="18"/>
        </w:rPr>
        <w:t xml:space="preserve">: </w:t>
      </w:r>
      <w:r>
        <w:rPr>
          <w:sz w:val="18"/>
          <w:szCs w:val="18"/>
        </w:rPr>
        <w:t xml:space="preserve">main forms of </w:t>
      </w:r>
      <w:r w:rsidRPr="00E22557">
        <w:rPr>
          <w:i/>
          <w:sz w:val="18"/>
          <w:szCs w:val="18"/>
        </w:rPr>
        <w:t>way out</w:t>
      </w:r>
    </w:p>
    <w:p w:rsidR="00CE3DB2" w:rsidRDefault="00CE3DB2" w:rsidP="00CE3DB2">
      <w:r>
        <w:rPr>
          <w:noProof/>
          <w:lang w:val="it-IT" w:eastAsia="it-IT"/>
        </w:rPr>
        <w:drawing>
          <wp:inline distT="0" distB="0" distL="0" distR="0" wp14:anchorId="3D1317DD" wp14:editId="20875E37">
            <wp:extent cx="4584700" cy="2755900"/>
            <wp:effectExtent l="19050" t="19050" r="25400" b="2540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solidFill>
                        <a:schemeClr val="tx1"/>
                      </a:solidFill>
                    </a:ln>
                  </pic:spPr>
                </pic:pic>
              </a:graphicData>
            </a:graphic>
          </wp:inline>
        </w:drawing>
      </w:r>
    </w:p>
    <w:p w:rsidR="00011DB5" w:rsidRDefault="00011DB5"/>
    <w:p w:rsidR="00CE3DB2" w:rsidRDefault="00CE3DB2"/>
    <w:p w:rsidR="00CE3DB2" w:rsidRPr="002F72B6" w:rsidRDefault="00CE3DB2" w:rsidP="00CE3DB2">
      <w:pPr>
        <w:contextualSpacing/>
        <w:jc w:val="both"/>
      </w:pPr>
    </w:p>
    <w:tbl>
      <w:tblPr>
        <w:tblStyle w:val="Grigliatabella"/>
        <w:tblW w:w="0" w:type="auto"/>
        <w:tblInd w:w="108" w:type="dxa"/>
        <w:tblLook w:val="04A0" w:firstRow="1" w:lastRow="0" w:firstColumn="1" w:lastColumn="0" w:noHBand="0" w:noVBand="1"/>
      </w:tblPr>
      <w:tblGrid>
        <w:gridCol w:w="4923"/>
      </w:tblGrid>
      <w:tr w:rsidR="00461AAF" w:rsidRPr="00A27C3D" w:rsidTr="00CE3DB2">
        <w:tc>
          <w:tcPr>
            <w:tcW w:w="4923" w:type="dxa"/>
          </w:tcPr>
          <w:p w:rsidR="00461AAF" w:rsidRPr="00FC3CA0" w:rsidRDefault="00461AAF" w:rsidP="00CE3DB2">
            <w:pPr>
              <w:contextualSpacing/>
              <w:rPr>
                <w:sz w:val="18"/>
                <w:szCs w:val="18"/>
                <w:lang w:val="en-GB"/>
              </w:rPr>
            </w:pPr>
            <w:r w:rsidRPr="00FC3CA0">
              <w:rPr>
                <w:sz w:val="18"/>
                <w:szCs w:val="18"/>
                <w:lang w:val="en-GB"/>
              </w:rPr>
              <w:t>Figure 16: percentage of s</w:t>
            </w:r>
            <w:r>
              <w:rPr>
                <w:sz w:val="18"/>
                <w:szCs w:val="18"/>
                <w:lang w:val="en-GB"/>
              </w:rPr>
              <w:t>u</w:t>
            </w:r>
            <w:r w:rsidRPr="00FC3CA0">
              <w:rPr>
                <w:sz w:val="18"/>
                <w:szCs w:val="18"/>
                <w:lang w:val="en-GB"/>
              </w:rPr>
              <w:t xml:space="preserve">ccessfully executed </w:t>
            </w:r>
            <w:r w:rsidRPr="00FC3CA0">
              <w:rPr>
                <w:i/>
                <w:sz w:val="18"/>
                <w:szCs w:val="18"/>
                <w:lang w:val="en-GB"/>
              </w:rPr>
              <w:t>exits</w:t>
            </w:r>
          </w:p>
          <w:p w:rsidR="00461AAF" w:rsidRDefault="00461AAF" w:rsidP="00CE3DB2">
            <w:pPr>
              <w:contextualSpacing/>
            </w:pPr>
            <w:r>
              <w:rPr>
                <w:noProof/>
                <w:lang w:eastAsia="it-IT"/>
              </w:rPr>
              <w:drawing>
                <wp:inline distT="0" distB="0" distL="0" distR="0" wp14:anchorId="6E287F2C" wp14:editId="22A3B99E">
                  <wp:extent cx="2964392" cy="180000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4392" cy="1800000"/>
                          </a:xfrm>
                          <a:prstGeom prst="rect">
                            <a:avLst/>
                          </a:prstGeom>
                          <a:noFill/>
                          <a:ln>
                            <a:noFill/>
                          </a:ln>
                        </pic:spPr>
                      </pic:pic>
                    </a:graphicData>
                  </a:graphic>
                </wp:inline>
              </w:drawing>
            </w:r>
          </w:p>
        </w:tc>
      </w:tr>
    </w:tbl>
    <w:p w:rsidR="00CE3DB2" w:rsidRDefault="00CE3DB2"/>
    <w:p w:rsidR="00461AAF" w:rsidRDefault="00461AAF"/>
    <w:tbl>
      <w:tblPr>
        <w:tblStyle w:val="Grigliatabella"/>
        <w:tblW w:w="0" w:type="auto"/>
        <w:tblInd w:w="108" w:type="dxa"/>
        <w:tblLook w:val="04A0" w:firstRow="1" w:lastRow="0" w:firstColumn="1" w:lastColumn="0" w:noHBand="0" w:noVBand="1"/>
      </w:tblPr>
      <w:tblGrid>
        <w:gridCol w:w="5032"/>
      </w:tblGrid>
      <w:tr w:rsidR="00461AAF" w:rsidRPr="00FC3CA0" w:rsidTr="004E3DE9">
        <w:tc>
          <w:tcPr>
            <w:tcW w:w="5032" w:type="dxa"/>
          </w:tcPr>
          <w:p w:rsidR="00461AAF" w:rsidRPr="00FC3CA0" w:rsidRDefault="00461AAF" w:rsidP="004E3DE9">
            <w:pPr>
              <w:contextualSpacing/>
              <w:rPr>
                <w:lang w:val="en-GB"/>
              </w:rPr>
            </w:pPr>
            <w:r w:rsidRPr="00FC3CA0">
              <w:rPr>
                <w:sz w:val="18"/>
                <w:szCs w:val="18"/>
                <w:lang w:val="en-GB"/>
              </w:rPr>
              <w:lastRenderedPageBreak/>
              <w:t xml:space="preserve">Figure 17: percentage of </w:t>
            </w:r>
            <w:r w:rsidRPr="00FC3CA0">
              <w:rPr>
                <w:i/>
                <w:sz w:val="18"/>
                <w:szCs w:val="18"/>
                <w:lang w:val="en-GB"/>
              </w:rPr>
              <w:t>write-offs</w:t>
            </w:r>
            <w:r w:rsidRPr="00FC3CA0">
              <w:rPr>
                <w:noProof/>
                <w:sz w:val="16"/>
                <w:lang w:val="en-GB" w:eastAsia="it-IT"/>
              </w:rPr>
              <w:t xml:space="preserve"> </w:t>
            </w:r>
            <w:r>
              <w:rPr>
                <w:noProof/>
                <w:lang w:eastAsia="it-IT"/>
              </w:rPr>
              <w:drawing>
                <wp:inline distT="0" distB="0" distL="0" distR="0" wp14:anchorId="6DAA98B0" wp14:editId="44B07706">
                  <wp:extent cx="2964392" cy="1800000"/>
                  <wp:effectExtent l="0" t="0" r="0" b="3810"/>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4392" cy="1800000"/>
                          </a:xfrm>
                          <a:prstGeom prst="rect">
                            <a:avLst/>
                          </a:prstGeom>
                          <a:noFill/>
                          <a:ln>
                            <a:noFill/>
                          </a:ln>
                        </pic:spPr>
                      </pic:pic>
                    </a:graphicData>
                  </a:graphic>
                </wp:inline>
              </w:drawing>
            </w:r>
          </w:p>
        </w:tc>
      </w:tr>
    </w:tbl>
    <w:p w:rsidR="00461AAF" w:rsidRDefault="00461AAF"/>
    <w:p w:rsidR="00461AAF" w:rsidRDefault="00461AAF"/>
    <w:p w:rsidR="00461AAF" w:rsidRDefault="00461AAF"/>
    <w:p w:rsidR="00461AAF" w:rsidRDefault="00461AAF"/>
    <w:p w:rsidR="00461AAF" w:rsidRDefault="00461AAF"/>
    <w:p w:rsidR="00461AAF" w:rsidRDefault="00461AAF"/>
    <w:p w:rsidR="00766DBF" w:rsidRPr="00031E5A" w:rsidRDefault="00766DBF" w:rsidP="00766DBF">
      <w:pPr>
        <w:contextualSpacing/>
      </w:pPr>
      <w:r w:rsidRPr="00031E5A">
        <w:t xml:space="preserve">Table 5: relationships between operators </w:t>
      </w:r>
      <w:r>
        <w:t>and</w:t>
      </w:r>
      <w:r w:rsidRPr="00031E5A">
        <w:t xml:space="preserve"> institutions </w:t>
      </w:r>
    </w:p>
    <w:p w:rsidR="00CE3DB2" w:rsidRDefault="00766DBF" w:rsidP="00766DBF">
      <w:r>
        <w:rPr>
          <w:noProof/>
          <w:lang w:val="it-IT" w:eastAsia="it-IT"/>
        </w:rPr>
        <w:drawing>
          <wp:inline distT="0" distB="0" distL="0" distR="0" wp14:anchorId="687B8AEE" wp14:editId="668DCDA3">
            <wp:extent cx="6301105" cy="1182400"/>
            <wp:effectExtent l="0" t="0" r="0" b="11430"/>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1105" cy="1182400"/>
                    </a:xfrm>
                    <a:prstGeom prst="rect">
                      <a:avLst/>
                    </a:prstGeom>
                    <a:noFill/>
                    <a:ln>
                      <a:noFill/>
                    </a:ln>
                  </pic:spPr>
                </pic:pic>
              </a:graphicData>
            </a:graphic>
          </wp:inline>
        </w:drawing>
      </w:r>
    </w:p>
    <w:p w:rsidR="00CE3DB2" w:rsidRDefault="00CE3DB2"/>
    <w:p w:rsidR="00766DBF" w:rsidRPr="00EB6B1F" w:rsidRDefault="00766DBF" w:rsidP="00766DBF">
      <w:pPr>
        <w:contextualSpacing/>
      </w:pPr>
      <w:r w:rsidRPr="00EB6B1F">
        <w:t xml:space="preserve">Table 6: relationships between operators and banks </w:t>
      </w:r>
    </w:p>
    <w:p w:rsidR="00766DBF" w:rsidRDefault="00766DBF" w:rsidP="00766DBF">
      <w:pPr>
        <w:pStyle w:val="Paragrafoelenco"/>
        <w:tabs>
          <w:tab w:val="left" w:pos="284"/>
          <w:tab w:val="left" w:pos="426"/>
        </w:tabs>
        <w:ind w:left="0"/>
        <w:jc w:val="both"/>
      </w:pPr>
      <w:r>
        <w:rPr>
          <w:noProof/>
          <w:lang w:val="it-IT" w:eastAsia="it-IT"/>
        </w:rPr>
        <w:drawing>
          <wp:inline distT="0" distB="0" distL="0" distR="0" wp14:anchorId="77953DC5" wp14:editId="336FA315">
            <wp:extent cx="6301105" cy="764714"/>
            <wp:effectExtent l="0" t="0" r="0" b="0"/>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1105" cy="764714"/>
                    </a:xfrm>
                    <a:prstGeom prst="rect">
                      <a:avLst/>
                    </a:prstGeom>
                    <a:noFill/>
                    <a:ln>
                      <a:noFill/>
                    </a:ln>
                  </pic:spPr>
                </pic:pic>
              </a:graphicData>
            </a:graphic>
          </wp:inline>
        </w:drawing>
      </w:r>
    </w:p>
    <w:p w:rsidR="00766DBF" w:rsidRDefault="00766DBF" w:rsidP="00766DBF">
      <w:pPr>
        <w:pStyle w:val="Paragrafoelenco"/>
        <w:tabs>
          <w:tab w:val="left" w:pos="284"/>
          <w:tab w:val="left" w:pos="426"/>
        </w:tabs>
        <w:ind w:left="0"/>
        <w:jc w:val="both"/>
      </w:pPr>
    </w:p>
    <w:p w:rsidR="00766DBF" w:rsidRPr="00985193" w:rsidRDefault="00766DBF" w:rsidP="00766DBF">
      <w:pPr>
        <w:contextualSpacing/>
      </w:pPr>
      <w:r w:rsidRPr="00985193">
        <w:t>Table 7: relationships between operators and large industrial groups</w:t>
      </w:r>
    </w:p>
    <w:p w:rsidR="00766DBF" w:rsidRDefault="00766DBF" w:rsidP="00766DBF">
      <w:pPr>
        <w:pStyle w:val="Paragrafoelenco"/>
        <w:tabs>
          <w:tab w:val="left" w:pos="284"/>
          <w:tab w:val="left" w:pos="426"/>
        </w:tabs>
        <w:ind w:left="0"/>
        <w:jc w:val="both"/>
      </w:pPr>
      <w:r>
        <w:rPr>
          <w:noProof/>
          <w:lang w:val="it-IT" w:eastAsia="it-IT"/>
        </w:rPr>
        <w:drawing>
          <wp:inline distT="0" distB="0" distL="0" distR="0" wp14:anchorId="4D11CE5F" wp14:editId="3F26F20C">
            <wp:extent cx="6301105" cy="1371056"/>
            <wp:effectExtent l="0" t="0" r="0" b="635"/>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1105" cy="1371056"/>
                    </a:xfrm>
                    <a:prstGeom prst="rect">
                      <a:avLst/>
                    </a:prstGeom>
                    <a:noFill/>
                    <a:ln>
                      <a:noFill/>
                    </a:ln>
                  </pic:spPr>
                </pic:pic>
              </a:graphicData>
            </a:graphic>
          </wp:inline>
        </w:drawing>
      </w:r>
    </w:p>
    <w:p w:rsidR="00CE3DB2" w:rsidRDefault="00CE3DB2"/>
    <w:p w:rsidR="00766DBF" w:rsidRPr="006065F7" w:rsidRDefault="00766DBF" w:rsidP="00766DBF">
      <w:pPr>
        <w:pBdr>
          <w:top w:val="single" w:sz="4" w:space="0" w:color="auto"/>
          <w:left w:val="single" w:sz="4" w:space="4" w:color="auto"/>
          <w:bottom w:val="single" w:sz="4" w:space="1" w:color="auto"/>
          <w:right w:val="single" w:sz="4" w:space="31" w:color="auto"/>
        </w:pBdr>
        <w:tabs>
          <w:tab w:val="left" w:pos="6946"/>
        </w:tabs>
        <w:ind w:left="142" w:right="3827"/>
        <w:contextualSpacing/>
        <w:rPr>
          <w:noProof/>
          <w:lang w:eastAsia="it-IT"/>
        </w:rPr>
      </w:pPr>
      <w:r w:rsidRPr="006065F7">
        <w:rPr>
          <w:sz w:val="18"/>
          <w:szCs w:val="18"/>
        </w:rPr>
        <w:lastRenderedPageBreak/>
        <w:t>Figure 18: contributio</w:t>
      </w:r>
      <w:r>
        <w:rPr>
          <w:sz w:val="18"/>
          <w:szCs w:val="18"/>
        </w:rPr>
        <w:t>n of</w:t>
      </w:r>
      <w:r w:rsidRPr="006065F7">
        <w:rPr>
          <w:sz w:val="18"/>
          <w:szCs w:val="18"/>
        </w:rPr>
        <w:t xml:space="preserve"> </w:t>
      </w:r>
      <w:r w:rsidRPr="006065F7">
        <w:rPr>
          <w:i/>
          <w:sz w:val="18"/>
          <w:szCs w:val="18"/>
        </w:rPr>
        <w:t>crowdfunding</w:t>
      </w:r>
      <w:r w:rsidRPr="006065F7">
        <w:rPr>
          <w:sz w:val="18"/>
          <w:szCs w:val="18"/>
        </w:rPr>
        <w:t xml:space="preserve"> to the start-up eco</w:t>
      </w:r>
      <w:r>
        <w:rPr>
          <w:sz w:val="18"/>
          <w:szCs w:val="18"/>
        </w:rPr>
        <w:t>system</w:t>
      </w:r>
      <w:r w:rsidRPr="006065F7">
        <w:rPr>
          <w:sz w:val="18"/>
          <w:szCs w:val="18"/>
        </w:rPr>
        <w:t xml:space="preserve"> </w:t>
      </w:r>
      <w:r>
        <w:rPr>
          <w:noProof/>
          <w:sz w:val="18"/>
          <w:szCs w:val="18"/>
          <w:lang w:val="it-IT" w:eastAsia="it-IT"/>
        </w:rPr>
        <w:drawing>
          <wp:inline distT="0" distB="0" distL="0" distR="0" wp14:anchorId="53A9307E" wp14:editId="1CB63189">
            <wp:extent cx="3960000" cy="1895828"/>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0000" cy="1895828"/>
                    </a:xfrm>
                    <a:prstGeom prst="rect">
                      <a:avLst/>
                    </a:prstGeom>
                    <a:noFill/>
                    <a:ln>
                      <a:noFill/>
                    </a:ln>
                  </pic:spPr>
                </pic:pic>
              </a:graphicData>
            </a:graphic>
          </wp:inline>
        </w:drawing>
      </w:r>
    </w:p>
    <w:p w:rsidR="00CE3DB2" w:rsidRDefault="00CE3DB2"/>
    <w:p w:rsidR="00766DBF" w:rsidRPr="004E0EF5" w:rsidRDefault="00766DBF" w:rsidP="00766DBF">
      <w:pPr>
        <w:pStyle w:val="Paragrafoelenco"/>
        <w:tabs>
          <w:tab w:val="left" w:pos="284"/>
          <w:tab w:val="left" w:pos="426"/>
        </w:tabs>
        <w:ind w:left="284" w:hanging="284"/>
        <w:jc w:val="both"/>
      </w:pPr>
      <w:r w:rsidRPr="004E0EF5">
        <w:t xml:space="preserve">Table 8: strategies to strengthen the individual competitive position of </w:t>
      </w:r>
      <w:r>
        <w:t>operators</w:t>
      </w:r>
      <w:r w:rsidRPr="004E0EF5">
        <w:t xml:space="preserve"> </w:t>
      </w:r>
    </w:p>
    <w:p w:rsidR="00766DBF" w:rsidRDefault="00766DBF" w:rsidP="00766DBF">
      <w:pPr>
        <w:pStyle w:val="Paragrafoelenco"/>
        <w:ind w:left="0"/>
        <w:jc w:val="both"/>
      </w:pPr>
      <w:r>
        <w:rPr>
          <w:noProof/>
          <w:lang w:val="it-IT" w:eastAsia="it-IT"/>
        </w:rPr>
        <w:drawing>
          <wp:inline distT="0" distB="0" distL="0" distR="0" wp14:anchorId="191B7F2E" wp14:editId="4EEACFDE">
            <wp:extent cx="6301105" cy="2195830"/>
            <wp:effectExtent l="0" t="0" r="4445" b="0"/>
            <wp:docPr id="2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1105" cy="2195830"/>
                    </a:xfrm>
                    <a:prstGeom prst="rect">
                      <a:avLst/>
                    </a:prstGeom>
                    <a:noFill/>
                    <a:ln>
                      <a:noFill/>
                    </a:ln>
                  </pic:spPr>
                </pic:pic>
              </a:graphicData>
            </a:graphic>
          </wp:inline>
        </w:drawing>
      </w:r>
    </w:p>
    <w:p w:rsidR="00766DBF" w:rsidRDefault="00766DBF" w:rsidP="00766DBF">
      <w:pPr>
        <w:contextualSpacing/>
        <w:jc w:val="both"/>
        <w:rPr>
          <w:noProof/>
          <w:lang w:eastAsia="it-IT"/>
        </w:rPr>
      </w:pPr>
    </w:p>
    <w:p w:rsidR="00766DBF" w:rsidRPr="004E0EF5" w:rsidRDefault="00766DBF" w:rsidP="00766DBF">
      <w:pPr>
        <w:contextualSpacing/>
      </w:pPr>
      <w:r w:rsidRPr="004E0EF5">
        <w:t>Table</w:t>
      </w:r>
      <w:r>
        <w:t xml:space="preserve"> 9: measures</w:t>
      </w:r>
      <w:r w:rsidRPr="004E0EF5">
        <w:t xml:space="preserve"> to further support the growth of national start</w:t>
      </w:r>
      <w:r>
        <w:t>-</w:t>
      </w:r>
      <w:r w:rsidRPr="004E0EF5">
        <w:t>up</w:t>
      </w:r>
      <w:r>
        <w:t>s</w:t>
      </w:r>
    </w:p>
    <w:p w:rsidR="00766DBF" w:rsidRDefault="00766DBF" w:rsidP="00C5220A">
      <w:pPr>
        <w:pStyle w:val="Paragrafoelenco"/>
        <w:tabs>
          <w:tab w:val="left" w:pos="0"/>
          <w:tab w:val="left" w:pos="426"/>
        </w:tabs>
        <w:ind w:left="0"/>
        <w:jc w:val="both"/>
      </w:pPr>
      <w:r>
        <w:rPr>
          <w:b/>
          <w:noProof/>
          <w:lang w:val="it-IT" w:eastAsia="it-IT"/>
        </w:rPr>
        <w:drawing>
          <wp:inline distT="0" distB="0" distL="0" distR="0" wp14:anchorId="74CE722B" wp14:editId="2EFEDC46">
            <wp:extent cx="6301105" cy="2276604"/>
            <wp:effectExtent l="0" t="0" r="0" b="9525"/>
            <wp:docPr id="2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01105" cy="2276604"/>
                    </a:xfrm>
                    <a:prstGeom prst="rect">
                      <a:avLst/>
                    </a:prstGeom>
                    <a:noFill/>
                    <a:ln>
                      <a:noFill/>
                    </a:ln>
                  </pic:spPr>
                </pic:pic>
              </a:graphicData>
            </a:graphic>
          </wp:inline>
        </w:drawing>
      </w:r>
    </w:p>
    <w:sectPr w:rsidR="00766DBF" w:rsidSect="0016561E">
      <w:footerReference w:type="default" r:id="rId34"/>
      <w:pgSz w:w="11906" w:h="16838" w:code="9"/>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6D" w:rsidRDefault="00F4326D" w:rsidP="00DC4E49">
      <w:r>
        <w:separator/>
      </w:r>
    </w:p>
  </w:endnote>
  <w:endnote w:type="continuationSeparator" w:id="0">
    <w:p w:rsidR="00F4326D" w:rsidRDefault="00F4326D" w:rsidP="00D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179173"/>
      <w:docPartObj>
        <w:docPartGallery w:val="Page Numbers (Bottom of Page)"/>
        <w:docPartUnique/>
      </w:docPartObj>
    </w:sdtPr>
    <w:sdtEndPr/>
    <w:sdtContent>
      <w:p w:rsidR="004E3DE9" w:rsidRDefault="004E3DE9">
        <w:pPr>
          <w:pStyle w:val="Pidipagina"/>
          <w:jc w:val="center"/>
        </w:pPr>
        <w:r>
          <w:fldChar w:fldCharType="begin"/>
        </w:r>
        <w:r>
          <w:instrText>PAGE   \* MERGEFORMAT</w:instrText>
        </w:r>
        <w:r>
          <w:fldChar w:fldCharType="separate"/>
        </w:r>
        <w:r>
          <w:rPr>
            <w:noProof/>
          </w:rPr>
          <w:t>2</w:t>
        </w:r>
        <w:r>
          <w:rPr>
            <w:noProof/>
          </w:rPr>
          <w:fldChar w:fldCharType="end"/>
        </w:r>
      </w:p>
    </w:sdtContent>
  </w:sdt>
  <w:p w:rsidR="004E3DE9" w:rsidRDefault="004E3D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6D" w:rsidRDefault="00F4326D" w:rsidP="00DC4E49">
      <w:r>
        <w:separator/>
      </w:r>
    </w:p>
  </w:footnote>
  <w:footnote w:type="continuationSeparator" w:id="0">
    <w:p w:rsidR="00F4326D" w:rsidRDefault="00F4326D" w:rsidP="00DC4E49">
      <w:r>
        <w:continuationSeparator/>
      </w:r>
    </w:p>
  </w:footnote>
  <w:footnote w:id="1">
    <w:p w:rsidR="004E3DE9" w:rsidRPr="009978FF" w:rsidRDefault="004E3DE9" w:rsidP="00DC4E49">
      <w:pPr>
        <w:pStyle w:val="Testonotaapidipagina"/>
        <w:jc w:val="both"/>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The concept can be defined by: the type of innovation, classified as </w:t>
      </w:r>
      <w:r w:rsidRPr="009978FF">
        <w:rPr>
          <w:rFonts w:asciiTheme="minorHAnsi" w:hAnsiTheme="minorHAnsi" w:cstheme="minorHAnsi"/>
          <w:i/>
          <w:sz w:val="18"/>
          <w:szCs w:val="18"/>
        </w:rPr>
        <w:t>product innovation,</w:t>
      </w:r>
      <w:r w:rsidRPr="009978FF">
        <w:rPr>
          <w:rFonts w:asciiTheme="minorHAnsi" w:hAnsiTheme="minorHAnsi" w:cstheme="minorHAnsi"/>
          <w:sz w:val="18"/>
          <w:szCs w:val="18"/>
        </w:rPr>
        <w:t xml:space="preserve"> </w:t>
      </w:r>
      <w:r w:rsidRPr="009978FF">
        <w:rPr>
          <w:rFonts w:asciiTheme="minorHAnsi" w:hAnsiTheme="minorHAnsi" w:cstheme="minorHAnsi"/>
          <w:i/>
          <w:sz w:val="18"/>
          <w:szCs w:val="18"/>
        </w:rPr>
        <w:t xml:space="preserve">process innovation, marketing innovation </w:t>
      </w:r>
      <w:r w:rsidRPr="009978FF">
        <w:rPr>
          <w:rFonts w:asciiTheme="minorHAnsi" w:hAnsiTheme="minorHAnsi" w:cstheme="minorHAnsi"/>
          <w:sz w:val="18"/>
          <w:szCs w:val="18"/>
        </w:rPr>
        <w:t xml:space="preserve">or </w:t>
      </w:r>
      <w:r w:rsidRPr="009978FF">
        <w:rPr>
          <w:rFonts w:asciiTheme="minorHAnsi" w:hAnsiTheme="minorHAnsi" w:cstheme="minorHAnsi"/>
          <w:i/>
          <w:sz w:val="18"/>
          <w:szCs w:val="18"/>
        </w:rPr>
        <w:t>organisational innovation</w:t>
      </w:r>
      <w:r w:rsidRPr="009978FF">
        <w:rPr>
          <w:rFonts w:asciiTheme="minorHAnsi" w:hAnsiTheme="minorHAnsi" w:cstheme="minorHAnsi"/>
          <w:sz w:val="18"/>
          <w:szCs w:val="18"/>
        </w:rPr>
        <w:t xml:space="preserve">; and by the level of innovation, either </w:t>
      </w:r>
      <w:r w:rsidRPr="009978FF">
        <w:rPr>
          <w:rFonts w:asciiTheme="minorHAnsi" w:hAnsiTheme="minorHAnsi" w:cstheme="minorHAnsi"/>
          <w:i/>
          <w:sz w:val="18"/>
          <w:szCs w:val="18"/>
        </w:rPr>
        <w:t>radical innovation</w:t>
      </w:r>
      <w:r w:rsidRPr="009978FF">
        <w:rPr>
          <w:rFonts w:asciiTheme="minorHAnsi" w:hAnsiTheme="minorHAnsi" w:cstheme="minorHAnsi"/>
          <w:sz w:val="18"/>
          <w:szCs w:val="18"/>
        </w:rPr>
        <w:t>, which is the result of research and development by industrial</w:t>
      </w:r>
      <w:r w:rsidRPr="009978FF">
        <w:rPr>
          <w:rFonts w:asciiTheme="minorHAnsi" w:hAnsiTheme="minorHAnsi" w:cstheme="minorHAnsi"/>
          <w:color w:val="FF0000"/>
          <w:sz w:val="18"/>
          <w:szCs w:val="18"/>
        </w:rPr>
        <w:t xml:space="preserve"> </w:t>
      </w:r>
      <w:r w:rsidRPr="009978FF">
        <w:rPr>
          <w:rFonts w:asciiTheme="minorHAnsi" w:hAnsiTheme="minorHAnsi" w:cstheme="minorHAnsi"/>
          <w:sz w:val="18"/>
          <w:szCs w:val="18"/>
        </w:rPr>
        <w:t xml:space="preserve">and/or government laboratories who, rather disjointedly in terms of both time and industry sector, create new technological paradigms and new markets, or </w:t>
      </w:r>
      <w:r w:rsidRPr="009978FF">
        <w:rPr>
          <w:rFonts w:asciiTheme="minorHAnsi" w:hAnsiTheme="minorHAnsi" w:cstheme="minorHAnsi"/>
          <w:i/>
          <w:sz w:val="18"/>
          <w:szCs w:val="18"/>
        </w:rPr>
        <w:t>incremental innovation</w:t>
      </w:r>
      <w:r w:rsidRPr="009978FF">
        <w:rPr>
          <w:rFonts w:asciiTheme="minorHAnsi" w:hAnsiTheme="minorHAnsi" w:cstheme="minorHAnsi"/>
          <w:sz w:val="18"/>
          <w:szCs w:val="18"/>
        </w:rPr>
        <w:t>, which develops already existing paradigms and consistently improves the efficiency of various production factors (Bower, Christensen, 1995).</w:t>
      </w:r>
    </w:p>
  </w:footnote>
  <w:footnote w:id="2">
    <w:p w:rsidR="004E3DE9" w:rsidRPr="009978FF" w:rsidRDefault="004E3DE9" w:rsidP="00DC4E49">
      <w:pPr>
        <w:pStyle w:val="Testonotaapidipagina"/>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These are organisations which, thanks to a valid </w:t>
      </w:r>
      <w:r w:rsidRPr="009978FF">
        <w:rPr>
          <w:rFonts w:asciiTheme="minorHAnsi" w:hAnsiTheme="minorHAnsi" w:cstheme="minorHAnsi"/>
          <w:i/>
          <w:sz w:val="18"/>
          <w:szCs w:val="18"/>
        </w:rPr>
        <w:t>business idea</w:t>
      </w:r>
      <w:r w:rsidRPr="009978FF">
        <w:rPr>
          <w:rFonts w:asciiTheme="minorHAnsi" w:hAnsiTheme="minorHAnsi" w:cstheme="minorHAnsi"/>
          <w:sz w:val="18"/>
          <w:szCs w:val="18"/>
        </w:rPr>
        <w:t>, aim to launch a new product on the market, invest in research and development and propose a business model which is based on technological progress, with the aim of getting past the experimental phase and, in the medium term, consolidating a robust growth path for the business.</w:t>
      </w:r>
    </w:p>
  </w:footnote>
  <w:footnote w:id="3">
    <w:p w:rsidR="004E3DE9" w:rsidRPr="009978FF" w:rsidRDefault="004E3DE9" w:rsidP="004E308D">
      <w:pPr>
        <w:autoSpaceDE w:val="0"/>
        <w:autoSpaceDN w:val="0"/>
        <w:adjustRightInd w:val="0"/>
        <w:jc w:val="both"/>
        <w:rPr>
          <w:rFonts w:cstheme="minorHAnsi"/>
          <w:sz w:val="18"/>
          <w:szCs w:val="18"/>
        </w:rPr>
      </w:pPr>
      <w:r w:rsidRPr="009978FF">
        <w:rPr>
          <w:rStyle w:val="Rimandonotaapidipagina"/>
          <w:rFonts w:cstheme="minorHAnsi"/>
          <w:sz w:val="18"/>
          <w:szCs w:val="18"/>
        </w:rPr>
        <w:footnoteRef/>
      </w:r>
      <w:r w:rsidRPr="009978FF">
        <w:rPr>
          <w:rFonts w:cstheme="minorHAnsi"/>
          <w:sz w:val="18"/>
          <w:szCs w:val="18"/>
        </w:rPr>
        <w:t xml:space="preserve"> </w:t>
      </w:r>
      <w:r>
        <w:rPr>
          <w:rFonts w:cstheme="minorHAnsi"/>
          <w:sz w:val="18"/>
          <w:szCs w:val="18"/>
        </w:rPr>
        <w:t>Generally speaking</w:t>
      </w:r>
      <w:r w:rsidRPr="009978FF">
        <w:rPr>
          <w:rFonts w:cstheme="minorHAnsi"/>
          <w:sz w:val="18"/>
          <w:szCs w:val="18"/>
        </w:rPr>
        <w:t>, business angels can be classified (</w:t>
      </w:r>
      <w:proofErr w:type="spellStart"/>
      <w:r w:rsidRPr="009978FF">
        <w:rPr>
          <w:rFonts w:cstheme="minorHAnsi"/>
          <w:sz w:val="18"/>
          <w:szCs w:val="18"/>
        </w:rPr>
        <w:t>Gualandri</w:t>
      </w:r>
      <w:proofErr w:type="spellEnd"/>
      <w:r w:rsidRPr="009978FF">
        <w:rPr>
          <w:rFonts w:cstheme="minorHAnsi"/>
          <w:sz w:val="18"/>
          <w:szCs w:val="18"/>
        </w:rPr>
        <w:t xml:space="preserve">, </w:t>
      </w:r>
      <w:proofErr w:type="spellStart"/>
      <w:r w:rsidRPr="009978FF">
        <w:rPr>
          <w:rFonts w:cstheme="minorHAnsi"/>
          <w:sz w:val="18"/>
          <w:szCs w:val="18"/>
        </w:rPr>
        <w:t>Venturelli</w:t>
      </w:r>
      <w:proofErr w:type="spellEnd"/>
      <w:r w:rsidRPr="009978FF">
        <w:rPr>
          <w:rFonts w:cstheme="minorHAnsi"/>
          <w:sz w:val="18"/>
          <w:szCs w:val="18"/>
        </w:rPr>
        <w:t>, 2011) on the basis (</w:t>
      </w:r>
      <w:proofErr w:type="spellStart"/>
      <w:r w:rsidRPr="009978FF">
        <w:rPr>
          <w:rFonts w:cstheme="minorHAnsi"/>
          <w:sz w:val="18"/>
          <w:szCs w:val="18"/>
        </w:rPr>
        <w:t>i</w:t>
      </w:r>
      <w:proofErr w:type="spellEnd"/>
      <w:r w:rsidRPr="009978FF">
        <w:rPr>
          <w:rFonts w:cstheme="minorHAnsi"/>
          <w:sz w:val="18"/>
          <w:szCs w:val="18"/>
        </w:rPr>
        <w:t xml:space="preserve">) of the type of contribution (classified as either </w:t>
      </w:r>
      <w:r w:rsidRPr="009978FF">
        <w:rPr>
          <w:rFonts w:cstheme="minorHAnsi"/>
          <w:i/>
          <w:sz w:val="18"/>
          <w:szCs w:val="18"/>
        </w:rPr>
        <w:t>financial</w:t>
      </w:r>
      <w:r w:rsidRPr="009978FF">
        <w:rPr>
          <w:rFonts w:cstheme="minorHAnsi"/>
          <w:sz w:val="18"/>
          <w:szCs w:val="18"/>
        </w:rPr>
        <w:t xml:space="preserve">, who primarily invest in the company’s risk capital without assuming any managerial duties and limit themselves to supervising and controlling the business, and </w:t>
      </w:r>
      <w:r w:rsidRPr="009978FF">
        <w:rPr>
          <w:rFonts w:cstheme="minorHAnsi"/>
          <w:i/>
          <w:sz w:val="18"/>
          <w:szCs w:val="18"/>
        </w:rPr>
        <w:t>industrial</w:t>
      </w:r>
      <w:r w:rsidRPr="009978FF">
        <w:rPr>
          <w:rFonts w:cstheme="minorHAnsi"/>
          <w:sz w:val="18"/>
          <w:szCs w:val="18"/>
        </w:rPr>
        <w:t xml:space="preserve">, who instead actively participate in management in terms of professional and managerial contributions) and (ii) of the frequency with which they invest in such operations (differentiated between </w:t>
      </w:r>
      <w:r w:rsidRPr="009978FF">
        <w:rPr>
          <w:rFonts w:cstheme="minorHAnsi"/>
          <w:i/>
          <w:sz w:val="18"/>
          <w:szCs w:val="18"/>
        </w:rPr>
        <w:t xml:space="preserve">entrepreneurs </w:t>
      </w:r>
      <w:r w:rsidRPr="009978FF">
        <w:rPr>
          <w:rFonts w:cstheme="minorHAnsi"/>
          <w:sz w:val="18"/>
          <w:szCs w:val="18"/>
        </w:rPr>
        <w:t>or</w:t>
      </w:r>
      <w:r w:rsidRPr="009978FF">
        <w:rPr>
          <w:rFonts w:cstheme="minorHAnsi"/>
          <w:i/>
          <w:sz w:val="18"/>
          <w:szCs w:val="18"/>
        </w:rPr>
        <w:t xml:space="preserve"> professionals</w:t>
      </w:r>
      <w:r w:rsidRPr="009978FF">
        <w:rPr>
          <w:rFonts w:cstheme="minorHAnsi"/>
          <w:sz w:val="18"/>
          <w:szCs w:val="18"/>
        </w:rPr>
        <w:t xml:space="preserve"> on one side, and  </w:t>
      </w:r>
      <w:r w:rsidRPr="009978FF">
        <w:rPr>
          <w:rFonts w:cstheme="minorHAnsi"/>
          <w:i/>
          <w:sz w:val="18"/>
          <w:szCs w:val="18"/>
        </w:rPr>
        <w:t xml:space="preserve">occasional </w:t>
      </w:r>
      <w:r w:rsidRPr="009978FF">
        <w:rPr>
          <w:rFonts w:cstheme="minorHAnsi"/>
          <w:sz w:val="18"/>
          <w:szCs w:val="18"/>
        </w:rPr>
        <w:t>operators on the other).</w:t>
      </w:r>
    </w:p>
  </w:footnote>
  <w:footnote w:id="4">
    <w:p w:rsidR="004E3DE9" w:rsidRPr="009978FF" w:rsidRDefault="004E3DE9" w:rsidP="004E308D">
      <w:pPr>
        <w:pStyle w:val="Testonotaapidipagina"/>
        <w:jc w:val="both"/>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Obviously, public sector operators’ objectives are predominantly social or macroeconomic, capable of supporting the economic development of a </w:t>
      </w:r>
      <w:r>
        <w:rPr>
          <w:rFonts w:asciiTheme="minorHAnsi" w:hAnsiTheme="minorHAnsi" w:cstheme="minorHAnsi"/>
          <w:sz w:val="18"/>
          <w:szCs w:val="18"/>
        </w:rPr>
        <w:t>given</w:t>
      </w:r>
      <w:r w:rsidRPr="009978FF">
        <w:rPr>
          <w:rFonts w:asciiTheme="minorHAnsi" w:hAnsiTheme="minorHAnsi" w:cstheme="minorHAnsi"/>
          <w:sz w:val="18"/>
          <w:szCs w:val="18"/>
        </w:rPr>
        <w:t xml:space="preserve"> area, with the intention of helping to create local sites of excellence, revitalise neglected areas and promote the development of sectors that are undergoing a crisis period, while the private operator, although contributing indirectly to such aims, is </w:t>
      </w:r>
      <w:r w:rsidRPr="009978FF">
        <w:rPr>
          <w:rFonts w:asciiTheme="minorHAnsi" w:hAnsiTheme="minorHAnsi" w:cstheme="minorHAnsi"/>
          <w:i/>
          <w:sz w:val="18"/>
          <w:szCs w:val="18"/>
        </w:rPr>
        <w:t>profit oriented</w:t>
      </w:r>
      <w:r w:rsidRPr="009978FF">
        <w:rPr>
          <w:rFonts w:asciiTheme="minorHAnsi" w:hAnsiTheme="minorHAnsi" w:cstheme="minorHAnsi"/>
          <w:sz w:val="18"/>
          <w:szCs w:val="18"/>
        </w:rPr>
        <w:t>, as, for this category, the logic of the profit and loss account is of most importance (</w:t>
      </w:r>
      <w:proofErr w:type="spellStart"/>
      <w:r>
        <w:rPr>
          <w:rFonts w:asciiTheme="minorHAnsi" w:hAnsiTheme="minorHAnsi" w:cstheme="minorHAnsi"/>
          <w:sz w:val="18"/>
          <w:szCs w:val="18"/>
        </w:rPr>
        <w:t>Aernoudt</w:t>
      </w:r>
      <w:proofErr w:type="spellEnd"/>
      <w:r w:rsidRPr="009978FF">
        <w:rPr>
          <w:rFonts w:asciiTheme="minorHAnsi" w:hAnsiTheme="minorHAnsi" w:cstheme="minorHAnsi"/>
          <w:sz w:val="18"/>
          <w:szCs w:val="18"/>
        </w:rPr>
        <w:t>, 2004).</w:t>
      </w:r>
    </w:p>
  </w:footnote>
  <w:footnote w:id="5">
    <w:p w:rsidR="004E3DE9" w:rsidRPr="009978FF" w:rsidRDefault="004E3DE9" w:rsidP="004E308D">
      <w:pPr>
        <w:pStyle w:val="Testonotaapidipagina"/>
        <w:jc w:val="both"/>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These usually include: fine tuning the latest business plan; </w:t>
      </w:r>
      <w:r>
        <w:rPr>
          <w:rFonts w:asciiTheme="minorHAnsi" w:hAnsiTheme="minorHAnsi" w:cstheme="minorHAnsi"/>
          <w:sz w:val="18"/>
          <w:szCs w:val="18"/>
        </w:rPr>
        <w:t xml:space="preserve">providing </w:t>
      </w:r>
      <w:r w:rsidRPr="009978FF">
        <w:rPr>
          <w:rFonts w:asciiTheme="minorHAnsi" w:hAnsiTheme="minorHAnsi" w:cstheme="minorHAnsi"/>
          <w:sz w:val="18"/>
          <w:szCs w:val="18"/>
        </w:rPr>
        <w:t xml:space="preserve">access to physical resources such as space and infrastructure; legal, administrative/financial and marketing assistance; support in sourcing human resources suited to the business activity and the company; access to </w:t>
      </w:r>
      <w:r w:rsidRPr="009978FF">
        <w:rPr>
          <w:rFonts w:asciiTheme="minorHAnsi" w:hAnsiTheme="minorHAnsi" w:cstheme="minorHAnsi"/>
          <w:i/>
          <w:sz w:val="18"/>
          <w:szCs w:val="18"/>
        </w:rPr>
        <w:t>networks</w:t>
      </w:r>
      <w:r w:rsidRPr="009978FF">
        <w:rPr>
          <w:rFonts w:asciiTheme="minorHAnsi" w:hAnsiTheme="minorHAnsi" w:cstheme="minorHAnsi"/>
          <w:sz w:val="18"/>
          <w:szCs w:val="18"/>
        </w:rPr>
        <w:t>, where individuals or interlocutors can be found who can become key factors in the success of the incubated businesses; the acquisition of financial resources.</w:t>
      </w:r>
    </w:p>
  </w:footnote>
  <w:footnote w:id="6">
    <w:p w:rsidR="004E3DE9" w:rsidRPr="009978FF" w:rsidRDefault="004E3DE9" w:rsidP="004E308D">
      <w:pPr>
        <w:pStyle w:val="Testonotaapidipagina"/>
        <w:jc w:val="both"/>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In academic literature (Hackett, </w:t>
      </w:r>
      <w:proofErr w:type="spellStart"/>
      <w:r w:rsidRPr="009978FF">
        <w:rPr>
          <w:rFonts w:asciiTheme="minorHAnsi" w:hAnsiTheme="minorHAnsi" w:cstheme="minorHAnsi"/>
          <w:sz w:val="18"/>
          <w:szCs w:val="18"/>
        </w:rPr>
        <w:t>Dilts</w:t>
      </w:r>
      <w:proofErr w:type="spellEnd"/>
      <w:r w:rsidRPr="009978FF">
        <w:rPr>
          <w:rFonts w:asciiTheme="minorHAnsi" w:hAnsiTheme="minorHAnsi" w:cstheme="minorHAnsi"/>
          <w:sz w:val="18"/>
          <w:szCs w:val="18"/>
        </w:rPr>
        <w:t>, 2004; Al-</w:t>
      </w:r>
      <w:proofErr w:type="spellStart"/>
      <w:r w:rsidRPr="009978FF">
        <w:rPr>
          <w:rFonts w:asciiTheme="minorHAnsi" w:hAnsiTheme="minorHAnsi" w:cstheme="minorHAnsi"/>
          <w:sz w:val="18"/>
          <w:szCs w:val="18"/>
        </w:rPr>
        <w:t>Mubaraki</w:t>
      </w:r>
      <w:proofErr w:type="spellEnd"/>
      <w:r w:rsidRPr="009978FF">
        <w:rPr>
          <w:rFonts w:asciiTheme="minorHAnsi" w:hAnsiTheme="minorHAnsi" w:cstheme="minorHAnsi"/>
          <w:sz w:val="18"/>
          <w:szCs w:val="18"/>
        </w:rPr>
        <w:t xml:space="preserve">, 2012), although </w:t>
      </w:r>
      <w:proofErr w:type="gramStart"/>
      <w:r w:rsidRPr="009978FF">
        <w:rPr>
          <w:rFonts w:asciiTheme="minorHAnsi" w:hAnsiTheme="minorHAnsi" w:cstheme="minorHAnsi"/>
          <w:sz w:val="18"/>
          <w:szCs w:val="18"/>
        </w:rPr>
        <w:t>the majority of</w:t>
      </w:r>
      <w:proofErr w:type="gramEnd"/>
      <w:r w:rsidRPr="009978FF">
        <w:rPr>
          <w:rFonts w:asciiTheme="minorHAnsi" w:hAnsiTheme="minorHAnsi" w:cstheme="minorHAnsi"/>
          <w:sz w:val="18"/>
          <w:szCs w:val="18"/>
        </w:rPr>
        <w:t xml:space="preserve"> authors tend to agree on the usefulness of incubators in increasing incubated businesses’ chances of success, some of them disagree, expressing doubts about the effective contribution of these structures (Schwart</w:t>
      </w:r>
      <w:r>
        <w:rPr>
          <w:rFonts w:asciiTheme="minorHAnsi" w:hAnsiTheme="minorHAnsi" w:cstheme="minorHAnsi"/>
          <w:sz w:val="18"/>
          <w:szCs w:val="18"/>
        </w:rPr>
        <w:t>z</w:t>
      </w:r>
      <w:r w:rsidRPr="009978FF">
        <w:rPr>
          <w:rFonts w:asciiTheme="minorHAnsi" w:hAnsiTheme="minorHAnsi" w:cstheme="minorHAnsi"/>
          <w:sz w:val="18"/>
          <w:szCs w:val="18"/>
        </w:rPr>
        <w:t>, 2008).</w:t>
      </w:r>
    </w:p>
  </w:footnote>
  <w:footnote w:id="7">
    <w:p w:rsidR="004E3DE9" w:rsidRPr="009978FF" w:rsidRDefault="004E3DE9" w:rsidP="00DC4E49">
      <w:pPr>
        <w:pStyle w:val="Testonotaapidipagina"/>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Classic literature (K.E. </w:t>
      </w:r>
      <w:proofErr w:type="spellStart"/>
      <w:r w:rsidRPr="009978FF">
        <w:rPr>
          <w:rFonts w:asciiTheme="minorHAnsi" w:hAnsiTheme="minorHAnsi" w:cstheme="minorHAnsi"/>
          <w:sz w:val="18"/>
          <w:szCs w:val="18"/>
        </w:rPr>
        <w:t>Relander</w:t>
      </w:r>
      <w:proofErr w:type="spellEnd"/>
      <w:r w:rsidRPr="009978FF">
        <w:rPr>
          <w:rFonts w:asciiTheme="minorHAnsi" w:hAnsiTheme="minorHAnsi" w:cstheme="minorHAnsi"/>
          <w:sz w:val="18"/>
          <w:szCs w:val="18"/>
        </w:rPr>
        <w:t xml:space="preserve">, A.P. </w:t>
      </w:r>
      <w:proofErr w:type="spellStart"/>
      <w:r w:rsidRPr="009978FF">
        <w:rPr>
          <w:rFonts w:asciiTheme="minorHAnsi" w:hAnsiTheme="minorHAnsi" w:cstheme="minorHAnsi"/>
          <w:sz w:val="18"/>
          <w:szCs w:val="18"/>
        </w:rPr>
        <w:t>Syrjanen</w:t>
      </w:r>
      <w:proofErr w:type="spellEnd"/>
      <w:r w:rsidRPr="009978FF">
        <w:rPr>
          <w:rFonts w:asciiTheme="minorHAnsi" w:hAnsiTheme="minorHAnsi" w:cstheme="minorHAnsi"/>
          <w:sz w:val="18"/>
          <w:szCs w:val="18"/>
        </w:rPr>
        <w:t xml:space="preserve">, 1993) differentiates two possible approaches to the problem. In the first hypothesis, the so-called </w:t>
      </w:r>
      <w:r w:rsidRPr="009978FF">
        <w:rPr>
          <w:rFonts w:asciiTheme="minorHAnsi" w:hAnsiTheme="minorHAnsi" w:cstheme="minorHAnsi"/>
          <w:i/>
          <w:sz w:val="18"/>
          <w:szCs w:val="18"/>
        </w:rPr>
        <w:t>path sketcher</w:t>
      </w:r>
      <w:r w:rsidRPr="009978FF">
        <w:rPr>
          <w:rFonts w:asciiTheme="minorHAnsi" w:hAnsiTheme="minorHAnsi" w:cstheme="minorHAnsi"/>
          <w:sz w:val="18"/>
          <w:szCs w:val="18"/>
        </w:rPr>
        <w:t xml:space="preserve"> model, the investor identifies possible buyers, right at the start, who, should the investment opportunity be successful, could be interested in buying its share or </w:t>
      </w:r>
      <w:proofErr w:type="gramStart"/>
      <w:r w:rsidRPr="009978FF">
        <w:rPr>
          <w:rFonts w:asciiTheme="minorHAnsi" w:hAnsiTheme="minorHAnsi" w:cstheme="minorHAnsi"/>
          <w:sz w:val="18"/>
          <w:szCs w:val="18"/>
        </w:rPr>
        <w:t>all of</w:t>
      </w:r>
      <w:proofErr w:type="gramEnd"/>
      <w:r w:rsidRPr="009978FF">
        <w:rPr>
          <w:rFonts w:asciiTheme="minorHAnsi" w:hAnsiTheme="minorHAnsi" w:cstheme="minorHAnsi"/>
          <w:sz w:val="18"/>
          <w:szCs w:val="18"/>
        </w:rPr>
        <w:t xml:space="preserve"> the business. In the second approach, known as </w:t>
      </w:r>
      <w:r w:rsidRPr="009978FF">
        <w:rPr>
          <w:rFonts w:asciiTheme="minorHAnsi" w:hAnsiTheme="minorHAnsi" w:cstheme="minorHAnsi"/>
          <w:i/>
          <w:sz w:val="18"/>
          <w:szCs w:val="18"/>
        </w:rPr>
        <w:t>opportunist</w:t>
      </w:r>
      <w:r w:rsidRPr="009978FF">
        <w:rPr>
          <w:rFonts w:asciiTheme="minorHAnsi" w:hAnsiTheme="minorHAnsi" w:cstheme="minorHAnsi"/>
          <w:sz w:val="18"/>
          <w:szCs w:val="18"/>
        </w:rPr>
        <w:t xml:space="preserve">, the </w:t>
      </w:r>
      <w:r w:rsidRPr="009978FF">
        <w:rPr>
          <w:rFonts w:asciiTheme="minorHAnsi" w:hAnsiTheme="minorHAnsi" w:cstheme="minorHAnsi"/>
          <w:i/>
          <w:sz w:val="18"/>
          <w:szCs w:val="18"/>
        </w:rPr>
        <w:t>venture capitalist</w:t>
      </w:r>
      <w:r w:rsidRPr="009978FF">
        <w:rPr>
          <w:rFonts w:asciiTheme="minorHAnsi" w:hAnsiTheme="minorHAnsi" w:cstheme="minorHAnsi"/>
          <w:sz w:val="18"/>
          <w:szCs w:val="18"/>
        </w:rPr>
        <w:t xml:space="preserve"> pays less attention to the various potential exits, as his primary interest lies in selecting companies where his contribution can maximise growth opportunity, allowing him to conveniently disinvest his share later.</w:t>
      </w:r>
    </w:p>
  </w:footnote>
  <w:footnote w:id="8">
    <w:p w:rsidR="004E3DE9" w:rsidRPr="009978FF" w:rsidRDefault="004E3DE9" w:rsidP="00DC4E49">
      <w:pPr>
        <w:pStyle w:val="Testonotaapidipagina"/>
        <w:jc w:val="both"/>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A separate discussion is taking place about the recent spread of crowdfunding platforms, who, as will be explained more fully in the following section, finance companies in the start-up phase by raising capital online.</w:t>
      </w:r>
    </w:p>
  </w:footnote>
  <w:footnote w:id="9">
    <w:p w:rsidR="004E3DE9" w:rsidRPr="009978FF" w:rsidRDefault="004E3DE9" w:rsidP="00DC4E49">
      <w:pPr>
        <w:pStyle w:val="Testonotaapidipagina"/>
        <w:jc w:val="both"/>
        <w:rPr>
          <w:rFonts w:asciiTheme="minorHAnsi" w:eastAsiaTheme="minorHAnsi" w:hAnsiTheme="minorHAnsi" w:cstheme="minorBidi"/>
          <w:sz w:val="18"/>
          <w:szCs w:val="18"/>
          <w:lang w:eastAsia="en-US"/>
        </w:rPr>
      </w:pPr>
      <w:r w:rsidRPr="009978FF">
        <w:rPr>
          <w:rStyle w:val="Rimandonotaapidipagina"/>
          <w:rFonts w:asciiTheme="minorHAnsi" w:eastAsiaTheme="minorHAnsi" w:hAnsiTheme="minorHAnsi" w:cstheme="minorBidi"/>
          <w:sz w:val="18"/>
          <w:szCs w:val="18"/>
          <w:lang w:eastAsia="en-US"/>
        </w:rPr>
        <w:footnoteRef/>
      </w:r>
      <w:r w:rsidRPr="009978FF">
        <w:rPr>
          <w:sz w:val="18"/>
          <w:szCs w:val="18"/>
        </w:rPr>
        <w:t xml:space="preserve"> </w:t>
      </w:r>
      <w:r w:rsidRPr="009978FF">
        <w:rPr>
          <w:rFonts w:asciiTheme="minorHAnsi" w:eastAsiaTheme="minorHAnsi" w:hAnsiTheme="minorHAnsi" w:cstheme="minorBidi"/>
          <w:sz w:val="18"/>
          <w:szCs w:val="18"/>
          <w:lang w:eastAsia="en-US"/>
        </w:rPr>
        <w:t>The criteria specified are as follows: the majority of company stocks or shares must be held by natural persons; the company must be established as a joint stock company, limited liability partnership, limited liability company, including co-operatives, and have been in business for no longer than 48 months; from the second year of business activity, annual production value must not exceed €5m and profits must not be distributed; the exclusive or prevalent corporate purpose must be developing and marketing  high-tech products and services.</w:t>
      </w:r>
    </w:p>
  </w:footnote>
  <w:footnote w:id="10">
    <w:p w:rsidR="004E3DE9" w:rsidRPr="009978FF" w:rsidRDefault="004E3DE9" w:rsidP="00DC4E49">
      <w:pPr>
        <w:jc w:val="both"/>
        <w:rPr>
          <w:sz w:val="18"/>
          <w:szCs w:val="18"/>
        </w:rPr>
      </w:pPr>
      <w:r w:rsidRPr="009978FF">
        <w:rPr>
          <w:rStyle w:val="Rimandonotaapidipagina"/>
          <w:sz w:val="18"/>
          <w:szCs w:val="18"/>
        </w:rPr>
        <w:footnoteRef/>
      </w:r>
      <w:r w:rsidRPr="009978FF">
        <w:rPr>
          <w:sz w:val="18"/>
          <w:szCs w:val="18"/>
        </w:rPr>
        <w:t xml:space="preserve"> The legislation also recognises innovation in the social sphere and the possibility of identifying so-called innovative start-ups with a social vocation, or operators in specific sectors defined by decree law 155/2006, such as: social assistance, health care, education, instruction and training, protection of the environment and ecosystem, promoting cultural heritage, university and post-university training, research and provision of cultural services.</w:t>
      </w:r>
    </w:p>
  </w:footnote>
  <w:footnote w:id="11">
    <w:p w:rsidR="004E3DE9" w:rsidRPr="009978FF" w:rsidRDefault="004E3DE9" w:rsidP="00DC4E49">
      <w:pPr>
        <w:pStyle w:val="Testonotaapidipagina"/>
        <w:jc w:val="both"/>
        <w:rPr>
          <w:rFonts w:asciiTheme="minorHAnsi" w:hAnsiTheme="minorHAnsi" w:cstheme="minorHAnsi"/>
          <w:sz w:val="18"/>
          <w:szCs w:val="18"/>
        </w:rPr>
      </w:pPr>
      <w:r w:rsidRPr="009978FF">
        <w:rPr>
          <w:rStyle w:val="Rimandonotaapidipagina"/>
          <w:rFonts w:asciiTheme="minorHAnsi" w:hAnsiTheme="minorHAnsi" w:cstheme="minorHAnsi"/>
          <w:sz w:val="18"/>
          <w:szCs w:val="18"/>
        </w:rPr>
        <w:footnoteRef/>
      </w:r>
      <w:r w:rsidRPr="009978FF">
        <w:rPr>
          <w:rFonts w:asciiTheme="minorHAnsi" w:hAnsiTheme="minorHAnsi" w:cstheme="minorHAnsi"/>
          <w:sz w:val="18"/>
          <w:szCs w:val="18"/>
        </w:rPr>
        <w:t xml:space="preserve"> </w:t>
      </w:r>
      <w:r>
        <w:rPr>
          <w:rFonts w:asciiTheme="minorHAnsi" w:eastAsiaTheme="minorHAnsi" w:hAnsiTheme="minorHAnsi" w:cstheme="minorBidi"/>
          <w:sz w:val="18"/>
          <w:szCs w:val="18"/>
          <w:lang w:eastAsia="en-US"/>
        </w:rPr>
        <w:t>To this end</w:t>
      </w:r>
      <w:r w:rsidRPr="009978FF">
        <w:rPr>
          <w:rFonts w:asciiTheme="minorHAnsi" w:eastAsiaTheme="minorHAnsi" w:hAnsiTheme="minorHAnsi" w:cstheme="minorBidi"/>
          <w:sz w:val="18"/>
          <w:szCs w:val="18"/>
          <w:lang w:eastAsia="en-US"/>
        </w:rPr>
        <w:t xml:space="preserve">, the </w:t>
      </w:r>
      <w:r>
        <w:rPr>
          <w:rFonts w:asciiTheme="minorHAnsi" w:eastAsiaTheme="minorHAnsi" w:hAnsiTheme="minorHAnsi" w:cstheme="minorBidi"/>
          <w:sz w:val="18"/>
          <w:szCs w:val="18"/>
          <w:lang w:eastAsia="en-US"/>
        </w:rPr>
        <w:t>subt</w:t>
      </w:r>
      <w:r w:rsidRPr="009978FF">
        <w:rPr>
          <w:rFonts w:asciiTheme="minorHAnsi" w:eastAsiaTheme="minorHAnsi" w:hAnsiTheme="minorHAnsi" w:cstheme="minorBidi"/>
          <w:sz w:val="18"/>
          <w:szCs w:val="18"/>
          <w:lang w:eastAsia="en-US"/>
        </w:rPr>
        <w:t xml:space="preserve">raction/deduction of investments from taxable income is provided for up to a maximum limit of €95,000 per annum for the purpose of </w:t>
      </w:r>
      <w:r>
        <w:rPr>
          <w:rFonts w:asciiTheme="minorHAnsi" w:eastAsiaTheme="minorHAnsi" w:hAnsiTheme="minorHAnsi" w:cstheme="minorBidi"/>
          <w:sz w:val="18"/>
          <w:szCs w:val="18"/>
          <w:lang w:eastAsia="en-US"/>
        </w:rPr>
        <w:t xml:space="preserve">IRPEF (personal income tax) deduction, </w:t>
      </w:r>
      <w:r w:rsidRPr="009978FF">
        <w:rPr>
          <w:rFonts w:asciiTheme="minorHAnsi" w:eastAsiaTheme="minorHAnsi" w:hAnsiTheme="minorHAnsi" w:cstheme="minorBidi"/>
          <w:sz w:val="18"/>
          <w:szCs w:val="18"/>
          <w:lang w:eastAsia="en-US"/>
        </w:rPr>
        <w:t xml:space="preserve">increased to €300,000 from 2017 (the </w:t>
      </w:r>
      <w:r>
        <w:rPr>
          <w:rFonts w:asciiTheme="minorHAnsi" w:eastAsiaTheme="minorHAnsi" w:hAnsiTheme="minorHAnsi" w:cstheme="minorBidi"/>
          <w:sz w:val="18"/>
          <w:szCs w:val="18"/>
          <w:lang w:eastAsia="en-US"/>
        </w:rPr>
        <w:t>rate of 19% of amounts invested</w:t>
      </w:r>
      <w:r w:rsidRPr="009978FF">
        <w:rPr>
          <w:rFonts w:asciiTheme="minorHAnsi" w:eastAsiaTheme="minorHAnsi" w:hAnsiTheme="minorHAnsi" w:cstheme="minorBidi"/>
          <w:sz w:val="18"/>
          <w:szCs w:val="18"/>
          <w:lang w:eastAsia="en-US"/>
        </w:rPr>
        <w:t xml:space="preserve"> was raised to 30% on a maximum investment of €1m, with a further benefit in the case of start-ups with a social vocation) and of €99,000 as maximum </w:t>
      </w:r>
      <w:r>
        <w:rPr>
          <w:rFonts w:asciiTheme="minorHAnsi" w:eastAsiaTheme="minorHAnsi" w:hAnsiTheme="minorHAnsi" w:cstheme="minorBidi"/>
          <w:sz w:val="18"/>
          <w:szCs w:val="18"/>
          <w:lang w:eastAsia="en-US"/>
        </w:rPr>
        <w:t>IRES (corporate income tax)</w:t>
      </w:r>
      <w:r w:rsidRPr="009978FF">
        <w:rPr>
          <w:rFonts w:asciiTheme="minorHAnsi" w:eastAsiaTheme="minorHAnsi" w:hAnsiTheme="minorHAnsi" w:cstheme="minorBidi"/>
          <w:sz w:val="18"/>
          <w:szCs w:val="18"/>
          <w:lang w:eastAsia="en-US"/>
        </w:rPr>
        <w:t xml:space="preserve"> savings increased to €129,600 from 2017, given that the maximum investment per investor must not exceed €1.8m for each tax period and that the amount obtainable from a single innovative start-up must not exceed €2.5m per annum.</w:t>
      </w:r>
    </w:p>
  </w:footnote>
  <w:footnote w:id="12">
    <w:p w:rsidR="004E3DE9" w:rsidRPr="00506161" w:rsidRDefault="004E3DE9" w:rsidP="00DC4E49">
      <w:pPr>
        <w:jc w:val="both"/>
        <w:rPr>
          <w:sz w:val="18"/>
          <w:szCs w:val="18"/>
        </w:rPr>
      </w:pPr>
      <w:r w:rsidRPr="00413454">
        <w:rPr>
          <w:sz w:val="18"/>
          <w:szCs w:val="18"/>
          <w:vertAlign w:val="superscript"/>
        </w:rPr>
        <w:footnoteRef/>
      </w:r>
      <w:r w:rsidRPr="00506161">
        <w:rPr>
          <w:sz w:val="18"/>
          <w:szCs w:val="18"/>
        </w:rPr>
        <w:t xml:space="preserve"> In addition to space and adequately equipped premises, the required conditions include (</w:t>
      </w:r>
      <w:proofErr w:type="spellStart"/>
      <w:r w:rsidRPr="00506161">
        <w:rPr>
          <w:sz w:val="18"/>
          <w:szCs w:val="18"/>
        </w:rPr>
        <w:t>i</w:t>
      </w:r>
      <w:proofErr w:type="spellEnd"/>
      <w:r w:rsidRPr="00506161">
        <w:rPr>
          <w:sz w:val="18"/>
          <w:szCs w:val="18"/>
        </w:rPr>
        <w:t>) entrusting administration or management to people with recognised competence in business and innovation, (ii) having ongoing collaborations with universities, research centres, public institutions and financial partners and (iii) availability of relevant and consolidated experience in supporting innovative start-ups. For proof of the latter, one must refer to the minimum values defined by the Decree of the Ministry of Development (</w:t>
      </w:r>
      <w:proofErr w:type="spellStart"/>
      <w:r w:rsidRPr="00506161">
        <w:rPr>
          <w:sz w:val="18"/>
          <w:szCs w:val="18"/>
        </w:rPr>
        <w:t>MiSE</w:t>
      </w:r>
      <w:proofErr w:type="spellEnd"/>
      <w:r w:rsidRPr="00506161">
        <w:rPr>
          <w:sz w:val="18"/>
          <w:szCs w:val="18"/>
        </w:rPr>
        <w:t>) of 21 February 2013 which summarise the proven ability to steadily and effectively follow successful projects.</w:t>
      </w:r>
    </w:p>
  </w:footnote>
  <w:footnote w:id="13">
    <w:p w:rsidR="004E3DE9" w:rsidRPr="00506161" w:rsidRDefault="004E3DE9" w:rsidP="00DC4E49">
      <w:pPr>
        <w:pStyle w:val="Testonotaapidipagina"/>
        <w:jc w:val="both"/>
        <w:rPr>
          <w:rFonts w:asciiTheme="minorHAnsi" w:hAnsiTheme="minorHAnsi" w:cstheme="minorHAnsi"/>
          <w:sz w:val="18"/>
          <w:szCs w:val="18"/>
        </w:rPr>
      </w:pPr>
      <w:r w:rsidRPr="00506161">
        <w:rPr>
          <w:rStyle w:val="Rimandonotaapidipagina"/>
          <w:rFonts w:asciiTheme="minorHAnsi" w:hAnsiTheme="minorHAnsi" w:cstheme="minorHAnsi"/>
          <w:sz w:val="18"/>
          <w:szCs w:val="18"/>
        </w:rPr>
        <w:footnoteRef/>
      </w:r>
      <w:r w:rsidRPr="00506161">
        <w:rPr>
          <w:rFonts w:asciiTheme="minorHAnsi" w:hAnsiTheme="minorHAnsi" w:cstheme="minorHAnsi"/>
          <w:sz w:val="18"/>
          <w:szCs w:val="18"/>
        </w:rPr>
        <w:t xml:space="preserve"> In principle, crowdfunding platforms can be differentiated as </w:t>
      </w:r>
      <w:r w:rsidRPr="00506161">
        <w:rPr>
          <w:rFonts w:asciiTheme="minorHAnsi" w:hAnsiTheme="minorHAnsi" w:cstheme="minorHAnsi"/>
          <w:i/>
          <w:sz w:val="18"/>
          <w:szCs w:val="18"/>
        </w:rPr>
        <w:t>general</w:t>
      </w:r>
      <w:r w:rsidRPr="00506161">
        <w:rPr>
          <w:rFonts w:asciiTheme="minorHAnsi" w:hAnsiTheme="minorHAnsi" w:cstheme="minorHAnsi"/>
          <w:sz w:val="18"/>
          <w:szCs w:val="18"/>
        </w:rPr>
        <w:t xml:space="preserve">, handling projects from all areas of interest, and </w:t>
      </w:r>
      <w:r w:rsidRPr="00506161">
        <w:rPr>
          <w:rFonts w:asciiTheme="minorHAnsi" w:hAnsiTheme="minorHAnsi" w:cstheme="minorHAnsi"/>
          <w:i/>
          <w:sz w:val="18"/>
          <w:szCs w:val="18"/>
        </w:rPr>
        <w:t>themed</w:t>
      </w:r>
      <w:r w:rsidRPr="00506161">
        <w:rPr>
          <w:rFonts w:asciiTheme="minorHAnsi" w:hAnsiTheme="minorHAnsi" w:cstheme="minorHAnsi"/>
          <w:sz w:val="18"/>
          <w:szCs w:val="18"/>
        </w:rPr>
        <w:t xml:space="preserve">, i.e. specialising in one specific type of business or in projects </w:t>
      </w:r>
      <w:proofErr w:type="gramStart"/>
      <w:r w:rsidRPr="00506161">
        <w:rPr>
          <w:rFonts w:asciiTheme="minorHAnsi" w:hAnsiTheme="minorHAnsi" w:cstheme="minorHAnsi"/>
          <w:sz w:val="18"/>
          <w:szCs w:val="18"/>
        </w:rPr>
        <w:t>in particular sectors</w:t>
      </w:r>
      <w:proofErr w:type="gramEnd"/>
      <w:r w:rsidRPr="00506161">
        <w:rPr>
          <w:rFonts w:asciiTheme="minorHAnsi" w:hAnsiTheme="minorHAnsi" w:cstheme="minorHAnsi"/>
          <w:sz w:val="18"/>
          <w:szCs w:val="18"/>
        </w:rPr>
        <w:t xml:space="preserve">. </w:t>
      </w:r>
      <w:proofErr w:type="gramStart"/>
      <w:r w:rsidRPr="00506161">
        <w:rPr>
          <w:rFonts w:asciiTheme="minorHAnsi" w:hAnsiTheme="minorHAnsi" w:cstheme="minorHAnsi"/>
          <w:sz w:val="18"/>
          <w:szCs w:val="18"/>
        </w:rPr>
        <w:t>The majority of</w:t>
      </w:r>
      <w:proofErr w:type="gramEnd"/>
      <w:r w:rsidRPr="00506161">
        <w:rPr>
          <w:rFonts w:asciiTheme="minorHAnsi" w:hAnsiTheme="minorHAnsi" w:cstheme="minorHAnsi"/>
          <w:sz w:val="18"/>
          <w:szCs w:val="18"/>
        </w:rPr>
        <w:t xml:space="preserve"> them are based in the United States or Europe, followed by Brazil and Australia. Their common feature is their original approach which aims to “stir the emotions” of visitors to the platform. The operation is almost always presented as innovative and focuses on emotional impact, using images, videos and “pitches”, i.e., </w:t>
      </w:r>
      <w:proofErr w:type="spellStart"/>
      <w:r w:rsidRPr="00506161">
        <w:rPr>
          <w:rFonts w:asciiTheme="minorHAnsi" w:hAnsiTheme="minorHAnsi" w:cstheme="minorHAnsi"/>
          <w:sz w:val="18"/>
          <w:szCs w:val="18"/>
        </w:rPr>
        <w:t>Powerpoint</w:t>
      </w:r>
      <w:proofErr w:type="spellEnd"/>
      <w:r w:rsidRPr="00506161">
        <w:rPr>
          <w:rFonts w:asciiTheme="minorHAnsi" w:hAnsiTheme="minorHAnsi" w:cstheme="minorHAnsi"/>
          <w:sz w:val="18"/>
          <w:szCs w:val="18"/>
        </w:rPr>
        <w:t xml:space="preserve"> slides describing the company, the business idea, the people who make up the company and the economic and financial flows expected.</w:t>
      </w:r>
    </w:p>
  </w:footnote>
  <w:footnote w:id="14">
    <w:p w:rsidR="004E3DE9" w:rsidRPr="00506161" w:rsidRDefault="004E3DE9" w:rsidP="00DC4E49">
      <w:pPr>
        <w:pStyle w:val="Testonotaapidipagina"/>
        <w:jc w:val="both"/>
        <w:rPr>
          <w:rFonts w:asciiTheme="minorHAnsi" w:hAnsiTheme="minorHAnsi" w:cstheme="minorHAnsi"/>
          <w:sz w:val="18"/>
          <w:szCs w:val="18"/>
        </w:rPr>
      </w:pPr>
      <w:r w:rsidRPr="00506161">
        <w:rPr>
          <w:rStyle w:val="Rimandonotaapidipagina"/>
          <w:rFonts w:asciiTheme="minorHAnsi" w:hAnsiTheme="minorHAnsi" w:cstheme="minorHAnsi"/>
          <w:sz w:val="18"/>
          <w:szCs w:val="18"/>
        </w:rPr>
        <w:footnoteRef/>
      </w:r>
      <w:r w:rsidRPr="00506161">
        <w:rPr>
          <w:rStyle w:val="Rimandonotaapidipagina"/>
          <w:rFonts w:asciiTheme="minorHAnsi" w:hAnsiTheme="minorHAnsi" w:cstheme="minorHAnsi"/>
          <w:sz w:val="18"/>
          <w:szCs w:val="18"/>
        </w:rPr>
        <w:t xml:space="preserve"> </w:t>
      </w:r>
      <w:r w:rsidRPr="00506161">
        <w:rPr>
          <w:rFonts w:asciiTheme="minorHAnsi" w:hAnsiTheme="minorHAnsi" w:cstheme="minorHAnsi"/>
          <w:sz w:val="18"/>
          <w:szCs w:val="18"/>
        </w:rPr>
        <w:t>The less onerous control is motivated by the fact that, unlike banks and other financial institutions, the registered operators cannot (</w:t>
      </w:r>
      <w:proofErr w:type="spellStart"/>
      <w:r w:rsidRPr="00506161">
        <w:rPr>
          <w:rFonts w:asciiTheme="minorHAnsi" w:hAnsiTheme="minorHAnsi" w:cstheme="minorHAnsi"/>
          <w:sz w:val="18"/>
          <w:szCs w:val="18"/>
        </w:rPr>
        <w:t>i</w:t>
      </w:r>
      <w:proofErr w:type="spellEnd"/>
      <w:r w:rsidRPr="00506161">
        <w:rPr>
          <w:rFonts w:asciiTheme="minorHAnsi" w:hAnsiTheme="minorHAnsi" w:cstheme="minorHAnsi"/>
          <w:sz w:val="18"/>
          <w:szCs w:val="18"/>
        </w:rPr>
        <w:t>) hold sums of money pertaining to investors, (ii) directly execute orders to underwrite financial instruments offered on its portals, but instead must transfer them exclusively to banks or authorised brokerage companies, (iii) offer financial advice to investors.</w:t>
      </w:r>
    </w:p>
  </w:footnote>
  <w:footnote w:id="15">
    <w:p w:rsidR="004E3DE9" w:rsidRPr="00506161" w:rsidRDefault="004E3DE9" w:rsidP="00975A32">
      <w:pPr>
        <w:pStyle w:val="Testonotaapidipagina"/>
        <w:jc w:val="both"/>
        <w:rPr>
          <w:rFonts w:asciiTheme="minorHAnsi" w:hAnsiTheme="minorHAnsi" w:cstheme="minorHAnsi"/>
          <w:sz w:val="18"/>
          <w:szCs w:val="18"/>
        </w:rPr>
      </w:pPr>
      <w:r w:rsidRPr="00506161">
        <w:rPr>
          <w:rStyle w:val="Rimandonotaapidipagina"/>
          <w:rFonts w:asciiTheme="minorHAnsi" w:hAnsiTheme="minorHAnsi" w:cstheme="minorHAnsi"/>
          <w:sz w:val="18"/>
          <w:szCs w:val="18"/>
        </w:rPr>
        <w:footnoteRef/>
      </w:r>
      <w:r w:rsidRPr="00506161">
        <w:rPr>
          <w:rFonts w:asciiTheme="minorHAnsi" w:hAnsiTheme="minorHAnsi" w:cstheme="minorHAnsi"/>
          <w:sz w:val="18"/>
          <w:szCs w:val="18"/>
        </w:rPr>
        <w:t xml:space="preserve"> The most relevant elements of the operation include: (</w:t>
      </w:r>
      <w:proofErr w:type="spellStart"/>
      <w:r w:rsidRPr="00506161">
        <w:rPr>
          <w:rFonts w:asciiTheme="minorHAnsi" w:hAnsiTheme="minorHAnsi" w:cstheme="minorHAnsi"/>
          <w:sz w:val="18"/>
          <w:szCs w:val="18"/>
        </w:rPr>
        <w:t>i</w:t>
      </w:r>
      <w:proofErr w:type="spellEnd"/>
      <w:r w:rsidRPr="00506161">
        <w:rPr>
          <w:rFonts w:asciiTheme="minorHAnsi" w:hAnsiTheme="minorHAnsi" w:cstheme="minorHAnsi"/>
          <w:sz w:val="18"/>
          <w:szCs w:val="18"/>
        </w:rPr>
        <w:t>) the offer must have a total amount of less than €5m, (ii) it is not necessary to provide an information prospectus, just a simplified form drawn up according to the model defined by Consob and published on the portal, (ii) a sum not below 5% of the increase in capital must be underwritten by professional investors, banking foundations, “certified” innovative start-up incubators or so-called “investors supporting innovation”, (iv) non-professional investors enjoy special protections such as the right of cancellation, without reason or expense, within 7 days from the order of registration, the right to withdraw the investment if, during the offer, new facts</w:t>
      </w:r>
      <w:r>
        <w:rPr>
          <w:rFonts w:asciiTheme="minorHAnsi" w:hAnsiTheme="minorHAnsi" w:cstheme="minorHAnsi"/>
          <w:sz w:val="18"/>
          <w:szCs w:val="18"/>
        </w:rPr>
        <w:t xml:space="preserve"> or</w:t>
      </w:r>
      <w:r w:rsidRPr="00506161">
        <w:rPr>
          <w:rFonts w:asciiTheme="minorHAnsi" w:hAnsiTheme="minorHAnsi" w:cstheme="minorHAnsi"/>
          <w:sz w:val="18"/>
          <w:szCs w:val="18"/>
        </w:rPr>
        <w:t xml:space="preserve"> material errors</w:t>
      </w:r>
      <w:r>
        <w:rPr>
          <w:rFonts w:asciiTheme="minorHAnsi" w:hAnsiTheme="minorHAnsi" w:cstheme="minorHAnsi"/>
          <w:sz w:val="18"/>
          <w:szCs w:val="18"/>
        </w:rPr>
        <w:t xml:space="preserve"> come to light</w:t>
      </w:r>
      <w:r w:rsidRPr="00506161">
        <w:rPr>
          <w:rFonts w:asciiTheme="minorHAnsi" w:hAnsiTheme="minorHAnsi" w:cstheme="minorHAnsi"/>
          <w:sz w:val="18"/>
          <w:szCs w:val="18"/>
        </w:rPr>
        <w:t>, the provision of tag-along clauses and the disclosure</w:t>
      </w:r>
      <w:r w:rsidRPr="00506161">
        <w:rPr>
          <w:rFonts w:asciiTheme="minorHAnsi" w:hAnsiTheme="minorHAnsi" w:cstheme="minorHAnsi"/>
          <w:color w:val="FF0000"/>
          <w:sz w:val="18"/>
          <w:szCs w:val="18"/>
        </w:rPr>
        <w:t xml:space="preserve"> </w:t>
      </w:r>
      <w:r w:rsidRPr="00506161">
        <w:rPr>
          <w:rFonts w:asciiTheme="minorHAnsi" w:hAnsiTheme="minorHAnsi" w:cstheme="minorHAnsi"/>
          <w:sz w:val="18"/>
          <w:szCs w:val="18"/>
        </w:rPr>
        <w:t>of the shareholder agreements.</w:t>
      </w:r>
    </w:p>
  </w:footnote>
  <w:footnote w:id="16">
    <w:p w:rsidR="004E3DE9" w:rsidRPr="00506161" w:rsidRDefault="004E3DE9" w:rsidP="00DC4E49">
      <w:pPr>
        <w:pStyle w:val="Paragrafoelenco"/>
        <w:tabs>
          <w:tab w:val="left" w:pos="284"/>
          <w:tab w:val="left" w:pos="426"/>
        </w:tabs>
        <w:ind w:left="0"/>
        <w:jc w:val="both"/>
        <w:rPr>
          <w:rFonts w:cstheme="minorHAnsi"/>
          <w:sz w:val="18"/>
          <w:szCs w:val="18"/>
        </w:rPr>
      </w:pPr>
      <w:r w:rsidRPr="00506161">
        <w:rPr>
          <w:rStyle w:val="Rimandonotaapidipagina"/>
          <w:rFonts w:cstheme="minorHAnsi"/>
          <w:sz w:val="18"/>
          <w:szCs w:val="18"/>
        </w:rPr>
        <w:footnoteRef/>
      </w:r>
      <w:r w:rsidRPr="00506161">
        <w:rPr>
          <w:rFonts w:cstheme="minorHAnsi"/>
          <w:sz w:val="18"/>
          <w:szCs w:val="18"/>
        </w:rPr>
        <w:t xml:space="preserve"> It must have a section on “investor education” defined by Consob</w:t>
      </w:r>
      <w:r>
        <w:rPr>
          <w:rFonts w:cstheme="minorHAnsi"/>
          <w:sz w:val="18"/>
          <w:szCs w:val="18"/>
        </w:rPr>
        <w:t xml:space="preserve"> and be</w:t>
      </w:r>
      <w:r w:rsidRPr="00506161">
        <w:rPr>
          <w:rFonts w:cstheme="minorHAnsi"/>
          <w:sz w:val="18"/>
          <w:szCs w:val="18"/>
        </w:rPr>
        <w:t xml:space="preserve"> aimed at retail investors who must complete a genuine “conscious investment path”, starting by completing a special online questionnaire showing that they have read the information provided and have understood the characteristics and risks of investing in start-up initiatives.</w:t>
      </w:r>
    </w:p>
  </w:footnote>
  <w:footnote w:id="17">
    <w:p w:rsidR="004E3DE9" w:rsidRPr="00506161" w:rsidRDefault="004E3DE9" w:rsidP="00DC4E49">
      <w:pPr>
        <w:pStyle w:val="Testonotaapidipagina"/>
        <w:rPr>
          <w:rFonts w:asciiTheme="minorHAnsi" w:hAnsiTheme="minorHAnsi" w:cstheme="minorHAnsi"/>
          <w:sz w:val="18"/>
          <w:szCs w:val="18"/>
        </w:rPr>
      </w:pPr>
      <w:r w:rsidRPr="00506161">
        <w:rPr>
          <w:rStyle w:val="Rimandonotaapidipagina"/>
          <w:rFonts w:asciiTheme="minorHAnsi" w:hAnsiTheme="minorHAnsi" w:cstheme="minorHAnsi"/>
          <w:sz w:val="18"/>
          <w:szCs w:val="18"/>
        </w:rPr>
        <w:footnoteRef/>
      </w:r>
      <w:r w:rsidRPr="00506161">
        <w:rPr>
          <w:rStyle w:val="Rimandonotaapidipagina"/>
          <w:rFonts w:asciiTheme="minorHAnsi" w:hAnsiTheme="minorHAnsi" w:cstheme="minorHAnsi"/>
          <w:sz w:val="18"/>
          <w:szCs w:val="18"/>
        </w:rPr>
        <w:t xml:space="preserve"> </w:t>
      </w:r>
      <w:r w:rsidRPr="00506161">
        <w:rPr>
          <w:rFonts w:asciiTheme="minorHAnsi" w:hAnsiTheme="minorHAnsi" w:cstheme="minorHAnsi"/>
          <w:sz w:val="18"/>
          <w:szCs w:val="18"/>
        </w:rPr>
        <w:t>As of 30-06-1</w:t>
      </w:r>
      <w:r>
        <w:rPr>
          <w:rFonts w:asciiTheme="minorHAnsi" w:hAnsiTheme="minorHAnsi" w:cstheme="minorHAnsi"/>
          <w:sz w:val="18"/>
          <w:szCs w:val="18"/>
        </w:rPr>
        <w:t>7</w:t>
      </w:r>
      <w:r w:rsidRPr="00506161">
        <w:rPr>
          <w:rFonts w:asciiTheme="minorHAnsi" w:hAnsiTheme="minorHAnsi" w:cstheme="minorHAnsi"/>
          <w:sz w:val="18"/>
          <w:szCs w:val="18"/>
        </w:rPr>
        <w:t xml:space="preserve">, there are 19, almost all registered in the “ordinary” section. The most active are </w:t>
      </w:r>
      <w:proofErr w:type="spellStart"/>
      <w:r w:rsidRPr="00506161">
        <w:rPr>
          <w:rFonts w:asciiTheme="minorHAnsi" w:hAnsiTheme="minorHAnsi" w:cstheme="minorHAnsi"/>
          <w:i/>
          <w:sz w:val="18"/>
          <w:szCs w:val="18"/>
        </w:rPr>
        <w:t>Startup</w:t>
      </w:r>
      <w:proofErr w:type="spellEnd"/>
      <w:r w:rsidRPr="00506161">
        <w:rPr>
          <w:rFonts w:asciiTheme="minorHAnsi" w:hAnsiTheme="minorHAnsi" w:cstheme="minorHAnsi"/>
          <w:sz w:val="18"/>
          <w:szCs w:val="18"/>
        </w:rPr>
        <w:t xml:space="preserve">, </w:t>
      </w:r>
      <w:proofErr w:type="spellStart"/>
      <w:r w:rsidRPr="00506161">
        <w:rPr>
          <w:rFonts w:asciiTheme="minorHAnsi" w:hAnsiTheme="minorHAnsi" w:cstheme="minorHAnsi"/>
          <w:i/>
          <w:sz w:val="18"/>
          <w:szCs w:val="18"/>
        </w:rPr>
        <w:t>Assiteca</w:t>
      </w:r>
      <w:proofErr w:type="spellEnd"/>
      <w:r w:rsidRPr="00506161">
        <w:rPr>
          <w:rFonts w:asciiTheme="minorHAnsi" w:hAnsiTheme="minorHAnsi" w:cstheme="minorHAnsi"/>
          <w:i/>
          <w:sz w:val="18"/>
          <w:szCs w:val="18"/>
        </w:rPr>
        <w:t xml:space="preserve"> Crowd</w:t>
      </w:r>
      <w:r w:rsidRPr="00506161">
        <w:rPr>
          <w:rFonts w:asciiTheme="minorHAnsi" w:hAnsiTheme="minorHAnsi" w:cstheme="minorHAnsi"/>
          <w:sz w:val="18"/>
          <w:szCs w:val="18"/>
        </w:rPr>
        <w:t xml:space="preserve">, </w:t>
      </w:r>
      <w:r w:rsidRPr="00506161">
        <w:rPr>
          <w:rFonts w:asciiTheme="minorHAnsi" w:hAnsiTheme="minorHAnsi" w:cstheme="minorHAnsi"/>
          <w:i/>
          <w:sz w:val="18"/>
          <w:szCs w:val="18"/>
        </w:rPr>
        <w:t>Next Equity</w:t>
      </w:r>
      <w:r w:rsidRPr="00506161">
        <w:rPr>
          <w:rFonts w:asciiTheme="minorHAnsi" w:hAnsiTheme="minorHAnsi" w:cstheme="minorHAnsi"/>
          <w:sz w:val="18"/>
          <w:szCs w:val="18"/>
        </w:rPr>
        <w:t xml:space="preserve">, </w:t>
      </w:r>
      <w:proofErr w:type="spellStart"/>
      <w:r w:rsidRPr="00506161">
        <w:rPr>
          <w:rFonts w:asciiTheme="minorHAnsi" w:hAnsiTheme="minorHAnsi" w:cstheme="minorHAnsi"/>
          <w:i/>
          <w:sz w:val="18"/>
          <w:szCs w:val="18"/>
        </w:rPr>
        <w:t>Equinvest</w:t>
      </w:r>
      <w:proofErr w:type="spellEnd"/>
      <w:r w:rsidRPr="00506161">
        <w:rPr>
          <w:rFonts w:asciiTheme="minorHAnsi" w:hAnsiTheme="minorHAnsi" w:cstheme="minorHAnsi"/>
          <w:sz w:val="18"/>
          <w:szCs w:val="18"/>
        </w:rPr>
        <w:t xml:space="preserve"> and </w:t>
      </w:r>
      <w:r w:rsidRPr="00506161">
        <w:rPr>
          <w:rFonts w:asciiTheme="minorHAnsi" w:hAnsiTheme="minorHAnsi" w:cstheme="minorHAnsi"/>
          <w:i/>
          <w:sz w:val="18"/>
          <w:szCs w:val="18"/>
        </w:rPr>
        <w:t>Tip Ventures</w:t>
      </w:r>
      <w:r w:rsidRPr="00506161">
        <w:rPr>
          <w:rFonts w:asciiTheme="minorHAnsi" w:hAnsiTheme="minorHAnsi" w:cstheme="minorHAnsi"/>
          <w:sz w:val="18"/>
          <w:szCs w:val="18"/>
        </w:rPr>
        <w:t>.</w:t>
      </w:r>
    </w:p>
  </w:footnote>
  <w:footnote w:id="18">
    <w:p w:rsidR="004E3DE9" w:rsidRPr="00506161" w:rsidRDefault="004E3DE9" w:rsidP="00DC4E49">
      <w:pPr>
        <w:pStyle w:val="Testonotaapidipagina"/>
        <w:jc w:val="both"/>
        <w:rPr>
          <w:rFonts w:asciiTheme="minorHAnsi" w:hAnsiTheme="minorHAnsi" w:cstheme="minorHAnsi"/>
          <w:sz w:val="18"/>
          <w:szCs w:val="18"/>
        </w:rPr>
      </w:pPr>
      <w:r w:rsidRPr="00506161">
        <w:rPr>
          <w:rStyle w:val="Rimandonotaapidipagina"/>
          <w:rFonts w:asciiTheme="minorHAnsi" w:hAnsiTheme="minorHAnsi" w:cstheme="minorHAnsi"/>
          <w:sz w:val="18"/>
          <w:szCs w:val="18"/>
        </w:rPr>
        <w:footnoteRef/>
      </w:r>
      <w:r w:rsidRPr="00506161">
        <w:rPr>
          <w:rFonts w:asciiTheme="minorHAnsi" w:hAnsiTheme="minorHAnsi" w:cstheme="minorHAnsi"/>
          <w:sz w:val="18"/>
          <w:szCs w:val="18"/>
        </w:rPr>
        <w:t xml:space="preserve"> As of February 2017 (Scutti, 2017), the average collection target was €275,000 from 32 successfully closed offers and the share of capital given approximately 19.2%. The average number of investors per operator was 37, with an average investment of approximately €6,500.</w:t>
      </w:r>
    </w:p>
  </w:footnote>
  <w:footnote w:id="19">
    <w:p w:rsidR="004E3DE9" w:rsidRPr="00506161" w:rsidRDefault="004E3DE9" w:rsidP="00975A32">
      <w:pPr>
        <w:pStyle w:val="Testonotaapidipagina"/>
        <w:jc w:val="both"/>
        <w:rPr>
          <w:rFonts w:asciiTheme="minorHAnsi" w:hAnsiTheme="minorHAnsi" w:cstheme="minorHAnsi"/>
          <w:sz w:val="18"/>
          <w:szCs w:val="18"/>
        </w:rPr>
      </w:pPr>
      <w:r w:rsidRPr="00506161">
        <w:rPr>
          <w:rStyle w:val="Rimandonotaapidipagina"/>
          <w:rFonts w:asciiTheme="minorHAnsi" w:hAnsiTheme="minorHAnsi" w:cstheme="minorHAnsi"/>
          <w:sz w:val="18"/>
          <w:szCs w:val="18"/>
        </w:rPr>
        <w:footnoteRef/>
      </w:r>
      <w:r w:rsidRPr="00506161">
        <w:rPr>
          <w:rFonts w:asciiTheme="minorHAnsi" w:hAnsiTheme="minorHAnsi" w:cstheme="minorHAnsi"/>
          <w:sz w:val="18"/>
          <w:szCs w:val="18"/>
        </w:rPr>
        <w:t xml:space="preserve"> </w:t>
      </w:r>
      <w:r w:rsidRPr="00506161">
        <w:rPr>
          <w:rFonts w:asciiTheme="minorHAnsi" w:eastAsia="Calibri" w:hAnsiTheme="minorHAnsi" w:cstheme="minorHAnsi"/>
          <w:sz w:val="18"/>
          <w:szCs w:val="18"/>
          <w:lang w:eastAsia="en-US"/>
        </w:rPr>
        <w:t>The opportunity to benefit from the preferential measures is counterbalanced by three issues: the checks made by the relevant authorities on effective possession of the requirements; the obligation to update data on an annual basis from the moment of registration in the special section; the legal representative must make a declaration within 30 days from the approval of the balance sheet and within six months from the end of each financial year, to certify that he is still in possession of the requirements, with the obligation to file at the Register of Companies or active status will be lost.</w:t>
      </w:r>
    </w:p>
  </w:footnote>
  <w:footnote w:id="20">
    <w:p w:rsidR="004E3DE9" w:rsidRPr="00506161" w:rsidRDefault="004E3DE9" w:rsidP="00DC4E49">
      <w:pPr>
        <w:pStyle w:val="Paragrafoelenco"/>
        <w:ind w:left="0"/>
        <w:jc w:val="both"/>
        <w:rPr>
          <w:rFonts w:cstheme="minorHAnsi"/>
          <w:sz w:val="18"/>
          <w:szCs w:val="18"/>
        </w:rPr>
      </w:pPr>
      <w:r w:rsidRPr="00506161">
        <w:rPr>
          <w:rStyle w:val="Rimandonotaapidipagina"/>
          <w:rFonts w:cstheme="minorHAnsi"/>
          <w:sz w:val="18"/>
          <w:szCs w:val="18"/>
        </w:rPr>
        <w:footnoteRef/>
      </w:r>
      <w:r w:rsidRPr="00506161">
        <w:rPr>
          <w:rFonts w:cstheme="minorHAnsi"/>
          <w:sz w:val="18"/>
          <w:szCs w:val="18"/>
        </w:rPr>
        <w:t xml:space="preserve"> From a corporate point of view, an SME is an unlisted company which employs less than 250 employees and meets at least one of the following criteria: turnover less than €50m per annum and total balance sheet no higher than €43m under the Recommendation of the European Commission of 6 May 2003 no. 2003/361/CE; has certified the last balance sheet and possible consolidation; is not registered in the special register of innovative start-ups.</w:t>
      </w:r>
    </w:p>
  </w:footnote>
  <w:footnote w:id="21">
    <w:p w:rsidR="004E3DE9" w:rsidRPr="00506161" w:rsidRDefault="004E3DE9" w:rsidP="00DC4E49">
      <w:pPr>
        <w:tabs>
          <w:tab w:val="left" w:pos="142"/>
          <w:tab w:val="left" w:pos="426"/>
        </w:tabs>
        <w:jc w:val="both"/>
        <w:rPr>
          <w:rFonts w:cstheme="minorHAnsi"/>
          <w:sz w:val="18"/>
          <w:szCs w:val="18"/>
        </w:rPr>
      </w:pPr>
      <w:r w:rsidRPr="00506161">
        <w:rPr>
          <w:rStyle w:val="Rimandonotaapidipagina"/>
          <w:rFonts w:cstheme="minorHAnsi"/>
          <w:sz w:val="18"/>
          <w:szCs w:val="18"/>
        </w:rPr>
        <w:footnoteRef/>
      </w:r>
      <w:r w:rsidRPr="00506161">
        <w:rPr>
          <w:rFonts w:cstheme="minorHAnsi"/>
          <w:sz w:val="18"/>
          <w:szCs w:val="18"/>
        </w:rPr>
        <w:t xml:space="preserve"> In the context of a slowdown in loans given by the banking system, particularly those given to SMEs, the Fund, from the point of view of loan accounts, works both by giving guarantees directly to the financing banks (</w:t>
      </w:r>
      <w:r w:rsidRPr="00506161">
        <w:rPr>
          <w:rFonts w:cstheme="minorHAnsi"/>
          <w:i/>
          <w:sz w:val="18"/>
          <w:szCs w:val="18"/>
        </w:rPr>
        <w:t>direct guarantee</w:t>
      </w:r>
      <w:r w:rsidRPr="00506161">
        <w:rPr>
          <w:rFonts w:cstheme="minorHAnsi"/>
          <w:sz w:val="18"/>
          <w:szCs w:val="18"/>
        </w:rPr>
        <w:t xml:space="preserve">) and by counter-guaranteeing </w:t>
      </w:r>
      <w:proofErr w:type="spellStart"/>
      <w:r w:rsidRPr="00506161">
        <w:rPr>
          <w:rFonts w:cstheme="minorHAnsi"/>
          <w:sz w:val="18"/>
          <w:szCs w:val="18"/>
        </w:rPr>
        <w:t>Confidi</w:t>
      </w:r>
      <w:proofErr w:type="spellEnd"/>
      <w:r w:rsidRPr="00506161">
        <w:rPr>
          <w:rFonts w:cstheme="minorHAnsi"/>
          <w:sz w:val="18"/>
          <w:szCs w:val="18"/>
        </w:rPr>
        <w:t xml:space="preserve"> and other guarantee funds, in the first instance guarantors of credit </w:t>
      </w:r>
      <w:proofErr w:type="gramStart"/>
      <w:r w:rsidRPr="00506161">
        <w:rPr>
          <w:rFonts w:cstheme="minorHAnsi"/>
          <w:sz w:val="18"/>
          <w:szCs w:val="18"/>
        </w:rPr>
        <w:t>institutions  (</w:t>
      </w:r>
      <w:proofErr w:type="gramEnd"/>
      <w:r w:rsidRPr="00506161">
        <w:rPr>
          <w:rFonts w:cstheme="minorHAnsi"/>
          <w:i/>
          <w:sz w:val="18"/>
          <w:szCs w:val="18"/>
        </w:rPr>
        <w:t>counter-guarantee</w:t>
      </w:r>
      <w:r w:rsidRPr="00506161">
        <w:rPr>
          <w:rFonts w:cstheme="minorHAnsi"/>
          <w:sz w:val="18"/>
          <w:szCs w:val="18"/>
        </w:rPr>
        <w:t>).</w:t>
      </w:r>
    </w:p>
  </w:footnote>
  <w:footnote w:id="22">
    <w:p w:rsidR="004E3DE9" w:rsidRPr="00506161" w:rsidRDefault="004E3DE9" w:rsidP="00DC4E49">
      <w:pPr>
        <w:pStyle w:val="Testonotaapidipagina"/>
        <w:jc w:val="both"/>
        <w:rPr>
          <w:rFonts w:asciiTheme="minorHAnsi" w:hAnsiTheme="minorHAnsi" w:cstheme="minorHAnsi"/>
          <w:sz w:val="18"/>
          <w:szCs w:val="18"/>
        </w:rPr>
      </w:pPr>
      <w:r w:rsidRPr="00506161">
        <w:rPr>
          <w:rStyle w:val="Rimandonotaapidipagina"/>
          <w:rFonts w:asciiTheme="minorHAnsi" w:hAnsiTheme="minorHAnsi" w:cstheme="minorHAnsi"/>
          <w:sz w:val="18"/>
          <w:szCs w:val="18"/>
        </w:rPr>
        <w:footnoteRef/>
      </w:r>
      <w:r w:rsidRPr="00506161">
        <w:rPr>
          <w:rFonts w:asciiTheme="minorHAnsi" w:hAnsiTheme="minorHAnsi" w:cstheme="minorHAnsi"/>
          <w:sz w:val="18"/>
          <w:szCs w:val="18"/>
        </w:rPr>
        <w:t xml:space="preserve"> </w:t>
      </w:r>
      <w:r w:rsidRPr="00506161">
        <w:rPr>
          <w:rFonts w:asciiTheme="minorHAnsi" w:eastAsia="Calibri" w:hAnsiTheme="minorHAnsi" w:cstheme="minorHAnsi"/>
          <w:sz w:val="18"/>
          <w:szCs w:val="18"/>
          <w:lang w:eastAsia="en-US"/>
        </w:rPr>
        <w:t>As of 30 June 2016, there were 1,653 finance operations for innovative start-ups guaranteed by the Fund for a total of lines of credit of €417,990,236.</w:t>
      </w:r>
    </w:p>
  </w:footnote>
  <w:footnote w:id="23">
    <w:p w:rsidR="004E3DE9" w:rsidRPr="00506161" w:rsidRDefault="004E3DE9" w:rsidP="00975A32">
      <w:pPr>
        <w:pStyle w:val="Testonotaapidipagina"/>
        <w:jc w:val="both"/>
        <w:rPr>
          <w:rFonts w:asciiTheme="minorHAnsi" w:eastAsia="Calibri" w:hAnsiTheme="minorHAnsi" w:cstheme="minorHAnsi"/>
          <w:i/>
          <w:sz w:val="18"/>
          <w:szCs w:val="18"/>
        </w:rPr>
      </w:pPr>
      <w:r w:rsidRPr="00506161">
        <w:rPr>
          <w:rStyle w:val="Rimandonotaapidipagina"/>
          <w:rFonts w:asciiTheme="minorHAnsi" w:hAnsiTheme="minorHAnsi" w:cstheme="minorHAnsi"/>
          <w:sz w:val="18"/>
          <w:szCs w:val="18"/>
        </w:rPr>
        <w:footnoteRef/>
      </w:r>
      <w:r w:rsidRPr="00506161">
        <w:rPr>
          <w:rFonts w:asciiTheme="minorHAnsi" w:hAnsiTheme="minorHAnsi" w:cstheme="minorHAnsi"/>
          <w:sz w:val="18"/>
          <w:szCs w:val="18"/>
        </w:rPr>
        <w:t xml:space="preserve"> This is not an exhaustive list, but includes: specific finance projects such as the allocation of more than €</w:t>
      </w:r>
      <w:r w:rsidRPr="00506161">
        <w:rPr>
          <w:rFonts w:asciiTheme="minorHAnsi" w:eastAsia="Calibri" w:hAnsiTheme="minorHAnsi" w:cstheme="minorHAnsi"/>
          <w:sz w:val="18"/>
          <w:szCs w:val="18"/>
          <w:lang w:eastAsia="en-US"/>
        </w:rPr>
        <w:t xml:space="preserve">20m earmarked by the Ministry for Economic Development in 2014 for high-tech companies based in the southern regions (the so-called </w:t>
      </w:r>
      <w:r w:rsidRPr="00506161">
        <w:rPr>
          <w:rFonts w:asciiTheme="minorHAnsi" w:eastAsia="Calibri" w:hAnsiTheme="minorHAnsi" w:cstheme="minorHAnsi"/>
          <w:i/>
          <w:sz w:val="18"/>
          <w:szCs w:val="18"/>
          <w:lang w:eastAsia="en-US"/>
        </w:rPr>
        <w:t>Smart &amp; Start Programme</w:t>
      </w:r>
      <w:r w:rsidRPr="00506161">
        <w:rPr>
          <w:rFonts w:asciiTheme="minorHAnsi" w:eastAsia="Calibri" w:hAnsiTheme="minorHAnsi" w:cstheme="minorHAnsi"/>
          <w:sz w:val="18"/>
          <w:szCs w:val="18"/>
          <w:lang w:eastAsia="en-US"/>
        </w:rPr>
        <w:t xml:space="preserve">) and then extended across the whole country, or that of approximately €3bn allocated in 2013 by the European Union through the </w:t>
      </w:r>
      <w:r w:rsidRPr="00506161">
        <w:rPr>
          <w:rFonts w:asciiTheme="minorHAnsi" w:eastAsia="Calibri" w:hAnsiTheme="minorHAnsi" w:cstheme="minorHAnsi"/>
          <w:i/>
          <w:sz w:val="18"/>
          <w:szCs w:val="18"/>
        </w:rPr>
        <w:t>Horizon 2020's SME Instrument</w:t>
      </w:r>
      <w:r w:rsidRPr="00506161">
        <w:rPr>
          <w:rFonts w:asciiTheme="minorHAnsi" w:eastAsia="Calibri" w:hAnsiTheme="minorHAnsi" w:cstheme="minorHAnsi"/>
          <w:sz w:val="18"/>
          <w:szCs w:val="18"/>
          <w:lang w:eastAsia="en-US"/>
        </w:rPr>
        <w:t xml:space="preserve"> to the various internationalisation support services of the ICE</w:t>
      </w:r>
      <w:r w:rsidRPr="00506161">
        <w:rPr>
          <w:rFonts w:asciiTheme="minorHAnsi" w:eastAsiaTheme="minorHAnsi" w:hAnsiTheme="minorHAnsi" w:cstheme="minorHAnsi"/>
          <w:sz w:val="18"/>
          <w:szCs w:val="18"/>
          <w:shd w:val="clear" w:color="auto" w:fill="FFFFFF"/>
          <w:lang w:eastAsia="en-US"/>
        </w:rPr>
        <w:t xml:space="preserve"> (</w:t>
      </w:r>
      <w:r w:rsidRPr="00506161">
        <w:rPr>
          <w:rFonts w:asciiTheme="minorHAnsi" w:eastAsia="Calibri" w:hAnsiTheme="minorHAnsi" w:cstheme="minorHAnsi"/>
          <w:sz w:val="18"/>
          <w:szCs w:val="18"/>
          <w:lang w:eastAsia="en-US"/>
        </w:rPr>
        <w:t xml:space="preserve">Italian Trade Promotion Agency), the agency that promotes Italian companies abroad, and to the </w:t>
      </w:r>
      <w:r w:rsidRPr="00506161">
        <w:rPr>
          <w:rFonts w:asciiTheme="minorHAnsi" w:eastAsia="Calibri" w:hAnsiTheme="minorHAnsi" w:cstheme="minorHAnsi"/>
          <w:i/>
          <w:sz w:val="18"/>
          <w:szCs w:val="18"/>
          <w:lang w:eastAsia="en-US"/>
        </w:rPr>
        <w:t xml:space="preserve">Italia </w:t>
      </w:r>
      <w:proofErr w:type="spellStart"/>
      <w:r w:rsidRPr="00506161">
        <w:rPr>
          <w:rFonts w:asciiTheme="minorHAnsi" w:eastAsia="Calibri" w:hAnsiTheme="minorHAnsi" w:cstheme="minorHAnsi"/>
          <w:i/>
          <w:sz w:val="18"/>
          <w:szCs w:val="18"/>
          <w:lang w:eastAsia="en-US"/>
        </w:rPr>
        <w:t>Startup</w:t>
      </w:r>
      <w:proofErr w:type="spellEnd"/>
      <w:r w:rsidRPr="00506161">
        <w:rPr>
          <w:rFonts w:asciiTheme="minorHAnsi" w:eastAsia="Calibri" w:hAnsiTheme="minorHAnsi" w:cstheme="minorHAnsi"/>
          <w:i/>
          <w:sz w:val="18"/>
          <w:szCs w:val="18"/>
          <w:lang w:eastAsia="en-US"/>
        </w:rPr>
        <w:t xml:space="preserve"> Visa and Italia </w:t>
      </w:r>
      <w:proofErr w:type="spellStart"/>
      <w:r w:rsidRPr="00506161">
        <w:rPr>
          <w:rFonts w:asciiTheme="minorHAnsi" w:eastAsia="Calibri" w:hAnsiTheme="minorHAnsi" w:cstheme="minorHAnsi"/>
          <w:i/>
          <w:sz w:val="18"/>
          <w:szCs w:val="18"/>
          <w:lang w:eastAsia="en-US"/>
        </w:rPr>
        <w:t>Startup</w:t>
      </w:r>
      <w:proofErr w:type="spellEnd"/>
      <w:r w:rsidRPr="00506161">
        <w:rPr>
          <w:rFonts w:asciiTheme="minorHAnsi" w:eastAsia="Calibri" w:hAnsiTheme="minorHAnsi" w:cstheme="minorHAnsi"/>
          <w:i/>
          <w:sz w:val="18"/>
          <w:szCs w:val="18"/>
          <w:lang w:eastAsia="en-US"/>
        </w:rPr>
        <w:t xml:space="preserve"> Hub </w:t>
      </w:r>
      <w:r w:rsidRPr="00506161">
        <w:rPr>
          <w:rFonts w:asciiTheme="minorHAnsi" w:eastAsia="Calibri" w:hAnsiTheme="minorHAnsi" w:cstheme="minorHAnsi"/>
          <w:sz w:val="18"/>
          <w:szCs w:val="18"/>
          <w:lang w:eastAsia="en-US"/>
        </w:rPr>
        <w:t>programmes launched in 2014 which aim to open up and revitalise national entrepreneurship by attracting human capital from across the world  by significantly simplifying the issuing of visas for self-employed workers.</w:t>
      </w:r>
      <w:r w:rsidRPr="00506161">
        <w:rPr>
          <w:rFonts w:asciiTheme="minorHAnsi" w:hAnsiTheme="minorHAnsi" w:cstheme="minorHAnsi"/>
          <w:sz w:val="18"/>
          <w:szCs w:val="18"/>
        </w:rPr>
        <w:t xml:space="preserve"> </w:t>
      </w:r>
    </w:p>
  </w:footnote>
  <w:footnote w:id="24">
    <w:p w:rsidR="004E3DE9" w:rsidRPr="00EC5E2A" w:rsidRDefault="004E3DE9" w:rsidP="00DC4E49">
      <w:pPr>
        <w:pStyle w:val="Testonotaapidipagina"/>
        <w:jc w:val="both"/>
        <w:rPr>
          <w:rFonts w:asciiTheme="minorHAnsi" w:eastAsiaTheme="minorHAnsi" w:hAnsiTheme="minorHAnsi" w:cstheme="minorHAnsi"/>
          <w:sz w:val="18"/>
          <w:szCs w:val="18"/>
          <w:lang w:eastAsia="en-US"/>
        </w:rPr>
      </w:pPr>
      <w:r w:rsidRPr="00167785">
        <w:rPr>
          <w:rStyle w:val="Rimandonotaapidipagina"/>
          <w:rFonts w:asciiTheme="minorHAnsi" w:hAnsiTheme="minorHAnsi" w:cstheme="minorHAnsi"/>
        </w:rPr>
        <w:footnoteRef/>
      </w:r>
      <w:r>
        <w:t xml:space="preserve"> </w:t>
      </w:r>
      <w:r>
        <w:rPr>
          <w:rFonts w:asciiTheme="minorHAnsi" w:eastAsiaTheme="minorHAnsi" w:hAnsiTheme="minorHAnsi" w:cstheme="minorHAnsi"/>
          <w:sz w:val="18"/>
          <w:szCs w:val="18"/>
          <w:lang w:eastAsia="en-US"/>
        </w:rPr>
        <w:t>As of 30-06-</w:t>
      </w:r>
      <w:r w:rsidRPr="00EC5E2A">
        <w:rPr>
          <w:rFonts w:asciiTheme="minorHAnsi" w:eastAsiaTheme="minorHAnsi" w:hAnsiTheme="minorHAnsi" w:cstheme="minorHAnsi"/>
          <w:sz w:val="18"/>
          <w:szCs w:val="18"/>
          <w:lang w:eastAsia="en-US"/>
        </w:rPr>
        <w:t>201</w:t>
      </w:r>
      <w:r>
        <w:rPr>
          <w:rFonts w:asciiTheme="minorHAnsi" w:eastAsiaTheme="minorHAnsi" w:hAnsiTheme="minorHAnsi" w:cstheme="minorHAnsi"/>
          <w:sz w:val="18"/>
          <w:szCs w:val="18"/>
          <w:lang w:eastAsia="en-US"/>
        </w:rPr>
        <w:t>6,</w:t>
      </w:r>
      <w:r w:rsidRPr="00EC5E2A">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there are two dedicated funds</w:t>
      </w:r>
      <w:r w:rsidRPr="00EC5E2A">
        <w:rPr>
          <w:rFonts w:asciiTheme="minorHAnsi" w:eastAsiaTheme="minorHAnsi" w:hAnsiTheme="minorHAnsi" w:cstheme="minorHAnsi"/>
          <w:sz w:val="18"/>
          <w:szCs w:val="18"/>
          <w:lang w:eastAsia="en-US"/>
        </w:rPr>
        <w:t xml:space="preserve">, </w:t>
      </w:r>
      <w:r w:rsidRPr="00EC5E2A">
        <w:rPr>
          <w:rFonts w:asciiTheme="minorHAnsi" w:eastAsiaTheme="minorHAnsi" w:hAnsiTheme="minorHAnsi" w:cstheme="minorHAnsi"/>
          <w:i/>
          <w:sz w:val="18"/>
          <w:szCs w:val="18"/>
          <w:lang w:eastAsia="en-US"/>
        </w:rPr>
        <w:t>FII Venture</w:t>
      </w:r>
      <w:r w:rsidRPr="00EC5E2A">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and</w:t>
      </w:r>
      <w:r w:rsidRPr="00EC5E2A">
        <w:rPr>
          <w:rFonts w:asciiTheme="minorHAnsi" w:eastAsiaTheme="minorHAnsi" w:hAnsiTheme="minorHAnsi" w:cstheme="minorHAnsi"/>
          <w:sz w:val="18"/>
          <w:szCs w:val="18"/>
          <w:lang w:eastAsia="en-US"/>
        </w:rPr>
        <w:t xml:space="preserve"> </w:t>
      </w:r>
      <w:proofErr w:type="spellStart"/>
      <w:r w:rsidRPr="00EC5E2A">
        <w:rPr>
          <w:rFonts w:asciiTheme="minorHAnsi" w:eastAsiaTheme="minorHAnsi" w:hAnsiTheme="minorHAnsi" w:cstheme="minorHAnsi"/>
          <w:i/>
          <w:sz w:val="18"/>
          <w:szCs w:val="18"/>
          <w:lang w:eastAsia="en-US"/>
        </w:rPr>
        <w:t>Fof</w:t>
      </w:r>
      <w:proofErr w:type="spellEnd"/>
      <w:r w:rsidRPr="00EC5E2A">
        <w:rPr>
          <w:rFonts w:asciiTheme="minorHAnsi" w:eastAsiaTheme="minorHAnsi" w:hAnsiTheme="minorHAnsi" w:cstheme="minorHAnsi"/>
          <w:i/>
          <w:sz w:val="18"/>
          <w:szCs w:val="18"/>
          <w:lang w:eastAsia="en-US"/>
        </w:rPr>
        <w:t xml:space="preserve"> Venture Capital</w:t>
      </w:r>
      <w:r w:rsidRPr="00EC5E2A">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who have underwritten</w:t>
      </w:r>
      <w:r w:rsidRPr="009F3C5B">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share</w:t>
      </w:r>
      <w:r w:rsidRPr="009F3C5B">
        <w:rPr>
          <w:rFonts w:asciiTheme="minorHAnsi" w:eastAsiaTheme="minorHAnsi" w:hAnsiTheme="minorHAnsi" w:cstheme="minorHAnsi"/>
          <w:sz w:val="18"/>
          <w:szCs w:val="18"/>
          <w:lang w:eastAsia="en-US"/>
        </w:rPr>
        <w:t>s</w:t>
      </w:r>
      <w:r>
        <w:rPr>
          <w:rFonts w:asciiTheme="minorHAnsi" w:eastAsiaTheme="minorHAnsi" w:hAnsiTheme="minorHAnsi" w:cstheme="minorHAnsi"/>
          <w:sz w:val="18"/>
          <w:szCs w:val="18"/>
          <w:lang w:eastAsia="en-US"/>
        </w:rPr>
        <w:t xml:space="preserve"> in funds</w:t>
      </w:r>
      <w:r w:rsidRPr="009F3C5B">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managed by specialised investment management companies, through 5 vehicles with a commitment of €</w:t>
      </w:r>
      <w:r w:rsidRPr="00EC5E2A">
        <w:rPr>
          <w:rFonts w:asciiTheme="minorHAnsi" w:eastAsiaTheme="minorHAnsi" w:hAnsiTheme="minorHAnsi" w:cstheme="minorHAnsi"/>
          <w:sz w:val="18"/>
          <w:szCs w:val="18"/>
          <w:lang w:eastAsia="en-US"/>
        </w:rPr>
        <w:t>80</w:t>
      </w:r>
      <w:r>
        <w:rPr>
          <w:rFonts w:asciiTheme="minorHAnsi" w:eastAsiaTheme="minorHAnsi" w:hAnsiTheme="minorHAnsi" w:cstheme="minorHAnsi"/>
          <w:sz w:val="18"/>
          <w:szCs w:val="18"/>
          <w:lang w:eastAsia="en-US"/>
        </w:rPr>
        <w:t>m, and 3 vehicles with a commitment of €</w:t>
      </w:r>
      <w:r w:rsidRPr="00EC5E2A">
        <w:rPr>
          <w:rFonts w:asciiTheme="minorHAnsi" w:eastAsiaTheme="minorHAnsi" w:hAnsiTheme="minorHAnsi" w:cstheme="minorHAnsi"/>
          <w:sz w:val="18"/>
          <w:szCs w:val="18"/>
          <w:lang w:eastAsia="en-US"/>
        </w:rPr>
        <w:t>28m</w:t>
      </w:r>
      <w:r w:rsidRPr="009F3C5B">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respectively</w:t>
      </w:r>
      <w:r w:rsidRPr="00EC5E2A">
        <w:rPr>
          <w:rFonts w:asciiTheme="minorHAnsi" w:eastAsiaTheme="minorHAnsi" w:hAnsiTheme="minorHAnsi" w:cstheme="minorHAnsi"/>
          <w:sz w:val="18"/>
          <w:szCs w:val="18"/>
          <w:lang w:eastAsia="en-US"/>
        </w:rPr>
        <w:t>.</w:t>
      </w:r>
    </w:p>
  </w:footnote>
  <w:footnote w:id="25">
    <w:p w:rsidR="004E3DE9" w:rsidRPr="00514F6D" w:rsidRDefault="004E3DE9" w:rsidP="00DC4E49">
      <w:pPr>
        <w:pStyle w:val="Testonotaapidipagina"/>
        <w:jc w:val="both"/>
        <w:rPr>
          <w:rFonts w:asciiTheme="minorHAnsi" w:eastAsiaTheme="minorHAnsi" w:hAnsiTheme="minorHAnsi" w:cstheme="minorHAnsi"/>
          <w:sz w:val="18"/>
          <w:szCs w:val="18"/>
          <w:lang w:eastAsia="en-US"/>
        </w:rPr>
      </w:pPr>
      <w:r w:rsidRPr="00DB365A">
        <w:rPr>
          <w:rFonts w:asciiTheme="minorHAnsi" w:eastAsiaTheme="minorHAnsi" w:hAnsiTheme="minorHAnsi" w:cstheme="minorHAnsi"/>
          <w:vertAlign w:val="superscript"/>
          <w:lang w:eastAsia="en-US"/>
        </w:rPr>
        <w:t>25</w:t>
      </w:r>
      <w:r>
        <w:rPr>
          <w:rFonts w:asciiTheme="minorHAnsi" w:eastAsiaTheme="minorHAnsi" w:hAnsiTheme="minorHAnsi" w:cstheme="minorHAnsi"/>
          <w:sz w:val="18"/>
          <w:szCs w:val="18"/>
          <w:vertAlign w:val="superscript"/>
          <w:lang w:eastAsia="en-US"/>
        </w:rPr>
        <w:t xml:space="preserve"> </w:t>
      </w:r>
      <w:r>
        <w:rPr>
          <w:rFonts w:asciiTheme="minorHAnsi" w:eastAsiaTheme="minorHAnsi" w:hAnsiTheme="minorHAnsi" w:cstheme="minorHAnsi"/>
          <w:sz w:val="18"/>
          <w:szCs w:val="18"/>
          <w:lang w:eastAsia="en-US"/>
        </w:rPr>
        <w:t>The Fund then acquired further underwritings setting its final target at €</w:t>
      </w:r>
      <w:r w:rsidRPr="00514F6D">
        <w:rPr>
          <w:rFonts w:asciiTheme="minorHAnsi" w:eastAsiaTheme="minorHAnsi" w:hAnsiTheme="minorHAnsi" w:cstheme="minorHAnsi"/>
          <w:sz w:val="18"/>
          <w:szCs w:val="18"/>
          <w:lang w:eastAsia="en-US"/>
        </w:rPr>
        <w:t>100m</w:t>
      </w:r>
      <w:r>
        <w:rPr>
          <w:rFonts w:asciiTheme="minorHAnsi" w:eastAsiaTheme="minorHAnsi" w:hAnsiTheme="minorHAnsi" w:cstheme="minorHAnsi"/>
          <w:sz w:val="18"/>
          <w:szCs w:val="18"/>
          <w:lang w:eastAsia="en-US"/>
        </w:rPr>
        <w:t xml:space="preserve"> and immediately placing itself among the major venture capital operators in Italy.</w:t>
      </w:r>
      <w:r w:rsidRPr="00514F6D">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As of</w:t>
      </w:r>
      <w:r w:rsidRPr="00514F6D">
        <w:rPr>
          <w:rFonts w:asciiTheme="minorHAnsi" w:eastAsiaTheme="minorHAnsi" w:hAnsiTheme="minorHAnsi" w:cstheme="minorHAnsi"/>
          <w:sz w:val="18"/>
          <w:szCs w:val="18"/>
          <w:lang w:eastAsia="en-US"/>
        </w:rPr>
        <w:t xml:space="preserve"> 31</w:t>
      </w:r>
      <w:r>
        <w:rPr>
          <w:rFonts w:asciiTheme="minorHAnsi" w:eastAsiaTheme="minorHAnsi" w:hAnsiTheme="minorHAnsi" w:cstheme="minorHAnsi"/>
          <w:sz w:val="18"/>
          <w:szCs w:val="18"/>
          <w:lang w:eastAsia="en-US"/>
        </w:rPr>
        <w:t>-</w:t>
      </w:r>
      <w:r w:rsidRPr="00514F6D">
        <w:rPr>
          <w:rFonts w:asciiTheme="minorHAnsi" w:eastAsiaTheme="minorHAnsi" w:hAnsiTheme="minorHAnsi" w:cstheme="minorHAnsi"/>
          <w:sz w:val="18"/>
          <w:szCs w:val="18"/>
          <w:lang w:eastAsia="en-US"/>
        </w:rPr>
        <w:t>12</w:t>
      </w:r>
      <w:r>
        <w:rPr>
          <w:rFonts w:asciiTheme="minorHAnsi" w:eastAsiaTheme="minorHAnsi" w:hAnsiTheme="minorHAnsi" w:cstheme="minorHAnsi"/>
          <w:sz w:val="18"/>
          <w:szCs w:val="18"/>
          <w:lang w:eastAsia="en-US"/>
        </w:rPr>
        <w:t>-</w:t>
      </w:r>
      <w:r w:rsidRPr="00514F6D">
        <w:rPr>
          <w:rFonts w:asciiTheme="minorHAnsi" w:eastAsiaTheme="minorHAnsi" w:hAnsiTheme="minorHAnsi" w:cstheme="minorHAnsi"/>
          <w:sz w:val="18"/>
          <w:szCs w:val="18"/>
          <w:lang w:eastAsia="en-US"/>
        </w:rPr>
        <w:t>2016</w:t>
      </w:r>
      <w:r>
        <w:rPr>
          <w:rFonts w:asciiTheme="minorHAnsi" w:eastAsiaTheme="minorHAnsi" w:hAnsiTheme="minorHAnsi" w:cstheme="minorHAnsi"/>
          <w:sz w:val="18"/>
          <w:szCs w:val="18"/>
          <w:lang w:eastAsia="en-US"/>
        </w:rPr>
        <w:t xml:space="preserve">, the number of participating companies </w:t>
      </w:r>
      <w:r w:rsidRPr="00514F6D">
        <w:rPr>
          <w:rFonts w:asciiTheme="minorHAnsi" w:eastAsiaTheme="minorHAnsi" w:hAnsiTheme="minorHAnsi" w:cstheme="minorHAnsi"/>
          <w:sz w:val="18"/>
          <w:szCs w:val="18"/>
          <w:lang w:eastAsia="en-US"/>
        </w:rPr>
        <w:t xml:space="preserve">in </w:t>
      </w:r>
      <w:r>
        <w:rPr>
          <w:rFonts w:asciiTheme="minorHAnsi" w:eastAsiaTheme="minorHAnsi" w:hAnsiTheme="minorHAnsi" w:cstheme="minorHAnsi"/>
          <w:sz w:val="18"/>
          <w:szCs w:val="18"/>
          <w:lang w:eastAsia="en-US"/>
        </w:rPr>
        <w:t>the portfolio stood at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563A6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B536292"/>
    <w:multiLevelType w:val="multilevel"/>
    <w:tmpl w:val="702CD5F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3C4779"/>
    <w:multiLevelType w:val="hybridMultilevel"/>
    <w:tmpl w:val="760639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7C44F5"/>
    <w:multiLevelType w:val="hybridMultilevel"/>
    <w:tmpl w:val="59243552"/>
    <w:lvl w:ilvl="0" w:tplc="AAF28A2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7D0396"/>
    <w:multiLevelType w:val="multilevel"/>
    <w:tmpl w:val="96582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5" w15:restartNumberingAfterBreak="0">
    <w:nsid w:val="296E0ECC"/>
    <w:multiLevelType w:val="hybridMultilevel"/>
    <w:tmpl w:val="9BAEFDA2"/>
    <w:lvl w:ilvl="0" w:tplc="04242CE4">
      <w:start w:val="1"/>
      <w:numFmt w:val="bullet"/>
      <w:lvlText w:val="-"/>
      <w:lvlJc w:val="left"/>
      <w:pPr>
        <w:tabs>
          <w:tab w:val="num" w:pos="720"/>
        </w:tabs>
        <w:ind w:left="720" w:hanging="360"/>
      </w:pPr>
      <w:rPr>
        <w:rFonts w:ascii="Sylfaen" w:hAnsi="Sylfae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77DC4"/>
    <w:multiLevelType w:val="hybridMultilevel"/>
    <w:tmpl w:val="238403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3F138B"/>
    <w:multiLevelType w:val="hybridMultilevel"/>
    <w:tmpl w:val="CEFE87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1D3709"/>
    <w:multiLevelType w:val="hybridMultilevel"/>
    <w:tmpl w:val="1B6C44F8"/>
    <w:lvl w:ilvl="0" w:tplc="7806DC4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625BC2"/>
    <w:multiLevelType w:val="hybridMultilevel"/>
    <w:tmpl w:val="A69C24B8"/>
    <w:lvl w:ilvl="0" w:tplc="7806DC4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8F4E90"/>
    <w:multiLevelType w:val="hybridMultilevel"/>
    <w:tmpl w:val="6B7E4D76"/>
    <w:lvl w:ilvl="0" w:tplc="7806DC4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102C28"/>
    <w:multiLevelType w:val="hybridMultilevel"/>
    <w:tmpl w:val="6496609E"/>
    <w:lvl w:ilvl="0" w:tplc="7806DC4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7D494E"/>
    <w:multiLevelType w:val="hybridMultilevel"/>
    <w:tmpl w:val="E3EA46C2"/>
    <w:lvl w:ilvl="0" w:tplc="7806DC4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555B61"/>
    <w:multiLevelType w:val="hybridMultilevel"/>
    <w:tmpl w:val="B3762C78"/>
    <w:lvl w:ilvl="0" w:tplc="69CE9FB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7"/>
  </w:num>
  <w:num w:numId="6">
    <w:abstractNumId w:val="2"/>
  </w:num>
  <w:num w:numId="7">
    <w:abstractNumId w:val="13"/>
  </w:num>
  <w:num w:numId="8">
    <w:abstractNumId w:val="8"/>
  </w:num>
  <w:num w:numId="9">
    <w:abstractNumId w:val="12"/>
  </w:num>
  <w:num w:numId="10">
    <w:abstractNumId w:val="11"/>
  </w:num>
  <w:num w:numId="11">
    <w:abstractNumId w:val="10"/>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49"/>
    <w:rsid w:val="00011DB5"/>
    <w:rsid w:val="00023656"/>
    <w:rsid w:val="00056B9B"/>
    <w:rsid w:val="00064393"/>
    <w:rsid w:val="000857A6"/>
    <w:rsid w:val="000961B6"/>
    <w:rsid w:val="000C2B8A"/>
    <w:rsid w:val="000D3CDE"/>
    <w:rsid w:val="00110EA9"/>
    <w:rsid w:val="0015191A"/>
    <w:rsid w:val="0016561E"/>
    <w:rsid w:val="0016703E"/>
    <w:rsid w:val="00194960"/>
    <w:rsid w:val="001C17B5"/>
    <w:rsid w:val="001C1E3B"/>
    <w:rsid w:val="00250E79"/>
    <w:rsid w:val="002526EC"/>
    <w:rsid w:val="002F390B"/>
    <w:rsid w:val="00306450"/>
    <w:rsid w:val="00314BBC"/>
    <w:rsid w:val="00353189"/>
    <w:rsid w:val="00413454"/>
    <w:rsid w:val="00461AAF"/>
    <w:rsid w:val="0049182B"/>
    <w:rsid w:val="004E1D00"/>
    <w:rsid w:val="004E308D"/>
    <w:rsid w:val="004E3DE9"/>
    <w:rsid w:val="005067C6"/>
    <w:rsid w:val="00510EEE"/>
    <w:rsid w:val="00511B28"/>
    <w:rsid w:val="00526B51"/>
    <w:rsid w:val="00571E1A"/>
    <w:rsid w:val="00613D84"/>
    <w:rsid w:val="0065425A"/>
    <w:rsid w:val="00690BBC"/>
    <w:rsid w:val="006D6D55"/>
    <w:rsid w:val="007017DF"/>
    <w:rsid w:val="0075184D"/>
    <w:rsid w:val="00766DBF"/>
    <w:rsid w:val="007B1D98"/>
    <w:rsid w:val="0088404E"/>
    <w:rsid w:val="0090434C"/>
    <w:rsid w:val="00972060"/>
    <w:rsid w:val="00975A32"/>
    <w:rsid w:val="0099203E"/>
    <w:rsid w:val="009B7ABA"/>
    <w:rsid w:val="009D3121"/>
    <w:rsid w:val="009E4CCA"/>
    <w:rsid w:val="00A22C08"/>
    <w:rsid w:val="00A53482"/>
    <w:rsid w:val="00A975EB"/>
    <w:rsid w:val="00AC02DE"/>
    <w:rsid w:val="00B20F0F"/>
    <w:rsid w:val="00B750BF"/>
    <w:rsid w:val="00B90C0C"/>
    <w:rsid w:val="00BA2B20"/>
    <w:rsid w:val="00BC3598"/>
    <w:rsid w:val="00C02A25"/>
    <w:rsid w:val="00C0777B"/>
    <w:rsid w:val="00C314A3"/>
    <w:rsid w:val="00C5220A"/>
    <w:rsid w:val="00C72D3E"/>
    <w:rsid w:val="00C976BC"/>
    <w:rsid w:val="00CE3DB2"/>
    <w:rsid w:val="00D02140"/>
    <w:rsid w:val="00D06548"/>
    <w:rsid w:val="00D46CFC"/>
    <w:rsid w:val="00D5571C"/>
    <w:rsid w:val="00D5590F"/>
    <w:rsid w:val="00D63EFC"/>
    <w:rsid w:val="00DA7DDA"/>
    <w:rsid w:val="00DB2B32"/>
    <w:rsid w:val="00DC4E49"/>
    <w:rsid w:val="00E22557"/>
    <w:rsid w:val="00E248AA"/>
    <w:rsid w:val="00EC3AED"/>
    <w:rsid w:val="00ED2962"/>
    <w:rsid w:val="00EF15F8"/>
    <w:rsid w:val="00F04AE2"/>
    <w:rsid w:val="00F13679"/>
    <w:rsid w:val="00F432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E942B"/>
  <w15:docId w15:val="{C0A05683-0B19-4421-9692-7E6549AB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4E49"/>
    <w:pPr>
      <w:spacing w:after="0" w:line="240" w:lineRule="auto"/>
    </w:pPr>
  </w:style>
  <w:style w:type="paragraph" w:styleId="Titolo1">
    <w:name w:val="heading 1"/>
    <w:basedOn w:val="Normale"/>
    <w:next w:val="Normale"/>
    <w:link w:val="Titolo1Carattere"/>
    <w:uiPriority w:val="9"/>
    <w:qFormat/>
    <w:rsid w:val="00DC4E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4E49"/>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DC4E49"/>
    <w:pPr>
      <w:ind w:left="720"/>
      <w:contextualSpacing/>
    </w:pPr>
  </w:style>
  <w:style w:type="paragraph" w:styleId="Testonotaapidipagina">
    <w:name w:val="footnote text"/>
    <w:aliases w:val="Testo nota a piè di pagina0,Carattere Carattere Carattere Carattere,Carattere Carattere Carattere Carattere Carattere Carattere Carattere,Testo nota a piè di pagina Carattere Carattere Carattere,Testo nota a piè di pagina (gia"/>
    <w:basedOn w:val="Normale"/>
    <w:link w:val="TestonotaapidipaginaCarattere"/>
    <w:semiHidden/>
    <w:rsid w:val="00DC4E49"/>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0 Carattere,Carattere Carattere Carattere Carattere Carattere,Carattere Carattere Carattere Carattere Carattere Carattere Carattere Carattere,Testo nota a piè di pagina (gia Carattere"/>
    <w:basedOn w:val="Carpredefinitoparagrafo"/>
    <w:link w:val="Testonotaapidipagina"/>
    <w:semiHidden/>
    <w:rsid w:val="00DC4E4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DC4E49"/>
    <w:rPr>
      <w:vertAlign w:val="superscript"/>
    </w:rPr>
  </w:style>
  <w:style w:type="paragraph" w:styleId="Corpotesto">
    <w:name w:val="Body Text"/>
    <w:basedOn w:val="Normale"/>
    <w:link w:val="CorpotestoCarattere"/>
    <w:rsid w:val="00DC4E49"/>
    <w:rPr>
      <w:rFonts w:ascii="Times New Roman" w:eastAsia="Times New Roman" w:hAnsi="Times New Roman" w:cs="Times New Roman"/>
      <w:b/>
      <w:bCs/>
      <w:sz w:val="28"/>
      <w:szCs w:val="28"/>
      <w:lang w:eastAsia="it-IT"/>
    </w:rPr>
  </w:style>
  <w:style w:type="character" w:customStyle="1" w:styleId="CorpotestoCarattere">
    <w:name w:val="Corpo testo Carattere"/>
    <w:basedOn w:val="Carpredefinitoparagrafo"/>
    <w:link w:val="Corpotesto"/>
    <w:rsid w:val="00DC4E49"/>
    <w:rPr>
      <w:rFonts w:ascii="Times New Roman" w:eastAsia="Times New Roman" w:hAnsi="Times New Roman" w:cs="Times New Roman"/>
      <w:b/>
      <w:bCs/>
      <w:sz w:val="28"/>
      <w:szCs w:val="28"/>
      <w:lang w:eastAsia="it-IT"/>
    </w:rPr>
  </w:style>
  <w:style w:type="paragraph" w:styleId="Intestazione">
    <w:name w:val="header"/>
    <w:basedOn w:val="Normale"/>
    <w:link w:val="IntestazioneCarattere"/>
    <w:uiPriority w:val="99"/>
    <w:unhideWhenUsed/>
    <w:rsid w:val="00DC4E49"/>
    <w:pPr>
      <w:tabs>
        <w:tab w:val="center" w:pos="4819"/>
        <w:tab w:val="right" w:pos="9638"/>
      </w:tabs>
    </w:pPr>
  </w:style>
  <w:style w:type="character" w:customStyle="1" w:styleId="IntestazioneCarattere">
    <w:name w:val="Intestazione Carattere"/>
    <w:basedOn w:val="Carpredefinitoparagrafo"/>
    <w:link w:val="Intestazione"/>
    <w:uiPriority w:val="99"/>
    <w:rsid w:val="00DC4E49"/>
  </w:style>
  <w:style w:type="paragraph" w:styleId="Pidipagina">
    <w:name w:val="footer"/>
    <w:basedOn w:val="Normale"/>
    <w:link w:val="PidipaginaCarattere"/>
    <w:uiPriority w:val="99"/>
    <w:unhideWhenUsed/>
    <w:rsid w:val="00DC4E49"/>
    <w:pPr>
      <w:tabs>
        <w:tab w:val="center" w:pos="4819"/>
        <w:tab w:val="right" w:pos="9638"/>
      </w:tabs>
    </w:pPr>
  </w:style>
  <w:style w:type="character" w:customStyle="1" w:styleId="PidipaginaCarattere">
    <w:name w:val="Piè di pagina Carattere"/>
    <w:basedOn w:val="Carpredefinitoparagrafo"/>
    <w:link w:val="Pidipagina"/>
    <w:uiPriority w:val="99"/>
    <w:rsid w:val="00DC4E49"/>
  </w:style>
  <w:style w:type="paragraph" w:styleId="Testofumetto">
    <w:name w:val="Balloon Text"/>
    <w:basedOn w:val="Normale"/>
    <w:link w:val="TestofumettoCarattere"/>
    <w:uiPriority w:val="99"/>
    <w:semiHidden/>
    <w:unhideWhenUsed/>
    <w:rsid w:val="00DC4E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4E49"/>
    <w:rPr>
      <w:rFonts w:ascii="Tahoma" w:hAnsi="Tahoma" w:cs="Tahoma"/>
      <w:sz w:val="16"/>
      <w:szCs w:val="16"/>
    </w:rPr>
  </w:style>
  <w:style w:type="table" w:styleId="Grigliatabella">
    <w:name w:val="Table Grid"/>
    <w:basedOn w:val="Tabellanormale"/>
    <w:uiPriority w:val="59"/>
    <w:rsid w:val="00DC4E49"/>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unhideWhenUsed/>
    <w:rsid w:val="00DC4E49"/>
    <w:pPr>
      <w:numPr>
        <w:numId w:val="12"/>
      </w:numPr>
      <w:contextualSpacing/>
    </w:pPr>
  </w:style>
  <w:style w:type="paragraph" w:styleId="Nessunaspaziatura">
    <w:name w:val="No Spacing"/>
    <w:uiPriority w:val="1"/>
    <w:qFormat/>
    <w:rsid w:val="00DC4E49"/>
    <w:pPr>
      <w:spacing w:after="0" w:line="240" w:lineRule="auto"/>
    </w:pPr>
    <w:rPr>
      <w:lang w:val="it-IT"/>
    </w:rPr>
  </w:style>
  <w:style w:type="character" w:styleId="Enfasicorsivo">
    <w:name w:val="Emphasis"/>
    <w:basedOn w:val="Carpredefinitoparagrafo"/>
    <w:uiPriority w:val="20"/>
    <w:qFormat/>
    <w:rsid w:val="00DC4E49"/>
    <w:rPr>
      <w:i/>
      <w:iCs/>
    </w:rPr>
  </w:style>
  <w:style w:type="character" w:customStyle="1" w:styleId="apple-converted-space">
    <w:name w:val="apple-converted-space"/>
    <w:basedOn w:val="Carpredefinitoparagrafo"/>
    <w:rsid w:val="00DC4E49"/>
  </w:style>
  <w:style w:type="character" w:styleId="Collegamentoipertestuale">
    <w:name w:val="Hyperlink"/>
    <w:basedOn w:val="Carpredefinitoparagrafo"/>
    <w:uiPriority w:val="99"/>
    <w:unhideWhenUsed/>
    <w:rsid w:val="00DC4E49"/>
    <w:rPr>
      <w:color w:val="0563C1" w:themeColor="hyperlink"/>
      <w:u w:val="single"/>
    </w:rPr>
  </w:style>
  <w:style w:type="character" w:styleId="Rimandocommento">
    <w:name w:val="annotation reference"/>
    <w:basedOn w:val="Carpredefinitoparagrafo"/>
    <w:uiPriority w:val="99"/>
    <w:semiHidden/>
    <w:unhideWhenUsed/>
    <w:rsid w:val="00DC4E49"/>
    <w:rPr>
      <w:sz w:val="18"/>
      <w:szCs w:val="18"/>
    </w:rPr>
  </w:style>
  <w:style w:type="paragraph" w:styleId="Testocommento">
    <w:name w:val="annotation text"/>
    <w:basedOn w:val="Normale"/>
    <w:link w:val="TestocommentoCarattere"/>
    <w:uiPriority w:val="99"/>
    <w:semiHidden/>
    <w:unhideWhenUsed/>
    <w:rsid w:val="00DC4E49"/>
    <w:rPr>
      <w:sz w:val="24"/>
      <w:szCs w:val="24"/>
    </w:rPr>
  </w:style>
  <w:style w:type="character" w:customStyle="1" w:styleId="TestocommentoCarattere">
    <w:name w:val="Testo commento Carattere"/>
    <w:basedOn w:val="Carpredefinitoparagrafo"/>
    <w:link w:val="Testocommento"/>
    <w:uiPriority w:val="99"/>
    <w:semiHidden/>
    <w:rsid w:val="00DC4E49"/>
    <w:rPr>
      <w:sz w:val="24"/>
      <w:szCs w:val="24"/>
    </w:rPr>
  </w:style>
  <w:style w:type="paragraph" w:styleId="Soggettocommento">
    <w:name w:val="annotation subject"/>
    <w:basedOn w:val="Testocommento"/>
    <w:next w:val="Testocommento"/>
    <w:link w:val="SoggettocommentoCarattere"/>
    <w:uiPriority w:val="99"/>
    <w:semiHidden/>
    <w:unhideWhenUsed/>
    <w:rsid w:val="00DC4E49"/>
    <w:rPr>
      <w:b/>
      <w:bCs/>
      <w:sz w:val="20"/>
      <w:szCs w:val="20"/>
    </w:rPr>
  </w:style>
  <w:style w:type="character" w:customStyle="1" w:styleId="SoggettocommentoCarattere">
    <w:name w:val="Soggetto commento Carattere"/>
    <w:basedOn w:val="TestocommentoCarattere"/>
    <w:link w:val="Soggettocommento"/>
    <w:uiPriority w:val="99"/>
    <w:semiHidden/>
    <w:rsid w:val="00DC4E49"/>
    <w:rPr>
      <w:b/>
      <w:bCs/>
      <w:sz w:val="20"/>
      <w:szCs w:val="20"/>
    </w:rPr>
  </w:style>
  <w:style w:type="character" w:styleId="Testosegnaposto">
    <w:name w:val="Placeholder Text"/>
    <w:basedOn w:val="Carpredefinitoparagrafo"/>
    <w:uiPriority w:val="99"/>
    <w:semiHidden/>
    <w:rsid w:val="00DC4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723">
      <w:bodyDiv w:val="1"/>
      <w:marLeft w:val="0"/>
      <w:marRight w:val="0"/>
      <w:marTop w:val="0"/>
      <w:marBottom w:val="0"/>
      <w:divBdr>
        <w:top w:val="none" w:sz="0" w:space="0" w:color="auto"/>
        <w:left w:val="none" w:sz="0" w:space="0" w:color="auto"/>
        <w:bottom w:val="none" w:sz="0" w:space="0" w:color="auto"/>
        <w:right w:val="none" w:sz="0" w:space="0" w:color="auto"/>
      </w:divBdr>
    </w:div>
    <w:div w:id="1745101169">
      <w:bodyDiv w:val="1"/>
      <w:marLeft w:val="0"/>
      <w:marRight w:val="0"/>
      <w:marTop w:val="0"/>
      <w:marBottom w:val="0"/>
      <w:divBdr>
        <w:top w:val="none" w:sz="0" w:space="0" w:color="auto"/>
        <w:left w:val="none" w:sz="0" w:space="0" w:color="auto"/>
        <w:bottom w:val="none" w:sz="0" w:space="0" w:color="auto"/>
        <w:right w:val="none" w:sz="0" w:space="0" w:color="auto"/>
      </w:divBdr>
    </w:div>
    <w:div w:id="1785074426">
      <w:bodyDiv w:val="1"/>
      <w:marLeft w:val="0"/>
      <w:marRight w:val="0"/>
      <w:marTop w:val="0"/>
      <w:marBottom w:val="0"/>
      <w:divBdr>
        <w:top w:val="none" w:sz="0" w:space="0" w:color="auto"/>
        <w:left w:val="none" w:sz="0" w:space="0" w:color="auto"/>
        <w:bottom w:val="none" w:sz="0" w:space="0" w:color="auto"/>
        <w:right w:val="none" w:sz="0" w:space="0" w:color="auto"/>
      </w:divBdr>
    </w:div>
    <w:div w:id="20997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w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footer" Target="footer1.xml"/><Relationship Id="rId7" Type="http://schemas.openxmlformats.org/officeDocument/2006/relationships/hyperlink" Target="http://dx.doi.org/10.1787/9789264118782-en" TargetMode="Externa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5.7127701969191098E-2"/>
          <c:y val="0.15078812396156899"/>
          <c:w val="0.48176848490486601"/>
          <c:h val="0.72238766877512794"/>
        </c:manualLayout>
      </c:layout>
      <c:pie3DChart>
        <c:varyColors val="1"/>
        <c:ser>
          <c:idx val="0"/>
          <c:order val="0"/>
          <c:tx>
            <c:strRef>
              <c:f>Foglio1!$B$1</c:f>
              <c:strCache>
                <c:ptCount val="1"/>
                <c:pt idx="0">
                  <c:v>Colonna1</c:v>
                </c:pt>
              </c:strCache>
            </c:strRef>
          </c:tx>
          <c:spPr>
            <a:ln>
              <a:solidFill>
                <a:schemeClr val="accent1"/>
              </a:solidFill>
            </a:ln>
          </c:spPr>
          <c:dPt>
            <c:idx val="0"/>
            <c:bubble3D val="0"/>
            <c:spPr>
              <a:solidFill>
                <a:schemeClr val="accent1">
                  <a:lumMod val="75000"/>
                </a:schemeClr>
              </a:solidFill>
              <a:ln>
                <a:solidFill>
                  <a:schemeClr val="accent1"/>
                </a:solidFill>
              </a:ln>
            </c:spPr>
            <c:extLst>
              <c:ext xmlns:c16="http://schemas.microsoft.com/office/drawing/2014/chart" uri="{C3380CC4-5D6E-409C-BE32-E72D297353CC}">
                <c16:uniqueId val="{00000001-8600-45E3-AA42-B458F7EA3F6B}"/>
              </c:ext>
            </c:extLst>
          </c:dPt>
          <c:dPt>
            <c:idx val="1"/>
            <c:bubble3D val="0"/>
            <c:spPr>
              <a:solidFill>
                <a:schemeClr val="tx2">
                  <a:lumMod val="60000"/>
                  <a:lumOff val="40000"/>
                </a:schemeClr>
              </a:solidFill>
              <a:ln>
                <a:solidFill>
                  <a:schemeClr val="accent1"/>
                </a:solidFill>
              </a:ln>
            </c:spPr>
            <c:extLst>
              <c:ext xmlns:c16="http://schemas.microsoft.com/office/drawing/2014/chart" uri="{C3380CC4-5D6E-409C-BE32-E72D297353CC}">
                <c16:uniqueId val="{00000003-8600-45E3-AA42-B458F7EA3F6B}"/>
              </c:ext>
            </c:extLst>
          </c:dPt>
          <c:dPt>
            <c:idx val="2"/>
            <c:bubble3D val="0"/>
            <c:spPr>
              <a:solidFill>
                <a:schemeClr val="accent1">
                  <a:lumMod val="75000"/>
                </a:schemeClr>
              </a:solidFill>
              <a:ln>
                <a:solidFill>
                  <a:schemeClr val="accent1"/>
                </a:solidFill>
              </a:ln>
            </c:spPr>
            <c:extLst>
              <c:ext xmlns:c16="http://schemas.microsoft.com/office/drawing/2014/chart" uri="{C3380CC4-5D6E-409C-BE32-E72D297353CC}">
                <c16:uniqueId val="{00000005-8600-45E3-AA42-B458F7EA3F6B}"/>
              </c:ext>
            </c:extLst>
          </c:dPt>
          <c:dPt>
            <c:idx val="3"/>
            <c:bubble3D val="0"/>
            <c:spPr>
              <a:solidFill>
                <a:srgbClr val="0070C0"/>
              </a:solidFill>
              <a:ln>
                <a:solidFill>
                  <a:schemeClr val="accent1"/>
                </a:solidFill>
              </a:ln>
            </c:spPr>
            <c:extLst>
              <c:ext xmlns:c16="http://schemas.microsoft.com/office/drawing/2014/chart" uri="{C3380CC4-5D6E-409C-BE32-E72D297353CC}">
                <c16:uniqueId val="{00000007-8600-45E3-AA42-B458F7EA3F6B}"/>
              </c:ext>
            </c:extLst>
          </c:dPt>
          <c:dPt>
            <c:idx val="5"/>
            <c:bubble3D val="0"/>
            <c:spPr>
              <a:solidFill>
                <a:schemeClr val="tx2">
                  <a:lumMod val="50000"/>
                </a:schemeClr>
              </a:solidFill>
              <a:ln>
                <a:solidFill>
                  <a:schemeClr val="accent1"/>
                </a:solidFill>
              </a:ln>
            </c:spPr>
            <c:extLst>
              <c:ext xmlns:c16="http://schemas.microsoft.com/office/drawing/2014/chart" uri="{C3380CC4-5D6E-409C-BE32-E72D297353CC}">
                <c16:uniqueId val="{00000009-8600-45E3-AA42-B458F7EA3F6B}"/>
              </c:ext>
            </c:extLst>
          </c:dPt>
          <c:dLbls>
            <c:dLbl>
              <c:idx val="0"/>
              <c:layout>
                <c:manualLayout>
                  <c:x val="2.66831388140925E-2"/>
                  <c:y val="-1.01821658219725E-2"/>
                </c:manualLayout>
              </c:layout>
              <c:tx>
                <c:rich>
                  <a:bodyPr/>
                  <a:lstStyle/>
                  <a:p>
                    <a:r>
                      <a:rPr lang="en-US" sz="800" b="1" dirty="0"/>
                      <a:t>0,6%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600-45E3-AA42-B458F7EA3F6B}"/>
                </c:ext>
              </c:extLst>
            </c:dLbl>
            <c:dLbl>
              <c:idx val="1"/>
              <c:layout>
                <c:manualLayout>
                  <c:x val="-0.136200722842623"/>
                  <c:y val="8.9897719980617796E-2"/>
                </c:manualLayout>
              </c:layout>
              <c:tx>
                <c:rich>
                  <a:bodyPr/>
                  <a:lstStyle/>
                  <a:p>
                    <a:r>
                      <a:rPr lang="en-US" sz="800" b="1" dirty="0"/>
                      <a:t>30,0%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600-45E3-AA42-B458F7EA3F6B}"/>
                </c:ext>
              </c:extLst>
            </c:dLbl>
            <c:dLbl>
              <c:idx val="2"/>
              <c:layout>
                <c:manualLayout>
                  <c:x val="-5.0233413050585402E-2"/>
                  <c:y val="-0.17312877329456899"/>
                </c:manualLayout>
              </c:layout>
              <c:tx>
                <c:rich>
                  <a:bodyPr/>
                  <a:lstStyle/>
                  <a:p>
                    <a:r>
                      <a:rPr lang="en-US" sz="800" b="1" dirty="0"/>
                      <a:t>14,8%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600-45E3-AA42-B458F7EA3F6B}"/>
                </c:ext>
              </c:extLst>
            </c:dLbl>
            <c:dLbl>
              <c:idx val="3"/>
              <c:layout>
                <c:manualLayout>
                  <c:x val="8.17581451969384E-2"/>
                  <c:y val="-0.12617844654853999"/>
                </c:manualLayout>
              </c:layout>
              <c:tx>
                <c:rich>
                  <a:bodyPr/>
                  <a:lstStyle/>
                  <a:p>
                    <a:r>
                      <a:rPr lang="en-US" sz="800" b="1" dirty="0"/>
                      <a:t>8,2%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600-45E3-AA42-B458F7EA3F6B}"/>
                </c:ext>
              </c:extLst>
            </c:dLbl>
            <c:dLbl>
              <c:idx val="4"/>
              <c:tx>
                <c:rich>
                  <a:bodyPr/>
                  <a:lstStyle/>
                  <a:p>
                    <a:r>
                      <a:rPr lang="en-US" sz="800" b="1" dirty="0"/>
                      <a:t>4,4%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600-45E3-AA42-B458F7EA3F6B}"/>
                </c:ext>
              </c:extLst>
            </c:dLbl>
            <c:dLbl>
              <c:idx val="5"/>
              <c:layout>
                <c:manualLayout>
                  <c:x val="0"/>
                  <c:y val="-4.9957096709065202E-2"/>
                </c:manualLayout>
              </c:layout>
              <c:tx>
                <c:rich>
                  <a:bodyPr/>
                  <a:lstStyle/>
                  <a:p>
                    <a:r>
                      <a:rPr lang="en-US" sz="800" b="1" dirty="0"/>
                      <a:t>0,4%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600-45E3-AA42-B458F7EA3F6B}"/>
                </c:ext>
              </c:extLst>
            </c:dLbl>
            <c:dLbl>
              <c:idx val="6"/>
              <c:layout>
                <c:manualLayout>
                  <c:x val="0.10635493841516"/>
                  <c:y val="9.7827891931534197E-2"/>
                </c:manualLayout>
              </c:layout>
              <c:tx>
                <c:rich>
                  <a:bodyPr/>
                  <a:lstStyle/>
                  <a:p>
                    <a:r>
                      <a:rPr lang="en-US" sz="800" b="1" dirty="0"/>
                      <a:t>20,1%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600-45E3-AA42-B458F7EA3F6B}"/>
                </c:ext>
              </c:extLst>
            </c:dLbl>
            <c:dLbl>
              <c:idx val="7"/>
              <c:layout>
                <c:manualLayout>
                  <c:x val="-3.5300733249254902E-2"/>
                  <c:y val="-1.4340156366636599E-2"/>
                </c:manualLayout>
              </c:layout>
              <c:tx>
                <c:rich>
                  <a:bodyPr/>
                  <a:lstStyle/>
                  <a:p>
                    <a:r>
                      <a:rPr lang="en-US" sz="800"/>
                      <a:t>3,2%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8600-45E3-AA42-B458F7EA3F6B}"/>
                </c:ext>
              </c:extLst>
            </c:dLbl>
            <c:spPr>
              <a:noFill/>
              <a:ln>
                <a:noFill/>
              </a:ln>
              <a:effectLst/>
            </c:spPr>
            <c:txPr>
              <a:bodyPr/>
              <a:lstStyle/>
              <a:p>
                <a:pPr>
                  <a:defRPr sz="800" b="1"/>
                </a:pPr>
                <a:endParaRPr lang="it-IT"/>
              </a:p>
            </c:txPr>
            <c:showLegendKey val="0"/>
            <c:showVal val="0"/>
            <c:showCatName val="0"/>
            <c:showSerName val="0"/>
            <c:showPercent val="1"/>
            <c:showBubbleSize val="0"/>
            <c:showLeaderLines val="1"/>
            <c:extLst>
              <c:ext xmlns:c15="http://schemas.microsoft.com/office/drawing/2012/chart" uri="{CE6537A1-D6FC-4f65-9D91-7224C49458BB}"/>
            </c:extLst>
          </c:dLbls>
          <c:cat>
            <c:strRef>
              <c:f>Foglio1!$A$2:$A$9</c:f>
              <c:strCache>
                <c:ptCount val="8"/>
                <c:pt idx="0">
                  <c:v>Tourism</c:v>
                </c:pt>
                <c:pt idx="1">
                  <c:v>IT and software</c:v>
                </c:pt>
                <c:pt idx="2">
                  <c:v>Scientific research and development</c:v>
                </c:pt>
                <c:pt idx="3">
                  <c:v>Other services</c:v>
                </c:pt>
                <c:pt idx="4">
                  <c:v>Commerce</c:v>
                </c:pt>
                <c:pt idx="5">
                  <c:v>Agricolture/fishing</c:v>
                </c:pt>
                <c:pt idx="6">
                  <c:v>Industry/handcraft</c:v>
                </c:pt>
                <c:pt idx="7">
                  <c:v>Other sector</c:v>
                </c:pt>
              </c:strCache>
            </c:strRef>
          </c:cat>
          <c:val>
            <c:numRef>
              <c:f>Foglio1!$B$2:$B$9</c:f>
              <c:numCache>
                <c:formatCode>0.00%</c:formatCode>
                <c:ptCount val="8"/>
                <c:pt idx="0">
                  <c:v>5.8999999999999999E-3</c:v>
                </c:pt>
                <c:pt idx="1">
                  <c:v>0.3</c:v>
                </c:pt>
                <c:pt idx="2">
                  <c:v>0.1482</c:v>
                </c:pt>
                <c:pt idx="3">
                  <c:v>8.2299999999999998E-2</c:v>
                </c:pt>
                <c:pt idx="4">
                  <c:v>4.36E-2</c:v>
                </c:pt>
                <c:pt idx="5">
                  <c:v>4.4000000000000003E-3</c:v>
                </c:pt>
                <c:pt idx="6">
                  <c:v>0.2009</c:v>
                </c:pt>
                <c:pt idx="7">
                  <c:v>3.1800000000000002E-2</c:v>
                </c:pt>
              </c:numCache>
            </c:numRef>
          </c:val>
          <c:extLst>
            <c:ext xmlns:c16="http://schemas.microsoft.com/office/drawing/2014/chart" uri="{C3380CC4-5D6E-409C-BE32-E72D297353CC}">
              <c16:uniqueId val="{0000000D-8600-45E3-AA42-B458F7EA3F6B}"/>
            </c:ext>
          </c:extLst>
        </c:ser>
        <c:dLbls>
          <c:showLegendKey val="0"/>
          <c:showVal val="0"/>
          <c:showCatName val="0"/>
          <c:showSerName val="0"/>
          <c:showPercent val="1"/>
          <c:showBubbleSize val="0"/>
          <c:showLeaderLines val="1"/>
        </c:dLbls>
      </c:pie3DChart>
    </c:plotArea>
    <c:legend>
      <c:legendPos val="r"/>
      <c:layout>
        <c:manualLayout>
          <c:xMode val="edge"/>
          <c:yMode val="edge"/>
          <c:x val="0.59889777883094175"/>
          <c:y val="3.9164479440069989E-2"/>
          <c:w val="0.33496839027478797"/>
          <c:h val="0.95308648918885142"/>
        </c:manualLayout>
      </c:layout>
      <c:overlay val="0"/>
      <c:txPr>
        <a:bodyPr/>
        <a:lstStyle/>
        <a:p>
          <a:pPr>
            <a:defRPr sz="700" b="1"/>
          </a:pPr>
          <a:endParaRPr lang="it-IT"/>
        </a:p>
      </c:txPr>
    </c:legend>
    <c:plotVisOnly val="1"/>
    <c:dispBlanksAs val="gap"/>
    <c:showDLblsOverMax val="0"/>
  </c:chart>
  <c:spPr>
    <a:ln>
      <a:noFill/>
    </a:ln>
  </c:spPr>
  <c:txPr>
    <a:bodyPr/>
    <a:lstStyle/>
    <a:p>
      <a:pPr>
        <a:defRPr sz="1800"/>
      </a:pPr>
      <a:endParaRPr lang="it-I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25</Pages>
  <Words>9767</Words>
  <Characters>55674</Characters>
  <Application>Microsoft Office Word</Application>
  <DocSecurity>0</DocSecurity>
  <Lines>463</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TMF Group</Company>
  <LinksUpToDate>false</LinksUpToDate>
  <CharactersWithSpaces>65311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Lee</dc:creator>
  <cp:lastModifiedBy>Stefania DiBari</cp:lastModifiedBy>
  <cp:revision>10</cp:revision>
  <cp:lastPrinted>2018-12-07T09:37:00Z</cp:lastPrinted>
  <dcterms:created xsi:type="dcterms:W3CDTF">2018-12-06T12:48:00Z</dcterms:created>
  <dcterms:modified xsi:type="dcterms:W3CDTF">2018-12-07T11:12:00Z</dcterms:modified>
</cp:coreProperties>
</file>