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04" w:rsidRPr="00014ABF" w:rsidRDefault="002E79A8" w:rsidP="00014ABF">
      <w:pPr>
        <w:spacing w:line="240" w:lineRule="auto"/>
        <w:ind w:firstLine="0"/>
        <w:jc w:val="center"/>
        <w:rPr>
          <w:rFonts w:ascii="Arial" w:hAnsi="Arial" w:cs="Arial"/>
          <w:b/>
          <w:sz w:val="24"/>
          <w:szCs w:val="24"/>
        </w:rPr>
      </w:pPr>
      <w:r w:rsidRPr="00014ABF">
        <w:rPr>
          <w:rFonts w:ascii="Arial" w:hAnsi="Arial" w:cs="Arial"/>
          <w:b/>
          <w:sz w:val="24"/>
          <w:szCs w:val="24"/>
        </w:rPr>
        <w:t xml:space="preserve">ANALYSIS OF THE EFFECT OF FINANCIAL RATIOS </w:t>
      </w:r>
      <w:r w:rsidR="00D11704" w:rsidRPr="00014ABF">
        <w:rPr>
          <w:rFonts w:ascii="Arial" w:hAnsi="Arial" w:cs="Arial"/>
          <w:b/>
          <w:sz w:val="24"/>
          <w:szCs w:val="24"/>
        </w:rPr>
        <w:t xml:space="preserve">to PROBABILITY DEFAULT OF </w:t>
      </w:r>
      <w:r w:rsidRPr="00014ABF">
        <w:rPr>
          <w:rFonts w:ascii="Arial" w:hAnsi="Arial" w:cs="Arial"/>
          <w:b/>
          <w:sz w:val="24"/>
          <w:szCs w:val="24"/>
        </w:rPr>
        <w:t xml:space="preserve"> </w:t>
      </w:r>
      <w:r w:rsidR="00682206" w:rsidRPr="00014ABF">
        <w:rPr>
          <w:rFonts w:ascii="Arial" w:hAnsi="Arial" w:cs="Arial"/>
          <w:b/>
          <w:sz w:val="24"/>
          <w:szCs w:val="24"/>
        </w:rPr>
        <w:t xml:space="preserve">INDONESIA’S </w:t>
      </w:r>
      <w:r w:rsidRPr="00014ABF">
        <w:rPr>
          <w:rFonts w:ascii="Arial" w:hAnsi="Arial" w:cs="Arial"/>
          <w:b/>
          <w:sz w:val="24"/>
          <w:szCs w:val="24"/>
        </w:rPr>
        <w:t>COAL</w:t>
      </w:r>
      <w:r w:rsidR="00D11704" w:rsidRPr="00014ABF">
        <w:rPr>
          <w:rFonts w:ascii="Arial" w:hAnsi="Arial" w:cs="Arial"/>
          <w:b/>
          <w:sz w:val="24"/>
          <w:szCs w:val="24"/>
        </w:rPr>
        <w:t xml:space="preserve"> MINING COMPANY</w:t>
      </w:r>
    </w:p>
    <w:p w:rsidR="002E79A8" w:rsidRDefault="002E79A8" w:rsidP="00D11704">
      <w:pPr>
        <w:ind w:firstLine="0"/>
        <w:rPr>
          <w:rFonts w:ascii="Times New Roman" w:hAnsi="Times New Roman" w:cs="Times New Roman"/>
          <w:sz w:val="24"/>
          <w:szCs w:val="24"/>
        </w:rPr>
      </w:pPr>
    </w:p>
    <w:p w:rsidR="00EA1FC0" w:rsidRPr="00014ABF" w:rsidRDefault="00EA1FC0" w:rsidP="00EA1FC0">
      <w:pPr>
        <w:ind w:firstLine="0"/>
        <w:jc w:val="center"/>
        <w:rPr>
          <w:rFonts w:ascii="Arial" w:hAnsi="Arial" w:cs="Arial"/>
          <w:sz w:val="24"/>
          <w:szCs w:val="24"/>
        </w:rPr>
      </w:pPr>
      <w:r w:rsidRPr="00014ABF">
        <w:rPr>
          <w:rFonts w:ascii="Arial" w:hAnsi="Arial" w:cs="Arial"/>
          <w:sz w:val="24"/>
          <w:szCs w:val="24"/>
        </w:rPr>
        <w:t>Celly Septine Mayliza</w:t>
      </w:r>
      <w:r w:rsidRPr="00014ABF">
        <w:rPr>
          <w:rStyle w:val="FootnoteReference"/>
          <w:rFonts w:ascii="Arial" w:hAnsi="Arial" w:cs="Arial"/>
          <w:sz w:val="24"/>
          <w:szCs w:val="24"/>
        </w:rPr>
        <w:footnoteReference w:id="1"/>
      </w:r>
    </w:p>
    <w:p w:rsidR="00EA1FC0" w:rsidRPr="00014ABF" w:rsidRDefault="00EA1FC0" w:rsidP="00EA1FC0">
      <w:pPr>
        <w:ind w:firstLine="0"/>
        <w:jc w:val="center"/>
        <w:rPr>
          <w:rFonts w:ascii="Arial" w:hAnsi="Arial" w:cs="Arial"/>
          <w:sz w:val="24"/>
          <w:szCs w:val="24"/>
        </w:rPr>
      </w:pPr>
      <w:r w:rsidRPr="00014ABF">
        <w:rPr>
          <w:rFonts w:ascii="Arial" w:hAnsi="Arial" w:cs="Arial"/>
          <w:sz w:val="24"/>
          <w:szCs w:val="24"/>
        </w:rPr>
        <w:t>Adler Haymans Manurung</w:t>
      </w:r>
      <w:r w:rsidRPr="00014ABF">
        <w:rPr>
          <w:rStyle w:val="FootnoteReference"/>
          <w:rFonts w:ascii="Arial" w:hAnsi="Arial" w:cs="Arial"/>
          <w:sz w:val="24"/>
          <w:szCs w:val="24"/>
        </w:rPr>
        <w:footnoteReference w:id="2"/>
      </w:r>
    </w:p>
    <w:p w:rsidR="00EA1FC0" w:rsidRDefault="00EA1FC0" w:rsidP="00D11704">
      <w:pPr>
        <w:ind w:firstLine="0"/>
        <w:rPr>
          <w:rFonts w:ascii="Times New Roman" w:hAnsi="Times New Roman" w:cs="Times New Roman"/>
          <w:sz w:val="24"/>
          <w:szCs w:val="24"/>
        </w:rPr>
      </w:pPr>
    </w:p>
    <w:p w:rsidR="00D11704" w:rsidRDefault="00D11704" w:rsidP="00D11704">
      <w:pPr>
        <w:ind w:firstLine="0"/>
        <w:rPr>
          <w:rFonts w:ascii="Times New Roman" w:hAnsi="Times New Roman" w:cs="Times New Roman"/>
          <w:sz w:val="24"/>
          <w:szCs w:val="24"/>
        </w:rPr>
      </w:pPr>
    </w:p>
    <w:p w:rsidR="00EA1FC0" w:rsidRDefault="00EA1FC0" w:rsidP="00D11704">
      <w:pPr>
        <w:ind w:firstLine="0"/>
        <w:rPr>
          <w:rFonts w:ascii="Times New Roman" w:hAnsi="Times New Roman" w:cs="Times New Roman"/>
          <w:sz w:val="24"/>
          <w:szCs w:val="24"/>
        </w:rPr>
      </w:pPr>
    </w:p>
    <w:p w:rsidR="00EA1FC0" w:rsidRDefault="00EA1FC0" w:rsidP="00D11704">
      <w:pPr>
        <w:ind w:firstLine="0"/>
        <w:rPr>
          <w:rFonts w:ascii="Times New Roman" w:hAnsi="Times New Roman" w:cs="Times New Roman"/>
          <w:sz w:val="24"/>
          <w:szCs w:val="24"/>
        </w:rPr>
      </w:pPr>
    </w:p>
    <w:p w:rsidR="00EA1FC0" w:rsidRDefault="00EA1FC0" w:rsidP="00D11704">
      <w:pPr>
        <w:ind w:firstLine="0"/>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Pr="00EA1FC0" w:rsidRDefault="00D11704">
      <w:pPr>
        <w:spacing w:line="240" w:lineRule="auto"/>
        <w:ind w:firstLine="0"/>
        <w:jc w:val="left"/>
        <w:rPr>
          <w:rFonts w:ascii="Times New Roman" w:hAnsi="Times New Roman" w:cs="Times New Roman"/>
          <w:b/>
          <w:sz w:val="24"/>
          <w:szCs w:val="24"/>
        </w:rPr>
      </w:pPr>
      <w:r w:rsidRPr="00EA1FC0">
        <w:rPr>
          <w:rFonts w:ascii="Times New Roman" w:hAnsi="Times New Roman" w:cs="Times New Roman"/>
          <w:b/>
          <w:sz w:val="24"/>
          <w:szCs w:val="24"/>
        </w:rPr>
        <w:t>Abstract:</w:t>
      </w:r>
    </w:p>
    <w:p w:rsidR="00D11704" w:rsidRDefault="00D11704">
      <w:pPr>
        <w:spacing w:line="240" w:lineRule="auto"/>
        <w:ind w:firstLine="0"/>
        <w:jc w:val="left"/>
        <w:rPr>
          <w:rFonts w:ascii="Times New Roman" w:hAnsi="Times New Roman" w:cs="Times New Roman"/>
          <w:sz w:val="24"/>
          <w:szCs w:val="24"/>
        </w:rPr>
      </w:pPr>
    </w:p>
    <w:p w:rsidR="00D11704" w:rsidRPr="00682206" w:rsidRDefault="00D11704" w:rsidP="00D11704">
      <w:pPr>
        <w:autoSpaceDE w:val="0"/>
        <w:autoSpaceDN w:val="0"/>
        <w:adjustRightInd w:val="0"/>
        <w:spacing w:line="240" w:lineRule="auto"/>
        <w:ind w:firstLine="0"/>
        <w:rPr>
          <w:rFonts w:ascii="Arial" w:hAnsi="Arial" w:cs="Arial"/>
          <w:sz w:val="24"/>
          <w:szCs w:val="24"/>
        </w:rPr>
      </w:pPr>
      <w:r w:rsidRPr="00682206">
        <w:rPr>
          <w:rFonts w:ascii="Arial" w:hAnsi="Arial" w:cs="Arial"/>
          <w:sz w:val="24"/>
          <w:szCs w:val="24"/>
        </w:rPr>
        <w:t xml:space="preserve">The purpose of this study is to analyze the effect of debt equity ratio (DER), gross profit margin (GPM), net profit margin (NPM), Time Interest Earned (TIE) and current ratio (CR) </w:t>
      </w:r>
      <w:r w:rsidR="00EA1FC0" w:rsidRPr="00682206">
        <w:rPr>
          <w:rFonts w:ascii="Arial" w:hAnsi="Arial" w:cs="Arial"/>
          <w:sz w:val="24"/>
          <w:szCs w:val="24"/>
        </w:rPr>
        <w:t xml:space="preserve">to probability </w:t>
      </w:r>
      <w:r w:rsidRPr="00682206">
        <w:rPr>
          <w:rFonts w:ascii="Arial" w:hAnsi="Arial" w:cs="Arial"/>
          <w:sz w:val="24"/>
          <w:szCs w:val="24"/>
        </w:rPr>
        <w:t>bankruptcy</w:t>
      </w:r>
      <w:r w:rsidR="00EA1FC0" w:rsidRPr="00682206">
        <w:rPr>
          <w:rFonts w:ascii="Arial" w:hAnsi="Arial" w:cs="Arial"/>
          <w:sz w:val="24"/>
          <w:szCs w:val="24"/>
        </w:rPr>
        <w:t xml:space="preserve"> in Indonesia</w:t>
      </w:r>
      <w:r w:rsidR="00682206">
        <w:rPr>
          <w:rFonts w:ascii="Arial" w:hAnsi="Arial" w:cs="Arial"/>
          <w:sz w:val="24"/>
          <w:szCs w:val="24"/>
        </w:rPr>
        <w:t>’s</w:t>
      </w:r>
      <w:r w:rsidR="00EA1FC0" w:rsidRPr="00682206">
        <w:rPr>
          <w:rFonts w:ascii="Arial" w:hAnsi="Arial" w:cs="Arial"/>
          <w:sz w:val="24"/>
          <w:szCs w:val="24"/>
        </w:rPr>
        <w:t xml:space="preserve"> coal mining company for period 2016 to 2018</w:t>
      </w:r>
      <w:r w:rsidRPr="00682206">
        <w:rPr>
          <w:rFonts w:ascii="Arial" w:hAnsi="Arial" w:cs="Arial"/>
          <w:sz w:val="24"/>
          <w:szCs w:val="24"/>
        </w:rPr>
        <w:t>.</w:t>
      </w:r>
      <w:r w:rsidR="00EA1FC0" w:rsidRPr="00682206">
        <w:rPr>
          <w:rFonts w:ascii="Arial" w:hAnsi="Arial" w:cs="Arial"/>
          <w:sz w:val="24"/>
          <w:szCs w:val="24"/>
        </w:rPr>
        <w:t xml:space="preserve"> This research use model panel data to estimate coefficient model</w:t>
      </w:r>
      <w:r w:rsidRPr="00682206">
        <w:rPr>
          <w:rFonts w:ascii="Arial" w:hAnsi="Arial" w:cs="Arial"/>
          <w:sz w:val="24"/>
          <w:szCs w:val="24"/>
        </w:rPr>
        <w:t>. The results obtained</w:t>
      </w:r>
      <w:r w:rsidR="00EA1FC0" w:rsidRPr="00682206">
        <w:rPr>
          <w:rFonts w:ascii="Arial" w:hAnsi="Arial" w:cs="Arial"/>
          <w:sz w:val="24"/>
          <w:szCs w:val="24"/>
        </w:rPr>
        <w:t xml:space="preserve"> that</w:t>
      </w:r>
      <w:r w:rsidRPr="00682206">
        <w:rPr>
          <w:rFonts w:ascii="Arial" w:hAnsi="Arial" w:cs="Arial"/>
          <w:sz w:val="24"/>
          <w:szCs w:val="24"/>
        </w:rPr>
        <w:t xml:space="preserve"> gross profit margin, EBIT / Interest and Current Ratio have significant</w:t>
      </w:r>
      <w:r w:rsidR="00EA1FC0" w:rsidRPr="00682206">
        <w:rPr>
          <w:rFonts w:ascii="Arial" w:hAnsi="Arial" w:cs="Arial"/>
          <w:sz w:val="24"/>
          <w:szCs w:val="24"/>
        </w:rPr>
        <w:t>ly affecting probability bankruptcy.</w:t>
      </w:r>
      <w:r w:rsidRPr="00682206">
        <w:rPr>
          <w:rFonts w:ascii="Arial" w:hAnsi="Arial" w:cs="Arial"/>
          <w:sz w:val="24"/>
          <w:szCs w:val="24"/>
        </w:rPr>
        <w:t xml:space="preserve"> While the debt equity ratio and net profit margin </w:t>
      </w:r>
      <w:r w:rsidR="00EA1FC0" w:rsidRPr="00682206">
        <w:rPr>
          <w:rFonts w:ascii="Arial" w:hAnsi="Arial" w:cs="Arial"/>
          <w:sz w:val="24"/>
          <w:szCs w:val="24"/>
        </w:rPr>
        <w:t>did not have significant to affect</w:t>
      </w:r>
      <w:r w:rsidRPr="00682206">
        <w:rPr>
          <w:rFonts w:ascii="Arial" w:hAnsi="Arial" w:cs="Arial"/>
          <w:sz w:val="24"/>
          <w:szCs w:val="24"/>
        </w:rPr>
        <w:t xml:space="preserve"> the probability of bankruptcy </w:t>
      </w:r>
      <w:r w:rsidR="00EA1FC0" w:rsidRPr="00682206">
        <w:rPr>
          <w:rFonts w:ascii="Arial" w:hAnsi="Arial" w:cs="Arial"/>
          <w:sz w:val="24"/>
          <w:szCs w:val="24"/>
        </w:rPr>
        <w:t>in Indonesia</w:t>
      </w:r>
      <w:r w:rsidR="00685AAA">
        <w:rPr>
          <w:rFonts w:ascii="Arial" w:hAnsi="Arial" w:cs="Arial"/>
          <w:sz w:val="24"/>
          <w:szCs w:val="24"/>
        </w:rPr>
        <w:t>’s</w:t>
      </w:r>
      <w:bookmarkStart w:id="0" w:name="_GoBack"/>
      <w:bookmarkEnd w:id="0"/>
      <w:r w:rsidR="00EA1FC0" w:rsidRPr="00682206">
        <w:rPr>
          <w:rFonts w:ascii="Arial" w:hAnsi="Arial" w:cs="Arial"/>
          <w:sz w:val="24"/>
          <w:szCs w:val="24"/>
        </w:rPr>
        <w:t xml:space="preserve"> coal mining  company that </w:t>
      </w:r>
      <w:r w:rsidRPr="00682206">
        <w:rPr>
          <w:rFonts w:ascii="Arial" w:hAnsi="Arial" w:cs="Arial"/>
          <w:sz w:val="24"/>
          <w:szCs w:val="24"/>
        </w:rPr>
        <w:t>listed on the Indonesia Stock Exchange.</w:t>
      </w:r>
    </w:p>
    <w:p w:rsidR="00D11704" w:rsidRPr="00682206" w:rsidRDefault="00D11704" w:rsidP="00D11704">
      <w:pPr>
        <w:autoSpaceDE w:val="0"/>
        <w:autoSpaceDN w:val="0"/>
        <w:adjustRightInd w:val="0"/>
        <w:spacing w:line="240" w:lineRule="auto"/>
        <w:ind w:firstLine="0"/>
        <w:rPr>
          <w:rFonts w:ascii="Arial" w:hAnsi="Arial" w:cs="Arial"/>
          <w:i/>
          <w:sz w:val="24"/>
          <w:szCs w:val="24"/>
        </w:rPr>
      </w:pPr>
    </w:p>
    <w:p w:rsidR="00D11704" w:rsidRPr="00682206" w:rsidRDefault="00D11704" w:rsidP="00D11704">
      <w:pPr>
        <w:autoSpaceDE w:val="0"/>
        <w:autoSpaceDN w:val="0"/>
        <w:adjustRightInd w:val="0"/>
        <w:spacing w:line="240" w:lineRule="auto"/>
        <w:rPr>
          <w:rFonts w:ascii="Arial" w:hAnsi="Arial" w:cs="Arial"/>
          <w:i/>
          <w:sz w:val="14"/>
          <w:szCs w:val="24"/>
          <w:lang w:val="id-ID" w:eastAsia="id-ID"/>
        </w:rPr>
      </w:pPr>
    </w:p>
    <w:p w:rsidR="00D11704" w:rsidRPr="00682206" w:rsidRDefault="00D11704" w:rsidP="00D11704">
      <w:pPr>
        <w:spacing w:line="240" w:lineRule="auto"/>
        <w:ind w:firstLine="0"/>
        <w:rPr>
          <w:rFonts w:ascii="Arial" w:hAnsi="Arial" w:cs="Arial"/>
          <w:b/>
          <w:i/>
          <w:sz w:val="24"/>
          <w:szCs w:val="24"/>
        </w:rPr>
      </w:pPr>
      <w:r w:rsidRPr="00682206">
        <w:rPr>
          <w:rFonts w:ascii="Arial" w:hAnsi="Arial" w:cs="Arial"/>
          <w:b/>
          <w:sz w:val="24"/>
          <w:szCs w:val="24"/>
          <w:lang w:val="id-ID" w:eastAsia="id-ID"/>
        </w:rPr>
        <w:t>Keyword</w:t>
      </w:r>
      <w:r w:rsidRPr="00682206">
        <w:rPr>
          <w:rFonts w:ascii="Arial" w:hAnsi="Arial" w:cs="Arial"/>
          <w:sz w:val="24"/>
          <w:szCs w:val="24"/>
          <w:lang w:val="id-ID" w:eastAsia="id-ID"/>
        </w:rPr>
        <w:t>:</w:t>
      </w:r>
      <w:r w:rsidR="00EA1FC0" w:rsidRPr="00682206">
        <w:rPr>
          <w:rFonts w:ascii="Arial" w:hAnsi="Arial" w:cs="Arial"/>
          <w:b/>
          <w:i/>
          <w:sz w:val="24"/>
          <w:szCs w:val="24"/>
          <w:lang w:eastAsia="id-ID"/>
        </w:rPr>
        <w:t xml:space="preserve">  </w:t>
      </w:r>
      <w:r w:rsidRPr="00682206">
        <w:rPr>
          <w:rFonts w:ascii="Arial" w:hAnsi="Arial" w:cs="Arial"/>
          <w:iCs/>
          <w:sz w:val="24"/>
          <w:szCs w:val="24"/>
        </w:rPr>
        <w:t>debt equity ratio, gross profit margin, net profit margin, TIE, current ratio, probability default.</w:t>
      </w: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p>
    <w:p w:rsidR="00D11704" w:rsidRDefault="00D11704">
      <w:pP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br w:type="page"/>
      </w:r>
    </w:p>
    <w:p w:rsidR="00D11704" w:rsidRPr="00682206" w:rsidRDefault="00D11704" w:rsidP="00682206">
      <w:pPr>
        <w:spacing w:line="240" w:lineRule="auto"/>
        <w:ind w:firstLine="0"/>
        <w:jc w:val="center"/>
        <w:rPr>
          <w:rFonts w:ascii="Arial" w:hAnsi="Arial" w:cs="Arial"/>
          <w:b/>
          <w:sz w:val="24"/>
          <w:szCs w:val="24"/>
        </w:rPr>
      </w:pPr>
      <w:r w:rsidRPr="00682206">
        <w:rPr>
          <w:rFonts w:ascii="Arial" w:hAnsi="Arial" w:cs="Arial"/>
          <w:b/>
          <w:sz w:val="24"/>
          <w:szCs w:val="24"/>
        </w:rPr>
        <w:lastRenderedPageBreak/>
        <w:t xml:space="preserve">ANALYSIS OF THE EFFECT OF FINANCIAL RATIOS to PROBABILITY DEFAULT OF  </w:t>
      </w:r>
      <w:r w:rsidR="00682206">
        <w:rPr>
          <w:rFonts w:ascii="Arial" w:hAnsi="Arial" w:cs="Arial"/>
          <w:b/>
          <w:sz w:val="24"/>
          <w:szCs w:val="24"/>
        </w:rPr>
        <w:t xml:space="preserve">INDONESIA </w:t>
      </w:r>
      <w:r w:rsidRPr="00682206">
        <w:rPr>
          <w:rFonts w:ascii="Arial" w:hAnsi="Arial" w:cs="Arial"/>
          <w:b/>
          <w:sz w:val="24"/>
          <w:szCs w:val="24"/>
        </w:rPr>
        <w:t>COAL MINING COMPANY</w:t>
      </w:r>
    </w:p>
    <w:p w:rsidR="00D11704" w:rsidRPr="000B4256" w:rsidRDefault="00D11704" w:rsidP="00D11704">
      <w:pPr>
        <w:ind w:firstLine="0"/>
        <w:jc w:val="center"/>
        <w:rPr>
          <w:rFonts w:ascii="Times New Roman" w:hAnsi="Times New Roman" w:cs="Times New Roman"/>
          <w:sz w:val="24"/>
          <w:szCs w:val="24"/>
        </w:rPr>
      </w:pPr>
    </w:p>
    <w:p w:rsidR="003F2C1C" w:rsidRPr="00F24C97" w:rsidRDefault="002E79A8" w:rsidP="00D11704">
      <w:pPr>
        <w:pStyle w:val="Heading2"/>
        <w:numPr>
          <w:ilvl w:val="0"/>
          <w:numId w:val="0"/>
        </w:numPr>
        <w:ind w:left="720" w:hanging="720"/>
        <w:rPr>
          <w:sz w:val="24"/>
          <w:szCs w:val="24"/>
        </w:rPr>
      </w:pPr>
      <w:r w:rsidRPr="00F24C97">
        <w:rPr>
          <w:sz w:val="24"/>
          <w:szCs w:val="24"/>
        </w:rPr>
        <w:t>Background</w:t>
      </w:r>
    </w:p>
    <w:p w:rsidR="00143360" w:rsidRPr="00F24C97" w:rsidRDefault="006A11E9" w:rsidP="00170799">
      <w:pPr>
        <w:rPr>
          <w:rFonts w:ascii="Arial" w:eastAsia="Cambria" w:hAnsi="Arial" w:cs="Arial"/>
          <w:color w:val="000000"/>
          <w:sz w:val="24"/>
          <w:szCs w:val="24"/>
        </w:rPr>
      </w:pPr>
      <w:r w:rsidRPr="00F24C97">
        <w:rPr>
          <w:rFonts w:ascii="Arial" w:eastAsia="Cambria" w:hAnsi="Arial" w:cs="Arial"/>
          <w:color w:val="000000"/>
          <w:sz w:val="24"/>
          <w:szCs w:val="24"/>
        </w:rPr>
        <w:t>The phenomenon of fall</w:t>
      </w:r>
      <w:r w:rsidR="00392778" w:rsidRPr="00F24C97">
        <w:rPr>
          <w:rFonts w:ascii="Arial" w:eastAsia="Cambria" w:hAnsi="Arial" w:cs="Arial"/>
          <w:color w:val="000000"/>
          <w:sz w:val="24"/>
          <w:szCs w:val="24"/>
        </w:rPr>
        <w:t>ing coal prices in recent years</w:t>
      </w:r>
      <w:r w:rsidRPr="00F24C97">
        <w:rPr>
          <w:rFonts w:ascii="Arial" w:eastAsia="Cambria" w:hAnsi="Arial" w:cs="Arial"/>
          <w:color w:val="000000"/>
          <w:sz w:val="24"/>
          <w:szCs w:val="24"/>
        </w:rPr>
        <w:t xml:space="preserve"> has </w:t>
      </w:r>
      <w:r w:rsidR="00392778" w:rsidRPr="00F24C97">
        <w:rPr>
          <w:rFonts w:ascii="Arial" w:eastAsia="Cambria" w:hAnsi="Arial" w:cs="Arial"/>
          <w:color w:val="000000"/>
          <w:sz w:val="24"/>
          <w:szCs w:val="24"/>
        </w:rPr>
        <w:t xml:space="preserve">impact to </w:t>
      </w:r>
      <w:r w:rsidRPr="00F24C97">
        <w:rPr>
          <w:rFonts w:ascii="Arial" w:eastAsia="Cambria" w:hAnsi="Arial" w:cs="Arial"/>
          <w:color w:val="000000"/>
          <w:sz w:val="24"/>
          <w:szCs w:val="24"/>
        </w:rPr>
        <w:t>the business</w:t>
      </w:r>
      <w:r w:rsidR="00392778" w:rsidRPr="00F24C97">
        <w:rPr>
          <w:rFonts w:ascii="Arial" w:eastAsia="Cambria" w:hAnsi="Arial" w:cs="Arial"/>
          <w:color w:val="000000"/>
          <w:sz w:val="24"/>
          <w:szCs w:val="24"/>
        </w:rPr>
        <w:t xml:space="preserve"> to become </w:t>
      </w:r>
      <w:r w:rsidRPr="00F24C97">
        <w:rPr>
          <w:rFonts w:ascii="Arial" w:eastAsia="Cambria" w:hAnsi="Arial" w:cs="Arial"/>
          <w:color w:val="000000"/>
          <w:sz w:val="24"/>
          <w:szCs w:val="24"/>
        </w:rPr>
        <w:t xml:space="preserve">really down. </w:t>
      </w:r>
      <w:r w:rsidR="00392778" w:rsidRPr="00F24C97">
        <w:rPr>
          <w:rFonts w:ascii="Arial" w:eastAsia="Cambria" w:hAnsi="Arial" w:cs="Arial"/>
          <w:color w:val="000000"/>
          <w:sz w:val="24"/>
          <w:szCs w:val="24"/>
        </w:rPr>
        <w:t xml:space="preserve"> </w:t>
      </w:r>
      <w:r w:rsidRPr="00F24C97">
        <w:rPr>
          <w:rFonts w:ascii="Arial" w:eastAsia="Cambria" w:hAnsi="Arial" w:cs="Arial"/>
          <w:color w:val="000000"/>
          <w:sz w:val="24"/>
          <w:szCs w:val="24"/>
        </w:rPr>
        <w:t>Now</w:t>
      </w:r>
      <w:r w:rsidR="00143360" w:rsidRPr="00F24C97">
        <w:rPr>
          <w:rFonts w:ascii="Arial" w:eastAsia="Cambria" w:hAnsi="Arial" w:cs="Arial"/>
          <w:color w:val="000000"/>
          <w:sz w:val="24"/>
          <w:szCs w:val="24"/>
        </w:rPr>
        <w:t>,</w:t>
      </w:r>
      <w:r w:rsidRPr="00F24C97">
        <w:rPr>
          <w:rFonts w:ascii="Arial" w:eastAsia="Cambria" w:hAnsi="Arial" w:cs="Arial"/>
          <w:color w:val="000000"/>
          <w:sz w:val="24"/>
          <w:szCs w:val="24"/>
        </w:rPr>
        <w:t xml:space="preserve"> many coal mining companies </w:t>
      </w:r>
      <w:r w:rsidR="00603AC7" w:rsidRPr="00F24C97">
        <w:rPr>
          <w:rFonts w:ascii="Arial" w:eastAsia="Cambria" w:hAnsi="Arial" w:cs="Arial"/>
          <w:color w:val="000000"/>
          <w:sz w:val="24"/>
          <w:szCs w:val="24"/>
        </w:rPr>
        <w:t xml:space="preserve">do not choose </w:t>
      </w:r>
      <w:r w:rsidRPr="00F24C97">
        <w:rPr>
          <w:rFonts w:ascii="Arial" w:eastAsia="Cambria" w:hAnsi="Arial" w:cs="Arial"/>
          <w:color w:val="000000"/>
          <w:sz w:val="24"/>
          <w:szCs w:val="24"/>
        </w:rPr>
        <w:t xml:space="preserve">to operate rather than have to waste a lot of costs, but the margins </w:t>
      </w:r>
      <w:r w:rsidR="00392778" w:rsidRPr="00F24C97">
        <w:rPr>
          <w:rFonts w:ascii="Arial" w:eastAsia="Cambria" w:hAnsi="Arial" w:cs="Arial"/>
          <w:color w:val="000000"/>
          <w:sz w:val="24"/>
          <w:szCs w:val="24"/>
        </w:rPr>
        <w:t xml:space="preserve">is obtained </w:t>
      </w:r>
      <w:r w:rsidRPr="00F24C97">
        <w:rPr>
          <w:rFonts w:ascii="Arial" w:eastAsia="Cambria" w:hAnsi="Arial" w:cs="Arial"/>
          <w:color w:val="000000"/>
          <w:sz w:val="24"/>
          <w:szCs w:val="24"/>
        </w:rPr>
        <w:t>very thin</w:t>
      </w:r>
      <w:r w:rsidR="00143360" w:rsidRPr="00F24C97">
        <w:rPr>
          <w:rFonts w:ascii="Arial" w:eastAsia="Cambria" w:hAnsi="Arial" w:cs="Arial"/>
          <w:color w:val="000000"/>
          <w:sz w:val="24"/>
          <w:szCs w:val="24"/>
        </w:rPr>
        <w:t>.</w:t>
      </w:r>
      <w:r w:rsidR="00170799" w:rsidRPr="00F24C97">
        <w:rPr>
          <w:rFonts w:ascii="Arial" w:eastAsia="Cambria" w:hAnsi="Arial" w:cs="Arial"/>
          <w:color w:val="000000"/>
          <w:sz w:val="24"/>
          <w:szCs w:val="24"/>
        </w:rPr>
        <w:t xml:space="preserve">  </w:t>
      </w:r>
      <w:r w:rsidR="00143360" w:rsidRPr="00F24C97">
        <w:rPr>
          <w:rFonts w:ascii="Arial" w:eastAsia="Cambria" w:hAnsi="Arial" w:cs="Arial"/>
          <w:color w:val="000000"/>
          <w:sz w:val="24"/>
          <w:szCs w:val="24"/>
        </w:rPr>
        <w:t>During the heyday, the coal selling price (HBA) reached a figure above US $ 125 per metric ton. This HBA began in early 2006 until mid-2012, but when it entered the beginning of 2013, the price of coal on the international market dropped and until the end of 2015. The fallen of the HBA was sharply caused by the emergence of various negative impacts from the operation of coal mining companies that are nothing but environmental and air pollution which has caused much debate among residents around coal mines.</w:t>
      </w:r>
      <w:r w:rsidR="00B1445A" w:rsidRPr="00F24C97">
        <w:rPr>
          <w:rFonts w:ascii="Arial" w:eastAsia="Cambria" w:hAnsi="Arial" w:cs="Arial"/>
          <w:color w:val="000000"/>
          <w:sz w:val="24"/>
          <w:szCs w:val="24"/>
        </w:rPr>
        <w:t xml:space="preserve"> This impacted in many mining companies stopping their exploitation, and stock prices are falling down.</w:t>
      </w:r>
    </w:p>
    <w:p w:rsidR="00825B0B" w:rsidRPr="00F24C97" w:rsidRDefault="00825B0B" w:rsidP="002E79A8">
      <w:pPr>
        <w:rPr>
          <w:rFonts w:ascii="Arial" w:eastAsia="Cambria" w:hAnsi="Arial" w:cs="Arial"/>
          <w:color w:val="000000"/>
          <w:sz w:val="24"/>
          <w:szCs w:val="24"/>
        </w:rPr>
      </w:pPr>
      <w:r w:rsidRPr="00F24C97">
        <w:rPr>
          <w:rFonts w:ascii="Arial" w:eastAsia="Cambria" w:hAnsi="Arial" w:cs="Arial"/>
          <w:color w:val="000000"/>
          <w:sz w:val="24"/>
          <w:szCs w:val="24"/>
        </w:rPr>
        <w:t xml:space="preserve">As one of the main sectors driving the country's economy, weakening share prices in the mining sector may indicate lower expectations and investor confidence in the company's performance in the mining sector. </w:t>
      </w:r>
      <w:r w:rsidR="00170799" w:rsidRPr="00F24C97">
        <w:rPr>
          <w:rFonts w:ascii="Arial" w:eastAsia="Cambria" w:hAnsi="Arial" w:cs="Arial"/>
          <w:color w:val="000000"/>
          <w:sz w:val="24"/>
          <w:szCs w:val="24"/>
        </w:rPr>
        <w:t xml:space="preserve">  Some text book stated that </w:t>
      </w:r>
      <w:r w:rsidRPr="00F24C97">
        <w:rPr>
          <w:rFonts w:ascii="Arial" w:eastAsia="Cambria" w:hAnsi="Arial" w:cs="Arial"/>
          <w:color w:val="000000"/>
          <w:sz w:val="24"/>
          <w:szCs w:val="24"/>
        </w:rPr>
        <w:t xml:space="preserve">changes in stock prices are influenced by various factors, including the company's fundamental conditions, supply and demand law, interest rates, foreign exchange </w:t>
      </w:r>
      <w:r w:rsidR="00170799" w:rsidRPr="00F24C97">
        <w:rPr>
          <w:rFonts w:ascii="Arial" w:eastAsia="Cambria" w:hAnsi="Arial" w:cs="Arial"/>
          <w:color w:val="000000"/>
          <w:sz w:val="24"/>
          <w:szCs w:val="24"/>
        </w:rPr>
        <w:t>fluctuation</w:t>
      </w:r>
      <w:r w:rsidRPr="00F24C97">
        <w:rPr>
          <w:rFonts w:ascii="Arial" w:eastAsia="Cambria" w:hAnsi="Arial" w:cs="Arial"/>
          <w:color w:val="000000"/>
          <w:sz w:val="24"/>
          <w:szCs w:val="24"/>
        </w:rPr>
        <w:t>, foreign funds on the stock exchange, news and rumors, dividends, company profits, and other factors.</w:t>
      </w:r>
      <w:r w:rsidR="00170799" w:rsidRPr="00F24C97">
        <w:rPr>
          <w:rFonts w:ascii="Arial" w:eastAsia="Cambria" w:hAnsi="Arial" w:cs="Arial"/>
          <w:color w:val="000000"/>
          <w:sz w:val="24"/>
          <w:szCs w:val="24"/>
        </w:rPr>
        <w:t xml:space="preserve"> It could be stated that performance company affect by  fundamental or internal and external factor.  </w:t>
      </w:r>
    </w:p>
    <w:p w:rsidR="00F05BCB" w:rsidRPr="00F24C97" w:rsidRDefault="00825B0B" w:rsidP="002E79A8">
      <w:pPr>
        <w:ind w:firstLine="0"/>
        <w:rPr>
          <w:rFonts w:ascii="Arial" w:eastAsia="Cambria" w:hAnsi="Arial" w:cs="Arial"/>
          <w:color w:val="000000"/>
          <w:sz w:val="24"/>
          <w:szCs w:val="24"/>
        </w:rPr>
      </w:pPr>
      <w:r w:rsidRPr="00F24C97">
        <w:rPr>
          <w:rFonts w:ascii="Arial" w:eastAsia="Cambria" w:hAnsi="Arial" w:cs="Arial"/>
          <w:color w:val="000000"/>
          <w:sz w:val="24"/>
          <w:szCs w:val="24"/>
        </w:rPr>
        <w:t>While the fundamental factors are factors related to the company's performance itself. The fundamental fa</w:t>
      </w:r>
      <w:r w:rsidR="00E965F3" w:rsidRPr="00F24C97">
        <w:rPr>
          <w:rFonts w:ascii="Arial" w:eastAsia="Cambria" w:hAnsi="Arial" w:cs="Arial"/>
          <w:color w:val="000000"/>
          <w:sz w:val="24"/>
          <w:szCs w:val="24"/>
        </w:rPr>
        <w:t>ctor itself is a factor that could affect stock price movements,</w:t>
      </w:r>
      <w:r w:rsidRPr="00F24C97">
        <w:rPr>
          <w:rFonts w:ascii="Arial" w:eastAsia="Cambria" w:hAnsi="Arial" w:cs="Arial"/>
          <w:color w:val="000000"/>
          <w:sz w:val="24"/>
          <w:szCs w:val="24"/>
        </w:rPr>
        <w:t xml:space="preserve"> where one of the commonly </w:t>
      </w:r>
      <w:r w:rsidR="00E965F3" w:rsidRPr="00F24C97">
        <w:rPr>
          <w:rFonts w:ascii="Arial" w:eastAsia="Cambria" w:hAnsi="Arial" w:cs="Arial"/>
          <w:color w:val="000000"/>
          <w:sz w:val="24"/>
          <w:szCs w:val="24"/>
        </w:rPr>
        <w:t xml:space="preserve">is </w:t>
      </w:r>
      <w:r w:rsidRPr="00F24C97">
        <w:rPr>
          <w:rFonts w:ascii="Arial" w:eastAsia="Cambria" w:hAnsi="Arial" w:cs="Arial"/>
          <w:color w:val="000000"/>
          <w:sz w:val="24"/>
          <w:szCs w:val="24"/>
        </w:rPr>
        <w:t xml:space="preserve">used </w:t>
      </w:r>
      <w:r w:rsidR="00E965F3" w:rsidRPr="00F24C97">
        <w:rPr>
          <w:rFonts w:ascii="Arial" w:eastAsia="Cambria" w:hAnsi="Arial" w:cs="Arial"/>
          <w:color w:val="000000"/>
          <w:sz w:val="24"/>
          <w:szCs w:val="24"/>
        </w:rPr>
        <w:t xml:space="preserve">as </w:t>
      </w:r>
      <w:r w:rsidRPr="00F24C97">
        <w:rPr>
          <w:rFonts w:ascii="Arial" w:eastAsia="Cambria" w:hAnsi="Arial" w:cs="Arial"/>
          <w:color w:val="000000"/>
          <w:sz w:val="24"/>
          <w:szCs w:val="24"/>
        </w:rPr>
        <w:t xml:space="preserve">analysis tools </w:t>
      </w:r>
      <w:r w:rsidR="00E965F3" w:rsidRPr="00F24C97">
        <w:rPr>
          <w:rFonts w:ascii="Arial" w:eastAsia="Cambria" w:hAnsi="Arial" w:cs="Arial"/>
          <w:color w:val="000000"/>
          <w:sz w:val="24"/>
          <w:szCs w:val="24"/>
        </w:rPr>
        <w:t xml:space="preserve">to estimate stock price.  Fundamental factor include </w:t>
      </w:r>
      <w:r w:rsidRPr="00F24C97">
        <w:rPr>
          <w:rFonts w:ascii="Arial" w:eastAsia="Cambria" w:hAnsi="Arial" w:cs="Arial"/>
          <w:color w:val="000000"/>
          <w:sz w:val="24"/>
          <w:szCs w:val="24"/>
        </w:rPr>
        <w:t>financial ratios.</w:t>
      </w:r>
      <w:r w:rsidR="00062D23" w:rsidRPr="00F24C97">
        <w:rPr>
          <w:rFonts w:ascii="Arial" w:eastAsia="Cambria" w:hAnsi="Arial" w:cs="Arial"/>
          <w:color w:val="000000"/>
          <w:sz w:val="24"/>
          <w:szCs w:val="24"/>
        </w:rPr>
        <w:t xml:space="preserve"> </w:t>
      </w:r>
      <w:r w:rsidR="00E965F3" w:rsidRPr="00F24C97">
        <w:rPr>
          <w:rFonts w:ascii="Arial" w:eastAsia="Cambria" w:hAnsi="Arial" w:cs="Arial"/>
          <w:color w:val="000000"/>
          <w:sz w:val="24"/>
          <w:szCs w:val="24"/>
        </w:rPr>
        <w:t>Some analyst use t</w:t>
      </w:r>
      <w:r w:rsidR="00062D23" w:rsidRPr="00F24C97">
        <w:rPr>
          <w:rFonts w:ascii="Arial" w:eastAsia="Cambria" w:hAnsi="Arial" w:cs="Arial"/>
          <w:color w:val="000000"/>
          <w:sz w:val="24"/>
          <w:szCs w:val="24"/>
        </w:rPr>
        <w:t xml:space="preserve">his ratio </w:t>
      </w:r>
      <w:r w:rsidR="00E965F3" w:rsidRPr="00F24C97">
        <w:rPr>
          <w:rFonts w:ascii="Arial" w:eastAsia="Cambria" w:hAnsi="Arial" w:cs="Arial"/>
          <w:color w:val="000000"/>
          <w:sz w:val="24"/>
          <w:szCs w:val="24"/>
        </w:rPr>
        <w:t>to estimate the stock price in the market.  Financial ratios could</w:t>
      </w:r>
      <w:r w:rsidR="00062D23" w:rsidRPr="00F24C97">
        <w:rPr>
          <w:rFonts w:ascii="Arial" w:eastAsia="Cambria" w:hAnsi="Arial" w:cs="Arial"/>
          <w:color w:val="000000"/>
          <w:sz w:val="24"/>
          <w:szCs w:val="24"/>
        </w:rPr>
        <w:t xml:space="preserve"> include liquidity ratios, probabilities, and activities.</w:t>
      </w:r>
      <w:r w:rsidR="00062D23" w:rsidRPr="00F24C97">
        <w:rPr>
          <w:rFonts w:ascii="Arial" w:hAnsi="Arial" w:cs="Arial"/>
          <w:sz w:val="24"/>
          <w:szCs w:val="24"/>
        </w:rPr>
        <w:t xml:space="preserve"> </w:t>
      </w:r>
      <w:r w:rsidR="00062D23" w:rsidRPr="00F24C97">
        <w:rPr>
          <w:rFonts w:ascii="Arial" w:eastAsia="Cambria" w:hAnsi="Arial" w:cs="Arial"/>
          <w:color w:val="000000"/>
          <w:sz w:val="24"/>
          <w:szCs w:val="24"/>
        </w:rPr>
        <w:t>Therefore</w:t>
      </w:r>
      <w:r w:rsidR="00E965F3" w:rsidRPr="00F24C97">
        <w:rPr>
          <w:rFonts w:ascii="Arial" w:eastAsia="Cambria" w:hAnsi="Arial" w:cs="Arial"/>
          <w:color w:val="000000"/>
          <w:sz w:val="24"/>
          <w:szCs w:val="24"/>
        </w:rPr>
        <w:t xml:space="preserve">, </w:t>
      </w:r>
      <w:r w:rsidR="00062D23" w:rsidRPr="00F24C97">
        <w:rPr>
          <w:rFonts w:ascii="Arial" w:eastAsia="Cambria" w:hAnsi="Arial" w:cs="Arial"/>
          <w:color w:val="000000"/>
          <w:sz w:val="24"/>
          <w:szCs w:val="24"/>
        </w:rPr>
        <w:t xml:space="preserve">the financial performance will be examined </w:t>
      </w:r>
      <w:r w:rsidR="00E965F3" w:rsidRPr="00F24C97">
        <w:rPr>
          <w:rFonts w:ascii="Arial" w:eastAsia="Cambria" w:hAnsi="Arial" w:cs="Arial"/>
          <w:color w:val="000000"/>
          <w:sz w:val="24"/>
          <w:szCs w:val="24"/>
        </w:rPr>
        <w:t xml:space="preserve"> as a variable independent in this research.</w:t>
      </w:r>
      <w:r w:rsidR="00062D23" w:rsidRPr="00F24C97">
        <w:rPr>
          <w:rFonts w:ascii="Arial" w:eastAsia="Cambria" w:hAnsi="Arial" w:cs="Arial"/>
          <w:color w:val="000000"/>
          <w:sz w:val="24"/>
          <w:szCs w:val="24"/>
        </w:rPr>
        <w:t xml:space="preserve"> Profitability</w:t>
      </w:r>
      <w:r w:rsidR="00E965F3" w:rsidRPr="00F24C97">
        <w:rPr>
          <w:rFonts w:ascii="Arial" w:eastAsia="Cambria" w:hAnsi="Arial" w:cs="Arial"/>
          <w:color w:val="000000"/>
          <w:sz w:val="24"/>
          <w:szCs w:val="24"/>
        </w:rPr>
        <w:t xml:space="preserve"> ratio</w:t>
      </w:r>
      <w:r w:rsidR="00062D23" w:rsidRPr="00F24C97">
        <w:rPr>
          <w:rFonts w:ascii="Arial" w:eastAsia="Cambria" w:hAnsi="Arial" w:cs="Arial"/>
          <w:color w:val="000000"/>
          <w:sz w:val="24"/>
          <w:szCs w:val="24"/>
        </w:rPr>
        <w:t xml:space="preserve"> </w:t>
      </w:r>
      <w:r w:rsidR="00E965F3" w:rsidRPr="00F24C97">
        <w:rPr>
          <w:rFonts w:ascii="Arial" w:eastAsia="Cambria" w:hAnsi="Arial" w:cs="Arial"/>
          <w:color w:val="000000"/>
          <w:sz w:val="24"/>
          <w:szCs w:val="24"/>
        </w:rPr>
        <w:t>could be seen as</w:t>
      </w:r>
      <w:r w:rsidR="00062D23" w:rsidRPr="00F24C97">
        <w:rPr>
          <w:rFonts w:ascii="Arial" w:eastAsia="Cambria" w:hAnsi="Arial" w:cs="Arial"/>
          <w:color w:val="000000"/>
          <w:sz w:val="24"/>
          <w:szCs w:val="24"/>
        </w:rPr>
        <w:t xml:space="preserve"> the company's ability to generate profits by using company resources, such as assets, capital or sales</w:t>
      </w:r>
      <w:r w:rsidR="00E965F3" w:rsidRPr="00F24C97">
        <w:rPr>
          <w:rFonts w:ascii="Arial" w:eastAsia="Cambria" w:hAnsi="Arial" w:cs="Arial"/>
          <w:color w:val="000000"/>
          <w:sz w:val="24"/>
          <w:szCs w:val="24"/>
        </w:rPr>
        <w:t>.</w:t>
      </w:r>
    </w:p>
    <w:p w:rsidR="00825B0B" w:rsidRPr="00F24C97" w:rsidRDefault="00062D23" w:rsidP="002E79A8">
      <w:pPr>
        <w:ind w:firstLine="0"/>
        <w:rPr>
          <w:rFonts w:ascii="Arial" w:eastAsia="Cambria" w:hAnsi="Arial" w:cs="Arial"/>
          <w:color w:val="000000"/>
          <w:sz w:val="24"/>
          <w:szCs w:val="24"/>
        </w:rPr>
      </w:pPr>
      <w:r w:rsidRPr="00F24C97">
        <w:rPr>
          <w:rFonts w:ascii="Arial" w:eastAsia="Cambria" w:hAnsi="Arial" w:cs="Arial"/>
          <w:color w:val="000000"/>
          <w:sz w:val="24"/>
          <w:szCs w:val="24"/>
        </w:rPr>
        <w:lastRenderedPageBreak/>
        <w:t>Along with fluctuations in stock prices and uncertain HBAs, it has caused business players in the mining sector to submit various loans to banks to continue their business activities. In case for applying bank loan, of course, the main step to consider is to measure the risk of a company's failure to repay a loan. If the loan is not able to be paid, it will have implications that are very influential to the company. Losses that will arise include a decrease in equity and shareholders must deposit funds so that cash does not become negative. The risk of a company's failure can be viewed from three types of information, namely the company's financial statements, the market price of debt and equity, the fund's valuation assessment of the company's prospects and risks (Ceosbie and Bohn 2003). Referring to the risk o</w:t>
      </w:r>
      <w:r w:rsidR="00E965F3" w:rsidRPr="00F24C97">
        <w:rPr>
          <w:rFonts w:ascii="Arial" w:eastAsia="Cambria" w:hAnsi="Arial" w:cs="Arial"/>
          <w:color w:val="000000"/>
          <w:sz w:val="24"/>
          <w:szCs w:val="24"/>
        </w:rPr>
        <w:t>f failure, according to Beaver (</w:t>
      </w:r>
      <w:r w:rsidRPr="00F24C97">
        <w:rPr>
          <w:rFonts w:ascii="Arial" w:eastAsia="Cambria" w:hAnsi="Arial" w:cs="Arial"/>
          <w:color w:val="000000"/>
          <w:sz w:val="24"/>
          <w:szCs w:val="24"/>
        </w:rPr>
        <w:t>19</w:t>
      </w:r>
      <w:r w:rsidR="00E965F3" w:rsidRPr="00F24C97">
        <w:rPr>
          <w:rFonts w:ascii="Arial" w:eastAsia="Cambria" w:hAnsi="Arial" w:cs="Arial"/>
          <w:color w:val="000000"/>
          <w:sz w:val="24"/>
          <w:szCs w:val="24"/>
        </w:rPr>
        <w:t>6</w:t>
      </w:r>
      <w:r w:rsidRPr="00F24C97">
        <w:rPr>
          <w:rFonts w:ascii="Arial" w:eastAsia="Cambria" w:hAnsi="Arial" w:cs="Arial"/>
          <w:color w:val="000000"/>
          <w:sz w:val="24"/>
          <w:szCs w:val="24"/>
        </w:rPr>
        <w:t>6) failure risk measurement can use the Univariate model using financial ratios. Furthermore, Altman (1968) uses a discriminant model to classify companies that fail or are able to pay debts called the Altman’s Z-Score Model. Based on the description above, the researcher is interested in researching about the probability of default, using the Merton model and developing the model, which researcher using to gainst coal mining companies whose shares were transacted on the Indonesia Stock Exchange (IDX) during the last 6 years, 2013-2018.</w:t>
      </w:r>
      <w:r w:rsidR="00BF0CDC" w:rsidRPr="00F24C97">
        <w:rPr>
          <w:rFonts w:ascii="Arial" w:eastAsia="Cambria" w:hAnsi="Arial" w:cs="Arial"/>
          <w:color w:val="000000"/>
          <w:sz w:val="24"/>
          <w:szCs w:val="24"/>
        </w:rPr>
        <w:t xml:space="preserve"> This study aims to determine the performance of the company in paying its receivables, and determine estimates if there is a default probability on the company that can cause bankruptcy. In addition, to find out what ratios are the most influential in the coal company default probability.</w:t>
      </w:r>
    </w:p>
    <w:p w:rsidR="00D11704" w:rsidRPr="00F24C97" w:rsidRDefault="00D11704" w:rsidP="002E79A8">
      <w:pPr>
        <w:ind w:firstLine="0"/>
        <w:rPr>
          <w:rFonts w:ascii="Arial" w:eastAsia="Cambria" w:hAnsi="Arial" w:cs="Arial"/>
          <w:color w:val="000000"/>
          <w:sz w:val="24"/>
          <w:szCs w:val="24"/>
        </w:rPr>
      </w:pPr>
    </w:p>
    <w:p w:rsidR="00BF0CDC" w:rsidRPr="00F24C97" w:rsidRDefault="00BF0CDC" w:rsidP="00D11704">
      <w:pPr>
        <w:pStyle w:val="Heading2"/>
        <w:numPr>
          <w:ilvl w:val="0"/>
          <w:numId w:val="0"/>
        </w:numPr>
        <w:ind w:left="720" w:hanging="720"/>
        <w:rPr>
          <w:sz w:val="24"/>
          <w:szCs w:val="24"/>
        </w:rPr>
      </w:pPr>
      <w:r w:rsidRPr="00F24C97">
        <w:rPr>
          <w:sz w:val="24"/>
          <w:szCs w:val="24"/>
        </w:rPr>
        <w:t>T</w:t>
      </w:r>
      <w:r w:rsidR="00D11704" w:rsidRPr="00F24C97">
        <w:rPr>
          <w:sz w:val="24"/>
          <w:szCs w:val="24"/>
        </w:rPr>
        <w:t>heoretical Review</w:t>
      </w:r>
    </w:p>
    <w:p w:rsidR="00BF0CDC" w:rsidRPr="00F24C97" w:rsidRDefault="00BF0CDC" w:rsidP="002E79A8">
      <w:pPr>
        <w:rPr>
          <w:rFonts w:ascii="Arial" w:hAnsi="Arial" w:cs="Arial"/>
          <w:sz w:val="24"/>
          <w:szCs w:val="24"/>
        </w:rPr>
      </w:pPr>
      <w:r w:rsidRPr="00F24C97">
        <w:rPr>
          <w:rFonts w:ascii="Arial" w:hAnsi="Arial" w:cs="Arial"/>
          <w:sz w:val="24"/>
          <w:szCs w:val="24"/>
        </w:rPr>
        <w:t xml:space="preserve">In empirical research, financial difficulties are sometimes difficult to define. Such difficulties can range from liquidity problems (short-term), which are the lightest financial difficulties, to the bankruptcy </w:t>
      </w:r>
      <w:r w:rsidR="00E425E5" w:rsidRPr="00F24C97">
        <w:rPr>
          <w:rFonts w:ascii="Arial" w:hAnsi="Arial" w:cs="Arial"/>
          <w:sz w:val="24"/>
          <w:szCs w:val="24"/>
        </w:rPr>
        <w:t>problem</w:t>
      </w:r>
      <w:r w:rsidRPr="00F24C97">
        <w:rPr>
          <w:rFonts w:ascii="Arial" w:hAnsi="Arial" w:cs="Arial"/>
          <w:sz w:val="24"/>
          <w:szCs w:val="24"/>
        </w:rPr>
        <w:t xml:space="preserve"> which is the most severe difficulty. So that financial difficulties can be seen with a fairly long span of time, ranging from the mild to the most severe. The internal factors in business sector bankruptcy consist of financial and non-financial factors originating from within the company itself. Financial factors include too much debt and inadequate capital. The non-financial factors that influence are management quality factors</w:t>
      </w:r>
      <w:r w:rsidR="001B4D0F" w:rsidRPr="00F24C97">
        <w:rPr>
          <w:rFonts w:ascii="Arial" w:hAnsi="Arial" w:cs="Arial"/>
          <w:sz w:val="24"/>
          <w:szCs w:val="24"/>
        </w:rPr>
        <w:t xml:space="preserve">. </w:t>
      </w:r>
      <w:r w:rsidR="001B4D0F" w:rsidRPr="00F24C97">
        <w:rPr>
          <w:rFonts w:ascii="Arial" w:hAnsi="Arial" w:cs="Arial"/>
          <w:sz w:val="24"/>
          <w:szCs w:val="24"/>
        </w:rPr>
        <w:lastRenderedPageBreak/>
        <w:t>The company going bankrupt is defined as a condition where the results of the company's operations are not enough to meet the company's obligations (Insolvency).</w:t>
      </w:r>
    </w:p>
    <w:p w:rsidR="00BF0CDC" w:rsidRPr="00F24C97" w:rsidRDefault="001B4D0F" w:rsidP="002E79A8">
      <w:pPr>
        <w:rPr>
          <w:rFonts w:ascii="Arial" w:hAnsi="Arial" w:cs="Arial"/>
          <w:sz w:val="24"/>
          <w:szCs w:val="24"/>
        </w:rPr>
      </w:pPr>
      <w:r w:rsidRPr="00F24C97">
        <w:rPr>
          <w:rFonts w:ascii="Arial" w:hAnsi="Arial" w:cs="Arial"/>
          <w:sz w:val="24"/>
          <w:szCs w:val="24"/>
        </w:rPr>
        <w:t>The prediction of a company's financial strength is generally carried out by external parties, such as investors, creditors, auditors, the government, and company owners. External parties usually react to distress signals, such as shipping delays, product quality problems, bank bills, etc., to indicate financial distress experienced by the company. Models to anticipate the existence of financial distress need to be developed, because this model can be used as a means to identify even to improve conditions before they arrive at a crisis. Companies that experiences to financial distress can resolve their problems informally or under court supervision</w:t>
      </w:r>
      <w:r w:rsidR="0023594E" w:rsidRPr="00F24C97">
        <w:rPr>
          <w:rFonts w:ascii="Arial" w:hAnsi="Arial" w:cs="Arial"/>
          <w:sz w:val="24"/>
          <w:szCs w:val="24"/>
        </w:rPr>
        <w:t xml:space="preserve">. </w:t>
      </w:r>
      <w:r w:rsidR="006E0803" w:rsidRPr="00F24C97">
        <w:rPr>
          <w:rFonts w:ascii="Arial" w:hAnsi="Arial" w:cs="Arial"/>
          <w:sz w:val="24"/>
          <w:szCs w:val="24"/>
        </w:rPr>
        <w:t xml:space="preserve">Discussion Bankruptcy should know about Economic Failure, Business Failure and Technical Insolvency and Legal Bankruptcy. </w:t>
      </w:r>
      <w:r w:rsidRPr="00F24C97">
        <w:rPr>
          <w:rFonts w:ascii="Arial" w:hAnsi="Arial" w:cs="Arial"/>
          <w:sz w:val="24"/>
          <w:szCs w:val="24"/>
        </w:rPr>
        <w:t xml:space="preserve"> </w:t>
      </w:r>
      <w:r w:rsidRPr="00F24C97">
        <w:rPr>
          <w:rFonts w:ascii="Arial" w:hAnsi="Arial" w:cs="Arial"/>
          <w:b/>
          <w:i/>
          <w:sz w:val="24"/>
          <w:szCs w:val="24"/>
        </w:rPr>
        <w:t>Economic failure</w:t>
      </w:r>
      <w:r w:rsidRPr="00F24C97">
        <w:rPr>
          <w:rFonts w:ascii="Arial" w:hAnsi="Arial" w:cs="Arial"/>
          <w:sz w:val="24"/>
          <w:szCs w:val="24"/>
        </w:rPr>
        <w:t xml:space="preserve">, which means that the company's revenue cannot cover the total cost, including the cost of capital. </w:t>
      </w:r>
      <w:r w:rsidRPr="00F24C97">
        <w:rPr>
          <w:rFonts w:ascii="Arial" w:hAnsi="Arial" w:cs="Arial"/>
          <w:b/>
          <w:i/>
          <w:sz w:val="24"/>
          <w:szCs w:val="24"/>
        </w:rPr>
        <w:t>Business failure</w:t>
      </w:r>
      <w:r w:rsidRPr="00F24C97">
        <w:rPr>
          <w:rFonts w:ascii="Arial" w:hAnsi="Arial" w:cs="Arial"/>
          <w:sz w:val="24"/>
          <w:szCs w:val="24"/>
        </w:rPr>
        <w:t xml:space="preserve"> is used by Dun &amp; Bradstreet, who is the main collector of failure statistics, to define a business that has stopped its operations by leaving losses to its creditors</w:t>
      </w:r>
      <w:r w:rsidR="00D256B0" w:rsidRPr="00F24C97">
        <w:rPr>
          <w:rFonts w:ascii="Arial" w:hAnsi="Arial" w:cs="Arial"/>
          <w:sz w:val="24"/>
          <w:szCs w:val="24"/>
        </w:rPr>
        <w:t xml:space="preserve">. </w:t>
      </w:r>
      <w:r w:rsidR="00D256B0" w:rsidRPr="00F24C97">
        <w:rPr>
          <w:rFonts w:ascii="Arial" w:hAnsi="Arial" w:cs="Arial"/>
          <w:b/>
          <w:i/>
          <w:sz w:val="24"/>
          <w:szCs w:val="24"/>
        </w:rPr>
        <w:t>Technical insolvency</w:t>
      </w:r>
      <w:r w:rsidR="00D256B0" w:rsidRPr="00F24C97">
        <w:rPr>
          <w:rFonts w:ascii="Arial" w:hAnsi="Arial" w:cs="Arial"/>
          <w:sz w:val="24"/>
          <w:szCs w:val="24"/>
        </w:rPr>
        <w:t xml:space="preserve"> is a condition where a company is considered as a company that experiences technical insolvency if the company cannot fulfill its short-term obligations that are due. Its could indicates a temporary lack of liquidity, where if given a grace period, a company experiencing technical insolvency may be able to increase cash cash, pay its obligations, and be able to survive.</w:t>
      </w:r>
      <w:r w:rsidR="009F66A6" w:rsidRPr="00F24C97">
        <w:rPr>
          <w:rFonts w:ascii="Arial" w:hAnsi="Arial" w:cs="Arial"/>
          <w:sz w:val="24"/>
          <w:szCs w:val="24"/>
        </w:rPr>
        <w:t xml:space="preserve"> </w:t>
      </w:r>
      <w:r w:rsidR="009F66A6" w:rsidRPr="00F24C97">
        <w:rPr>
          <w:rFonts w:ascii="Arial" w:hAnsi="Arial" w:cs="Arial"/>
          <w:b/>
          <w:i/>
          <w:sz w:val="24"/>
          <w:szCs w:val="24"/>
        </w:rPr>
        <w:t>Insolvency in bankruptcy</w:t>
      </w:r>
      <w:r w:rsidR="009F66A6" w:rsidRPr="00F24C97">
        <w:rPr>
          <w:rFonts w:ascii="Arial" w:hAnsi="Arial" w:cs="Arial"/>
          <w:sz w:val="24"/>
          <w:szCs w:val="24"/>
        </w:rPr>
        <w:t xml:space="preserve">. It is a situation where the book value of a company's total liabilities exceeds the actual market value of its assets. This is a more serious condition than technical insolvency because in general this is a sign of economic failure, and this often results in business liquidation. </w:t>
      </w:r>
      <w:r w:rsidR="009F66A6" w:rsidRPr="00F24C97">
        <w:rPr>
          <w:rFonts w:ascii="Arial" w:hAnsi="Arial" w:cs="Arial"/>
          <w:b/>
          <w:i/>
          <w:sz w:val="24"/>
          <w:szCs w:val="24"/>
        </w:rPr>
        <w:t>Legal bankruptcy</w:t>
      </w:r>
      <w:r w:rsidR="009F66A6" w:rsidRPr="00F24C97">
        <w:rPr>
          <w:rFonts w:ascii="Arial" w:hAnsi="Arial" w:cs="Arial"/>
          <w:sz w:val="24"/>
          <w:szCs w:val="24"/>
        </w:rPr>
        <w:t>. Although many people use the term bankruptcy to refer to a company that has failed, a company is not legally bankrupt unless the company has been declared bankrupt by applicable law</w:t>
      </w:r>
      <w:r w:rsidR="00D8093C" w:rsidRPr="00F24C97">
        <w:rPr>
          <w:rFonts w:ascii="Arial" w:hAnsi="Arial" w:cs="Arial"/>
          <w:sz w:val="24"/>
          <w:szCs w:val="24"/>
        </w:rPr>
        <w:t>.</w:t>
      </w:r>
    </w:p>
    <w:p w:rsidR="00550C89" w:rsidRPr="00F24C97" w:rsidRDefault="00550C89" w:rsidP="00603AC7">
      <w:pPr>
        <w:rPr>
          <w:rFonts w:ascii="Arial" w:hAnsi="Arial" w:cs="Arial"/>
          <w:sz w:val="24"/>
          <w:szCs w:val="24"/>
        </w:rPr>
      </w:pPr>
      <w:r w:rsidRPr="00F24C97">
        <w:rPr>
          <w:rFonts w:ascii="Arial" w:hAnsi="Arial" w:cs="Arial"/>
          <w:sz w:val="24"/>
          <w:szCs w:val="24"/>
        </w:rPr>
        <w:t xml:space="preserve">In the accounting literature, academics or researchers often conduct research with the aim of predicting a situation using historical data, usually financial statements. They observe financial statements for several years and try </w:t>
      </w:r>
      <w:r w:rsidRPr="00F24C97">
        <w:rPr>
          <w:rFonts w:ascii="Arial" w:hAnsi="Arial" w:cs="Arial"/>
          <w:sz w:val="24"/>
          <w:szCs w:val="24"/>
        </w:rPr>
        <w:lastRenderedPageBreak/>
        <w:t xml:space="preserve">to see the specific phenomena in them and then draw conclusions in the form of prediction models. </w:t>
      </w:r>
    </w:p>
    <w:p w:rsidR="00550C89" w:rsidRPr="00F24C97" w:rsidRDefault="00550C89" w:rsidP="002E79A8">
      <w:pPr>
        <w:rPr>
          <w:rFonts w:ascii="Arial" w:hAnsi="Arial" w:cs="Arial"/>
          <w:sz w:val="24"/>
          <w:szCs w:val="24"/>
        </w:rPr>
      </w:pPr>
    </w:p>
    <w:p w:rsidR="00C864EB" w:rsidRPr="00F24C97" w:rsidRDefault="00C864EB" w:rsidP="002E79A8">
      <w:pPr>
        <w:ind w:firstLine="0"/>
        <w:rPr>
          <w:rFonts w:ascii="Arial" w:hAnsi="Arial" w:cs="Arial"/>
          <w:b/>
          <w:color w:val="222222"/>
          <w:sz w:val="24"/>
          <w:szCs w:val="24"/>
          <w:shd w:val="clear" w:color="auto" w:fill="F8F9FA"/>
        </w:rPr>
      </w:pPr>
      <w:r w:rsidRPr="00F24C97">
        <w:rPr>
          <w:rFonts w:ascii="Arial" w:hAnsi="Arial" w:cs="Arial"/>
          <w:b/>
          <w:color w:val="222222"/>
          <w:sz w:val="24"/>
          <w:szCs w:val="24"/>
          <w:shd w:val="clear" w:color="auto" w:fill="F8F9FA"/>
        </w:rPr>
        <w:t>Pr</w:t>
      </w:r>
      <w:r w:rsidR="00D11704" w:rsidRPr="00F24C97">
        <w:rPr>
          <w:rFonts w:ascii="Arial" w:hAnsi="Arial" w:cs="Arial"/>
          <w:b/>
          <w:color w:val="222222"/>
          <w:sz w:val="24"/>
          <w:szCs w:val="24"/>
          <w:shd w:val="clear" w:color="auto" w:fill="F8F9FA"/>
        </w:rPr>
        <w:t xml:space="preserve">evious </w:t>
      </w:r>
      <w:r w:rsidRPr="00F24C97">
        <w:rPr>
          <w:rFonts w:ascii="Arial" w:hAnsi="Arial" w:cs="Arial"/>
          <w:b/>
          <w:color w:val="222222"/>
          <w:sz w:val="24"/>
          <w:szCs w:val="24"/>
          <w:shd w:val="clear" w:color="auto" w:fill="F8F9FA"/>
        </w:rPr>
        <w:t>Research</w:t>
      </w:r>
    </w:p>
    <w:p w:rsidR="00C864EB" w:rsidRPr="00F24C97" w:rsidRDefault="00C864EB" w:rsidP="002E79A8">
      <w:pPr>
        <w:ind w:firstLine="0"/>
        <w:rPr>
          <w:rFonts w:ascii="Arial" w:hAnsi="Arial" w:cs="Arial"/>
          <w:sz w:val="24"/>
          <w:szCs w:val="24"/>
        </w:rPr>
      </w:pPr>
      <w:r w:rsidRPr="00F24C97">
        <w:rPr>
          <w:rFonts w:ascii="Arial" w:hAnsi="Arial" w:cs="Arial"/>
          <w:sz w:val="24"/>
          <w:szCs w:val="24"/>
        </w:rPr>
        <w:t>Research on measuring the possibility of bankruptcy has been widely carried out. Summary The measurement of failure risk was started by Beaver (1966) using the Univariate model that uses financial ratios. Furthermore, Altman (1968) used a discriminant model to classify companies that failed or were able to pay debts known as the Altman’s Z-Score Model.</w:t>
      </w:r>
    </w:p>
    <w:p w:rsidR="00C864EB" w:rsidRPr="00F24C97" w:rsidRDefault="00C864EB" w:rsidP="002E79A8">
      <w:pPr>
        <w:ind w:firstLine="0"/>
        <w:rPr>
          <w:rFonts w:ascii="Arial" w:hAnsi="Arial" w:cs="Arial"/>
          <w:sz w:val="24"/>
          <w:szCs w:val="24"/>
        </w:rPr>
      </w:pPr>
      <w:r w:rsidRPr="00F24C97">
        <w:rPr>
          <w:rFonts w:ascii="Arial" w:hAnsi="Arial" w:cs="Arial"/>
          <w:sz w:val="24"/>
          <w:szCs w:val="24"/>
        </w:rPr>
        <w:t>Merton (1974) introduces the failure model with the Black-Scholes Model modification of option prices. Merton stated that the failure of the company can be estimated by using indicators of total assets, equity and corporate debt. Increasing debt and lack of assets unable to repay the debt resulted in companies failing to repay the debt. The Merton model was modified by KMV so that the company's failure mode was known as the KMV Model. The model is based on the modification of the Black-Scholes-Merton framework that the default conditions are considered to be able to occur at any time and are not necessary when the obligations are due. This Merton KMV model calculates Expected Default Frequency (EDF), which is the probability of failure during the coming years or years for companies whose shares are traded.</w:t>
      </w:r>
    </w:p>
    <w:p w:rsidR="006E0803" w:rsidRPr="006E0803" w:rsidRDefault="00E66342" w:rsidP="002E79A8">
      <w:pPr>
        <w:rPr>
          <w:rFonts w:ascii="Arial" w:eastAsia="Cambria" w:hAnsi="Arial" w:cs="Arial"/>
          <w:color w:val="000000"/>
          <w:sz w:val="24"/>
          <w:szCs w:val="24"/>
        </w:rPr>
      </w:pPr>
      <w:r w:rsidRPr="006E0803">
        <w:rPr>
          <w:rFonts w:ascii="Arial" w:eastAsia="Cambria" w:hAnsi="Arial" w:cs="Arial"/>
          <w:color w:val="000000"/>
          <w:sz w:val="24"/>
          <w:szCs w:val="24"/>
        </w:rPr>
        <w:t>Manurung (2008</w:t>
      </w:r>
      <w:r w:rsidR="00C864EB" w:rsidRPr="006E0803">
        <w:rPr>
          <w:rFonts w:ascii="Arial" w:eastAsia="Cambria" w:hAnsi="Arial" w:cs="Arial"/>
          <w:color w:val="000000"/>
          <w:sz w:val="24"/>
          <w:szCs w:val="24"/>
        </w:rPr>
        <w:t xml:space="preserve">) conducted a study of </w:t>
      </w:r>
      <w:r w:rsidRPr="006E0803">
        <w:rPr>
          <w:rFonts w:ascii="Arial" w:eastAsia="Cambria" w:hAnsi="Arial" w:cs="Arial"/>
          <w:color w:val="000000"/>
          <w:sz w:val="24"/>
          <w:szCs w:val="24"/>
        </w:rPr>
        <w:t xml:space="preserve">listed </w:t>
      </w:r>
      <w:r w:rsidR="00C864EB" w:rsidRPr="006E0803">
        <w:rPr>
          <w:rFonts w:ascii="Arial" w:eastAsia="Cambria" w:hAnsi="Arial" w:cs="Arial"/>
          <w:color w:val="000000"/>
          <w:sz w:val="24"/>
          <w:szCs w:val="24"/>
        </w:rPr>
        <w:t>companies in LQ 45 that were considered to have described the development of the stock market as a whole. With the results of banks having a higher default probability compared to c</w:t>
      </w:r>
      <w:r w:rsidR="006E0803" w:rsidRPr="006E0803">
        <w:rPr>
          <w:rFonts w:ascii="Arial" w:eastAsia="Cambria" w:hAnsi="Arial" w:cs="Arial"/>
          <w:color w:val="000000"/>
          <w:sz w:val="24"/>
          <w:szCs w:val="24"/>
        </w:rPr>
        <w:t>ompanies in other industries. Purn</w:t>
      </w:r>
      <w:r w:rsidR="00C864EB" w:rsidRPr="006E0803">
        <w:rPr>
          <w:rFonts w:ascii="Arial" w:eastAsia="Cambria" w:hAnsi="Arial" w:cs="Arial"/>
          <w:color w:val="000000"/>
          <w:sz w:val="24"/>
          <w:szCs w:val="24"/>
        </w:rPr>
        <w:t>amawati (2</w:t>
      </w:r>
      <w:r w:rsidR="006E0803" w:rsidRPr="006E0803">
        <w:rPr>
          <w:rFonts w:ascii="Arial" w:eastAsia="Cambria" w:hAnsi="Arial" w:cs="Arial"/>
          <w:color w:val="000000"/>
          <w:sz w:val="24"/>
          <w:szCs w:val="24"/>
        </w:rPr>
        <w:t>014</w:t>
      </w:r>
      <w:r w:rsidR="00C864EB" w:rsidRPr="006E0803">
        <w:rPr>
          <w:rFonts w:ascii="Arial" w:eastAsia="Cambria" w:hAnsi="Arial" w:cs="Arial"/>
          <w:color w:val="000000"/>
          <w:sz w:val="24"/>
          <w:szCs w:val="24"/>
        </w:rPr>
        <w:t xml:space="preserve">) </w:t>
      </w:r>
      <w:r w:rsidR="006E0803" w:rsidRPr="006E0803">
        <w:rPr>
          <w:rFonts w:ascii="Arial" w:eastAsia="Cambria" w:hAnsi="Arial" w:cs="Arial"/>
          <w:color w:val="000000"/>
          <w:sz w:val="24"/>
          <w:szCs w:val="24"/>
        </w:rPr>
        <w:t>studied comparative performance analysis of ASEAN Bank after Global Crises.</w:t>
      </w:r>
      <w:r w:rsidR="006E0803" w:rsidRPr="006E0803">
        <w:rPr>
          <w:rFonts w:ascii="Arial" w:hAnsi="Arial" w:cs="Arial"/>
          <w:sz w:val="24"/>
          <w:szCs w:val="24"/>
        </w:rPr>
        <w:t xml:space="preserve"> The research found that t</w:t>
      </w:r>
      <w:r w:rsidR="006E0803" w:rsidRPr="006E0803">
        <w:rPr>
          <w:rFonts w:ascii="Arial" w:eastAsia="Cambria" w:hAnsi="Arial" w:cs="Arial"/>
          <w:color w:val="000000"/>
          <w:sz w:val="24"/>
          <w:szCs w:val="24"/>
        </w:rPr>
        <w:t xml:space="preserve">here were significant differences of indicators ROA, ROE and LDR in the financial performance of banks in Indonesia, Thailand and Malaysia; (2) There was no difference of CAR indicator in banking finance in Indonesia, Thailand and Malaysia. </w:t>
      </w:r>
    </w:p>
    <w:p w:rsidR="00C864EB" w:rsidRPr="00F24C97" w:rsidRDefault="00C864EB" w:rsidP="002E79A8">
      <w:pPr>
        <w:rPr>
          <w:rFonts w:ascii="Arial" w:eastAsia="Cambria" w:hAnsi="Arial" w:cs="Arial"/>
          <w:color w:val="000000"/>
          <w:sz w:val="24"/>
          <w:szCs w:val="24"/>
        </w:rPr>
      </w:pPr>
      <w:r w:rsidRPr="00F24C97">
        <w:rPr>
          <w:rFonts w:ascii="Arial" w:eastAsia="Cambria" w:hAnsi="Arial" w:cs="Arial"/>
          <w:color w:val="000000"/>
          <w:sz w:val="24"/>
          <w:szCs w:val="24"/>
        </w:rPr>
        <w:t xml:space="preserve">Wu </w:t>
      </w:r>
      <w:r w:rsidR="00957F7A" w:rsidRPr="00F24C97">
        <w:rPr>
          <w:rFonts w:ascii="Arial" w:eastAsia="Cambria" w:hAnsi="Arial" w:cs="Arial"/>
          <w:color w:val="000000"/>
          <w:sz w:val="24"/>
          <w:szCs w:val="24"/>
        </w:rPr>
        <w:t xml:space="preserve">and </w:t>
      </w:r>
      <w:r w:rsidR="00E66342" w:rsidRPr="00F24C97">
        <w:rPr>
          <w:rFonts w:ascii="Arial" w:eastAsia="Cambria" w:hAnsi="Arial" w:cs="Arial"/>
          <w:color w:val="000000"/>
          <w:sz w:val="24"/>
          <w:szCs w:val="24"/>
        </w:rPr>
        <w:t xml:space="preserve">Elango </w:t>
      </w:r>
      <w:r w:rsidRPr="00F24C97">
        <w:rPr>
          <w:rFonts w:ascii="Arial" w:eastAsia="Cambria" w:hAnsi="Arial" w:cs="Arial"/>
          <w:color w:val="000000"/>
          <w:sz w:val="24"/>
          <w:szCs w:val="24"/>
        </w:rPr>
        <w:t>(201</w:t>
      </w:r>
      <w:r w:rsidR="00957F7A" w:rsidRPr="00F24C97">
        <w:rPr>
          <w:rFonts w:ascii="Arial" w:eastAsia="Cambria" w:hAnsi="Arial" w:cs="Arial"/>
          <w:color w:val="000000"/>
          <w:sz w:val="24"/>
          <w:szCs w:val="24"/>
        </w:rPr>
        <w:t xml:space="preserve">9) investigated  Corporate Default and </w:t>
      </w:r>
      <w:r w:rsidRPr="00F24C97">
        <w:rPr>
          <w:rFonts w:ascii="Arial" w:eastAsia="Cambria" w:hAnsi="Arial" w:cs="Arial"/>
          <w:color w:val="000000"/>
          <w:sz w:val="24"/>
          <w:szCs w:val="24"/>
        </w:rPr>
        <w:t xml:space="preserve">estimated company defaults by taking a sample of 75,667 company data between the period 1975 to 2007 using logistic regression and Merton. In the case of the </w:t>
      </w:r>
      <w:r w:rsidRPr="00F24C97">
        <w:rPr>
          <w:rFonts w:ascii="Arial" w:eastAsia="Cambria" w:hAnsi="Arial" w:cs="Arial"/>
          <w:color w:val="000000"/>
          <w:sz w:val="24"/>
          <w:szCs w:val="24"/>
        </w:rPr>
        <w:lastRenderedPageBreak/>
        <w:t>Merton model, the distance to the default variable combines the market variables to predict the default probability. Default probability is calculated as the difference between the value of a company's assets and the nominal value of its debt, adjusted for the standard deviation of the value of the company's assets. After doing research on the Merton model of the probability of default and TLMTA (leverage to market value of assets) has a sizable marginal effect compared to other variables. This is significant because it is caused when the distance to default decreases or when leverage increases, there is an increase in credit risk, which leads to an increase in bankruptcy. Therefore, regressions containing accounting and Merton variables have improved accuracy when compared without Merton's distance to default, which is supported empirically and by comparison of ROCs. The scope of this research can be increased by considering data outside the 2007 period, which might reduce predictability. However, losses are expected to occur minimally because the model includes variables for macroeconomic effects over time.</w:t>
      </w:r>
    </w:p>
    <w:p w:rsidR="00C864EB" w:rsidRPr="00F24C97" w:rsidRDefault="00C864EB" w:rsidP="002E79A8">
      <w:pPr>
        <w:rPr>
          <w:rFonts w:ascii="Arial" w:eastAsia="Cambria" w:hAnsi="Arial" w:cs="Arial"/>
          <w:color w:val="000000"/>
          <w:sz w:val="24"/>
          <w:szCs w:val="24"/>
        </w:rPr>
      </w:pPr>
      <w:r w:rsidRPr="00F24C97">
        <w:rPr>
          <w:rFonts w:ascii="Arial" w:eastAsia="Cambria" w:hAnsi="Arial" w:cs="Arial"/>
          <w:color w:val="000000"/>
          <w:sz w:val="24"/>
          <w:szCs w:val="24"/>
        </w:rPr>
        <w:t>Hasan, Manurung and Usman (2019)</w:t>
      </w:r>
      <w:r w:rsidR="00C44382" w:rsidRPr="00F24C97">
        <w:rPr>
          <w:rFonts w:ascii="Arial" w:eastAsia="Cambria" w:hAnsi="Arial" w:cs="Arial"/>
          <w:color w:val="000000"/>
          <w:sz w:val="24"/>
          <w:szCs w:val="24"/>
        </w:rPr>
        <w:t xml:space="preserve"> explore</w:t>
      </w:r>
      <w:r w:rsidRPr="00F24C97">
        <w:rPr>
          <w:rFonts w:ascii="Arial" w:eastAsia="Cambria" w:hAnsi="Arial" w:cs="Arial"/>
          <w:color w:val="000000"/>
          <w:sz w:val="24"/>
          <w:szCs w:val="24"/>
        </w:rPr>
        <w:t xml:space="preserve"> Determinants</w:t>
      </w:r>
      <w:r w:rsidR="00C44382" w:rsidRPr="00F24C97">
        <w:rPr>
          <w:rFonts w:ascii="Arial" w:eastAsia="Cambria" w:hAnsi="Arial" w:cs="Arial"/>
          <w:color w:val="000000"/>
          <w:sz w:val="24"/>
          <w:szCs w:val="24"/>
        </w:rPr>
        <w:t xml:space="preserve"> </w:t>
      </w:r>
      <w:r w:rsidRPr="00F24C97">
        <w:rPr>
          <w:rFonts w:ascii="Arial" w:eastAsia="Cambria" w:hAnsi="Arial" w:cs="Arial"/>
          <w:color w:val="000000"/>
          <w:sz w:val="24"/>
          <w:szCs w:val="24"/>
        </w:rPr>
        <w:t>Bank Profitability with Size as a Moderating Variable. In his journal explaining the determinants of bank profitability with size as a moderating variable. Internal ratios and macroeconomic variables are used to determine bank profitability. Return on Assets and Return on Equity are bank profitability variables. The Panel Data Model is used to determine the profitability of banks in Indonesia for the period 2007 to 2018. This study found that Net Interest Margin, Operational Cost Ratio to Operating Profit, Capital Adequacy Ratio and Loan to Deposit Ratio significantly affect bank profitability from the return of Equity. . The Fed Rate and Consumption of Cement have a significant effect on bank profitability on asset returns. Net Interest Margin, Non-Performing Loans, Operational Cost Ratio with Operating Profit, and Loan to Deposit Ratio significantly influence bank profitability from Return on Equity. Cement consumption has a significant effect on bank profitability on Return on Equity. Assets as a moderating variable with CAR, BOPO, Consumption of Cement and Fed Rate have a significant effect on bank profitability on asset returns. Assets with cement consumption have a negative and significant effect on bank profitability on Return on Equity.</w:t>
      </w:r>
    </w:p>
    <w:p w:rsidR="00C864EB" w:rsidRPr="000B4256" w:rsidRDefault="0014174D" w:rsidP="002E79A8">
      <w:pPr>
        <w:rPr>
          <w:rFonts w:ascii="Times New Roman" w:eastAsia="Cambria" w:hAnsi="Times New Roman" w:cs="Times New Roman"/>
          <w:color w:val="000000"/>
          <w:sz w:val="24"/>
          <w:szCs w:val="24"/>
        </w:rPr>
      </w:pPr>
      <w:r w:rsidRPr="00F24C97">
        <w:rPr>
          <w:rFonts w:ascii="Arial" w:eastAsia="Cambria" w:hAnsi="Arial" w:cs="Arial"/>
          <w:color w:val="000000"/>
          <w:sz w:val="24"/>
          <w:szCs w:val="24"/>
        </w:rPr>
        <w:lastRenderedPageBreak/>
        <w:t>Amelina Sjam (2009)</w:t>
      </w:r>
      <w:r w:rsidR="00C864EB" w:rsidRPr="00F24C97">
        <w:rPr>
          <w:rFonts w:ascii="Arial" w:eastAsia="Cambria" w:hAnsi="Arial" w:cs="Arial"/>
          <w:color w:val="000000"/>
          <w:sz w:val="24"/>
          <w:szCs w:val="24"/>
        </w:rPr>
        <w:t xml:space="preserve"> </w:t>
      </w:r>
      <w:r w:rsidRPr="00F24C97">
        <w:rPr>
          <w:rFonts w:ascii="Arial" w:eastAsia="Cambria" w:hAnsi="Arial" w:cs="Arial"/>
          <w:color w:val="000000"/>
          <w:sz w:val="24"/>
          <w:szCs w:val="24"/>
        </w:rPr>
        <w:t xml:space="preserve">explore bankruptcy </w:t>
      </w:r>
      <w:r w:rsidR="00C864EB" w:rsidRPr="00F24C97">
        <w:rPr>
          <w:rFonts w:ascii="Arial" w:eastAsia="Cambria" w:hAnsi="Arial" w:cs="Arial"/>
          <w:color w:val="000000"/>
          <w:sz w:val="24"/>
          <w:szCs w:val="24"/>
        </w:rPr>
        <w:t>using a prediction model of company failure probability. The research sample is non-financial service companies listed on the Indonesia Stock Exchange (IDX). The observation period was 2003-2004, so the sample size was n = 114 units. Multiple discriminate analysis of 114 analysis samples produces discriminant function as a predictor of the probability of failure of a company. Financial ratios that affect the probability of failure of a company are profitability ratios, namely Return on Investment (ROI). In addition, the results of the study indicate that ROI is the dominant financial ratio affecting the probability of failure of the company. By using a cutoff value = - 0.3605, companies with a Z-Score value &lt;- 0.3605 are classified as failing companies. Companies that have a Z-Score&gt; - 0.3605 are classified as a company that does not fail. While non-financial service companies that have Z-Score = - 0.3605 are on the verge of failure (gray area). The accuracy of the classification of discriminant models</w:t>
      </w:r>
      <w:r w:rsidR="00C864EB" w:rsidRPr="000B4256">
        <w:rPr>
          <w:rFonts w:ascii="Times New Roman" w:eastAsia="Cambria" w:hAnsi="Times New Roman" w:cs="Times New Roman"/>
          <w:color w:val="000000"/>
          <w:sz w:val="24"/>
          <w:szCs w:val="24"/>
        </w:rPr>
        <w:t xml:space="preserve"> against the analysis sample is 70.2%. While the accuracy rate of the prediction of discriminant models </w:t>
      </w:r>
      <w:r w:rsidR="000C18FF">
        <w:rPr>
          <w:rFonts w:ascii="Times New Roman" w:eastAsia="Cambria" w:hAnsi="Times New Roman" w:cs="Times New Roman"/>
          <w:color w:val="000000"/>
          <w:sz w:val="24"/>
          <w:szCs w:val="24"/>
        </w:rPr>
        <w:t>to</w:t>
      </w:r>
      <w:r w:rsidR="00C864EB" w:rsidRPr="000B4256">
        <w:rPr>
          <w:rFonts w:ascii="Times New Roman" w:eastAsia="Cambria" w:hAnsi="Times New Roman" w:cs="Times New Roman"/>
          <w:color w:val="000000"/>
          <w:sz w:val="24"/>
          <w:szCs w:val="24"/>
        </w:rPr>
        <w:t xml:space="preserve"> the probability </w:t>
      </w:r>
      <w:r w:rsidR="000C18FF">
        <w:rPr>
          <w:rFonts w:ascii="Times New Roman" w:eastAsia="Cambria" w:hAnsi="Times New Roman" w:cs="Times New Roman"/>
          <w:color w:val="000000"/>
          <w:sz w:val="24"/>
          <w:szCs w:val="24"/>
        </w:rPr>
        <w:t xml:space="preserve">bankruptcy </w:t>
      </w:r>
      <w:r w:rsidR="00C864EB" w:rsidRPr="000B4256">
        <w:rPr>
          <w:rFonts w:ascii="Times New Roman" w:eastAsia="Cambria" w:hAnsi="Times New Roman" w:cs="Times New Roman"/>
          <w:color w:val="000000"/>
          <w:sz w:val="24"/>
          <w:szCs w:val="24"/>
        </w:rPr>
        <w:t>f</w:t>
      </w:r>
      <w:r w:rsidR="000C18FF">
        <w:rPr>
          <w:rFonts w:ascii="Times New Roman" w:eastAsia="Cambria" w:hAnsi="Times New Roman" w:cs="Times New Roman"/>
          <w:color w:val="000000"/>
          <w:sz w:val="24"/>
          <w:szCs w:val="24"/>
        </w:rPr>
        <w:t>or</w:t>
      </w:r>
      <w:r w:rsidR="00C864EB" w:rsidRPr="000B4256">
        <w:rPr>
          <w:rFonts w:ascii="Times New Roman" w:eastAsia="Cambria" w:hAnsi="Times New Roman" w:cs="Times New Roman"/>
          <w:color w:val="000000"/>
          <w:sz w:val="24"/>
          <w:szCs w:val="24"/>
        </w:rPr>
        <w:t xml:space="preserve"> non-financial service companies listing on the Indonesia Stock Exchange in 2005 was 64.91%</w:t>
      </w:r>
    </w:p>
    <w:p w:rsidR="003F2C1C" w:rsidRPr="000B4256" w:rsidRDefault="003F2C1C" w:rsidP="002E79A8">
      <w:pPr>
        <w:ind w:firstLine="0"/>
        <w:rPr>
          <w:rFonts w:ascii="Times New Roman" w:hAnsi="Times New Roman" w:cs="Times New Roman"/>
          <w:b/>
          <w:sz w:val="24"/>
          <w:szCs w:val="24"/>
        </w:rPr>
      </w:pPr>
    </w:p>
    <w:p w:rsidR="00603AC7" w:rsidRPr="00A728D6" w:rsidRDefault="00AB2359" w:rsidP="00603AC7">
      <w:pPr>
        <w:pStyle w:val="Heading2"/>
        <w:numPr>
          <w:ilvl w:val="0"/>
          <w:numId w:val="0"/>
        </w:numPr>
        <w:ind w:left="720" w:hanging="720"/>
        <w:rPr>
          <w:sz w:val="24"/>
          <w:szCs w:val="24"/>
        </w:rPr>
      </w:pPr>
      <w:r w:rsidRPr="00A728D6">
        <w:rPr>
          <w:sz w:val="24"/>
          <w:szCs w:val="24"/>
        </w:rPr>
        <w:t xml:space="preserve">Research </w:t>
      </w:r>
      <w:r w:rsidR="00603AC7" w:rsidRPr="00A728D6">
        <w:rPr>
          <w:sz w:val="24"/>
          <w:szCs w:val="24"/>
        </w:rPr>
        <w:t>Design</w:t>
      </w:r>
    </w:p>
    <w:p w:rsidR="00275498" w:rsidRPr="00EB55D4" w:rsidRDefault="00275498" w:rsidP="00603AC7">
      <w:pPr>
        <w:pStyle w:val="Heading2"/>
        <w:numPr>
          <w:ilvl w:val="0"/>
          <w:numId w:val="0"/>
        </w:numPr>
        <w:ind w:left="720" w:hanging="720"/>
        <w:rPr>
          <w:rFonts w:ascii="Times New Roman" w:hAnsi="Times New Roman" w:cs="Times New Roman"/>
          <w:bCs/>
          <w:sz w:val="24"/>
          <w:szCs w:val="24"/>
        </w:rPr>
      </w:pPr>
      <w:r w:rsidRPr="00EB55D4">
        <w:rPr>
          <w:rFonts w:ascii="Times New Roman" w:hAnsi="Times New Roman" w:cs="Times New Roman"/>
          <w:bCs/>
          <w:sz w:val="24"/>
          <w:szCs w:val="24"/>
        </w:rPr>
        <w:t>Popula</w:t>
      </w:r>
      <w:r w:rsidR="00AB2359" w:rsidRPr="00EB55D4">
        <w:rPr>
          <w:rFonts w:ascii="Times New Roman" w:hAnsi="Times New Roman" w:cs="Times New Roman"/>
          <w:bCs/>
          <w:sz w:val="24"/>
          <w:szCs w:val="24"/>
        </w:rPr>
        <w:t>tion and Sample</w:t>
      </w:r>
    </w:p>
    <w:p w:rsidR="007D48EE" w:rsidRPr="00EF6135" w:rsidRDefault="007D48EE" w:rsidP="00EB55D4">
      <w:pPr>
        <w:rPr>
          <w:rFonts w:ascii="Arial" w:hAnsi="Arial" w:cs="Arial"/>
          <w:sz w:val="24"/>
          <w:szCs w:val="24"/>
        </w:rPr>
      </w:pPr>
      <w:r w:rsidRPr="00EF6135">
        <w:rPr>
          <w:rFonts w:ascii="Arial" w:hAnsi="Arial" w:cs="Arial"/>
          <w:sz w:val="24"/>
          <w:szCs w:val="24"/>
        </w:rPr>
        <w:t xml:space="preserve">The type of </w:t>
      </w:r>
      <w:r w:rsidR="00603AC7" w:rsidRPr="00EF6135">
        <w:rPr>
          <w:rFonts w:ascii="Arial" w:hAnsi="Arial" w:cs="Arial"/>
          <w:sz w:val="24"/>
          <w:szCs w:val="24"/>
        </w:rPr>
        <w:t xml:space="preserve">this </w:t>
      </w:r>
      <w:r w:rsidRPr="00EF6135">
        <w:rPr>
          <w:rFonts w:ascii="Arial" w:hAnsi="Arial" w:cs="Arial"/>
          <w:sz w:val="24"/>
          <w:szCs w:val="24"/>
        </w:rPr>
        <w:t xml:space="preserve">research </w:t>
      </w:r>
      <w:r w:rsidR="00603AC7" w:rsidRPr="00EF6135">
        <w:rPr>
          <w:rFonts w:ascii="Arial" w:hAnsi="Arial" w:cs="Arial"/>
          <w:sz w:val="24"/>
          <w:szCs w:val="24"/>
        </w:rPr>
        <w:t>is quantitative research that will</w:t>
      </w:r>
      <w:r w:rsidRPr="00EF6135">
        <w:rPr>
          <w:rFonts w:ascii="Arial" w:hAnsi="Arial" w:cs="Arial"/>
          <w:sz w:val="24"/>
          <w:szCs w:val="24"/>
        </w:rPr>
        <w:t xml:space="preserve"> use</w:t>
      </w:r>
      <w:r w:rsidR="00603AC7" w:rsidRPr="00EF6135">
        <w:rPr>
          <w:rFonts w:ascii="Arial" w:hAnsi="Arial" w:cs="Arial"/>
          <w:sz w:val="24"/>
          <w:szCs w:val="24"/>
        </w:rPr>
        <w:t xml:space="preserve"> </w:t>
      </w:r>
      <w:r w:rsidRPr="00EF6135">
        <w:rPr>
          <w:rFonts w:ascii="Arial" w:hAnsi="Arial" w:cs="Arial"/>
          <w:sz w:val="24"/>
          <w:szCs w:val="24"/>
        </w:rPr>
        <w:t>descriptive</w:t>
      </w:r>
      <w:r w:rsidR="00603AC7" w:rsidRPr="00EF6135">
        <w:rPr>
          <w:rFonts w:ascii="Arial" w:hAnsi="Arial" w:cs="Arial"/>
          <w:sz w:val="24"/>
          <w:szCs w:val="24"/>
        </w:rPr>
        <w:t xml:space="preserve"> analysis and causal analysis</w:t>
      </w:r>
      <w:r w:rsidRPr="00EF6135">
        <w:rPr>
          <w:rFonts w:ascii="Arial" w:hAnsi="Arial" w:cs="Arial"/>
          <w:sz w:val="24"/>
          <w:szCs w:val="24"/>
        </w:rPr>
        <w:t xml:space="preserve">. According to </w:t>
      </w:r>
      <w:r w:rsidR="00603AC7" w:rsidRPr="00EF6135">
        <w:rPr>
          <w:rFonts w:ascii="Arial" w:hAnsi="Arial" w:cs="Arial"/>
          <w:sz w:val="24"/>
          <w:szCs w:val="24"/>
        </w:rPr>
        <w:t xml:space="preserve">Manurung (2019), </w:t>
      </w:r>
      <w:r w:rsidRPr="00EF6135">
        <w:rPr>
          <w:rFonts w:ascii="Arial" w:hAnsi="Arial" w:cs="Arial"/>
          <w:sz w:val="24"/>
          <w:szCs w:val="24"/>
        </w:rPr>
        <w:t>quantitative research method is a research method based on the philosophy of positivism, used to examine specific populations or samples, quantitative or statistical data analysis with the aim of testing established hypotheses, namely examining coal mining companies (mining) that are used as the sample. This research examines the effect of debt to equity ratio (DER), gross profit margin (GPM), net profit margin (NPM), EBIT / Interest (TIE) and current ratio (CR), on financial distress of mining sector companies in Indonesia.</w:t>
      </w:r>
    </w:p>
    <w:p w:rsidR="00603AC7" w:rsidRPr="00EF6135" w:rsidRDefault="007D48EE" w:rsidP="00EB55D4">
      <w:pPr>
        <w:rPr>
          <w:rFonts w:ascii="Arial" w:hAnsi="Arial" w:cs="Arial"/>
          <w:sz w:val="24"/>
          <w:szCs w:val="24"/>
        </w:rPr>
      </w:pPr>
      <w:r w:rsidRPr="00EF6135">
        <w:rPr>
          <w:rFonts w:ascii="Arial" w:hAnsi="Arial" w:cs="Arial"/>
          <w:sz w:val="24"/>
          <w:szCs w:val="24"/>
        </w:rPr>
        <w:t xml:space="preserve">The data used for this research is secondary data </w:t>
      </w:r>
      <w:r w:rsidR="00EB55D4" w:rsidRPr="00EF6135">
        <w:rPr>
          <w:rFonts w:ascii="Arial" w:hAnsi="Arial" w:cs="Arial"/>
          <w:sz w:val="24"/>
          <w:szCs w:val="24"/>
        </w:rPr>
        <w:t>for period of 2013  to 2018. The Data is collected from website of the company and Jakarta Stock Exchange</w:t>
      </w:r>
      <w:r w:rsidR="00C44382" w:rsidRPr="00EF6135">
        <w:rPr>
          <w:rFonts w:ascii="Arial" w:hAnsi="Arial" w:cs="Arial"/>
          <w:sz w:val="24"/>
          <w:szCs w:val="24"/>
        </w:rPr>
        <w:t xml:space="preserve">.  Data of 17 company has been collected with the same data for period </w:t>
      </w:r>
      <w:r w:rsidR="00C44382" w:rsidRPr="00EF6135">
        <w:rPr>
          <w:rFonts w:ascii="Arial" w:hAnsi="Arial" w:cs="Arial"/>
          <w:sz w:val="24"/>
          <w:szCs w:val="24"/>
        </w:rPr>
        <w:lastRenderedPageBreak/>
        <w:t>of 2013 and 2018.  This research only used 3 year  which is period of 2016 to 2018 to make data Expected Default Frequency.</w:t>
      </w:r>
    </w:p>
    <w:p w:rsidR="00573B52" w:rsidRPr="00EF6135" w:rsidRDefault="00603AC7" w:rsidP="00EB55D4">
      <w:pPr>
        <w:rPr>
          <w:rFonts w:ascii="Arial" w:hAnsi="Arial" w:cs="Arial"/>
          <w:sz w:val="24"/>
          <w:szCs w:val="24"/>
        </w:rPr>
      </w:pPr>
      <w:r w:rsidRPr="00EF6135">
        <w:rPr>
          <w:rFonts w:ascii="Arial" w:hAnsi="Arial" w:cs="Arial"/>
          <w:sz w:val="24"/>
          <w:szCs w:val="24"/>
        </w:rPr>
        <w:t>This research will use model panel data to estimate relationship be</w:t>
      </w:r>
      <w:r w:rsidR="00573B52" w:rsidRPr="00EF6135">
        <w:rPr>
          <w:rFonts w:ascii="Arial" w:hAnsi="Arial" w:cs="Arial"/>
          <w:sz w:val="24"/>
          <w:szCs w:val="24"/>
        </w:rPr>
        <w:t>t</w:t>
      </w:r>
      <w:r w:rsidRPr="00EF6135">
        <w:rPr>
          <w:rFonts w:ascii="Arial" w:hAnsi="Arial" w:cs="Arial"/>
          <w:sz w:val="24"/>
          <w:szCs w:val="24"/>
        </w:rPr>
        <w:t xml:space="preserve">ween </w:t>
      </w:r>
      <w:r w:rsidR="00573B52" w:rsidRPr="00EF6135">
        <w:rPr>
          <w:rFonts w:ascii="Arial" w:hAnsi="Arial" w:cs="Arial"/>
          <w:sz w:val="24"/>
          <w:szCs w:val="24"/>
        </w:rPr>
        <w:t xml:space="preserve">debt to equity ratio (DER), gross profit margin (GPM), net profit margin (NPM), EBIT / Interest (TIE) and current ratio (CR) affecting probability bankruptcy. Then, estimate Expected Default Frequency use Merton Model </w:t>
      </w:r>
      <w:r w:rsidR="00E66342" w:rsidRPr="00EF6135">
        <w:rPr>
          <w:rFonts w:ascii="Arial" w:hAnsi="Arial" w:cs="Arial"/>
          <w:sz w:val="24"/>
          <w:szCs w:val="24"/>
        </w:rPr>
        <w:t xml:space="preserve"> (1974) </w:t>
      </w:r>
      <w:r w:rsidR="00573B52" w:rsidRPr="00EF6135">
        <w:rPr>
          <w:rFonts w:ascii="Arial" w:hAnsi="Arial" w:cs="Arial"/>
          <w:sz w:val="24"/>
          <w:szCs w:val="24"/>
        </w:rPr>
        <w:t>that adjust Black-Scholes</w:t>
      </w:r>
      <w:r w:rsidR="00E66342" w:rsidRPr="00EF6135">
        <w:rPr>
          <w:rFonts w:ascii="Arial" w:hAnsi="Arial" w:cs="Arial"/>
          <w:sz w:val="24"/>
          <w:szCs w:val="24"/>
        </w:rPr>
        <w:t xml:space="preserve"> (1973)</w:t>
      </w:r>
      <w:r w:rsidR="00573B52" w:rsidRPr="00EF6135">
        <w:rPr>
          <w:rFonts w:ascii="Arial" w:hAnsi="Arial" w:cs="Arial"/>
          <w:sz w:val="24"/>
          <w:szCs w:val="24"/>
        </w:rPr>
        <w:t xml:space="preserve"> model.  Expected Default Frequency is measured by:</w:t>
      </w:r>
    </w:p>
    <w:p w:rsidR="00603AC7" w:rsidRDefault="00573B52" w:rsidP="00EB55D4">
      <w:pPr>
        <w:rPr>
          <w:rFonts w:ascii="Times New Roman" w:hAnsi="Times New Roman" w:cs="Times New Roman"/>
          <w:sz w:val="24"/>
          <w:szCs w:val="24"/>
        </w:rPr>
      </w:pPr>
      <w:r>
        <w:rPr>
          <w:rFonts w:ascii="Times New Roman" w:hAnsi="Times New Roman" w:cs="Times New Roman"/>
          <w:sz w:val="24"/>
          <w:szCs w:val="24"/>
        </w:rPr>
        <w:t xml:space="preserve"> </w:t>
      </w:r>
      <w:r w:rsidRPr="00EC4034">
        <w:rPr>
          <w:rFonts w:ascii="Arial" w:hAnsi="Arial" w:cs="Arial"/>
          <w:position w:val="-30"/>
          <w:sz w:val="24"/>
          <w:szCs w:val="24"/>
        </w:rPr>
        <w:object w:dxaOrig="4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6pt" o:ole="">
            <v:imagedata r:id="rId8" o:title=""/>
          </v:shape>
          <o:OLEObject Type="Embed" ProgID="Equation.3" ShapeID="_x0000_i1025" DrawAspect="Content" ObjectID="_1649039294" r:id="rId9"/>
        </w:object>
      </w:r>
      <w:r w:rsidR="00117B41">
        <w:rPr>
          <w:rFonts w:ascii="Arial" w:hAnsi="Arial" w:cs="Arial"/>
          <w:sz w:val="24"/>
          <w:szCs w:val="24"/>
        </w:rPr>
        <w:tab/>
      </w:r>
      <w:r w:rsidR="00117B41">
        <w:rPr>
          <w:rFonts w:ascii="Arial" w:hAnsi="Arial" w:cs="Arial"/>
          <w:sz w:val="24"/>
          <w:szCs w:val="24"/>
        </w:rPr>
        <w:tab/>
      </w:r>
      <w:r w:rsidR="00117B41">
        <w:rPr>
          <w:rFonts w:ascii="Arial" w:hAnsi="Arial" w:cs="Arial"/>
          <w:sz w:val="24"/>
          <w:szCs w:val="24"/>
        </w:rPr>
        <w:tab/>
      </w:r>
      <w:r w:rsidR="00117B41">
        <w:rPr>
          <w:rFonts w:ascii="Arial" w:hAnsi="Arial" w:cs="Arial"/>
          <w:sz w:val="24"/>
          <w:szCs w:val="24"/>
        </w:rPr>
        <w:tab/>
        <w:t>(1)</w:t>
      </w:r>
    </w:p>
    <w:p w:rsidR="00573B52" w:rsidRDefault="00573B52" w:rsidP="00573B52">
      <w:pPr>
        <w:rPr>
          <w:rFonts w:ascii="Arial" w:hAnsi="Arial" w:cs="Arial"/>
          <w:sz w:val="24"/>
          <w:szCs w:val="24"/>
        </w:rPr>
      </w:pPr>
      <w:r>
        <w:rPr>
          <w:rFonts w:ascii="Arial" w:hAnsi="Arial" w:cs="Arial"/>
          <w:sz w:val="24"/>
          <w:szCs w:val="24"/>
        </w:rPr>
        <w:t>If value asset (V</w:t>
      </w:r>
      <w:r w:rsidRPr="00EC4034">
        <w:rPr>
          <w:rFonts w:ascii="Arial" w:hAnsi="Arial" w:cs="Arial"/>
          <w:sz w:val="24"/>
          <w:szCs w:val="24"/>
          <w:vertAlign w:val="subscript"/>
        </w:rPr>
        <w:t>0</w:t>
      </w:r>
      <w:r>
        <w:rPr>
          <w:rFonts w:ascii="Arial" w:hAnsi="Arial" w:cs="Arial"/>
          <w:sz w:val="24"/>
          <w:szCs w:val="24"/>
        </w:rPr>
        <w:t>) today is less than debt today (D) at the end of the year, so the company was considered default.</w:t>
      </w:r>
    </w:p>
    <w:p w:rsidR="00573B52" w:rsidRDefault="00573B52" w:rsidP="00573B52">
      <w:pPr>
        <w:ind w:firstLine="0"/>
        <w:rPr>
          <w:rFonts w:ascii="Times New Roman" w:hAnsi="Times New Roman" w:cs="Times New Roman"/>
          <w:sz w:val="24"/>
          <w:szCs w:val="24"/>
        </w:rPr>
      </w:pPr>
    </w:p>
    <w:p w:rsidR="007D48EE" w:rsidRPr="007A3E2F" w:rsidRDefault="00603AC7" w:rsidP="00603AC7">
      <w:pPr>
        <w:ind w:firstLine="0"/>
        <w:rPr>
          <w:rFonts w:ascii="Arial" w:hAnsi="Arial" w:cs="Arial"/>
          <w:b/>
          <w:i/>
          <w:sz w:val="24"/>
          <w:szCs w:val="24"/>
        </w:rPr>
      </w:pPr>
      <w:r w:rsidRPr="007A3E2F">
        <w:rPr>
          <w:rFonts w:ascii="Arial" w:hAnsi="Arial" w:cs="Arial"/>
          <w:b/>
          <w:i/>
          <w:sz w:val="24"/>
          <w:szCs w:val="24"/>
        </w:rPr>
        <w:t>Variables Measurement</w:t>
      </w:r>
      <w:r w:rsidR="00C44382" w:rsidRPr="007A3E2F">
        <w:rPr>
          <w:rFonts w:ascii="Arial" w:hAnsi="Arial" w:cs="Arial"/>
          <w:b/>
          <w:i/>
          <w:sz w:val="24"/>
          <w:szCs w:val="24"/>
        </w:rPr>
        <w:t xml:space="preserve"> </w:t>
      </w:r>
    </w:p>
    <w:p w:rsidR="007D48EE" w:rsidRPr="007A3E2F" w:rsidRDefault="00603AC7" w:rsidP="002E79A8">
      <w:pPr>
        <w:rPr>
          <w:rFonts w:ascii="Arial" w:hAnsi="Arial" w:cs="Arial"/>
          <w:sz w:val="24"/>
          <w:szCs w:val="24"/>
        </w:rPr>
      </w:pPr>
      <w:r w:rsidRPr="007A3E2F">
        <w:rPr>
          <w:rFonts w:ascii="Arial" w:hAnsi="Arial" w:cs="Arial"/>
          <w:sz w:val="24"/>
          <w:szCs w:val="24"/>
        </w:rPr>
        <w:t xml:space="preserve">As mentioned previously that </w:t>
      </w:r>
      <w:r w:rsidR="007D48EE" w:rsidRPr="007A3E2F">
        <w:rPr>
          <w:rFonts w:ascii="Arial" w:hAnsi="Arial" w:cs="Arial"/>
          <w:sz w:val="24"/>
          <w:szCs w:val="24"/>
        </w:rPr>
        <w:t>this study used financial ratios t</w:t>
      </w:r>
      <w:r w:rsidR="00C44382" w:rsidRPr="007A3E2F">
        <w:rPr>
          <w:rFonts w:ascii="Arial" w:hAnsi="Arial" w:cs="Arial"/>
          <w:sz w:val="24"/>
          <w:szCs w:val="24"/>
        </w:rPr>
        <w:t>o determine expected default frequency as follow</w:t>
      </w:r>
      <w:r w:rsidRPr="007A3E2F">
        <w:rPr>
          <w:rFonts w:ascii="Arial" w:hAnsi="Arial" w:cs="Arial"/>
          <w:sz w:val="24"/>
          <w:szCs w:val="24"/>
        </w:rPr>
        <w:t>s</w:t>
      </w:r>
      <w:r w:rsidR="00C44382" w:rsidRPr="007A3E2F">
        <w:rPr>
          <w:rFonts w:ascii="Arial" w:hAnsi="Arial" w:cs="Arial"/>
          <w:sz w:val="24"/>
          <w:szCs w:val="24"/>
        </w:rPr>
        <w:t xml:space="preserve">: </w:t>
      </w:r>
    </w:p>
    <w:p w:rsidR="00FC649A" w:rsidRPr="007A3E2F" w:rsidRDefault="00C44382" w:rsidP="00C44382">
      <w:pPr>
        <w:ind w:firstLine="0"/>
        <w:rPr>
          <w:rFonts w:ascii="Arial" w:hAnsi="Arial" w:cs="Arial"/>
          <w:sz w:val="24"/>
          <w:szCs w:val="24"/>
        </w:rPr>
      </w:pPr>
      <w:r w:rsidRPr="007A3E2F">
        <w:rPr>
          <w:rFonts w:ascii="Arial" w:hAnsi="Arial" w:cs="Arial"/>
          <w:sz w:val="24"/>
          <w:szCs w:val="24"/>
        </w:rPr>
        <w:t xml:space="preserve">Liquidity ratio is </w:t>
      </w:r>
      <w:r w:rsidR="00FC649A" w:rsidRPr="007A3E2F">
        <w:rPr>
          <w:rFonts w:ascii="Arial" w:hAnsi="Arial" w:cs="Arial"/>
          <w:sz w:val="24"/>
          <w:szCs w:val="24"/>
        </w:rPr>
        <w:t>indicating the company's ability to pay all short-term financial obligations using the company's current assets (</w:t>
      </w:r>
      <w:r w:rsidR="00EF6135" w:rsidRPr="007A3E2F">
        <w:rPr>
          <w:rFonts w:ascii="Arial" w:hAnsi="Arial" w:cs="Arial"/>
          <w:sz w:val="24"/>
          <w:szCs w:val="24"/>
        </w:rPr>
        <w:t>Brigham and E</w:t>
      </w:r>
      <w:r w:rsidR="007A3E2F" w:rsidRPr="007A3E2F">
        <w:rPr>
          <w:rFonts w:ascii="Arial" w:hAnsi="Arial" w:cs="Arial"/>
          <w:sz w:val="24"/>
          <w:szCs w:val="24"/>
        </w:rPr>
        <w:t>hrhardt, 2005, Chapter 13</w:t>
      </w:r>
      <w:r w:rsidR="00FC649A" w:rsidRPr="007A3E2F">
        <w:rPr>
          <w:rFonts w:ascii="Arial" w:hAnsi="Arial" w:cs="Arial"/>
          <w:sz w:val="24"/>
          <w:szCs w:val="24"/>
        </w:rPr>
        <w:t>). The liquidity position is related to the company's ability to pay off obligations that are due in the short term, and the possibility of the company having problems in fulfilling these obligations.</w:t>
      </w:r>
      <w:r w:rsidRPr="007A3E2F">
        <w:rPr>
          <w:rFonts w:ascii="Arial" w:hAnsi="Arial" w:cs="Arial"/>
          <w:sz w:val="24"/>
          <w:szCs w:val="24"/>
        </w:rPr>
        <w:t xml:space="preserve"> The ratio is as follows:</w:t>
      </w:r>
    </w:p>
    <w:p w:rsidR="00C44382" w:rsidRPr="007A3E2F" w:rsidRDefault="00AD14A4" w:rsidP="002E79A8">
      <w:pPr>
        <w:ind w:left="567" w:firstLine="0"/>
        <w:rPr>
          <w:rFonts w:ascii="Arial" w:hAnsi="Arial" w:cs="Arial"/>
          <w:sz w:val="24"/>
          <w:szCs w:val="24"/>
        </w:rPr>
      </w:pPr>
      <w:r w:rsidRPr="007A3E2F">
        <w:rPr>
          <w:rFonts w:ascii="Arial" w:hAnsi="Arial" w:cs="Arial"/>
          <w:position w:val="-24"/>
          <w:sz w:val="24"/>
          <w:szCs w:val="24"/>
        </w:rPr>
        <w:object w:dxaOrig="2439" w:dyaOrig="620">
          <v:shape id="_x0000_i1026" type="#_x0000_t75" style="width:122.25pt;height:30.75pt" o:ole="">
            <v:imagedata r:id="rId10" o:title=""/>
          </v:shape>
          <o:OLEObject Type="Embed" ProgID="Equation.3" ShapeID="_x0000_i1026" DrawAspect="Content" ObjectID="_1649039295" r:id="rId11"/>
        </w:object>
      </w:r>
      <w:r w:rsidR="00C44382" w:rsidRPr="007A3E2F">
        <w:rPr>
          <w:rFonts w:ascii="Arial" w:hAnsi="Arial" w:cs="Arial"/>
          <w:sz w:val="24"/>
          <w:szCs w:val="24"/>
        </w:rPr>
        <w:tab/>
      </w:r>
      <w:r w:rsidR="00C44382" w:rsidRPr="007A3E2F">
        <w:rPr>
          <w:rFonts w:ascii="Arial" w:hAnsi="Arial" w:cs="Arial"/>
          <w:sz w:val="24"/>
          <w:szCs w:val="24"/>
        </w:rPr>
        <w:tab/>
      </w:r>
      <w:r w:rsidR="00C44382" w:rsidRPr="007A3E2F">
        <w:rPr>
          <w:rFonts w:ascii="Arial" w:hAnsi="Arial" w:cs="Arial"/>
          <w:sz w:val="24"/>
          <w:szCs w:val="24"/>
        </w:rPr>
        <w:tab/>
      </w:r>
      <w:r w:rsidR="00C44382" w:rsidRPr="007A3E2F">
        <w:rPr>
          <w:rFonts w:ascii="Arial" w:hAnsi="Arial" w:cs="Arial"/>
          <w:sz w:val="24"/>
          <w:szCs w:val="24"/>
        </w:rPr>
        <w:tab/>
      </w:r>
      <w:r w:rsidR="00C44382" w:rsidRPr="007A3E2F">
        <w:rPr>
          <w:rFonts w:ascii="Arial" w:hAnsi="Arial" w:cs="Arial"/>
          <w:sz w:val="24"/>
          <w:szCs w:val="24"/>
        </w:rPr>
        <w:tab/>
        <w:t>(</w:t>
      </w:r>
      <w:r w:rsidR="00117B41" w:rsidRPr="007A3E2F">
        <w:rPr>
          <w:rFonts w:ascii="Arial" w:hAnsi="Arial" w:cs="Arial"/>
          <w:sz w:val="24"/>
          <w:szCs w:val="24"/>
        </w:rPr>
        <w:t>2</w:t>
      </w:r>
      <w:r w:rsidR="00C44382" w:rsidRPr="007A3E2F">
        <w:rPr>
          <w:rFonts w:ascii="Arial" w:hAnsi="Arial" w:cs="Arial"/>
          <w:sz w:val="24"/>
          <w:szCs w:val="24"/>
        </w:rPr>
        <w:t>)</w:t>
      </w:r>
    </w:p>
    <w:p w:rsidR="00FC649A" w:rsidRPr="007A3E2F" w:rsidRDefault="006F3CF7" w:rsidP="00AD14A4">
      <w:pPr>
        <w:ind w:firstLine="0"/>
        <w:rPr>
          <w:rFonts w:ascii="Arial" w:hAnsi="Arial" w:cs="Arial"/>
          <w:b/>
          <w:sz w:val="24"/>
          <w:szCs w:val="24"/>
        </w:rPr>
      </w:pPr>
      <w:r w:rsidRPr="007A3E2F">
        <w:rPr>
          <w:rFonts w:ascii="Arial" w:hAnsi="Arial" w:cs="Arial"/>
          <w:b/>
          <w:sz w:val="24"/>
          <w:szCs w:val="24"/>
        </w:rPr>
        <w:t>Leverage</w:t>
      </w:r>
      <w:r w:rsidR="00FC649A" w:rsidRPr="007A3E2F">
        <w:rPr>
          <w:rFonts w:ascii="Arial" w:hAnsi="Arial" w:cs="Arial"/>
          <w:b/>
          <w:sz w:val="24"/>
          <w:szCs w:val="24"/>
        </w:rPr>
        <w:t xml:space="preserve"> Ratio</w:t>
      </w:r>
    </w:p>
    <w:p w:rsidR="006F3CF7" w:rsidRPr="007A3E2F" w:rsidRDefault="006F3CF7" w:rsidP="00AD14A4">
      <w:pPr>
        <w:rPr>
          <w:rFonts w:ascii="Arial" w:hAnsi="Arial" w:cs="Arial"/>
          <w:sz w:val="24"/>
          <w:szCs w:val="24"/>
        </w:rPr>
      </w:pPr>
      <w:r w:rsidRPr="007A3E2F">
        <w:rPr>
          <w:rFonts w:ascii="Arial" w:hAnsi="Arial" w:cs="Arial"/>
          <w:sz w:val="24"/>
          <w:szCs w:val="24"/>
        </w:rPr>
        <w:t>This ratio is used to measure the extent to which companies are financed by debt. In other words, this ratio is used to determine the company's ability to finance assets, which is obtained by comparing the company's total liabilities with the total assets or securities of shareholders</w:t>
      </w:r>
      <w:r w:rsidR="00AD14A4" w:rsidRPr="007A3E2F">
        <w:rPr>
          <w:rFonts w:ascii="Arial" w:hAnsi="Arial" w:cs="Arial"/>
          <w:sz w:val="24"/>
          <w:szCs w:val="24"/>
        </w:rPr>
        <w:t>. The ratio is calculated as follows:</w:t>
      </w:r>
    </w:p>
    <w:p w:rsidR="00AD14A4" w:rsidRPr="007A3E2F" w:rsidRDefault="00AD14A4" w:rsidP="00AD14A4">
      <w:pPr>
        <w:rPr>
          <w:rFonts w:ascii="Arial" w:hAnsi="Arial" w:cs="Arial"/>
          <w:sz w:val="24"/>
          <w:szCs w:val="24"/>
        </w:rPr>
      </w:pPr>
      <w:r w:rsidRPr="007A3E2F">
        <w:rPr>
          <w:rFonts w:ascii="Arial" w:hAnsi="Arial" w:cs="Arial"/>
          <w:position w:val="-28"/>
          <w:sz w:val="24"/>
          <w:szCs w:val="24"/>
        </w:rPr>
        <w:object w:dxaOrig="1500" w:dyaOrig="660">
          <v:shape id="_x0000_i1027" type="#_x0000_t75" style="width:75pt;height:33pt" o:ole="">
            <v:imagedata r:id="rId12" o:title=""/>
          </v:shape>
          <o:OLEObject Type="Embed" ProgID="Equation.3" ShapeID="_x0000_i1027" DrawAspect="Content" ObjectID="_1649039296" r:id="rId13"/>
        </w:object>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t>(3)</w:t>
      </w:r>
    </w:p>
    <w:p w:rsidR="006F3CF7" w:rsidRPr="007A3E2F" w:rsidRDefault="006F3CF7" w:rsidP="00AD14A4">
      <w:pPr>
        <w:pStyle w:val="Heading4"/>
        <w:keepNext w:val="0"/>
        <w:widowControl w:val="0"/>
        <w:tabs>
          <w:tab w:val="left" w:pos="1220"/>
        </w:tabs>
        <w:autoSpaceDE w:val="0"/>
        <w:autoSpaceDN w:val="0"/>
        <w:spacing w:before="0" w:line="480" w:lineRule="auto"/>
        <w:ind w:firstLine="0"/>
        <w:rPr>
          <w:rFonts w:ascii="Arial" w:hAnsi="Arial" w:cs="Arial"/>
          <w:i w:val="0"/>
          <w:color w:val="000000" w:themeColor="text1"/>
          <w:sz w:val="24"/>
          <w:szCs w:val="24"/>
        </w:rPr>
      </w:pPr>
      <w:bookmarkStart w:id="1" w:name="_TOC_250014"/>
      <w:bookmarkStart w:id="2" w:name="_Toc33637701"/>
      <w:r w:rsidRPr="007A3E2F">
        <w:rPr>
          <w:rFonts w:ascii="Arial" w:hAnsi="Arial" w:cs="Arial"/>
          <w:i w:val="0"/>
          <w:color w:val="000000" w:themeColor="text1"/>
          <w:sz w:val="24"/>
          <w:szCs w:val="24"/>
        </w:rPr>
        <w:t>Profitability</w:t>
      </w:r>
      <w:r w:rsidRPr="007A3E2F">
        <w:rPr>
          <w:rFonts w:ascii="Arial" w:hAnsi="Arial" w:cs="Arial"/>
          <w:i w:val="0"/>
          <w:color w:val="000000" w:themeColor="text1"/>
          <w:spacing w:val="-1"/>
          <w:sz w:val="24"/>
          <w:szCs w:val="24"/>
        </w:rPr>
        <w:t xml:space="preserve"> </w:t>
      </w:r>
      <w:bookmarkEnd w:id="1"/>
      <w:r w:rsidRPr="007A3E2F">
        <w:rPr>
          <w:rFonts w:ascii="Arial" w:hAnsi="Arial" w:cs="Arial"/>
          <w:i w:val="0"/>
          <w:color w:val="000000" w:themeColor="text1"/>
          <w:sz w:val="24"/>
          <w:szCs w:val="24"/>
        </w:rPr>
        <w:t>Ratios</w:t>
      </w:r>
      <w:bookmarkEnd w:id="2"/>
    </w:p>
    <w:p w:rsidR="006F3CF7" w:rsidRPr="007A3E2F" w:rsidRDefault="00AD14A4" w:rsidP="002E79A8">
      <w:pPr>
        <w:rPr>
          <w:rFonts w:ascii="Arial" w:hAnsi="Arial" w:cs="Arial"/>
          <w:sz w:val="24"/>
          <w:szCs w:val="24"/>
        </w:rPr>
      </w:pPr>
      <w:r w:rsidRPr="007A3E2F">
        <w:rPr>
          <w:rFonts w:ascii="Arial" w:hAnsi="Arial" w:cs="Arial"/>
          <w:sz w:val="24"/>
          <w:szCs w:val="24"/>
        </w:rPr>
        <w:t>This ratio is</w:t>
      </w:r>
      <w:r w:rsidR="006F3CF7" w:rsidRPr="007A3E2F">
        <w:rPr>
          <w:rFonts w:ascii="Arial" w:hAnsi="Arial" w:cs="Arial"/>
          <w:sz w:val="24"/>
          <w:szCs w:val="24"/>
        </w:rPr>
        <w:t xml:space="preserve"> use</w:t>
      </w:r>
      <w:r w:rsidRPr="007A3E2F">
        <w:rPr>
          <w:rFonts w:ascii="Arial" w:hAnsi="Arial" w:cs="Arial"/>
          <w:sz w:val="24"/>
          <w:szCs w:val="24"/>
        </w:rPr>
        <w:t>d</w:t>
      </w:r>
      <w:r w:rsidR="006F3CF7" w:rsidRPr="007A3E2F">
        <w:rPr>
          <w:rFonts w:ascii="Arial" w:hAnsi="Arial" w:cs="Arial"/>
          <w:sz w:val="24"/>
          <w:szCs w:val="24"/>
        </w:rPr>
        <w:t xml:space="preserve"> to measur</w:t>
      </w:r>
      <w:r w:rsidRPr="007A3E2F">
        <w:rPr>
          <w:rFonts w:ascii="Arial" w:hAnsi="Arial" w:cs="Arial"/>
          <w:sz w:val="24"/>
          <w:szCs w:val="24"/>
        </w:rPr>
        <w:t>e</w:t>
      </w:r>
      <w:r w:rsidR="006F3CF7" w:rsidRPr="007A3E2F">
        <w:rPr>
          <w:rFonts w:ascii="Arial" w:hAnsi="Arial" w:cs="Arial"/>
          <w:sz w:val="24"/>
          <w:szCs w:val="24"/>
        </w:rPr>
        <w:t xml:space="preserve"> management effectiveness shown by profits generated from sales and investment of the company. There are two types - the </w:t>
      </w:r>
      <w:r w:rsidR="006F3CF7" w:rsidRPr="007A3E2F">
        <w:rPr>
          <w:rFonts w:ascii="Arial" w:hAnsi="Arial" w:cs="Arial"/>
          <w:sz w:val="24"/>
          <w:szCs w:val="24"/>
        </w:rPr>
        <w:lastRenderedPageBreak/>
        <w:t>first shows the probability in relation to sales, and the second shows the probability in relation to investment. Together, these two types of probability ratios indicate the effectiveness of a company's operations.</w:t>
      </w:r>
      <w:r w:rsidRPr="007A3E2F">
        <w:rPr>
          <w:rFonts w:ascii="Arial" w:hAnsi="Arial" w:cs="Arial"/>
          <w:sz w:val="24"/>
          <w:szCs w:val="24"/>
        </w:rPr>
        <w:t xml:space="preserve"> The ratio is Gross Profit Margin that is calculated as follows:</w:t>
      </w:r>
    </w:p>
    <w:p w:rsidR="00AD14A4" w:rsidRPr="007A3E2F" w:rsidRDefault="00AD14A4" w:rsidP="002E79A8">
      <w:pPr>
        <w:rPr>
          <w:rFonts w:ascii="Arial" w:hAnsi="Arial" w:cs="Arial"/>
          <w:sz w:val="24"/>
          <w:szCs w:val="24"/>
        </w:rPr>
      </w:pPr>
      <w:r w:rsidRPr="007A3E2F">
        <w:rPr>
          <w:rFonts w:ascii="Arial" w:hAnsi="Arial" w:cs="Arial"/>
          <w:position w:val="-24"/>
          <w:sz w:val="24"/>
          <w:szCs w:val="24"/>
        </w:rPr>
        <w:object w:dxaOrig="2079" w:dyaOrig="620">
          <v:shape id="_x0000_i1028" type="#_x0000_t75" style="width:104.25pt;height:30.75pt" o:ole="">
            <v:imagedata r:id="rId14" o:title=""/>
          </v:shape>
          <o:OLEObject Type="Embed" ProgID="Equation.3" ShapeID="_x0000_i1028" DrawAspect="Content" ObjectID="_1649039297" r:id="rId15"/>
        </w:object>
      </w:r>
      <w:r w:rsidR="00682206">
        <w:rPr>
          <w:rFonts w:ascii="Arial" w:hAnsi="Arial" w:cs="Arial"/>
          <w:sz w:val="24"/>
          <w:szCs w:val="24"/>
        </w:rPr>
        <w:tab/>
      </w:r>
      <w:r w:rsidR="00682206">
        <w:rPr>
          <w:rFonts w:ascii="Arial" w:hAnsi="Arial" w:cs="Arial"/>
          <w:sz w:val="24"/>
          <w:szCs w:val="24"/>
        </w:rPr>
        <w:tab/>
      </w:r>
      <w:r w:rsidR="00682206">
        <w:rPr>
          <w:rFonts w:ascii="Arial" w:hAnsi="Arial" w:cs="Arial"/>
          <w:sz w:val="24"/>
          <w:szCs w:val="24"/>
        </w:rPr>
        <w:tab/>
      </w:r>
      <w:r w:rsidR="00682206">
        <w:rPr>
          <w:rFonts w:ascii="Arial" w:hAnsi="Arial" w:cs="Arial"/>
          <w:sz w:val="24"/>
          <w:szCs w:val="24"/>
        </w:rPr>
        <w:tab/>
      </w:r>
      <w:r w:rsidR="00682206">
        <w:rPr>
          <w:rFonts w:ascii="Arial" w:hAnsi="Arial" w:cs="Arial"/>
          <w:sz w:val="24"/>
          <w:szCs w:val="24"/>
        </w:rPr>
        <w:tab/>
      </w:r>
      <w:r w:rsidR="00682206">
        <w:rPr>
          <w:rFonts w:ascii="Arial" w:hAnsi="Arial" w:cs="Arial"/>
          <w:sz w:val="24"/>
          <w:szCs w:val="24"/>
        </w:rPr>
        <w:tab/>
      </w:r>
      <w:r w:rsidR="00682206">
        <w:rPr>
          <w:rFonts w:ascii="Arial" w:hAnsi="Arial" w:cs="Arial"/>
          <w:sz w:val="24"/>
          <w:szCs w:val="24"/>
        </w:rPr>
        <w:tab/>
        <w:t>(4)</w:t>
      </w:r>
    </w:p>
    <w:p w:rsidR="00AD14A4" w:rsidRPr="007A3E2F" w:rsidRDefault="00AD14A4" w:rsidP="00AD14A4">
      <w:pPr>
        <w:ind w:firstLine="0"/>
        <w:rPr>
          <w:rFonts w:ascii="Arial" w:hAnsi="Arial" w:cs="Arial"/>
          <w:sz w:val="24"/>
          <w:szCs w:val="24"/>
        </w:rPr>
      </w:pPr>
    </w:p>
    <w:p w:rsidR="006F3CF7" w:rsidRPr="007A3E2F" w:rsidRDefault="006F3CF7" w:rsidP="00AD14A4">
      <w:pPr>
        <w:ind w:firstLine="0"/>
        <w:rPr>
          <w:rFonts w:ascii="Arial" w:hAnsi="Arial" w:cs="Arial"/>
          <w:b/>
          <w:i/>
          <w:sz w:val="24"/>
          <w:szCs w:val="24"/>
        </w:rPr>
      </w:pPr>
      <w:r w:rsidRPr="007A3E2F">
        <w:rPr>
          <w:rFonts w:ascii="Arial" w:hAnsi="Arial" w:cs="Arial"/>
          <w:b/>
          <w:i/>
          <w:sz w:val="24"/>
          <w:szCs w:val="24"/>
        </w:rPr>
        <w:t>Net Profit Margin</w:t>
      </w:r>
    </w:p>
    <w:p w:rsidR="006F3CF7" w:rsidRPr="007A3E2F" w:rsidRDefault="006F3CF7" w:rsidP="00AD14A4">
      <w:pPr>
        <w:rPr>
          <w:rFonts w:ascii="Arial" w:hAnsi="Arial" w:cs="Arial"/>
          <w:sz w:val="24"/>
          <w:szCs w:val="24"/>
        </w:rPr>
      </w:pPr>
      <w:r w:rsidRPr="007A3E2F">
        <w:rPr>
          <w:rFonts w:ascii="Arial" w:hAnsi="Arial" w:cs="Arial"/>
          <w:sz w:val="24"/>
          <w:szCs w:val="24"/>
        </w:rPr>
        <w:t>This ratio is the final result of a company's operations for a period and is an effective indicator to draw conclusions about the company's management capabilities. This ratio indicates how much net profit is obtained from each Rupiah sale. This ratio is the ratio between net income and net sales</w:t>
      </w:r>
      <w:r w:rsidR="00AD14A4" w:rsidRPr="007A3E2F">
        <w:rPr>
          <w:rFonts w:ascii="Arial" w:hAnsi="Arial" w:cs="Arial"/>
          <w:sz w:val="24"/>
          <w:szCs w:val="24"/>
        </w:rPr>
        <w:t xml:space="preserve"> and it calculate as follows:</w:t>
      </w:r>
      <w:r w:rsidR="00AD14A4" w:rsidRPr="007A3E2F">
        <w:rPr>
          <w:rFonts w:ascii="Arial" w:hAnsi="Arial" w:cs="Arial"/>
          <w:sz w:val="24"/>
          <w:szCs w:val="24"/>
        </w:rPr>
        <w:br/>
      </w:r>
      <w:r w:rsidR="00AD14A4" w:rsidRPr="007A3E2F">
        <w:rPr>
          <w:rFonts w:ascii="Arial" w:hAnsi="Arial" w:cs="Arial"/>
          <w:sz w:val="24"/>
          <w:szCs w:val="24"/>
        </w:rPr>
        <w:tab/>
      </w:r>
      <w:r w:rsidR="00AD14A4" w:rsidRPr="007A3E2F">
        <w:rPr>
          <w:rFonts w:ascii="Arial" w:hAnsi="Arial" w:cs="Arial"/>
          <w:sz w:val="24"/>
          <w:szCs w:val="24"/>
        </w:rPr>
        <w:tab/>
      </w:r>
      <w:r w:rsidR="00745481" w:rsidRPr="007A3E2F">
        <w:rPr>
          <w:rFonts w:ascii="Arial" w:hAnsi="Arial" w:cs="Arial"/>
          <w:position w:val="-24"/>
          <w:sz w:val="24"/>
          <w:szCs w:val="24"/>
        </w:rPr>
        <w:object w:dxaOrig="2040" w:dyaOrig="620">
          <v:shape id="_x0000_i1029" type="#_x0000_t75" style="width:102pt;height:30.75pt" o:ole="">
            <v:imagedata r:id="rId16" o:title=""/>
          </v:shape>
          <o:OLEObject Type="Embed" ProgID="Equation.3" ShapeID="_x0000_i1029" DrawAspect="Content" ObjectID="_1649039298" r:id="rId17"/>
        </w:object>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682206">
        <w:rPr>
          <w:rFonts w:ascii="Arial" w:hAnsi="Arial" w:cs="Arial"/>
          <w:sz w:val="24"/>
          <w:szCs w:val="24"/>
        </w:rPr>
        <w:t>(5</w:t>
      </w:r>
      <w:r w:rsidR="00117B41" w:rsidRPr="007A3E2F">
        <w:rPr>
          <w:rFonts w:ascii="Arial" w:hAnsi="Arial" w:cs="Arial"/>
          <w:sz w:val="24"/>
          <w:szCs w:val="24"/>
        </w:rPr>
        <w:t>)</w:t>
      </w:r>
    </w:p>
    <w:p w:rsidR="006F3CF7" w:rsidRPr="007A3E2F" w:rsidRDefault="00745481" w:rsidP="00AD14A4">
      <w:pPr>
        <w:ind w:firstLine="0"/>
        <w:rPr>
          <w:rFonts w:ascii="Arial" w:hAnsi="Arial" w:cs="Arial"/>
          <w:b/>
          <w:i/>
          <w:sz w:val="24"/>
          <w:szCs w:val="24"/>
        </w:rPr>
      </w:pPr>
      <w:r w:rsidRPr="007A3E2F">
        <w:rPr>
          <w:rFonts w:ascii="Arial" w:hAnsi="Arial" w:cs="Arial"/>
          <w:b/>
          <w:i/>
          <w:sz w:val="24"/>
          <w:szCs w:val="24"/>
        </w:rPr>
        <w:t>Time Interest Earned</w:t>
      </w:r>
    </w:p>
    <w:p w:rsidR="006F3CF7" w:rsidRPr="007A3E2F" w:rsidRDefault="006F3CF7" w:rsidP="002E79A8">
      <w:pPr>
        <w:rPr>
          <w:rFonts w:ascii="Arial" w:hAnsi="Arial" w:cs="Arial"/>
          <w:sz w:val="24"/>
          <w:szCs w:val="24"/>
        </w:rPr>
      </w:pPr>
      <w:r w:rsidRPr="007A3E2F">
        <w:rPr>
          <w:rFonts w:ascii="Arial" w:hAnsi="Arial" w:cs="Arial"/>
          <w:sz w:val="24"/>
          <w:szCs w:val="24"/>
        </w:rPr>
        <w:t xml:space="preserve">This ratio measures the ratio between the amount of </w:t>
      </w:r>
      <w:r w:rsidR="00745481" w:rsidRPr="007A3E2F">
        <w:rPr>
          <w:rFonts w:ascii="Arial" w:hAnsi="Arial" w:cs="Arial"/>
          <w:sz w:val="24"/>
          <w:szCs w:val="24"/>
        </w:rPr>
        <w:t xml:space="preserve">interest due </w:t>
      </w:r>
      <w:r w:rsidRPr="007A3E2F">
        <w:rPr>
          <w:rFonts w:ascii="Arial" w:hAnsi="Arial" w:cs="Arial"/>
          <w:sz w:val="24"/>
          <w:szCs w:val="24"/>
        </w:rPr>
        <w:t xml:space="preserve">to </w:t>
      </w:r>
      <w:r w:rsidR="00745481" w:rsidRPr="007A3E2F">
        <w:rPr>
          <w:rFonts w:ascii="Arial" w:hAnsi="Arial" w:cs="Arial"/>
          <w:sz w:val="24"/>
          <w:szCs w:val="24"/>
        </w:rPr>
        <w:t xml:space="preserve">in this year and Operational profit. This ratio stated that </w:t>
      </w:r>
      <w:r w:rsidRPr="007A3E2F">
        <w:rPr>
          <w:rFonts w:ascii="Arial" w:hAnsi="Arial" w:cs="Arial"/>
          <w:sz w:val="24"/>
          <w:szCs w:val="24"/>
        </w:rPr>
        <w:t>the company</w:t>
      </w:r>
      <w:r w:rsidR="00745481" w:rsidRPr="007A3E2F">
        <w:rPr>
          <w:rFonts w:ascii="Arial" w:hAnsi="Arial" w:cs="Arial"/>
          <w:sz w:val="24"/>
          <w:szCs w:val="24"/>
        </w:rPr>
        <w:t xml:space="preserve"> has</w:t>
      </w:r>
      <w:r w:rsidRPr="007A3E2F">
        <w:rPr>
          <w:rFonts w:ascii="Arial" w:hAnsi="Arial" w:cs="Arial"/>
          <w:sz w:val="24"/>
          <w:szCs w:val="24"/>
        </w:rPr>
        <w:t xml:space="preserve"> ability to generate operating profit by reducing the cost of selling goods and operating costs from total revenue. </w:t>
      </w:r>
      <w:r w:rsidR="00AD14A4" w:rsidRPr="007A3E2F">
        <w:rPr>
          <w:rFonts w:ascii="Arial" w:hAnsi="Arial" w:cs="Arial"/>
          <w:sz w:val="24"/>
          <w:szCs w:val="24"/>
        </w:rPr>
        <w:t>This ratio will be calculated as follows:</w:t>
      </w:r>
    </w:p>
    <w:p w:rsidR="00AD14A4" w:rsidRPr="007A3E2F" w:rsidRDefault="00745481" w:rsidP="002E79A8">
      <w:pPr>
        <w:rPr>
          <w:rFonts w:ascii="Arial" w:hAnsi="Arial" w:cs="Arial"/>
          <w:sz w:val="24"/>
          <w:szCs w:val="24"/>
        </w:rPr>
      </w:pPr>
      <w:r w:rsidRPr="007A3E2F">
        <w:rPr>
          <w:rFonts w:ascii="Arial" w:hAnsi="Arial" w:cs="Arial"/>
          <w:position w:val="-28"/>
          <w:sz w:val="24"/>
          <w:szCs w:val="24"/>
        </w:rPr>
        <w:object w:dxaOrig="2460" w:dyaOrig="660">
          <v:shape id="_x0000_i1030" type="#_x0000_t75" style="width:123pt;height:33pt" o:ole="">
            <v:imagedata r:id="rId18" o:title=""/>
          </v:shape>
          <o:OLEObject Type="Embed" ProgID="Equation.3" ShapeID="_x0000_i1030" DrawAspect="Content" ObjectID="_1649039299" r:id="rId19"/>
        </w:object>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r>
      <w:r w:rsidR="00117B41" w:rsidRPr="007A3E2F">
        <w:rPr>
          <w:rFonts w:ascii="Arial" w:hAnsi="Arial" w:cs="Arial"/>
          <w:sz w:val="24"/>
          <w:szCs w:val="24"/>
        </w:rPr>
        <w:tab/>
        <w:t>(</w:t>
      </w:r>
      <w:r w:rsidR="00682206">
        <w:rPr>
          <w:rFonts w:ascii="Arial" w:hAnsi="Arial" w:cs="Arial"/>
          <w:sz w:val="24"/>
          <w:szCs w:val="24"/>
        </w:rPr>
        <w:t>6</w:t>
      </w:r>
      <w:r w:rsidR="00117B41" w:rsidRPr="007A3E2F">
        <w:rPr>
          <w:rFonts w:ascii="Arial" w:hAnsi="Arial" w:cs="Arial"/>
          <w:sz w:val="24"/>
          <w:szCs w:val="24"/>
        </w:rPr>
        <w:t>)</w:t>
      </w:r>
    </w:p>
    <w:p w:rsidR="001C0EF4" w:rsidRPr="007A3E2F" w:rsidRDefault="00745481" w:rsidP="002E79A8">
      <w:pPr>
        <w:ind w:firstLine="0"/>
        <w:rPr>
          <w:rFonts w:ascii="Arial" w:hAnsi="Arial" w:cs="Arial"/>
          <w:sz w:val="24"/>
          <w:szCs w:val="24"/>
        </w:rPr>
      </w:pPr>
      <w:r w:rsidRPr="007A3E2F">
        <w:rPr>
          <w:rFonts w:ascii="Arial" w:hAnsi="Arial" w:cs="Arial"/>
          <w:sz w:val="24"/>
          <w:szCs w:val="24"/>
        </w:rPr>
        <w:t xml:space="preserve">This five ratio will use as independent </w:t>
      </w:r>
      <w:r w:rsidR="00172705" w:rsidRPr="007A3E2F">
        <w:rPr>
          <w:rFonts w:ascii="Arial" w:hAnsi="Arial" w:cs="Arial"/>
          <w:sz w:val="24"/>
          <w:szCs w:val="24"/>
        </w:rPr>
        <w:t>in this</w:t>
      </w:r>
      <w:r w:rsidRPr="007A3E2F">
        <w:rPr>
          <w:rFonts w:ascii="Arial" w:hAnsi="Arial" w:cs="Arial"/>
          <w:sz w:val="24"/>
          <w:szCs w:val="24"/>
        </w:rPr>
        <w:t xml:space="preserve"> research.</w:t>
      </w:r>
    </w:p>
    <w:p w:rsidR="00745481" w:rsidRPr="007A3E2F" w:rsidRDefault="00745481" w:rsidP="002E79A8">
      <w:pPr>
        <w:ind w:firstLine="0"/>
        <w:rPr>
          <w:rFonts w:ascii="Arial" w:hAnsi="Arial" w:cs="Arial"/>
          <w:b/>
          <w:sz w:val="24"/>
          <w:szCs w:val="24"/>
        </w:rPr>
      </w:pPr>
    </w:p>
    <w:p w:rsidR="002E79A8" w:rsidRPr="007A3E2F" w:rsidRDefault="002E79A8" w:rsidP="00EB55D4">
      <w:pPr>
        <w:tabs>
          <w:tab w:val="left" w:pos="709"/>
        </w:tabs>
        <w:ind w:firstLine="0"/>
        <w:rPr>
          <w:rFonts w:ascii="Arial" w:hAnsi="Arial" w:cs="Arial"/>
          <w:b/>
          <w:sz w:val="24"/>
          <w:szCs w:val="24"/>
        </w:rPr>
      </w:pPr>
      <w:r w:rsidRPr="007A3E2F">
        <w:rPr>
          <w:rFonts w:ascii="Arial" w:hAnsi="Arial" w:cs="Arial"/>
          <w:b/>
          <w:sz w:val="24"/>
          <w:szCs w:val="24"/>
        </w:rPr>
        <w:t>Results and Discussion</w:t>
      </w:r>
    </w:p>
    <w:p w:rsidR="00172705" w:rsidRPr="007A3E2F" w:rsidRDefault="00172705" w:rsidP="00EB55D4">
      <w:pPr>
        <w:tabs>
          <w:tab w:val="left" w:pos="709"/>
        </w:tabs>
        <w:ind w:firstLine="0"/>
        <w:rPr>
          <w:rFonts w:ascii="Arial" w:hAnsi="Arial" w:cs="Arial"/>
          <w:b/>
          <w:i/>
          <w:sz w:val="24"/>
          <w:szCs w:val="24"/>
        </w:rPr>
      </w:pPr>
      <w:r w:rsidRPr="007A3E2F">
        <w:rPr>
          <w:rFonts w:ascii="Arial" w:hAnsi="Arial" w:cs="Arial"/>
          <w:b/>
          <w:i/>
          <w:sz w:val="24"/>
          <w:szCs w:val="24"/>
        </w:rPr>
        <w:t>Descriptive Analysis</w:t>
      </w:r>
    </w:p>
    <w:p w:rsidR="00172705" w:rsidRDefault="004D38AB" w:rsidP="00172705">
      <w:pPr>
        <w:tabs>
          <w:tab w:val="left" w:pos="709"/>
        </w:tabs>
        <w:ind w:firstLine="0"/>
        <w:rPr>
          <w:rFonts w:ascii="Arial" w:hAnsi="Arial" w:cs="Arial"/>
          <w:sz w:val="24"/>
          <w:szCs w:val="24"/>
        </w:rPr>
      </w:pPr>
      <w:r w:rsidRPr="007A3E2F">
        <w:rPr>
          <w:rFonts w:ascii="Arial" w:hAnsi="Arial" w:cs="Arial"/>
          <w:sz w:val="24"/>
          <w:szCs w:val="24"/>
        </w:rPr>
        <w:t xml:space="preserve">Descriptive analysis </w:t>
      </w:r>
      <w:r w:rsidR="00172705" w:rsidRPr="007A3E2F">
        <w:rPr>
          <w:rFonts w:ascii="Arial" w:hAnsi="Arial" w:cs="Arial"/>
          <w:sz w:val="24"/>
          <w:szCs w:val="24"/>
        </w:rPr>
        <w:t xml:space="preserve">will use data in table 1 that it contain </w:t>
      </w:r>
      <w:r w:rsidRPr="007A3E2F">
        <w:rPr>
          <w:rFonts w:ascii="Arial" w:hAnsi="Arial" w:cs="Arial"/>
          <w:sz w:val="24"/>
          <w:szCs w:val="24"/>
        </w:rPr>
        <w:t xml:space="preserve">the minimum, maximum, mean (mean), standard deviation, skewness and kurtosis values ​​of each research variable. </w:t>
      </w:r>
    </w:p>
    <w:p w:rsidR="00A728D6" w:rsidRDefault="00A728D6" w:rsidP="00172705">
      <w:pPr>
        <w:tabs>
          <w:tab w:val="left" w:pos="709"/>
        </w:tabs>
        <w:ind w:firstLine="0"/>
        <w:rPr>
          <w:rFonts w:ascii="Arial" w:hAnsi="Arial" w:cs="Arial"/>
          <w:sz w:val="24"/>
          <w:szCs w:val="24"/>
        </w:rPr>
      </w:pPr>
    </w:p>
    <w:p w:rsidR="00A728D6" w:rsidRDefault="00A728D6" w:rsidP="00172705">
      <w:pPr>
        <w:tabs>
          <w:tab w:val="left" w:pos="709"/>
        </w:tabs>
        <w:ind w:firstLine="0"/>
        <w:rPr>
          <w:rFonts w:ascii="Arial" w:hAnsi="Arial" w:cs="Arial"/>
          <w:sz w:val="24"/>
          <w:szCs w:val="24"/>
        </w:rPr>
      </w:pPr>
    </w:p>
    <w:p w:rsidR="00A728D6" w:rsidRPr="007A3E2F" w:rsidRDefault="00A728D6" w:rsidP="00172705">
      <w:pPr>
        <w:tabs>
          <w:tab w:val="left" w:pos="709"/>
        </w:tabs>
        <w:ind w:firstLine="0"/>
        <w:rPr>
          <w:rFonts w:ascii="Arial" w:hAnsi="Arial" w:cs="Arial"/>
          <w:sz w:val="24"/>
          <w:szCs w:val="24"/>
        </w:rPr>
      </w:pPr>
    </w:p>
    <w:p w:rsidR="004D38AB" w:rsidRDefault="00172705" w:rsidP="00EB55D4">
      <w:pPr>
        <w:tabs>
          <w:tab w:val="left" w:pos="709"/>
        </w:tabs>
        <w:ind w:firstLine="0"/>
        <w:rPr>
          <w:rFonts w:ascii="Times New Roman" w:hAnsi="Times New Roman" w:cs="Times New Roman"/>
          <w:sz w:val="24"/>
          <w:szCs w:val="24"/>
        </w:rPr>
      </w:pPr>
      <w:r w:rsidRPr="007A3E2F">
        <w:rPr>
          <w:rFonts w:ascii="Arial" w:hAnsi="Arial" w:cs="Arial"/>
          <w:sz w:val="24"/>
          <w:szCs w:val="24"/>
        </w:rPr>
        <w:lastRenderedPageBreak/>
        <w:t xml:space="preserve">Table </w:t>
      </w:r>
      <w:r w:rsidR="004D38AB" w:rsidRPr="007A3E2F">
        <w:rPr>
          <w:rFonts w:ascii="Arial" w:hAnsi="Arial" w:cs="Arial"/>
          <w:sz w:val="24"/>
          <w:szCs w:val="24"/>
        </w:rPr>
        <w:t>1</w:t>
      </w:r>
      <w:r w:rsidRPr="007A3E2F">
        <w:rPr>
          <w:rFonts w:ascii="Arial" w:hAnsi="Arial" w:cs="Arial"/>
          <w:sz w:val="24"/>
          <w:szCs w:val="24"/>
        </w:rPr>
        <w:t>:</w:t>
      </w:r>
      <w:r w:rsidR="004D38AB" w:rsidRPr="007A3E2F">
        <w:rPr>
          <w:rFonts w:ascii="Arial" w:hAnsi="Arial" w:cs="Arial"/>
          <w:sz w:val="24"/>
          <w:szCs w:val="24"/>
        </w:rPr>
        <w:t xml:space="preserve"> The following is an explanation of each variable rel</w:t>
      </w:r>
      <w:r w:rsidRPr="007A3E2F">
        <w:rPr>
          <w:rFonts w:ascii="Arial" w:hAnsi="Arial" w:cs="Arial"/>
          <w:sz w:val="24"/>
          <w:szCs w:val="24"/>
        </w:rPr>
        <w:t>ated to descriptive statistics</w:t>
      </w:r>
    </w:p>
    <w:p w:rsidR="004D38AB" w:rsidRPr="000B4256" w:rsidRDefault="004D38AB" w:rsidP="00EB55D4">
      <w:pPr>
        <w:pStyle w:val="ListParagraph"/>
        <w:ind w:left="0" w:firstLine="0"/>
        <w:rPr>
          <w:rFonts w:ascii="Times New Roman" w:hAnsi="Times New Roman" w:cs="Times New Roman"/>
          <w:sz w:val="24"/>
          <w:szCs w:val="24"/>
        </w:rPr>
      </w:pPr>
      <w:r w:rsidRPr="000B4256">
        <w:rPr>
          <w:rFonts w:ascii="Times New Roman" w:hAnsi="Times New Roman" w:cs="Times New Roman"/>
          <w:noProof/>
          <w:sz w:val="24"/>
          <w:szCs w:val="24"/>
        </w:rPr>
        <w:drawing>
          <wp:inline distT="0" distB="0" distL="0" distR="0">
            <wp:extent cx="5396230" cy="22449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96230" cy="2244924"/>
                    </a:xfrm>
                    <a:prstGeom prst="rect">
                      <a:avLst/>
                    </a:prstGeom>
                    <a:noFill/>
                    <a:ln w="9525">
                      <a:noFill/>
                      <a:miter lim="800000"/>
                      <a:headEnd/>
                      <a:tailEnd/>
                    </a:ln>
                  </pic:spPr>
                </pic:pic>
              </a:graphicData>
            </a:graphic>
          </wp:inline>
        </w:drawing>
      </w:r>
    </w:p>
    <w:p w:rsidR="00A213CB" w:rsidRDefault="00A213CB" w:rsidP="00A213CB">
      <w:pPr>
        <w:tabs>
          <w:tab w:val="left" w:pos="709"/>
        </w:tabs>
        <w:ind w:firstLine="0"/>
        <w:rPr>
          <w:rFonts w:ascii="Times New Roman" w:hAnsi="Times New Roman" w:cs="Times New Roman"/>
          <w:sz w:val="24"/>
          <w:szCs w:val="24"/>
        </w:rPr>
      </w:pPr>
      <w:r>
        <w:rPr>
          <w:rFonts w:ascii="Times New Roman" w:hAnsi="Times New Roman" w:cs="Times New Roman"/>
          <w:sz w:val="24"/>
          <w:szCs w:val="24"/>
        </w:rPr>
        <w:t>Source: Researcher Process</w:t>
      </w:r>
    </w:p>
    <w:p w:rsidR="00A213CB" w:rsidRDefault="00A213CB" w:rsidP="00A213CB">
      <w:pPr>
        <w:tabs>
          <w:tab w:val="left" w:pos="709"/>
        </w:tabs>
        <w:ind w:firstLine="0"/>
        <w:rPr>
          <w:rFonts w:ascii="Times New Roman" w:hAnsi="Times New Roman" w:cs="Times New Roman"/>
          <w:sz w:val="24"/>
          <w:szCs w:val="24"/>
        </w:rPr>
      </w:pPr>
    </w:p>
    <w:p w:rsidR="00A213CB" w:rsidRPr="00A728D6" w:rsidRDefault="00A213CB" w:rsidP="00A213CB">
      <w:pPr>
        <w:tabs>
          <w:tab w:val="left" w:pos="709"/>
        </w:tabs>
        <w:ind w:firstLine="0"/>
        <w:rPr>
          <w:rFonts w:ascii="Arial" w:hAnsi="Arial" w:cs="Arial"/>
          <w:sz w:val="24"/>
          <w:szCs w:val="24"/>
        </w:rPr>
      </w:pPr>
      <w:r w:rsidRPr="00A728D6">
        <w:rPr>
          <w:rFonts w:ascii="Arial" w:hAnsi="Arial" w:cs="Arial"/>
          <w:sz w:val="24"/>
          <w:szCs w:val="24"/>
        </w:rPr>
        <w:t>The average value of the Expected Default Frequency (EDF) of coal companies listed on the Indonesia Stock Exchan</w:t>
      </w:r>
      <w:r w:rsidR="00A7258A" w:rsidRPr="00A728D6">
        <w:rPr>
          <w:rFonts w:ascii="Arial" w:hAnsi="Arial" w:cs="Arial"/>
          <w:sz w:val="24"/>
          <w:szCs w:val="24"/>
        </w:rPr>
        <w:t xml:space="preserve">ge (IDX) during 2013-2018 was </w:t>
      </w:r>
      <w:r w:rsidRPr="00A728D6">
        <w:rPr>
          <w:rFonts w:ascii="Arial" w:hAnsi="Arial" w:cs="Arial"/>
          <w:sz w:val="24"/>
          <w:szCs w:val="24"/>
        </w:rPr>
        <w:t>90</w:t>
      </w:r>
      <w:r w:rsidR="00A7258A" w:rsidRPr="00A728D6">
        <w:rPr>
          <w:rFonts w:ascii="Arial" w:hAnsi="Arial" w:cs="Arial"/>
          <w:sz w:val="24"/>
          <w:szCs w:val="24"/>
        </w:rPr>
        <w:t>.</w:t>
      </w:r>
      <w:r w:rsidRPr="00A728D6">
        <w:rPr>
          <w:rFonts w:ascii="Arial" w:hAnsi="Arial" w:cs="Arial"/>
          <w:sz w:val="24"/>
          <w:szCs w:val="24"/>
        </w:rPr>
        <w:t>8</w:t>
      </w:r>
      <w:r w:rsidR="00A7258A" w:rsidRPr="00A728D6">
        <w:rPr>
          <w:rFonts w:ascii="Arial" w:hAnsi="Arial" w:cs="Arial"/>
          <w:sz w:val="24"/>
          <w:szCs w:val="24"/>
        </w:rPr>
        <w:t>1%</w:t>
      </w:r>
      <w:r w:rsidRPr="00A728D6">
        <w:rPr>
          <w:rFonts w:ascii="Arial" w:hAnsi="Arial" w:cs="Arial"/>
          <w:sz w:val="24"/>
          <w:szCs w:val="24"/>
        </w:rPr>
        <w:t>. Furthermore EDF has a maximum value of 1 and a minimum value of 0.387 with a stand</w:t>
      </w:r>
      <w:r w:rsidR="00A7258A" w:rsidRPr="00A728D6">
        <w:rPr>
          <w:rFonts w:ascii="Arial" w:hAnsi="Arial" w:cs="Arial"/>
          <w:sz w:val="24"/>
          <w:szCs w:val="24"/>
        </w:rPr>
        <w:t xml:space="preserve">ard deviation of </w:t>
      </w:r>
      <w:r w:rsidRPr="00A728D6">
        <w:rPr>
          <w:rFonts w:ascii="Arial" w:hAnsi="Arial" w:cs="Arial"/>
          <w:sz w:val="24"/>
          <w:szCs w:val="24"/>
        </w:rPr>
        <w:t>15</w:t>
      </w:r>
      <w:r w:rsidR="00A7258A" w:rsidRPr="00A728D6">
        <w:rPr>
          <w:rFonts w:ascii="Arial" w:hAnsi="Arial" w:cs="Arial"/>
          <w:sz w:val="24"/>
          <w:szCs w:val="24"/>
        </w:rPr>
        <w:t>.</w:t>
      </w:r>
      <w:r w:rsidRPr="00A728D6">
        <w:rPr>
          <w:rFonts w:ascii="Arial" w:hAnsi="Arial" w:cs="Arial"/>
          <w:sz w:val="24"/>
          <w:szCs w:val="24"/>
        </w:rPr>
        <w:t xml:space="preserve">4, the Skewness value of -2,270 and kurtosis of 4,877. </w:t>
      </w:r>
      <w:r w:rsidR="00A7258A" w:rsidRPr="00A728D6">
        <w:rPr>
          <w:rFonts w:ascii="Arial" w:hAnsi="Arial" w:cs="Arial"/>
          <w:sz w:val="24"/>
          <w:szCs w:val="24"/>
        </w:rPr>
        <w:t>This Figure indicate that fluctuation Probability Defau</w:t>
      </w:r>
      <w:r w:rsidR="00355616" w:rsidRPr="00A728D6">
        <w:rPr>
          <w:rFonts w:ascii="Arial" w:hAnsi="Arial" w:cs="Arial"/>
          <w:sz w:val="24"/>
          <w:szCs w:val="24"/>
        </w:rPr>
        <w:t>l</w:t>
      </w:r>
      <w:r w:rsidR="00A7258A" w:rsidRPr="00A728D6">
        <w:rPr>
          <w:rFonts w:ascii="Arial" w:hAnsi="Arial" w:cs="Arial"/>
          <w:sz w:val="24"/>
          <w:szCs w:val="24"/>
        </w:rPr>
        <w:t>t Frequency among company is high, even the figure closed to 1.</w:t>
      </w:r>
    </w:p>
    <w:p w:rsidR="004D38AB" w:rsidRPr="00A728D6" w:rsidRDefault="004D38AB" w:rsidP="00EB55D4">
      <w:pPr>
        <w:pStyle w:val="ListParagraph"/>
        <w:ind w:left="0" w:firstLine="0"/>
        <w:rPr>
          <w:rFonts w:ascii="Arial" w:hAnsi="Arial" w:cs="Arial"/>
          <w:sz w:val="24"/>
          <w:szCs w:val="24"/>
        </w:rPr>
      </w:pPr>
      <w:r w:rsidRPr="00A728D6">
        <w:rPr>
          <w:rFonts w:ascii="Arial" w:hAnsi="Arial" w:cs="Arial"/>
          <w:sz w:val="24"/>
          <w:szCs w:val="24"/>
        </w:rPr>
        <w:t xml:space="preserve">The average value (mean) </w:t>
      </w:r>
      <w:r w:rsidR="00172705" w:rsidRPr="00A728D6">
        <w:rPr>
          <w:rFonts w:ascii="Arial" w:hAnsi="Arial" w:cs="Arial"/>
          <w:sz w:val="24"/>
          <w:szCs w:val="24"/>
        </w:rPr>
        <w:t xml:space="preserve">of </w:t>
      </w:r>
      <w:r w:rsidRPr="00A728D6">
        <w:rPr>
          <w:rFonts w:ascii="Arial" w:hAnsi="Arial" w:cs="Arial"/>
          <w:sz w:val="24"/>
          <w:szCs w:val="24"/>
        </w:rPr>
        <w:t>Debt to Equity Ratio (DER) of coal companies listed on the Indonesia Stock Exchange (BEI) during the 2013-2018 period was 2.23, this figure shows that the company's capital ability to meet all its obligations is not good because of the ratio which is quite high. Furthermore DER has a maximum value of 1, and a minimum value of -2.113, with a standard deviation of 0.154. While the Skewness value is 5,210 and kurtosis is 31,397. This indicates that the dis</w:t>
      </w:r>
      <w:r w:rsidR="00172705" w:rsidRPr="00A728D6">
        <w:rPr>
          <w:rFonts w:ascii="Arial" w:hAnsi="Arial" w:cs="Arial"/>
          <w:sz w:val="24"/>
          <w:szCs w:val="24"/>
        </w:rPr>
        <w:t>tribution is not ideal and</w:t>
      </w:r>
      <w:r w:rsidRPr="00A728D6">
        <w:rPr>
          <w:rFonts w:ascii="Arial" w:hAnsi="Arial" w:cs="Arial"/>
          <w:sz w:val="24"/>
          <w:szCs w:val="24"/>
        </w:rPr>
        <w:t xml:space="preserve"> </w:t>
      </w:r>
      <w:r w:rsidR="00172705" w:rsidRPr="00A728D6">
        <w:rPr>
          <w:rFonts w:ascii="Arial" w:hAnsi="Arial" w:cs="Arial"/>
          <w:sz w:val="24"/>
          <w:szCs w:val="24"/>
        </w:rPr>
        <w:t>a</w:t>
      </w:r>
      <w:r w:rsidRPr="00A728D6">
        <w:rPr>
          <w:rFonts w:ascii="Arial" w:hAnsi="Arial" w:cs="Arial"/>
          <w:sz w:val="24"/>
          <w:szCs w:val="24"/>
        </w:rPr>
        <w:t xml:space="preserve"> low ratio indicates a company's poor performance in paying its receivables. </w:t>
      </w:r>
    </w:p>
    <w:p w:rsidR="00863B38" w:rsidRPr="00A728D6" w:rsidRDefault="004D38AB" w:rsidP="00EB55D4">
      <w:pPr>
        <w:tabs>
          <w:tab w:val="left" w:pos="709"/>
        </w:tabs>
        <w:ind w:firstLine="0"/>
        <w:rPr>
          <w:rFonts w:ascii="Arial" w:hAnsi="Arial" w:cs="Arial"/>
          <w:sz w:val="24"/>
          <w:szCs w:val="24"/>
        </w:rPr>
      </w:pPr>
      <w:r w:rsidRPr="00A728D6">
        <w:rPr>
          <w:rFonts w:ascii="Arial" w:hAnsi="Arial" w:cs="Arial"/>
          <w:sz w:val="24"/>
          <w:szCs w:val="24"/>
        </w:rPr>
        <w:t>The average value (mean) Gross Profit Margin (GPM) of coal companies listed on the Indonesia Stock Exchange (BEI) during the 2013-2018 period was 22.6%</w:t>
      </w:r>
      <w:r w:rsidR="00172705" w:rsidRPr="00A728D6">
        <w:rPr>
          <w:rFonts w:ascii="Arial" w:hAnsi="Arial" w:cs="Arial"/>
          <w:sz w:val="24"/>
          <w:szCs w:val="24"/>
        </w:rPr>
        <w:t>.</w:t>
      </w:r>
      <w:r w:rsidRPr="00A728D6">
        <w:rPr>
          <w:rFonts w:ascii="Arial" w:hAnsi="Arial" w:cs="Arial"/>
          <w:sz w:val="24"/>
          <w:szCs w:val="24"/>
        </w:rPr>
        <w:t xml:space="preserve"> </w:t>
      </w:r>
      <w:r w:rsidR="00172705" w:rsidRPr="00A728D6">
        <w:rPr>
          <w:rFonts w:ascii="Arial" w:hAnsi="Arial" w:cs="Arial"/>
          <w:sz w:val="24"/>
          <w:szCs w:val="24"/>
        </w:rPr>
        <w:t>T</w:t>
      </w:r>
      <w:r w:rsidRPr="00A728D6">
        <w:rPr>
          <w:rFonts w:ascii="Arial" w:hAnsi="Arial" w:cs="Arial"/>
          <w:sz w:val="24"/>
          <w:szCs w:val="24"/>
        </w:rPr>
        <w:t xml:space="preserve">his figure shows that the company's performance is not good because the ratio is quite low. Furthermore GPM has a maximum value of 1, and a minimum value of - 1,940, with a standard deviation of 0.406. While the Skewness value is -3.224 </w:t>
      </w:r>
      <w:r w:rsidRPr="00A728D6">
        <w:rPr>
          <w:rFonts w:ascii="Arial" w:hAnsi="Arial" w:cs="Arial"/>
          <w:sz w:val="24"/>
          <w:szCs w:val="24"/>
        </w:rPr>
        <w:lastRenderedPageBreak/>
        <w:t>and kurtosis is 16.729. This indicates that the distribution is not ideal and  the value of the company's GPM ratio is relatively low</w:t>
      </w:r>
      <w:r w:rsidR="00172705" w:rsidRPr="00A728D6">
        <w:rPr>
          <w:rFonts w:ascii="Arial" w:hAnsi="Arial" w:cs="Arial"/>
          <w:sz w:val="24"/>
          <w:szCs w:val="24"/>
        </w:rPr>
        <w:t>. It</w:t>
      </w:r>
      <w:r w:rsidRPr="00A728D6">
        <w:rPr>
          <w:rFonts w:ascii="Arial" w:hAnsi="Arial" w:cs="Arial"/>
          <w:sz w:val="24"/>
          <w:szCs w:val="24"/>
        </w:rPr>
        <w:t xml:space="preserve"> means that the company has an underperformance in managing its profits, this can be one of the causes of the company's bankruptcy probability.</w:t>
      </w:r>
      <w:r w:rsidR="00863B38" w:rsidRPr="00A728D6">
        <w:rPr>
          <w:rFonts w:ascii="Arial" w:hAnsi="Arial" w:cs="Arial"/>
          <w:sz w:val="24"/>
          <w:szCs w:val="24"/>
        </w:rPr>
        <w:t xml:space="preserve"> </w:t>
      </w:r>
      <w:r w:rsidRPr="00A728D6">
        <w:rPr>
          <w:rFonts w:ascii="Arial" w:hAnsi="Arial" w:cs="Arial"/>
          <w:sz w:val="24"/>
          <w:szCs w:val="24"/>
        </w:rPr>
        <w:t>The lowest GPM value is owned by PT. Garda Tujuh Buana, Tbk (GTPO) in 2016, while the highest GPM value is owned by PT. Earth Resources (BUMI) in 2016.</w:t>
      </w:r>
    </w:p>
    <w:p w:rsidR="00A213CB" w:rsidRPr="00A728D6" w:rsidRDefault="004D38AB" w:rsidP="00EB55D4">
      <w:pPr>
        <w:tabs>
          <w:tab w:val="left" w:pos="709"/>
        </w:tabs>
        <w:ind w:firstLine="0"/>
        <w:rPr>
          <w:rFonts w:ascii="Arial" w:hAnsi="Arial" w:cs="Arial"/>
          <w:sz w:val="24"/>
          <w:szCs w:val="24"/>
        </w:rPr>
      </w:pPr>
      <w:r w:rsidRPr="00A728D6">
        <w:rPr>
          <w:rFonts w:ascii="Arial" w:hAnsi="Arial" w:cs="Arial"/>
          <w:sz w:val="24"/>
          <w:szCs w:val="24"/>
        </w:rPr>
        <w:t>The average value (mean)</w:t>
      </w:r>
      <w:r w:rsidR="00172705" w:rsidRPr="00A728D6">
        <w:rPr>
          <w:rFonts w:ascii="Arial" w:hAnsi="Arial" w:cs="Arial"/>
          <w:sz w:val="24"/>
          <w:szCs w:val="24"/>
        </w:rPr>
        <w:t xml:space="preserve"> of</w:t>
      </w:r>
      <w:r w:rsidRPr="00A728D6">
        <w:rPr>
          <w:rFonts w:ascii="Arial" w:hAnsi="Arial" w:cs="Arial"/>
          <w:sz w:val="24"/>
          <w:szCs w:val="24"/>
        </w:rPr>
        <w:t xml:space="preserve"> Net Profit Margin (NPM) of coal companies listed on the Indonesia Stock Exchange (BEI) during </w:t>
      </w:r>
      <w:r w:rsidR="00172705" w:rsidRPr="00A728D6">
        <w:rPr>
          <w:rFonts w:ascii="Arial" w:hAnsi="Arial" w:cs="Arial"/>
          <w:sz w:val="24"/>
          <w:szCs w:val="24"/>
        </w:rPr>
        <w:t>the 2013-2018 period was -0,052.  T</w:t>
      </w:r>
      <w:r w:rsidRPr="00A728D6">
        <w:rPr>
          <w:rFonts w:ascii="Arial" w:hAnsi="Arial" w:cs="Arial"/>
          <w:sz w:val="24"/>
          <w:szCs w:val="24"/>
        </w:rPr>
        <w:t>his figure shows that the company's performance is not good because the ratio is quite low. Furthermore NPM has a maximum value of 13,977, and a minimum value of -20,719, with a standard deviation of 3,639</w:t>
      </w:r>
      <w:r w:rsidR="00172705" w:rsidRPr="00A728D6">
        <w:rPr>
          <w:rFonts w:ascii="Arial" w:hAnsi="Arial" w:cs="Arial"/>
          <w:sz w:val="24"/>
          <w:szCs w:val="24"/>
        </w:rPr>
        <w:t xml:space="preserve"> and</w:t>
      </w:r>
      <w:r w:rsidRPr="00A728D6">
        <w:rPr>
          <w:rFonts w:ascii="Arial" w:hAnsi="Arial" w:cs="Arial"/>
          <w:sz w:val="24"/>
          <w:szCs w:val="24"/>
        </w:rPr>
        <w:t xml:space="preserve"> the Skewness value is -2,564 and kurtosis is 25,347. This </w:t>
      </w:r>
      <w:r w:rsidR="00172705" w:rsidRPr="00A728D6">
        <w:rPr>
          <w:rFonts w:ascii="Arial" w:hAnsi="Arial" w:cs="Arial"/>
          <w:sz w:val="24"/>
          <w:szCs w:val="24"/>
        </w:rPr>
        <w:t>figure stated</w:t>
      </w:r>
      <w:r w:rsidRPr="00A728D6">
        <w:rPr>
          <w:rFonts w:ascii="Arial" w:hAnsi="Arial" w:cs="Arial"/>
          <w:sz w:val="24"/>
          <w:szCs w:val="24"/>
        </w:rPr>
        <w:t xml:space="preserve"> that the </w:t>
      </w:r>
      <w:r w:rsidR="00A213CB" w:rsidRPr="00A728D6">
        <w:rPr>
          <w:rFonts w:ascii="Arial" w:hAnsi="Arial" w:cs="Arial"/>
          <w:sz w:val="24"/>
          <w:szCs w:val="24"/>
        </w:rPr>
        <w:t xml:space="preserve">management capability of company is low to manage </w:t>
      </w:r>
      <w:r w:rsidRPr="00A728D6">
        <w:rPr>
          <w:rFonts w:ascii="Arial" w:hAnsi="Arial" w:cs="Arial"/>
          <w:sz w:val="24"/>
          <w:szCs w:val="24"/>
        </w:rPr>
        <w:t xml:space="preserve"> its net profit. </w:t>
      </w:r>
    </w:p>
    <w:p w:rsidR="004D38AB" w:rsidRPr="00A728D6" w:rsidRDefault="008C3F9D" w:rsidP="00EB55D4">
      <w:pPr>
        <w:tabs>
          <w:tab w:val="left" w:pos="709"/>
        </w:tabs>
        <w:ind w:firstLine="0"/>
        <w:rPr>
          <w:rFonts w:ascii="Arial" w:hAnsi="Arial" w:cs="Arial"/>
          <w:sz w:val="24"/>
          <w:szCs w:val="24"/>
        </w:rPr>
      </w:pPr>
      <w:r w:rsidRPr="00A728D6">
        <w:rPr>
          <w:rFonts w:ascii="Arial" w:hAnsi="Arial" w:cs="Arial"/>
          <w:sz w:val="24"/>
          <w:szCs w:val="24"/>
        </w:rPr>
        <w:tab/>
      </w:r>
      <w:r w:rsidR="004D38AB" w:rsidRPr="00A728D6">
        <w:rPr>
          <w:rFonts w:ascii="Arial" w:hAnsi="Arial" w:cs="Arial"/>
          <w:sz w:val="24"/>
          <w:szCs w:val="24"/>
        </w:rPr>
        <w:t>The mean value (mean) of EBIT / Interest of coal companies listed on the Indonesia Stock Exchange (IDX) during the 2013-2018 period is 24</w:t>
      </w:r>
      <w:r w:rsidR="00A213CB" w:rsidRPr="00A728D6">
        <w:rPr>
          <w:rFonts w:ascii="Arial" w:hAnsi="Arial" w:cs="Arial"/>
          <w:sz w:val="24"/>
          <w:szCs w:val="24"/>
        </w:rPr>
        <w:t>.</w:t>
      </w:r>
      <w:r w:rsidR="004D38AB" w:rsidRPr="00A728D6">
        <w:rPr>
          <w:rFonts w:ascii="Arial" w:hAnsi="Arial" w:cs="Arial"/>
          <w:sz w:val="24"/>
          <w:szCs w:val="24"/>
        </w:rPr>
        <w:t>773. Furthermore TIE has a maximum value of 489,390, and a minimum value of -787</w:t>
      </w:r>
      <w:r w:rsidR="00A213CB" w:rsidRPr="00A728D6">
        <w:rPr>
          <w:rFonts w:ascii="Arial" w:hAnsi="Arial" w:cs="Arial"/>
          <w:sz w:val="24"/>
          <w:szCs w:val="24"/>
        </w:rPr>
        <w:t>.</w:t>
      </w:r>
      <w:r w:rsidR="004D38AB" w:rsidRPr="00A728D6">
        <w:rPr>
          <w:rFonts w:ascii="Arial" w:hAnsi="Arial" w:cs="Arial"/>
          <w:sz w:val="24"/>
          <w:szCs w:val="24"/>
        </w:rPr>
        <w:t>533, with a standard deviation of 146</w:t>
      </w:r>
      <w:r w:rsidR="00A213CB" w:rsidRPr="00A728D6">
        <w:rPr>
          <w:rFonts w:ascii="Arial" w:hAnsi="Arial" w:cs="Arial"/>
          <w:sz w:val="24"/>
          <w:szCs w:val="24"/>
        </w:rPr>
        <w:t>.</w:t>
      </w:r>
      <w:r w:rsidR="004D38AB" w:rsidRPr="00A728D6">
        <w:rPr>
          <w:rFonts w:ascii="Arial" w:hAnsi="Arial" w:cs="Arial"/>
          <w:sz w:val="24"/>
          <w:szCs w:val="24"/>
        </w:rPr>
        <w:t>278</w:t>
      </w:r>
      <w:r w:rsidR="00A213CB" w:rsidRPr="00A728D6">
        <w:rPr>
          <w:rFonts w:ascii="Arial" w:hAnsi="Arial" w:cs="Arial"/>
          <w:sz w:val="24"/>
          <w:szCs w:val="24"/>
        </w:rPr>
        <w:t xml:space="preserve">, </w:t>
      </w:r>
      <w:r w:rsidR="004D38AB" w:rsidRPr="00A728D6">
        <w:rPr>
          <w:rFonts w:ascii="Arial" w:hAnsi="Arial" w:cs="Arial"/>
          <w:sz w:val="24"/>
          <w:szCs w:val="24"/>
        </w:rPr>
        <w:t xml:space="preserve">the Skewness value is -2,617 and kurtosis is 21,116. </w:t>
      </w:r>
      <w:r w:rsidR="00A213CB" w:rsidRPr="00A728D6">
        <w:rPr>
          <w:rFonts w:ascii="Arial" w:hAnsi="Arial" w:cs="Arial"/>
          <w:sz w:val="24"/>
          <w:szCs w:val="24"/>
        </w:rPr>
        <w:t xml:space="preserve">The low ration in this figure </w:t>
      </w:r>
      <w:r w:rsidR="004D38AB" w:rsidRPr="00A728D6">
        <w:rPr>
          <w:rFonts w:ascii="Arial" w:hAnsi="Arial" w:cs="Arial"/>
          <w:sz w:val="24"/>
          <w:szCs w:val="24"/>
        </w:rPr>
        <w:t>indicates the poor performance of the company in managing operating costs outside the interest or tax elements.</w:t>
      </w:r>
      <w:r w:rsidR="00F82777" w:rsidRPr="00A728D6">
        <w:rPr>
          <w:rFonts w:ascii="Arial" w:hAnsi="Arial" w:cs="Arial"/>
          <w:sz w:val="24"/>
          <w:szCs w:val="24"/>
        </w:rPr>
        <w:t xml:space="preserve"> </w:t>
      </w:r>
    </w:p>
    <w:p w:rsidR="00A213CB" w:rsidRPr="00A728D6" w:rsidRDefault="008C3F9D" w:rsidP="00EB55D4">
      <w:pPr>
        <w:tabs>
          <w:tab w:val="left" w:pos="709"/>
        </w:tabs>
        <w:ind w:firstLine="0"/>
        <w:rPr>
          <w:rFonts w:ascii="Arial" w:hAnsi="Arial" w:cs="Arial"/>
          <w:sz w:val="24"/>
          <w:szCs w:val="24"/>
        </w:rPr>
      </w:pPr>
      <w:r w:rsidRPr="00A728D6">
        <w:rPr>
          <w:rFonts w:ascii="Arial" w:hAnsi="Arial" w:cs="Arial"/>
          <w:sz w:val="24"/>
          <w:szCs w:val="24"/>
        </w:rPr>
        <w:tab/>
      </w:r>
      <w:r w:rsidR="00F82777" w:rsidRPr="00A728D6">
        <w:rPr>
          <w:rFonts w:ascii="Arial" w:hAnsi="Arial" w:cs="Arial"/>
          <w:sz w:val="24"/>
          <w:szCs w:val="24"/>
        </w:rPr>
        <w:t>The mean value of the current ratio</w:t>
      </w:r>
      <w:r w:rsidR="00A213CB" w:rsidRPr="00A728D6">
        <w:rPr>
          <w:rFonts w:ascii="Arial" w:hAnsi="Arial" w:cs="Arial"/>
          <w:sz w:val="24"/>
          <w:szCs w:val="24"/>
        </w:rPr>
        <w:t xml:space="preserve"> (CR)</w:t>
      </w:r>
      <w:r w:rsidR="00F82777" w:rsidRPr="00A728D6">
        <w:rPr>
          <w:rFonts w:ascii="Arial" w:hAnsi="Arial" w:cs="Arial"/>
          <w:sz w:val="24"/>
          <w:szCs w:val="24"/>
        </w:rPr>
        <w:t xml:space="preserve"> of coal companies listed on the Indonesia Stock Exchange (IDX) during the 2013-2018 period was 4,247. Furthermore CR has a maximum value of 111.313 and a minimum value of 0.169 with a stan</w:t>
      </w:r>
      <w:r w:rsidR="00A213CB" w:rsidRPr="00A728D6">
        <w:rPr>
          <w:rFonts w:ascii="Arial" w:hAnsi="Arial" w:cs="Arial"/>
          <w:sz w:val="24"/>
          <w:szCs w:val="24"/>
        </w:rPr>
        <w:t xml:space="preserve">dard deviation of 15.436, </w:t>
      </w:r>
      <w:r w:rsidR="00F82777" w:rsidRPr="00A728D6">
        <w:rPr>
          <w:rFonts w:ascii="Arial" w:hAnsi="Arial" w:cs="Arial"/>
          <w:sz w:val="24"/>
          <w:szCs w:val="24"/>
        </w:rPr>
        <w:t xml:space="preserve">the Skewness value </w:t>
      </w:r>
      <w:r w:rsidR="00A213CB" w:rsidRPr="00A728D6">
        <w:rPr>
          <w:rFonts w:ascii="Arial" w:hAnsi="Arial" w:cs="Arial"/>
          <w:sz w:val="24"/>
          <w:szCs w:val="24"/>
        </w:rPr>
        <w:t>of</w:t>
      </w:r>
      <w:r w:rsidR="00F82777" w:rsidRPr="00A728D6">
        <w:rPr>
          <w:rFonts w:ascii="Arial" w:hAnsi="Arial" w:cs="Arial"/>
          <w:sz w:val="24"/>
          <w:szCs w:val="24"/>
        </w:rPr>
        <w:t xml:space="preserve"> 6.944 and kurtosis </w:t>
      </w:r>
      <w:r w:rsidR="00A213CB" w:rsidRPr="00A728D6">
        <w:rPr>
          <w:rFonts w:ascii="Arial" w:hAnsi="Arial" w:cs="Arial"/>
          <w:sz w:val="24"/>
          <w:szCs w:val="24"/>
        </w:rPr>
        <w:t>of</w:t>
      </w:r>
      <w:r w:rsidR="00F82777" w:rsidRPr="00A728D6">
        <w:rPr>
          <w:rFonts w:ascii="Arial" w:hAnsi="Arial" w:cs="Arial"/>
          <w:sz w:val="24"/>
          <w:szCs w:val="24"/>
        </w:rPr>
        <w:t xml:space="preserve"> 49.006. This </w:t>
      </w:r>
      <w:r w:rsidR="00A213CB" w:rsidRPr="00A728D6">
        <w:rPr>
          <w:rFonts w:ascii="Arial" w:hAnsi="Arial" w:cs="Arial"/>
          <w:sz w:val="24"/>
          <w:szCs w:val="24"/>
        </w:rPr>
        <w:t xml:space="preserve">figure </w:t>
      </w:r>
      <w:r w:rsidR="00F82777" w:rsidRPr="00A728D6">
        <w:rPr>
          <w:rFonts w:ascii="Arial" w:hAnsi="Arial" w:cs="Arial"/>
          <w:sz w:val="24"/>
          <w:szCs w:val="24"/>
        </w:rPr>
        <w:t xml:space="preserve">indicates that the low CR ratio which explains that the company's ability to repay debt is quite low, which can lead to a probability of failure for the company to pay its receivables. </w:t>
      </w:r>
    </w:p>
    <w:p w:rsidR="00A213CB" w:rsidRPr="00A728D6" w:rsidRDefault="00A213CB" w:rsidP="00015548">
      <w:pPr>
        <w:tabs>
          <w:tab w:val="left" w:pos="709"/>
        </w:tabs>
        <w:ind w:firstLine="0"/>
        <w:rPr>
          <w:rFonts w:ascii="Arial" w:hAnsi="Arial" w:cs="Arial"/>
          <w:b/>
          <w:sz w:val="24"/>
          <w:szCs w:val="24"/>
          <w:lang w:val="en-GB"/>
        </w:rPr>
      </w:pPr>
    </w:p>
    <w:p w:rsidR="00F82777" w:rsidRPr="00A728D6" w:rsidRDefault="00863B38" w:rsidP="00015548">
      <w:pPr>
        <w:tabs>
          <w:tab w:val="left" w:pos="709"/>
        </w:tabs>
        <w:ind w:firstLine="0"/>
        <w:rPr>
          <w:rFonts w:ascii="Arial" w:hAnsi="Arial" w:cs="Arial"/>
          <w:b/>
          <w:sz w:val="24"/>
          <w:szCs w:val="24"/>
        </w:rPr>
      </w:pPr>
      <w:r w:rsidRPr="00A728D6">
        <w:rPr>
          <w:rFonts w:ascii="Arial" w:hAnsi="Arial" w:cs="Arial"/>
          <w:b/>
          <w:sz w:val="24"/>
          <w:szCs w:val="24"/>
          <w:lang w:val="en-GB"/>
        </w:rPr>
        <w:t>Analy</w:t>
      </w:r>
      <w:r w:rsidR="00A213CB" w:rsidRPr="00A728D6">
        <w:rPr>
          <w:rFonts w:ascii="Arial" w:hAnsi="Arial" w:cs="Arial"/>
          <w:b/>
          <w:sz w:val="24"/>
          <w:szCs w:val="24"/>
          <w:lang w:val="en-GB"/>
        </w:rPr>
        <w:t>sis of Determinant of Probability Bankruptcy</w:t>
      </w:r>
    </w:p>
    <w:p w:rsidR="00F82777" w:rsidRPr="00A728D6" w:rsidRDefault="00F82777" w:rsidP="00015548">
      <w:pPr>
        <w:tabs>
          <w:tab w:val="left" w:pos="709"/>
        </w:tabs>
        <w:ind w:firstLine="0"/>
        <w:rPr>
          <w:rFonts w:ascii="Arial" w:hAnsi="Arial" w:cs="Arial"/>
          <w:sz w:val="24"/>
          <w:szCs w:val="24"/>
        </w:rPr>
      </w:pPr>
      <w:r w:rsidRPr="00A728D6">
        <w:rPr>
          <w:rFonts w:ascii="Arial" w:hAnsi="Arial" w:cs="Arial"/>
          <w:sz w:val="24"/>
          <w:szCs w:val="24"/>
        </w:rPr>
        <w:t xml:space="preserve">Panel data regression analysis is a regression analysis with data structure which is panel data. The panel data in this study are 17 coal companies and with a number of 3-year periods from 2016 to 2018. </w:t>
      </w:r>
      <w:r w:rsidR="00A02777" w:rsidRPr="00A728D6">
        <w:rPr>
          <w:rFonts w:ascii="Arial" w:hAnsi="Arial" w:cs="Arial"/>
          <w:sz w:val="24"/>
          <w:szCs w:val="24"/>
        </w:rPr>
        <w:t xml:space="preserve">Estimation model used Model Panel Data and adjusted to standard of deviation of model to homogeny every time. </w:t>
      </w:r>
    </w:p>
    <w:p w:rsidR="00A40CEF" w:rsidRPr="00A728D6" w:rsidRDefault="00FC6239" w:rsidP="007A3E2F">
      <w:pPr>
        <w:rPr>
          <w:rFonts w:ascii="Arial" w:hAnsi="Arial" w:cs="Arial"/>
          <w:color w:val="000000"/>
          <w:sz w:val="24"/>
          <w:szCs w:val="24"/>
        </w:rPr>
      </w:pPr>
      <w:r w:rsidRPr="00A728D6">
        <w:rPr>
          <w:rFonts w:ascii="Arial" w:hAnsi="Arial" w:cs="Arial"/>
          <w:color w:val="000000"/>
          <w:sz w:val="24"/>
          <w:szCs w:val="24"/>
        </w:rPr>
        <w:lastRenderedPageBreak/>
        <w:t xml:space="preserve">This research found that the </w:t>
      </w:r>
      <w:r w:rsidR="00A40CEF" w:rsidRPr="00A728D6">
        <w:rPr>
          <w:rFonts w:ascii="Arial" w:hAnsi="Arial" w:cs="Arial"/>
          <w:color w:val="000000"/>
          <w:sz w:val="24"/>
          <w:szCs w:val="24"/>
        </w:rPr>
        <w:t>Determinant</w:t>
      </w:r>
      <w:r w:rsidRPr="00A728D6">
        <w:rPr>
          <w:rFonts w:ascii="Arial" w:hAnsi="Arial" w:cs="Arial"/>
          <w:color w:val="000000"/>
          <w:sz w:val="24"/>
          <w:szCs w:val="24"/>
        </w:rPr>
        <w:t xml:space="preserve"> of</w:t>
      </w:r>
      <w:r w:rsidR="00A40CEF" w:rsidRPr="00A728D6">
        <w:rPr>
          <w:rFonts w:ascii="Arial" w:hAnsi="Arial" w:cs="Arial"/>
          <w:color w:val="000000"/>
          <w:sz w:val="24"/>
          <w:szCs w:val="24"/>
        </w:rPr>
        <w:t xml:space="preserve"> coefficient </w:t>
      </w:r>
      <w:r w:rsidRPr="00A728D6">
        <w:rPr>
          <w:rFonts w:ascii="Arial" w:hAnsi="Arial" w:cs="Arial"/>
          <w:color w:val="000000"/>
          <w:sz w:val="24"/>
          <w:szCs w:val="24"/>
        </w:rPr>
        <w:t>0f 26.14% which is known R</w:t>
      </w:r>
      <w:r w:rsidRPr="00A728D6">
        <w:rPr>
          <w:rFonts w:ascii="Arial" w:hAnsi="Arial" w:cs="Arial"/>
          <w:color w:val="000000"/>
          <w:sz w:val="24"/>
          <w:szCs w:val="24"/>
          <w:vertAlign w:val="superscript"/>
        </w:rPr>
        <w:t>2</w:t>
      </w:r>
      <w:r w:rsidRPr="00A728D6">
        <w:rPr>
          <w:rFonts w:ascii="Arial" w:hAnsi="Arial" w:cs="Arial"/>
          <w:color w:val="000000"/>
          <w:sz w:val="24"/>
          <w:szCs w:val="24"/>
        </w:rPr>
        <w:t>.  It means that fluctuation of probability bankruptcy could be explained by 5 variables which is de</w:t>
      </w:r>
      <w:r w:rsidR="00A40CEF" w:rsidRPr="00A728D6">
        <w:rPr>
          <w:rFonts w:ascii="Arial" w:hAnsi="Arial" w:cs="Arial"/>
          <w:color w:val="000000"/>
          <w:sz w:val="24"/>
          <w:szCs w:val="24"/>
        </w:rPr>
        <w:t>bt to equity ratio, gross profit margin, net profit margin, EBIT / interest</w:t>
      </w:r>
      <w:r w:rsidRPr="00A728D6">
        <w:rPr>
          <w:rFonts w:ascii="Arial" w:hAnsi="Arial" w:cs="Arial"/>
          <w:color w:val="000000"/>
          <w:sz w:val="24"/>
          <w:szCs w:val="24"/>
        </w:rPr>
        <w:t xml:space="preserve"> payment, and current ratio and the rest influenced by other variables</w:t>
      </w:r>
      <w:r w:rsidR="00A40CEF" w:rsidRPr="00A728D6">
        <w:rPr>
          <w:rFonts w:ascii="Arial" w:hAnsi="Arial" w:cs="Arial"/>
          <w:color w:val="000000"/>
          <w:sz w:val="24"/>
          <w:szCs w:val="24"/>
        </w:rPr>
        <w:t xml:space="preserve"> outside the variables studied.</w:t>
      </w:r>
      <w:r w:rsidR="00D935A0" w:rsidRPr="00A728D6">
        <w:rPr>
          <w:rFonts w:ascii="Arial" w:hAnsi="Arial" w:cs="Arial"/>
          <w:color w:val="000000"/>
          <w:sz w:val="24"/>
          <w:szCs w:val="24"/>
        </w:rPr>
        <w:t xml:space="preserve">  The model is also significant using F test.</w:t>
      </w:r>
    </w:p>
    <w:p w:rsidR="006F229A" w:rsidRPr="00A728D6" w:rsidRDefault="003559E8" w:rsidP="003559E8">
      <w:pPr>
        <w:tabs>
          <w:tab w:val="left" w:pos="709"/>
        </w:tabs>
        <w:ind w:firstLine="0"/>
        <w:jc w:val="center"/>
        <w:rPr>
          <w:rFonts w:ascii="Arial" w:hAnsi="Arial" w:cs="Arial"/>
          <w:b/>
          <w:sz w:val="24"/>
          <w:szCs w:val="24"/>
        </w:rPr>
      </w:pPr>
      <w:r w:rsidRPr="00A728D6">
        <w:rPr>
          <w:rFonts w:ascii="Arial" w:hAnsi="Arial" w:cs="Arial"/>
          <w:b/>
          <w:sz w:val="24"/>
          <w:szCs w:val="24"/>
        </w:rPr>
        <w:t>Table 2: Probability Bankruptcy Model</w:t>
      </w:r>
    </w:p>
    <w:p w:rsidR="006F229A" w:rsidRPr="00A728D6" w:rsidRDefault="006F229A" w:rsidP="005A450A">
      <w:pPr>
        <w:pStyle w:val="ListParagraph"/>
        <w:ind w:left="851" w:firstLine="0"/>
        <w:rPr>
          <w:rFonts w:ascii="Arial" w:hAnsi="Arial" w:cs="Arial"/>
          <w:sz w:val="24"/>
          <w:szCs w:val="24"/>
        </w:rPr>
      </w:pPr>
      <w:r w:rsidRPr="00A728D6">
        <w:rPr>
          <w:rFonts w:ascii="Arial" w:hAnsi="Arial" w:cs="Arial"/>
          <w:noProof/>
          <w:sz w:val="24"/>
          <w:szCs w:val="24"/>
        </w:rPr>
        <w:drawing>
          <wp:inline distT="0" distB="0" distL="0" distR="0">
            <wp:extent cx="4457700" cy="1497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452044" cy="1495430"/>
                    </a:xfrm>
                    <a:prstGeom prst="rect">
                      <a:avLst/>
                    </a:prstGeom>
                    <a:noFill/>
                    <a:ln w="9525">
                      <a:noFill/>
                      <a:miter lim="800000"/>
                      <a:headEnd/>
                      <a:tailEnd/>
                    </a:ln>
                  </pic:spPr>
                </pic:pic>
              </a:graphicData>
            </a:graphic>
          </wp:inline>
        </w:drawing>
      </w:r>
    </w:p>
    <w:p w:rsidR="0061106F" w:rsidRPr="00A728D6" w:rsidRDefault="0061106F" w:rsidP="005A450A">
      <w:pPr>
        <w:tabs>
          <w:tab w:val="left" w:pos="709"/>
        </w:tabs>
        <w:ind w:firstLine="0"/>
        <w:rPr>
          <w:rFonts w:ascii="Arial" w:hAnsi="Arial" w:cs="Arial"/>
          <w:sz w:val="24"/>
          <w:szCs w:val="24"/>
        </w:rPr>
      </w:pPr>
      <w:r w:rsidRPr="00A728D6">
        <w:rPr>
          <w:rFonts w:ascii="Arial" w:hAnsi="Arial" w:cs="Arial"/>
          <w:sz w:val="24"/>
          <w:szCs w:val="24"/>
        </w:rPr>
        <w:t xml:space="preserve"> </w:t>
      </w:r>
      <w:r w:rsidR="00D935A0" w:rsidRPr="00A728D6">
        <w:rPr>
          <w:rFonts w:ascii="Arial" w:hAnsi="Arial" w:cs="Arial"/>
          <w:sz w:val="24"/>
          <w:szCs w:val="24"/>
        </w:rPr>
        <w:t xml:space="preserve">In the </w:t>
      </w:r>
      <w:r w:rsidR="00B176C6" w:rsidRPr="00A728D6">
        <w:rPr>
          <w:rFonts w:ascii="Arial" w:hAnsi="Arial" w:cs="Arial"/>
          <w:sz w:val="24"/>
          <w:szCs w:val="24"/>
        </w:rPr>
        <w:t>model, t</w:t>
      </w:r>
      <w:r w:rsidR="00D935A0" w:rsidRPr="00A728D6">
        <w:rPr>
          <w:rFonts w:ascii="Arial" w:hAnsi="Arial" w:cs="Arial"/>
          <w:sz w:val="24"/>
          <w:szCs w:val="24"/>
        </w:rPr>
        <w:t>he</w:t>
      </w:r>
      <w:r w:rsidRPr="00A728D6">
        <w:rPr>
          <w:rFonts w:ascii="Arial" w:hAnsi="Arial" w:cs="Arial"/>
          <w:sz w:val="24"/>
          <w:szCs w:val="24"/>
        </w:rPr>
        <w:t xml:space="preserve"> coefficient value</w:t>
      </w:r>
      <w:r w:rsidR="00D935A0" w:rsidRPr="00A728D6">
        <w:rPr>
          <w:rFonts w:ascii="Arial" w:hAnsi="Arial" w:cs="Arial"/>
          <w:sz w:val="24"/>
          <w:szCs w:val="24"/>
        </w:rPr>
        <w:t xml:space="preserve"> of Debt to Equity Ratio</w:t>
      </w:r>
      <w:r w:rsidRPr="00A728D6">
        <w:rPr>
          <w:rFonts w:ascii="Arial" w:hAnsi="Arial" w:cs="Arial"/>
          <w:sz w:val="24"/>
          <w:szCs w:val="24"/>
        </w:rPr>
        <w:t xml:space="preserve"> </w:t>
      </w:r>
      <w:r w:rsidR="00D935A0" w:rsidRPr="00A728D6">
        <w:rPr>
          <w:rFonts w:ascii="Arial" w:hAnsi="Arial" w:cs="Arial"/>
          <w:sz w:val="24"/>
          <w:szCs w:val="24"/>
        </w:rPr>
        <w:t xml:space="preserve">does not </w:t>
      </w:r>
      <w:r w:rsidRPr="00A728D6">
        <w:rPr>
          <w:rFonts w:ascii="Arial" w:hAnsi="Arial" w:cs="Arial"/>
          <w:sz w:val="24"/>
          <w:szCs w:val="24"/>
        </w:rPr>
        <w:t xml:space="preserve">has </w:t>
      </w:r>
      <w:r w:rsidR="00D935A0" w:rsidRPr="00A728D6">
        <w:rPr>
          <w:rFonts w:ascii="Arial" w:hAnsi="Arial" w:cs="Arial"/>
          <w:sz w:val="24"/>
          <w:szCs w:val="24"/>
        </w:rPr>
        <w:t xml:space="preserve">impact to </w:t>
      </w:r>
      <w:r w:rsidRPr="00A728D6">
        <w:rPr>
          <w:rFonts w:ascii="Arial" w:hAnsi="Arial" w:cs="Arial"/>
          <w:sz w:val="24"/>
          <w:szCs w:val="24"/>
        </w:rPr>
        <w:t>EDF</w:t>
      </w:r>
      <w:r w:rsidR="00D935A0" w:rsidRPr="00A728D6">
        <w:rPr>
          <w:rFonts w:ascii="Arial" w:hAnsi="Arial" w:cs="Arial"/>
          <w:sz w:val="24"/>
          <w:szCs w:val="24"/>
        </w:rPr>
        <w:t xml:space="preserve"> at level of significant at 5%</w:t>
      </w:r>
      <w:r w:rsidRPr="00A728D6">
        <w:rPr>
          <w:rFonts w:ascii="Arial" w:hAnsi="Arial" w:cs="Arial"/>
          <w:sz w:val="24"/>
          <w:szCs w:val="24"/>
        </w:rPr>
        <w:t>.</w:t>
      </w:r>
      <w:r w:rsidR="00354769" w:rsidRPr="00A728D6">
        <w:rPr>
          <w:rFonts w:ascii="Arial" w:hAnsi="Arial" w:cs="Arial"/>
          <w:sz w:val="24"/>
          <w:szCs w:val="24"/>
        </w:rPr>
        <w:t xml:space="preserve">  This figure stated that fluctuation of DER does not effect to</w:t>
      </w:r>
      <w:r w:rsidRPr="00A728D6">
        <w:rPr>
          <w:rFonts w:ascii="Arial" w:hAnsi="Arial" w:cs="Arial"/>
          <w:sz w:val="24"/>
          <w:szCs w:val="24"/>
        </w:rPr>
        <w:t xml:space="preserve"> </w:t>
      </w:r>
      <w:r w:rsidR="00354769" w:rsidRPr="00A728D6">
        <w:rPr>
          <w:rFonts w:ascii="Arial" w:hAnsi="Arial" w:cs="Arial"/>
          <w:sz w:val="24"/>
          <w:szCs w:val="24"/>
        </w:rPr>
        <w:t>probability bankruptcy.  The company could increase the debts to maximum of the company debts.</w:t>
      </w:r>
      <w:r w:rsidR="008C3F9D" w:rsidRPr="00A728D6">
        <w:rPr>
          <w:rFonts w:ascii="Arial" w:hAnsi="Arial" w:cs="Arial"/>
          <w:sz w:val="24"/>
          <w:szCs w:val="24"/>
        </w:rPr>
        <w:t xml:space="preserve"> This finding research support the previous research.</w:t>
      </w:r>
      <w:r w:rsidR="00354769" w:rsidRPr="00A728D6">
        <w:rPr>
          <w:rFonts w:ascii="Arial" w:hAnsi="Arial" w:cs="Arial"/>
          <w:sz w:val="24"/>
          <w:szCs w:val="24"/>
        </w:rPr>
        <w:t xml:space="preserve"> </w:t>
      </w:r>
      <w:r w:rsidR="00D935A0" w:rsidRPr="00A728D6">
        <w:rPr>
          <w:rFonts w:ascii="Arial" w:hAnsi="Arial" w:cs="Arial"/>
          <w:sz w:val="24"/>
          <w:szCs w:val="24"/>
        </w:rPr>
        <w:t xml:space="preserve"> </w:t>
      </w:r>
      <w:r w:rsidRPr="00A728D6">
        <w:rPr>
          <w:rFonts w:ascii="Arial" w:hAnsi="Arial" w:cs="Arial"/>
          <w:sz w:val="24"/>
          <w:szCs w:val="24"/>
        </w:rPr>
        <w:t xml:space="preserve">The </w:t>
      </w:r>
      <w:r w:rsidR="00D935A0" w:rsidRPr="00A728D6">
        <w:rPr>
          <w:rFonts w:ascii="Arial" w:hAnsi="Arial" w:cs="Arial"/>
          <w:sz w:val="24"/>
          <w:szCs w:val="24"/>
        </w:rPr>
        <w:t xml:space="preserve">variable </w:t>
      </w:r>
      <w:r w:rsidRPr="00A728D6">
        <w:rPr>
          <w:rFonts w:ascii="Arial" w:hAnsi="Arial" w:cs="Arial"/>
          <w:sz w:val="24"/>
          <w:szCs w:val="24"/>
        </w:rPr>
        <w:t>of G</w:t>
      </w:r>
      <w:r w:rsidR="00D935A0" w:rsidRPr="00A728D6">
        <w:rPr>
          <w:rFonts w:ascii="Arial" w:hAnsi="Arial" w:cs="Arial"/>
          <w:sz w:val="24"/>
          <w:szCs w:val="24"/>
        </w:rPr>
        <w:t xml:space="preserve">ross </w:t>
      </w:r>
      <w:r w:rsidRPr="00A728D6">
        <w:rPr>
          <w:rFonts w:ascii="Arial" w:hAnsi="Arial" w:cs="Arial"/>
          <w:sz w:val="24"/>
          <w:szCs w:val="24"/>
        </w:rPr>
        <w:t>P</w:t>
      </w:r>
      <w:r w:rsidR="00D935A0" w:rsidRPr="00A728D6">
        <w:rPr>
          <w:rFonts w:ascii="Arial" w:hAnsi="Arial" w:cs="Arial"/>
          <w:sz w:val="24"/>
          <w:szCs w:val="24"/>
        </w:rPr>
        <w:t>rofit Margin</w:t>
      </w:r>
      <w:r w:rsidRPr="00A728D6">
        <w:rPr>
          <w:rFonts w:ascii="Arial" w:hAnsi="Arial" w:cs="Arial"/>
          <w:sz w:val="24"/>
          <w:szCs w:val="24"/>
        </w:rPr>
        <w:t xml:space="preserve"> </w:t>
      </w:r>
      <w:r w:rsidR="00D935A0" w:rsidRPr="00A728D6">
        <w:rPr>
          <w:rFonts w:ascii="Arial" w:hAnsi="Arial" w:cs="Arial"/>
          <w:sz w:val="24"/>
          <w:szCs w:val="24"/>
        </w:rPr>
        <w:t xml:space="preserve">has negatively significant </w:t>
      </w:r>
      <w:r w:rsidRPr="00A728D6">
        <w:rPr>
          <w:rFonts w:ascii="Arial" w:hAnsi="Arial" w:cs="Arial"/>
          <w:sz w:val="24"/>
          <w:szCs w:val="24"/>
        </w:rPr>
        <w:t>affect</w:t>
      </w:r>
      <w:r w:rsidR="00D935A0" w:rsidRPr="00A728D6">
        <w:rPr>
          <w:rFonts w:ascii="Arial" w:hAnsi="Arial" w:cs="Arial"/>
          <w:sz w:val="24"/>
          <w:szCs w:val="24"/>
        </w:rPr>
        <w:t>ing</w:t>
      </w:r>
      <w:r w:rsidRPr="00A728D6">
        <w:rPr>
          <w:rFonts w:ascii="Arial" w:hAnsi="Arial" w:cs="Arial"/>
          <w:sz w:val="24"/>
          <w:szCs w:val="24"/>
        </w:rPr>
        <w:t xml:space="preserve"> the </w:t>
      </w:r>
      <w:r w:rsidR="00354769" w:rsidRPr="00A728D6">
        <w:rPr>
          <w:rFonts w:ascii="Arial" w:hAnsi="Arial" w:cs="Arial"/>
          <w:sz w:val="24"/>
          <w:szCs w:val="24"/>
        </w:rPr>
        <w:t>probability bankruptcy (</w:t>
      </w:r>
      <w:r w:rsidRPr="00A728D6">
        <w:rPr>
          <w:rFonts w:ascii="Arial" w:hAnsi="Arial" w:cs="Arial"/>
          <w:sz w:val="24"/>
          <w:szCs w:val="24"/>
        </w:rPr>
        <w:t>EDF</w:t>
      </w:r>
      <w:r w:rsidR="00354769" w:rsidRPr="00A728D6">
        <w:rPr>
          <w:rFonts w:ascii="Arial" w:hAnsi="Arial" w:cs="Arial"/>
          <w:sz w:val="24"/>
          <w:szCs w:val="24"/>
        </w:rPr>
        <w:t>)</w:t>
      </w:r>
      <w:r w:rsidR="00EB0C68" w:rsidRPr="00A728D6">
        <w:rPr>
          <w:rFonts w:ascii="Arial" w:hAnsi="Arial" w:cs="Arial"/>
          <w:sz w:val="24"/>
          <w:szCs w:val="24"/>
        </w:rPr>
        <w:t xml:space="preserve"> at level of significant of 5%</w:t>
      </w:r>
      <w:r w:rsidRPr="00A728D6">
        <w:rPr>
          <w:rFonts w:ascii="Arial" w:hAnsi="Arial" w:cs="Arial"/>
          <w:sz w:val="24"/>
          <w:szCs w:val="24"/>
        </w:rPr>
        <w:t xml:space="preserve">. </w:t>
      </w:r>
      <w:r w:rsidR="00D935A0" w:rsidRPr="00A728D6">
        <w:rPr>
          <w:rFonts w:ascii="Arial" w:hAnsi="Arial" w:cs="Arial"/>
          <w:sz w:val="24"/>
          <w:szCs w:val="24"/>
        </w:rPr>
        <w:t xml:space="preserve"> </w:t>
      </w:r>
      <w:r w:rsidRPr="00A728D6">
        <w:rPr>
          <w:rFonts w:ascii="Arial" w:hAnsi="Arial" w:cs="Arial"/>
          <w:sz w:val="24"/>
          <w:szCs w:val="24"/>
        </w:rPr>
        <w:t xml:space="preserve">NPM </w:t>
      </w:r>
      <w:r w:rsidR="00D935A0" w:rsidRPr="00A728D6">
        <w:rPr>
          <w:rFonts w:ascii="Arial" w:hAnsi="Arial" w:cs="Arial"/>
          <w:sz w:val="24"/>
          <w:szCs w:val="24"/>
        </w:rPr>
        <w:t>do</w:t>
      </w:r>
      <w:r w:rsidR="00354769" w:rsidRPr="00A728D6">
        <w:rPr>
          <w:rFonts w:ascii="Arial" w:hAnsi="Arial" w:cs="Arial"/>
          <w:sz w:val="24"/>
          <w:szCs w:val="24"/>
        </w:rPr>
        <w:t>e</w:t>
      </w:r>
      <w:r w:rsidR="00D935A0" w:rsidRPr="00A728D6">
        <w:rPr>
          <w:rFonts w:ascii="Arial" w:hAnsi="Arial" w:cs="Arial"/>
          <w:sz w:val="24"/>
          <w:szCs w:val="24"/>
        </w:rPr>
        <w:t xml:space="preserve">s not has </w:t>
      </w:r>
      <w:r w:rsidR="00354769" w:rsidRPr="00A728D6">
        <w:rPr>
          <w:rFonts w:ascii="Arial" w:hAnsi="Arial" w:cs="Arial"/>
          <w:sz w:val="24"/>
          <w:szCs w:val="24"/>
        </w:rPr>
        <w:t xml:space="preserve">negatively </w:t>
      </w:r>
      <w:r w:rsidR="00D935A0" w:rsidRPr="00A728D6">
        <w:rPr>
          <w:rFonts w:ascii="Arial" w:hAnsi="Arial" w:cs="Arial"/>
          <w:sz w:val="24"/>
          <w:szCs w:val="24"/>
        </w:rPr>
        <w:t>significant t</w:t>
      </w:r>
      <w:r w:rsidRPr="00A728D6">
        <w:rPr>
          <w:rFonts w:ascii="Arial" w:hAnsi="Arial" w:cs="Arial"/>
          <w:sz w:val="24"/>
          <w:szCs w:val="24"/>
        </w:rPr>
        <w:t>o</w:t>
      </w:r>
      <w:r w:rsidR="00D935A0" w:rsidRPr="00A728D6">
        <w:rPr>
          <w:rFonts w:ascii="Arial" w:hAnsi="Arial" w:cs="Arial"/>
          <w:sz w:val="24"/>
          <w:szCs w:val="24"/>
        </w:rPr>
        <w:t xml:space="preserve"> affect </w:t>
      </w:r>
      <w:r w:rsidR="00354769" w:rsidRPr="00A728D6">
        <w:rPr>
          <w:rFonts w:ascii="Arial" w:hAnsi="Arial" w:cs="Arial"/>
          <w:sz w:val="24"/>
          <w:szCs w:val="24"/>
        </w:rPr>
        <w:t>Probability bankruptcy (</w:t>
      </w:r>
      <w:r w:rsidRPr="00A728D6">
        <w:rPr>
          <w:rFonts w:ascii="Arial" w:hAnsi="Arial" w:cs="Arial"/>
          <w:sz w:val="24"/>
          <w:szCs w:val="24"/>
        </w:rPr>
        <w:t>EDF</w:t>
      </w:r>
      <w:r w:rsidR="00354769" w:rsidRPr="00A728D6">
        <w:rPr>
          <w:rFonts w:ascii="Arial" w:hAnsi="Arial" w:cs="Arial"/>
          <w:sz w:val="24"/>
          <w:szCs w:val="24"/>
        </w:rPr>
        <w:t>)</w:t>
      </w:r>
      <w:r w:rsidRPr="00A728D6">
        <w:rPr>
          <w:rFonts w:ascii="Arial" w:hAnsi="Arial" w:cs="Arial"/>
          <w:sz w:val="24"/>
          <w:szCs w:val="24"/>
        </w:rPr>
        <w:t>.</w:t>
      </w:r>
      <w:r w:rsidR="00D935A0" w:rsidRPr="00A728D6">
        <w:rPr>
          <w:rFonts w:ascii="Arial" w:hAnsi="Arial" w:cs="Arial"/>
          <w:sz w:val="24"/>
          <w:szCs w:val="24"/>
        </w:rPr>
        <w:t xml:space="preserve"> </w:t>
      </w:r>
      <w:r w:rsidR="00354769" w:rsidRPr="00A728D6">
        <w:rPr>
          <w:rFonts w:ascii="Arial" w:hAnsi="Arial" w:cs="Arial"/>
          <w:sz w:val="24"/>
          <w:szCs w:val="24"/>
        </w:rPr>
        <w:t xml:space="preserve">This ratio should be significant then this ratio become high and impact to company does not bankrupt. </w:t>
      </w:r>
      <w:r w:rsidR="00D935A0" w:rsidRPr="00A728D6">
        <w:rPr>
          <w:rFonts w:ascii="Arial" w:hAnsi="Arial" w:cs="Arial"/>
          <w:sz w:val="24"/>
          <w:szCs w:val="24"/>
        </w:rPr>
        <w:t xml:space="preserve"> </w:t>
      </w:r>
      <w:r w:rsidRPr="00A728D6">
        <w:rPr>
          <w:rFonts w:ascii="Arial" w:hAnsi="Arial" w:cs="Arial"/>
          <w:sz w:val="24"/>
          <w:szCs w:val="24"/>
        </w:rPr>
        <w:t>The partial coefficient of T</w:t>
      </w:r>
      <w:r w:rsidR="008C3F9D" w:rsidRPr="00A728D6">
        <w:rPr>
          <w:rFonts w:ascii="Arial" w:hAnsi="Arial" w:cs="Arial"/>
          <w:sz w:val="24"/>
          <w:szCs w:val="24"/>
        </w:rPr>
        <w:t>ime interest earned (T</w:t>
      </w:r>
      <w:r w:rsidRPr="00A728D6">
        <w:rPr>
          <w:rFonts w:ascii="Arial" w:hAnsi="Arial" w:cs="Arial"/>
          <w:sz w:val="24"/>
          <w:szCs w:val="24"/>
        </w:rPr>
        <w:t>IE</w:t>
      </w:r>
      <w:r w:rsidR="008C3F9D" w:rsidRPr="00A728D6">
        <w:rPr>
          <w:rFonts w:ascii="Arial" w:hAnsi="Arial" w:cs="Arial"/>
          <w:sz w:val="24"/>
          <w:szCs w:val="24"/>
        </w:rPr>
        <w:t>)</w:t>
      </w:r>
      <w:r w:rsidRPr="00A728D6">
        <w:rPr>
          <w:rFonts w:ascii="Arial" w:hAnsi="Arial" w:cs="Arial"/>
          <w:sz w:val="24"/>
          <w:szCs w:val="24"/>
        </w:rPr>
        <w:t xml:space="preserve"> has </w:t>
      </w:r>
      <w:r w:rsidR="00D935A0" w:rsidRPr="00A728D6">
        <w:rPr>
          <w:rFonts w:ascii="Arial" w:hAnsi="Arial" w:cs="Arial"/>
          <w:sz w:val="24"/>
          <w:szCs w:val="24"/>
        </w:rPr>
        <w:t>positively significant e</w:t>
      </w:r>
      <w:r w:rsidRPr="00A728D6">
        <w:rPr>
          <w:rFonts w:ascii="Arial" w:hAnsi="Arial" w:cs="Arial"/>
          <w:sz w:val="24"/>
          <w:szCs w:val="24"/>
        </w:rPr>
        <w:t>ffect</w:t>
      </w:r>
      <w:r w:rsidR="00D935A0" w:rsidRPr="00A728D6">
        <w:rPr>
          <w:rFonts w:ascii="Arial" w:hAnsi="Arial" w:cs="Arial"/>
          <w:sz w:val="24"/>
          <w:szCs w:val="24"/>
        </w:rPr>
        <w:t>ing probability bankruptcy (</w:t>
      </w:r>
      <w:r w:rsidRPr="00A728D6">
        <w:rPr>
          <w:rFonts w:ascii="Arial" w:hAnsi="Arial" w:cs="Arial"/>
          <w:sz w:val="24"/>
          <w:szCs w:val="24"/>
        </w:rPr>
        <w:t>EDF</w:t>
      </w:r>
      <w:r w:rsidR="00D935A0" w:rsidRPr="00A728D6">
        <w:rPr>
          <w:rFonts w:ascii="Arial" w:hAnsi="Arial" w:cs="Arial"/>
          <w:sz w:val="24"/>
          <w:szCs w:val="24"/>
        </w:rPr>
        <w:t>)</w:t>
      </w:r>
      <w:r w:rsidR="00EB0C68" w:rsidRPr="00A728D6">
        <w:rPr>
          <w:rFonts w:ascii="Arial" w:hAnsi="Arial" w:cs="Arial"/>
          <w:sz w:val="24"/>
          <w:szCs w:val="24"/>
        </w:rPr>
        <w:t xml:space="preserve"> at level of significant of 10%</w:t>
      </w:r>
      <w:r w:rsidRPr="00A728D6">
        <w:rPr>
          <w:rFonts w:ascii="Arial" w:hAnsi="Arial" w:cs="Arial"/>
          <w:sz w:val="24"/>
          <w:szCs w:val="24"/>
        </w:rPr>
        <w:t xml:space="preserve">. </w:t>
      </w:r>
      <w:r w:rsidR="008C3F9D" w:rsidRPr="00A728D6">
        <w:rPr>
          <w:rFonts w:ascii="Arial" w:hAnsi="Arial" w:cs="Arial"/>
          <w:sz w:val="24"/>
          <w:szCs w:val="24"/>
        </w:rPr>
        <w:t xml:space="preserve">This finding research does not support the theory that it should be negative as theory said.  If this ratio is high, the company will enter to probability bankruptcy.  Because the company is to High to pay interest. </w:t>
      </w:r>
    </w:p>
    <w:p w:rsidR="0061106F" w:rsidRPr="005A450A" w:rsidRDefault="00A728D6" w:rsidP="005A450A">
      <w:pPr>
        <w:tabs>
          <w:tab w:val="left" w:pos="709"/>
        </w:tabs>
        <w:ind w:firstLine="0"/>
        <w:rPr>
          <w:rFonts w:ascii="Times New Roman" w:hAnsi="Times New Roman" w:cs="Times New Roman"/>
          <w:sz w:val="24"/>
          <w:szCs w:val="24"/>
        </w:rPr>
      </w:pPr>
      <w:r>
        <w:rPr>
          <w:rFonts w:ascii="Arial" w:hAnsi="Arial" w:cs="Arial"/>
          <w:sz w:val="24"/>
          <w:szCs w:val="24"/>
        </w:rPr>
        <w:tab/>
      </w:r>
      <w:r w:rsidR="0061106F" w:rsidRPr="00A728D6">
        <w:rPr>
          <w:rFonts w:ascii="Arial" w:hAnsi="Arial" w:cs="Arial"/>
          <w:sz w:val="24"/>
          <w:szCs w:val="24"/>
        </w:rPr>
        <w:t xml:space="preserve">The value of the </w:t>
      </w:r>
      <w:r w:rsidR="005E5960" w:rsidRPr="00A728D6">
        <w:rPr>
          <w:rFonts w:ascii="Arial" w:hAnsi="Arial" w:cs="Arial"/>
          <w:sz w:val="24"/>
          <w:szCs w:val="24"/>
        </w:rPr>
        <w:t>Current Ratio (</w:t>
      </w:r>
      <w:r w:rsidR="0061106F" w:rsidRPr="00A728D6">
        <w:rPr>
          <w:rFonts w:ascii="Arial" w:hAnsi="Arial" w:cs="Arial"/>
          <w:sz w:val="24"/>
          <w:szCs w:val="24"/>
        </w:rPr>
        <w:t>CR</w:t>
      </w:r>
      <w:r w:rsidR="005E5960" w:rsidRPr="00A728D6">
        <w:rPr>
          <w:rFonts w:ascii="Arial" w:hAnsi="Arial" w:cs="Arial"/>
          <w:sz w:val="24"/>
          <w:szCs w:val="24"/>
        </w:rPr>
        <w:t>)</w:t>
      </w:r>
      <w:r w:rsidR="0061106F" w:rsidRPr="00A728D6">
        <w:rPr>
          <w:rFonts w:ascii="Arial" w:hAnsi="Arial" w:cs="Arial"/>
          <w:sz w:val="24"/>
          <w:szCs w:val="24"/>
        </w:rPr>
        <w:t xml:space="preserve"> coefficient partially </w:t>
      </w:r>
      <w:r w:rsidR="00D935A0" w:rsidRPr="00A728D6">
        <w:rPr>
          <w:rFonts w:ascii="Arial" w:hAnsi="Arial" w:cs="Arial"/>
          <w:sz w:val="24"/>
          <w:szCs w:val="24"/>
        </w:rPr>
        <w:t xml:space="preserve">has positively significant affecting </w:t>
      </w:r>
      <w:r w:rsidR="0061106F" w:rsidRPr="00A728D6">
        <w:rPr>
          <w:rFonts w:ascii="Arial" w:hAnsi="Arial" w:cs="Arial"/>
          <w:sz w:val="24"/>
          <w:szCs w:val="24"/>
        </w:rPr>
        <w:t xml:space="preserve">the </w:t>
      </w:r>
      <w:r w:rsidR="00D935A0" w:rsidRPr="00A728D6">
        <w:rPr>
          <w:rFonts w:ascii="Arial" w:hAnsi="Arial" w:cs="Arial"/>
          <w:sz w:val="24"/>
          <w:szCs w:val="24"/>
        </w:rPr>
        <w:t>probability bankruptcy (</w:t>
      </w:r>
      <w:r w:rsidR="0061106F" w:rsidRPr="00A728D6">
        <w:rPr>
          <w:rFonts w:ascii="Arial" w:hAnsi="Arial" w:cs="Arial"/>
          <w:sz w:val="24"/>
          <w:szCs w:val="24"/>
        </w:rPr>
        <w:t>EDF</w:t>
      </w:r>
      <w:r w:rsidR="00D935A0" w:rsidRPr="00A728D6">
        <w:rPr>
          <w:rFonts w:ascii="Arial" w:hAnsi="Arial" w:cs="Arial"/>
          <w:sz w:val="24"/>
          <w:szCs w:val="24"/>
        </w:rPr>
        <w:t>)</w:t>
      </w:r>
      <w:r w:rsidR="00EB0C68" w:rsidRPr="00A728D6">
        <w:rPr>
          <w:rFonts w:ascii="Arial" w:hAnsi="Arial" w:cs="Arial"/>
          <w:sz w:val="24"/>
          <w:szCs w:val="24"/>
        </w:rPr>
        <w:t xml:space="preserve"> at level of significant of 5%</w:t>
      </w:r>
      <w:r w:rsidR="0061106F" w:rsidRPr="00A728D6">
        <w:rPr>
          <w:rFonts w:ascii="Arial" w:hAnsi="Arial" w:cs="Arial"/>
          <w:sz w:val="24"/>
          <w:szCs w:val="24"/>
        </w:rPr>
        <w:t>.</w:t>
      </w:r>
      <w:r w:rsidR="005E5960" w:rsidRPr="00A728D6">
        <w:rPr>
          <w:rFonts w:ascii="Arial" w:hAnsi="Arial" w:cs="Arial"/>
          <w:sz w:val="24"/>
          <w:szCs w:val="24"/>
        </w:rPr>
        <w:t xml:space="preserve">  The current ratio become higher, it will affect the probability bankruptcy to become higher.  It should be negative relationship, so can support previous theory and previous research.  Because the results is different, so this finding does not support previous theory and research. </w:t>
      </w:r>
    </w:p>
    <w:p w:rsidR="000B4256" w:rsidRPr="000B4256" w:rsidRDefault="000B4256" w:rsidP="002E79A8">
      <w:pPr>
        <w:tabs>
          <w:tab w:val="left" w:pos="709"/>
        </w:tabs>
        <w:ind w:firstLine="0"/>
        <w:rPr>
          <w:rFonts w:ascii="Times New Roman" w:hAnsi="Times New Roman" w:cs="Times New Roman"/>
          <w:sz w:val="24"/>
          <w:szCs w:val="24"/>
        </w:rPr>
      </w:pPr>
    </w:p>
    <w:p w:rsidR="00B06C76" w:rsidRPr="007A3E2F" w:rsidRDefault="00EB55D4" w:rsidP="00EB55D4">
      <w:pPr>
        <w:pStyle w:val="Heading2"/>
        <w:numPr>
          <w:ilvl w:val="0"/>
          <w:numId w:val="0"/>
        </w:numPr>
        <w:ind w:left="720" w:hanging="720"/>
        <w:rPr>
          <w:sz w:val="24"/>
          <w:szCs w:val="24"/>
        </w:rPr>
      </w:pPr>
      <w:r w:rsidRPr="007A3E2F">
        <w:rPr>
          <w:sz w:val="24"/>
          <w:szCs w:val="24"/>
        </w:rPr>
        <w:lastRenderedPageBreak/>
        <w:t>Conclusion</w:t>
      </w:r>
      <w:r w:rsidR="001B5BF9" w:rsidRPr="007A3E2F">
        <w:rPr>
          <w:sz w:val="24"/>
          <w:szCs w:val="24"/>
        </w:rPr>
        <w:t xml:space="preserve"> </w:t>
      </w:r>
    </w:p>
    <w:p w:rsidR="00AE4FCB" w:rsidRPr="007A3E2F" w:rsidRDefault="00AE4FCB" w:rsidP="002E79A8">
      <w:pPr>
        <w:ind w:firstLine="0"/>
        <w:rPr>
          <w:rFonts w:ascii="Arial" w:hAnsi="Arial" w:cs="Arial"/>
          <w:sz w:val="24"/>
          <w:szCs w:val="24"/>
        </w:rPr>
      </w:pPr>
      <w:r w:rsidRPr="007A3E2F">
        <w:rPr>
          <w:rFonts w:ascii="Arial" w:hAnsi="Arial" w:cs="Arial"/>
          <w:sz w:val="24"/>
          <w:szCs w:val="24"/>
        </w:rPr>
        <w:t xml:space="preserve">This study </w:t>
      </w:r>
      <w:r w:rsidR="00D9132F" w:rsidRPr="007A3E2F">
        <w:rPr>
          <w:rFonts w:ascii="Arial" w:hAnsi="Arial" w:cs="Arial"/>
          <w:sz w:val="24"/>
          <w:szCs w:val="24"/>
        </w:rPr>
        <w:t>has conclusion as follows:</w:t>
      </w:r>
    </w:p>
    <w:p w:rsidR="00D9132F" w:rsidRPr="007A3E2F" w:rsidRDefault="007853CC" w:rsidP="00E965F3">
      <w:pPr>
        <w:pStyle w:val="ListParagraph"/>
        <w:numPr>
          <w:ilvl w:val="0"/>
          <w:numId w:val="13"/>
        </w:numPr>
        <w:rPr>
          <w:rFonts w:ascii="Arial" w:hAnsi="Arial" w:cs="Arial"/>
          <w:sz w:val="24"/>
          <w:szCs w:val="24"/>
        </w:rPr>
      </w:pPr>
      <w:r w:rsidRPr="007A3E2F">
        <w:rPr>
          <w:rFonts w:ascii="Arial" w:hAnsi="Arial" w:cs="Arial"/>
          <w:sz w:val="24"/>
          <w:szCs w:val="24"/>
        </w:rPr>
        <w:t>The average value of the Expected Default Frequency (EDF) of coal companies listed on the Indonesia Stock Exchange (IDX) during 2013-2018 was 90.81%. Furthermore EDF has a maximum value of 1 and a minimum value of 0.387 with a standard deviation of 15.4, the Skewness value of -2,270 and kurtosis of 4.877. This Figure indicate that fluctuation Probability Defaut Frequency among company is high, even the figure closed to 1.</w:t>
      </w:r>
    </w:p>
    <w:p w:rsidR="00D9132F" w:rsidRPr="007A3E2F" w:rsidRDefault="00AE4FCB" w:rsidP="00E965F3">
      <w:pPr>
        <w:pStyle w:val="ListParagraph"/>
        <w:numPr>
          <w:ilvl w:val="0"/>
          <w:numId w:val="13"/>
        </w:numPr>
        <w:rPr>
          <w:rFonts w:ascii="Arial" w:hAnsi="Arial" w:cs="Arial"/>
          <w:sz w:val="24"/>
          <w:szCs w:val="24"/>
        </w:rPr>
      </w:pPr>
      <w:r w:rsidRPr="007A3E2F">
        <w:rPr>
          <w:rFonts w:ascii="Arial" w:hAnsi="Arial" w:cs="Arial"/>
          <w:sz w:val="24"/>
          <w:szCs w:val="24"/>
        </w:rPr>
        <w:t>Gross profit margin, EBIT / TIE, and Current ratio have negative</w:t>
      </w:r>
      <w:r w:rsidR="00D9132F" w:rsidRPr="007A3E2F">
        <w:rPr>
          <w:rFonts w:ascii="Arial" w:hAnsi="Arial" w:cs="Arial"/>
          <w:sz w:val="24"/>
          <w:szCs w:val="24"/>
        </w:rPr>
        <w:t>ly</w:t>
      </w:r>
      <w:r w:rsidRPr="007A3E2F">
        <w:rPr>
          <w:rFonts w:ascii="Arial" w:hAnsi="Arial" w:cs="Arial"/>
          <w:sz w:val="24"/>
          <w:szCs w:val="24"/>
        </w:rPr>
        <w:t xml:space="preserve"> significant </w:t>
      </w:r>
      <w:r w:rsidR="00D9132F" w:rsidRPr="007A3E2F">
        <w:rPr>
          <w:rFonts w:ascii="Arial" w:hAnsi="Arial" w:cs="Arial"/>
          <w:sz w:val="24"/>
          <w:szCs w:val="24"/>
        </w:rPr>
        <w:t>impact to t</w:t>
      </w:r>
      <w:r w:rsidRPr="007A3E2F">
        <w:rPr>
          <w:rFonts w:ascii="Arial" w:hAnsi="Arial" w:cs="Arial"/>
          <w:sz w:val="24"/>
          <w:szCs w:val="24"/>
        </w:rPr>
        <w:t xml:space="preserve">he probability of bankruptcy in coal companies listed on the Indonesia Stock Exchange (BEI) for the period of 2016 to 2018. The higher the ratio owned by the company the </w:t>
      </w:r>
      <w:r w:rsidR="00D9132F" w:rsidRPr="007A3E2F">
        <w:rPr>
          <w:rFonts w:ascii="Arial" w:hAnsi="Arial" w:cs="Arial"/>
          <w:sz w:val="24"/>
          <w:szCs w:val="24"/>
        </w:rPr>
        <w:t xml:space="preserve">lower the probability bankruptcy.  </w:t>
      </w:r>
    </w:p>
    <w:p w:rsidR="000B4256" w:rsidRPr="00170799" w:rsidRDefault="00AE4FCB" w:rsidP="00170799">
      <w:pPr>
        <w:pStyle w:val="ListParagraph"/>
        <w:numPr>
          <w:ilvl w:val="0"/>
          <w:numId w:val="13"/>
        </w:numPr>
        <w:rPr>
          <w:rFonts w:ascii="Times New Roman" w:hAnsi="Times New Roman" w:cs="Times New Roman"/>
          <w:sz w:val="24"/>
          <w:szCs w:val="24"/>
        </w:rPr>
      </w:pPr>
      <w:r w:rsidRPr="007A3E2F">
        <w:rPr>
          <w:rFonts w:ascii="Arial" w:hAnsi="Arial" w:cs="Arial"/>
          <w:sz w:val="24"/>
          <w:szCs w:val="24"/>
        </w:rPr>
        <w:t>Debt Equity Ratio and Net</w:t>
      </w:r>
      <w:r w:rsidR="00D9132F" w:rsidRPr="007A3E2F">
        <w:rPr>
          <w:rFonts w:ascii="Arial" w:hAnsi="Arial" w:cs="Arial"/>
          <w:sz w:val="24"/>
          <w:szCs w:val="24"/>
        </w:rPr>
        <w:t xml:space="preserve"> Profit Margin</w:t>
      </w:r>
      <w:r w:rsidRPr="007A3E2F">
        <w:rPr>
          <w:rFonts w:ascii="Arial" w:hAnsi="Arial" w:cs="Arial"/>
          <w:sz w:val="24"/>
          <w:szCs w:val="24"/>
        </w:rPr>
        <w:t xml:space="preserve"> </w:t>
      </w:r>
      <w:r w:rsidR="00D9132F" w:rsidRPr="007A3E2F">
        <w:rPr>
          <w:rFonts w:ascii="Arial" w:hAnsi="Arial" w:cs="Arial"/>
          <w:sz w:val="24"/>
          <w:szCs w:val="24"/>
        </w:rPr>
        <w:t xml:space="preserve">do not </w:t>
      </w:r>
      <w:r w:rsidRPr="007A3E2F">
        <w:rPr>
          <w:rFonts w:ascii="Arial" w:hAnsi="Arial" w:cs="Arial"/>
          <w:sz w:val="24"/>
          <w:szCs w:val="24"/>
        </w:rPr>
        <w:t xml:space="preserve">have  significant </w:t>
      </w:r>
      <w:r w:rsidR="00D9132F" w:rsidRPr="007A3E2F">
        <w:rPr>
          <w:rFonts w:ascii="Arial" w:hAnsi="Arial" w:cs="Arial"/>
          <w:sz w:val="24"/>
          <w:szCs w:val="24"/>
        </w:rPr>
        <w:t xml:space="preserve">to </w:t>
      </w:r>
      <w:r w:rsidRPr="007A3E2F">
        <w:rPr>
          <w:rFonts w:ascii="Arial" w:hAnsi="Arial" w:cs="Arial"/>
          <w:sz w:val="24"/>
          <w:szCs w:val="24"/>
        </w:rPr>
        <w:t>influence</w:t>
      </w:r>
      <w:r w:rsidR="00D9132F" w:rsidRPr="007A3E2F">
        <w:rPr>
          <w:rFonts w:ascii="Arial" w:hAnsi="Arial" w:cs="Arial"/>
          <w:sz w:val="24"/>
          <w:szCs w:val="24"/>
        </w:rPr>
        <w:t xml:space="preserve"> probability bankruptcy</w:t>
      </w:r>
    </w:p>
    <w:p w:rsidR="000B4256" w:rsidRPr="000B4256" w:rsidRDefault="000B4256" w:rsidP="000B4256">
      <w:pPr>
        <w:ind w:firstLine="0"/>
        <w:rPr>
          <w:rFonts w:ascii="Times New Roman" w:hAnsi="Times New Roman" w:cs="Times New Roman"/>
          <w:sz w:val="24"/>
          <w:szCs w:val="24"/>
        </w:rPr>
      </w:pPr>
    </w:p>
    <w:p w:rsidR="00B71D66" w:rsidRDefault="00B71D66">
      <w:pPr>
        <w:spacing w:line="240" w:lineRule="auto"/>
        <w:ind w:firstLine="0"/>
        <w:jc w:val="left"/>
        <w:rPr>
          <w:rFonts w:ascii="Times New Roman" w:eastAsiaTheme="majorEastAsia" w:hAnsi="Times New Roman" w:cs="Times New Roman"/>
          <w:b/>
          <w:sz w:val="24"/>
          <w:szCs w:val="24"/>
        </w:rPr>
      </w:pPr>
      <w:bookmarkStart w:id="3" w:name="_Toc16170889"/>
      <w:bookmarkStart w:id="4" w:name="_Toc33637739"/>
      <w:r>
        <w:rPr>
          <w:rFonts w:ascii="Times New Roman" w:hAnsi="Times New Roman" w:cs="Times New Roman"/>
          <w:b/>
          <w:sz w:val="24"/>
          <w:szCs w:val="24"/>
        </w:rPr>
        <w:br w:type="page"/>
      </w:r>
    </w:p>
    <w:p w:rsidR="000B4256" w:rsidRPr="000B4256" w:rsidRDefault="00745481" w:rsidP="00EB55D4">
      <w:pPr>
        <w:pStyle w:val="Heading1"/>
        <w:ind w:firstLine="0"/>
        <w:rPr>
          <w:rFonts w:ascii="Times New Roman" w:hAnsi="Times New Roman" w:cs="Times New Roman"/>
          <w:b/>
          <w:color w:val="auto"/>
          <w:sz w:val="24"/>
          <w:szCs w:val="24"/>
        </w:rPr>
      </w:pPr>
      <w:r>
        <w:rPr>
          <w:rFonts w:ascii="Times New Roman" w:hAnsi="Times New Roman" w:cs="Times New Roman"/>
          <w:b/>
          <w:noProof/>
          <w:color w:val="auto"/>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4666615</wp:posOffset>
                </wp:positionH>
                <wp:positionV relativeFrom="paragraph">
                  <wp:posOffset>-743585</wp:posOffset>
                </wp:positionV>
                <wp:extent cx="609600" cy="563880"/>
                <wp:effectExtent l="0" t="0" r="19050" b="2667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6388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7ED2" id="Rectangle 23" o:spid="_x0000_s1026" style="position:absolute;margin-left:367.45pt;margin-top:-58.55pt;width:48pt;height:4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" fillcolor="white [3212]" strokecolor="white [3212]"/>
            </w:pict>
          </mc:Fallback>
        </mc:AlternateContent>
      </w:r>
      <w:r w:rsidR="00EB55D4">
        <w:rPr>
          <w:rFonts w:ascii="Times New Roman" w:hAnsi="Times New Roman" w:cs="Times New Roman"/>
          <w:b/>
          <w:color w:val="auto"/>
          <w:sz w:val="24"/>
          <w:szCs w:val="24"/>
        </w:rPr>
        <w:t>REFERENCES</w:t>
      </w:r>
      <w:bookmarkEnd w:id="3"/>
      <w:bookmarkEnd w:id="4"/>
    </w:p>
    <w:p w:rsidR="00D41040" w:rsidRDefault="00D41040" w:rsidP="00EA61A9">
      <w:pPr>
        <w:tabs>
          <w:tab w:val="left" w:pos="7920"/>
        </w:tabs>
        <w:spacing w:line="240" w:lineRule="auto"/>
        <w:ind w:firstLine="0"/>
        <w:rPr>
          <w:rFonts w:ascii="Arial" w:eastAsia="Times New Roman" w:hAnsi="Arial" w:cs="Arial"/>
          <w:sz w:val="24"/>
          <w:szCs w:val="24"/>
        </w:rPr>
      </w:pPr>
      <w:r>
        <w:rPr>
          <w:rFonts w:ascii="Arial" w:eastAsia="Times New Roman" w:hAnsi="Arial" w:cs="Arial"/>
          <w:sz w:val="24"/>
          <w:szCs w:val="24"/>
        </w:rPr>
        <w:t>Altman, E. I. (1968); Financial Ratios, Discrimant Analysis and the Prediction of Corporate Bankruptcy; Journal of Finance, Vol. 23 (4); pp. 589 – 609.</w:t>
      </w:r>
    </w:p>
    <w:p w:rsidR="00D41040" w:rsidRPr="00D41040" w:rsidRDefault="00D41040" w:rsidP="00EA61A9">
      <w:pPr>
        <w:tabs>
          <w:tab w:val="left" w:pos="7920"/>
        </w:tabs>
        <w:spacing w:line="240" w:lineRule="auto"/>
        <w:ind w:firstLine="0"/>
        <w:rPr>
          <w:rFonts w:ascii="Arial" w:eastAsia="Times New Roman" w:hAnsi="Arial" w:cs="Arial"/>
          <w:sz w:val="24"/>
          <w:szCs w:val="24"/>
        </w:rPr>
      </w:pPr>
    </w:p>
    <w:p w:rsidR="00D41040" w:rsidRPr="00D41040" w:rsidRDefault="00D41040" w:rsidP="00EA61A9">
      <w:pPr>
        <w:tabs>
          <w:tab w:val="left" w:pos="7920"/>
        </w:tabs>
        <w:spacing w:line="240" w:lineRule="auto"/>
        <w:ind w:firstLine="0"/>
        <w:rPr>
          <w:rFonts w:ascii="Arial" w:eastAsia="Times New Roman" w:hAnsi="Arial" w:cs="Arial"/>
          <w:sz w:val="24"/>
          <w:szCs w:val="24"/>
        </w:rPr>
      </w:pPr>
      <w:r w:rsidRPr="00D41040">
        <w:rPr>
          <w:rFonts w:ascii="Arial" w:eastAsia="Times New Roman" w:hAnsi="Arial" w:cs="Arial"/>
          <w:sz w:val="24"/>
          <w:szCs w:val="24"/>
        </w:rPr>
        <w:t xml:space="preserve">Beaver, </w:t>
      </w:r>
      <w:r>
        <w:rPr>
          <w:rFonts w:ascii="Arial" w:eastAsia="Times New Roman" w:hAnsi="Arial" w:cs="Arial"/>
          <w:sz w:val="24"/>
          <w:szCs w:val="24"/>
        </w:rPr>
        <w:t>W. H. (1966); Financial Ratios as Predictors of Failure, Journal of Accounting Research, Vol. 4; pp. 71 – 111.</w:t>
      </w:r>
    </w:p>
    <w:p w:rsidR="00D41040" w:rsidRDefault="00D41040" w:rsidP="00EA61A9">
      <w:pPr>
        <w:tabs>
          <w:tab w:val="left" w:pos="7920"/>
        </w:tabs>
        <w:spacing w:line="240" w:lineRule="auto"/>
        <w:ind w:firstLine="0"/>
        <w:rPr>
          <w:rFonts w:ascii="Arial" w:eastAsia="Times New Roman" w:hAnsi="Arial" w:cs="Arial"/>
          <w:sz w:val="24"/>
          <w:szCs w:val="24"/>
        </w:rPr>
      </w:pPr>
    </w:p>
    <w:p w:rsidR="00B11E57" w:rsidRDefault="00B11E57" w:rsidP="00EA61A9">
      <w:pPr>
        <w:tabs>
          <w:tab w:val="left" w:pos="7920"/>
        </w:tabs>
        <w:spacing w:line="240" w:lineRule="auto"/>
        <w:ind w:firstLine="0"/>
        <w:rPr>
          <w:rFonts w:ascii="Arial" w:eastAsia="Times New Roman" w:hAnsi="Arial" w:cs="Arial"/>
          <w:sz w:val="24"/>
          <w:szCs w:val="24"/>
        </w:rPr>
      </w:pPr>
      <w:r>
        <w:rPr>
          <w:rFonts w:ascii="Arial" w:eastAsia="Times New Roman" w:hAnsi="Arial" w:cs="Arial"/>
          <w:sz w:val="24"/>
          <w:szCs w:val="24"/>
        </w:rPr>
        <w:t xml:space="preserve">Black, F. and M. Scholes (1973), </w:t>
      </w:r>
      <w:r w:rsidRPr="00B11E57">
        <w:rPr>
          <w:rFonts w:ascii="Arial" w:eastAsia="Times New Roman" w:hAnsi="Arial" w:cs="Arial"/>
          <w:sz w:val="24"/>
          <w:szCs w:val="24"/>
        </w:rPr>
        <w:t>The Pricing of Options and Corpor</w:t>
      </w:r>
      <w:r>
        <w:rPr>
          <w:rFonts w:ascii="Arial" w:eastAsia="Times New Roman" w:hAnsi="Arial" w:cs="Arial"/>
          <w:sz w:val="24"/>
          <w:szCs w:val="24"/>
        </w:rPr>
        <w:t>ate Liabilities, Journal of Political Economy, Vol.</w:t>
      </w:r>
      <w:r w:rsidR="003F4C11">
        <w:rPr>
          <w:rFonts w:ascii="Arial" w:eastAsia="Times New Roman" w:hAnsi="Arial" w:cs="Arial"/>
          <w:sz w:val="24"/>
          <w:szCs w:val="24"/>
        </w:rPr>
        <w:t xml:space="preserve"> 81</w:t>
      </w:r>
      <w:r>
        <w:rPr>
          <w:rFonts w:ascii="Arial" w:eastAsia="Times New Roman" w:hAnsi="Arial" w:cs="Arial"/>
          <w:sz w:val="24"/>
          <w:szCs w:val="24"/>
        </w:rPr>
        <w:t>; pp.</w:t>
      </w:r>
      <w:r w:rsidR="003F4C11">
        <w:rPr>
          <w:rFonts w:ascii="Arial" w:eastAsia="Times New Roman" w:hAnsi="Arial" w:cs="Arial"/>
          <w:sz w:val="24"/>
          <w:szCs w:val="24"/>
        </w:rPr>
        <w:t xml:space="preserve"> 351 – 367.</w:t>
      </w:r>
    </w:p>
    <w:p w:rsidR="00A67193" w:rsidRDefault="00A67193" w:rsidP="00EA61A9">
      <w:pPr>
        <w:tabs>
          <w:tab w:val="left" w:pos="7920"/>
        </w:tabs>
        <w:spacing w:line="240" w:lineRule="auto"/>
        <w:ind w:firstLine="0"/>
        <w:rPr>
          <w:rFonts w:ascii="Arial" w:eastAsia="Times New Roman" w:hAnsi="Arial" w:cs="Arial"/>
          <w:sz w:val="24"/>
          <w:szCs w:val="24"/>
        </w:rPr>
      </w:pPr>
    </w:p>
    <w:p w:rsidR="00A67193" w:rsidRPr="00A67193" w:rsidRDefault="00A67193" w:rsidP="0023594E">
      <w:pPr>
        <w:autoSpaceDE w:val="0"/>
        <w:autoSpaceDN w:val="0"/>
        <w:adjustRightInd w:val="0"/>
        <w:spacing w:line="240" w:lineRule="auto"/>
        <w:ind w:firstLine="0"/>
        <w:rPr>
          <w:rFonts w:ascii="Arial" w:hAnsi="Arial" w:cs="Arial"/>
          <w:sz w:val="24"/>
          <w:szCs w:val="24"/>
          <w:lang w:val="id-ID"/>
        </w:rPr>
      </w:pPr>
      <w:r w:rsidRPr="00A67193">
        <w:rPr>
          <w:rFonts w:ascii="Arial" w:hAnsi="Arial" w:cs="Arial"/>
          <w:sz w:val="24"/>
          <w:szCs w:val="24"/>
          <w:lang w:val="id-ID"/>
        </w:rPr>
        <w:t>Brigham, E</w:t>
      </w:r>
      <w:r w:rsidR="007A3E2F">
        <w:rPr>
          <w:rFonts w:ascii="Arial" w:hAnsi="Arial" w:cs="Arial"/>
          <w:sz w:val="24"/>
          <w:szCs w:val="24"/>
        </w:rPr>
        <w:t>ugene</w:t>
      </w:r>
      <w:r w:rsidR="007A3E2F">
        <w:rPr>
          <w:rFonts w:ascii="Arial" w:hAnsi="Arial" w:cs="Arial"/>
          <w:sz w:val="24"/>
          <w:szCs w:val="24"/>
          <w:lang w:val="id-ID"/>
        </w:rPr>
        <w:t xml:space="preserve"> F. and</w:t>
      </w:r>
      <w:r w:rsidRPr="00A67193">
        <w:rPr>
          <w:rFonts w:ascii="Arial" w:hAnsi="Arial" w:cs="Arial"/>
          <w:sz w:val="24"/>
          <w:szCs w:val="24"/>
          <w:lang w:val="id-ID"/>
        </w:rPr>
        <w:t xml:space="preserve"> </w:t>
      </w:r>
      <w:r w:rsidR="007A3E2F">
        <w:rPr>
          <w:rFonts w:ascii="Arial" w:hAnsi="Arial" w:cs="Arial"/>
          <w:sz w:val="24"/>
          <w:szCs w:val="24"/>
        </w:rPr>
        <w:t>Ehrhardt</w:t>
      </w:r>
      <w:r w:rsidRPr="00A67193">
        <w:rPr>
          <w:rFonts w:ascii="Arial" w:hAnsi="Arial" w:cs="Arial"/>
          <w:sz w:val="24"/>
          <w:szCs w:val="24"/>
          <w:lang w:val="id-ID"/>
        </w:rPr>
        <w:t xml:space="preserve">, </w:t>
      </w:r>
      <w:r w:rsidR="007A3E2F">
        <w:rPr>
          <w:rFonts w:ascii="Arial" w:hAnsi="Arial" w:cs="Arial"/>
          <w:sz w:val="24"/>
          <w:szCs w:val="24"/>
        </w:rPr>
        <w:t>Michael</w:t>
      </w:r>
      <w:r w:rsidRPr="00A67193">
        <w:rPr>
          <w:rFonts w:ascii="Arial" w:hAnsi="Arial" w:cs="Arial"/>
          <w:sz w:val="24"/>
          <w:szCs w:val="24"/>
          <w:lang w:val="id-ID"/>
        </w:rPr>
        <w:t>. C. (</w:t>
      </w:r>
      <w:r w:rsidR="007A3E2F">
        <w:rPr>
          <w:rFonts w:ascii="Arial" w:hAnsi="Arial" w:cs="Arial"/>
          <w:sz w:val="24"/>
          <w:szCs w:val="24"/>
        </w:rPr>
        <w:t>2005</w:t>
      </w:r>
      <w:r w:rsidRPr="00A67193">
        <w:rPr>
          <w:rFonts w:ascii="Arial" w:hAnsi="Arial" w:cs="Arial"/>
          <w:sz w:val="24"/>
          <w:szCs w:val="24"/>
          <w:lang w:val="id-ID"/>
        </w:rPr>
        <w:t>).</w:t>
      </w:r>
      <w:r w:rsidR="007A3E2F">
        <w:rPr>
          <w:rFonts w:ascii="Arial" w:hAnsi="Arial" w:cs="Arial"/>
          <w:sz w:val="24"/>
          <w:szCs w:val="24"/>
        </w:rPr>
        <w:t xml:space="preserve"> Financial Management: Theroy and Practice, SOUTH-WESTERN, Cengage Learning</w:t>
      </w:r>
      <w:r w:rsidRPr="00A67193">
        <w:rPr>
          <w:rFonts w:ascii="Arial" w:hAnsi="Arial" w:cs="Arial"/>
          <w:sz w:val="24"/>
          <w:szCs w:val="24"/>
          <w:lang w:val="id-ID"/>
        </w:rPr>
        <w:t xml:space="preserve"> </w:t>
      </w:r>
    </w:p>
    <w:p w:rsidR="00A67193" w:rsidRDefault="00A67193" w:rsidP="00EA61A9">
      <w:pPr>
        <w:tabs>
          <w:tab w:val="left" w:pos="7920"/>
        </w:tabs>
        <w:spacing w:line="240" w:lineRule="auto"/>
        <w:ind w:firstLine="0"/>
        <w:rPr>
          <w:rFonts w:ascii="Arial" w:eastAsia="Times New Roman" w:hAnsi="Arial" w:cs="Arial"/>
          <w:sz w:val="24"/>
          <w:szCs w:val="24"/>
        </w:rPr>
      </w:pPr>
    </w:p>
    <w:p w:rsidR="003C4BBF" w:rsidRDefault="003C4BBF" w:rsidP="00EA61A9">
      <w:pPr>
        <w:tabs>
          <w:tab w:val="left" w:pos="7920"/>
        </w:tabs>
        <w:spacing w:line="240" w:lineRule="auto"/>
        <w:ind w:firstLine="0"/>
        <w:rPr>
          <w:rFonts w:ascii="Arial" w:eastAsia="Times New Roman" w:hAnsi="Arial" w:cs="Arial"/>
          <w:sz w:val="24"/>
          <w:szCs w:val="24"/>
        </w:rPr>
      </w:pPr>
      <w:r>
        <w:rPr>
          <w:rFonts w:ascii="Arial" w:eastAsia="Times New Roman" w:hAnsi="Arial" w:cs="Arial"/>
          <w:sz w:val="24"/>
          <w:szCs w:val="24"/>
        </w:rPr>
        <w:t>Crosbie, P. and J. Bohn</w:t>
      </w:r>
      <w:r w:rsidR="00B11E57">
        <w:rPr>
          <w:rFonts w:ascii="Arial" w:eastAsia="Times New Roman" w:hAnsi="Arial" w:cs="Arial"/>
          <w:sz w:val="24"/>
          <w:szCs w:val="24"/>
        </w:rPr>
        <w:t xml:space="preserve"> (2003),</w:t>
      </w:r>
      <w:r>
        <w:rPr>
          <w:rFonts w:ascii="Arial" w:eastAsia="Times New Roman" w:hAnsi="Arial" w:cs="Arial"/>
          <w:sz w:val="24"/>
          <w:szCs w:val="24"/>
        </w:rPr>
        <w:t xml:space="preserve"> Modeling Default Risk, KMV Corporation, USA.</w:t>
      </w:r>
    </w:p>
    <w:p w:rsidR="003C4BBF" w:rsidRPr="00D41040" w:rsidRDefault="003C4BBF" w:rsidP="00EA61A9">
      <w:pPr>
        <w:tabs>
          <w:tab w:val="left" w:pos="7920"/>
        </w:tabs>
        <w:spacing w:line="240" w:lineRule="auto"/>
        <w:ind w:firstLine="0"/>
        <w:rPr>
          <w:rFonts w:ascii="Arial" w:eastAsia="Times New Roman" w:hAnsi="Arial" w:cs="Arial"/>
          <w:sz w:val="24"/>
          <w:szCs w:val="24"/>
        </w:rPr>
      </w:pPr>
    </w:p>
    <w:p w:rsidR="00395E2C" w:rsidRDefault="00395E2C" w:rsidP="00395E2C">
      <w:pPr>
        <w:spacing w:line="240" w:lineRule="auto"/>
        <w:ind w:firstLine="0"/>
        <w:rPr>
          <w:rFonts w:ascii="Arial" w:hAnsi="Arial" w:cs="Arial"/>
          <w:sz w:val="24"/>
          <w:szCs w:val="24"/>
        </w:rPr>
      </w:pPr>
      <w:r>
        <w:rPr>
          <w:rFonts w:ascii="Arial" w:hAnsi="Arial" w:cs="Arial"/>
          <w:sz w:val="24"/>
          <w:szCs w:val="24"/>
        </w:rPr>
        <w:t xml:space="preserve">Hasan, M. S. A.,  Manurung, A. H. and Bahtiar Usman (2020); </w:t>
      </w:r>
      <w:r w:rsidRPr="008C7F86">
        <w:rPr>
          <w:rFonts w:ascii="Arial" w:hAnsi="Arial" w:cs="Arial"/>
          <w:sz w:val="24"/>
          <w:szCs w:val="24"/>
        </w:rPr>
        <w:t>Determinants of Bank Profitability with Size as Moderating Variable</w:t>
      </w:r>
      <w:r>
        <w:rPr>
          <w:rFonts w:ascii="Arial" w:hAnsi="Arial" w:cs="Arial"/>
          <w:sz w:val="24"/>
          <w:szCs w:val="24"/>
        </w:rPr>
        <w:t xml:space="preserve">; </w:t>
      </w:r>
      <w:r w:rsidRPr="008C7F86">
        <w:rPr>
          <w:rFonts w:ascii="Arial" w:hAnsi="Arial" w:cs="Arial"/>
          <w:sz w:val="24"/>
          <w:szCs w:val="24"/>
        </w:rPr>
        <w:t>Journal of Applied Finance &amp; Banking, vol. 10</w:t>
      </w:r>
      <w:r>
        <w:rPr>
          <w:rFonts w:ascii="Arial" w:hAnsi="Arial" w:cs="Arial"/>
          <w:sz w:val="24"/>
          <w:szCs w:val="24"/>
        </w:rPr>
        <w:t xml:space="preserve"> (</w:t>
      </w:r>
      <w:r w:rsidRPr="008C7F86">
        <w:rPr>
          <w:rFonts w:ascii="Arial" w:hAnsi="Arial" w:cs="Arial"/>
          <w:sz w:val="24"/>
          <w:szCs w:val="24"/>
        </w:rPr>
        <w:t>1</w:t>
      </w:r>
      <w:r>
        <w:rPr>
          <w:rFonts w:ascii="Arial" w:hAnsi="Arial" w:cs="Arial"/>
          <w:sz w:val="24"/>
          <w:szCs w:val="24"/>
        </w:rPr>
        <w:t>)</w:t>
      </w:r>
      <w:r w:rsidRPr="008C7F86">
        <w:rPr>
          <w:rFonts w:ascii="Arial" w:hAnsi="Arial" w:cs="Arial"/>
          <w:sz w:val="24"/>
          <w:szCs w:val="24"/>
        </w:rPr>
        <w:t xml:space="preserve">, </w:t>
      </w:r>
      <w:r>
        <w:rPr>
          <w:rFonts w:ascii="Arial" w:hAnsi="Arial" w:cs="Arial"/>
          <w:sz w:val="24"/>
          <w:szCs w:val="24"/>
        </w:rPr>
        <w:t>p.</w:t>
      </w:r>
      <w:r w:rsidRPr="008C7F86">
        <w:rPr>
          <w:rFonts w:ascii="Arial" w:hAnsi="Arial" w:cs="Arial"/>
          <w:sz w:val="24"/>
          <w:szCs w:val="24"/>
        </w:rPr>
        <w:t xml:space="preserve"> 153-16</w:t>
      </w:r>
      <w:r>
        <w:rPr>
          <w:rFonts w:ascii="Arial" w:hAnsi="Arial" w:cs="Arial"/>
          <w:sz w:val="24"/>
          <w:szCs w:val="24"/>
        </w:rPr>
        <w:t>6</w:t>
      </w:r>
    </w:p>
    <w:p w:rsidR="00EA61A9" w:rsidRDefault="00EA61A9" w:rsidP="00EA61A9">
      <w:pPr>
        <w:autoSpaceDE w:val="0"/>
        <w:autoSpaceDN w:val="0"/>
        <w:adjustRightInd w:val="0"/>
        <w:spacing w:line="240" w:lineRule="auto"/>
        <w:ind w:firstLine="0"/>
        <w:rPr>
          <w:rFonts w:ascii="Times New Roman" w:eastAsia="CIDFont+F1" w:hAnsi="Times New Roman" w:cs="Times New Roman"/>
          <w:sz w:val="24"/>
          <w:szCs w:val="24"/>
        </w:rPr>
      </w:pPr>
    </w:p>
    <w:p w:rsidR="000B4256" w:rsidRPr="00E66342" w:rsidRDefault="00395E2C" w:rsidP="00EA61A9">
      <w:pPr>
        <w:autoSpaceDE w:val="0"/>
        <w:autoSpaceDN w:val="0"/>
        <w:adjustRightInd w:val="0"/>
        <w:spacing w:line="240" w:lineRule="auto"/>
        <w:ind w:firstLine="0"/>
        <w:rPr>
          <w:rFonts w:ascii="Arial" w:eastAsia="CIDFont+F1" w:hAnsi="Arial" w:cs="Arial"/>
          <w:sz w:val="24"/>
          <w:szCs w:val="24"/>
        </w:rPr>
      </w:pPr>
      <w:r w:rsidRPr="00E66342">
        <w:rPr>
          <w:rFonts w:ascii="Arial" w:eastAsia="CIDFont+F1" w:hAnsi="Arial" w:cs="Arial"/>
          <w:sz w:val="24"/>
          <w:szCs w:val="24"/>
        </w:rPr>
        <w:t>Jingxuan Wu and Priyaadarshini Elango (2019)</w:t>
      </w:r>
      <w:r w:rsidR="000B4256" w:rsidRPr="00E66342">
        <w:rPr>
          <w:rFonts w:ascii="Arial" w:eastAsia="CIDFont+F1" w:hAnsi="Arial" w:cs="Arial"/>
          <w:sz w:val="24"/>
          <w:szCs w:val="24"/>
        </w:rPr>
        <w:t xml:space="preserve">, Prediction </w:t>
      </w:r>
      <w:r w:rsidRPr="00E66342">
        <w:rPr>
          <w:rFonts w:ascii="Arial" w:eastAsia="CIDFont+F1" w:hAnsi="Arial" w:cs="Arial"/>
          <w:sz w:val="24"/>
          <w:szCs w:val="24"/>
        </w:rPr>
        <w:t>o</w:t>
      </w:r>
      <w:r w:rsidR="000B4256" w:rsidRPr="00E66342">
        <w:rPr>
          <w:rFonts w:ascii="Arial" w:eastAsia="CIDFont+F1" w:hAnsi="Arial" w:cs="Arial"/>
          <w:sz w:val="24"/>
          <w:szCs w:val="24"/>
        </w:rPr>
        <w:t>f Corporate De</w:t>
      </w:r>
      <w:r w:rsidRPr="00E66342">
        <w:rPr>
          <w:rFonts w:ascii="Arial" w:eastAsia="CIDFont+F1" w:hAnsi="Arial" w:cs="Arial"/>
          <w:sz w:val="24"/>
          <w:szCs w:val="24"/>
        </w:rPr>
        <w:t>fault Using Logistic Regression, Tesis Master Degree, Simon Fraser University.</w:t>
      </w:r>
    </w:p>
    <w:p w:rsidR="00EA61A9" w:rsidRPr="00E66342" w:rsidRDefault="00EA61A9" w:rsidP="00EA61A9">
      <w:pPr>
        <w:autoSpaceDE w:val="0"/>
        <w:autoSpaceDN w:val="0"/>
        <w:adjustRightInd w:val="0"/>
        <w:spacing w:line="240" w:lineRule="auto"/>
        <w:ind w:firstLine="0"/>
        <w:rPr>
          <w:rFonts w:ascii="Arial" w:hAnsi="Arial" w:cs="Arial"/>
          <w:sz w:val="24"/>
          <w:szCs w:val="24"/>
        </w:rPr>
      </w:pPr>
    </w:p>
    <w:p w:rsidR="000B4256" w:rsidRPr="00E66342" w:rsidRDefault="000B4256" w:rsidP="00EA61A9">
      <w:pPr>
        <w:autoSpaceDE w:val="0"/>
        <w:autoSpaceDN w:val="0"/>
        <w:adjustRightInd w:val="0"/>
        <w:spacing w:line="240" w:lineRule="auto"/>
        <w:ind w:firstLine="0"/>
        <w:rPr>
          <w:rFonts w:ascii="Arial" w:hAnsi="Arial" w:cs="Arial"/>
          <w:i/>
          <w:iCs/>
          <w:sz w:val="24"/>
          <w:szCs w:val="24"/>
        </w:rPr>
      </w:pPr>
      <w:r w:rsidRPr="00E66342">
        <w:rPr>
          <w:rFonts w:ascii="Arial" w:hAnsi="Arial" w:cs="Arial"/>
          <w:sz w:val="24"/>
          <w:szCs w:val="24"/>
        </w:rPr>
        <w:t xml:space="preserve">Koes Pranowo, </w:t>
      </w:r>
      <w:r w:rsidR="00957F7A" w:rsidRPr="00E66342">
        <w:rPr>
          <w:rFonts w:ascii="Arial" w:hAnsi="Arial" w:cs="Arial"/>
          <w:sz w:val="24"/>
          <w:szCs w:val="24"/>
        </w:rPr>
        <w:t>K., Achsani, N. A., Adler H. Manurung and</w:t>
      </w:r>
      <w:r w:rsidR="00957F7A" w:rsidRPr="00E66342">
        <w:rPr>
          <w:rFonts w:ascii="Arial" w:hAnsi="Arial" w:cs="Arial"/>
        </w:rPr>
        <w:t xml:space="preserve"> </w:t>
      </w:r>
      <w:r w:rsidR="00957F7A" w:rsidRPr="00E66342">
        <w:rPr>
          <w:rFonts w:ascii="Arial" w:hAnsi="Arial" w:cs="Arial"/>
          <w:sz w:val="24"/>
          <w:szCs w:val="24"/>
        </w:rPr>
        <w:t>Nunung Nuryartono,</w:t>
      </w:r>
      <w:r w:rsidRPr="00E66342">
        <w:rPr>
          <w:rFonts w:ascii="Arial" w:hAnsi="Arial" w:cs="Arial"/>
          <w:sz w:val="24"/>
          <w:szCs w:val="24"/>
        </w:rPr>
        <w:t xml:space="preserve"> 2010. </w:t>
      </w:r>
      <w:r w:rsidRPr="00E66342">
        <w:rPr>
          <w:rFonts w:ascii="Arial" w:hAnsi="Arial" w:cs="Arial"/>
          <w:i/>
          <w:iCs/>
          <w:sz w:val="24"/>
          <w:szCs w:val="24"/>
        </w:rPr>
        <w:t>Determinant of Corporate Financial Distress in an Emerging Market Economy: Empirical Evidence from the Indonesian Stock Exchange 2004-2008</w:t>
      </w:r>
      <w:r w:rsidR="00E379C3" w:rsidRPr="00E66342">
        <w:rPr>
          <w:rFonts w:ascii="Arial" w:hAnsi="Arial" w:cs="Arial"/>
          <w:i/>
          <w:iCs/>
          <w:sz w:val="24"/>
          <w:szCs w:val="24"/>
        </w:rPr>
        <w:t xml:space="preserve">, </w:t>
      </w:r>
      <w:r w:rsidR="00E379C3" w:rsidRPr="00E66342">
        <w:rPr>
          <w:rFonts w:ascii="Arial" w:hAnsi="Arial" w:cs="Arial"/>
          <w:iCs/>
          <w:sz w:val="24"/>
          <w:szCs w:val="24"/>
        </w:rPr>
        <w:t>European Journal of Social Sciences, Vol. 16(1), pp</w:t>
      </w:r>
      <w:r w:rsidRPr="00E66342">
        <w:rPr>
          <w:rFonts w:ascii="Arial" w:hAnsi="Arial" w:cs="Arial"/>
          <w:iCs/>
          <w:sz w:val="24"/>
          <w:szCs w:val="24"/>
        </w:rPr>
        <w:t>.</w:t>
      </w:r>
      <w:r w:rsidR="00957F7A" w:rsidRPr="00E66342">
        <w:rPr>
          <w:rFonts w:ascii="Arial" w:hAnsi="Arial" w:cs="Arial"/>
          <w:iCs/>
          <w:sz w:val="24"/>
          <w:szCs w:val="24"/>
        </w:rPr>
        <w:t xml:space="preserve"> 138 - 149</w:t>
      </w:r>
    </w:p>
    <w:p w:rsidR="00EA61A9" w:rsidRDefault="00EA61A9" w:rsidP="00EA61A9">
      <w:pPr>
        <w:autoSpaceDE w:val="0"/>
        <w:autoSpaceDN w:val="0"/>
        <w:adjustRightInd w:val="0"/>
        <w:spacing w:line="240" w:lineRule="auto"/>
        <w:ind w:firstLine="0"/>
        <w:rPr>
          <w:rFonts w:ascii="Times New Roman" w:hAnsi="Times New Roman" w:cs="Times New Roman"/>
          <w:sz w:val="24"/>
          <w:szCs w:val="24"/>
        </w:rPr>
      </w:pPr>
    </w:p>
    <w:p w:rsidR="00E379C3" w:rsidRPr="00E66342" w:rsidRDefault="00E379C3" w:rsidP="00E379C3">
      <w:pPr>
        <w:autoSpaceDE w:val="0"/>
        <w:autoSpaceDN w:val="0"/>
        <w:adjustRightInd w:val="0"/>
        <w:spacing w:line="240" w:lineRule="auto"/>
        <w:ind w:firstLine="0"/>
        <w:rPr>
          <w:rFonts w:ascii="Arial" w:hAnsi="Arial" w:cs="Arial"/>
          <w:sz w:val="24"/>
          <w:szCs w:val="24"/>
        </w:rPr>
      </w:pPr>
      <w:r w:rsidRPr="00E66342">
        <w:rPr>
          <w:rFonts w:ascii="Arial" w:hAnsi="Arial" w:cs="Arial"/>
          <w:sz w:val="24"/>
          <w:szCs w:val="24"/>
        </w:rPr>
        <w:t xml:space="preserve">Lau, A. H. 1987. </w:t>
      </w:r>
      <w:r w:rsidRPr="00E66342">
        <w:rPr>
          <w:rFonts w:ascii="Arial" w:hAnsi="Arial" w:cs="Arial"/>
          <w:i/>
          <w:iCs/>
          <w:sz w:val="24"/>
          <w:szCs w:val="24"/>
        </w:rPr>
        <w:t xml:space="preserve">A Five State Financial Distress Prediction Model. </w:t>
      </w:r>
      <w:r w:rsidRPr="00E66342">
        <w:rPr>
          <w:rFonts w:ascii="Arial" w:hAnsi="Arial" w:cs="Arial"/>
          <w:sz w:val="24"/>
          <w:szCs w:val="24"/>
        </w:rPr>
        <w:t>Journal of Accounting Research 25 (1), pp. 127 - 138</w:t>
      </w:r>
    </w:p>
    <w:p w:rsidR="00E379C3" w:rsidRPr="00E66342" w:rsidRDefault="00E379C3" w:rsidP="00EA61A9">
      <w:pPr>
        <w:autoSpaceDE w:val="0"/>
        <w:autoSpaceDN w:val="0"/>
        <w:adjustRightInd w:val="0"/>
        <w:spacing w:line="240" w:lineRule="auto"/>
        <w:ind w:firstLine="0"/>
        <w:rPr>
          <w:rFonts w:ascii="Arial" w:hAnsi="Arial" w:cs="Arial"/>
          <w:sz w:val="24"/>
          <w:szCs w:val="24"/>
        </w:rPr>
      </w:pPr>
    </w:p>
    <w:p w:rsidR="00EA61A9" w:rsidRPr="00E66342" w:rsidRDefault="00957F7A" w:rsidP="00957F7A">
      <w:pPr>
        <w:tabs>
          <w:tab w:val="left" w:pos="7920"/>
        </w:tabs>
        <w:autoSpaceDE w:val="0"/>
        <w:autoSpaceDN w:val="0"/>
        <w:adjustRightInd w:val="0"/>
        <w:spacing w:line="240" w:lineRule="auto"/>
        <w:ind w:hanging="11"/>
        <w:rPr>
          <w:rFonts w:ascii="Arial" w:hAnsi="Arial" w:cs="Arial"/>
          <w:sz w:val="24"/>
          <w:szCs w:val="24"/>
        </w:rPr>
      </w:pPr>
      <w:r w:rsidRPr="00E66342">
        <w:rPr>
          <w:rFonts w:ascii="Arial" w:hAnsi="Arial" w:cs="Arial"/>
          <w:sz w:val="24"/>
          <w:szCs w:val="24"/>
        </w:rPr>
        <w:t xml:space="preserve">Lugovskaya, L. </w:t>
      </w:r>
      <w:r w:rsidR="00B71D66">
        <w:rPr>
          <w:rFonts w:ascii="Arial" w:hAnsi="Arial" w:cs="Arial"/>
          <w:sz w:val="24"/>
          <w:szCs w:val="24"/>
        </w:rPr>
        <w:t xml:space="preserve">(2010), </w:t>
      </w:r>
      <w:r w:rsidRPr="00E66342">
        <w:rPr>
          <w:rFonts w:ascii="Arial" w:hAnsi="Arial" w:cs="Arial"/>
          <w:sz w:val="24"/>
          <w:szCs w:val="24"/>
        </w:rPr>
        <w:t xml:space="preserve">Predicting default of Russian SMEs on the basis of financial and non-financial variables. </w:t>
      </w:r>
      <w:r w:rsidRPr="00E66342">
        <w:rPr>
          <w:rFonts w:ascii="Arial" w:hAnsi="Arial" w:cs="Arial"/>
          <w:i/>
          <w:iCs/>
          <w:sz w:val="24"/>
          <w:szCs w:val="24"/>
        </w:rPr>
        <w:t xml:space="preserve">Journal </w:t>
      </w:r>
      <w:r w:rsidR="00C93E73" w:rsidRPr="00E66342">
        <w:rPr>
          <w:rFonts w:ascii="Arial" w:hAnsi="Arial" w:cs="Arial"/>
          <w:i/>
          <w:iCs/>
          <w:sz w:val="24"/>
          <w:szCs w:val="24"/>
        </w:rPr>
        <w:t>of</w:t>
      </w:r>
      <w:r w:rsidRPr="00E66342">
        <w:rPr>
          <w:rFonts w:ascii="Arial" w:hAnsi="Arial" w:cs="Arial"/>
          <w:i/>
          <w:iCs/>
          <w:sz w:val="24"/>
          <w:szCs w:val="24"/>
        </w:rPr>
        <w:t xml:space="preserve"> Financ</w:t>
      </w:r>
      <w:r w:rsidR="00C93E73" w:rsidRPr="00E66342">
        <w:rPr>
          <w:rFonts w:ascii="Arial" w:hAnsi="Arial" w:cs="Arial"/>
          <w:i/>
          <w:iCs/>
          <w:sz w:val="24"/>
          <w:szCs w:val="24"/>
        </w:rPr>
        <w:t>ial</w:t>
      </w:r>
      <w:r w:rsidRPr="00E66342">
        <w:rPr>
          <w:rFonts w:ascii="Arial" w:hAnsi="Arial" w:cs="Arial"/>
          <w:i/>
          <w:iCs/>
          <w:sz w:val="24"/>
          <w:szCs w:val="24"/>
        </w:rPr>
        <w:t xml:space="preserve"> Serv</w:t>
      </w:r>
      <w:r w:rsidR="00C93E73" w:rsidRPr="00E66342">
        <w:rPr>
          <w:rFonts w:ascii="Arial" w:hAnsi="Arial" w:cs="Arial"/>
          <w:i/>
          <w:iCs/>
          <w:sz w:val="24"/>
          <w:szCs w:val="24"/>
        </w:rPr>
        <w:t>ice</w:t>
      </w:r>
      <w:r w:rsidRPr="00E66342">
        <w:rPr>
          <w:rFonts w:ascii="Arial" w:hAnsi="Arial" w:cs="Arial"/>
          <w:i/>
          <w:iCs/>
          <w:sz w:val="24"/>
          <w:szCs w:val="24"/>
        </w:rPr>
        <w:t xml:space="preserve"> Mark</w:t>
      </w:r>
      <w:r w:rsidR="00C93E73" w:rsidRPr="00E66342">
        <w:rPr>
          <w:rFonts w:ascii="Arial" w:hAnsi="Arial" w:cs="Arial"/>
          <w:i/>
          <w:iCs/>
          <w:sz w:val="24"/>
          <w:szCs w:val="24"/>
        </w:rPr>
        <w:t>eting,</w:t>
      </w:r>
      <w:r w:rsidRPr="00E66342">
        <w:rPr>
          <w:rFonts w:ascii="Arial" w:hAnsi="Arial" w:cs="Arial"/>
          <w:sz w:val="24"/>
          <w:szCs w:val="24"/>
        </w:rPr>
        <w:t xml:space="preserve"> </w:t>
      </w:r>
      <w:r w:rsidRPr="00E66342">
        <w:rPr>
          <w:rFonts w:ascii="Arial" w:hAnsi="Arial" w:cs="Arial"/>
          <w:bCs/>
          <w:sz w:val="24"/>
          <w:szCs w:val="24"/>
        </w:rPr>
        <w:t>14</w:t>
      </w:r>
      <w:r w:rsidRPr="00E66342">
        <w:rPr>
          <w:rFonts w:ascii="Arial" w:hAnsi="Arial" w:cs="Arial"/>
          <w:b/>
          <w:bCs/>
          <w:sz w:val="24"/>
          <w:szCs w:val="24"/>
        </w:rPr>
        <w:t xml:space="preserve">, </w:t>
      </w:r>
      <w:r w:rsidRPr="00E66342">
        <w:rPr>
          <w:rFonts w:ascii="Arial" w:hAnsi="Arial" w:cs="Arial"/>
          <w:bCs/>
          <w:sz w:val="24"/>
          <w:szCs w:val="24"/>
        </w:rPr>
        <w:t>pp.</w:t>
      </w:r>
      <w:r w:rsidRPr="00E66342">
        <w:rPr>
          <w:rFonts w:ascii="Arial" w:hAnsi="Arial" w:cs="Arial"/>
          <w:b/>
          <w:bCs/>
          <w:sz w:val="24"/>
          <w:szCs w:val="24"/>
        </w:rPr>
        <w:t xml:space="preserve">  </w:t>
      </w:r>
      <w:r w:rsidRPr="00E66342">
        <w:rPr>
          <w:rFonts w:ascii="Arial" w:hAnsi="Arial" w:cs="Arial"/>
          <w:sz w:val="24"/>
          <w:szCs w:val="24"/>
        </w:rPr>
        <w:t>301–313</w:t>
      </w:r>
    </w:p>
    <w:p w:rsidR="00957F7A" w:rsidRPr="00E66342" w:rsidRDefault="00957F7A" w:rsidP="00EA61A9">
      <w:pPr>
        <w:tabs>
          <w:tab w:val="left" w:pos="7920"/>
        </w:tabs>
        <w:autoSpaceDE w:val="0"/>
        <w:autoSpaceDN w:val="0"/>
        <w:adjustRightInd w:val="0"/>
        <w:spacing w:line="240" w:lineRule="auto"/>
        <w:ind w:left="709" w:hanging="720"/>
        <w:rPr>
          <w:rFonts w:ascii="Arial" w:hAnsi="Arial" w:cs="Arial"/>
          <w:sz w:val="24"/>
          <w:szCs w:val="24"/>
        </w:rPr>
      </w:pPr>
    </w:p>
    <w:p w:rsidR="000B4256" w:rsidRDefault="000B4256" w:rsidP="00EA61A9">
      <w:pPr>
        <w:tabs>
          <w:tab w:val="left" w:pos="7920"/>
        </w:tabs>
        <w:autoSpaceDE w:val="0"/>
        <w:autoSpaceDN w:val="0"/>
        <w:adjustRightInd w:val="0"/>
        <w:spacing w:line="240" w:lineRule="auto"/>
        <w:ind w:firstLine="0"/>
        <w:rPr>
          <w:rFonts w:ascii="Arial" w:hAnsi="Arial" w:cs="Arial"/>
          <w:sz w:val="24"/>
          <w:szCs w:val="24"/>
        </w:rPr>
      </w:pPr>
      <w:r w:rsidRPr="00E66342">
        <w:rPr>
          <w:rFonts w:ascii="Arial" w:hAnsi="Arial" w:cs="Arial"/>
          <w:sz w:val="24"/>
          <w:szCs w:val="24"/>
        </w:rPr>
        <w:t xml:space="preserve">Manurung, Adler Haymans. (2008). Probabilitas Default Perusahaan; The Ary Suta Center on Strategic Management; </w:t>
      </w:r>
      <w:r w:rsidR="00E66342">
        <w:rPr>
          <w:rFonts w:ascii="Arial" w:hAnsi="Arial" w:cs="Arial"/>
          <w:sz w:val="24"/>
          <w:szCs w:val="24"/>
        </w:rPr>
        <w:t xml:space="preserve">July, </w:t>
      </w:r>
      <w:r w:rsidRPr="00E66342">
        <w:rPr>
          <w:rFonts w:ascii="Arial" w:hAnsi="Arial" w:cs="Arial"/>
          <w:sz w:val="24"/>
          <w:szCs w:val="24"/>
        </w:rPr>
        <w:t>pp. 7 - 22.</w:t>
      </w:r>
    </w:p>
    <w:p w:rsidR="00407473" w:rsidRDefault="00407473" w:rsidP="00EA61A9">
      <w:pPr>
        <w:tabs>
          <w:tab w:val="left" w:pos="7920"/>
        </w:tabs>
        <w:autoSpaceDE w:val="0"/>
        <w:autoSpaceDN w:val="0"/>
        <w:adjustRightInd w:val="0"/>
        <w:spacing w:line="240" w:lineRule="auto"/>
        <w:ind w:firstLine="0"/>
        <w:rPr>
          <w:rFonts w:ascii="Arial" w:hAnsi="Arial" w:cs="Arial"/>
          <w:sz w:val="24"/>
          <w:szCs w:val="24"/>
        </w:rPr>
      </w:pPr>
    </w:p>
    <w:p w:rsidR="00407473" w:rsidRPr="00E66342" w:rsidRDefault="00407473" w:rsidP="00EA61A9">
      <w:pPr>
        <w:tabs>
          <w:tab w:val="left" w:pos="7920"/>
        </w:tabs>
        <w:autoSpaceDE w:val="0"/>
        <w:autoSpaceDN w:val="0"/>
        <w:adjustRightInd w:val="0"/>
        <w:spacing w:line="240" w:lineRule="auto"/>
        <w:ind w:firstLine="0"/>
        <w:rPr>
          <w:rFonts w:ascii="Arial" w:hAnsi="Arial" w:cs="Arial"/>
          <w:sz w:val="24"/>
          <w:szCs w:val="24"/>
        </w:rPr>
      </w:pPr>
      <w:r>
        <w:rPr>
          <w:rFonts w:ascii="Arial" w:hAnsi="Arial" w:cs="Arial"/>
          <w:sz w:val="24"/>
          <w:szCs w:val="24"/>
        </w:rPr>
        <w:t>Manurung, Adler H. (2019), Model and Estimation in Finance and Management and Accouting, PT Adler Manurung Press.</w:t>
      </w:r>
    </w:p>
    <w:p w:rsidR="00EA61A9" w:rsidRDefault="00EA61A9" w:rsidP="00EA61A9">
      <w:pPr>
        <w:tabs>
          <w:tab w:val="left" w:pos="7920"/>
        </w:tabs>
        <w:autoSpaceDE w:val="0"/>
        <w:autoSpaceDN w:val="0"/>
        <w:adjustRightInd w:val="0"/>
        <w:spacing w:line="240" w:lineRule="auto"/>
        <w:ind w:firstLine="0"/>
        <w:rPr>
          <w:rFonts w:ascii="Times New Roman" w:hAnsi="Times New Roman" w:cs="Times New Roman"/>
          <w:sz w:val="24"/>
          <w:szCs w:val="24"/>
        </w:rPr>
      </w:pPr>
    </w:p>
    <w:p w:rsidR="00B11E57" w:rsidRPr="00E66342" w:rsidRDefault="00B11E57" w:rsidP="00EA61A9">
      <w:pPr>
        <w:tabs>
          <w:tab w:val="left" w:pos="7920"/>
        </w:tabs>
        <w:autoSpaceDE w:val="0"/>
        <w:autoSpaceDN w:val="0"/>
        <w:adjustRightInd w:val="0"/>
        <w:spacing w:line="240" w:lineRule="auto"/>
        <w:ind w:firstLine="0"/>
        <w:rPr>
          <w:rFonts w:ascii="Arial" w:hAnsi="Arial" w:cs="Arial"/>
          <w:sz w:val="24"/>
          <w:szCs w:val="24"/>
        </w:rPr>
      </w:pPr>
      <w:r w:rsidRPr="00E66342">
        <w:rPr>
          <w:rFonts w:ascii="Arial" w:hAnsi="Arial" w:cs="Arial"/>
          <w:sz w:val="24"/>
          <w:szCs w:val="24"/>
        </w:rPr>
        <w:t>Merton, R. C. (1974(; On the Pricing of Corporate Debt: The Risk Structure of Interest Rates; Journal of Finance, 29, pp. 449 – 470.</w:t>
      </w:r>
    </w:p>
    <w:p w:rsidR="00B11E57" w:rsidRDefault="00B11E57" w:rsidP="00EA61A9">
      <w:pPr>
        <w:tabs>
          <w:tab w:val="left" w:pos="7920"/>
        </w:tabs>
        <w:autoSpaceDE w:val="0"/>
        <w:autoSpaceDN w:val="0"/>
        <w:adjustRightInd w:val="0"/>
        <w:spacing w:line="240" w:lineRule="auto"/>
        <w:ind w:firstLine="0"/>
        <w:rPr>
          <w:rFonts w:ascii="Times New Roman" w:hAnsi="Times New Roman" w:cs="Times New Roman"/>
          <w:sz w:val="24"/>
          <w:szCs w:val="24"/>
        </w:rPr>
      </w:pPr>
    </w:p>
    <w:p w:rsidR="00451668" w:rsidRPr="00451668" w:rsidRDefault="00451668" w:rsidP="00451668">
      <w:pPr>
        <w:tabs>
          <w:tab w:val="left" w:pos="7920"/>
        </w:tabs>
        <w:autoSpaceDE w:val="0"/>
        <w:autoSpaceDN w:val="0"/>
        <w:adjustRightInd w:val="0"/>
        <w:spacing w:line="240" w:lineRule="auto"/>
        <w:ind w:firstLine="0"/>
        <w:rPr>
          <w:rFonts w:ascii="Arial" w:hAnsi="Arial" w:cs="Arial"/>
          <w:sz w:val="24"/>
          <w:szCs w:val="24"/>
        </w:rPr>
      </w:pPr>
      <w:r w:rsidRPr="00451668">
        <w:rPr>
          <w:rFonts w:ascii="Arial" w:hAnsi="Arial" w:cs="Arial"/>
          <w:sz w:val="24"/>
          <w:szCs w:val="24"/>
        </w:rPr>
        <w:t>Purnamawati, I. G. A. (2014).</w:t>
      </w:r>
      <w:r w:rsidR="006E0803">
        <w:rPr>
          <w:rFonts w:ascii="Arial" w:hAnsi="Arial" w:cs="Arial"/>
          <w:sz w:val="24"/>
          <w:szCs w:val="24"/>
        </w:rPr>
        <w:t xml:space="preserve"> Comparative Performance Analysis of ASEAN Bank After Global Crises, (</w:t>
      </w:r>
      <w:r w:rsidRPr="00451668">
        <w:rPr>
          <w:rFonts w:ascii="Arial" w:hAnsi="Arial" w:cs="Arial"/>
          <w:sz w:val="24"/>
          <w:szCs w:val="24"/>
        </w:rPr>
        <w:t>Analisis komparatif kinerja keuangan perbankan ASEAN setelah krisis Global</w:t>
      </w:r>
      <w:r w:rsidR="006E0803">
        <w:rPr>
          <w:rFonts w:ascii="Arial" w:hAnsi="Arial" w:cs="Arial"/>
          <w:sz w:val="24"/>
          <w:szCs w:val="24"/>
        </w:rPr>
        <w:t>)</w:t>
      </w:r>
      <w:r w:rsidRPr="00451668">
        <w:rPr>
          <w:rFonts w:ascii="Arial" w:hAnsi="Arial" w:cs="Arial"/>
          <w:sz w:val="24"/>
          <w:szCs w:val="24"/>
        </w:rPr>
        <w:t>. Jurnal Keuangan dan Perbankan, 18(2), pp. 287 – 296</w:t>
      </w:r>
    </w:p>
    <w:p w:rsidR="00451668" w:rsidRPr="00451668" w:rsidRDefault="00451668" w:rsidP="00451668">
      <w:pPr>
        <w:tabs>
          <w:tab w:val="left" w:pos="7920"/>
        </w:tabs>
        <w:autoSpaceDE w:val="0"/>
        <w:autoSpaceDN w:val="0"/>
        <w:adjustRightInd w:val="0"/>
        <w:spacing w:line="240" w:lineRule="auto"/>
        <w:ind w:firstLine="0"/>
        <w:rPr>
          <w:rFonts w:ascii="Arial" w:hAnsi="Arial" w:cs="Arial"/>
          <w:sz w:val="24"/>
          <w:szCs w:val="24"/>
        </w:rPr>
      </w:pPr>
    </w:p>
    <w:p w:rsidR="000B4256" w:rsidRDefault="000B4256" w:rsidP="00EA61A9">
      <w:pPr>
        <w:pStyle w:val="Default"/>
        <w:jc w:val="both"/>
        <w:rPr>
          <w:rFonts w:ascii="Arial" w:hAnsi="Arial" w:cs="Arial"/>
        </w:rPr>
      </w:pPr>
      <w:r w:rsidRPr="00451668">
        <w:rPr>
          <w:rFonts w:ascii="Arial" w:hAnsi="Arial" w:cs="Arial"/>
        </w:rPr>
        <w:lastRenderedPageBreak/>
        <w:t>Shaonan Tian, Yan Yu (2017), Financial Ratios and Bankruptcy Predictions: An International Evidence</w:t>
      </w:r>
      <w:r w:rsidR="00551985" w:rsidRPr="00451668">
        <w:rPr>
          <w:rFonts w:ascii="Arial" w:hAnsi="Arial" w:cs="Arial"/>
        </w:rPr>
        <w:t>, Vol. 51, pp. 510 – 526.</w:t>
      </w:r>
    </w:p>
    <w:p w:rsidR="00F24C97" w:rsidRDefault="00F24C97" w:rsidP="00EA61A9">
      <w:pPr>
        <w:pStyle w:val="Default"/>
        <w:jc w:val="both"/>
        <w:rPr>
          <w:rFonts w:ascii="Arial" w:hAnsi="Arial" w:cs="Arial"/>
        </w:rPr>
      </w:pPr>
    </w:p>
    <w:p w:rsidR="00F24C97" w:rsidRPr="00F24C97" w:rsidRDefault="00F24C97" w:rsidP="00F24C97">
      <w:pPr>
        <w:autoSpaceDE w:val="0"/>
        <w:autoSpaceDN w:val="0"/>
        <w:adjustRightInd w:val="0"/>
        <w:spacing w:line="240" w:lineRule="auto"/>
        <w:ind w:firstLine="0"/>
        <w:rPr>
          <w:rFonts w:ascii="Arial" w:hAnsi="Arial" w:cs="Arial"/>
          <w:sz w:val="24"/>
          <w:szCs w:val="24"/>
          <w:lang w:val="id-ID"/>
        </w:rPr>
      </w:pPr>
      <w:r w:rsidRPr="00F24C97">
        <w:rPr>
          <w:rFonts w:ascii="Arial" w:hAnsi="Arial" w:cs="Arial"/>
          <w:sz w:val="24"/>
          <w:szCs w:val="24"/>
          <w:lang w:val="id-ID"/>
        </w:rPr>
        <w:t>Sjam, A</w:t>
      </w:r>
      <w:r>
        <w:rPr>
          <w:rFonts w:ascii="Arial" w:hAnsi="Arial" w:cs="Arial"/>
          <w:sz w:val="24"/>
          <w:szCs w:val="24"/>
        </w:rPr>
        <w:t>melina</w:t>
      </w:r>
      <w:r w:rsidRPr="00F24C97">
        <w:rPr>
          <w:rFonts w:ascii="Arial" w:hAnsi="Arial" w:cs="Arial"/>
          <w:sz w:val="24"/>
          <w:szCs w:val="24"/>
          <w:lang w:val="id-ID"/>
        </w:rPr>
        <w:t xml:space="preserve"> A. (2009).</w:t>
      </w:r>
      <w:r>
        <w:rPr>
          <w:rFonts w:ascii="Arial" w:hAnsi="Arial" w:cs="Arial"/>
          <w:sz w:val="24"/>
          <w:szCs w:val="24"/>
        </w:rPr>
        <w:t>Financial Ratio Indicate Probability Failure of Financial Services in Listed Indonesia Stock Exchange (</w:t>
      </w:r>
      <w:r w:rsidRPr="00F24C97">
        <w:rPr>
          <w:rFonts w:ascii="Arial" w:hAnsi="Arial" w:cs="Arial"/>
          <w:sz w:val="24"/>
          <w:szCs w:val="24"/>
          <w:lang w:val="id-ID"/>
        </w:rPr>
        <w:t>Rasio-Rasio Keuangan yang Mengindikasikan Probabilitas Kegagalan Perusahaan-Perusahaan dalam Industri Jasa Keuangan yang Listing di Bursa Efek Indonesia</w:t>
      </w:r>
      <w:r>
        <w:rPr>
          <w:rFonts w:ascii="Arial" w:hAnsi="Arial" w:cs="Arial"/>
          <w:sz w:val="24"/>
          <w:szCs w:val="24"/>
        </w:rPr>
        <w:t>)</w:t>
      </w:r>
      <w:r w:rsidRPr="00F24C97">
        <w:rPr>
          <w:rFonts w:ascii="Arial" w:hAnsi="Arial" w:cs="Arial"/>
          <w:sz w:val="24"/>
          <w:szCs w:val="24"/>
        </w:rPr>
        <w:t xml:space="preserve">, Research Funded By University of Maranatha, Bandung. Indonesia </w:t>
      </w:r>
      <w:hyperlink r:id="rId22" w:history="1">
        <w:r w:rsidRPr="00F24C97">
          <w:rPr>
            <w:rFonts w:ascii="Arial" w:hAnsi="Arial" w:cs="Arial"/>
            <w:color w:val="0000FF"/>
            <w:sz w:val="24"/>
            <w:szCs w:val="24"/>
            <w:u w:val="single"/>
          </w:rPr>
          <w:t>http://repository.maranatha.edu/id/eprint/5128</w:t>
        </w:r>
      </w:hyperlink>
    </w:p>
    <w:p w:rsidR="00F24C97" w:rsidRPr="00451668" w:rsidRDefault="00F24C97" w:rsidP="00EA61A9">
      <w:pPr>
        <w:pStyle w:val="Default"/>
        <w:jc w:val="both"/>
        <w:rPr>
          <w:rFonts w:ascii="Arial" w:hAnsi="Arial" w:cs="Arial"/>
        </w:rPr>
      </w:pPr>
    </w:p>
    <w:p w:rsidR="00EA61A9" w:rsidRPr="00451668" w:rsidRDefault="00EA61A9" w:rsidP="00EA61A9">
      <w:pPr>
        <w:autoSpaceDE w:val="0"/>
        <w:autoSpaceDN w:val="0"/>
        <w:adjustRightInd w:val="0"/>
        <w:spacing w:line="240" w:lineRule="auto"/>
        <w:ind w:firstLine="0"/>
        <w:rPr>
          <w:rFonts w:ascii="Arial" w:hAnsi="Arial" w:cs="Arial"/>
          <w:sz w:val="24"/>
          <w:szCs w:val="24"/>
        </w:rPr>
      </w:pPr>
    </w:p>
    <w:p w:rsidR="000B4256" w:rsidRPr="00451668" w:rsidRDefault="000B4256" w:rsidP="00EA61A9">
      <w:pPr>
        <w:autoSpaceDE w:val="0"/>
        <w:autoSpaceDN w:val="0"/>
        <w:adjustRightInd w:val="0"/>
        <w:spacing w:line="240" w:lineRule="auto"/>
        <w:ind w:firstLine="0"/>
        <w:rPr>
          <w:rFonts w:ascii="Arial" w:hAnsi="Arial" w:cs="Arial"/>
          <w:sz w:val="24"/>
          <w:szCs w:val="24"/>
        </w:rPr>
      </w:pPr>
      <w:r w:rsidRPr="00451668">
        <w:rPr>
          <w:rFonts w:ascii="Arial" w:hAnsi="Arial" w:cs="Arial"/>
          <w:sz w:val="24"/>
          <w:szCs w:val="24"/>
        </w:rPr>
        <w:t xml:space="preserve">Whitaker, R. B. 1999. </w:t>
      </w:r>
      <w:r w:rsidRPr="00451668">
        <w:rPr>
          <w:rFonts w:ascii="Arial" w:hAnsi="Arial" w:cs="Arial"/>
          <w:i/>
          <w:iCs/>
          <w:sz w:val="24"/>
          <w:szCs w:val="24"/>
        </w:rPr>
        <w:t>The Early Stages of Financial Distress</w:t>
      </w:r>
      <w:r w:rsidRPr="00451668">
        <w:rPr>
          <w:rFonts w:ascii="Arial" w:hAnsi="Arial" w:cs="Arial"/>
          <w:sz w:val="24"/>
          <w:szCs w:val="24"/>
        </w:rPr>
        <w:t>. Journal of Economics and Finance, 23</w:t>
      </w:r>
      <w:r w:rsidR="00551985" w:rsidRPr="00451668">
        <w:rPr>
          <w:rFonts w:ascii="Arial" w:hAnsi="Arial" w:cs="Arial"/>
          <w:sz w:val="24"/>
          <w:szCs w:val="24"/>
        </w:rPr>
        <w:t xml:space="preserve"> (2; pp. 123 -133</w:t>
      </w:r>
      <w:r w:rsidRPr="00451668">
        <w:rPr>
          <w:rFonts w:ascii="Arial" w:hAnsi="Arial" w:cs="Arial"/>
          <w:sz w:val="24"/>
          <w:szCs w:val="24"/>
        </w:rPr>
        <w:t>.</w:t>
      </w:r>
    </w:p>
    <w:p w:rsidR="000B4256" w:rsidRPr="00451668" w:rsidRDefault="000B4256" w:rsidP="00EA61A9">
      <w:pPr>
        <w:pStyle w:val="Heading1"/>
        <w:spacing w:line="240" w:lineRule="auto"/>
        <w:rPr>
          <w:rFonts w:ascii="Arial" w:hAnsi="Arial" w:cs="Arial"/>
          <w:sz w:val="24"/>
          <w:szCs w:val="24"/>
        </w:rPr>
      </w:pPr>
    </w:p>
    <w:sectPr w:rsidR="000B4256" w:rsidRPr="00451668" w:rsidSect="0041506D">
      <w:headerReference w:type="default" r:id="rId23"/>
      <w:footerReference w:type="even" r:id="rId24"/>
      <w:footerReference w:type="default" r:id="rId25"/>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05" w:rsidRDefault="00302E05" w:rsidP="0050357A">
      <w:pPr>
        <w:spacing w:line="240" w:lineRule="auto"/>
      </w:pPr>
      <w:r>
        <w:separator/>
      </w:r>
    </w:p>
  </w:endnote>
  <w:endnote w:type="continuationSeparator" w:id="0">
    <w:p w:rsidR="00302E05" w:rsidRDefault="00302E05" w:rsidP="0050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58214648"/>
      <w:docPartObj>
        <w:docPartGallery w:val="Page Numbers (Bottom of Page)"/>
        <w:docPartUnique/>
      </w:docPartObj>
    </w:sdtPr>
    <w:sdtEndPr>
      <w:rPr>
        <w:rStyle w:val="PageNumber"/>
      </w:rPr>
    </w:sdtEndPr>
    <w:sdtContent>
      <w:p w:rsidR="00E965F3" w:rsidRDefault="00E965F3" w:rsidP="00E96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F3" w:rsidRDefault="00E965F3" w:rsidP="005035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8139873"/>
      <w:docPartObj>
        <w:docPartGallery w:val="Page Numbers (Bottom of Page)"/>
        <w:docPartUnique/>
      </w:docPartObj>
    </w:sdtPr>
    <w:sdtEndPr>
      <w:rPr>
        <w:rStyle w:val="PageNumber"/>
      </w:rPr>
    </w:sdtEndPr>
    <w:sdtContent>
      <w:p w:rsidR="00E965F3" w:rsidRDefault="00E965F3" w:rsidP="00E96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5AAA">
          <w:rPr>
            <w:rStyle w:val="PageNumber"/>
            <w:noProof/>
          </w:rPr>
          <w:t>1</w:t>
        </w:r>
        <w:r>
          <w:rPr>
            <w:rStyle w:val="PageNumber"/>
          </w:rPr>
          <w:fldChar w:fldCharType="end"/>
        </w:r>
      </w:p>
    </w:sdtContent>
  </w:sdt>
  <w:p w:rsidR="00E965F3" w:rsidRDefault="00E965F3" w:rsidP="005035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05" w:rsidRDefault="00302E05" w:rsidP="0050357A">
      <w:pPr>
        <w:spacing w:line="240" w:lineRule="auto"/>
      </w:pPr>
      <w:r>
        <w:separator/>
      </w:r>
    </w:p>
  </w:footnote>
  <w:footnote w:type="continuationSeparator" w:id="0">
    <w:p w:rsidR="00302E05" w:rsidRDefault="00302E05" w:rsidP="0050357A">
      <w:pPr>
        <w:spacing w:line="240" w:lineRule="auto"/>
      </w:pPr>
      <w:r>
        <w:continuationSeparator/>
      </w:r>
    </w:p>
  </w:footnote>
  <w:footnote w:id="1">
    <w:p w:rsidR="00E965F3" w:rsidRDefault="00E965F3" w:rsidP="00603AC7">
      <w:pPr>
        <w:pStyle w:val="FootnoteText"/>
        <w:ind w:firstLine="0"/>
      </w:pPr>
      <w:r>
        <w:rPr>
          <w:rStyle w:val="FootnoteReference"/>
        </w:rPr>
        <w:footnoteRef/>
      </w:r>
      <w:r>
        <w:t xml:space="preserve"> </w:t>
      </w:r>
      <w:r w:rsidRPr="005876A4">
        <w:t xml:space="preserve">Graduate from </w:t>
      </w:r>
      <w:r>
        <w:t xml:space="preserve">Master of </w:t>
      </w:r>
      <w:r w:rsidRPr="005876A4">
        <w:t>Accounting, Bina Nusa</w:t>
      </w:r>
      <w:r>
        <w:t>ntara Unversity, csmcelly</w:t>
      </w:r>
      <w:r w:rsidRPr="005876A4">
        <w:t>@gmail.com</w:t>
      </w:r>
    </w:p>
  </w:footnote>
  <w:footnote w:id="2">
    <w:p w:rsidR="00E965F3" w:rsidRDefault="00E965F3" w:rsidP="00603AC7">
      <w:pPr>
        <w:pStyle w:val="FootnoteText"/>
        <w:ind w:firstLine="0"/>
      </w:pPr>
      <w:r>
        <w:rPr>
          <w:rStyle w:val="FootnoteReference"/>
        </w:rPr>
        <w:footnoteRef/>
      </w:r>
      <w:r>
        <w:t xml:space="preserve"> </w:t>
      </w:r>
      <w:r w:rsidRPr="005876A4">
        <w:rPr>
          <w:sz w:val="22"/>
          <w:szCs w:val="22"/>
        </w:rPr>
        <w:t xml:space="preserve">Professor Banking and Finance, </w:t>
      </w:r>
      <w:r w:rsidR="006D1AE7">
        <w:rPr>
          <w:sz w:val="22"/>
          <w:szCs w:val="22"/>
        </w:rPr>
        <w:t xml:space="preserve">Management Department, </w:t>
      </w:r>
      <w:r w:rsidRPr="005876A4">
        <w:rPr>
          <w:sz w:val="22"/>
          <w:szCs w:val="22"/>
        </w:rPr>
        <w:t>Doctor of Research in Management, Binus Business School, Bina Nusantara University, adler.manurung@binus.ac.id</w:t>
      </w:r>
    </w:p>
    <w:p w:rsidR="00E965F3" w:rsidRDefault="00E965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F3" w:rsidRDefault="00E965F3" w:rsidP="0061106F">
    <w:pPr>
      <w:pStyle w:val="Header"/>
      <w:ind w:firstLine="0"/>
    </w:pPr>
  </w:p>
  <w:p w:rsidR="00E965F3" w:rsidRDefault="00E965F3" w:rsidP="0061106F">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21CF"/>
    <w:multiLevelType w:val="multilevel"/>
    <w:tmpl w:val="D876B482"/>
    <w:lvl w:ilvl="0">
      <w:start w:val="1"/>
      <w:numFmt w:val="decimal"/>
      <w:lvlText w:val="%1"/>
      <w:lvlJc w:val="left"/>
      <w:pPr>
        <w:ind w:left="380" w:hanging="38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E55C23"/>
    <w:multiLevelType w:val="hybridMultilevel"/>
    <w:tmpl w:val="5554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960"/>
    <w:multiLevelType w:val="hybridMultilevel"/>
    <w:tmpl w:val="BDA2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D3A39"/>
    <w:multiLevelType w:val="multilevel"/>
    <w:tmpl w:val="0409001F"/>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252ECF"/>
    <w:multiLevelType w:val="hybridMultilevel"/>
    <w:tmpl w:val="753258C0"/>
    <w:lvl w:ilvl="0" w:tplc="B6C2CA1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1804100"/>
    <w:multiLevelType w:val="hybridMultilevel"/>
    <w:tmpl w:val="4A14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56837"/>
    <w:multiLevelType w:val="multilevel"/>
    <w:tmpl w:val="CF3CCEC2"/>
    <w:lvl w:ilvl="0">
      <w:start w:val="2"/>
      <w:numFmt w:val="decimal"/>
      <w:lvlText w:val="%1"/>
      <w:lvlJc w:val="left"/>
      <w:pPr>
        <w:ind w:left="360" w:hanging="360"/>
      </w:pPr>
      <w:rPr>
        <w:rFonts w:hint="default"/>
      </w:rPr>
    </w:lvl>
    <w:lvl w:ilvl="1">
      <w:start w:val="1"/>
      <w:numFmt w:val="none"/>
      <w:pStyle w:val="Sub-judul"/>
      <w:lvlText w:val="4.1"/>
      <w:lvlJc w:val="left"/>
      <w:pPr>
        <w:ind w:left="360" w:hanging="360"/>
      </w:pPr>
      <w:rPr>
        <w:rFonts w:ascii="Arial" w:hAnsi="Arial" w:hint="default"/>
        <w:i w:val="0"/>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4C4482"/>
    <w:multiLevelType w:val="hybridMultilevel"/>
    <w:tmpl w:val="A8CAC128"/>
    <w:lvl w:ilvl="0" w:tplc="463837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2613B76"/>
    <w:multiLevelType w:val="hybridMultilevel"/>
    <w:tmpl w:val="76D67E56"/>
    <w:lvl w:ilvl="0" w:tplc="5D2E034A">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6D0632F"/>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892359"/>
    <w:multiLevelType w:val="multilevel"/>
    <w:tmpl w:val="3F701776"/>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8914FDF"/>
    <w:multiLevelType w:val="hybridMultilevel"/>
    <w:tmpl w:val="A3EACB52"/>
    <w:lvl w:ilvl="0" w:tplc="26AE2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DEC4A4E"/>
    <w:multiLevelType w:val="multilevel"/>
    <w:tmpl w:val="83887600"/>
    <w:styleLink w:val="Style3"/>
    <w:lvl w:ilvl="0">
      <w:start w:val="5"/>
      <w:numFmt w:val="decimal"/>
      <w:lvlText w:val="%1."/>
      <w:lvlJc w:val="left"/>
      <w:pPr>
        <w:ind w:left="720" w:hanging="360"/>
      </w:pPr>
      <w:rPr>
        <w:rFonts w:hint="default"/>
      </w:rPr>
    </w:lvl>
    <w:lvl w:ilvl="1">
      <w:start w:val="1"/>
      <w:numFmt w:val="decimal"/>
      <w:isLgl/>
      <w:lvlText w:val="5.%2"/>
      <w:lvlJc w:val="left"/>
      <w:pPr>
        <w:ind w:left="1440" w:hanging="720"/>
      </w:pPr>
      <w:rPr>
        <w:rFonts w:ascii="Arial" w:hAnsi="Arial" w:cs="Arial"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3">
    <w:nsid w:val="6E15713A"/>
    <w:multiLevelType w:val="hybridMultilevel"/>
    <w:tmpl w:val="EE700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F0746"/>
    <w:multiLevelType w:val="hybridMultilevel"/>
    <w:tmpl w:val="8ACC5A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D33508"/>
    <w:multiLevelType w:val="hybridMultilevel"/>
    <w:tmpl w:val="C8CA7140"/>
    <w:lvl w:ilvl="0" w:tplc="015EDA42">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C8B3329"/>
    <w:multiLevelType w:val="hybridMultilevel"/>
    <w:tmpl w:val="9198F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6"/>
  </w:num>
  <w:num w:numId="5">
    <w:abstractNumId w:val="10"/>
  </w:num>
  <w:num w:numId="6">
    <w:abstractNumId w:val="0"/>
  </w:num>
  <w:num w:numId="7">
    <w:abstractNumId w:val="14"/>
  </w:num>
  <w:num w:numId="8">
    <w:abstractNumId w:val="15"/>
  </w:num>
  <w:num w:numId="9">
    <w:abstractNumId w:val="11"/>
  </w:num>
  <w:num w:numId="10">
    <w:abstractNumId w:val="7"/>
  </w:num>
  <w:num w:numId="11">
    <w:abstractNumId w:val="4"/>
  </w:num>
  <w:num w:numId="12">
    <w:abstractNumId w:val="5"/>
  </w:num>
  <w:num w:numId="13">
    <w:abstractNumId w:val="1"/>
  </w:num>
  <w:num w:numId="14">
    <w:abstractNumId w:val="8"/>
  </w:num>
  <w:num w:numId="15">
    <w:abstractNumId w:val="2"/>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1C"/>
    <w:rsid w:val="00014ABF"/>
    <w:rsid w:val="00015548"/>
    <w:rsid w:val="000168FD"/>
    <w:rsid w:val="00056B7C"/>
    <w:rsid w:val="00062D23"/>
    <w:rsid w:val="000B4256"/>
    <w:rsid w:val="000C18FF"/>
    <w:rsid w:val="000E1FB3"/>
    <w:rsid w:val="0010652E"/>
    <w:rsid w:val="00117B41"/>
    <w:rsid w:val="0012241B"/>
    <w:rsid w:val="0014174D"/>
    <w:rsid w:val="00143360"/>
    <w:rsid w:val="001511D3"/>
    <w:rsid w:val="00170799"/>
    <w:rsid w:val="00172705"/>
    <w:rsid w:val="00187483"/>
    <w:rsid w:val="001B4D0F"/>
    <w:rsid w:val="001B5BF9"/>
    <w:rsid w:val="001B7687"/>
    <w:rsid w:val="001C0EF4"/>
    <w:rsid w:val="001D0BB0"/>
    <w:rsid w:val="002023AB"/>
    <w:rsid w:val="0023594E"/>
    <w:rsid w:val="00275498"/>
    <w:rsid w:val="002E06CF"/>
    <w:rsid w:val="002E79A8"/>
    <w:rsid w:val="002E7CE7"/>
    <w:rsid w:val="00302E05"/>
    <w:rsid w:val="00354769"/>
    <w:rsid w:val="00355616"/>
    <w:rsid w:val="003559E8"/>
    <w:rsid w:val="00392778"/>
    <w:rsid w:val="00395E2C"/>
    <w:rsid w:val="003C40A2"/>
    <w:rsid w:val="003C4BBF"/>
    <w:rsid w:val="003D5684"/>
    <w:rsid w:val="003E73EC"/>
    <w:rsid w:val="003F2C1C"/>
    <w:rsid w:val="003F4C11"/>
    <w:rsid w:val="00407473"/>
    <w:rsid w:val="0041506D"/>
    <w:rsid w:val="00451668"/>
    <w:rsid w:val="0047643D"/>
    <w:rsid w:val="004D38AB"/>
    <w:rsid w:val="0050357A"/>
    <w:rsid w:val="00510501"/>
    <w:rsid w:val="00550C89"/>
    <w:rsid w:val="00551985"/>
    <w:rsid w:val="00573B52"/>
    <w:rsid w:val="005A450A"/>
    <w:rsid w:val="005E5960"/>
    <w:rsid w:val="006001B3"/>
    <w:rsid w:val="00603AC7"/>
    <w:rsid w:val="0061106F"/>
    <w:rsid w:val="0064097D"/>
    <w:rsid w:val="0064576F"/>
    <w:rsid w:val="00682206"/>
    <w:rsid w:val="00685AAA"/>
    <w:rsid w:val="006A11E9"/>
    <w:rsid w:val="006A3F90"/>
    <w:rsid w:val="006C7F3D"/>
    <w:rsid w:val="006D1AE7"/>
    <w:rsid w:val="006E0803"/>
    <w:rsid w:val="006F229A"/>
    <w:rsid w:val="006F3CF7"/>
    <w:rsid w:val="006F3E27"/>
    <w:rsid w:val="00712A93"/>
    <w:rsid w:val="00734FD1"/>
    <w:rsid w:val="00745481"/>
    <w:rsid w:val="00776F09"/>
    <w:rsid w:val="007853CC"/>
    <w:rsid w:val="007A3E2F"/>
    <w:rsid w:val="007D48EE"/>
    <w:rsid w:val="007F4902"/>
    <w:rsid w:val="00800DC2"/>
    <w:rsid w:val="008047D9"/>
    <w:rsid w:val="00812EAC"/>
    <w:rsid w:val="00825B0B"/>
    <w:rsid w:val="008354D9"/>
    <w:rsid w:val="00854CFC"/>
    <w:rsid w:val="00863B38"/>
    <w:rsid w:val="00866994"/>
    <w:rsid w:val="00893C62"/>
    <w:rsid w:val="008C3F9D"/>
    <w:rsid w:val="008E2FAC"/>
    <w:rsid w:val="00954B0F"/>
    <w:rsid w:val="00957F7A"/>
    <w:rsid w:val="00963FEC"/>
    <w:rsid w:val="009F66A6"/>
    <w:rsid w:val="00A02777"/>
    <w:rsid w:val="00A213CB"/>
    <w:rsid w:val="00A40CEF"/>
    <w:rsid w:val="00A67193"/>
    <w:rsid w:val="00A7258A"/>
    <w:rsid w:val="00A728D6"/>
    <w:rsid w:val="00A751A4"/>
    <w:rsid w:val="00AB2359"/>
    <w:rsid w:val="00AD14A4"/>
    <w:rsid w:val="00AE4FCB"/>
    <w:rsid w:val="00AE759E"/>
    <w:rsid w:val="00AF2EF5"/>
    <w:rsid w:val="00AF5527"/>
    <w:rsid w:val="00AF6EDC"/>
    <w:rsid w:val="00B06C76"/>
    <w:rsid w:val="00B11E57"/>
    <w:rsid w:val="00B12735"/>
    <w:rsid w:val="00B1445A"/>
    <w:rsid w:val="00B17075"/>
    <w:rsid w:val="00B176C6"/>
    <w:rsid w:val="00B23988"/>
    <w:rsid w:val="00B51014"/>
    <w:rsid w:val="00B71D66"/>
    <w:rsid w:val="00BD3A23"/>
    <w:rsid w:val="00BF0CDC"/>
    <w:rsid w:val="00C16208"/>
    <w:rsid w:val="00C44382"/>
    <w:rsid w:val="00C830B7"/>
    <w:rsid w:val="00C864EB"/>
    <w:rsid w:val="00C86FFF"/>
    <w:rsid w:val="00C877D0"/>
    <w:rsid w:val="00C93B6C"/>
    <w:rsid w:val="00C93E73"/>
    <w:rsid w:val="00CD6629"/>
    <w:rsid w:val="00D11704"/>
    <w:rsid w:val="00D256B0"/>
    <w:rsid w:val="00D41040"/>
    <w:rsid w:val="00D8093C"/>
    <w:rsid w:val="00D9132F"/>
    <w:rsid w:val="00D935A0"/>
    <w:rsid w:val="00DC1491"/>
    <w:rsid w:val="00DC4486"/>
    <w:rsid w:val="00E021E9"/>
    <w:rsid w:val="00E22D26"/>
    <w:rsid w:val="00E379C3"/>
    <w:rsid w:val="00E425E5"/>
    <w:rsid w:val="00E66342"/>
    <w:rsid w:val="00E965F3"/>
    <w:rsid w:val="00EA1FC0"/>
    <w:rsid w:val="00EA61A9"/>
    <w:rsid w:val="00EB0C68"/>
    <w:rsid w:val="00EB55D4"/>
    <w:rsid w:val="00EE501D"/>
    <w:rsid w:val="00EF376E"/>
    <w:rsid w:val="00EF6135"/>
    <w:rsid w:val="00F05BCB"/>
    <w:rsid w:val="00F1583F"/>
    <w:rsid w:val="00F24C97"/>
    <w:rsid w:val="00F81AE8"/>
    <w:rsid w:val="00F82777"/>
    <w:rsid w:val="00FC6239"/>
    <w:rsid w:val="00FC649A"/>
    <w:rsid w:val="00FE5977"/>
    <w:rsid w:val="00F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439CA-8440-4C29-A6E1-F8DBF03E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1C"/>
    <w:pPr>
      <w:spacing w:line="360" w:lineRule="auto"/>
      <w:ind w:firstLine="567"/>
      <w:jc w:val="both"/>
    </w:pPr>
    <w:rPr>
      <w:sz w:val="22"/>
      <w:szCs w:val="22"/>
      <w:lang w:val="en-US"/>
    </w:rPr>
  </w:style>
  <w:style w:type="paragraph" w:styleId="Heading1">
    <w:name w:val="heading 1"/>
    <w:aliases w:val="Heading 1111"/>
    <w:basedOn w:val="Normal"/>
    <w:next w:val="Normal"/>
    <w:link w:val="Heading1Char"/>
    <w:uiPriority w:val="9"/>
    <w:rsid w:val="003F2C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222"/>
    <w:basedOn w:val="Subjudul"/>
    <w:next w:val="Normal"/>
    <w:link w:val="Heading2Char"/>
    <w:uiPriority w:val="9"/>
    <w:unhideWhenUsed/>
    <w:rsid w:val="003F2C1C"/>
    <w:pPr>
      <w:numPr>
        <w:ilvl w:val="1"/>
        <w:numId w:val="6"/>
      </w:numPr>
      <w:outlineLvl w:val="1"/>
    </w:pPr>
  </w:style>
  <w:style w:type="paragraph" w:styleId="Heading3">
    <w:name w:val="heading 3"/>
    <w:basedOn w:val="Normal"/>
    <w:next w:val="Normal"/>
    <w:link w:val="Heading3Char"/>
    <w:uiPriority w:val="9"/>
    <w:semiHidden/>
    <w:unhideWhenUsed/>
    <w:qFormat/>
    <w:rsid w:val="003F2C1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CF7"/>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11 Char"/>
    <w:basedOn w:val="DefaultParagraphFont"/>
    <w:link w:val="Heading1"/>
    <w:uiPriority w:val="9"/>
    <w:rsid w:val="003F2C1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aliases w:val="Heading 2222 Char"/>
    <w:basedOn w:val="DefaultParagraphFont"/>
    <w:link w:val="Heading2"/>
    <w:uiPriority w:val="9"/>
    <w:rsid w:val="003F2C1C"/>
    <w:rPr>
      <w:rFonts w:ascii="Arial" w:hAnsi="Arial" w:cs="Arial"/>
      <w:b/>
      <w:sz w:val="28"/>
      <w:szCs w:val="28"/>
      <w:lang w:val="en-US"/>
    </w:rPr>
  </w:style>
  <w:style w:type="character" w:customStyle="1" w:styleId="Heading3Char">
    <w:name w:val="Heading 3 Char"/>
    <w:basedOn w:val="DefaultParagraphFont"/>
    <w:link w:val="Heading3"/>
    <w:uiPriority w:val="9"/>
    <w:semiHidden/>
    <w:rsid w:val="003F2C1C"/>
    <w:rPr>
      <w:rFonts w:asciiTheme="majorHAnsi" w:eastAsiaTheme="majorEastAsia" w:hAnsiTheme="majorHAnsi" w:cstheme="majorBidi"/>
      <w:color w:val="1F3763" w:themeColor="accent1" w:themeShade="7F"/>
      <w:lang w:val="en-US"/>
    </w:rPr>
  </w:style>
  <w:style w:type="paragraph" w:styleId="ListParagraph">
    <w:name w:val="List Paragraph"/>
    <w:basedOn w:val="Normal"/>
    <w:link w:val="ListParagraphChar"/>
    <w:uiPriority w:val="1"/>
    <w:qFormat/>
    <w:rsid w:val="003F2C1C"/>
    <w:pPr>
      <w:ind w:left="720"/>
      <w:contextualSpacing/>
    </w:pPr>
  </w:style>
  <w:style w:type="paragraph" w:styleId="NoSpacing">
    <w:name w:val="No Spacing"/>
    <w:link w:val="NoSpacingChar"/>
    <w:uiPriority w:val="1"/>
    <w:qFormat/>
    <w:rsid w:val="003F2C1C"/>
    <w:rPr>
      <w:rFonts w:ascii="Calibri" w:eastAsia="Calibri" w:hAnsi="Calibri" w:cs="Times New Roman"/>
      <w:sz w:val="22"/>
      <w:szCs w:val="22"/>
      <w:lang w:val="en-US"/>
    </w:rPr>
  </w:style>
  <w:style w:type="character" w:customStyle="1" w:styleId="NoSpacingChar">
    <w:name w:val="No Spacing Char"/>
    <w:link w:val="NoSpacing"/>
    <w:uiPriority w:val="1"/>
    <w:rsid w:val="003F2C1C"/>
    <w:rPr>
      <w:rFonts w:ascii="Calibri" w:eastAsia="Calibri" w:hAnsi="Calibri" w:cs="Times New Roman"/>
      <w:sz w:val="22"/>
      <w:szCs w:val="22"/>
      <w:lang w:val="en-US"/>
    </w:rPr>
  </w:style>
  <w:style w:type="table" w:styleId="TableGrid">
    <w:name w:val="Table Grid"/>
    <w:basedOn w:val="TableNormal"/>
    <w:uiPriority w:val="39"/>
    <w:rsid w:val="003F2C1C"/>
    <w:pPr>
      <w:ind w:firstLine="567"/>
      <w:jc w:val="both"/>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C1C"/>
    <w:pPr>
      <w:tabs>
        <w:tab w:val="center" w:pos="4680"/>
        <w:tab w:val="right" w:pos="9360"/>
      </w:tabs>
      <w:spacing w:line="240" w:lineRule="auto"/>
    </w:pPr>
  </w:style>
  <w:style w:type="character" w:customStyle="1" w:styleId="HeaderChar">
    <w:name w:val="Header Char"/>
    <w:basedOn w:val="DefaultParagraphFont"/>
    <w:link w:val="Header"/>
    <w:uiPriority w:val="99"/>
    <w:rsid w:val="003F2C1C"/>
    <w:rPr>
      <w:sz w:val="22"/>
      <w:szCs w:val="22"/>
      <w:lang w:val="en-US"/>
    </w:rPr>
  </w:style>
  <w:style w:type="paragraph" w:styleId="Footer">
    <w:name w:val="footer"/>
    <w:basedOn w:val="Normal"/>
    <w:link w:val="FooterChar"/>
    <w:uiPriority w:val="99"/>
    <w:unhideWhenUsed/>
    <w:rsid w:val="003F2C1C"/>
    <w:pPr>
      <w:tabs>
        <w:tab w:val="center" w:pos="4680"/>
        <w:tab w:val="right" w:pos="9360"/>
      </w:tabs>
      <w:spacing w:line="240" w:lineRule="auto"/>
    </w:pPr>
  </w:style>
  <w:style w:type="character" w:customStyle="1" w:styleId="FooterChar">
    <w:name w:val="Footer Char"/>
    <w:basedOn w:val="DefaultParagraphFont"/>
    <w:link w:val="Footer"/>
    <w:uiPriority w:val="99"/>
    <w:rsid w:val="003F2C1C"/>
    <w:rPr>
      <w:sz w:val="22"/>
      <w:szCs w:val="22"/>
      <w:lang w:val="en-US"/>
    </w:rPr>
  </w:style>
  <w:style w:type="character" w:styleId="Hyperlink">
    <w:name w:val="Hyperlink"/>
    <w:basedOn w:val="DefaultParagraphFont"/>
    <w:uiPriority w:val="99"/>
    <w:unhideWhenUsed/>
    <w:rsid w:val="003F2C1C"/>
    <w:rPr>
      <w:color w:val="0563C1" w:themeColor="hyperlink"/>
      <w:u w:val="single"/>
    </w:rPr>
  </w:style>
  <w:style w:type="character" w:styleId="PlaceholderText">
    <w:name w:val="Placeholder Text"/>
    <w:basedOn w:val="DefaultParagraphFont"/>
    <w:uiPriority w:val="99"/>
    <w:semiHidden/>
    <w:rsid w:val="003F2C1C"/>
    <w:rPr>
      <w:color w:val="808080"/>
    </w:rPr>
  </w:style>
  <w:style w:type="character" w:styleId="LineNumber">
    <w:name w:val="line number"/>
    <w:basedOn w:val="DefaultParagraphFont"/>
    <w:uiPriority w:val="99"/>
    <w:semiHidden/>
    <w:unhideWhenUsed/>
    <w:rsid w:val="003F2C1C"/>
  </w:style>
  <w:style w:type="paragraph" w:styleId="BalloonText">
    <w:name w:val="Balloon Text"/>
    <w:basedOn w:val="Normal"/>
    <w:link w:val="BalloonTextChar"/>
    <w:uiPriority w:val="99"/>
    <w:semiHidden/>
    <w:unhideWhenUsed/>
    <w:rsid w:val="003F2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1C"/>
    <w:rPr>
      <w:rFonts w:ascii="Segoe UI" w:hAnsi="Segoe UI" w:cs="Segoe UI"/>
      <w:sz w:val="18"/>
      <w:szCs w:val="18"/>
      <w:lang w:val="en-US"/>
    </w:rPr>
  </w:style>
  <w:style w:type="paragraph" w:styleId="Bibliography">
    <w:name w:val="Bibliography"/>
    <w:basedOn w:val="Normal"/>
    <w:next w:val="Normal"/>
    <w:uiPriority w:val="37"/>
    <w:unhideWhenUsed/>
    <w:rsid w:val="003F2C1C"/>
    <w:pPr>
      <w:spacing w:after="160" w:line="259" w:lineRule="auto"/>
      <w:ind w:firstLine="0"/>
      <w:jc w:val="left"/>
    </w:pPr>
  </w:style>
  <w:style w:type="paragraph" w:customStyle="1" w:styleId="Heading11">
    <w:name w:val="Heading 11"/>
    <w:basedOn w:val="Normal"/>
    <w:link w:val="heading1Char0"/>
    <w:qFormat/>
    <w:rsid w:val="003F2C1C"/>
    <w:pPr>
      <w:ind w:firstLine="720"/>
      <w:jc w:val="center"/>
    </w:pPr>
    <w:rPr>
      <w:rFonts w:ascii="Arial" w:hAnsi="Arial" w:cs="Arial"/>
      <w:b/>
      <w:sz w:val="32"/>
      <w:szCs w:val="32"/>
    </w:rPr>
  </w:style>
  <w:style w:type="paragraph" w:customStyle="1" w:styleId="Subjudul">
    <w:name w:val="Subjudul"/>
    <w:basedOn w:val="ListParagraph"/>
    <w:link w:val="SubjudulChar"/>
    <w:qFormat/>
    <w:rsid w:val="003F2C1C"/>
    <w:pPr>
      <w:ind w:left="0" w:firstLine="0"/>
    </w:pPr>
    <w:rPr>
      <w:rFonts w:ascii="Arial" w:hAnsi="Arial" w:cs="Arial"/>
      <w:b/>
      <w:sz w:val="28"/>
      <w:szCs w:val="28"/>
    </w:rPr>
  </w:style>
  <w:style w:type="character" w:customStyle="1" w:styleId="heading1Char0">
    <w:name w:val="heading 1 Char"/>
    <w:basedOn w:val="DefaultParagraphFont"/>
    <w:link w:val="Heading11"/>
    <w:rsid w:val="003F2C1C"/>
    <w:rPr>
      <w:rFonts w:ascii="Arial" w:hAnsi="Arial" w:cs="Arial"/>
      <w:b/>
      <w:sz w:val="32"/>
      <w:szCs w:val="32"/>
      <w:lang w:val="en-US"/>
    </w:rPr>
  </w:style>
  <w:style w:type="paragraph" w:customStyle="1" w:styleId="Sub-judul">
    <w:name w:val="Sub-judul"/>
    <w:basedOn w:val="ListParagraph"/>
    <w:link w:val="Sub-judulChar"/>
    <w:qFormat/>
    <w:rsid w:val="003F2C1C"/>
    <w:pPr>
      <w:numPr>
        <w:ilvl w:val="1"/>
        <w:numId w:val="4"/>
      </w:numPr>
    </w:pPr>
    <w:rPr>
      <w:rFonts w:ascii="Arial" w:hAnsi="Arial" w:cs="Arial"/>
      <w:b/>
      <w:i/>
      <w:sz w:val="28"/>
      <w:szCs w:val="28"/>
      <w:lang w:val="id-ID"/>
    </w:rPr>
  </w:style>
  <w:style w:type="character" w:customStyle="1" w:styleId="ListParagraphChar">
    <w:name w:val="List Paragraph Char"/>
    <w:basedOn w:val="DefaultParagraphFont"/>
    <w:link w:val="ListParagraph"/>
    <w:uiPriority w:val="34"/>
    <w:rsid w:val="003F2C1C"/>
    <w:rPr>
      <w:sz w:val="22"/>
      <w:szCs w:val="22"/>
      <w:lang w:val="en-US"/>
    </w:rPr>
  </w:style>
  <w:style w:type="character" w:customStyle="1" w:styleId="SubjudulChar">
    <w:name w:val="Subjudul Char"/>
    <w:basedOn w:val="ListParagraphChar"/>
    <w:link w:val="Subjudul"/>
    <w:rsid w:val="003F2C1C"/>
    <w:rPr>
      <w:rFonts w:ascii="Arial" w:hAnsi="Arial" w:cs="Arial"/>
      <w:b/>
      <w:sz w:val="28"/>
      <w:szCs w:val="28"/>
      <w:lang w:val="en-US"/>
    </w:rPr>
  </w:style>
  <w:style w:type="paragraph" w:customStyle="1" w:styleId="Subjudul0">
    <w:name w:val="Sub judul"/>
    <w:basedOn w:val="ListParagraph"/>
    <w:link w:val="SubjudulChar0"/>
    <w:qFormat/>
    <w:rsid w:val="003F2C1C"/>
    <w:pPr>
      <w:ind w:left="0" w:firstLine="0"/>
    </w:pPr>
    <w:rPr>
      <w:rFonts w:ascii="Arial" w:hAnsi="Arial" w:cs="Arial"/>
      <w:b/>
      <w:sz w:val="28"/>
      <w:szCs w:val="28"/>
    </w:rPr>
  </w:style>
  <w:style w:type="character" w:customStyle="1" w:styleId="Sub-judulChar">
    <w:name w:val="Sub-judul Char"/>
    <w:basedOn w:val="ListParagraphChar"/>
    <w:link w:val="Sub-judul"/>
    <w:rsid w:val="003F2C1C"/>
    <w:rPr>
      <w:rFonts w:ascii="Arial" w:hAnsi="Arial" w:cs="Arial"/>
      <w:b/>
      <w:i/>
      <w:sz w:val="28"/>
      <w:szCs w:val="28"/>
      <w:lang w:val="id-ID"/>
    </w:rPr>
  </w:style>
  <w:style w:type="character" w:customStyle="1" w:styleId="SubjudulChar0">
    <w:name w:val="Sub judul Char"/>
    <w:basedOn w:val="ListParagraphChar"/>
    <w:link w:val="Subjudul0"/>
    <w:rsid w:val="003F2C1C"/>
    <w:rPr>
      <w:rFonts w:ascii="Arial" w:hAnsi="Arial" w:cs="Arial"/>
      <w:b/>
      <w:sz w:val="28"/>
      <w:szCs w:val="28"/>
      <w:lang w:val="en-US"/>
    </w:rPr>
  </w:style>
  <w:style w:type="paragraph" w:styleId="TOC1">
    <w:name w:val="toc 1"/>
    <w:basedOn w:val="Normal"/>
    <w:next w:val="Normal"/>
    <w:autoRedefine/>
    <w:uiPriority w:val="39"/>
    <w:unhideWhenUsed/>
    <w:rsid w:val="003F2C1C"/>
    <w:pPr>
      <w:tabs>
        <w:tab w:val="right" w:leader="dot" w:pos="7928"/>
      </w:tabs>
      <w:spacing w:before="120" w:after="120"/>
      <w:jc w:val="left"/>
    </w:pPr>
    <w:rPr>
      <w:rFonts w:ascii="Times New Roman" w:hAnsi="Times New Roman" w:cs="Times New Roman"/>
      <w:b/>
      <w:bCs/>
      <w:caps/>
      <w:noProof/>
      <w:sz w:val="20"/>
      <w:szCs w:val="20"/>
    </w:rPr>
  </w:style>
  <w:style w:type="paragraph" w:styleId="TOC2">
    <w:name w:val="toc 2"/>
    <w:basedOn w:val="Normal"/>
    <w:next w:val="Normal"/>
    <w:autoRedefine/>
    <w:uiPriority w:val="39"/>
    <w:unhideWhenUsed/>
    <w:rsid w:val="003F2C1C"/>
    <w:pPr>
      <w:ind w:left="220"/>
      <w:jc w:val="left"/>
    </w:pPr>
    <w:rPr>
      <w:smallCaps/>
      <w:sz w:val="20"/>
      <w:szCs w:val="20"/>
    </w:rPr>
  </w:style>
  <w:style w:type="paragraph" w:styleId="Caption">
    <w:name w:val="caption"/>
    <w:basedOn w:val="Normal"/>
    <w:next w:val="Normal"/>
    <w:uiPriority w:val="35"/>
    <w:unhideWhenUsed/>
    <w:qFormat/>
    <w:rsid w:val="003F2C1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F2C1C"/>
  </w:style>
  <w:style w:type="numbering" w:customStyle="1" w:styleId="Style1">
    <w:name w:val="Style1"/>
    <w:uiPriority w:val="99"/>
    <w:rsid w:val="003F2C1C"/>
    <w:pPr>
      <w:numPr>
        <w:numId w:val="1"/>
      </w:numPr>
    </w:pPr>
  </w:style>
  <w:style w:type="numbering" w:customStyle="1" w:styleId="Style2">
    <w:name w:val="Style2"/>
    <w:uiPriority w:val="99"/>
    <w:rsid w:val="003F2C1C"/>
    <w:pPr>
      <w:numPr>
        <w:numId w:val="2"/>
      </w:numPr>
    </w:pPr>
  </w:style>
  <w:style w:type="character" w:customStyle="1" w:styleId="UnresolvedMention1">
    <w:name w:val="Unresolved Mention1"/>
    <w:basedOn w:val="DefaultParagraphFont"/>
    <w:uiPriority w:val="99"/>
    <w:semiHidden/>
    <w:unhideWhenUsed/>
    <w:rsid w:val="003F2C1C"/>
    <w:rPr>
      <w:color w:val="605E5C"/>
      <w:shd w:val="clear" w:color="auto" w:fill="E1DFDD"/>
    </w:rPr>
  </w:style>
  <w:style w:type="character" w:styleId="PageNumber">
    <w:name w:val="page number"/>
    <w:basedOn w:val="DefaultParagraphFont"/>
    <w:uiPriority w:val="99"/>
    <w:semiHidden/>
    <w:unhideWhenUsed/>
    <w:rsid w:val="003F2C1C"/>
  </w:style>
  <w:style w:type="numbering" w:customStyle="1" w:styleId="Style3">
    <w:name w:val="Style3"/>
    <w:uiPriority w:val="99"/>
    <w:rsid w:val="003F2C1C"/>
    <w:pPr>
      <w:numPr>
        <w:numId w:val="3"/>
      </w:numPr>
    </w:pPr>
  </w:style>
  <w:style w:type="paragraph" w:styleId="TOCHeading">
    <w:name w:val="TOC Heading"/>
    <w:basedOn w:val="Heading1"/>
    <w:next w:val="Normal"/>
    <w:uiPriority w:val="39"/>
    <w:unhideWhenUsed/>
    <w:qFormat/>
    <w:rsid w:val="003F2C1C"/>
    <w:pPr>
      <w:spacing w:before="480" w:line="276" w:lineRule="auto"/>
      <w:ind w:firstLine="0"/>
      <w:jc w:val="left"/>
      <w:outlineLvl w:val="9"/>
    </w:pPr>
    <w:rPr>
      <w:b/>
      <w:bCs/>
      <w:sz w:val="28"/>
      <w:szCs w:val="28"/>
    </w:rPr>
  </w:style>
  <w:style w:type="paragraph" w:styleId="TOC3">
    <w:name w:val="toc 3"/>
    <w:basedOn w:val="Normal"/>
    <w:next w:val="Normal"/>
    <w:autoRedefine/>
    <w:uiPriority w:val="39"/>
    <w:semiHidden/>
    <w:unhideWhenUsed/>
    <w:rsid w:val="003F2C1C"/>
    <w:pPr>
      <w:ind w:left="440"/>
      <w:jc w:val="left"/>
    </w:pPr>
    <w:rPr>
      <w:i/>
      <w:iCs/>
      <w:sz w:val="20"/>
      <w:szCs w:val="20"/>
    </w:rPr>
  </w:style>
  <w:style w:type="paragraph" w:styleId="TOC4">
    <w:name w:val="toc 4"/>
    <w:basedOn w:val="Normal"/>
    <w:next w:val="Normal"/>
    <w:autoRedefine/>
    <w:uiPriority w:val="39"/>
    <w:semiHidden/>
    <w:unhideWhenUsed/>
    <w:rsid w:val="003F2C1C"/>
    <w:pPr>
      <w:ind w:left="660"/>
      <w:jc w:val="left"/>
    </w:pPr>
    <w:rPr>
      <w:sz w:val="18"/>
      <w:szCs w:val="18"/>
    </w:rPr>
  </w:style>
  <w:style w:type="paragraph" w:styleId="TOC5">
    <w:name w:val="toc 5"/>
    <w:basedOn w:val="Normal"/>
    <w:next w:val="Normal"/>
    <w:autoRedefine/>
    <w:uiPriority w:val="39"/>
    <w:semiHidden/>
    <w:unhideWhenUsed/>
    <w:rsid w:val="003F2C1C"/>
    <w:pPr>
      <w:ind w:left="880"/>
      <w:jc w:val="left"/>
    </w:pPr>
    <w:rPr>
      <w:sz w:val="18"/>
      <w:szCs w:val="18"/>
    </w:rPr>
  </w:style>
  <w:style w:type="paragraph" w:styleId="TOC6">
    <w:name w:val="toc 6"/>
    <w:basedOn w:val="Normal"/>
    <w:next w:val="Normal"/>
    <w:autoRedefine/>
    <w:uiPriority w:val="39"/>
    <w:semiHidden/>
    <w:unhideWhenUsed/>
    <w:rsid w:val="003F2C1C"/>
    <w:pPr>
      <w:ind w:left="1100"/>
      <w:jc w:val="left"/>
    </w:pPr>
    <w:rPr>
      <w:sz w:val="18"/>
      <w:szCs w:val="18"/>
    </w:rPr>
  </w:style>
  <w:style w:type="paragraph" w:styleId="TOC7">
    <w:name w:val="toc 7"/>
    <w:basedOn w:val="Normal"/>
    <w:next w:val="Normal"/>
    <w:autoRedefine/>
    <w:uiPriority w:val="39"/>
    <w:semiHidden/>
    <w:unhideWhenUsed/>
    <w:rsid w:val="003F2C1C"/>
    <w:pPr>
      <w:ind w:left="1320"/>
      <w:jc w:val="left"/>
    </w:pPr>
    <w:rPr>
      <w:sz w:val="18"/>
      <w:szCs w:val="18"/>
    </w:rPr>
  </w:style>
  <w:style w:type="paragraph" w:styleId="TOC8">
    <w:name w:val="toc 8"/>
    <w:basedOn w:val="Normal"/>
    <w:next w:val="Normal"/>
    <w:autoRedefine/>
    <w:uiPriority w:val="39"/>
    <w:semiHidden/>
    <w:unhideWhenUsed/>
    <w:rsid w:val="003F2C1C"/>
    <w:pPr>
      <w:ind w:left="1540"/>
      <w:jc w:val="left"/>
    </w:pPr>
    <w:rPr>
      <w:sz w:val="18"/>
      <w:szCs w:val="18"/>
    </w:rPr>
  </w:style>
  <w:style w:type="paragraph" w:styleId="TOC9">
    <w:name w:val="toc 9"/>
    <w:basedOn w:val="Normal"/>
    <w:next w:val="Normal"/>
    <w:autoRedefine/>
    <w:uiPriority w:val="39"/>
    <w:semiHidden/>
    <w:unhideWhenUsed/>
    <w:rsid w:val="003F2C1C"/>
    <w:pPr>
      <w:ind w:left="1760"/>
      <w:jc w:val="left"/>
    </w:pPr>
    <w:rPr>
      <w:sz w:val="18"/>
      <w:szCs w:val="18"/>
    </w:rPr>
  </w:style>
  <w:style w:type="numbering" w:customStyle="1" w:styleId="Style4">
    <w:name w:val="Style4"/>
    <w:uiPriority w:val="99"/>
    <w:rsid w:val="003F2C1C"/>
    <w:pPr>
      <w:numPr>
        <w:numId w:val="5"/>
      </w:numPr>
    </w:pPr>
  </w:style>
  <w:style w:type="paragraph" w:styleId="HTMLPreformatted">
    <w:name w:val="HTML Preformatted"/>
    <w:basedOn w:val="Normal"/>
    <w:link w:val="HTMLPreformattedChar"/>
    <w:uiPriority w:val="99"/>
    <w:semiHidden/>
    <w:unhideWhenUsed/>
    <w:rsid w:val="006A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1E9"/>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FC649A"/>
    <w:pPr>
      <w:widowControl w:val="0"/>
      <w:autoSpaceDE w:val="0"/>
      <w:autoSpaceDN w:val="0"/>
      <w:spacing w:line="240" w:lineRule="auto"/>
      <w:ind w:firstLine="0"/>
      <w:jc w:val="left"/>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F3CF7"/>
    <w:rPr>
      <w:rFonts w:asciiTheme="majorHAnsi" w:eastAsiaTheme="majorEastAsia" w:hAnsiTheme="majorHAnsi" w:cstheme="majorBidi"/>
      <w:b/>
      <w:bCs/>
      <w:i/>
      <w:iCs/>
      <w:color w:val="4472C4" w:themeColor="accent1"/>
      <w:sz w:val="22"/>
      <w:szCs w:val="22"/>
      <w:lang w:val="en-US"/>
    </w:rPr>
  </w:style>
  <w:style w:type="paragraph" w:customStyle="1" w:styleId="Default">
    <w:name w:val="Default"/>
    <w:rsid w:val="000B4256"/>
    <w:pPr>
      <w:autoSpaceDE w:val="0"/>
      <w:autoSpaceDN w:val="0"/>
      <w:adjustRightInd w:val="0"/>
    </w:pPr>
    <w:rPr>
      <w:rFonts w:ascii="Verdana" w:hAnsi="Verdana" w:cs="Verdana"/>
      <w:color w:val="000000"/>
      <w:lang w:val="en-US"/>
    </w:rPr>
  </w:style>
  <w:style w:type="paragraph" w:styleId="FootnoteText">
    <w:name w:val="footnote text"/>
    <w:basedOn w:val="Normal"/>
    <w:link w:val="FootnoteTextChar"/>
    <w:uiPriority w:val="99"/>
    <w:semiHidden/>
    <w:unhideWhenUsed/>
    <w:rsid w:val="00EA1FC0"/>
    <w:pPr>
      <w:spacing w:line="240" w:lineRule="auto"/>
    </w:pPr>
    <w:rPr>
      <w:sz w:val="20"/>
      <w:szCs w:val="20"/>
    </w:rPr>
  </w:style>
  <w:style w:type="character" w:customStyle="1" w:styleId="FootnoteTextChar">
    <w:name w:val="Footnote Text Char"/>
    <w:basedOn w:val="DefaultParagraphFont"/>
    <w:link w:val="FootnoteText"/>
    <w:uiPriority w:val="99"/>
    <w:semiHidden/>
    <w:rsid w:val="00EA1FC0"/>
    <w:rPr>
      <w:sz w:val="20"/>
      <w:szCs w:val="20"/>
      <w:lang w:val="en-US"/>
    </w:rPr>
  </w:style>
  <w:style w:type="character" w:styleId="FootnoteReference">
    <w:name w:val="footnote reference"/>
    <w:basedOn w:val="DefaultParagraphFont"/>
    <w:uiPriority w:val="99"/>
    <w:semiHidden/>
    <w:unhideWhenUsed/>
    <w:rsid w:val="00EA1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1303">
      <w:bodyDiv w:val="1"/>
      <w:marLeft w:val="0"/>
      <w:marRight w:val="0"/>
      <w:marTop w:val="0"/>
      <w:marBottom w:val="0"/>
      <w:divBdr>
        <w:top w:val="none" w:sz="0" w:space="0" w:color="auto"/>
        <w:left w:val="none" w:sz="0" w:space="0" w:color="auto"/>
        <w:bottom w:val="none" w:sz="0" w:space="0" w:color="auto"/>
        <w:right w:val="none" w:sz="0" w:space="0" w:color="auto"/>
      </w:divBdr>
    </w:div>
    <w:div w:id="794567642">
      <w:bodyDiv w:val="1"/>
      <w:marLeft w:val="0"/>
      <w:marRight w:val="0"/>
      <w:marTop w:val="0"/>
      <w:marBottom w:val="0"/>
      <w:divBdr>
        <w:top w:val="none" w:sz="0" w:space="0" w:color="auto"/>
        <w:left w:val="none" w:sz="0" w:space="0" w:color="auto"/>
        <w:bottom w:val="none" w:sz="0" w:space="0" w:color="auto"/>
        <w:right w:val="none" w:sz="0" w:space="0" w:color="auto"/>
      </w:divBdr>
    </w:div>
    <w:div w:id="1071922919">
      <w:bodyDiv w:val="1"/>
      <w:marLeft w:val="0"/>
      <w:marRight w:val="0"/>
      <w:marTop w:val="0"/>
      <w:marBottom w:val="0"/>
      <w:divBdr>
        <w:top w:val="none" w:sz="0" w:space="0" w:color="auto"/>
        <w:left w:val="none" w:sz="0" w:space="0" w:color="auto"/>
        <w:bottom w:val="none" w:sz="0" w:space="0" w:color="auto"/>
        <w:right w:val="none" w:sz="0" w:space="0" w:color="auto"/>
      </w:divBdr>
    </w:div>
    <w:div w:id="1448767508">
      <w:bodyDiv w:val="1"/>
      <w:marLeft w:val="0"/>
      <w:marRight w:val="0"/>
      <w:marTop w:val="0"/>
      <w:marBottom w:val="0"/>
      <w:divBdr>
        <w:top w:val="none" w:sz="0" w:space="0" w:color="auto"/>
        <w:left w:val="none" w:sz="0" w:space="0" w:color="auto"/>
        <w:bottom w:val="none" w:sz="0" w:space="0" w:color="auto"/>
        <w:right w:val="none" w:sz="0" w:space="0" w:color="auto"/>
      </w:divBdr>
    </w:div>
    <w:div w:id="1613199174">
      <w:bodyDiv w:val="1"/>
      <w:marLeft w:val="0"/>
      <w:marRight w:val="0"/>
      <w:marTop w:val="0"/>
      <w:marBottom w:val="0"/>
      <w:divBdr>
        <w:top w:val="none" w:sz="0" w:space="0" w:color="auto"/>
        <w:left w:val="none" w:sz="0" w:space="0" w:color="auto"/>
        <w:bottom w:val="none" w:sz="0" w:space="0" w:color="auto"/>
        <w:right w:val="none" w:sz="0" w:space="0" w:color="auto"/>
      </w:divBdr>
    </w:div>
    <w:div w:id="2004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repository.maranatha.edu/id/eprint/51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5C8B-D002-4109-956F-D6A67876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celly.mayliza</dc:creator>
  <cp:lastModifiedBy>HP</cp:lastModifiedBy>
  <cp:revision>2</cp:revision>
  <cp:lastPrinted>2020-04-20T11:31:00Z</cp:lastPrinted>
  <dcterms:created xsi:type="dcterms:W3CDTF">2020-04-21T22:41:00Z</dcterms:created>
  <dcterms:modified xsi:type="dcterms:W3CDTF">2020-04-21T22:41:00Z</dcterms:modified>
</cp:coreProperties>
</file>