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51" w:rsidRPr="0027355F" w:rsidRDefault="00F80FF5" w:rsidP="005A0551">
      <w:pPr>
        <w:jc w:val="center"/>
        <w:rPr>
          <w:b/>
        </w:rPr>
      </w:pPr>
      <w:r>
        <w:rPr>
          <w:b/>
        </w:rPr>
        <w:t xml:space="preserve"> SYNC</w:t>
      </w:r>
      <w:r w:rsidR="0024762A">
        <w:rPr>
          <w:b/>
        </w:rPr>
        <w:t>H</w:t>
      </w:r>
      <w:r w:rsidR="00D04081">
        <w:rPr>
          <w:b/>
        </w:rPr>
        <w:t>RONIZING A</w:t>
      </w:r>
      <w:r>
        <w:rPr>
          <w:b/>
        </w:rPr>
        <w:t xml:space="preserve"> STATISTICAL SYSTEM FOR </w:t>
      </w:r>
      <w:r w:rsidR="005A0551" w:rsidRPr="0027355F">
        <w:rPr>
          <w:b/>
        </w:rPr>
        <w:t>PEACE AND CONFLICT RESOLUTION</w:t>
      </w:r>
      <w:r w:rsidR="006C3FE7">
        <w:rPr>
          <w:b/>
        </w:rPr>
        <w:t xml:space="preserve"> </w:t>
      </w:r>
      <w:r>
        <w:rPr>
          <w:b/>
        </w:rPr>
        <w:t xml:space="preserve">: </w:t>
      </w:r>
      <w:r w:rsidR="005A0551" w:rsidRPr="0027355F">
        <w:rPr>
          <w:b/>
        </w:rPr>
        <w:t>TOOL FOR SUST</w:t>
      </w:r>
      <w:r w:rsidR="005A0551">
        <w:rPr>
          <w:b/>
        </w:rPr>
        <w:t>A</w:t>
      </w:r>
      <w:r>
        <w:rPr>
          <w:b/>
        </w:rPr>
        <w:t xml:space="preserve">INABLE DEVELOPMENT IN NIGERIA- </w:t>
      </w:r>
      <w:r w:rsidR="005A0551">
        <w:rPr>
          <w:b/>
        </w:rPr>
        <w:t xml:space="preserve"> CASE STUDY OF JOS-PLATEAU</w:t>
      </w:r>
    </w:p>
    <w:p w:rsidR="002A6A36" w:rsidRPr="005A0551" w:rsidRDefault="002A6A36" w:rsidP="002A6A36">
      <w:pPr>
        <w:jc w:val="center"/>
        <w:rPr>
          <w:sz w:val="44"/>
          <w:szCs w:val="44"/>
        </w:rPr>
      </w:pPr>
    </w:p>
    <w:p w:rsidR="002A6A36" w:rsidRPr="002E5E9E" w:rsidRDefault="002A6A36" w:rsidP="002A6A36">
      <w:pPr>
        <w:jc w:val="center"/>
      </w:pPr>
    </w:p>
    <w:p w:rsidR="002A6A36" w:rsidRPr="005A0551" w:rsidRDefault="002A6A36" w:rsidP="005A0551">
      <w:pPr>
        <w:jc w:val="center"/>
        <w:rPr>
          <w:bCs/>
          <w:sz w:val="20"/>
          <w:szCs w:val="20"/>
          <w:vertAlign w:val="superscript"/>
        </w:rPr>
      </w:pPr>
      <w:proofErr w:type="spellStart"/>
      <w:r w:rsidRPr="005A0551">
        <w:rPr>
          <w:bCs/>
          <w:sz w:val="20"/>
          <w:szCs w:val="20"/>
        </w:rPr>
        <w:t>Okeke</w:t>
      </w:r>
      <w:proofErr w:type="spellEnd"/>
      <w:r w:rsidRPr="005A0551">
        <w:rPr>
          <w:bCs/>
          <w:sz w:val="20"/>
          <w:szCs w:val="20"/>
        </w:rPr>
        <w:t>, Joseph Uchenna</w:t>
      </w:r>
      <w:r w:rsidRPr="005A0551">
        <w:rPr>
          <w:bCs/>
          <w:sz w:val="20"/>
          <w:szCs w:val="20"/>
          <w:vertAlign w:val="superscript"/>
        </w:rPr>
        <w:t>1</w:t>
      </w:r>
      <w:r w:rsidR="0045091D">
        <w:rPr>
          <w:bCs/>
          <w:sz w:val="20"/>
          <w:szCs w:val="20"/>
          <w:vertAlign w:val="superscript"/>
        </w:rPr>
        <w:t>*</w:t>
      </w:r>
      <w:r w:rsidR="008015C4" w:rsidRPr="005A0551">
        <w:rPr>
          <w:bCs/>
          <w:sz w:val="20"/>
          <w:szCs w:val="20"/>
          <w:vertAlign w:val="superscript"/>
        </w:rPr>
        <w:t xml:space="preserve">  </w:t>
      </w:r>
      <w:r w:rsidRPr="005A0551">
        <w:rPr>
          <w:bCs/>
          <w:sz w:val="20"/>
          <w:szCs w:val="20"/>
        </w:rPr>
        <w:t xml:space="preserve"> </w:t>
      </w:r>
      <w:proofErr w:type="spellStart"/>
      <w:r w:rsidRPr="005A0551">
        <w:rPr>
          <w:bCs/>
          <w:sz w:val="20"/>
          <w:szCs w:val="20"/>
        </w:rPr>
        <w:t>Okeke</w:t>
      </w:r>
      <w:proofErr w:type="spellEnd"/>
      <w:r w:rsidRPr="005A0551">
        <w:rPr>
          <w:bCs/>
          <w:sz w:val="20"/>
          <w:szCs w:val="20"/>
        </w:rPr>
        <w:t>, Evelyn Nkiruka</w:t>
      </w:r>
      <w:r w:rsidR="005A0551" w:rsidRPr="005A0551">
        <w:rPr>
          <w:bCs/>
          <w:sz w:val="20"/>
          <w:szCs w:val="20"/>
          <w:vertAlign w:val="superscript"/>
        </w:rPr>
        <w:t>1</w:t>
      </w:r>
      <w:r w:rsidRPr="005A0551">
        <w:rPr>
          <w:bCs/>
          <w:sz w:val="20"/>
          <w:szCs w:val="20"/>
        </w:rPr>
        <w:t xml:space="preserve"> </w:t>
      </w:r>
      <w:r w:rsidR="008015C4" w:rsidRPr="005A0551">
        <w:rPr>
          <w:bCs/>
          <w:sz w:val="20"/>
          <w:szCs w:val="20"/>
        </w:rPr>
        <w:t xml:space="preserve">  </w:t>
      </w:r>
      <w:proofErr w:type="spellStart"/>
      <w:r w:rsidR="00477F15" w:rsidRPr="005A0551">
        <w:rPr>
          <w:bCs/>
          <w:sz w:val="20"/>
          <w:szCs w:val="20"/>
        </w:rPr>
        <w:t>Onoja</w:t>
      </w:r>
      <w:proofErr w:type="spellEnd"/>
      <w:r w:rsidR="00477F15" w:rsidRPr="005A0551">
        <w:rPr>
          <w:bCs/>
          <w:sz w:val="20"/>
          <w:szCs w:val="20"/>
        </w:rPr>
        <w:t>, Precious NMakani</w:t>
      </w:r>
      <w:r w:rsidR="005A0551" w:rsidRPr="005A0551">
        <w:rPr>
          <w:bCs/>
          <w:sz w:val="20"/>
          <w:szCs w:val="20"/>
          <w:vertAlign w:val="superscript"/>
        </w:rPr>
        <w:t>1</w:t>
      </w:r>
    </w:p>
    <w:p w:rsidR="002A6A36" w:rsidRPr="005A0551" w:rsidRDefault="0045091D" w:rsidP="005A0551">
      <w:pPr>
        <w:jc w:val="center"/>
        <w:rPr>
          <w:sz w:val="20"/>
          <w:szCs w:val="20"/>
        </w:rPr>
      </w:pPr>
      <w:proofErr w:type="spellStart"/>
      <w:r>
        <w:rPr>
          <w:sz w:val="20"/>
          <w:szCs w:val="20"/>
        </w:rPr>
        <w:t>Yawe</w:t>
      </w:r>
      <w:proofErr w:type="spellEnd"/>
      <w:r>
        <w:rPr>
          <w:sz w:val="20"/>
          <w:szCs w:val="20"/>
        </w:rPr>
        <w:t>, Ayuba</w:t>
      </w:r>
      <w:r>
        <w:rPr>
          <w:sz w:val="20"/>
          <w:szCs w:val="20"/>
          <w:vertAlign w:val="superscript"/>
        </w:rPr>
        <w:t>1</w:t>
      </w:r>
    </w:p>
    <w:p w:rsidR="002A6A36" w:rsidRPr="00E73CF6" w:rsidRDefault="002A6A36" w:rsidP="002A6A36">
      <w:pPr>
        <w:rPr>
          <w:sz w:val="20"/>
          <w:szCs w:val="20"/>
        </w:rPr>
      </w:pPr>
      <w:r w:rsidRPr="00E73CF6">
        <w:rPr>
          <w:sz w:val="20"/>
          <w:szCs w:val="20"/>
        </w:rPr>
        <w:t xml:space="preserve">  </w:t>
      </w:r>
    </w:p>
    <w:p w:rsidR="002A6A36" w:rsidRPr="00E9033B" w:rsidRDefault="005A0551" w:rsidP="00477F15">
      <w:pPr>
        <w:spacing w:after="200" w:line="276" w:lineRule="auto"/>
        <w:jc w:val="center"/>
        <w:rPr>
          <w:bCs/>
          <w:sz w:val="16"/>
          <w:szCs w:val="16"/>
        </w:rPr>
      </w:pPr>
      <w:r w:rsidRPr="00E9033B">
        <w:rPr>
          <w:bCs/>
          <w:sz w:val="16"/>
          <w:szCs w:val="16"/>
        </w:rPr>
        <w:t>1</w:t>
      </w:r>
      <w:r w:rsidR="0045091D">
        <w:rPr>
          <w:bCs/>
          <w:sz w:val="16"/>
          <w:szCs w:val="16"/>
        </w:rPr>
        <w:t>*</w:t>
      </w:r>
      <w:r w:rsidR="00477F15" w:rsidRPr="00E9033B">
        <w:rPr>
          <w:bCs/>
          <w:sz w:val="16"/>
          <w:szCs w:val="16"/>
        </w:rPr>
        <w:t xml:space="preserve">. </w:t>
      </w:r>
      <w:r w:rsidR="002A6A36" w:rsidRPr="00E9033B">
        <w:rPr>
          <w:bCs/>
          <w:sz w:val="16"/>
          <w:szCs w:val="16"/>
        </w:rPr>
        <w:t>Dept. Of Math</w:t>
      </w:r>
      <w:r w:rsidR="00477F15" w:rsidRPr="00E9033B">
        <w:rPr>
          <w:bCs/>
          <w:sz w:val="16"/>
          <w:szCs w:val="16"/>
        </w:rPr>
        <w:t>ematic</w:t>
      </w:r>
      <w:r w:rsidR="002A6A36" w:rsidRPr="00E9033B">
        <w:rPr>
          <w:bCs/>
          <w:sz w:val="16"/>
          <w:szCs w:val="16"/>
        </w:rPr>
        <w:t xml:space="preserve">s &amp; Statistics, Federal University </w:t>
      </w:r>
      <w:proofErr w:type="spellStart"/>
      <w:r w:rsidR="002A6A36" w:rsidRPr="00E9033B">
        <w:rPr>
          <w:bCs/>
          <w:sz w:val="16"/>
          <w:szCs w:val="16"/>
        </w:rPr>
        <w:t>Wukari</w:t>
      </w:r>
      <w:proofErr w:type="spellEnd"/>
      <w:r w:rsidR="002A6A36" w:rsidRPr="00E9033B">
        <w:rPr>
          <w:bCs/>
          <w:sz w:val="16"/>
          <w:szCs w:val="16"/>
        </w:rPr>
        <w:t>, Nigeria</w:t>
      </w:r>
    </w:p>
    <w:p w:rsidR="005A0551" w:rsidRPr="00E9033B" w:rsidRDefault="005A0551" w:rsidP="0045091D">
      <w:pPr>
        <w:spacing w:after="200" w:line="276" w:lineRule="auto"/>
        <w:jc w:val="center"/>
        <w:rPr>
          <w:bCs/>
          <w:sz w:val="16"/>
          <w:szCs w:val="16"/>
        </w:rPr>
      </w:pPr>
      <w:r w:rsidRPr="00E9033B">
        <w:rPr>
          <w:bCs/>
          <w:sz w:val="16"/>
          <w:szCs w:val="16"/>
        </w:rPr>
        <w:t xml:space="preserve">   </w:t>
      </w:r>
      <w:r w:rsidR="0045091D" w:rsidRPr="00E9033B">
        <w:rPr>
          <w:bCs/>
          <w:sz w:val="16"/>
          <w:szCs w:val="16"/>
        </w:rPr>
        <w:t xml:space="preserve">1. Dept. Of Mathematics &amp; Statistics, Federal University </w:t>
      </w:r>
      <w:proofErr w:type="spellStart"/>
      <w:r w:rsidR="0045091D" w:rsidRPr="00E9033B">
        <w:rPr>
          <w:bCs/>
          <w:sz w:val="16"/>
          <w:szCs w:val="16"/>
        </w:rPr>
        <w:t>Wukari</w:t>
      </w:r>
      <w:proofErr w:type="spellEnd"/>
      <w:r w:rsidR="0045091D" w:rsidRPr="00E9033B">
        <w:rPr>
          <w:bCs/>
          <w:sz w:val="16"/>
          <w:szCs w:val="16"/>
        </w:rPr>
        <w:t>, Nigeria</w:t>
      </w:r>
    </w:p>
    <w:p w:rsidR="002A6A36" w:rsidRPr="00280276" w:rsidRDefault="00477F15" w:rsidP="002A6A36">
      <w:pPr>
        <w:jc w:val="center"/>
        <w:rPr>
          <w:b/>
          <w:bCs/>
          <w:sz w:val="16"/>
          <w:szCs w:val="16"/>
        </w:rPr>
      </w:pPr>
      <w:r w:rsidRPr="00E9033B">
        <w:rPr>
          <w:b/>
          <w:bCs/>
          <w:sz w:val="16"/>
          <w:szCs w:val="16"/>
        </w:rPr>
        <w:t xml:space="preserve"> </w:t>
      </w:r>
      <w:r w:rsidR="002A6A36" w:rsidRPr="00E9033B">
        <w:rPr>
          <w:b/>
          <w:bCs/>
          <w:sz w:val="16"/>
          <w:szCs w:val="16"/>
        </w:rPr>
        <w:t>(Corresponding author</w:t>
      </w:r>
      <w:r w:rsidR="0045091D">
        <w:rPr>
          <w:b/>
          <w:bCs/>
          <w:sz w:val="16"/>
          <w:szCs w:val="16"/>
        </w:rPr>
        <w:t xml:space="preserve"> </w:t>
      </w:r>
      <w:r w:rsidR="0045091D" w:rsidRPr="00E9033B">
        <w:rPr>
          <w:bCs/>
          <w:sz w:val="16"/>
          <w:szCs w:val="16"/>
        </w:rPr>
        <w:t>1</w:t>
      </w:r>
      <w:r w:rsidR="0045091D">
        <w:rPr>
          <w:bCs/>
          <w:sz w:val="16"/>
          <w:szCs w:val="16"/>
        </w:rPr>
        <w:t>*</w:t>
      </w:r>
      <w:r w:rsidR="0045091D">
        <w:rPr>
          <w:b/>
          <w:bCs/>
          <w:sz w:val="16"/>
          <w:szCs w:val="16"/>
        </w:rPr>
        <w:t xml:space="preserve"> </w:t>
      </w:r>
      <w:r w:rsidR="002A6A36" w:rsidRPr="00E9033B">
        <w:rPr>
          <w:b/>
          <w:bCs/>
          <w:sz w:val="16"/>
          <w:szCs w:val="16"/>
        </w:rPr>
        <w:t>:</w:t>
      </w:r>
      <w:r w:rsidR="00280276">
        <w:rPr>
          <w:b/>
          <w:bCs/>
          <w:sz w:val="16"/>
          <w:szCs w:val="16"/>
        </w:rPr>
        <w:t xml:space="preserve"> e-mail-</w:t>
      </w:r>
      <w:r w:rsidR="002A6A36" w:rsidRPr="00E9033B">
        <w:rPr>
          <w:b/>
          <w:bCs/>
          <w:sz w:val="16"/>
          <w:szCs w:val="16"/>
        </w:rPr>
        <w:t xml:space="preserve"> </w:t>
      </w:r>
      <w:hyperlink r:id="rId5" w:history="1">
        <w:r w:rsidR="00280276" w:rsidRPr="008012F0">
          <w:rPr>
            <w:rStyle w:val="Hyperlink"/>
            <w:b/>
            <w:bCs/>
            <w:sz w:val="16"/>
            <w:szCs w:val="16"/>
          </w:rPr>
          <w:t xml:space="preserve">uche70ng@yahoo.com, </w:t>
        </w:r>
        <w:r w:rsidR="00280276">
          <w:rPr>
            <w:rStyle w:val="Hyperlink"/>
            <w:b/>
            <w:bCs/>
            <w:sz w:val="16"/>
            <w:szCs w:val="16"/>
          </w:rPr>
          <w:t xml:space="preserve"> GSM N</w:t>
        </w:r>
        <w:r w:rsidR="00280276" w:rsidRPr="008012F0">
          <w:rPr>
            <w:rStyle w:val="Hyperlink"/>
            <w:b/>
            <w:bCs/>
            <w:sz w:val="16"/>
            <w:szCs w:val="16"/>
          </w:rPr>
          <w:t xml:space="preserve">o-  </w:t>
        </w:r>
        <w:r w:rsidR="00280276">
          <w:rPr>
            <w:rStyle w:val="Hyperlink"/>
            <w:b/>
            <w:bCs/>
            <w:sz w:val="16"/>
            <w:szCs w:val="16"/>
          </w:rPr>
          <w:t>+234</w:t>
        </w:r>
        <w:r w:rsidR="00280276" w:rsidRPr="008012F0">
          <w:rPr>
            <w:rStyle w:val="Hyperlink"/>
            <w:b/>
            <w:bCs/>
            <w:sz w:val="16"/>
            <w:szCs w:val="16"/>
          </w:rPr>
          <w:t>8036026806)</w:t>
        </w:r>
      </w:hyperlink>
    </w:p>
    <w:p w:rsidR="002A6A36" w:rsidRPr="002E5E9E" w:rsidRDefault="002A6A36" w:rsidP="002A6A36">
      <w:pPr>
        <w:jc w:val="center"/>
      </w:pPr>
    </w:p>
    <w:p w:rsidR="002A6A36" w:rsidRPr="00E73CF6" w:rsidRDefault="002A6A36" w:rsidP="009C290C">
      <w:pPr>
        <w:rPr>
          <w:b/>
          <w:i/>
          <w:sz w:val="18"/>
          <w:szCs w:val="18"/>
        </w:rPr>
      </w:pPr>
      <w:r w:rsidRPr="00E73CF6">
        <w:rPr>
          <w:b/>
          <w:i/>
          <w:sz w:val="18"/>
          <w:szCs w:val="18"/>
        </w:rPr>
        <w:t>Abstract</w:t>
      </w:r>
    </w:p>
    <w:p w:rsidR="009C290C" w:rsidRPr="00E73CF6" w:rsidRDefault="00B2767E" w:rsidP="009C290C">
      <w:pPr>
        <w:jc w:val="both"/>
        <w:rPr>
          <w:i/>
          <w:sz w:val="18"/>
          <w:szCs w:val="18"/>
        </w:rPr>
      </w:pPr>
      <w:r>
        <w:rPr>
          <w:i/>
          <w:sz w:val="18"/>
          <w:szCs w:val="18"/>
        </w:rPr>
        <w:t>This study</w:t>
      </w:r>
      <w:r w:rsidR="00937C68" w:rsidRPr="00B2767E">
        <w:rPr>
          <w:i/>
          <w:sz w:val="18"/>
          <w:szCs w:val="18"/>
        </w:rPr>
        <w:t xml:space="preserve"> is undertaken to synchronize</w:t>
      </w:r>
      <w:r w:rsidR="009B5AA5">
        <w:rPr>
          <w:i/>
          <w:sz w:val="18"/>
          <w:szCs w:val="18"/>
        </w:rPr>
        <w:t xml:space="preserve"> a  statistical</w:t>
      </w:r>
      <w:r w:rsidR="00C91587">
        <w:rPr>
          <w:i/>
          <w:sz w:val="18"/>
          <w:szCs w:val="18"/>
        </w:rPr>
        <w:t xml:space="preserve"> system</w:t>
      </w:r>
      <w:r w:rsidR="009B5AA5">
        <w:rPr>
          <w:i/>
          <w:sz w:val="18"/>
          <w:szCs w:val="18"/>
        </w:rPr>
        <w:t xml:space="preserve"> for determining</w:t>
      </w:r>
      <w:r w:rsidR="00937C68" w:rsidRPr="00B2767E">
        <w:rPr>
          <w:i/>
          <w:sz w:val="18"/>
          <w:szCs w:val="18"/>
        </w:rPr>
        <w:t xml:space="preserve"> the factors that chiefly account for the preponder</w:t>
      </w:r>
      <w:r w:rsidR="00EF3D86" w:rsidRPr="00B2767E">
        <w:rPr>
          <w:i/>
          <w:sz w:val="18"/>
          <w:szCs w:val="18"/>
        </w:rPr>
        <w:t xml:space="preserve">ance of conflict in </w:t>
      </w:r>
      <w:proofErr w:type="spellStart"/>
      <w:r w:rsidR="00EF3D86" w:rsidRPr="00B2767E">
        <w:rPr>
          <w:i/>
          <w:sz w:val="18"/>
          <w:szCs w:val="18"/>
        </w:rPr>
        <w:t>Jos</w:t>
      </w:r>
      <w:proofErr w:type="spellEnd"/>
      <w:r w:rsidR="00EF3D86" w:rsidRPr="00B2767E">
        <w:rPr>
          <w:i/>
          <w:sz w:val="18"/>
          <w:szCs w:val="18"/>
        </w:rPr>
        <w:t xml:space="preserve">-Plateau by </w:t>
      </w:r>
      <w:r>
        <w:rPr>
          <w:i/>
          <w:sz w:val="18"/>
          <w:szCs w:val="18"/>
        </w:rPr>
        <w:t xml:space="preserve">statistically </w:t>
      </w:r>
      <w:r w:rsidR="00EF3D86" w:rsidRPr="00B2767E">
        <w:rPr>
          <w:i/>
          <w:sz w:val="18"/>
          <w:szCs w:val="18"/>
        </w:rPr>
        <w:t xml:space="preserve">analyzing the effects of peace efforts on the </w:t>
      </w:r>
      <w:proofErr w:type="spellStart"/>
      <w:r w:rsidR="00EF3D86" w:rsidRPr="00B2767E">
        <w:rPr>
          <w:i/>
          <w:sz w:val="18"/>
          <w:szCs w:val="18"/>
        </w:rPr>
        <w:t>Jos</w:t>
      </w:r>
      <w:proofErr w:type="spellEnd"/>
      <w:r w:rsidR="00EF3D86" w:rsidRPr="00B2767E">
        <w:rPr>
          <w:i/>
          <w:sz w:val="18"/>
          <w:szCs w:val="18"/>
        </w:rPr>
        <w:t>/Plateau crisis</w:t>
      </w:r>
      <w:r>
        <w:rPr>
          <w:i/>
          <w:sz w:val="18"/>
          <w:szCs w:val="18"/>
        </w:rPr>
        <w:t xml:space="preserve"> </w:t>
      </w:r>
      <w:r w:rsidR="00EF3D86" w:rsidRPr="00B2767E">
        <w:rPr>
          <w:i/>
          <w:sz w:val="18"/>
          <w:szCs w:val="18"/>
        </w:rPr>
        <w:t>through a survey of the ethno-religious perception of the catalysts for peace and conflict resolution to reveal the spark that appears before the fire</w:t>
      </w:r>
      <w:r w:rsidR="005A0551">
        <w:rPr>
          <w:i/>
          <w:sz w:val="18"/>
          <w:szCs w:val="18"/>
        </w:rPr>
        <w:t>, in order to achieve sustainable</w:t>
      </w:r>
      <w:r>
        <w:rPr>
          <w:i/>
          <w:sz w:val="18"/>
          <w:szCs w:val="18"/>
        </w:rPr>
        <w:t xml:space="preserve"> development in Nigeria</w:t>
      </w:r>
      <w:r w:rsidR="00EF3D86" w:rsidRPr="00B2767E">
        <w:rPr>
          <w:i/>
          <w:sz w:val="18"/>
          <w:szCs w:val="18"/>
        </w:rPr>
        <w:t>.</w:t>
      </w:r>
      <w:r w:rsidR="00937C68" w:rsidRPr="00B2767E">
        <w:rPr>
          <w:i/>
          <w:sz w:val="18"/>
          <w:szCs w:val="18"/>
        </w:rPr>
        <w:t xml:space="preserve"> The da</w:t>
      </w:r>
      <w:r w:rsidR="0092552E">
        <w:rPr>
          <w:i/>
          <w:sz w:val="18"/>
          <w:szCs w:val="18"/>
        </w:rPr>
        <w:t>ta used is a primary data obtained</w:t>
      </w:r>
      <w:r w:rsidR="00937C68" w:rsidRPr="00B2767E">
        <w:rPr>
          <w:i/>
          <w:sz w:val="18"/>
          <w:szCs w:val="18"/>
        </w:rPr>
        <w:t xml:space="preserve"> th</w:t>
      </w:r>
      <w:r w:rsidR="00EF3D86" w:rsidRPr="00B2767E">
        <w:rPr>
          <w:i/>
          <w:sz w:val="18"/>
          <w:szCs w:val="18"/>
        </w:rPr>
        <w:t xml:space="preserve">rough the administration of sample </w:t>
      </w:r>
      <w:r w:rsidR="00937C68" w:rsidRPr="00B2767E">
        <w:rPr>
          <w:i/>
          <w:sz w:val="18"/>
          <w:szCs w:val="18"/>
        </w:rPr>
        <w:t>questionnaires</w:t>
      </w:r>
      <w:r w:rsidR="00B40C7B">
        <w:rPr>
          <w:i/>
          <w:sz w:val="18"/>
          <w:szCs w:val="18"/>
        </w:rPr>
        <w:t>, initially tested through a pilot survey,</w:t>
      </w:r>
      <w:r w:rsidR="00937C68" w:rsidRPr="00B2767E">
        <w:rPr>
          <w:i/>
          <w:sz w:val="18"/>
          <w:szCs w:val="18"/>
        </w:rPr>
        <w:t xml:space="preserve"> to the residents of </w:t>
      </w:r>
      <w:proofErr w:type="spellStart"/>
      <w:r w:rsidR="00937C68" w:rsidRPr="00B2767E">
        <w:rPr>
          <w:i/>
          <w:sz w:val="18"/>
          <w:szCs w:val="18"/>
        </w:rPr>
        <w:t>Jos</w:t>
      </w:r>
      <w:proofErr w:type="spellEnd"/>
      <w:r w:rsidR="00937C68" w:rsidRPr="00B2767E">
        <w:rPr>
          <w:i/>
          <w:sz w:val="18"/>
          <w:szCs w:val="18"/>
        </w:rPr>
        <w:t xml:space="preserve"> metropolis</w:t>
      </w:r>
      <w:r w:rsidR="00EF3D86" w:rsidRPr="00B2767E">
        <w:rPr>
          <w:i/>
          <w:sz w:val="18"/>
          <w:szCs w:val="18"/>
        </w:rPr>
        <w:t xml:space="preserve"> and environ</w:t>
      </w:r>
      <w:r w:rsidR="0092552E">
        <w:rPr>
          <w:i/>
          <w:sz w:val="18"/>
          <w:szCs w:val="18"/>
        </w:rPr>
        <w:t>s</w:t>
      </w:r>
      <w:r w:rsidR="00EF3D86" w:rsidRPr="00B2767E">
        <w:rPr>
          <w:i/>
          <w:sz w:val="18"/>
          <w:szCs w:val="18"/>
        </w:rPr>
        <w:t>. The statistical tools employed in the study are</w:t>
      </w:r>
      <w:r w:rsidR="00937C68" w:rsidRPr="00B2767E">
        <w:rPr>
          <w:i/>
          <w:sz w:val="18"/>
          <w:szCs w:val="18"/>
        </w:rPr>
        <w:t xml:space="preserve"> the </w:t>
      </w:r>
      <w:proofErr w:type="spellStart"/>
      <w:r w:rsidR="00937C68" w:rsidRPr="00B2767E">
        <w:rPr>
          <w:i/>
          <w:sz w:val="18"/>
          <w:szCs w:val="18"/>
        </w:rPr>
        <w:t>Akaike</w:t>
      </w:r>
      <w:proofErr w:type="spellEnd"/>
      <w:r w:rsidR="00937C68" w:rsidRPr="00B2767E">
        <w:rPr>
          <w:i/>
          <w:sz w:val="18"/>
          <w:szCs w:val="18"/>
        </w:rPr>
        <w:t xml:space="preserve"> Inf</w:t>
      </w:r>
      <w:r w:rsidR="0092552E">
        <w:rPr>
          <w:i/>
          <w:sz w:val="18"/>
          <w:szCs w:val="18"/>
        </w:rPr>
        <w:t>ormation Criterion</w:t>
      </w:r>
      <w:r w:rsidR="00937C68" w:rsidRPr="00B2767E">
        <w:rPr>
          <w:i/>
          <w:sz w:val="18"/>
          <w:szCs w:val="18"/>
        </w:rPr>
        <w:t xml:space="preserve"> (AIC) and Residual Analysis. Injustice, religion and e</w:t>
      </w:r>
      <w:r w:rsidR="00EF3D86" w:rsidRPr="00B2767E">
        <w:rPr>
          <w:i/>
          <w:sz w:val="18"/>
          <w:szCs w:val="18"/>
        </w:rPr>
        <w:t>conom</w:t>
      </w:r>
      <w:r w:rsidR="00B40C7B">
        <w:rPr>
          <w:i/>
          <w:sz w:val="18"/>
          <w:szCs w:val="18"/>
        </w:rPr>
        <w:t>ic hardship a</w:t>
      </w:r>
      <w:r w:rsidR="00EF3D86" w:rsidRPr="00B2767E">
        <w:rPr>
          <w:i/>
          <w:sz w:val="18"/>
          <w:szCs w:val="18"/>
        </w:rPr>
        <w:t>re identified as</w:t>
      </w:r>
      <w:r w:rsidR="00937C68" w:rsidRPr="00B2767E">
        <w:rPr>
          <w:i/>
          <w:sz w:val="18"/>
          <w:szCs w:val="18"/>
        </w:rPr>
        <w:t xml:space="preserve"> the causes of</w:t>
      </w:r>
      <w:r w:rsidRPr="00B2767E">
        <w:rPr>
          <w:i/>
          <w:sz w:val="18"/>
          <w:szCs w:val="18"/>
        </w:rPr>
        <w:t xml:space="preserve"> the preponderance of conflic</w:t>
      </w:r>
      <w:r w:rsidR="00B40C7B">
        <w:rPr>
          <w:i/>
          <w:sz w:val="18"/>
          <w:szCs w:val="18"/>
        </w:rPr>
        <w:t>t in the study which also shows</w:t>
      </w:r>
      <w:r w:rsidRPr="00B2767E">
        <w:rPr>
          <w:i/>
          <w:sz w:val="18"/>
          <w:szCs w:val="18"/>
        </w:rPr>
        <w:t xml:space="preserve"> </w:t>
      </w:r>
      <w:r w:rsidR="008C480C">
        <w:rPr>
          <w:i/>
          <w:sz w:val="18"/>
          <w:szCs w:val="18"/>
        </w:rPr>
        <w:t xml:space="preserve">religious intolerance </w:t>
      </w:r>
      <w:r w:rsidR="00937C68" w:rsidRPr="00B2767E">
        <w:rPr>
          <w:i/>
          <w:sz w:val="18"/>
          <w:szCs w:val="18"/>
        </w:rPr>
        <w:t xml:space="preserve"> and ec</w:t>
      </w:r>
      <w:r w:rsidRPr="00B2767E">
        <w:rPr>
          <w:i/>
          <w:sz w:val="18"/>
          <w:szCs w:val="18"/>
        </w:rPr>
        <w:t>onomic hardship  to be the chief</w:t>
      </w:r>
      <w:r w:rsidR="00937C68" w:rsidRPr="00B2767E">
        <w:rPr>
          <w:i/>
          <w:sz w:val="18"/>
          <w:szCs w:val="18"/>
        </w:rPr>
        <w:t xml:space="preserve"> causes of conflict in </w:t>
      </w:r>
      <w:proofErr w:type="spellStart"/>
      <w:r w:rsidR="00937C68" w:rsidRPr="00B2767E">
        <w:rPr>
          <w:i/>
          <w:sz w:val="18"/>
          <w:szCs w:val="18"/>
        </w:rPr>
        <w:t>Jos</w:t>
      </w:r>
      <w:proofErr w:type="spellEnd"/>
      <w:r w:rsidR="00A02E75">
        <w:rPr>
          <w:i/>
          <w:sz w:val="18"/>
          <w:szCs w:val="18"/>
        </w:rPr>
        <w:t>/Plateau</w:t>
      </w:r>
      <w:r w:rsidR="00937C68" w:rsidRPr="00B2767E">
        <w:rPr>
          <w:i/>
          <w:sz w:val="18"/>
          <w:szCs w:val="18"/>
        </w:rPr>
        <w:t xml:space="preserve"> w</w:t>
      </w:r>
      <w:r w:rsidR="008C480C">
        <w:rPr>
          <w:i/>
          <w:sz w:val="18"/>
          <w:szCs w:val="18"/>
        </w:rPr>
        <w:t>ith dispensation of justice</w:t>
      </w:r>
      <w:r w:rsidR="00B40C7B">
        <w:rPr>
          <w:i/>
          <w:sz w:val="18"/>
          <w:szCs w:val="18"/>
        </w:rPr>
        <w:t xml:space="preserve"> having little</w:t>
      </w:r>
      <w:r w:rsidR="00937C68" w:rsidRPr="00B2767E">
        <w:rPr>
          <w:i/>
          <w:sz w:val="18"/>
          <w:szCs w:val="18"/>
        </w:rPr>
        <w:t xml:space="preserve"> effect on the conflict.</w:t>
      </w:r>
    </w:p>
    <w:p w:rsidR="0024467A" w:rsidRPr="002E5E9E" w:rsidRDefault="0024467A" w:rsidP="002A6A36">
      <w:pPr>
        <w:jc w:val="center"/>
      </w:pPr>
    </w:p>
    <w:p w:rsidR="002A6A36" w:rsidRPr="00E73CF6" w:rsidRDefault="00717328" w:rsidP="00E73CF6">
      <w:pPr>
        <w:rPr>
          <w:i/>
          <w:sz w:val="18"/>
          <w:szCs w:val="18"/>
        </w:rPr>
      </w:pPr>
      <w:r w:rsidRPr="00E73CF6">
        <w:rPr>
          <w:i/>
          <w:sz w:val="18"/>
          <w:szCs w:val="18"/>
        </w:rPr>
        <w:t>(</w:t>
      </w:r>
      <w:r w:rsidR="0024467A" w:rsidRPr="00E73CF6">
        <w:rPr>
          <w:b/>
          <w:i/>
          <w:sz w:val="18"/>
          <w:szCs w:val="18"/>
        </w:rPr>
        <w:t>Keywords</w:t>
      </w:r>
      <w:r w:rsidR="0024467A" w:rsidRPr="00E73CF6">
        <w:rPr>
          <w:i/>
          <w:sz w:val="18"/>
          <w:szCs w:val="18"/>
        </w:rPr>
        <w:t xml:space="preserve">: </w:t>
      </w:r>
      <w:proofErr w:type="spellStart"/>
      <w:r w:rsidR="00650162">
        <w:rPr>
          <w:i/>
          <w:sz w:val="18"/>
          <w:szCs w:val="18"/>
        </w:rPr>
        <w:t>Akaike</w:t>
      </w:r>
      <w:proofErr w:type="spellEnd"/>
      <w:r w:rsidR="00650162">
        <w:rPr>
          <w:i/>
          <w:sz w:val="18"/>
          <w:szCs w:val="18"/>
        </w:rPr>
        <w:t xml:space="preserve"> i</w:t>
      </w:r>
      <w:r w:rsidR="0092552E" w:rsidRPr="00B2767E">
        <w:rPr>
          <w:i/>
          <w:sz w:val="18"/>
          <w:szCs w:val="18"/>
        </w:rPr>
        <w:t>nf</w:t>
      </w:r>
      <w:r w:rsidR="00650162">
        <w:rPr>
          <w:i/>
          <w:sz w:val="18"/>
          <w:szCs w:val="18"/>
        </w:rPr>
        <w:t>ormation c</w:t>
      </w:r>
      <w:r w:rsidR="0092552E">
        <w:rPr>
          <w:i/>
          <w:sz w:val="18"/>
          <w:szCs w:val="18"/>
        </w:rPr>
        <w:t>riterion;</w:t>
      </w:r>
      <w:r w:rsidR="0092552E" w:rsidRPr="00E73CF6">
        <w:rPr>
          <w:i/>
          <w:sz w:val="18"/>
          <w:szCs w:val="18"/>
        </w:rPr>
        <w:t xml:space="preserve"> </w:t>
      </w:r>
      <w:r w:rsidR="00650162">
        <w:rPr>
          <w:i/>
          <w:sz w:val="18"/>
          <w:szCs w:val="18"/>
        </w:rPr>
        <w:t>N</w:t>
      </w:r>
      <w:r w:rsidR="0092552E">
        <w:rPr>
          <w:i/>
          <w:sz w:val="18"/>
          <w:szCs w:val="18"/>
        </w:rPr>
        <w:t>ational development;</w:t>
      </w:r>
      <w:r w:rsidR="00E9033B">
        <w:rPr>
          <w:i/>
          <w:sz w:val="18"/>
          <w:szCs w:val="18"/>
        </w:rPr>
        <w:t xml:space="preserve"> </w:t>
      </w:r>
      <w:r w:rsidR="004757D8">
        <w:rPr>
          <w:i/>
          <w:sz w:val="18"/>
          <w:szCs w:val="18"/>
        </w:rPr>
        <w:t>Outliers;</w:t>
      </w:r>
      <w:r w:rsidR="0092552E" w:rsidRPr="00E73CF6">
        <w:rPr>
          <w:i/>
          <w:sz w:val="18"/>
          <w:szCs w:val="18"/>
        </w:rPr>
        <w:t xml:space="preserve"> </w:t>
      </w:r>
      <w:r w:rsidR="00DD4AD2" w:rsidRPr="00E73CF6">
        <w:rPr>
          <w:i/>
          <w:sz w:val="18"/>
          <w:szCs w:val="18"/>
        </w:rPr>
        <w:t>P</w:t>
      </w:r>
      <w:r w:rsidR="00380048" w:rsidRPr="00E73CF6">
        <w:rPr>
          <w:i/>
          <w:sz w:val="18"/>
          <w:szCs w:val="18"/>
        </w:rPr>
        <w:t>eace and conflict</w:t>
      </w:r>
      <w:r w:rsidR="0024467A" w:rsidRPr="00E73CF6">
        <w:rPr>
          <w:i/>
          <w:sz w:val="18"/>
          <w:szCs w:val="18"/>
        </w:rPr>
        <w:t xml:space="preserve"> </w:t>
      </w:r>
      <w:r w:rsidR="00380048" w:rsidRPr="00E73CF6">
        <w:rPr>
          <w:i/>
          <w:sz w:val="18"/>
          <w:szCs w:val="18"/>
        </w:rPr>
        <w:t xml:space="preserve">resolution; </w:t>
      </w:r>
      <w:r w:rsidR="00DD4AD2" w:rsidRPr="00E73CF6">
        <w:rPr>
          <w:i/>
          <w:sz w:val="18"/>
          <w:szCs w:val="18"/>
        </w:rPr>
        <w:t>Synchronization</w:t>
      </w:r>
      <w:r w:rsidRPr="00E73CF6">
        <w:rPr>
          <w:i/>
          <w:sz w:val="18"/>
          <w:szCs w:val="18"/>
        </w:rPr>
        <w:t>;</w:t>
      </w:r>
      <w:r w:rsidR="0024467A" w:rsidRPr="00E73CF6">
        <w:rPr>
          <w:i/>
          <w:sz w:val="18"/>
          <w:szCs w:val="18"/>
        </w:rPr>
        <w:t xml:space="preserve"> </w:t>
      </w:r>
      <w:r w:rsidR="00DD4AD2" w:rsidRPr="00E73CF6">
        <w:rPr>
          <w:i/>
          <w:sz w:val="18"/>
          <w:szCs w:val="18"/>
        </w:rPr>
        <w:t xml:space="preserve">Statistical </w:t>
      </w:r>
      <w:r w:rsidRPr="00E73CF6">
        <w:rPr>
          <w:i/>
          <w:sz w:val="18"/>
          <w:szCs w:val="18"/>
        </w:rPr>
        <w:t>system)</w:t>
      </w:r>
    </w:p>
    <w:p w:rsidR="009E06F6" w:rsidRDefault="009E06F6" w:rsidP="00D51F71">
      <w:pPr>
        <w:spacing w:line="480" w:lineRule="auto"/>
        <w:jc w:val="both"/>
        <w:rPr>
          <w:b/>
        </w:rPr>
      </w:pPr>
    </w:p>
    <w:p w:rsidR="00D51F71" w:rsidRPr="00E73CF6" w:rsidRDefault="002B6BED" w:rsidP="005C18BC">
      <w:pPr>
        <w:spacing w:line="360" w:lineRule="auto"/>
        <w:jc w:val="both"/>
        <w:rPr>
          <w:b/>
          <w:sz w:val="20"/>
          <w:szCs w:val="20"/>
        </w:rPr>
      </w:pPr>
      <w:r w:rsidRPr="00E73CF6">
        <w:rPr>
          <w:b/>
          <w:sz w:val="20"/>
          <w:szCs w:val="20"/>
        </w:rPr>
        <w:t>1.     INTRODUCTION</w:t>
      </w:r>
    </w:p>
    <w:p w:rsidR="00D51F71" w:rsidRPr="00E73CF6" w:rsidRDefault="003639F9" w:rsidP="005C18BC">
      <w:pPr>
        <w:spacing w:line="360" w:lineRule="auto"/>
        <w:ind w:firstLine="720"/>
        <w:jc w:val="both"/>
        <w:rPr>
          <w:sz w:val="20"/>
          <w:szCs w:val="20"/>
        </w:rPr>
      </w:pPr>
      <w:r>
        <w:rPr>
          <w:sz w:val="20"/>
          <w:szCs w:val="20"/>
        </w:rPr>
        <w:t>Peace is the absence of war</w:t>
      </w:r>
      <w:r w:rsidR="00E344F8">
        <w:rPr>
          <w:sz w:val="20"/>
          <w:szCs w:val="20"/>
        </w:rPr>
        <w:t xml:space="preserve"> (negative peace) or the presence of justice (positive peace) which is the opposite of </w:t>
      </w:r>
      <w:r w:rsidR="00DE1DBA">
        <w:rPr>
          <w:sz w:val="20"/>
          <w:szCs w:val="20"/>
        </w:rPr>
        <w:t>violence or conflict according to [1]</w:t>
      </w:r>
      <w:r>
        <w:rPr>
          <w:sz w:val="20"/>
          <w:szCs w:val="20"/>
        </w:rPr>
        <w:t xml:space="preserve">. </w:t>
      </w:r>
      <w:r w:rsidR="00D51F71" w:rsidRPr="00E73CF6">
        <w:rPr>
          <w:sz w:val="20"/>
          <w:szCs w:val="20"/>
        </w:rPr>
        <w:t>Peace</w:t>
      </w:r>
      <w:r w:rsidR="00E344F8">
        <w:rPr>
          <w:sz w:val="20"/>
          <w:szCs w:val="20"/>
        </w:rPr>
        <w:t xml:space="preserve"> is the goal of society</w:t>
      </w:r>
      <w:r w:rsidR="00DE1DBA">
        <w:rPr>
          <w:sz w:val="20"/>
          <w:szCs w:val="20"/>
        </w:rPr>
        <w:t xml:space="preserve"> as in [2]</w:t>
      </w:r>
      <w:r>
        <w:rPr>
          <w:sz w:val="20"/>
          <w:szCs w:val="20"/>
        </w:rPr>
        <w:t xml:space="preserve"> </w:t>
      </w:r>
      <w:r w:rsidR="008A0D3E">
        <w:rPr>
          <w:sz w:val="20"/>
          <w:szCs w:val="20"/>
        </w:rPr>
        <w:t>which</w:t>
      </w:r>
      <w:r w:rsidR="00D51F71" w:rsidRPr="00E73CF6">
        <w:rPr>
          <w:sz w:val="20"/>
          <w:szCs w:val="20"/>
        </w:rPr>
        <w:t xml:space="preserve"> must first be developed with</w:t>
      </w:r>
      <w:r w:rsidR="008A0D3E">
        <w:rPr>
          <w:sz w:val="20"/>
          <w:szCs w:val="20"/>
        </w:rPr>
        <w:t>in</w:t>
      </w:r>
      <w:r w:rsidR="00D51F71" w:rsidRPr="00E73CF6">
        <w:rPr>
          <w:sz w:val="20"/>
          <w:szCs w:val="20"/>
        </w:rPr>
        <w:t xml:space="preserve"> an individual</w:t>
      </w:r>
      <w:r w:rsidR="002B6BED" w:rsidRPr="00E73CF6">
        <w:rPr>
          <w:sz w:val="20"/>
          <w:szCs w:val="20"/>
        </w:rPr>
        <w:t>. Love, Compassion, and Sincerity</w:t>
      </w:r>
      <w:r w:rsidR="00D51F71" w:rsidRPr="00E73CF6">
        <w:rPr>
          <w:sz w:val="20"/>
          <w:szCs w:val="20"/>
        </w:rPr>
        <w:t xml:space="preserve"> are </w:t>
      </w:r>
      <w:r w:rsidR="00430765">
        <w:rPr>
          <w:sz w:val="20"/>
          <w:szCs w:val="20"/>
        </w:rPr>
        <w:t>the fundamental basis for peace: o</w:t>
      </w:r>
      <w:r w:rsidR="00D51F71" w:rsidRPr="00E73CF6">
        <w:rPr>
          <w:sz w:val="20"/>
          <w:szCs w:val="20"/>
        </w:rPr>
        <w:t>nce these qualities are developed with</w:t>
      </w:r>
      <w:r w:rsidR="008A0D3E">
        <w:rPr>
          <w:sz w:val="20"/>
          <w:szCs w:val="20"/>
        </w:rPr>
        <w:t>in</w:t>
      </w:r>
      <w:r w:rsidR="00D51F71" w:rsidRPr="00E73CF6">
        <w:rPr>
          <w:sz w:val="20"/>
          <w:szCs w:val="20"/>
        </w:rPr>
        <w:t xml:space="preserve"> </w:t>
      </w:r>
      <w:r w:rsidR="002B6BED" w:rsidRPr="00E73CF6">
        <w:rPr>
          <w:sz w:val="20"/>
          <w:szCs w:val="20"/>
        </w:rPr>
        <w:t>an individual, he or she may be</w:t>
      </w:r>
      <w:r w:rsidR="00D51F71" w:rsidRPr="00E73CF6">
        <w:rPr>
          <w:sz w:val="20"/>
          <w:szCs w:val="20"/>
        </w:rPr>
        <w:t xml:space="preserve"> </w:t>
      </w:r>
      <w:r w:rsidR="002B6BED" w:rsidRPr="00E73CF6">
        <w:rPr>
          <w:sz w:val="20"/>
          <w:szCs w:val="20"/>
        </w:rPr>
        <w:t>en</w:t>
      </w:r>
      <w:r w:rsidR="00D51F71" w:rsidRPr="00E73CF6">
        <w:rPr>
          <w:sz w:val="20"/>
          <w:szCs w:val="20"/>
        </w:rPr>
        <w:t>able</w:t>
      </w:r>
      <w:r w:rsidR="002B6BED" w:rsidRPr="00E73CF6">
        <w:rPr>
          <w:sz w:val="20"/>
          <w:szCs w:val="20"/>
        </w:rPr>
        <w:t>d</w:t>
      </w:r>
      <w:r w:rsidR="00D51F71" w:rsidRPr="00E73CF6">
        <w:rPr>
          <w:sz w:val="20"/>
          <w:szCs w:val="20"/>
        </w:rPr>
        <w:t xml:space="preserve"> to create an atmosphere of peace and harmony.</w:t>
      </w:r>
      <w:r w:rsidR="00C7444E">
        <w:rPr>
          <w:sz w:val="20"/>
          <w:szCs w:val="20"/>
        </w:rPr>
        <w:t xml:space="preserve"> This atmosphere can be extend</w:t>
      </w:r>
      <w:r w:rsidR="005A72E1">
        <w:rPr>
          <w:sz w:val="20"/>
          <w:szCs w:val="20"/>
        </w:rPr>
        <w:t>ed</w:t>
      </w:r>
      <w:r w:rsidR="00D51F71" w:rsidRPr="00E73CF6">
        <w:rPr>
          <w:sz w:val="20"/>
          <w:szCs w:val="20"/>
        </w:rPr>
        <w:t xml:space="preserve"> from the individual</w:t>
      </w:r>
      <w:r w:rsidR="001652AF">
        <w:rPr>
          <w:sz w:val="20"/>
          <w:szCs w:val="20"/>
        </w:rPr>
        <w:t xml:space="preserve"> to the</w:t>
      </w:r>
      <w:r w:rsidR="00A92C7E">
        <w:rPr>
          <w:sz w:val="20"/>
          <w:szCs w:val="20"/>
        </w:rPr>
        <w:t xml:space="preserve"> family,</w:t>
      </w:r>
      <w:r w:rsidR="001652AF">
        <w:rPr>
          <w:sz w:val="20"/>
          <w:szCs w:val="20"/>
        </w:rPr>
        <w:t xml:space="preserve">  </w:t>
      </w:r>
      <w:r w:rsidR="00E261B4">
        <w:rPr>
          <w:sz w:val="20"/>
          <w:szCs w:val="20"/>
        </w:rPr>
        <w:t xml:space="preserve"> community and</w:t>
      </w:r>
      <w:r w:rsidR="00D51F71" w:rsidRPr="00E73CF6">
        <w:rPr>
          <w:sz w:val="20"/>
          <w:szCs w:val="20"/>
        </w:rPr>
        <w:t xml:space="preserve"> the whole world</w:t>
      </w:r>
      <w:r w:rsidR="00E261B4">
        <w:rPr>
          <w:sz w:val="20"/>
          <w:szCs w:val="20"/>
        </w:rPr>
        <w:t xml:space="preserve"> at large</w:t>
      </w:r>
      <w:r w:rsidR="00DE1DBA">
        <w:rPr>
          <w:sz w:val="20"/>
          <w:szCs w:val="20"/>
        </w:rPr>
        <w:t xml:space="preserve"> in the account of [3]</w:t>
      </w:r>
      <w:r w:rsidR="00D51F71" w:rsidRPr="00E73CF6">
        <w:rPr>
          <w:sz w:val="20"/>
          <w:szCs w:val="20"/>
        </w:rPr>
        <w:t>.</w:t>
      </w:r>
    </w:p>
    <w:p w:rsidR="00D51F71" w:rsidRPr="00E73CF6" w:rsidRDefault="00D51F71" w:rsidP="005C18BC">
      <w:pPr>
        <w:spacing w:line="360" w:lineRule="auto"/>
        <w:ind w:firstLine="720"/>
        <w:jc w:val="both"/>
        <w:rPr>
          <w:sz w:val="20"/>
          <w:szCs w:val="20"/>
        </w:rPr>
      </w:pPr>
      <w:r w:rsidRPr="00E73CF6">
        <w:rPr>
          <w:sz w:val="20"/>
          <w:szCs w:val="20"/>
        </w:rPr>
        <w:t>Conflict</w:t>
      </w:r>
      <w:r w:rsidR="00430765">
        <w:rPr>
          <w:sz w:val="20"/>
          <w:szCs w:val="20"/>
        </w:rPr>
        <w:t>,</w:t>
      </w:r>
      <w:r w:rsidR="002B6BED" w:rsidRPr="00E73CF6">
        <w:rPr>
          <w:sz w:val="20"/>
          <w:szCs w:val="20"/>
        </w:rPr>
        <w:t xml:space="preserve"> </w:t>
      </w:r>
      <w:r w:rsidR="00430765">
        <w:rPr>
          <w:sz w:val="20"/>
          <w:szCs w:val="20"/>
        </w:rPr>
        <w:t xml:space="preserve">may, </w:t>
      </w:r>
      <w:r w:rsidR="002B6BED" w:rsidRPr="00E73CF6">
        <w:rPr>
          <w:sz w:val="20"/>
          <w:szCs w:val="20"/>
        </w:rPr>
        <w:t>on one hand</w:t>
      </w:r>
      <w:r w:rsidR="00C7444E">
        <w:rPr>
          <w:sz w:val="20"/>
          <w:szCs w:val="20"/>
        </w:rPr>
        <w:t xml:space="preserve"> be</w:t>
      </w:r>
      <w:r w:rsidRPr="00E73CF6">
        <w:rPr>
          <w:sz w:val="20"/>
          <w:szCs w:val="20"/>
        </w:rPr>
        <w:t xml:space="preserve"> </w:t>
      </w:r>
      <w:r w:rsidR="00086ABB">
        <w:rPr>
          <w:sz w:val="20"/>
          <w:szCs w:val="20"/>
        </w:rPr>
        <w:t xml:space="preserve">viewed as </w:t>
      </w:r>
      <w:r w:rsidRPr="00E73CF6">
        <w:rPr>
          <w:sz w:val="20"/>
          <w:szCs w:val="20"/>
        </w:rPr>
        <w:t>an existing disagreement or hostility between two</w:t>
      </w:r>
      <w:r w:rsidR="00086ABB">
        <w:rPr>
          <w:sz w:val="20"/>
          <w:szCs w:val="20"/>
        </w:rPr>
        <w:t xml:space="preserve"> or more people </w:t>
      </w:r>
      <w:r w:rsidRPr="00E73CF6">
        <w:rPr>
          <w:sz w:val="20"/>
          <w:szCs w:val="20"/>
        </w:rPr>
        <w:t xml:space="preserve">. </w:t>
      </w:r>
      <w:r w:rsidR="00D46C05" w:rsidRPr="00E73CF6">
        <w:rPr>
          <w:sz w:val="20"/>
          <w:szCs w:val="20"/>
        </w:rPr>
        <w:t>it</w:t>
      </w:r>
      <w:r w:rsidRPr="00E73CF6">
        <w:rPr>
          <w:sz w:val="20"/>
          <w:szCs w:val="20"/>
        </w:rPr>
        <w:t xml:space="preserve"> refers to opposition to ex</w:t>
      </w:r>
      <w:r w:rsidR="002D3B9F" w:rsidRPr="00E73CF6">
        <w:rPr>
          <w:sz w:val="20"/>
          <w:szCs w:val="20"/>
        </w:rPr>
        <w:t xml:space="preserve">isting views, stand or position </w:t>
      </w:r>
      <w:r w:rsidRPr="00E73CF6">
        <w:rPr>
          <w:sz w:val="20"/>
          <w:szCs w:val="20"/>
        </w:rPr>
        <w:t>which may not ne</w:t>
      </w:r>
      <w:r w:rsidR="002D3B9F" w:rsidRPr="00E73CF6">
        <w:rPr>
          <w:sz w:val="20"/>
          <w:szCs w:val="20"/>
        </w:rPr>
        <w:t xml:space="preserve">cessarily result in hostility but </w:t>
      </w:r>
      <w:r w:rsidR="00C7444E">
        <w:rPr>
          <w:sz w:val="20"/>
          <w:szCs w:val="20"/>
        </w:rPr>
        <w:t>a varied perception to an issue</w:t>
      </w:r>
      <w:r w:rsidR="00257C2A">
        <w:rPr>
          <w:sz w:val="20"/>
          <w:szCs w:val="20"/>
        </w:rPr>
        <w:t>, belief</w:t>
      </w:r>
      <w:r w:rsidR="00C7444E">
        <w:rPr>
          <w:sz w:val="20"/>
          <w:szCs w:val="20"/>
        </w:rPr>
        <w:t xml:space="preserve"> or situation</w:t>
      </w:r>
      <w:r w:rsidR="00DE1DBA">
        <w:rPr>
          <w:sz w:val="20"/>
          <w:szCs w:val="20"/>
        </w:rPr>
        <w:t xml:space="preserve"> as in [4]</w:t>
      </w:r>
      <w:r w:rsidRPr="00E73CF6">
        <w:rPr>
          <w:sz w:val="20"/>
          <w:szCs w:val="20"/>
        </w:rPr>
        <w:t>. These</w:t>
      </w:r>
      <w:r w:rsidR="009213B7" w:rsidRPr="00E73CF6">
        <w:rPr>
          <w:sz w:val="20"/>
          <w:szCs w:val="20"/>
        </w:rPr>
        <w:t xml:space="preserve"> may</w:t>
      </w:r>
      <w:r w:rsidRPr="00E73CF6">
        <w:rPr>
          <w:sz w:val="20"/>
          <w:szCs w:val="20"/>
        </w:rPr>
        <w:t xml:space="preserve"> includ</w:t>
      </w:r>
      <w:r w:rsidR="009B5AA5">
        <w:rPr>
          <w:sz w:val="20"/>
          <w:szCs w:val="20"/>
        </w:rPr>
        <w:t>e religion, customs, politics</w:t>
      </w:r>
      <w:r w:rsidRPr="00E73CF6">
        <w:rPr>
          <w:sz w:val="20"/>
          <w:szCs w:val="20"/>
        </w:rPr>
        <w:t xml:space="preserve"> or </w:t>
      </w:r>
      <w:r w:rsidR="00D51724" w:rsidRPr="00E73CF6">
        <w:rPr>
          <w:sz w:val="20"/>
          <w:szCs w:val="20"/>
        </w:rPr>
        <w:t>other valued</w:t>
      </w:r>
      <w:r w:rsidRPr="00E73CF6">
        <w:rPr>
          <w:sz w:val="20"/>
          <w:szCs w:val="20"/>
        </w:rPr>
        <w:t xml:space="preserve"> differences</w:t>
      </w:r>
      <w:r w:rsidR="00D51724" w:rsidRPr="00E73CF6">
        <w:rPr>
          <w:sz w:val="20"/>
          <w:szCs w:val="20"/>
        </w:rPr>
        <w:t xml:space="preserve"> which</w:t>
      </w:r>
      <w:r w:rsidRPr="00E73CF6">
        <w:rPr>
          <w:sz w:val="20"/>
          <w:szCs w:val="20"/>
        </w:rPr>
        <w:t xml:space="preserve"> may never culminate in direct and sharp confrontations. On t</w:t>
      </w:r>
      <w:r w:rsidR="00D51724" w:rsidRPr="00E73CF6">
        <w:rPr>
          <w:sz w:val="20"/>
          <w:szCs w:val="20"/>
        </w:rPr>
        <w:t>he other hand, however, differences in</w:t>
      </w:r>
      <w:r w:rsidRPr="00E73CF6">
        <w:rPr>
          <w:sz w:val="20"/>
          <w:szCs w:val="20"/>
        </w:rPr>
        <w:t xml:space="preserve"> perceptions, values o</w:t>
      </w:r>
      <w:r w:rsidR="00D51724" w:rsidRPr="00E73CF6">
        <w:rPr>
          <w:sz w:val="20"/>
          <w:szCs w:val="20"/>
        </w:rPr>
        <w:t>r world views may transcend mere</w:t>
      </w:r>
      <w:r w:rsidRPr="00E73CF6">
        <w:rPr>
          <w:sz w:val="20"/>
          <w:szCs w:val="20"/>
        </w:rPr>
        <w:t xml:space="preserve"> ‘differences’ and result</w:t>
      </w:r>
      <w:r w:rsidR="00D51724" w:rsidRPr="00E73CF6">
        <w:rPr>
          <w:sz w:val="20"/>
          <w:szCs w:val="20"/>
        </w:rPr>
        <w:t>s</w:t>
      </w:r>
      <w:r w:rsidRPr="00E73CF6">
        <w:rPr>
          <w:sz w:val="20"/>
          <w:szCs w:val="20"/>
        </w:rPr>
        <w:t xml:space="preserve"> in the </w:t>
      </w:r>
      <w:r w:rsidR="002B6BED" w:rsidRPr="00E73CF6">
        <w:rPr>
          <w:sz w:val="20"/>
          <w:szCs w:val="20"/>
        </w:rPr>
        <w:t>extreme connotation of conflict:</w:t>
      </w:r>
      <w:r w:rsidRPr="00E73CF6">
        <w:rPr>
          <w:sz w:val="20"/>
          <w:szCs w:val="20"/>
        </w:rPr>
        <w:t xml:space="preserve"> Inter - faith violence is a critical example of such breakdown. When value differences</w:t>
      </w:r>
      <w:r w:rsidR="00A57DC3">
        <w:rPr>
          <w:sz w:val="20"/>
          <w:szCs w:val="20"/>
        </w:rPr>
        <w:t xml:space="preserve"> or</w:t>
      </w:r>
      <w:r w:rsidRPr="00E73CF6">
        <w:rPr>
          <w:sz w:val="20"/>
          <w:szCs w:val="20"/>
        </w:rPr>
        <w:t xml:space="preserve"> </w:t>
      </w:r>
      <w:r w:rsidR="00A57DC3">
        <w:rPr>
          <w:sz w:val="20"/>
          <w:szCs w:val="20"/>
        </w:rPr>
        <w:t xml:space="preserve">goal incompatibility </w:t>
      </w:r>
      <w:r w:rsidR="00A57DC3" w:rsidRPr="00E73CF6">
        <w:rPr>
          <w:sz w:val="20"/>
          <w:szCs w:val="20"/>
        </w:rPr>
        <w:t xml:space="preserve"> </w:t>
      </w:r>
      <w:r w:rsidR="00A57DC3">
        <w:rPr>
          <w:sz w:val="20"/>
          <w:szCs w:val="20"/>
        </w:rPr>
        <w:t>reach a climax, a display of actual hostility or attack</w:t>
      </w:r>
      <w:r w:rsidRPr="00E73CF6">
        <w:rPr>
          <w:sz w:val="20"/>
          <w:szCs w:val="20"/>
        </w:rPr>
        <w:t xml:space="preserve"> is possible</w:t>
      </w:r>
      <w:r w:rsidR="00DE1DBA">
        <w:rPr>
          <w:sz w:val="20"/>
          <w:szCs w:val="20"/>
        </w:rPr>
        <w:t xml:space="preserve"> stated [5]</w:t>
      </w:r>
      <w:r w:rsidRPr="00E73CF6">
        <w:rPr>
          <w:sz w:val="20"/>
          <w:szCs w:val="20"/>
        </w:rPr>
        <w:t>.</w:t>
      </w:r>
    </w:p>
    <w:p w:rsidR="00D51F71" w:rsidRPr="00E73CF6" w:rsidRDefault="00D3106E" w:rsidP="005C18BC">
      <w:pPr>
        <w:spacing w:line="360" w:lineRule="auto"/>
        <w:ind w:firstLine="720"/>
        <w:jc w:val="both"/>
        <w:rPr>
          <w:sz w:val="20"/>
          <w:szCs w:val="20"/>
        </w:rPr>
      </w:pPr>
      <w:r>
        <w:rPr>
          <w:sz w:val="20"/>
          <w:szCs w:val="20"/>
        </w:rPr>
        <w:lastRenderedPageBreak/>
        <w:t>H</w:t>
      </w:r>
      <w:r w:rsidR="00D51F71" w:rsidRPr="00E73CF6">
        <w:rPr>
          <w:sz w:val="20"/>
          <w:szCs w:val="20"/>
        </w:rPr>
        <w:t>uman society</w:t>
      </w:r>
      <w:r>
        <w:rPr>
          <w:sz w:val="20"/>
          <w:szCs w:val="20"/>
        </w:rPr>
        <w:t xml:space="preserve"> experience</w:t>
      </w:r>
      <w:r w:rsidR="00E30BC0">
        <w:rPr>
          <w:sz w:val="20"/>
          <w:szCs w:val="20"/>
        </w:rPr>
        <w:t xml:space="preserve"> has shown that various degrees of </w:t>
      </w:r>
      <w:r w:rsidR="00D51F71" w:rsidRPr="00E73CF6">
        <w:rPr>
          <w:sz w:val="20"/>
          <w:szCs w:val="20"/>
        </w:rPr>
        <w:t>conflicts</w:t>
      </w:r>
      <w:r w:rsidR="00E30BC0">
        <w:rPr>
          <w:sz w:val="20"/>
          <w:szCs w:val="20"/>
        </w:rPr>
        <w:t xml:space="preserve"> exists</w:t>
      </w:r>
      <w:r w:rsidR="00D51F71" w:rsidRPr="00E73CF6">
        <w:rPr>
          <w:sz w:val="20"/>
          <w:szCs w:val="20"/>
        </w:rPr>
        <w:t xml:space="preserve">. </w:t>
      </w:r>
      <w:r w:rsidR="00D51724" w:rsidRPr="00E73CF6">
        <w:rPr>
          <w:sz w:val="20"/>
          <w:szCs w:val="20"/>
        </w:rPr>
        <w:t>Conflict could be</w:t>
      </w:r>
      <w:r w:rsidR="001652AF">
        <w:rPr>
          <w:sz w:val="20"/>
          <w:szCs w:val="20"/>
        </w:rPr>
        <w:t xml:space="preserve"> intra-personal</w:t>
      </w:r>
      <w:r w:rsidR="00D51724" w:rsidRPr="00E73CF6">
        <w:rPr>
          <w:sz w:val="20"/>
          <w:szCs w:val="20"/>
        </w:rPr>
        <w:t>,</w:t>
      </w:r>
      <w:r w:rsidR="00D51F71" w:rsidRPr="00E73CF6">
        <w:rPr>
          <w:sz w:val="20"/>
          <w:szCs w:val="20"/>
        </w:rPr>
        <w:t xml:space="preserve"> int</w:t>
      </w:r>
      <w:r w:rsidR="001652AF">
        <w:rPr>
          <w:sz w:val="20"/>
          <w:szCs w:val="20"/>
        </w:rPr>
        <w:t>er-personal</w:t>
      </w:r>
      <w:r w:rsidR="00D51724" w:rsidRPr="00E73CF6">
        <w:rPr>
          <w:sz w:val="20"/>
          <w:szCs w:val="20"/>
        </w:rPr>
        <w:t>,</w:t>
      </w:r>
      <w:r w:rsidR="00D51F71" w:rsidRPr="00E73CF6">
        <w:rPr>
          <w:sz w:val="20"/>
          <w:szCs w:val="20"/>
        </w:rPr>
        <w:t xml:space="preserve"> intra-group or intra-unit </w:t>
      </w:r>
      <w:r w:rsidR="00E30BC0">
        <w:rPr>
          <w:sz w:val="20"/>
          <w:szCs w:val="20"/>
        </w:rPr>
        <w:t xml:space="preserve">or </w:t>
      </w:r>
      <w:r w:rsidR="001652AF">
        <w:rPr>
          <w:sz w:val="20"/>
          <w:szCs w:val="20"/>
        </w:rPr>
        <w:t>intra-state</w:t>
      </w:r>
      <w:r w:rsidR="00D51F71" w:rsidRPr="00E73CF6">
        <w:rPr>
          <w:sz w:val="20"/>
          <w:szCs w:val="20"/>
        </w:rPr>
        <w:t>, as well as inter-group</w:t>
      </w:r>
      <w:r w:rsidR="00F278C3" w:rsidRPr="00E73CF6">
        <w:rPr>
          <w:sz w:val="20"/>
          <w:szCs w:val="20"/>
        </w:rPr>
        <w:t xml:space="preserve">: also variously </w:t>
      </w:r>
      <w:r w:rsidR="00D51F71" w:rsidRPr="00E73CF6">
        <w:rPr>
          <w:sz w:val="20"/>
          <w:szCs w:val="20"/>
        </w:rPr>
        <w:t xml:space="preserve">identified </w:t>
      </w:r>
      <w:r w:rsidR="00F278C3" w:rsidRPr="00E73CF6">
        <w:rPr>
          <w:sz w:val="20"/>
          <w:szCs w:val="20"/>
        </w:rPr>
        <w:t xml:space="preserve">as </w:t>
      </w:r>
      <w:r w:rsidR="00D51F71" w:rsidRPr="00E73CF6">
        <w:rPr>
          <w:sz w:val="20"/>
          <w:szCs w:val="20"/>
        </w:rPr>
        <w:t>inter-ethnic</w:t>
      </w:r>
      <w:r w:rsidR="00E30BC0">
        <w:rPr>
          <w:sz w:val="20"/>
          <w:szCs w:val="20"/>
        </w:rPr>
        <w:t xml:space="preserve">, inter state or </w:t>
      </w:r>
      <w:r w:rsidR="00D51F71" w:rsidRPr="00E73CF6">
        <w:rPr>
          <w:sz w:val="20"/>
          <w:szCs w:val="20"/>
        </w:rPr>
        <w:t>as</w:t>
      </w:r>
      <w:r>
        <w:rPr>
          <w:sz w:val="20"/>
          <w:szCs w:val="20"/>
        </w:rPr>
        <w:t xml:space="preserve"> well as inte</w:t>
      </w:r>
      <w:r w:rsidR="00DE1DBA">
        <w:rPr>
          <w:sz w:val="20"/>
          <w:szCs w:val="20"/>
        </w:rPr>
        <w:t>rnational conflict according to [6].</w:t>
      </w:r>
      <w:r w:rsidR="00D51F71" w:rsidRPr="00E73CF6">
        <w:rPr>
          <w:sz w:val="20"/>
          <w:szCs w:val="20"/>
        </w:rPr>
        <w:t xml:space="preserve"> </w:t>
      </w:r>
    </w:p>
    <w:p w:rsidR="00947C8A" w:rsidRPr="00E73CF6" w:rsidRDefault="00D51F71" w:rsidP="005C18BC">
      <w:pPr>
        <w:spacing w:line="360" w:lineRule="auto"/>
        <w:jc w:val="both"/>
        <w:rPr>
          <w:b/>
          <w:sz w:val="20"/>
          <w:szCs w:val="20"/>
        </w:rPr>
      </w:pPr>
      <w:r w:rsidRPr="00E73CF6">
        <w:rPr>
          <w:sz w:val="20"/>
          <w:szCs w:val="20"/>
        </w:rPr>
        <w:t>Intra-personal conflic</w:t>
      </w:r>
      <w:r w:rsidR="00C7444E">
        <w:rPr>
          <w:sz w:val="20"/>
          <w:szCs w:val="20"/>
        </w:rPr>
        <w:t>t refers to a state of confusion</w:t>
      </w:r>
      <w:r w:rsidRPr="00E73CF6">
        <w:rPr>
          <w:sz w:val="20"/>
          <w:szCs w:val="20"/>
        </w:rPr>
        <w:t xml:space="preserve"> in an individual shaped by the state</w:t>
      </w:r>
      <w:r w:rsidR="00947C8A" w:rsidRPr="00E73CF6">
        <w:rPr>
          <w:sz w:val="20"/>
          <w:szCs w:val="20"/>
        </w:rPr>
        <w:t xml:space="preserve"> of mind which</w:t>
      </w:r>
      <w:r w:rsidRPr="00E73CF6">
        <w:rPr>
          <w:sz w:val="20"/>
          <w:szCs w:val="20"/>
        </w:rPr>
        <w:t xml:space="preserve"> is largely dicta</w:t>
      </w:r>
      <w:r w:rsidR="00947C8A" w:rsidRPr="00E73CF6">
        <w:rPr>
          <w:sz w:val="20"/>
          <w:szCs w:val="20"/>
        </w:rPr>
        <w:t>ted by circu</w:t>
      </w:r>
      <w:r w:rsidR="00C7444E">
        <w:rPr>
          <w:sz w:val="20"/>
          <w:szCs w:val="20"/>
        </w:rPr>
        <w:t>mstances around the individual</w:t>
      </w:r>
      <w:r w:rsidR="00947C8A" w:rsidRPr="00E73CF6">
        <w:rPr>
          <w:sz w:val="20"/>
          <w:szCs w:val="20"/>
        </w:rPr>
        <w:t>. These may include</w:t>
      </w:r>
      <w:r w:rsidRPr="00E73CF6">
        <w:rPr>
          <w:sz w:val="20"/>
          <w:szCs w:val="20"/>
        </w:rPr>
        <w:t xml:space="preserve"> anger, depression, confusion, frustration, which could lead to aggression, erratic </w:t>
      </w:r>
      <w:proofErr w:type="spellStart"/>
      <w:r w:rsidRPr="00E73CF6">
        <w:rPr>
          <w:sz w:val="20"/>
          <w:szCs w:val="20"/>
        </w:rPr>
        <w:t>behaviour</w:t>
      </w:r>
      <w:proofErr w:type="spellEnd"/>
      <w:r w:rsidRPr="00E73CF6">
        <w:rPr>
          <w:sz w:val="20"/>
          <w:szCs w:val="20"/>
        </w:rPr>
        <w:t>, addiction and in extreme cases, s</w:t>
      </w:r>
      <w:r w:rsidR="00086ABB">
        <w:rPr>
          <w:sz w:val="20"/>
          <w:szCs w:val="20"/>
        </w:rPr>
        <w:t>uicide</w:t>
      </w:r>
      <w:r w:rsidR="00C7444E">
        <w:rPr>
          <w:sz w:val="20"/>
          <w:szCs w:val="20"/>
        </w:rPr>
        <w:t>. In this</w:t>
      </w:r>
      <w:r w:rsidRPr="00E73CF6">
        <w:rPr>
          <w:sz w:val="20"/>
          <w:szCs w:val="20"/>
        </w:rPr>
        <w:t xml:space="preserve"> kind of conflict </w:t>
      </w:r>
      <w:r w:rsidR="00C7444E">
        <w:rPr>
          <w:sz w:val="20"/>
          <w:szCs w:val="20"/>
        </w:rPr>
        <w:t>the individual continues to</w:t>
      </w:r>
      <w:r w:rsidR="00947C8A" w:rsidRPr="00E73CF6">
        <w:rPr>
          <w:sz w:val="20"/>
          <w:szCs w:val="20"/>
        </w:rPr>
        <w:t xml:space="preserve"> battle with his mind and habits</w:t>
      </w:r>
      <w:r w:rsidR="00DE1DBA">
        <w:rPr>
          <w:sz w:val="20"/>
          <w:szCs w:val="20"/>
        </w:rPr>
        <w:t xml:space="preserve"> as in [3]</w:t>
      </w:r>
      <w:r w:rsidR="00F278C3" w:rsidRPr="00E73CF6">
        <w:rPr>
          <w:sz w:val="20"/>
          <w:szCs w:val="20"/>
        </w:rPr>
        <w:t>.</w:t>
      </w:r>
      <w:r w:rsidRPr="00E73CF6">
        <w:rPr>
          <w:sz w:val="20"/>
          <w:szCs w:val="20"/>
        </w:rPr>
        <w:t xml:space="preserve"> </w:t>
      </w:r>
    </w:p>
    <w:p w:rsidR="00947C8A" w:rsidRPr="00E73CF6" w:rsidRDefault="00D51F71" w:rsidP="005C18BC">
      <w:pPr>
        <w:spacing w:line="360" w:lineRule="auto"/>
        <w:jc w:val="both"/>
        <w:rPr>
          <w:b/>
          <w:sz w:val="20"/>
          <w:szCs w:val="20"/>
        </w:rPr>
      </w:pPr>
      <w:r w:rsidRPr="00E73CF6">
        <w:rPr>
          <w:sz w:val="20"/>
          <w:szCs w:val="20"/>
        </w:rPr>
        <w:t>Inter-personal conflict</w:t>
      </w:r>
      <w:r w:rsidR="00947C8A" w:rsidRPr="00E73CF6">
        <w:rPr>
          <w:sz w:val="20"/>
          <w:szCs w:val="20"/>
        </w:rPr>
        <w:t xml:space="preserve"> is variously</w:t>
      </w:r>
      <w:r w:rsidRPr="00E73CF6">
        <w:rPr>
          <w:sz w:val="20"/>
          <w:szCs w:val="20"/>
        </w:rPr>
        <w:t xml:space="preserve"> described as “man against man” in</w:t>
      </w:r>
      <w:r w:rsidR="00947C8A" w:rsidRPr="00E73CF6">
        <w:rPr>
          <w:sz w:val="20"/>
          <w:szCs w:val="20"/>
        </w:rPr>
        <w:t xml:space="preserve"> the micro sense. </w:t>
      </w:r>
      <w:r w:rsidR="006A709D">
        <w:rPr>
          <w:sz w:val="20"/>
          <w:szCs w:val="20"/>
        </w:rPr>
        <w:t>I</w:t>
      </w:r>
      <w:r w:rsidRPr="00E73CF6">
        <w:rPr>
          <w:sz w:val="20"/>
          <w:szCs w:val="20"/>
        </w:rPr>
        <w:t>t may be a more su</w:t>
      </w:r>
      <w:r w:rsidR="006A709D">
        <w:rPr>
          <w:sz w:val="20"/>
          <w:szCs w:val="20"/>
        </w:rPr>
        <w:t>btle conflict between the interest</w:t>
      </w:r>
      <w:r w:rsidRPr="00E73CF6">
        <w:rPr>
          <w:sz w:val="20"/>
          <w:szCs w:val="20"/>
        </w:rPr>
        <w:t>s of two or more persons</w:t>
      </w:r>
      <w:r w:rsidR="00947C8A" w:rsidRPr="00E73CF6">
        <w:rPr>
          <w:sz w:val="20"/>
          <w:szCs w:val="20"/>
        </w:rPr>
        <w:t xml:space="preserve"> which may be implicit and obvious to the conflicting parties</w:t>
      </w:r>
      <w:r w:rsidR="00DE1DBA">
        <w:rPr>
          <w:sz w:val="20"/>
          <w:szCs w:val="20"/>
        </w:rPr>
        <w:t xml:space="preserve"> as stated by [7]</w:t>
      </w:r>
      <w:r w:rsidRPr="00E73CF6">
        <w:rPr>
          <w:sz w:val="20"/>
          <w:szCs w:val="20"/>
        </w:rPr>
        <w:t xml:space="preserve">. </w:t>
      </w:r>
    </w:p>
    <w:p w:rsidR="00D51F71" w:rsidRPr="00E73CF6" w:rsidRDefault="00C9665A" w:rsidP="005C18BC">
      <w:pPr>
        <w:spacing w:line="360" w:lineRule="auto"/>
        <w:jc w:val="both"/>
        <w:rPr>
          <w:b/>
          <w:sz w:val="20"/>
          <w:szCs w:val="20"/>
        </w:rPr>
      </w:pPr>
      <w:r>
        <w:rPr>
          <w:sz w:val="20"/>
          <w:szCs w:val="20"/>
        </w:rPr>
        <w:t xml:space="preserve">           </w:t>
      </w:r>
      <w:r w:rsidR="00C91587">
        <w:rPr>
          <w:sz w:val="20"/>
          <w:szCs w:val="20"/>
        </w:rPr>
        <w:t xml:space="preserve">Conflict involving </w:t>
      </w:r>
      <w:r w:rsidR="008A4E64" w:rsidRPr="00E73CF6">
        <w:rPr>
          <w:sz w:val="20"/>
          <w:szCs w:val="20"/>
        </w:rPr>
        <w:t>Man against Society and</w:t>
      </w:r>
      <w:r w:rsidR="00D51F71" w:rsidRPr="00E73CF6">
        <w:rPr>
          <w:sz w:val="20"/>
          <w:szCs w:val="20"/>
        </w:rPr>
        <w:t xml:space="preserve"> Man against Nature is a</w:t>
      </w:r>
      <w:r w:rsidR="008A4E64" w:rsidRPr="00E73CF6">
        <w:rPr>
          <w:sz w:val="20"/>
          <w:szCs w:val="20"/>
        </w:rPr>
        <w:t>n interesting ty</w:t>
      </w:r>
      <w:r w:rsidR="00B27C72">
        <w:rPr>
          <w:sz w:val="20"/>
          <w:szCs w:val="20"/>
        </w:rPr>
        <w:t>pe of conflict which in the opinion</w:t>
      </w:r>
      <w:r w:rsidR="008A4E64" w:rsidRPr="00E73CF6">
        <w:rPr>
          <w:sz w:val="20"/>
          <w:szCs w:val="20"/>
        </w:rPr>
        <w:t xml:space="preserve"> </w:t>
      </w:r>
      <w:r w:rsidR="00DE1DBA">
        <w:rPr>
          <w:sz w:val="20"/>
          <w:szCs w:val="20"/>
        </w:rPr>
        <w:t>of [4]</w:t>
      </w:r>
      <w:r w:rsidR="00F278C3" w:rsidRPr="00E73CF6">
        <w:rPr>
          <w:sz w:val="20"/>
          <w:szCs w:val="20"/>
        </w:rPr>
        <w:t xml:space="preserve"> arose</w:t>
      </w:r>
      <w:r w:rsidR="00D51F71" w:rsidRPr="00E73CF6">
        <w:rPr>
          <w:sz w:val="20"/>
          <w:szCs w:val="20"/>
        </w:rPr>
        <w:t xml:space="preserve"> when man stands against a man-made institution or practices. These may include slavery,  human rights abuses,</w:t>
      </w:r>
      <w:r w:rsidR="00C7444E">
        <w:rPr>
          <w:sz w:val="20"/>
          <w:szCs w:val="20"/>
        </w:rPr>
        <w:t xml:space="preserve"> </w:t>
      </w:r>
      <w:r w:rsidR="006C569F" w:rsidRPr="00E73CF6">
        <w:rPr>
          <w:sz w:val="20"/>
          <w:szCs w:val="20"/>
        </w:rPr>
        <w:t>human trafficking, child prostitution</w:t>
      </w:r>
      <w:r w:rsidR="00C7444E">
        <w:rPr>
          <w:sz w:val="20"/>
          <w:szCs w:val="20"/>
        </w:rPr>
        <w:t>,</w:t>
      </w:r>
      <w:r w:rsidR="00D51F71" w:rsidRPr="00E73CF6">
        <w:rPr>
          <w:sz w:val="20"/>
          <w:szCs w:val="20"/>
        </w:rPr>
        <w:t xml:space="preserve"> bull</w:t>
      </w:r>
      <w:r w:rsidR="006C569F">
        <w:rPr>
          <w:sz w:val="20"/>
          <w:szCs w:val="20"/>
        </w:rPr>
        <w:t>ying, corruptio</w:t>
      </w:r>
      <w:r w:rsidR="00D608D8">
        <w:rPr>
          <w:sz w:val="20"/>
          <w:szCs w:val="20"/>
        </w:rPr>
        <w:t>n, mal-</w:t>
      </w:r>
      <w:r w:rsidR="006C569F">
        <w:rPr>
          <w:sz w:val="20"/>
          <w:szCs w:val="20"/>
        </w:rPr>
        <w:t>administration in governance, etc, a</w:t>
      </w:r>
      <w:r w:rsidR="008A4E64" w:rsidRPr="00E73CF6">
        <w:rPr>
          <w:sz w:val="20"/>
          <w:szCs w:val="20"/>
        </w:rPr>
        <w:t>nd can culminate into</w:t>
      </w:r>
      <w:r w:rsidR="00D51F71" w:rsidRPr="00E73CF6">
        <w:rPr>
          <w:sz w:val="20"/>
          <w:szCs w:val="20"/>
        </w:rPr>
        <w:t xml:space="preserve"> a state of contention between man and his environment </w:t>
      </w:r>
      <w:r w:rsidR="00DE1DBA">
        <w:rPr>
          <w:sz w:val="20"/>
          <w:szCs w:val="20"/>
        </w:rPr>
        <w:t>in the account of [7]</w:t>
      </w:r>
      <w:r w:rsidR="00D51F71" w:rsidRPr="00E73CF6">
        <w:rPr>
          <w:sz w:val="20"/>
          <w:szCs w:val="20"/>
        </w:rPr>
        <w:t>.</w:t>
      </w:r>
    </w:p>
    <w:p w:rsidR="00D51F71" w:rsidRPr="00E73CF6" w:rsidRDefault="00C9665A" w:rsidP="005C18BC">
      <w:pPr>
        <w:spacing w:line="360" w:lineRule="auto"/>
        <w:jc w:val="both"/>
        <w:rPr>
          <w:b/>
          <w:sz w:val="20"/>
          <w:szCs w:val="20"/>
        </w:rPr>
      </w:pPr>
      <w:r>
        <w:rPr>
          <w:sz w:val="20"/>
          <w:szCs w:val="20"/>
        </w:rPr>
        <w:t xml:space="preserve">          </w:t>
      </w:r>
      <w:r w:rsidR="00D51F71" w:rsidRPr="00E73CF6">
        <w:rPr>
          <w:sz w:val="20"/>
          <w:szCs w:val="20"/>
        </w:rPr>
        <w:t>Inter-group Conflict</w:t>
      </w:r>
      <w:r w:rsidR="00142390" w:rsidRPr="00E73CF6">
        <w:rPr>
          <w:sz w:val="20"/>
          <w:szCs w:val="20"/>
        </w:rPr>
        <w:t xml:space="preserve"> is</w:t>
      </w:r>
      <w:r w:rsidR="00D51F71" w:rsidRPr="00E73CF6">
        <w:rPr>
          <w:sz w:val="20"/>
          <w:szCs w:val="20"/>
        </w:rPr>
        <w:t xml:space="preserve"> the kind of disagreement or feud </w:t>
      </w:r>
      <w:r w:rsidR="00142390" w:rsidRPr="00E73CF6">
        <w:rPr>
          <w:sz w:val="20"/>
          <w:szCs w:val="20"/>
        </w:rPr>
        <w:t xml:space="preserve">which </w:t>
      </w:r>
      <w:r w:rsidR="00D51F71" w:rsidRPr="00E73CF6">
        <w:rPr>
          <w:sz w:val="20"/>
          <w:szCs w:val="20"/>
        </w:rPr>
        <w:t xml:space="preserve">takes places between two or more sectarian or religious groups, ethnic groups, communities, or interest groups. The contention between Christians and Moslems in Nigeria is </w:t>
      </w:r>
      <w:r w:rsidR="008A4E64" w:rsidRPr="00E73CF6">
        <w:rPr>
          <w:sz w:val="20"/>
          <w:szCs w:val="20"/>
        </w:rPr>
        <w:t>a classic example of inter-group</w:t>
      </w:r>
      <w:r w:rsidR="00D51F71" w:rsidRPr="00E73CF6">
        <w:rPr>
          <w:sz w:val="20"/>
          <w:szCs w:val="20"/>
        </w:rPr>
        <w:t xml:space="preserve"> conflict</w:t>
      </w:r>
      <w:r w:rsidR="003E2038">
        <w:rPr>
          <w:sz w:val="20"/>
          <w:szCs w:val="20"/>
        </w:rPr>
        <w:t xml:space="preserve"> as in [6]</w:t>
      </w:r>
      <w:r w:rsidR="00086ABB">
        <w:rPr>
          <w:sz w:val="20"/>
          <w:szCs w:val="20"/>
        </w:rPr>
        <w:t xml:space="preserve"> </w:t>
      </w:r>
      <w:r w:rsidR="00D51F71" w:rsidRPr="00E73CF6">
        <w:rPr>
          <w:sz w:val="20"/>
          <w:szCs w:val="20"/>
        </w:rPr>
        <w:t>.</w:t>
      </w:r>
    </w:p>
    <w:p w:rsidR="006C569F" w:rsidRDefault="00C9665A" w:rsidP="00C9665A">
      <w:pPr>
        <w:spacing w:line="360" w:lineRule="auto"/>
        <w:jc w:val="both"/>
        <w:rPr>
          <w:sz w:val="20"/>
          <w:szCs w:val="20"/>
        </w:rPr>
      </w:pPr>
      <w:r>
        <w:rPr>
          <w:sz w:val="20"/>
          <w:szCs w:val="20"/>
        </w:rPr>
        <w:t xml:space="preserve">         </w:t>
      </w:r>
      <w:r w:rsidR="00CE06B8" w:rsidRPr="00E73CF6">
        <w:rPr>
          <w:sz w:val="20"/>
          <w:szCs w:val="20"/>
        </w:rPr>
        <w:t>Conflicts have adverse</w:t>
      </w:r>
      <w:r w:rsidR="00D51F71" w:rsidRPr="00E73CF6">
        <w:rPr>
          <w:sz w:val="20"/>
          <w:szCs w:val="20"/>
        </w:rPr>
        <w:t xml:space="preserve"> effect on economic growth through the destruction of human and physical capital, shifts in public spending and private investment, as well as the disruption of economic activities and </w:t>
      </w:r>
      <w:r w:rsidR="003E2038">
        <w:rPr>
          <w:sz w:val="20"/>
          <w:szCs w:val="20"/>
        </w:rPr>
        <w:t>social life as asserted by [8]</w:t>
      </w:r>
      <w:r w:rsidR="00D51F71" w:rsidRPr="00E73CF6">
        <w:rPr>
          <w:sz w:val="20"/>
          <w:szCs w:val="20"/>
        </w:rPr>
        <w:t xml:space="preserve">. The specific impacts depend on each conflict’s singular characteristics. It is not just the type of conflict, but also its intensity, duration and geo-graphical spread that shapes its economic consequences. </w:t>
      </w:r>
      <w:r w:rsidR="00CE06B8" w:rsidRPr="00E73CF6">
        <w:rPr>
          <w:sz w:val="20"/>
          <w:szCs w:val="20"/>
        </w:rPr>
        <w:t>E</w:t>
      </w:r>
      <w:r w:rsidR="00D51F71" w:rsidRPr="00E73CF6">
        <w:rPr>
          <w:sz w:val="20"/>
          <w:szCs w:val="20"/>
        </w:rPr>
        <w:t>conomic impact of violent conflicts is not limited to</w:t>
      </w:r>
      <w:r w:rsidR="00CE06B8" w:rsidRPr="00E73CF6">
        <w:rPr>
          <w:sz w:val="20"/>
          <w:szCs w:val="20"/>
        </w:rPr>
        <w:t xml:space="preserve"> the conflict area as the</w:t>
      </w:r>
      <w:r w:rsidR="006E3D35" w:rsidRPr="00E73CF6">
        <w:rPr>
          <w:sz w:val="20"/>
          <w:szCs w:val="20"/>
        </w:rPr>
        <w:t xml:space="preserve"> spill</w:t>
      </w:r>
      <w:r w:rsidR="00D51F71" w:rsidRPr="00E73CF6">
        <w:rPr>
          <w:sz w:val="20"/>
          <w:szCs w:val="20"/>
        </w:rPr>
        <w:t xml:space="preserve"> over</w:t>
      </w:r>
      <w:r w:rsidR="00CE06B8" w:rsidRPr="00E73CF6">
        <w:rPr>
          <w:sz w:val="20"/>
          <w:szCs w:val="20"/>
        </w:rPr>
        <w:t xml:space="preserve"> effects</w:t>
      </w:r>
      <w:r w:rsidR="00D51F71" w:rsidRPr="00E73CF6">
        <w:rPr>
          <w:sz w:val="20"/>
          <w:szCs w:val="20"/>
        </w:rPr>
        <w:t xml:space="preserve"> to the ne</w:t>
      </w:r>
      <w:r w:rsidR="00CE06B8" w:rsidRPr="00E73CF6">
        <w:rPr>
          <w:sz w:val="20"/>
          <w:szCs w:val="20"/>
        </w:rPr>
        <w:t>ighboring regions and countries may yield r</w:t>
      </w:r>
      <w:r w:rsidR="0055365B" w:rsidRPr="00E73CF6">
        <w:rPr>
          <w:sz w:val="20"/>
          <w:szCs w:val="20"/>
        </w:rPr>
        <w:t>efugee flow</w:t>
      </w:r>
      <w:r w:rsidR="00D51F71" w:rsidRPr="00E73CF6">
        <w:rPr>
          <w:sz w:val="20"/>
          <w:szCs w:val="20"/>
        </w:rPr>
        <w:t xml:space="preserve"> increase</w:t>
      </w:r>
      <w:r w:rsidR="0055365B" w:rsidRPr="00E73CF6">
        <w:rPr>
          <w:sz w:val="20"/>
          <w:szCs w:val="20"/>
        </w:rPr>
        <w:t>,</w:t>
      </w:r>
      <w:r w:rsidR="00D51F71" w:rsidRPr="00E73CF6">
        <w:rPr>
          <w:sz w:val="20"/>
          <w:szCs w:val="20"/>
        </w:rPr>
        <w:t xml:space="preserve"> </w:t>
      </w:r>
      <w:r w:rsidR="0055365B" w:rsidRPr="00E73CF6">
        <w:rPr>
          <w:sz w:val="20"/>
          <w:szCs w:val="20"/>
        </w:rPr>
        <w:t xml:space="preserve">increase in </w:t>
      </w:r>
      <w:proofErr w:type="spellStart"/>
      <w:r w:rsidR="0055365B" w:rsidRPr="00E73CF6">
        <w:rPr>
          <w:sz w:val="20"/>
          <w:szCs w:val="20"/>
        </w:rPr>
        <w:t>labour</w:t>
      </w:r>
      <w:proofErr w:type="spellEnd"/>
      <w:r w:rsidR="0055365B" w:rsidRPr="00E73CF6">
        <w:rPr>
          <w:sz w:val="20"/>
          <w:szCs w:val="20"/>
        </w:rPr>
        <w:t xml:space="preserve"> supply,  low per capita income</w:t>
      </w:r>
      <w:r w:rsidR="00D51F71" w:rsidRPr="00E73CF6">
        <w:rPr>
          <w:sz w:val="20"/>
          <w:szCs w:val="20"/>
        </w:rPr>
        <w:t xml:space="preserve">, </w:t>
      </w:r>
      <w:r w:rsidR="0055365B" w:rsidRPr="00E73CF6">
        <w:rPr>
          <w:sz w:val="20"/>
          <w:szCs w:val="20"/>
        </w:rPr>
        <w:t>disruption in trade flows</w:t>
      </w:r>
      <w:r w:rsidR="00D51F71" w:rsidRPr="00E73CF6">
        <w:rPr>
          <w:sz w:val="20"/>
          <w:szCs w:val="20"/>
        </w:rPr>
        <w:t xml:space="preserve">, </w:t>
      </w:r>
      <w:r w:rsidR="0055365B" w:rsidRPr="00E73CF6">
        <w:rPr>
          <w:sz w:val="20"/>
          <w:szCs w:val="20"/>
        </w:rPr>
        <w:t xml:space="preserve">diversion of </w:t>
      </w:r>
      <w:r w:rsidR="00D51F71" w:rsidRPr="00E73CF6">
        <w:rPr>
          <w:sz w:val="20"/>
          <w:szCs w:val="20"/>
        </w:rPr>
        <w:t>government sp</w:t>
      </w:r>
      <w:r w:rsidR="0055365B" w:rsidRPr="00E73CF6">
        <w:rPr>
          <w:sz w:val="20"/>
          <w:szCs w:val="20"/>
        </w:rPr>
        <w:t>ending</w:t>
      </w:r>
      <w:r w:rsidR="00D51F71" w:rsidRPr="00E73CF6">
        <w:rPr>
          <w:sz w:val="20"/>
          <w:szCs w:val="20"/>
        </w:rPr>
        <w:t xml:space="preserve"> to non-productive security measures</w:t>
      </w:r>
      <w:r w:rsidR="0056790F">
        <w:rPr>
          <w:sz w:val="20"/>
          <w:szCs w:val="20"/>
        </w:rPr>
        <w:t>, reduced access to portable water supply</w:t>
      </w:r>
      <w:r w:rsidR="00D51F71" w:rsidRPr="00E73CF6">
        <w:rPr>
          <w:sz w:val="20"/>
          <w:szCs w:val="20"/>
        </w:rPr>
        <w:t xml:space="preserve"> and </w:t>
      </w:r>
      <w:r w:rsidR="0055365B" w:rsidRPr="00E73CF6">
        <w:rPr>
          <w:sz w:val="20"/>
          <w:szCs w:val="20"/>
        </w:rPr>
        <w:t xml:space="preserve">shift in </w:t>
      </w:r>
      <w:r w:rsidR="00D51F71" w:rsidRPr="00E73CF6">
        <w:rPr>
          <w:sz w:val="20"/>
          <w:szCs w:val="20"/>
        </w:rPr>
        <w:t>foreign direct i</w:t>
      </w:r>
      <w:r w:rsidR="0055365B" w:rsidRPr="00E73CF6">
        <w:rPr>
          <w:sz w:val="20"/>
          <w:szCs w:val="20"/>
        </w:rPr>
        <w:t>nvestment from</w:t>
      </w:r>
      <w:r w:rsidR="00D51F71" w:rsidRPr="00E73CF6">
        <w:rPr>
          <w:sz w:val="20"/>
          <w:szCs w:val="20"/>
        </w:rPr>
        <w:t xml:space="preserve"> regions that are perceived as insecure</w:t>
      </w:r>
      <w:r w:rsidR="003E2038">
        <w:rPr>
          <w:sz w:val="20"/>
          <w:szCs w:val="20"/>
        </w:rPr>
        <w:t xml:space="preserve"> as reported by [9]</w:t>
      </w:r>
      <w:r w:rsidR="00D51F71" w:rsidRPr="00E73CF6">
        <w:rPr>
          <w:sz w:val="20"/>
          <w:szCs w:val="20"/>
        </w:rPr>
        <w:t>.</w:t>
      </w:r>
    </w:p>
    <w:p w:rsidR="006C569F" w:rsidRDefault="008E7F13" w:rsidP="005C18BC">
      <w:pPr>
        <w:spacing w:line="360" w:lineRule="auto"/>
        <w:jc w:val="both"/>
        <w:rPr>
          <w:b/>
          <w:sz w:val="20"/>
          <w:szCs w:val="20"/>
        </w:rPr>
      </w:pPr>
      <w:r>
        <w:rPr>
          <w:b/>
          <w:sz w:val="20"/>
          <w:szCs w:val="20"/>
        </w:rPr>
        <w:t xml:space="preserve">1.2 </w:t>
      </w:r>
      <w:r w:rsidR="006C569F" w:rsidRPr="006C569F">
        <w:rPr>
          <w:b/>
          <w:sz w:val="20"/>
          <w:szCs w:val="20"/>
        </w:rPr>
        <w:t>Peace and Conflict Resolution</w:t>
      </w:r>
    </w:p>
    <w:p w:rsidR="006C569F" w:rsidRPr="006C569F" w:rsidRDefault="00434DA2" w:rsidP="005C18BC">
      <w:pPr>
        <w:spacing w:line="360" w:lineRule="auto"/>
        <w:jc w:val="both"/>
        <w:rPr>
          <w:sz w:val="20"/>
          <w:szCs w:val="20"/>
        </w:rPr>
      </w:pPr>
      <w:r>
        <w:rPr>
          <w:b/>
          <w:sz w:val="20"/>
          <w:szCs w:val="20"/>
        </w:rPr>
        <w:t xml:space="preserve">        </w:t>
      </w:r>
      <w:r w:rsidR="006C569F">
        <w:rPr>
          <w:b/>
          <w:sz w:val="20"/>
          <w:szCs w:val="20"/>
        </w:rPr>
        <w:t>P</w:t>
      </w:r>
      <w:r w:rsidR="006C569F">
        <w:rPr>
          <w:sz w:val="20"/>
          <w:szCs w:val="20"/>
        </w:rPr>
        <w:t>eace cannot be looked at merely</w:t>
      </w:r>
      <w:r w:rsidR="00CC4CA0">
        <w:rPr>
          <w:sz w:val="20"/>
          <w:szCs w:val="20"/>
        </w:rPr>
        <w:t xml:space="preserve"> as</w:t>
      </w:r>
      <w:r w:rsidR="006C569F">
        <w:rPr>
          <w:sz w:val="20"/>
          <w:szCs w:val="20"/>
        </w:rPr>
        <w:t xml:space="preserve"> the absence of war </w:t>
      </w:r>
      <w:r w:rsidR="00CC4CA0">
        <w:rPr>
          <w:sz w:val="20"/>
          <w:szCs w:val="20"/>
        </w:rPr>
        <w:t>since there could be lack of peace even within an individual</w:t>
      </w:r>
      <w:r w:rsidR="003E2038">
        <w:rPr>
          <w:sz w:val="20"/>
          <w:szCs w:val="20"/>
        </w:rPr>
        <w:t xml:space="preserve"> according to</w:t>
      </w:r>
      <w:r w:rsidR="00CC4CA0">
        <w:rPr>
          <w:sz w:val="20"/>
          <w:szCs w:val="20"/>
        </w:rPr>
        <w:t xml:space="preserve"> </w:t>
      </w:r>
      <w:r w:rsidR="003E2038">
        <w:rPr>
          <w:sz w:val="20"/>
          <w:szCs w:val="20"/>
        </w:rPr>
        <w:t>[6]</w:t>
      </w:r>
      <w:r w:rsidR="00CC4CA0">
        <w:rPr>
          <w:sz w:val="20"/>
          <w:szCs w:val="20"/>
        </w:rPr>
        <w:t xml:space="preserve">. Lack of peace or conflict usually presents an early warning signals which could be harnessed </w:t>
      </w:r>
      <w:r w:rsidR="0037240C">
        <w:rPr>
          <w:sz w:val="20"/>
          <w:szCs w:val="20"/>
        </w:rPr>
        <w:t>to facili</w:t>
      </w:r>
      <w:r w:rsidR="00FB72F5">
        <w:rPr>
          <w:sz w:val="20"/>
          <w:szCs w:val="20"/>
        </w:rPr>
        <w:t>tate a peaceful end to it. M</w:t>
      </w:r>
      <w:r w:rsidR="0037240C">
        <w:rPr>
          <w:sz w:val="20"/>
          <w:szCs w:val="20"/>
        </w:rPr>
        <w:t>ethods</w:t>
      </w:r>
      <w:r w:rsidR="00FB72F5">
        <w:rPr>
          <w:sz w:val="20"/>
          <w:szCs w:val="20"/>
        </w:rPr>
        <w:t xml:space="preserve"> of conflict resolution</w:t>
      </w:r>
      <w:r w:rsidR="0037240C">
        <w:rPr>
          <w:sz w:val="20"/>
          <w:szCs w:val="20"/>
        </w:rPr>
        <w:t xml:space="preserve"> may include: counseling, negotiation, mediation, mediation-arbitration, diplomacy and creative </w:t>
      </w:r>
      <w:r w:rsidR="003E2038">
        <w:rPr>
          <w:sz w:val="20"/>
          <w:szCs w:val="20"/>
        </w:rPr>
        <w:t>peace building as in [10]</w:t>
      </w:r>
      <w:r w:rsidR="0037240C">
        <w:rPr>
          <w:sz w:val="20"/>
          <w:szCs w:val="20"/>
        </w:rPr>
        <w:t>.</w:t>
      </w:r>
      <w:r w:rsidR="00CC4CA0">
        <w:rPr>
          <w:sz w:val="20"/>
          <w:szCs w:val="20"/>
        </w:rPr>
        <w:t xml:space="preserve"> </w:t>
      </w:r>
      <w:r w:rsidR="003E2038">
        <w:rPr>
          <w:sz w:val="20"/>
          <w:szCs w:val="20"/>
        </w:rPr>
        <w:t>[10]</w:t>
      </w:r>
      <w:r w:rsidR="0037240C">
        <w:rPr>
          <w:sz w:val="20"/>
          <w:szCs w:val="20"/>
        </w:rPr>
        <w:t xml:space="preserve"> also </w:t>
      </w:r>
      <w:r>
        <w:rPr>
          <w:sz w:val="20"/>
          <w:szCs w:val="20"/>
        </w:rPr>
        <w:t>advocated the use of</w:t>
      </w:r>
      <w:r w:rsidR="0037240C">
        <w:rPr>
          <w:sz w:val="20"/>
          <w:szCs w:val="20"/>
        </w:rPr>
        <w:t xml:space="preserve"> quantitative methodology to determi</w:t>
      </w:r>
      <w:r w:rsidR="00FB72F5">
        <w:rPr>
          <w:sz w:val="20"/>
          <w:szCs w:val="20"/>
        </w:rPr>
        <w:t>ne conflict trend and forecast</w:t>
      </w:r>
      <w:r w:rsidR="0037240C">
        <w:rPr>
          <w:sz w:val="20"/>
          <w:szCs w:val="20"/>
        </w:rPr>
        <w:t xml:space="preserve"> future trend.</w:t>
      </w:r>
      <w:r w:rsidR="00CC4CA0">
        <w:rPr>
          <w:sz w:val="20"/>
          <w:szCs w:val="20"/>
        </w:rPr>
        <w:t xml:space="preserve"> </w:t>
      </w:r>
    </w:p>
    <w:p w:rsidR="00DF6930" w:rsidRDefault="00DF6930" w:rsidP="005C18BC">
      <w:pPr>
        <w:spacing w:line="360" w:lineRule="auto"/>
        <w:jc w:val="both"/>
        <w:rPr>
          <w:b/>
          <w:sz w:val="20"/>
          <w:szCs w:val="20"/>
        </w:rPr>
      </w:pPr>
    </w:p>
    <w:p w:rsidR="00D51F71" w:rsidRPr="00DF6930" w:rsidRDefault="008E7F13" w:rsidP="005C18BC">
      <w:pPr>
        <w:spacing w:line="360" w:lineRule="auto"/>
        <w:jc w:val="both"/>
        <w:rPr>
          <w:b/>
          <w:sz w:val="20"/>
          <w:szCs w:val="20"/>
        </w:rPr>
      </w:pPr>
      <w:r>
        <w:rPr>
          <w:b/>
          <w:sz w:val="20"/>
          <w:szCs w:val="20"/>
        </w:rPr>
        <w:t xml:space="preserve">1.3.  </w:t>
      </w:r>
      <w:proofErr w:type="spellStart"/>
      <w:r w:rsidR="004F78BF" w:rsidRPr="004F78BF">
        <w:rPr>
          <w:b/>
          <w:sz w:val="20"/>
          <w:szCs w:val="20"/>
        </w:rPr>
        <w:t>Jos</w:t>
      </w:r>
      <w:proofErr w:type="spellEnd"/>
      <w:r w:rsidR="004F78BF" w:rsidRPr="004F78BF">
        <w:rPr>
          <w:b/>
          <w:sz w:val="20"/>
          <w:szCs w:val="20"/>
        </w:rPr>
        <w:t>/Plateau Conflict</w:t>
      </w:r>
      <w:r w:rsidR="00434DA2" w:rsidRPr="004F78BF">
        <w:rPr>
          <w:b/>
          <w:sz w:val="20"/>
          <w:szCs w:val="20"/>
        </w:rPr>
        <w:t xml:space="preserve">        </w:t>
      </w:r>
    </w:p>
    <w:p w:rsidR="00D51F71" w:rsidRPr="00E73CF6" w:rsidRDefault="00434DA2" w:rsidP="005C18BC">
      <w:pPr>
        <w:spacing w:line="360" w:lineRule="auto"/>
        <w:jc w:val="both"/>
        <w:rPr>
          <w:b/>
          <w:sz w:val="20"/>
          <w:szCs w:val="20"/>
        </w:rPr>
      </w:pPr>
      <w:r>
        <w:rPr>
          <w:sz w:val="20"/>
          <w:szCs w:val="20"/>
        </w:rPr>
        <w:t xml:space="preserve">           </w:t>
      </w:r>
      <w:r w:rsidR="00662100" w:rsidRPr="00E73CF6">
        <w:rPr>
          <w:sz w:val="20"/>
          <w:szCs w:val="20"/>
        </w:rPr>
        <w:t>The history of ethno- religious</w:t>
      </w:r>
      <w:r w:rsidR="00D51F71" w:rsidRPr="00E73CF6">
        <w:rPr>
          <w:sz w:val="20"/>
          <w:szCs w:val="20"/>
        </w:rPr>
        <w:t xml:space="preserve"> conflict </w:t>
      </w:r>
      <w:r w:rsidR="00662100" w:rsidRPr="00E73CF6">
        <w:rPr>
          <w:sz w:val="20"/>
          <w:szCs w:val="20"/>
        </w:rPr>
        <w:t>in Nigeria is riddled with</w:t>
      </w:r>
      <w:r w:rsidR="00D51F71" w:rsidRPr="00E73CF6">
        <w:rPr>
          <w:sz w:val="20"/>
          <w:szCs w:val="20"/>
        </w:rPr>
        <w:t xml:space="preserve"> competition</w:t>
      </w:r>
      <w:r w:rsidR="00662100" w:rsidRPr="00E73CF6">
        <w:rPr>
          <w:sz w:val="20"/>
          <w:szCs w:val="20"/>
        </w:rPr>
        <w:t xml:space="preserve"> for power</w:t>
      </w:r>
      <w:r w:rsidR="00D51F71" w:rsidRPr="00E73CF6">
        <w:rPr>
          <w:sz w:val="20"/>
          <w:szCs w:val="20"/>
        </w:rPr>
        <w:t xml:space="preserve"> and decision making over economic resources and other important human factor</w:t>
      </w:r>
      <w:r w:rsidR="00580448" w:rsidRPr="00E73CF6">
        <w:rPr>
          <w:sz w:val="20"/>
          <w:szCs w:val="20"/>
        </w:rPr>
        <w:t>s</w:t>
      </w:r>
      <w:r w:rsidR="00BD422D">
        <w:rPr>
          <w:sz w:val="20"/>
          <w:szCs w:val="20"/>
        </w:rPr>
        <w:t xml:space="preserve">, like position. Majority of </w:t>
      </w:r>
      <w:r w:rsidR="00D51F71" w:rsidRPr="00E73CF6">
        <w:rPr>
          <w:sz w:val="20"/>
          <w:szCs w:val="20"/>
        </w:rPr>
        <w:t xml:space="preserve"> conflicts </w:t>
      </w:r>
      <w:r w:rsidR="00D51F71" w:rsidRPr="00E73CF6">
        <w:rPr>
          <w:sz w:val="20"/>
          <w:szCs w:val="20"/>
        </w:rPr>
        <w:lastRenderedPageBreak/>
        <w:t>takes tim</w:t>
      </w:r>
      <w:r w:rsidR="00CB6620">
        <w:rPr>
          <w:sz w:val="20"/>
          <w:szCs w:val="20"/>
        </w:rPr>
        <w:t>e before their escalation and as</w:t>
      </w:r>
      <w:r w:rsidR="00D51F71" w:rsidRPr="00E73CF6">
        <w:rPr>
          <w:sz w:val="20"/>
          <w:szCs w:val="20"/>
        </w:rPr>
        <w:t xml:space="preserve"> such, could have been transformed right at thei</w:t>
      </w:r>
      <w:r w:rsidR="00BD422D">
        <w:rPr>
          <w:sz w:val="20"/>
          <w:szCs w:val="20"/>
        </w:rPr>
        <w:t xml:space="preserve">r respective early stages </w:t>
      </w:r>
      <w:r w:rsidR="003E2038">
        <w:rPr>
          <w:sz w:val="20"/>
          <w:szCs w:val="20"/>
        </w:rPr>
        <w:t>according to [11]</w:t>
      </w:r>
      <w:r w:rsidR="00D51F71" w:rsidRPr="00E73CF6">
        <w:rPr>
          <w:sz w:val="20"/>
          <w:szCs w:val="20"/>
        </w:rPr>
        <w:t xml:space="preserve">. </w:t>
      </w:r>
    </w:p>
    <w:p w:rsidR="00E73CF6" w:rsidRDefault="00E73CF6" w:rsidP="005C18BC">
      <w:pPr>
        <w:spacing w:line="360" w:lineRule="auto"/>
        <w:ind w:firstLine="720"/>
        <w:jc w:val="both"/>
        <w:rPr>
          <w:sz w:val="20"/>
          <w:szCs w:val="20"/>
        </w:rPr>
      </w:pPr>
      <w:r>
        <w:rPr>
          <w:sz w:val="20"/>
          <w:szCs w:val="20"/>
        </w:rPr>
        <w:t>In the account</w:t>
      </w:r>
      <w:r w:rsidR="00BD422D">
        <w:rPr>
          <w:sz w:val="20"/>
          <w:szCs w:val="20"/>
        </w:rPr>
        <w:t>s</w:t>
      </w:r>
      <w:r>
        <w:rPr>
          <w:sz w:val="20"/>
          <w:szCs w:val="20"/>
        </w:rPr>
        <w:t xml:space="preserve"> of </w:t>
      </w:r>
      <w:r w:rsidR="003E2038">
        <w:rPr>
          <w:sz w:val="20"/>
          <w:szCs w:val="20"/>
        </w:rPr>
        <w:t xml:space="preserve"> [12], [13]</w:t>
      </w:r>
      <w:r w:rsidR="001D7182">
        <w:rPr>
          <w:sz w:val="20"/>
          <w:szCs w:val="20"/>
        </w:rPr>
        <w:t xml:space="preserve"> and</w:t>
      </w:r>
      <w:r w:rsidR="00CD5750">
        <w:rPr>
          <w:sz w:val="20"/>
          <w:szCs w:val="20"/>
        </w:rPr>
        <w:t xml:space="preserve"> [14],</w:t>
      </w:r>
      <w:r>
        <w:rPr>
          <w:sz w:val="20"/>
          <w:szCs w:val="20"/>
        </w:rPr>
        <w:t xml:space="preserve"> t</w:t>
      </w:r>
      <w:r w:rsidR="00D51F71" w:rsidRPr="00E73CF6">
        <w:rPr>
          <w:sz w:val="20"/>
          <w:szCs w:val="20"/>
        </w:rPr>
        <w:t>owns that have experienced some of the notabl</w:t>
      </w:r>
      <w:r w:rsidR="00BD422D">
        <w:rPr>
          <w:sz w:val="20"/>
          <w:szCs w:val="20"/>
        </w:rPr>
        <w:t>e</w:t>
      </w:r>
      <w:r w:rsidR="006E3D35" w:rsidRPr="00E73CF6">
        <w:rPr>
          <w:sz w:val="20"/>
          <w:szCs w:val="20"/>
        </w:rPr>
        <w:t xml:space="preserve"> conflicts in the post</w:t>
      </w:r>
      <w:r w:rsidR="00D51F71" w:rsidRPr="00E73CF6">
        <w:rPr>
          <w:sz w:val="20"/>
          <w:szCs w:val="20"/>
        </w:rPr>
        <w:t>-independence era</w:t>
      </w:r>
      <w:r w:rsidR="00C91587">
        <w:rPr>
          <w:sz w:val="20"/>
          <w:szCs w:val="20"/>
        </w:rPr>
        <w:t xml:space="preserve"> (1960 and beyond) in Nigeria</w:t>
      </w:r>
      <w:r w:rsidR="004F78BF">
        <w:rPr>
          <w:sz w:val="20"/>
          <w:szCs w:val="20"/>
        </w:rPr>
        <w:t xml:space="preserve"> </w:t>
      </w:r>
      <w:r w:rsidR="00D51F71" w:rsidRPr="00E73CF6">
        <w:rPr>
          <w:sz w:val="20"/>
          <w:szCs w:val="20"/>
        </w:rPr>
        <w:t xml:space="preserve"> include; </w:t>
      </w:r>
      <w:proofErr w:type="spellStart"/>
      <w:r w:rsidR="00D51F71" w:rsidRPr="00E73CF6">
        <w:rPr>
          <w:sz w:val="20"/>
          <w:szCs w:val="20"/>
        </w:rPr>
        <w:t>Maitatsine</w:t>
      </w:r>
      <w:proofErr w:type="spellEnd"/>
      <w:r w:rsidR="00D51F71" w:rsidRPr="00E73CF6">
        <w:rPr>
          <w:sz w:val="20"/>
          <w:szCs w:val="20"/>
        </w:rPr>
        <w:t xml:space="preserve"> riots </w:t>
      </w:r>
      <w:proofErr w:type="spellStart"/>
      <w:r w:rsidR="00D51F71" w:rsidRPr="00E73CF6">
        <w:rPr>
          <w:sz w:val="20"/>
          <w:szCs w:val="20"/>
        </w:rPr>
        <w:t>Bulumkutu</w:t>
      </w:r>
      <w:proofErr w:type="spellEnd"/>
      <w:r w:rsidR="00D51F71" w:rsidRPr="00E73CF6">
        <w:rPr>
          <w:sz w:val="20"/>
          <w:szCs w:val="20"/>
        </w:rPr>
        <w:t xml:space="preserve"> (1982), </w:t>
      </w:r>
      <w:proofErr w:type="spellStart"/>
      <w:r w:rsidR="00D51F71" w:rsidRPr="00E73CF6">
        <w:rPr>
          <w:sz w:val="20"/>
          <w:szCs w:val="20"/>
        </w:rPr>
        <w:t>Maitatsine</w:t>
      </w:r>
      <w:proofErr w:type="spellEnd"/>
      <w:r w:rsidR="00D51F71" w:rsidRPr="00E73CF6">
        <w:rPr>
          <w:sz w:val="20"/>
          <w:szCs w:val="20"/>
        </w:rPr>
        <w:t xml:space="preserve"> riots </w:t>
      </w:r>
      <w:proofErr w:type="spellStart"/>
      <w:r w:rsidR="00D51F71" w:rsidRPr="00E73CF6">
        <w:rPr>
          <w:sz w:val="20"/>
          <w:szCs w:val="20"/>
        </w:rPr>
        <w:t>Jimeta</w:t>
      </w:r>
      <w:proofErr w:type="spellEnd"/>
      <w:r w:rsidR="00D51F71" w:rsidRPr="00E73CF6">
        <w:rPr>
          <w:sz w:val="20"/>
          <w:szCs w:val="20"/>
        </w:rPr>
        <w:t xml:space="preserve"> (1984), Kano (</w:t>
      </w:r>
      <w:proofErr w:type="spellStart"/>
      <w:r w:rsidR="00D51F71" w:rsidRPr="00E73CF6">
        <w:rPr>
          <w:sz w:val="20"/>
          <w:szCs w:val="20"/>
        </w:rPr>
        <w:t>Maitatsine</w:t>
      </w:r>
      <w:proofErr w:type="spellEnd"/>
      <w:r w:rsidR="00D51F71" w:rsidRPr="00E73CF6">
        <w:rPr>
          <w:sz w:val="20"/>
          <w:szCs w:val="20"/>
        </w:rPr>
        <w:t xml:space="preserve"> - 1980, 1982, 1987, 1990, 1995)</w:t>
      </w:r>
      <w:r w:rsidR="00CB6620">
        <w:rPr>
          <w:sz w:val="20"/>
          <w:szCs w:val="20"/>
        </w:rPr>
        <w:t>,</w:t>
      </w:r>
      <w:r w:rsidR="00D51F71" w:rsidRPr="00E73CF6">
        <w:rPr>
          <w:sz w:val="20"/>
          <w:szCs w:val="20"/>
        </w:rPr>
        <w:t xml:space="preserve"> </w:t>
      </w:r>
      <w:proofErr w:type="spellStart"/>
      <w:r w:rsidR="00D51F71" w:rsidRPr="00E73CF6">
        <w:rPr>
          <w:sz w:val="20"/>
          <w:szCs w:val="20"/>
        </w:rPr>
        <w:t>Maitatsine</w:t>
      </w:r>
      <w:proofErr w:type="spellEnd"/>
      <w:r w:rsidR="00D51F71" w:rsidRPr="00E73CF6">
        <w:rPr>
          <w:sz w:val="20"/>
          <w:szCs w:val="20"/>
        </w:rPr>
        <w:t xml:space="preserve"> riots in </w:t>
      </w:r>
      <w:proofErr w:type="spellStart"/>
      <w:r w:rsidR="00D51F71" w:rsidRPr="00E73CF6">
        <w:rPr>
          <w:sz w:val="20"/>
          <w:szCs w:val="20"/>
        </w:rPr>
        <w:t>Gombe</w:t>
      </w:r>
      <w:proofErr w:type="spellEnd"/>
      <w:r w:rsidR="00D51F71" w:rsidRPr="00E73CF6">
        <w:rPr>
          <w:sz w:val="20"/>
          <w:szCs w:val="20"/>
        </w:rPr>
        <w:t xml:space="preserve"> (1985, 1991), </w:t>
      </w:r>
      <w:proofErr w:type="spellStart"/>
      <w:r w:rsidR="00D51F71" w:rsidRPr="00E73CF6">
        <w:rPr>
          <w:sz w:val="20"/>
          <w:szCs w:val="20"/>
        </w:rPr>
        <w:t>Illorin</w:t>
      </w:r>
      <w:proofErr w:type="spellEnd"/>
      <w:r w:rsidR="00D51F71" w:rsidRPr="00E73CF6">
        <w:rPr>
          <w:sz w:val="20"/>
          <w:szCs w:val="20"/>
        </w:rPr>
        <w:t xml:space="preserve"> religious conflict (1986), </w:t>
      </w:r>
      <w:proofErr w:type="spellStart"/>
      <w:r w:rsidR="00D51F71" w:rsidRPr="00E73CF6">
        <w:rPr>
          <w:sz w:val="20"/>
          <w:szCs w:val="20"/>
        </w:rPr>
        <w:t>Jalingo</w:t>
      </w:r>
      <w:proofErr w:type="spellEnd"/>
      <w:r w:rsidR="00D51F71" w:rsidRPr="00E73CF6">
        <w:rPr>
          <w:sz w:val="20"/>
          <w:szCs w:val="20"/>
        </w:rPr>
        <w:t xml:space="preserve"> (1992, 2009), </w:t>
      </w:r>
      <w:proofErr w:type="spellStart"/>
      <w:r w:rsidR="00D51F71" w:rsidRPr="00E73CF6">
        <w:rPr>
          <w:sz w:val="20"/>
          <w:szCs w:val="20"/>
        </w:rPr>
        <w:t>Shagamu</w:t>
      </w:r>
      <w:proofErr w:type="spellEnd"/>
      <w:r w:rsidR="00D51F71" w:rsidRPr="00E73CF6">
        <w:rPr>
          <w:sz w:val="20"/>
          <w:szCs w:val="20"/>
        </w:rPr>
        <w:t xml:space="preserve"> (1999), </w:t>
      </w:r>
      <w:proofErr w:type="spellStart"/>
      <w:r w:rsidR="00D51F71" w:rsidRPr="00E73CF6">
        <w:rPr>
          <w:sz w:val="20"/>
          <w:szCs w:val="20"/>
        </w:rPr>
        <w:t>Kafa</w:t>
      </w:r>
      <w:r w:rsidR="00CB6620">
        <w:rPr>
          <w:sz w:val="20"/>
          <w:szCs w:val="20"/>
        </w:rPr>
        <w:t>nchan</w:t>
      </w:r>
      <w:proofErr w:type="spellEnd"/>
      <w:r w:rsidR="00CB6620">
        <w:rPr>
          <w:sz w:val="20"/>
          <w:szCs w:val="20"/>
        </w:rPr>
        <w:t xml:space="preserve"> (1987), </w:t>
      </w:r>
      <w:proofErr w:type="spellStart"/>
      <w:r w:rsidR="00CB6620">
        <w:rPr>
          <w:sz w:val="20"/>
          <w:szCs w:val="20"/>
        </w:rPr>
        <w:t>Tafawa</w:t>
      </w:r>
      <w:proofErr w:type="spellEnd"/>
      <w:r w:rsidR="00CB6620">
        <w:rPr>
          <w:sz w:val="20"/>
          <w:szCs w:val="20"/>
        </w:rPr>
        <w:t xml:space="preserve"> </w:t>
      </w:r>
      <w:proofErr w:type="spellStart"/>
      <w:r w:rsidR="00CB6620">
        <w:rPr>
          <w:sz w:val="20"/>
          <w:szCs w:val="20"/>
        </w:rPr>
        <w:t>Balewa</w:t>
      </w:r>
      <w:proofErr w:type="spellEnd"/>
      <w:r w:rsidR="00CB6620">
        <w:rPr>
          <w:sz w:val="20"/>
          <w:szCs w:val="20"/>
        </w:rPr>
        <w:t xml:space="preserve"> (19</w:t>
      </w:r>
      <w:r w:rsidR="00D51F71" w:rsidRPr="00E73CF6">
        <w:rPr>
          <w:sz w:val="20"/>
          <w:szCs w:val="20"/>
        </w:rPr>
        <w:t xml:space="preserve">91, 1995, </w:t>
      </w:r>
      <w:r w:rsidR="00BD422D">
        <w:rPr>
          <w:sz w:val="20"/>
          <w:szCs w:val="20"/>
        </w:rPr>
        <w:t xml:space="preserve">2001), </w:t>
      </w:r>
      <w:proofErr w:type="spellStart"/>
      <w:r w:rsidR="00BD422D">
        <w:rPr>
          <w:sz w:val="20"/>
          <w:szCs w:val="20"/>
        </w:rPr>
        <w:t>Zangon-Kataf</w:t>
      </w:r>
      <w:proofErr w:type="spellEnd"/>
      <w:r w:rsidR="00BD422D">
        <w:rPr>
          <w:sz w:val="20"/>
          <w:szCs w:val="20"/>
        </w:rPr>
        <w:t xml:space="preserve"> (1992), </w:t>
      </w:r>
      <w:proofErr w:type="spellStart"/>
      <w:r w:rsidR="00BD422D">
        <w:rPr>
          <w:sz w:val="20"/>
          <w:szCs w:val="20"/>
        </w:rPr>
        <w:t>Tiv-Jukun</w:t>
      </w:r>
      <w:proofErr w:type="spellEnd"/>
      <w:r w:rsidR="00BD422D">
        <w:rPr>
          <w:sz w:val="20"/>
          <w:szCs w:val="20"/>
        </w:rPr>
        <w:t xml:space="preserve"> and </w:t>
      </w:r>
      <w:proofErr w:type="spellStart"/>
      <w:r w:rsidR="00BD422D">
        <w:rPr>
          <w:sz w:val="20"/>
          <w:szCs w:val="20"/>
        </w:rPr>
        <w:t>Tiv-Kut</w:t>
      </w:r>
      <w:r w:rsidR="00D51F71" w:rsidRPr="00E73CF6">
        <w:rPr>
          <w:sz w:val="20"/>
          <w:szCs w:val="20"/>
        </w:rPr>
        <w:t>eb</w:t>
      </w:r>
      <w:proofErr w:type="spellEnd"/>
      <w:r w:rsidR="00D51F71" w:rsidRPr="00E73CF6">
        <w:rPr>
          <w:sz w:val="20"/>
          <w:szCs w:val="20"/>
        </w:rPr>
        <w:t xml:space="preserve"> (1992 - 1993), </w:t>
      </w:r>
      <w:proofErr w:type="spellStart"/>
      <w:r w:rsidR="00D51F71" w:rsidRPr="00E73CF6">
        <w:rPr>
          <w:sz w:val="20"/>
          <w:szCs w:val="20"/>
        </w:rPr>
        <w:t>Potiskum</w:t>
      </w:r>
      <w:proofErr w:type="spellEnd"/>
      <w:r w:rsidR="00D51F71" w:rsidRPr="00E73CF6">
        <w:rPr>
          <w:sz w:val="20"/>
          <w:szCs w:val="20"/>
        </w:rPr>
        <w:t xml:space="preserve"> (1994, 2009), </w:t>
      </w:r>
      <w:proofErr w:type="spellStart"/>
      <w:r w:rsidR="00D51F71" w:rsidRPr="00E73CF6">
        <w:rPr>
          <w:sz w:val="20"/>
          <w:szCs w:val="20"/>
        </w:rPr>
        <w:t>Kuteb-Chamba</w:t>
      </w:r>
      <w:proofErr w:type="spellEnd"/>
      <w:r w:rsidR="00D51F71" w:rsidRPr="00E73CF6">
        <w:rPr>
          <w:sz w:val="20"/>
          <w:szCs w:val="20"/>
        </w:rPr>
        <w:t xml:space="preserve"> (1997 - 1998), </w:t>
      </w:r>
      <w:proofErr w:type="spellStart"/>
      <w:r w:rsidR="00D51F71" w:rsidRPr="00E73CF6">
        <w:rPr>
          <w:sz w:val="20"/>
          <w:szCs w:val="20"/>
        </w:rPr>
        <w:t>Ig</w:t>
      </w:r>
      <w:r w:rsidR="00B027F7">
        <w:rPr>
          <w:sz w:val="20"/>
          <w:szCs w:val="20"/>
        </w:rPr>
        <w:t>birra-Bassa</w:t>
      </w:r>
      <w:proofErr w:type="spellEnd"/>
      <w:r w:rsidR="00B027F7">
        <w:rPr>
          <w:sz w:val="20"/>
          <w:szCs w:val="20"/>
        </w:rPr>
        <w:t xml:space="preserve"> (1986 - 2000), Lunar eclipse c</w:t>
      </w:r>
      <w:r w:rsidR="00D51F71" w:rsidRPr="00E73CF6">
        <w:rPr>
          <w:sz w:val="20"/>
          <w:szCs w:val="20"/>
        </w:rPr>
        <w:t xml:space="preserve">risis in </w:t>
      </w:r>
      <w:proofErr w:type="spellStart"/>
      <w:r w:rsidR="00D51F71" w:rsidRPr="00E73CF6">
        <w:rPr>
          <w:sz w:val="20"/>
          <w:szCs w:val="20"/>
        </w:rPr>
        <w:t>Borno</w:t>
      </w:r>
      <w:proofErr w:type="spellEnd"/>
      <w:r w:rsidR="00D51F71" w:rsidRPr="00E73CF6">
        <w:rPr>
          <w:sz w:val="20"/>
          <w:szCs w:val="20"/>
        </w:rPr>
        <w:t xml:space="preserve"> (1996), Kaduna (</w:t>
      </w:r>
      <w:proofErr w:type="spellStart"/>
      <w:r w:rsidR="00D51F71" w:rsidRPr="00E73CF6">
        <w:rPr>
          <w:sz w:val="20"/>
          <w:szCs w:val="20"/>
        </w:rPr>
        <w:t>Maitatsine</w:t>
      </w:r>
      <w:proofErr w:type="spellEnd"/>
      <w:r w:rsidR="00D51F71" w:rsidRPr="00E73CF6">
        <w:rPr>
          <w:sz w:val="20"/>
          <w:szCs w:val="20"/>
        </w:rPr>
        <w:t xml:space="preserve"> riots in </w:t>
      </w:r>
      <w:proofErr w:type="spellStart"/>
      <w:r w:rsidR="00D51F71" w:rsidRPr="00E73CF6">
        <w:rPr>
          <w:sz w:val="20"/>
          <w:szCs w:val="20"/>
        </w:rPr>
        <w:t>Rigassa</w:t>
      </w:r>
      <w:proofErr w:type="spellEnd"/>
      <w:r w:rsidR="00D51F71" w:rsidRPr="00E73CF6">
        <w:rPr>
          <w:sz w:val="20"/>
          <w:szCs w:val="20"/>
        </w:rPr>
        <w:t xml:space="preserve"> 1982, 199</w:t>
      </w:r>
      <w:r w:rsidR="00CB6620">
        <w:rPr>
          <w:sz w:val="20"/>
          <w:szCs w:val="20"/>
        </w:rPr>
        <w:t xml:space="preserve">2, 2000), </w:t>
      </w:r>
      <w:proofErr w:type="spellStart"/>
      <w:r w:rsidR="00CB6620">
        <w:rPr>
          <w:sz w:val="20"/>
          <w:szCs w:val="20"/>
        </w:rPr>
        <w:t>Tiv</w:t>
      </w:r>
      <w:proofErr w:type="spellEnd"/>
      <w:r w:rsidR="00CB6620">
        <w:rPr>
          <w:sz w:val="20"/>
          <w:szCs w:val="20"/>
        </w:rPr>
        <w:t xml:space="preserve"> and others in </w:t>
      </w:r>
      <w:proofErr w:type="spellStart"/>
      <w:r w:rsidR="00CB6620">
        <w:rPr>
          <w:sz w:val="20"/>
          <w:szCs w:val="20"/>
        </w:rPr>
        <w:t>Nass</w:t>
      </w:r>
      <w:r w:rsidR="00D51F71" w:rsidRPr="00E73CF6">
        <w:rPr>
          <w:sz w:val="20"/>
          <w:szCs w:val="20"/>
        </w:rPr>
        <w:t>arawa</w:t>
      </w:r>
      <w:proofErr w:type="spellEnd"/>
      <w:r w:rsidR="00D51F71" w:rsidRPr="00E73CF6">
        <w:rPr>
          <w:sz w:val="20"/>
          <w:szCs w:val="20"/>
        </w:rPr>
        <w:t xml:space="preserve"> (2001), </w:t>
      </w:r>
      <w:proofErr w:type="spellStart"/>
      <w:r w:rsidR="00D51F71" w:rsidRPr="00E73CF6">
        <w:rPr>
          <w:sz w:val="20"/>
          <w:szCs w:val="20"/>
        </w:rPr>
        <w:t>Jos</w:t>
      </w:r>
      <w:proofErr w:type="spellEnd"/>
      <w:r w:rsidR="00D51F71" w:rsidRPr="00E73CF6">
        <w:rPr>
          <w:sz w:val="20"/>
          <w:szCs w:val="20"/>
        </w:rPr>
        <w:t xml:space="preserve"> (1994, 2000, 2001 - 2003, 2008, 2009, 2010), </w:t>
      </w:r>
      <w:proofErr w:type="spellStart"/>
      <w:r w:rsidR="00D51F71" w:rsidRPr="00E73CF6">
        <w:rPr>
          <w:sz w:val="20"/>
          <w:szCs w:val="20"/>
        </w:rPr>
        <w:t>Ikulu-Bajju</w:t>
      </w:r>
      <w:proofErr w:type="spellEnd"/>
      <w:r w:rsidR="00D51F71" w:rsidRPr="00E73CF6">
        <w:rPr>
          <w:sz w:val="20"/>
          <w:szCs w:val="20"/>
        </w:rPr>
        <w:t xml:space="preserve"> (2001), </w:t>
      </w:r>
      <w:proofErr w:type="spellStart"/>
      <w:r w:rsidR="00D51F71" w:rsidRPr="00E73CF6">
        <w:rPr>
          <w:sz w:val="20"/>
          <w:szCs w:val="20"/>
        </w:rPr>
        <w:t>Yelwa-Shendam</w:t>
      </w:r>
      <w:proofErr w:type="spellEnd"/>
      <w:r w:rsidR="00D51F71" w:rsidRPr="00E73CF6">
        <w:rPr>
          <w:sz w:val="20"/>
          <w:szCs w:val="20"/>
        </w:rPr>
        <w:t xml:space="preserve"> (2002, 2004), </w:t>
      </w:r>
      <w:proofErr w:type="spellStart"/>
      <w:r w:rsidR="00D51F71" w:rsidRPr="00E73CF6">
        <w:rPr>
          <w:sz w:val="20"/>
          <w:szCs w:val="20"/>
        </w:rPr>
        <w:t>Mangu-Bokkos</w:t>
      </w:r>
      <w:proofErr w:type="spellEnd"/>
      <w:r w:rsidR="00D51F71" w:rsidRPr="00E73CF6">
        <w:rPr>
          <w:sz w:val="20"/>
          <w:szCs w:val="20"/>
        </w:rPr>
        <w:t xml:space="preserve"> (1992 - 1995), </w:t>
      </w:r>
      <w:proofErr w:type="spellStart"/>
      <w:r w:rsidR="00D51F71" w:rsidRPr="00E73CF6">
        <w:rPr>
          <w:sz w:val="20"/>
          <w:szCs w:val="20"/>
        </w:rPr>
        <w:t>Bukuru-Gyer</w:t>
      </w:r>
      <w:proofErr w:type="spellEnd"/>
      <w:r w:rsidR="00D51F71" w:rsidRPr="00E73CF6">
        <w:rPr>
          <w:sz w:val="20"/>
          <w:szCs w:val="20"/>
        </w:rPr>
        <w:t xml:space="preserve"> (1997), Maid</w:t>
      </w:r>
      <w:r w:rsidR="00B027F7">
        <w:rPr>
          <w:sz w:val="20"/>
          <w:szCs w:val="20"/>
        </w:rPr>
        <w:t>u</w:t>
      </w:r>
      <w:r w:rsidR="00D51F71" w:rsidRPr="00E73CF6">
        <w:rPr>
          <w:sz w:val="20"/>
          <w:szCs w:val="20"/>
        </w:rPr>
        <w:t xml:space="preserve">guri (2006, 2009), </w:t>
      </w:r>
      <w:proofErr w:type="spellStart"/>
      <w:r w:rsidR="00580448" w:rsidRPr="00E73CF6">
        <w:rPr>
          <w:sz w:val="20"/>
          <w:szCs w:val="20"/>
        </w:rPr>
        <w:t>Iggah-Oyikwa</w:t>
      </w:r>
      <w:proofErr w:type="spellEnd"/>
      <w:r w:rsidR="00580448" w:rsidRPr="00E73CF6">
        <w:rPr>
          <w:sz w:val="20"/>
          <w:szCs w:val="20"/>
        </w:rPr>
        <w:t xml:space="preserve"> (2002), Kano (2004</w:t>
      </w:r>
      <w:r w:rsidR="00B027F7">
        <w:rPr>
          <w:sz w:val="20"/>
          <w:szCs w:val="20"/>
        </w:rPr>
        <w:t>)</w:t>
      </w:r>
      <w:r w:rsidR="00D51F71" w:rsidRPr="00E73CF6">
        <w:rPr>
          <w:sz w:val="20"/>
          <w:szCs w:val="20"/>
        </w:rPr>
        <w:t xml:space="preserve">, </w:t>
      </w:r>
      <w:proofErr w:type="spellStart"/>
      <w:r w:rsidR="00D51F71" w:rsidRPr="00E73CF6">
        <w:rPr>
          <w:sz w:val="20"/>
          <w:szCs w:val="20"/>
        </w:rPr>
        <w:t>Numan</w:t>
      </w:r>
      <w:proofErr w:type="spellEnd"/>
      <w:r w:rsidR="00D51F71" w:rsidRPr="00E73CF6">
        <w:rPr>
          <w:sz w:val="20"/>
          <w:szCs w:val="20"/>
        </w:rPr>
        <w:t xml:space="preserve"> (2004), </w:t>
      </w:r>
      <w:proofErr w:type="spellStart"/>
      <w:r w:rsidR="00D51F71" w:rsidRPr="00E73CF6">
        <w:rPr>
          <w:sz w:val="20"/>
          <w:szCs w:val="20"/>
        </w:rPr>
        <w:t>Azare</w:t>
      </w:r>
      <w:proofErr w:type="spellEnd"/>
      <w:r w:rsidR="00D51F71" w:rsidRPr="00E73CF6">
        <w:rPr>
          <w:sz w:val="20"/>
          <w:szCs w:val="20"/>
        </w:rPr>
        <w:t xml:space="preserve"> (2001), </w:t>
      </w:r>
      <w:proofErr w:type="spellStart"/>
      <w:r w:rsidR="00D51F71" w:rsidRPr="00E73CF6">
        <w:rPr>
          <w:sz w:val="20"/>
          <w:szCs w:val="20"/>
        </w:rPr>
        <w:t>Bauchi</w:t>
      </w:r>
      <w:proofErr w:type="spellEnd"/>
      <w:r w:rsidR="00D51F71" w:rsidRPr="00E73CF6">
        <w:rPr>
          <w:sz w:val="20"/>
          <w:szCs w:val="20"/>
        </w:rPr>
        <w:t xml:space="preserve"> (201</w:t>
      </w:r>
      <w:r w:rsidR="00580448" w:rsidRPr="00E73CF6">
        <w:rPr>
          <w:sz w:val="20"/>
          <w:szCs w:val="20"/>
        </w:rPr>
        <w:t>0), Ibadan (2010</w:t>
      </w:r>
      <w:r>
        <w:rPr>
          <w:sz w:val="20"/>
          <w:szCs w:val="20"/>
        </w:rPr>
        <w:t>)</w:t>
      </w:r>
      <w:r w:rsidR="00580448" w:rsidRPr="00E73CF6">
        <w:rPr>
          <w:sz w:val="20"/>
          <w:szCs w:val="20"/>
        </w:rPr>
        <w:t xml:space="preserve">, </w:t>
      </w:r>
      <w:proofErr w:type="spellStart"/>
      <w:r w:rsidR="00580448" w:rsidRPr="00E73CF6">
        <w:rPr>
          <w:sz w:val="20"/>
          <w:szCs w:val="20"/>
        </w:rPr>
        <w:t>Wukari</w:t>
      </w:r>
      <w:proofErr w:type="spellEnd"/>
      <w:r w:rsidR="00580448" w:rsidRPr="00E73CF6">
        <w:rPr>
          <w:sz w:val="20"/>
          <w:szCs w:val="20"/>
        </w:rPr>
        <w:t xml:space="preserve"> (2010</w:t>
      </w:r>
      <w:r w:rsidR="00B027F7">
        <w:rPr>
          <w:sz w:val="20"/>
          <w:szCs w:val="20"/>
        </w:rPr>
        <w:t>, 2011, 2012, 2013 and 2014</w:t>
      </w:r>
      <w:r w:rsidR="00580448" w:rsidRPr="00E73CF6">
        <w:rPr>
          <w:sz w:val="20"/>
          <w:szCs w:val="20"/>
        </w:rPr>
        <w:t>)</w:t>
      </w:r>
      <w:r>
        <w:rPr>
          <w:sz w:val="20"/>
          <w:szCs w:val="20"/>
        </w:rPr>
        <w:t>.</w:t>
      </w:r>
      <w:r w:rsidRPr="00E73CF6">
        <w:rPr>
          <w:sz w:val="20"/>
          <w:szCs w:val="20"/>
        </w:rPr>
        <w:t xml:space="preserve"> </w:t>
      </w:r>
      <w:r w:rsidR="009036AE">
        <w:rPr>
          <w:sz w:val="20"/>
          <w:szCs w:val="20"/>
        </w:rPr>
        <w:t>The latest being Benue killings</w:t>
      </w:r>
      <w:r w:rsidR="00CD5750">
        <w:rPr>
          <w:sz w:val="20"/>
          <w:szCs w:val="20"/>
        </w:rPr>
        <w:t xml:space="preserve"> (2018) and</w:t>
      </w:r>
      <w:r w:rsidR="009036AE">
        <w:rPr>
          <w:sz w:val="20"/>
          <w:szCs w:val="20"/>
        </w:rPr>
        <w:t xml:space="preserve"> </w:t>
      </w:r>
      <w:proofErr w:type="spellStart"/>
      <w:r w:rsidR="009036AE">
        <w:rPr>
          <w:sz w:val="20"/>
          <w:szCs w:val="20"/>
        </w:rPr>
        <w:t>Sarkin</w:t>
      </w:r>
      <w:proofErr w:type="spellEnd"/>
      <w:r w:rsidR="009036AE">
        <w:rPr>
          <w:sz w:val="20"/>
          <w:szCs w:val="20"/>
        </w:rPr>
        <w:t xml:space="preserve"> Kudu(2018) etc.</w:t>
      </w:r>
    </w:p>
    <w:p w:rsidR="00D51F71" w:rsidRPr="00E73CF6" w:rsidRDefault="001502B8" w:rsidP="005C18BC">
      <w:pPr>
        <w:spacing w:line="360" w:lineRule="auto"/>
        <w:ind w:firstLine="720"/>
        <w:jc w:val="both"/>
        <w:rPr>
          <w:sz w:val="20"/>
          <w:szCs w:val="20"/>
        </w:rPr>
      </w:pPr>
      <w:r>
        <w:rPr>
          <w:sz w:val="20"/>
          <w:szCs w:val="20"/>
        </w:rPr>
        <w:t>It is pertinent to note that</w:t>
      </w:r>
      <w:r w:rsidR="00D51F71" w:rsidRPr="00E73CF6">
        <w:rPr>
          <w:sz w:val="20"/>
          <w:szCs w:val="20"/>
        </w:rPr>
        <w:t xml:space="preserve"> section 10 of the constitution of the Federal Republic of Nigeria 1999 (as amended) says that there shall be no state Religion but section 260 (I) allows for a </w:t>
      </w:r>
      <w:proofErr w:type="spellStart"/>
      <w:r w:rsidR="00D51F71" w:rsidRPr="00E73CF6">
        <w:rPr>
          <w:sz w:val="20"/>
          <w:szCs w:val="20"/>
        </w:rPr>
        <w:t>Sharia</w:t>
      </w:r>
      <w:proofErr w:type="spellEnd"/>
      <w:r w:rsidR="00C91587">
        <w:rPr>
          <w:sz w:val="20"/>
          <w:szCs w:val="20"/>
        </w:rPr>
        <w:t xml:space="preserve"> (Islamic)</w:t>
      </w:r>
      <w:r w:rsidR="00D51F71" w:rsidRPr="00E73CF6">
        <w:rPr>
          <w:sz w:val="20"/>
          <w:szCs w:val="20"/>
        </w:rPr>
        <w:t xml:space="preserve"> court of appeal, even at the Federal Capital Territory, Abuja</w:t>
      </w:r>
      <w:r w:rsidR="002F5FFE">
        <w:rPr>
          <w:sz w:val="20"/>
          <w:szCs w:val="20"/>
        </w:rPr>
        <w:t xml:space="preserve">. This </w:t>
      </w:r>
      <w:r w:rsidR="00D51F71" w:rsidRPr="00E73CF6">
        <w:rPr>
          <w:sz w:val="20"/>
          <w:szCs w:val="20"/>
        </w:rPr>
        <w:t>s</w:t>
      </w:r>
      <w:r w:rsidR="002F5FFE">
        <w:rPr>
          <w:sz w:val="20"/>
          <w:szCs w:val="20"/>
        </w:rPr>
        <w:t>eeming contradiction may</w:t>
      </w:r>
      <w:r w:rsidR="00D51F71" w:rsidRPr="00E73CF6">
        <w:rPr>
          <w:sz w:val="20"/>
          <w:szCs w:val="20"/>
        </w:rPr>
        <w:t xml:space="preserve"> seriously questioned the secularity of the Nigeria s</w:t>
      </w:r>
      <w:r w:rsidR="00573D6B" w:rsidRPr="00E73CF6">
        <w:rPr>
          <w:sz w:val="20"/>
          <w:szCs w:val="20"/>
        </w:rPr>
        <w:t>tate which has made</w:t>
      </w:r>
      <w:r w:rsidR="00D51F71" w:rsidRPr="00E73CF6">
        <w:rPr>
          <w:sz w:val="20"/>
          <w:szCs w:val="20"/>
        </w:rPr>
        <w:t xml:space="preserve"> m</w:t>
      </w:r>
      <w:r w:rsidR="00580448" w:rsidRPr="00E73CF6">
        <w:rPr>
          <w:sz w:val="20"/>
          <w:szCs w:val="20"/>
        </w:rPr>
        <w:t>an</w:t>
      </w:r>
      <w:r w:rsidR="00573D6B" w:rsidRPr="00E73CF6">
        <w:rPr>
          <w:sz w:val="20"/>
          <w:szCs w:val="20"/>
        </w:rPr>
        <w:t>y scholars  to describe her</w:t>
      </w:r>
      <w:r w:rsidR="00D51F71" w:rsidRPr="00E73CF6">
        <w:rPr>
          <w:sz w:val="20"/>
          <w:szCs w:val="20"/>
        </w:rPr>
        <w:t xml:space="preserve"> as a multi-religious rather than tru</w:t>
      </w:r>
      <w:r w:rsidR="002F5FFE">
        <w:rPr>
          <w:sz w:val="20"/>
          <w:szCs w:val="20"/>
        </w:rPr>
        <w:t>ly a secular state</w:t>
      </w:r>
      <w:r w:rsidR="00CD5750">
        <w:rPr>
          <w:sz w:val="20"/>
          <w:szCs w:val="20"/>
        </w:rPr>
        <w:t xml:space="preserve"> in the account of [5]</w:t>
      </w:r>
      <w:r w:rsidR="00CB6620">
        <w:rPr>
          <w:sz w:val="20"/>
          <w:szCs w:val="20"/>
        </w:rPr>
        <w:t>.</w:t>
      </w:r>
    </w:p>
    <w:p w:rsidR="00D51F71" w:rsidRPr="00E73CF6" w:rsidRDefault="00D51F71" w:rsidP="005C18BC">
      <w:pPr>
        <w:spacing w:line="360" w:lineRule="auto"/>
        <w:ind w:firstLine="720"/>
        <w:jc w:val="both"/>
        <w:rPr>
          <w:sz w:val="20"/>
          <w:szCs w:val="20"/>
        </w:rPr>
      </w:pPr>
      <w:proofErr w:type="spellStart"/>
      <w:r w:rsidRPr="00E73CF6">
        <w:rPr>
          <w:sz w:val="20"/>
          <w:szCs w:val="20"/>
        </w:rPr>
        <w:t>Jos</w:t>
      </w:r>
      <w:proofErr w:type="spellEnd"/>
      <w:r w:rsidRPr="00E73CF6">
        <w:rPr>
          <w:sz w:val="20"/>
          <w:szCs w:val="20"/>
        </w:rPr>
        <w:t xml:space="preserve"> was officially founded in 19</w:t>
      </w:r>
      <w:r w:rsidR="00573D6B" w:rsidRPr="00E73CF6">
        <w:rPr>
          <w:sz w:val="20"/>
          <w:szCs w:val="20"/>
        </w:rPr>
        <w:t xml:space="preserve">15. The </w:t>
      </w:r>
      <w:proofErr w:type="spellStart"/>
      <w:r w:rsidR="00573D6B" w:rsidRPr="00E73CF6">
        <w:rPr>
          <w:sz w:val="20"/>
          <w:szCs w:val="20"/>
        </w:rPr>
        <w:t>Berom</w:t>
      </w:r>
      <w:proofErr w:type="spellEnd"/>
      <w:r w:rsidR="00573D6B" w:rsidRPr="00E73CF6">
        <w:rPr>
          <w:sz w:val="20"/>
          <w:szCs w:val="20"/>
        </w:rPr>
        <w:t xml:space="preserve"> and other</w:t>
      </w:r>
      <w:r w:rsidRPr="00E73CF6">
        <w:rPr>
          <w:sz w:val="20"/>
          <w:szCs w:val="20"/>
        </w:rPr>
        <w:t xml:space="preserve"> groups argue that the city was founded on land that belongs to them as the native people of the Plateau. The Hausa-Fulani contest this claim and hold</w:t>
      </w:r>
      <w:r w:rsidR="005F4CB1">
        <w:rPr>
          <w:sz w:val="20"/>
          <w:szCs w:val="20"/>
        </w:rPr>
        <w:t>s</w:t>
      </w:r>
      <w:r w:rsidRPr="00E73CF6">
        <w:rPr>
          <w:sz w:val="20"/>
          <w:szCs w:val="20"/>
        </w:rPr>
        <w:t xml:space="preserve"> that the city was established on ‘Virgin land’ that belonged to nobody</w:t>
      </w:r>
      <w:r w:rsidR="005F4CB1">
        <w:rPr>
          <w:sz w:val="20"/>
          <w:szCs w:val="20"/>
        </w:rPr>
        <w:t xml:space="preserve"> in particular</w:t>
      </w:r>
      <w:r w:rsidRPr="00E73CF6">
        <w:rPr>
          <w:sz w:val="20"/>
          <w:szCs w:val="20"/>
        </w:rPr>
        <w:t xml:space="preserve"> </w:t>
      </w:r>
      <w:r w:rsidR="005F4CB1">
        <w:rPr>
          <w:sz w:val="20"/>
          <w:szCs w:val="20"/>
        </w:rPr>
        <w:t xml:space="preserve">as in </w:t>
      </w:r>
      <w:r w:rsidR="00CD5750">
        <w:rPr>
          <w:sz w:val="20"/>
          <w:szCs w:val="20"/>
        </w:rPr>
        <w:t>[15]</w:t>
      </w:r>
      <w:r w:rsidRPr="00E73CF6">
        <w:rPr>
          <w:sz w:val="20"/>
          <w:szCs w:val="20"/>
        </w:rPr>
        <w:t xml:space="preserve">. </w:t>
      </w:r>
      <w:proofErr w:type="spellStart"/>
      <w:r w:rsidRPr="00E73CF6">
        <w:rPr>
          <w:sz w:val="20"/>
          <w:szCs w:val="20"/>
        </w:rPr>
        <w:t>Jos</w:t>
      </w:r>
      <w:proofErr w:type="spellEnd"/>
      <w:r w:rsidRPr="00E73CF6">
        <w:rPr>
          <w:sz w:val="20"/>
          <w:szCs w:val="20"/>
        </w:rPr>
        <w:t xml:space="preserve"> was established with the commencement of tin mining. By the mid - 1940s, more than 200 mining camps has been built on the Plateau and the miner population exce</w:t>
      </w:r>
      <w:r w:rsidR="0048218B">
        <w:rPr>
          <w:sz w:val="20"/>
          <w:szCs w:val="20"/>
        </w:rPr>
        <w:t xml:space="preserve">eded </w:t>
      </w:r>
      <w:r w:rsidR="00CD5750">
        <w:rPr>
          <w:sz w:val="20"/>
          <w:szCs w:val="20"/>
        </w:rPr>
        <w:t>40,000</w:t>
      </w:r>
      <w:r w:rsidR="00031539">
        <w:rPr>
          <w:sz w:val="20"/>
          <w:szCs w:val="20"/>
        </w:rPr>
        <w:t xml:space="preserve"> stated</w:t>
      </w:r>
      <w:r w:rsidR="00CD5750">
        <w:rPr>
          <w:sz w:val="20"/>
          <w:szCs w:val="20"/>
        </w:rPr>
        <w:t xml:space="preserve"> [16]</w:t>
      </w:r>
      <w:r w:rsidRPr="00E73CF6">
        <w:rPr>
          <w:sz w:val="20"/>
          <w:szCs w:val="20"/>
        </w:rPr>
        <w:t xml:space="preserve">. The Hausa constituted the most numerous ethnic group that worked in the mines. Significant numbers of Igbo, Yoruba and members of smaller tribes also migrated to </w:t>
      </w:r>
      <w:proofErr w:type="spellStart"/>
      <w:r w:rsidRPr="00E73CF6">
        <w:rPr>
          <w:sz w:val="20"/>
          <w:szCs w:val="20"/>
        </w:rPr>
        <w:t>Jos</w:t>
      </w:r>
      <w:proofErr w:type="spellEnd"/>
      <w:r w:rsidRPr="00E73CF6">
        <w:rPr>
          <w:sz w:val="20"/>
          <w:szCs w:val="20"/>
        </w:rPr>
        <w:t xml:space="preserve"> during the same period. Those who had received a western education in the south of Nigeria served within the colonial administration. Others worked as craftsmen or in commerce. Owing to the mining activities, the city expanded rapidly and the population grew steadily </w:t>
      </w:r>
      <w:r w:rsidR="0048218B">
        <w:rPr>
          <w:sz w:val="20"/>
          <w:szCs w:val="20"/>
        </w:rPr>
        <w:t>betwee</w:t>
      </w:r>
      <w:r w:rsidR="00C47CE6">
        <w:rPr>
          <w:sz w:val="20"/>
          <w:szCs w:val="20"/>
        </w:rPr>
        <w:t xml:space="preserve">n 1930 and 1960 </w:t>
      </w:r>
      <w:r w:rsidR="00031539">
        <w:rPr>
          <w:sz w:val="20"/>
          <w:szCs w:val="20"/>
        </w:rPr>
        <w:t>[15] and [17].</w:t>
      </w:r>
    </w:p>
    <w:p w:rsidR="00D51F71" w:rsidRPr="00E73CF6" w:rsidRDefault="009036AE" w:rsidP="005C18BC">
      <w:pPr>
        <w:spacing w:line="360" w:lineRule="auto"/>
        <w:jc w:val="both"/>
        <w:rPr>
          <w:b/>
          <w:sz w:val="20"/>
          <w:szCs w:val="20"/>
        </w:rPr>
      </w:pPr>
      <w:r>
        <w:rPr>
          <w:sz w:val="20"/>
          <w:szCs w:val="20"/>
        </w:rPr>
        <w:t xml:space="preserve">        </w:t>
      </w:r>
      <w:r w:rsidR="00D51F71" w:rsidRPr="00E73CF6">
        <w:rPr>
          <w:sz w:val="20"/>
          <w:szCs w:val="20"/>
        </w:rPr>
        <w:t xml:space="preserve">The regional dimension of the </w:t>
      </w:r>
      <w:proofErr w:type="spellStart"/>
      <w:r w:rsidR="00D51F71" w:rsidRPr="00E73CF6">
        <w:rPr>
          <w:sz w:val="20"/>
          <w:szCs w:val="20"/>
        </w:rPr>
        <w:t>Jos</w:t>
      </w:r>
      <w:proofErr w:type="spellEnd"/>
      <w:r w:rsidR="00D51F71" w:rsidRPr="00E73CF6">
        <w:rPr>
          <w:sz w:val="20"/>
          <w:szCs w:val="20"/>
        </w:rPr>
        <w:t xml:space="preserve"> Crisis</w:t>
      </w:r>
      <w:r w:rsidR="00FF1732" w:rsidRPr="00E73CF6">
        <w:rPr>
          <w:sz w:val="20"/>
          <w:szCs w:val="20"/>
        </w:rPr>
        <w:t xml:space="preserve"> is such that t</w:t>
      </w:r>
      <w:r w:rsidR="00D51F71" w:rsidRPr="00E73CF6">
        <w:rPr>
          <w:sz w:val="20"/>
          <w:szCs w:val="20"/>
        </w:rPr>
        <w:t>he indigene-settler issue is endemic in the “middle Belt” States surrounding the Plateau. The north-Central is ‘hyperactive conflict zone’ plagued with rural conflicts ove</w:t>
      </w:r>
      <w:r w:rsidR="004C74A4" w:rsidRPr="00E73CF6">
        <w:rPr>
          <w:sz w:val="20"/>
          <w:szCs w:val="20"/>
        </w:rPr>
        <w:t>r land and grazing rights and oth</w:t>
      </w:r>
      <w:r w:rsidR="00D51F71" w:rsidRPr="00E73CF6">
        <w:rPr>
          <w:sz w:val="20"/>
          <w:szCs w:val="20"/>
        </w:rPr>
        <w:t>er political representation</w:t>
      </w:r>
      <w:r w:rsidR="00031539">
        <w:rPr>
          <w:sz w:val="20"/>
          <w:szCs w:val="20"/>
        </w:rPr>
        <w:t xml:space="preserve"> according to</w:t>
      </w:r>
      <w:r w:rsidR="00D51F71" w:rsidRPr="00E73CF6">
        <w:rPr>
          <w:sz w:val="20"/>
          <w:szCs w:val="20"/>
        </w:rPr>
        <w:t xml:space="preserve"> </w:t>
      </w:r>
      <w:r w:rsidR="00031539">
        <w:rPr>
          <w:sz w:val="20"/>
          <w:szCs w:val="20"/>
        </w:rPr>
        <w:t>[16]</w:t>
      </w:r>
      <w:r w:rsidR="00D51F71" w:rsidRPr="00E73CF6">
        <w:rPr>
          <w:sz w:val="20"/>
          <w:szCs w:val="20"/>
        </w:rPr>
        <w:t>. Several states, such as Benue and Plateau, are reported to host large numbers of ex-soldiers with access to weapons. These individuals are also available to form and train militias based on existing vigilante groups. The proliferation of arms in the North-Central zone has b</w:t>
      </w:r>
      <w:r w:rsidR="00DA50D0">
        <w:rPr>
          <w:sz w:val="20"/>
          <w:szCs w:val="20"/>
        </w:rPr>
        <w:t xml:space="preserve">een recognized as a danger to peace for several years </w:t>
      </w:r>
      <w:r w:rsidR="00031539">
        <w:rPr>
          <w:sz w:val="20"/>
          <w:szCs w:val="20"/>
        </w:rPr>
        <w:t>stated [16]</w:t>
      </w:r>
      <w:r w:rsidR="00D51F71" w:rsidRPr="00E73CF6">
        <w:rPr>
          <w:sz w:val="20"/>
          <w:szCs w:val="20"/>
        </w:rPr>
        <w:t xml:space="preserve">. </w:t>
      </w:r>
    </w:p>
    <w:p w:rsidR="00D51F71" w:rsidRPr="001005B3" w:rsidRDefault="00C9665A" w:rsidP="005C18BC">
      <w:pPr>
        <w:spacing w:line="360" w:lineRule="auto"/>
        <w:jc w:val="both"/>
        <w:rPr>
          <w:sz w:val="20"/>
          <w:szCs w:val="20"/>
        </w:rPr>
      </w:pPr>
      <w:r>
        <w:rPr>
          <w:sz w:val="20"/>
          <w:szCs w:val="20"/>
        </w:rPr>
        <w:t xml:space="preserve">         </w:t>
      </w:r>
      <w:r w:rsidR="00031539">
        <w:rPr>
          <w:sz w:val="20"/>
          <w:szCs w:val="20"/>
        </w:rPr>
        <w:t>Again, in the account of [16]</w:t>
      </w:r>
      <w:r w:rsidR="00DA50D0">
        <w:rPr>
          <w:sz w:val="20"/>
          <w:szCs w:val="20"/>
        </w:rPr>
        <w:t xml:space="preserve"> m</w:t>
      </w:r>
      <w:r w:rsidR="00D51F71" w:rsidRPr="00E73CF6">
        <w:rPr>
          <w:sz w:val="20"/>
          <w:szCs w:val="20"/>
        </w:rPr>
        <w:t xml:space="preserve">any Christians in </w:t>
      </w:r>
      <w:proofErr w:type="spellStart"/>
      <w:r w:rsidR="00D51F71" w:rsidRPr="00E73CF6">
        <w:rPr>
          <w:sz w:val="20"/>
          <w:szCs w:val="20"/>
        </w:rPr>
        <w:t>Jos</w:t>
      </w:r>
      <w:proofErr w:type="spellEnd"/>
      <w:r w:rsidR="00DA50D0">
        <w:rPr>
          <w:sz w:val="20"/>
          <w:szCs w:val="20"/>
        </w:rPr>
        <w:t xml:space="preserve"> claimed that</w:t>
      </w:r>
      <w:r w:rsidR="00D51F71" w:rsidRPr="00E73CF6">
        <w:rPr>
          <w:sz w:val="20"/>
          <w:szCs w:val="20"/>
        </w:rPr>
        <w:t xml:space="preserve"> the discrimination against fellow Christians in Muslim dominated Northern stat</w:t>
      </w:r>
      <w:r w:rsidR="00DA50D0">
        <w:rPr>
          <w:sz w:val="20"/>
          <w:szCs w:val="20"/>
        </w:rPr>
        <w:t>es make the</w:t>
      </w:r>
      <w:r w:rsidR="00D51F71" w:rsidRPr="00E73CF6">
        <w:rPr>
          <w:sz w:val="20"/>
          <w:szCs w:val="20"/>
        </w:rPr>
        <w:t xml:space="preserve"> political exclusion of the </w:t>
      </w:r>
      <w:proofErr w:type="spellStart"/>
      <w:r w:rsidR="00D51F71" w:rsidRPr="00E73CF6">
        <w:rPr>
          <w:sz w:val="20"/>
          <w:szCs w:val="20"/>
        </w:rPr>
        <w:t>Jarawa</w:t>
      </w:r>
      <w:proofErr w:type="spellEnd"/>
      <w:r w:rsidR="00D51F71" w:rsidRPr="00E73CF6">
        <w:rPr>
          <w:sz w:val="20"/>
          <w:szCs w:val="20"/>
        </w:rPr>
        <w:t xml:space="preserve"> community in </w:t>
      </w:r>
      <w:proofErr w:type="spellStart"/>
      <w:r w:rsidR="00D51F71" w:rsidRPr="00E73CF6">
        <w:rPr>
          <w:sz w:val="20"/>
          <w:szCs w:val="20"/>
        </w:rPr>
        <w:lastRenderedPageBreak/>
        <w:t>Jos</w:t>
      </w:r>
      <w:proofErr w:type="spellEnd"/>
      <w:r w:rsidR="00DA50D0">
        <w:rPr>
          <w:sz w:val="20"/>
          <w:szCs w:val="20"/>
        </w:rPr>
        <w:t xml:space="preserve"> expedient. They cite </w:t>
      </w:r>
      <w:r w:rsidR="00D51F71" w:rsidRPr="00E73CF6">
        <w:rPr>
          <w:sz w:val="20"/>
          <w:szCs w:val="20"/>
        </w:rPr>
        <w:t>instance</w:t>
      </w:r>
      <w:r w:rsidR="00DA50D0">
        <w:rPr>
          <w:sz w:val="20"/>
          <w:szCs w:val="20"/>
        </w:rPr>
        <w:t xml:space="preserve"> with</w:t>
      </w:r>
      <w:r w:rsidR="00D51F71" w:rsidRPr="00E73CF6">
        <w:rPr>
          <w:sz w:val="20"/>
          <w:szCs w:val="20"/>
        </w:rPr>
        <w:t xml:space="preserve"> the ancient city of Kano</w:t>
      </w:r>
      <w:r w:rsidR="00DA50D0">
        <w:rPr>
          <w:sz w:val="20"/>
          <w:szCs w:val="20"/>
        </w:rPr>
        <w:t xml:space="preserve"> which </w:t>
      </w:r>
      <w:r w:rsidR="00D51F71" w:rsidRPr="00E73CF6">
        <w:rPr>
          <w:sz w:val="20"/>
          <w:szCs w:val="20"/>
        </w:rPr>
        <w:t xml:space="preserve"> hosts a significant Christian population that is de</w:t>
      </w:r>
      <w:r w:rsidR="00A50821">
        <w:rPr>
          <w:sz w:val="20"/>
          <w:szCs w:val="20"/>
        </w:rPr>
        <w:t>nied indigene rights. Non-Hausas</w:t>
      </w:r>
      <w:r w:rsidR="00D51F71" w:rsidRPr="00E73CF6">
        <w:rPr>
          <w:sz w:val="20"/>
          <w:szCs w:val="20"/>
        </w:rPr>
        <w:t xml:space="preserve"> there have never been granted a Local Government Area but</w:t>
      </w:r>
      <w:r w:rsidR="00853FA3">
        <w:rPr>
          <w:sz w:val="20"/>
          <w:szCs w:val="20"/>
        </w:rPr>
        <w:t xml:space="preserve"> were divided and placed within</w:t>
      </w:r>
      <w:r w:rsidR="00D51F71" w:rsidRPr="00E73CF6">
        <w:rPr>
          <w:sz w:val="20"/>
          <w:szCs w:val="20"/>
        </w:rPr>
        <w:t xml:space="preserve"> Hausa dominated areas j</w:t>
      </w:r>
      <w:r w:rsidR="00853FA3">
        <w:rPr>
          <w:sz w:val="20"/>
          <w:szCs w:val="20"/>
        </w:rPr>
        <w:t>ust to ensure that they</w:t>
      </w:r>
      <w:r w:rsidR="00D51F71" w:rsidRPr="00E73CF6">
        <w:rPr>
          <w:sz w:val="20"/>
          <w:szCs w:val="20"/>
        </w:rPr>
        <w:t xml:space="preserve"> never domina</w:t>
      </w:r>
      <w:r w:rsidR="00853FA3">
        <w:rPr>
          <w:sz w:val="20"/>
          <w:szCs w:val="20"/>
        </w:rPr>
        <w:t>ted any political space in Kano</w:t>
      </w:r>
      <w:r w:rsidR="00D51F71" w:rsidRPr="00E73CF6">
        <w:rPr>
          <w:sz w:val="20"/>
          <w:szCs w:val="20"/>
        </w:rPr>
        <w:t>. Several factors h</w:t>
      </w:r>
      <w:r w:rsidR="00853FA3">
        <w:rPr>
          <w:sz w:val="20"/>
          <w:szCs w:val="20"/>
        </w:rPr>
        <w:t xml:space="preserve">ave contributed to the </w:t>
      </w:r>
      <w:r w:rsidR="00D51F71" w:rsidRPr="00E73CF6">
        <w:rPr>
          <w:sz w:val="20"/>
          <w:szCs w:val="20"/>
        </w:rPr>
        <w:t xml:space="preserve"> dimension of confrontation in Jos. </w:t>
      </w:r>
      <w:r w:rsidR="00D22D95" w:rsidRPr="00E73CF6">
        <w:rPr>
          <w:sz w:val="20"/>
          <w:szCs w:val="20"/>
        </w:rPr>
        <w:t>Some</w:t>
      </w:r>
      <w:r w:rsidR="00D51F71" w:rsidRPr="00E73CF6">
        <w:rPr>
          <w:sz w:val="20"/>
          <w:szCs w:val="20"/>
        </w:rPr>
        <w:t xml:space="preserve"> Christian’s leaders linked the </w:t>
      </w:r>
      <w:proofErr w:type="spellStart"/>
      <w:r w:rsidR="00D51F71" w:rsidRPr="00E73CF6">
        <w:rPr>
          <w:sz w:val="20"/>
          <w:szCs w:val="20"/>
        </w:rPr>
        <w:t>Jos</w:t>
      </w:r>
      <w:proofErr w:type="spellEnd"/>
      <w:r w:rsidR="00D51F71" w:rsidRPr="00E73CF6">
        <w:rPr>
          <w:sz w:val="20"/>
          <w:szCs w:val="20"/>
        </w:rPr>
        <w:t xml:space="preserve"> conflict to a </w:t>
      </w:r>
      <w:r w:rsidR="00D22D95" w:rsidRPr="00E73CF6">
        <w:rPr>
          <w:sz w:val="20"/>
          <w:szCs w:val="20"/>
        </w:rPr>
        <w:t>broa</w:t>
      </w:r>
      <w:r w:rsidR="009E4B2C">
        <w:rPr>
          <w:sz w:val="20"/>
          <w:szCs w:val="20"/>
        </w:rPr>
        <w:t>der relig</w:t>
      </w:r>
      <w:r w:rsidR="00031539">
        <w:rPr>
          <w:sz w:val="20"/>
          <w:szCs w:val="20"/>
        </w:rPr>
        <w:t>ious confrontation as in [2]</w:t>
      </w:r>
      <w:r w:rsidR="00D22D95" w:rsidRPr="00E73CF6">
        <w:rPr>
          <w:sz w:val="20"/>
          <w:szCs w:val="20"/>
        </w:rPr>
        <w:t xml:space="preserve"> while some</w:t>
      </w:r>
      <w:r w:rsidR="00A50821">
        <w:rPr>
          <w:sz w:val="20"/>
          <w:szCs w:val="20"/>
        </w:rPr>
        <w:t xml:space="preserve"> of</w:t>
      </w:r>
      <w:r w:rsidR="00D22D95" w:rsidRPr="00E73CF6">
        <w:rPr>
          <w:sz w:val="20"/>
          <w:szCs w:val="20"/>
        </w:rPr>
        <w:t xml:space="preserve"> the Muslims leaders claim that crisis in </w:t>
      </w:r>
      <w:proofErr w:type="spellStart"/>
      <w:r w:rsidR="00D22D95" w:rsidRPr="00E73CF6">
        <w:rPr>
          <w:sz w:val="20"/>
          <w:szCs w:val="20"/>
        </w:rPr>
        <w:t>Jos</w:t>
      </w:r>
      <w:proofErr w:type="spellEnd"/>
      <w:r w:rsidR="00D22D95" w:rsidRPr="00E73CF6">
        <w:rPr>
          <w:sz w:val="20"/>
          <w:szCs w:val="20"/>
        </w:rPr>
        <w:t xml:space="preserve"> were ethno-political in all ramification; its antecedents, the circumstances, the principal actors</w:t>
      </w:r>
      <w:r w:rsidR="00D51F71" w:rsidRPr="00E73CF6">
        <w:rPr>
          <w:sz w:val="20"/>
          <w:szCs w:val="20"/>
        </w:rPr>
        <w:t xml:space="preserve"> </w:t>
      </w:r>
      <w:r w:rsidR="00D22D95" w:rsidRPr="00E73CF6">
        <w:rPr>
          <w:sz w:val="20"/>
          <w:szCs w:val="20"/>
        </w:rPr>
        <w:t>and</w:t>
      </w:r>
      <w:r w:rsidR="00D51F71" w:rsidRPr="00E73CF6">
        <w:rPr>
          <w:sz w:val="20"/>
          <w:szCs w:val="20"/>
        </w:rPr>
        <w:t xml:space="preserve"> vehemently protested t</w:t>
      </w:r>
      <w:r w:rsidR="000B50AF" w:rsidRPr="00E73CF6">
        <w:rPr>
          <w:sz w:val="20"/>
          <w:szCs w:val="20"/>
        </w:rPr>
        <w:t>he religious framing of the</w:t>
      </w:r>
      <w:r w:rsidR="00D51F71" w:rsidRPr="00E73CF6">
        <w:rPr>
          <w:sz w:val="20"/>
          <w:szCs w:val="20"/>
        </w:rPr>
        <w:t xml:space="preserve"> crisis</w:t>
      </w:r>
      <w:r w:rsidR="000B50AF" w:rsidRPr="00E73CF6">
        <w:rPr>
          <w:sz w:val="20"/>
          <w:szCs w:val="20"/>
        </w:rPr>
        <w:t>.</w:t>
      </w:r>
    </w:p>
    <w:p w:rsidR="004F78BF" w:rsidRPr="00E73CF6" w:rsidRDefault="00C9665A" w:rsidP="005C18BC">
      <w:pPr>
        <w:spacing w:line="360" w:lineRule="auto"/>
        <w:jc w:val="both"/>
        <w:rPr>
          <w:sz w:val="20"/>
          <w:szCs w:val="20"/>
        </w:rPr>
      </w:pPr>
      <w:r>
        <w:rPr>
          <w:sz w:val="20"/>
          <w:szCs w:val="20"/>
        </w:rPr>
        <w:t xml:space="preserve">         </w:t>
      </w:r>
      <w:r w:rsidR="004F78BF" w:rsidRPr="00E73CF6">
        <w:rPr>
          <w:sz w:val="20"/>
          <w:szCs w:val="20"/>
        </w:rPr>
        <w:t>In t</w:t>
      </w:r>
      <w:r w:rsidR="004F78BF">
        <w:rPr>
          <w:sz w:val="20"/>
          <w:szCs w:val="20"/>
        </w:rPr>
        <w:t>his work, the main focus is</w:t>
      </w:r>
      <w:r w:rsidR="004F78BF" w:rsidRPr="00E73CF6">
        <w:rPr>
          <w:sz w:val="20"/>
          <w:szCs w:val="20"/>
        </w:rPr>
        <w:t xml:space="preserve"> on the ethnic and religious conflicts in Nigeria using </w:t>
      </w:r>
      <w:proofErr w:type="spellStart"/>
      <w:r w:rsidR="004F78BF" w:rsidRPr="00E73CF6">
        <w:rPr>
          <w:sz w:val="20"/>
          <w:szCs w:val="20"/>
        </w:rPr>
        <w:t>Jos</w:t>
      </w:r>
      <w:proofErr w:type="spellEnd"/>
      <w:r w:rsidR="004F78BF" w:rsidRPr="00E73CF6">
        <w:rPr>
          <w:sz w:val="20"/>
          <w:szCs w:val="20"/>
        </w:rPr>
        <w:t>/Plateau as a case study</w:t>
      </w:r>
      <w:r w:rsidR="004F78BF">
        <w:rPr>
          <w:sz w:val="20"/>
          <w:szCs w:val="20"/>
        </w:rPr>
        <w:t xml:space="preserve"> with a view to providing a synchronized statistical system/ information base for nipping seeming conflict situations in the bud  to save lives and property and engender national overall development since nothing thrives in the face of manifested conflict.  </w:t>
      </w:r>
    </w:p>
    <w:p w:rsidR="008E7F13" w:rsidRDefault="004F78BF" w:rsidP="005C18BC">
      <w:pPr>
        <w:spacing w:line="360" w:lineRule="auto"/>
        <w:jc w:val="both"/>
        <w:rPr>
          <w:sz w:val="20"/>
          <w:szCs w:val="20"/>
        </w:rPr>
      </w:pPr>
      <w:r>
        <w:rPr>
          <w:sz w:val="20"/>
          <w:szCs w:val="20"/>
        </w:rPr>
        <w:t xml:space="preserve">        </w:t>
      </w:r>
    </w:p>
    <w:p w:rsidR="00D51F71" w:rsidRDefault="008E7F13" w:rsidP="005C18BC">
      <w:pPr>
        <w:spacing w:line="360" w:lineRule="auto"/>
        <w:jc w:val="both"/>
        <w:rPr>
          <w:b/>
          <w:sz w:val="20"/>
          <w:szCs w:val="20"/>
        </w:rPr>
      </w:pPr>
      <w:r>
        <w:rPr>
          <w:b/>
          <w:sz w:val="20"/>
          <w:szCs w:val="20"/>
        </w:rPr>
        <w:t>2.1.</w:t>
      </w:r>
      <w:r w:rsidR="00853FA3">
        <w:rPr>
          <w:b/>
          <w:sz w:val="20"/>
          <w:szCs w:val="20"/>
        </w:rPr>
        <w:t xml:space="preserve">  </w:t>
      </w:r>
      <w:r w:rsidR="00AB3E32">
        <w:rPr>
          <w:b/>
          <w:sz w:val="20"/>
          <w:szCs w:val="20"/>
        </w:rPr>
        <w:t>MATERIALS AND METHODS</w:t>
      </w:r>
    </w:p>
    <w:p w:rsidR="009036AE" w:rsidRPr="00E73CF6" w:rsidRDefault="009036AE" w:rsidP="009036AE">
      <w:pPr>
        <w:spacing w:line="360" w:lineRule="auto"/>
        <w:jc w:val="both"/>
        <w:rPr>
          <w:sz w:val="20"/>
          <w:szCs w:val="20"/>
        </w:rPr>
      </w:pPr>
      <w:r>
        <w:rPr>
          <w:sz w:val="20"/>
          <w:szCs w:val="20"/>
        </w:rPr>
        <w:t>2.2.</w:t>
      </w:r>
      <w:r w:rsidRPr="00E73CF6">
        <w:rPr>
          <w:b/>
          <w:sz w:val="20"/>
          <w:szCs w:val="20"/>
        </w:rPr>
        <w:t xml:space="preserve"> </w:t>
      </w:r>
      <w:r w:rsidRPr="00E73CF6">
        <w:rPr>
          <w:b/>
          <w:sz w:val="20"/>
          <w:szCs w:val="20"/>
        </w:rPr>
        <w:tab/>
      </w:r>
      <w:r>
        <w:rPr>
          <w:b/>
          <w:sz w:val="20"/>
          <w:szCs w:val="20"/>
        </w:rPr>
        <w:t>Study A</w:t>
      </w:r>
      <w:r w:rsidRPr="00E73CF6">
        <w:rPr>
          <w:b/>
          <w:sz w:val="20"/>
          <w:szCs w:val="20"/>
        </w:rPr>
        <w:t>rea</w:t>
      </w:r>
      <w:r w:rsidR="00982D1C">
        <w:rPr>
          <w:b/>
          <w:sz w:val="20"/>
          <w:szCs w:val="20"/>
        </w:rPr>
        <w:t xml:space="preserve"> and data collection</w:t>
      </w:r>
    </w:p>
    <w:p w:rsidR="009036AE" w:rsidRPr="00E73CF6" w:rsidRDefault="009036AE" w:rsidP="00982D1C">
      <w:pPr>
        <w:spacing w:line="360" w:lineRule="auto"/>
        <w:ind w:firstLine="720"/>
        <w:jc w:val="both"/>
        <w:rPr>
          <w:b/>
          <w:sz w:val="20"/>
          <w:szCs w:val="20"/>
        </w:rPr>
      </w:pPr>
      <w:r w:rsidRPr="00E73CF6">
        <w:rPr>
          <w:sz w:val="20"/>
          <w:szCs w:val="20"/>
        </w:rPr>
        <w:t xml:space="preserve">The study area for this research work is </w:t>
      </w:r>
      <w:proofErr w:type="spellStart"/>
      <w:r w:rsidRPr="00E73CF6">
        <w:rPr>
          <w:sz w:val="20"/>
          <w:szCs w:val="20"/>
        </w:rPr>
        <w:t>Jos</w:t>
      </w:r>
      <w:proofErr w:type="spellEnd"/>
      <w:r w:rsidRPr="00E73CF6">
        <w:rPr>
          <w:sz w:val="20"/>
          <w:szCs w:val="20"/>
        </w:rPr>
        <w:t xml:space="preserve"> South Local Government area of Plateau State in</w:t>
      </w:r>
      <w:r>
        <w:rPr>
          <w:sz w:val="20"/>
          <w:szCs w:val="20"/>
        </w:rPr>
        <w:t xml:space="preserve"> Nigeria which is where our</w:t>
      </w:r>
      <w:r w:rsidRPr="00E73CF6">
        <w:rPr>
          <w:sz w:val="20"/>
          <w:szCs w:val="20"/>
        </w:rPr>
        <w:t xml:space="preserve"> rese</w:t>
      </w:r>
      <w:r>
        <w:rPr>
          <w:sz w:val="20"/>
          <w:szCs w:val="20"/>
        </w:rPr>
        <w:t xml:space="preserve">arch population came from. </w:t>
      </w:r>
      <w:proofErr w:type="spellStart"/>
      <w:r>
        <w:rPr>
          <w:sz w:val="20"/>
          <w:szCs w:val="20"/>
        </w:rPr>
        <w:t>Jos</w:t>
      </w:r>
      <w:proofErr w:type="spellEnd"/>
      <w:r>
        <w:rPr>
          <w:sz w:val="20"/>
          <w:szCs w:val="20"/>
        </w:rPr>
        <w:t xml:space="preserve"> South Local Government A</w:t>
      </w:r>
      <w:r w:rsidRPr="00E73CF6">
        <w:rPr>
          <w:sz w:val="20"/>
          <w:szCs w:val="20"/>
        </w:rPr>
        <w:t>rea h</w:t>
      </w:r>
      <w:r>
        <w:rPr>
          <w:sz w:val="20"/>
          <w:szCs w:val="20"/>
        </w:rPr>
        <w:t>ouses the governor’s office in R</w:t>
      </w:r>
      <w:r w:rsidRPr="00E73CF6">
        <w:rPr>
          <w:sz w:val="20"/>
          <w:szCs w:val="20"/>
        </w:rPr>
        <w:t>a</w:t>
      </w:r>
      <w:r>
        <w:rPr>
          <w:sz w:val="20"/>
          <w:szCs w:val="20"/>
        </w:rPr>
        <w:t>y F</w:t>
      </w:r>
      <w:r w:rsidRPr="00E73CF6">
        <w:rPr>
          <w:sz w:val="20"/>
          <w:szCs w:val="20"/>
        </w:rPr>
        <w:t>ield and can thus be described as the de facto</w:t>
      </w:r>
      <w:r>
        <w:rPr>
          <w:sz w:val="20"/>
          <w:szCs w:val="20"/>
        </w:rPr>
        <w:t xml:space="preserve"> capital of Plateau State. </w:t>
      </w:r>
      <w:proofErr w:type="spellStart"/>
      <w:r>
        <w:rPr>
          <w:sz w:val="20"/>
          <w:szCs w:val="20"/>
        </w:rPr>
        <w:t>Jos</w:t>
      </w:r>
      <w:proofErr w:type="spellEnd"/>
      <w:r>
        <w:rPr>
          <w:sz w:val="20"/>
          <w:szCs w:val="20"/>
        </w:rPr>
        <w:t xml:space="preserve"> South Local Government A</w:t>
      </w:r>
      <w:r w:rsidRPr="00E73CF6">
        <w:rPr>
          <w:sz w:val="20"/>
          <w:szCs w:val="20"/>
        </w:rPr>
        <w:t>rea has an area of 510km</w:t>
      </w:r>
      <w:r w:rsidRPr="00E73CF6">
        <w:rPr>
          <w:sz w:val="20"/>
          <w:szCs w:val="20"/>
          <w:vertAlign w:val="superscript"/>
        </w:rPr>
        <w:t>2</w:t>
      </w:r>
      <w:r w:rsidRPr="00E73CF6">
        <w:rPr>
          <w:sz w:val="20"/>
          <w:szCs w:val="20"/>
        </w:rPr>
        <w:t xml:space="preserve"> and a population of 306, 716 </w:t>
      </w:r>
      <w:r>
        <w:rPr>
          <w:sz w:val="20"/>
          <w:szCs w:val="20"/>
        </w:rPr>
        <w:t xml:space="preserve">as </w:t>
      </w:r>
      <w:r w:rsidRPr="00E73CF6">
        <w:rPr>
          <w:sz w:val="20"/>
          <w:szCs w:val="20"/>
        </w:rPr>
        <w:t xml:space="preserve">at the 2006 census. It is the second most populated local government area in the state after </w:t>
      </w:r>
      <w:proofErr w:type="spellStart"/>
      <w:r w:rsidRPr="00E73CF6">
        <w:rPr>
          <w:sz w:val="20"/>
          <w:szCs w:val="20"/>
        </w:rPr>
        <w:t>Jos</w:t>
      </w:r>
      <w:proofErr w:type="spellEnd"/>
      <w:r w:rsidRPr="00E73CF6">
        <w:rPr>
          <w:sz w:val="20"/>
          <w:szCs w:val="20"/>
        </w:rPr>
        <w:t>-North. The local government consists of 4</w:t>
      </w:r>
      <w:r>
        <w:rPr>
          <w:sz w:val="20"/>
          <w:szCs w:val="20"/>
        </w:rPr>
        <w:t xml:space="preserve"> </w:t>
      </w:r>
      <w:r w:rsidRPr="00E73CF6">
        <w:rPr>
          <w:sz w:val="20"/>
          <w:szCs w:val="20"/>
        </w:rPr>
        <w:t xml:space="preserve">districts/areas which are </w:t>
      </w:r>
      <w:proofErr w:type="spellStart"/>
      <w:r w:rsidRPr="00E73CF6">
        <w:rPr>
          <w:sz w:val="20"/>
          <w:szCs w:val="20"/>
        </w:rPr>
        <w:t>Gyel</w:t>
      </w:r>
      <w:proofErr w:type="spellEnd"/>
      <w:r w:rsidRPr="00E73CF6">
        <w:rPr>
          <w:sz w:val="20"/>
          <w:szCs w:val="20"/>
        </w:rPr>
        <w:t xml:space="preserve">, </w:t>
      </w:r>
      <w:proofErr w:type="spellStart"/>
      <w:r w:rsidRPr="00E73CF6">
        <w:rPr>
          <w:sz w:val="20"/>
          <w:szCs w:val="20"/>
        </w:rPr>
        <w:t>Kuru</w:t>
      </w:r>
      <w:proofErr w:type="spellEnd"/>
      <w:r w:rsidRPr="00E73CF6">
        <w:rPr>
          <w:sz w:val="20"/>
          <w:szCs w:val="20"/>
        </w:rPr>
        <w:t>,</w:t>
      </w:r>
      <w:r>
        <w:rPr>
          <w:sz w:val="20"/>
          <w:szCs w:val="20"/>
        </w:rPr>
        <w:t xml:space="preserve"> Du</w:t>
      </w:r>
      <w:r w:rsidR="00031539">
        <w:rPr>
          <w:sz w:val="20"/>
          <w:szCs w:val="20"/>
        </w:rPr>
        <w:t xml:space="preserve"> and </w:t>
      </w:r>
      <w:proofErr w:type="spellStart"/>
      <w:r w:rsidR="00031539">
        <w:rPr>
          <w:sz w:val="20"/>
          <w:szCs w:val="20"/>
        </w:rPr>
        <w:t>Vwang</w:t>
      </w:r>
      <w:proofErr w:type="spellEnd"/>
      <w:r w:rsidR="00031539">
        <w:rPr>
          <w:sz w:val="20"/>
          <w:szCs w:val="20"/>
        </w:rPr>
        <w:t xml:space="preserve"> as in [15]</w:t>
      </w:r>
    </w:p>
    <w:p w:rsidR="00D51F71" w:rsidRPr="00E73CF6" w:rsidRDefault="00D51F71" w:rsidP="005C18BC">
      <w:pPr>
        <w:spacing w:line="360" w:lineRule="auto"/>
        <w:ind w:firstLine="720"/>
        <w:jc w:val="both"/>
        <w:rPr>
          <w:sz w:val="20"/>
          <w:szCs w:val="20"/>
        </w:rPr>
      </w:pPr>
      <w:r w:rsidRPr="00E73CF6">
        <w:rPr>
          <w:sz w:val="20"/>
          <w:szCs w:val="20"/>
        </w:rPr>
        <w:t>The structured tool used for this work is the quest</w:t>
      </w:r>
      <w:r w:rsidR="00E1483F">
        <w:rPr>
          <w:sz w:val="20"/>
          <w:szCs w:val="20"/>
        </w:rPr>
        <w:t xml:space="preserve">ionnaire which was made up of fifteen (15) </w:t>
      </w:r>
      <w:r w:rsidR="00D15A7B">
        <w:rPr>
          <w:sz w:val="20"/>
          <w:szCs w:val="20"/>
        </w:rPr>
        <w:t xml:space="preserve">questions in </w:t>
      </w:r>
      <w:r w:rsidRPr="00E73CF6">
        <w:rPr>
          <w:sz w:val="20"/>
          <w:szCs w:val="20"/>
        </w:rPr>
        <w:t>a</w:t>
      </w:r>
      <w:r w:rsidR="00D15A7B">
        <w:rPr>
          <w:sz w:val="20"/>
          <w:szCs w:val="20"/>
        </w:rPr>
        <w:t>l</w:t>
      </w:r>
      <w:r w:rsidRPr="00E73CF6">
        <w:rPr>
          <w:sz w:val="20"/>
          <w:szCs w:val="20"/>
        </w:rPr>
        <w:t xml:space="preserve">l. The questionnaire was made of two parts; Part A and Part B. Part A are questions related to personal or demographic information and in that </w:t>
      </w:r>
      <w:r w:rsidR="00E1483F">
        <w:rPr>
          <w:sz w:val="20"/>
          <w:szCs w:val="20"/>
        </w:rPr>
        <w:t xml:space="preserve">part we have </w:t>
      </w:r>
      <w:r w:rsidR="00360273">
        <w:rPr>
          <w:sz w:val="20"/>
          <w:szCs w:val="20"/>
        </w:rPr>
        <w:t>six (</w:t>
      </w:r>
      <w:r w:rsidR="00E1483F">
        <w:rPr>
          <w:sz w:val="20"/>
          <w:szCs w:val="20"/>
        </w:rPr>
        <w:t>6</w:t>
      </w:r>
      <w:r w:rsidR="00360273">
        <w:rPr>
          <w:sz w:val="20"/>
          <w:szCs w:val="20"/>
        </w:rPr>
        <w:t>)</w:t>
      </w:r>
      <w:r w:rsidR="00E1483F">
        <w:rPr>
          <w:sz w:val="20"/>
          <w:szCs w:val="20"/>
        </w:rPr>
        <w:t xml:space="preserve"> </w:t>
      </w:r>
      <w:r w:rsidRPr="00E73CF6">
        <w:rPr>
          <w:sz w:val="20"/>
          <w:szCs w:val="20"/>
        </w:rPr>
        <w:t>questions. Part B are questions related to opinion on past crisis and the way f</w:t>
      </w:r>
      <w:r w:rsidR="00360273">
        <w:rPr>
          <w:sz w:val="20"/>
          <w:szCs w:val="20"/>
        </w:rPr>
        <w:t>orward ,that part  consist of nine (9)</w:t>
      </w:r>
      <w:r w:rsidR="004D028C">
        <w:rPr>
          <w:sz w:val="20"/>
          <w:szCs w:val="20"/>
        </w:rPr>
        <w:t xml:space="preserve"> questions: Questions 1-6 dwells on dispensation of justice; 7-8 borders on economic factors while question 9 borders on impact of religion. </w:t>
      </w:r>
      <w:r w:rsidR="00982D1C">
        <w:rPr>
          <w:sz w:val="20"/>
          <w:szCs w:val="20"/>
        </w:rPr>
        <w:t>The responses beams on the level of agreement or disagreement with the question statement.</w:t>
      </w:r>
    </w:p>
    <w:p w:rsidR="00D51F71" w:rsidRPr="00E73CF6" w:rsidRDefault="00816358" w:rsidP="005C18BC">
      <w:pPr>
        <w:spacing w:line="360" w:lineRule="auto"/>
        <w:jc w:val="both"/>
        <w:rPr>
          <w:b/>
          <w:sz w:val="20"/>
          <w:szCs w:val="20"/>
        </w:rPr>
      </w:pPr>
      <w:r>
        <w:rPr>
          <w:sz w:val="20"/>
          <w:szCs w:val="20"/>
        </w:rPr>
        <w:t xml:space="preserve">            </w:t>
      </w:r>
      <w:r w:rsidR="00D51F71" w:rsidRPr="00E73CF6">
        <w:rPr>
          <w:sz w:val="20"/>
          <w:szCs w:val="20"/>
        </w:rPr>
        <w:t>The sample siz</w:t>
      </w:r>
      <w:r w:rsidR="00982D1C">
        <w:rPr>
          <w:sz w:val="20"/>
          <w:szCs w:val="20"/>
        </w:rPr>
        <w:t>e used for this research work wa</w:t>
      </w:r>
      <w:r w:rsidR="00D51F71" w:rsidRPr="00E73CF6">
        <w:rPr>
          <w:sz w:val="20"/>
          <w:szCs w:val="20"/>
        </w:rPr>
        <w:t>s estimated from the population size of 306</w:t>
      </w:r>
      <w:r w:rsidR="002471BC">
        <w:rPr>
          <w:sz w:val="20"/>
          <w:szCs w:val="20"/>
        </w:rPr>
        <w:t>,</w:t>
      </w:r>
      <w:r w:rsidR="00D51F71" w:rsidRPr="00E73CF6">
        <w:rPr>
          <w:sz w:val="20"/>
          <w:szCs w:val="20"/>
        </w:rPr>
        <w:t xml:space="preserve">716 for </w:t>
      </w:r>
      <w:proofErr w:type="spellStart"/>
      <w:r w:rsidR="00D51F71" w:rsidRPr="00E73CF6">
        <w:rPr>
          <w:sz w:val="20"/>
          <w:szCs w:val="20"/>
        </w:rPr>
        <w:t>Jos</w:t>
      </w:r>
      <w:proofErr w:type="spellEnd"/>
      <w:r w:rsidR="00D51F71" w:rsidRPr="00E73CF6">
        <w:rPr>
          <w:sz w:val="20"/>
          <w:szCs w:val="20"/>
        </w:rPr>
        <w:t>-South LG Area. The sample size</w:t>
      </w:r>
      <w:r w:rsidR="00ED580D">
        <w:rPr>
          <w:sz w:val="20"/>
          <w:szCs w:val="20"/>
        </w:rPr>
        <w:t xml:space="preserve"> was </w:t>
      </w:r>
      <w:r w:rsidR="00D51F71" w:rsidRPr="00E73CF6">
        <w:rPr>
          <w:sz w:val="20"/>
          <w:szCs w:val="20"/>
        </w:rPr>
        <w:t xml:space="preserve"> det</w:t>
      </w:r>
      <w:r w:rsidR="00ED580D">
        <w:rPr>
          <w:sz w:val="20"/>
          <w:szCs w:val="20"/>
        </w:rPr>
        <w:t>ermined</w:t>
      </w:r>
      <w:r w:rsidR="00824F42">
        <w:rPr>
          <w:sz w:val="20"/>
          <w:szCs w:val="20"/>
        </w:rPr>
        <w:t xml:space="preserve"> </w:t>
      </w:r>
      <w:r w:rsidR="00ED580D">
        <w:rPr>
          <w:sz w:val="20"/>
          <w:szCs w:val="20"/>
        </w:rPr>
        <w:t xml:space="preserve"> as in</w:t>
      </w:r>
      <w:r w:rsidR="00031539">
        <w:rPr>
          <w:sz w:val="20"/>
          <w:szCs w:val="20"/>
        </w:rPr>
        <w:t xml:space="preserve"> [18] and [19]</w:t>
      </w:r>
      <w:r w:rsidR="00ED580D">
        <w:rPr>
          <w:sz w:val="20"/>
          <w:szCs w:val="20"/>
        </w:rPr>
        <w:t>, where</w:t>
      </w:r>
    </w:p>
    <w:p w:rsidR="00D51F71" w:rsidRPr="00E73CF6" w:rsidRDefault="00D51F71" w:rsidP="005C18BC">
      <w:pPr>
        <w:spacing w:line="360" w:lineRule="auto"/>
        <w:ind w:firstLine="720"/>
        <w:jc w:val="both"/>
        <w:rPr>
          <w:sz w:val="20"/>
          <w:szCs w:val="20"/>
          <w:vertAlign w:val="superscript"/>
        </w:rPr>
      </w:pPr>
      <w:r w:rsidRPr="00E73CF6">
        <w:rPr>
          <w:sz w:val="20"/>
          <w:szCs w:val="20"/>
        </w:rPr>
        <w:t>Sample</w:t>
      </w:r>
      <w:r w:rsidRPr="00E73CF6">
        <w:rPr>
          <w:sz w:val="20"/>
          <w:szCs w:val="20"/>
          <w:vertAlign w:val="superscript"/>
        </w:rPr>
        <w:t xml:space="preserve"> </w:t>
      </w:r>
      <w:r w:rsidRPr="00E73CF6">
        <w:rPr>
          <w:sz w:val="20"/>
          <w:szCs w:val="20"/>
        </w:rPr>
        <w:t xml:space="preserve">size = </w:t>
      </w:r>
      <m:oMath>
        <m:f>
          <m:fPr>
            <m:ctrlPr>
              <w:rPr>
                <w:rFonts w:ascii="Cambria Math" w:hAnsi="Cambria Math"/>
                <w:i/>
                <w:sz w:val="20"/>
                <w:szCs w:val="20"/>
                <w:vertAlign w:val="superscript"/>
              </w:rPr>
            </m:ctrlPr>
          </m:fPr>
          <m:num>
            <m:r>
              <w:rPr>
                <w:rFonts w:ascii="Cambria Math" w:hAnsi="Cambria Math"/>
                <w:sz w:val="20"/>
                <w:szCs w:val="20"/>
                <w:vertAlign w:val="superscript"/>
              </w:rPr>
              <m:t>N</m:t>
            </m:r>
          </m:num>
          <m:den>
            <m:r>
              <w:rPr>
                <w:rFonts w:ascii="Cambria Math" w:hAnsi="Cambria Math"/>
                <w:sz w:val="20"/>
                <w:szCs w:val="20"/>
                <w:vertAlign w:val="superscript"/>
              </w:rPr>
              <m:t>1+N</m:t>
            </m:r>
            <m:sSup>
              <m:sSupPr>
                <m:ctrlPr>
                  <w:rPr>
                    <w:rFonts w:ascii="Cambria Math" w:hAnsi="Cambria Math"/>
                    <w:i/>
                    <w:sz w:val="20"/>
                    <w:szCs w:val="20"/>
                    <w:vertAlign w:val="superscript"/>
                  </w:rPr>
                </m:ctrlPr>
              </m:sSupPr>
              <m:e>
                <m:r>
                  <w:rPr>
                    <w:rFonts w:ascii="Cambria Math" w:hAnsi="Cambria Math"/>
                    <w:sz w:val="20"/>
                    <w:szCs w:val="20"/>
                    <w:vertAlign w:val="superscript"/>
                  </w:rPr>
                  <m:t>e</m:t>
                </m:r>
              </m:e>
              <m:sup>
                <m:r>
                  <w:rPr>
                    <w:rFonts w:ascii="Cambria Math" w:hAnsi="Cambria Math"/>
                    <w:sz w:val="20"/>
                    <w:szCs w:val="20"/>
                    <w:vertAlign w:val="superscript"/>
                  </w:rPr>
                  <m:t>2</m:t>
                </m:r>
              </m:sup>
            </m:sSup>
          </m:den>
        </m:f>
      </m:oMath>
      <w:r w:rsidR="008B49FD" w:rsidRPr="00E73CF6">
        <w:rPr>
          <w:sz w:val="20"/>
          <w:szCs w:val="20"/>
          <w:vertAlign w:val="superscript"/>
        </w:rPr>
        <w:t xml:space="preserve">, </w:t>
      </w:r>
      <w:r w:rsidR="008C4468">
        <w:rPr>
          <w:sz w:val="20"/>
          <w:szCs w:val="20"/>
          <w:vertAlign w:val="superscript"/>
        </w:rPr>
        <w:t xml:space="preserve">   </w:t>
      </w:r>
      <w:r w:rsidR="008B49FD" w:rsidRPr="00E73CF6">
        <w:rPr>
          <w:sz w:val="20"/>
          <w:szCs w:val="20"/>
          <w:vertAlign w:val="superscript"/>
        </w:rPr>
        <w:t xml:space="preserve"> </w:t>
      </w:r>
      <w:r w:rsidRPr="00E73CF6">
        <w:rPr>
          <w:i/>
          <w:sz w:val="20"/>
          <w:szCs w:val="20"/>
        </w:rPr>
        <w:t xml:space="preserve">N = </w:t>
      </w:r>
      <w:r w:rsidRPr="00E73CF6">
        <w:rPr>
          <w:sz w:val="20"/>
          <w:szCs w:val="20"/>
        </w:rPr>
        <w:t>Population Size</w:t>
      </w:r>
      <w:r w:rsidR="008B49FD" w:rsidRPr="00E73CF6">
        <w:rPr>
          <w:sz w:val="20"/>
          <w:szCs w:val="20"/>
        </w:rPr>
        <w:t xml:space="preserve">, </w:t>
      </w:r>
      <w:r w:rsidRPr="00E73CF6">
        <w:rPr>
          <w:i/>
          <w:sz w:val="20"/>
          <w:szCs w:val="20"/>
        </w:rPr>
        <w:t xml:space="preserve">e = </w:t>
      </w:r>
      <w:r w:rsidRPr="00E73CF6">
        <w:rPr>
          <w:sz w:val="20"/>
          <w:szCs w:val="20"/>
        </w:rPr>
        <w:t>Tolerable Error (0.05 or 0.1)</w:t>
      </w:r>
    </w:p>
    <w:p w:rsidR="00D51F71" w:rsidRPr="00E73CF6" w:rsidRDefault="00DA2379" w:rsidP="005C18BC">
      <w:pPr>
        <w:spacing w:line="360" w:lineRule="auto"/>
        <w:jc w:val="both"/>
        <w:rPr>
          <w:sz w:val="20"/>
          <w:szCs w:val="20"/>
        </w:rPr>
      </w:pPr>
      <w:r>
        <w:rPr>
          <w:sz w:val="20"/>
          <w:szCs w:val="20"/>
        </w:rPr>
        <w:t>At e=0.05, f</w:t>
      </w:r>
      <w:r w:rsidR="008C4468">
        <w:rPr>
          <w:sz w:val="20"/>
          <w:szCs w:val="20"/>
        </w:rPr>
        <w:t>our</w:t>
      </w:r>
      <w:r>
        <w:rPr>
          <w:sz w:val="20"/>
          <w:szCs w:val="20"/>
        </w:rPr>
        <w:t xml:space="preserve"> hundred (4</w:t>
      </w:r>
      <w:r w:rsidR="00D51F71" w:rsidRPr="00E73CF6">
        <w:rPr>
          <w:sz w:val="20"/>
          <w:szCs w:val="20"/>
        </w:rPr>
        <w:t>00) qu</w:t>
      </w:r>
      <w:r w:rsidR="008C4468">
        <w:rPr>
          <w:sz w:val="20"/>
          <w:szCs w:val="20"/>
        </w:rPr>
        <w:t>estionnaires were administered. Three hundred and fifty (3</w:t>
      </w:r>
      <w:r w:rsidR="008142CA">
        <w:rPr>
          <w:sz w:val="20"/>
          <w:szCs w:val="20"/>
        </w:rPr>
        <w:t>50</w:t>
      </w:r>
      <w:r w:rsidR="008C4468">
        <w:rPr>
          <w:sz w:val="20"/>
          <w:szCs w:val="20"/>
        </w:rPr>
        <w:t>)</w:t>
      </w:r>
      <w:r w:rsidR="008142CA">
        <w:rPr>
          <w:sz w:val="20"/>
          <w:szCs w:val="20"/>
        </w:rPr>
        <w:t xml:space="preserve"> were</w:t>
      </w:r>
      <w:r w:rsidR="00D51F71" w:rsidRPr="00E73CF6">
        <w:rPr>
          <w:sz w:val="20"/>
          <w:szCs w:val="20"/>
        </w:rPr>
        <w:t xml:space="preserve"> retrieved.</w:t>
      </w:r>
      <w:r w:rsidR="008142CA">
        <w:rPr>
          <w:sz w:val="20"/>
          <w:szCs w:val="20"/>
        </w:rPr>
        <w:t xml:space="preserve"> </w:t>
      </w:r>
      <w:r w:rsidR="008C4468">
        <w:rPr>
          <w:sz w:val="20"/>
          <w:szCs w:val="20"/>
        </w:rPr>
        <w:t>Fifty (</w:t>
      </w:r>
      <w:r w:rsidR="00D51F71" w:rsidRPr="00E73CF6">
        <w:rPr>
          <w:sz w:val="20"/>
          <w:szCs w:val="20"/>
        </w:rPr>
        <w:t>50</w:t>
      </w:r>
      <w:r w:rsidR="008C4468">
        <w:rPr>
          <w:sz w:val="20"/>
          <w:szCs w:val="20"/>
        </w:rPr>
        <w:t>)</w:t>
      </w:r>
      <w:r w:rsidR="00D51F71" w:rsidRPr="00E73CF6">
        <w:rPr>
          <w:sz w:val="20"/>
          <w:szCs w:val="20"/>
        </w:rPr>
        <w:t xml:space="preserve"> questionnaires were re</w:t>
      </w:r>
      <w:r w:rsidR="00824F42">
        <w:rPr>
          <w:sz w:val="20"/>
          <w:szCs w:val="20"/>
        </w:rPr>
        <w:t xml:space="preserve">ndered invalid due to inconsistency in responses. At the end </w:t>
      </w:r>
      <w:r w:rsidR="008C4468">
        <w:rPr>
          <w:sz w:val="20"/>
          <w:szCs w:val="20"/>
        </w:rPr>
        <w:t>Three hundred (3</w:t>
      </w:r>
      <w:r w:rsidR="00D51F71" w:rsidRPr="00E73CF6">
        <w:rPr>
          <w:sz w:val="20"/>
          <w:szCs w:val="20"/>
        </w:rPr>
        <w:t>00</w:t>
      </w:r>
      <w:r w:rsidR="008C4468">
        <w:rPr>
          <w:sz w:val="20"/>
          <w:szCs w:val="20"/>
        </w:rPr>
        <w:t>)</w:t>
      </w:r>
      <w:r w:rsidR="00D51F71" w:rsidRPr="00E73CF6">
        <w:rPr>
          <w:sz w:val="20"/>
          <w:szCs w:val="20"/>
        </w:rPr>
        <w:t xml:space="preserve"> samples were used for the analysis.</w:t>
      </w:r>
    </w:p>
    <w:p w:rsidR="00DA2379" w:rsidRDefault="00982D1C" w:rsidP="005C18BC">
      <w:pPr>
        <w:spacing w:line="360" w:lineRule="auto"/>
        <w:jc w:val="both"/>
        <w:rPr>
          <w:sz w:val="20"/>
          <w:szCs w:val="20"/>
        </w:rPr>
      </w:pPr>
      <w:r>
        <w:rPr>
          <w:b/>
          <w:sz w:val="20"/>
          <w:szCs w:val="20"/>
        </w:rPr>
        <w:t>2.3</w:t>
      </w:r>
      <w:r w:rsidR="00474E2C">
        <w:rPr>
          <w:b/>
          <w:sz w:val="20"/>
          <w:szCs w:val="20"/>
        </w:rPr>
        <w:t xml:space="preserve">. </w:t>
      </w:r>
      <w:proofErr w:type="spellStart"/>
      <w:r w:rsidR="00474E2C">
        <w:rPr>
          <w:b/>
          <w:sz w:val="20"/>
          <w:szCs w:val="20"/>
        </w:rPr>
        <w:t>Akaike</w:t>
      </w:r>
      <w:proofErr w:type="spellEnd"/>
      <w:r w:rsidR="00474E2C">
        <w:rPr>
          <w:b/>
          <w:sz w:val="20"/>
          <w:szCs w:val="20"/>
        </w:rPr>
        <w:t xml:space="preserve"> Information C</w:t>
      </w:r>
      <w:r w:rsidR="00591092">
        <w:rPr>
          <w:b/>
          <w:sz w:val="20"/>
          <w:szCs w:val="20"/>
        </w:rPr>
        <w:t>riterion</w:t>
      </w:r>
      <w:r w:rsidR="00D51F71" w:rsidRPr="00E73CF6">
        <w:rPr>
          <w:b/>
          <w:sz w:val="20"/>
          <w:szCs w:val="20"/>
        </w:rPr>
        <w:t xml:space="preserve"> (AIC</w:t>
      </w:r>
      <w:r w:rsidR="008B49FD" w:rsidRPr="00E73CF6">
        <w:rPr>
          <w:b/>
          <w:sz w:val="20"/>
          <w:szCs w:val="20"/>
        </w:rPr>
        <w:t>)</w:t>
      </w:r>
      <w:r w:rsidR="00591092">
        <w:rPr>
          <w:b/>
          <w:sz w:val="20"/>
          <w:szCs w:val="20"/>
        </w:rPr>
        <w:t>:</w:t>
      </w:r>
      <w:r w:rsidR="00D51F71" w:rsidRPr="00E73CF6">
        <w:rPr>
          <w:sz w:val="20"/>
          <w:szCs w:val="20"/>
        </w:rPr>
        <w:t xml:space="preserve"> </w:t>
      </w:r>
    </w:p>
    <w:p w:rsidR="00D51F71" w:rsidRPr="00E73CF6" w:rsidRDefault="00DA2379" w:rsidP="005C18BC">
      <w:pPr>
        <w:spacing w:line="360" w:lineRule="auto"/>
        <w:jc w:val="both"/>
        <w:rPr>
          <w:b/>
          <w:sz w:val="20"/>
          <w:szCs w:val="20"/>
        </w:rPr>
      </w:pPr>
      <w:r>
        <w:rPr>
          <w:sz w:val="20"/>
          <w:szCs w:val="20"/>
        </w:rPr>
        <w:t xml:space="preserve">         In regression analysis, AIC </w:t>
      </w:r>
      <w:r w:rsidR="00D51F71" w:rsidRPr="00E73CF6">
        <w:rPr>
          <w:sz w:val="20"/>
          <w:szCs w:val="20"/>
        </w:rPr>
        <w:t>esti</w:t>
      </w:r>
      <w:r>
        <w:rPr>
          <w:sz w:val="20"/>
          <w:szCs w:val="20"/>
        </w:rPr>
        <w:t>mates the quality of each model</w:t>
      </w:r>
      <w:r w:rsidR="00D51F71" w:rsidRPr="00E73CF6">
        <w:rPr>
          <w:sz w:val="20"/>
          <w:szCs w:val="20"/>
        </w:rPr>
        <w:t xml:space="preserve"> relative to each of the other models.</w:t>
      </w:r>
      <w:r w:rsidR="007130D0">
        <w:rPr>
          <w:sz w:val="20"/>
          <w:szCs w:val="20"/>
        </w:rPr>
        <w:t xml:space="preserve"> </w:t>
      </w:r>
      <w:r w:rsidR="00D51F71" w:rsidRPr="00E73CF6">
        <w:rPr>
          <w:sz w:val="20"/>
          <w:szCs w:val="20"/>
        </w:rPr>
        <w:t>AIC is founded on information theory: It offers a relative estimate of the information lost when a model is used to represent the process that generates the data.</w:t>
      </w:r>
      <w:r w:rsidR="008B49FD" w:rsidRPr="00E73CF6">
        <w:rPr>
          <w:b/>
          <w:sz w:val="20"/>
          <w:szCs w:val="20"/>
        </w:rPr>
        <w:t xml:space="preserve"> </w:t>
      </w:r>
      <w:r w:rsidR="00D51F71" w:rsidRPr="00E73CF6">
        <w:rPr>
          <w:sz w:val="20"/>
          <w:szCs w:val="20"/>
        </w:rPr>
        <w:t>The initial derivation of AIC relied upon some</w:t>
      </w:r>
      <w:r w:rsidR="00E931D6" w:rsidRPr="00E73CF6">
        <w:rPr>
          <w:sz w:val="20"/>
          <w:szCs w:val="20"/>
        </w:rPr>
        <w:t xml:space="preserve"> strong </w:t>
      </w:r>
      <w:r w:rsidR="00E931D6" w:rsidRPr="00E73CF6">
        <w:rPr>
          <w:sz w:val="20"/>
          <w:szCs w:val="20"/>
        </w:rPr>
        <w:lastRenderedPageBreak/>
        <w:t>assumptions</w:t>
      </w:r>
      <w:r w:rsidR="00D51F71" w:rsidRPr="00E73CF6">
        <w:rPr>
          <w:sz w:val="20"/>
          <w:szCs w:val="20"/>
        </w:rPr>
        <w:t xml:space="preserve"> founded on the concept o</w:t>
      </w:r>
      <w:r w:rsidR="00E931D6" w:rsidRPr="00E73CF6">
        <w:rPr>
          <w:sz w:val="20"/>
          <w:szCs w:val="20"/>
        </w:rPr>
        <w:t>f entropy in information theory</w:t>
      </w:r>
      <w:r w:rsidR="00ED580D">
        <w:rPr>
          <w:sz w:val="20"/>
          <w:szCs w:val="20"/>
        </w:rPr>
        <w:t>, hence the name information criterion</w:t>
      </w:r>
      <w:r w:rsidR="00EC2132">
        <w:rPr>
          <w:sz w:val="20"/>
          <w:szCs w:val="20"/>
        </w:rPr>
        <w:t xml:space="preserve"> as explained by </w:t>
      </w:r>
      <w:r w:rsidR="00031539">
        <w:rPr>
          <w:sz w:val="20"/>
          <w:szCs w:val="20"/>
        </w:rPr>
        <w:t>[20]</w:t>
      </w:r>
      <w:r w:rsidR="00D51F71" w:rsidRPr="00E73CF6">
        <w:rPr>
          <w:sz w:val="20"/>
          <w:szCs w:val="20"/>
        </w:rPr>
        <w:t>.</w:t>
      </w:r>
    </w:p>
    <w:p w:rsidR="00D51F71" w:rsidRDefault="00982D1C" w:rsidP="005C18BC">
      <w:pPr>
        <w:spacing w:line="360" w:lineRule="auto"/>
        <w:jc w:val="both"/>
        <w:rPr>
          <w:sz w:val="20"/>
          <w:szCs w:val="20"/>
        </w:rPr>
      </w:pPr>
      <w:r>
        <w:rPr>
          <w:sz w:val="20"/>
          <w:szCs w:val="20"/>
        </w:rPr>
        <w:t xml:space="preserve">        </w:t>
      </w:r>
      <w:r w:rsidR="00D51F71" w:rsidRPr="00E73CF6">
        <w:rPr>
          <w:sz w:val="20"/>
          <w:szCs w:val="20"/>
        </w:rPr>
        <w:t xml:space="preserve">AIC </w:t>
      </w:r>
      <w:r w:rsidR="006424CF" w:rsidRPr="00E73CF6">
        <w:rPr>
          <w:sz w:val="20"/>
          <w:szCs w:val="20"/>
        </w:rPr>
        <w:t>confers advantage in that: i</w:t>
      </w:r>
      <w:r w:rsidR="00D51F71" w:rsidRPr="00E73CF6">
        <w:rPr>
          <w:sz w:val="20"/>
          <w:szCs w:val="20"/>
        </w:rPr>
        <w:t>t is valid for bo</w:t>
      </w:r>
      <w:r w:rsidR="006424CF" w:rsidRPr="00E73CF6">
        <w:rPr>
          <w:sz w:val="20"/>
          <w:szCs w:val="20"/>
        </w:rPr>
        <w:t>th nested and non nested models; i</w:t>
      </w:r>
      <w:r w:rsidR="00D51F71" w:rsidRPr="00E73CF6">
        <w:rPr>
          <w:sz w:val="20"/>
          <w:szCs w:val="20"/>
        </w:rPr>
        <w:t>t compares models wi</w:t>
      </w:r>
      <w:r w:rsidR="006424CF" w:rsidRPr="00E73CF6">
        <w:rPr>
          <w:sz w:val="20"/>
          <w:szCs w:val="20"/>
        </w:rPr>
        <w:t>th different error distribution and; i</w:t>
      </w:r>
      <w:r w:rsidR="00D51F71" w:rsidRPr="00E73CF6">
        <w:rPr>
          <w:sz w:val="20"/>
          <w:szCs w:val="20"/>
        </w:rPr>
        <w:t>t avoids multiple testing issues.</w:t>
      </w:r>
    </w:p>
    <w:p w:rsidR="0029480A" w:rsidRDefault="0029480A" w:rsidP="005C18BC">
      <w:pPr>
        <w:spacing w:line="360" w:lineRule="auto"/>
        <w:jc w:val="both"/>
        <w:rPr>
          <w:sz w:val="20"/>
          <w:szCs w:val="20"/>
        </w:rPr>
      </w:pPr>
      <w:r>
        <w:rPr>
          <w:sz w:val="20"/>
          <w:szCs w:val="20"/>
        </w:rPr>
        <w:t xml:space="preserve">        Therefore, given the model of relationships below:</w:t>
      </w:r>
    </w:p>
    <w:p w:rsidR="00B62137" w:rsidRPr="00B62137" w:rsidRDefault="0029480A" w:rsidP="005C18BC">
      <w:pPr>
        <w:spacing w:line="360" w:lineRule="auto"/>
        <w:jc w:val="both"/>
        <w:rPr>
          <w:sz w:val="20"/>
          <w:szCs w:val="20"/>
        </w:rPr>
      </w:pPr>
      <w:r>
        <w:rPr>
          <w:color w:val="262626" w:themeColor="text1" w:themeTint="D9"/>
          <w:sz w:val="20"/>
          <w:szCs w:val="20"/>
        </w:rPr>
        <w:t xml:space="preserve">                                       </w:t>
      </w:r>
      <m:oMath>
        <m:sSub>
          <m:sSubPr>
            <m:ctrlPr>
              <w:rPr>
                <w:rFonts w:ascii="Cambria Math" w:hAnsi="Cambria Math"/>
                <w:i/>
                <w:color w:val="262626" w:themeColor="text1" w:themeTint="D9"/>
                <w:sz w:val="20"/>
                <w:szCs w:val="20"/>
                <w:vertAlign w:val="subscript"/>
              </w:rPr>
            </m:ctrlPr>
          </m:sSubPr>
          <m:e>
            <m:r>
              <w:rPr>
                <w:rFonts w:ascii="Cambria Math" w:hAnsi="Cambria Math"/>
                <w:color w:val="262626" w:themeColor="text1" w:themeTint="D9"/>
                <w:sz w:val="20"/>
                <w:szCs w:val="20"/>
                <w:vertAlign w:val="subscript"/>
              </w:rPr>
              <m:t>Y</m:t>
            </m:r>
          </m:e>
          <m:sub>
            <m:r>
              <w:rPr>
                <w:rFonts w:ascii="Cambria Math" w:hAnsi="Cambria Math"/>
                <w:color w:val="262626" w:themeColor="text1" w:themeTint="D9"/>
                <w:sz w:val="20"/>
                <w:szCs w:val="20"/>
                <w:vertAlign w:val="subscript"/>
              </w:rPr>
              <m:t>it</m:t>
            </m:r>
          </m:sub>
        </m:sSub>
        <m:r>
          <w:rPr>
            <w:rFonts w:ascii="Cambria Math"/>
            <w:color w:val="262626" w:themeColor="text1" w:themeTint="D9"/>
            <w:sz w:val="20"/>
            <w:szCs w:val="20"/>
            <w:vertAlign w:val="subscript"/>
          </w:rPr>
          <m:t>=</m:t>
        </m:r>
        <m:sSubSup>
          <m:sSubSupPr>
            <m:ctrlPr>
              <w:rPr>
                <w:rFonts w:ascii="Cambria Math" w:hAnsi="Cambria Math"/>
                <w:i/>
                <w:color w:val="262626" w:themeColor="text1" w:themeTint="D9"/>
                <w:sz w:val="20"/>
                <w:szCs w:val="20"/>
                <w:vertAlign w:val="subscript"/>
              </w:rPr>
            </m:ctrlPr>
          </m:sSubSupPr>
          <m:e>
            <m:r>
              <w:rPr>
                <w:rFonts w:ascii="Cambria Math" w:hAnsi="Cambria Math"/>
                <w:color w:val="262626" w:themeColor="text1" w:themeTint="D9"/>
                <w:sz w:val="20"/>
                <w:szCs w:val="20"/>
                <w:vertAlign w:val="subscript"/>
              </w:rPr>
              <m:t>X</m:t>
            </m:r>
          </m:e>
          <m:sub>
            <m:r>
              <w:rPr>
                <w:rFonts w:ascii="Cambria Math" w:hAnsi="Cambria Math"/>
                <w:color w:val="262626" w:themeColor="text1" w:themeTint="D9"/>
                <w:sz w:val="20"/>
                <w:szCs w:val="20"/>
                <w:vertAlign w:val="subscript"/>
              </w:rPr>
              <m:t>it</m:t>
            </m:r>
          </m:sub>
          <m:sup>
            <m:r>
              <w:rPr>
                <w:rFonts w:ascii="Cambria Math"/>
                <w:color w:val="262626" w:themeColor="text1" w:themeTint="D9"/>
                <w:sz w:val="20"/>
                <w:szCs w:val="20"/>
                <w:vertAlign w:val="subscript"/>
              </w:rPr>
              <m:t>1</m:t>
            </m:r>
          </m:sup>
        </m:sSubSup>
        <m:r>
          <w:rPr>
            <w:rFonts w:ascii="Cambria Math" w:hAnsi="Cambria Math"/>
            <w:color w:val="262626" w:themeColor="text1" w:themeTint="D9"/>
            <w:sz w:val="20"/>
            <w:szCs w:val="20"/>
            <w:vertAlign w:val="subscript"/>
          </w:rPr>
          <m:t>β</m:t>
        </m:r>
        <m:r>
          <w:rPr>
            <w:rFonts w:ascii="Cambria Math"/>
            <w:color w:val="262626" w:themeColor="text1" w:themeTint="D9"/>
            <w:sz w:val="20"/>
            <w:szCs w:val="20"/>
            <w:vertAlign w:val="subscript"/>
          </w:rPr>
          <m:t>+</m:t>
        </m:r>
        <m:sSub>
          <m:sSubPr>
            <m:ctrlPr>
              <w:rPr>
                <w:rFonts w:ascii="Cambria Math" w:hAnsi="Cambria Math"/>
                <w:i/>
                <w:color w:val="262626" w:themeColor="text1" w:themeTint="D9"/>
                <w:sz w:val="20"/>
                <w:szCs w:val="20"/>
                <w:vertAlign w:val="subscript"/>
              </w:rPr>
            </m:ctrlPr>
          </m:sSubPr>
          <m:e>
            <m:r>
              <w:rPr>
                <w:rFonts w:ascii="Cambria Math" w:hAnsi="Cambria Math"/>
                <w:color w:val="262626" w:themeColor="text1" w:themeTint="D9"/>
                <w:sz w:val="20"/>
                <w:szCs w:val="20"/>
                <w:vertAlign w:val="subscript"/>
              </w:rPr>
              <m:t>ε</m:t>
            </m:r>
          </m:e>
          <m:sub>
            <m:r>
              <w:rPr>
                <w:rFonts w:ascii="Cambria Math" w:hAnsi="Cambria Math"/>
                <w:color w:val="262626" w:themeColor="text1" w:themeTint="D9"/>
                <w:sz w:val="20"/>
                <w:szCs w:val="20"/>
                <w:vertAlign w:val="subscript"/>
              </w:rPr>
              <m:t>t</m:t>
            </m:r>
          </m:sub>
        </m:sSub>
      </m:oMath>
      <w:r>
        <w:rPr>
          <w:color w:val="262626" w:themeColor="text1" w:themeTint="D9"/>
          <w:sz w:val="20"/>
          <w:szCs w:val="20"/>
          <w:vertAlign w:val="subscript"/>
        </w:rPr>
        <w:t xml:space="preserve">                                                                                                                                                 </w:t>
      </w:r>
      <w:r>
        <w:rPr>
          <w:color w:val="262626" w:themeColor="text1" w:themeTint="D9"/>
          <w:sz w:val="20"/>
          <w:szCs w:val="20"/>
        </w:rPr>
        <w:t>(1)</w:t>
      </w:r>
      <w:r>
        <w:rPr>
          <w:color w:val="262626" w:themeColor="text1" w:themeTint="D9"/>
          <w:sz w:val="20"/>
          <w:szCs w:val="20"/>
          <w:vertAlign w:val="subscript"/>
        </w:rPr>
        <w:t xml:space="preserve">                     </w:t>
      </w:r>
    </w:p>
    <w:p w:rsidR="00B62137" w:rsidRPr="0029480A" w:rsidRDefault="0029480A" w:rsidP="005C18BC">
      <w:pPr>
        <w:spacing w:line="360" w:lineRule="auto"/>
        <w:jc w:val="both"/>
        <w:rPr>
          <w:sz w:val="20"/>
          <w:szCs w:val="20"/>
        </w:rPr>
      </w:pPr>
      <w:r>
        <w:rPr>
          <w:rFonts w:eastAsiaTheme="minorEastAsia"/>
          <w:color w:val="262626" w:themeColor="text1" w:themeTint="D9"/>
          <w:sz w:val="20"/>
          <w:szCs w:val="20"/>
          <w:vertAlign w:val="subscript"/>
        </w:rPr>
        <w:t xml:space="preserve">                                                           </w:t>
      </w:r>
      <w:r w:rsidR="00B62137" w:rsidRPr="00B62137">
        <w:rPr>
          <w:rFonts w:eastAsiaTheme="minorEastAsia"/>
          <w:color w:val="262626" w:themeColor="text1" w:themeTint="D9"/>
          <w:sz w:val="20"/>
          <w:szCs w:val="20"/>
          <w:vertAlign w:val="subscript"/>
        </w:rPr>
        <w:t xml:space="preserve">  </w:t>
      </w:r>
      <m:oMath>
        <m:sSub>
          <m:sSubPr>
            <m:ctrlPr>
              <w:rPr>
                <w:rFonts w:ascii="Cambria Math" w:hAnsi="Cambria Math"/>
                <w:i/>
                <w:color w:val="262626" w:themeColor="text1" w:themeTint="D9"/>
                <w:sz w:val="20"/>
                <w:szCs w:val="20"/>
                <w:vertAlign w:val="subscript"/>
              </w:rPr>
            </m:ctrlPr>
          </m:sSubPr>
          <m:e>
            <m:r>
              <w:rPr>
                <w:rFonts w:ascii="Cambria Math" w:hAnsi="Cambria Math"/>
                <w:color w:val="262626" w:themeColor="text1" w:themeTint="D9"/>
                <w:sz w:val="20"/>
                <w:szCs w:val="20"/>
                <w:vertAlign w:val="subscript"/>
              </w:rPr>
              <m:t>Y</m:t>
            </m:r>
          </m:e>
          <m:sub>
            <m:r>
              <w:rPr>
                <w:rFonts w:ascii="Cambria Math" w:hAnsi="Cambria Math"/>
                <w:color w:val="262626" w:themeColor="text1" w:themeTint="D9"/>
                <w:sz w:val="20"/>
                <w:szCs w:val="20"/>
                <w:vertAlign w:val="subscript"/>
              </w:rPr>
              <m:t>it</m:t>
            </m:r>
          </m:sub>
        </m:sSub>
        <m:r>
          <w:rPr>
            <w:rFonts w:ascii="Cambria Math"/>
            <w:color w:val="262626" w:themeColor="text1" w:themeTint="D9"/>
            <w:sz w:val="20"/>
            <w:szCs w:val="20"/>
            <w:vertAlign w:val="subscript"/>
          </w:rPr>
          <m:t>=</m:t>
        </m:r>
        <m:sSubSup>
          <m:sSubSupPr>
            <m:ctrlPr>
              <w:rPr>
                <w:rFonts w:ascii="Cambria Math" w:hAnsi="Cambria Math"/>
                <w:i/>
                <w:color w:val="262626" w:themeColor="text1" w:themeTint="D9"/>
                <w:sz w:val="20"/>
                <w:szCs w:val="20"/>
                <w:vertAlign w:val="subscript"/>
              </w:rPr>
            </m:ctrlPr>
          </m:sSubSupPr>
          <m:e>
            <m:r>
              <w:rPr>
                <w:rFonts w:ascii="Cambria Math" w:hAnsi="Cambria Math"/>
                <w:color w:val="262626" w:themeColor="text1" w:themeTint="D9"/>
                <w:sz w:val="20"/>
                <w:szCs w:val="20"/>
                <w:vertAlign w:val="subscript"/>
              </w:rPr>
              <m:t>X</m:t>
            </m:r>
          </m:e>
          <m:sub>
            <m:r>
              <w:rPr>
                <w:rFonts w:ascii="Cambria Math" w:hAnsi="Cambria Math"/>
                <w:color w:val="262626" w:themeColor="text1" w:themeTint="D9"/>
                <w:sz w:val="20"/>
                <w:szCs w:val="20"/>
                <w:vertAlign w:val="subscript"/>
              </w:rPr>
              <m:t>it</m:t>
            </m:r>
          </m:sub>
          <m:sup>
            <m:r>
              <w:rPr>
                <w:rFonts w:ascii="Cambria Math"/>
                <w:color w:val="262626" w:themeColor="text1" w:themeTint="D9"/>
                <w:sz w:val="20"/>
                <w:szCs w:val="20"/>
                <w:vertAlign w:val="subscript"/>
              </w:rPr>
              <m:t>1</m:t>
            </m:r>
          </m:sup>
        </m:sSubSup>
        <m:r>
          <w:rPr>
            <w:rFonts w:ascii="Cambria Math" w:hAnsi="Cambria Math"/>
            <w:color w:val="262626" w:themeColor="text1" w:themeTint="D9"/>
            <w:sz w:val="20"/>
            <w:szCs w:val="20"/>
            <w:vertAlign w:val="subscript"/>
          </w:rPr>
          <m:t>β</m:t>
        </m:r>
        <m:r>
          <w:rPr>
            <w:rFonts w:ascii="Cambria Math"/>
            <w:color w:val="262626" w:themeColor="text1" w:themeTint="D9"/>
            <w:sz w:val="20"/>
            <w:szCs w:val="20"/>
            <w:vertAlign w:val="subscript"/>
          </w:rPr>
          <m:t>+</m:t>
        </m:r>
        <m:sSub>
          <m:sSubPr>
            <m:ctrlPr>
              <w:rPr>
                <w:rFonts w:ascii="Cambria Math" w:hAnsi="Cambria Math"/>
                <w:i/>
                <w:color w:val="262626" w:themeColor="text1" w:themeTint="D9"/>
                <w:sz w:val="20"/>
                <w:szCs w:val="20"/>
                <w:vertAlign w:val="subscript"/>
              </w:rPr>
            </m:ctrlPr>
          </m:sSubPr>
          <m:e>
            <m:r>
              <w:rPr>
                <w:rFonts w:ascii="Cambria Math" w:hAnsi="Cambria Math"/>
                <w:color w:val="262626" w:themeColor="text1" w:themeTint="D9"/>
                <w:sz w:val="20"/>
                <w:szCs w:val="20"/>
                <w:vertAlign w:val="subscript"/>
              </w:rPr>
              <m:t>α</m:t>
            </m:r>
          </m:e>
          <m:sub>
            <m:r>
              <w:rPr>
                <w:rFonts w:ascii="Cambria Math" w:hAnsi="Cambria Math"/>
                <w:color w:val="262626" w:themeColor="text1" w:themeTint="D9"/>
                <w:sz w:val="20"/>
                <w:szCs w:val="20"/>
                <w:vertAlign w:val="subscript"/>
              </w:rPr>
              <m:t>i</m:t>
            </m:r>
          </m:sub>
        </m:sSub>
        <m:r>
          <w:rPr>
            <w:rFonts w:ascii="Cambria Math"/>
            <w:color w:val="262626" w:themeColor="text1" w:themeTint="D9"/>
            <w:sz w:val="20"/>
            <w:szCs w:val="20"/>
            <w:vertAlign w:val="subscript"/>
          </w:rPr>
          <m:t>+</m:t>
        </m:r>
        <m:sSub>
          <m:sSubPr>
            <m:ctrlPr>
              <w:rPr>
                <w:rFonts w:ascii="Cambria Math" w:hAnsi="Cambria Math"/>
                <w:i/>
                <w:color w:val="262626" w:themeColor="text1" w:themeTint="D9"/>
                <w:sz w:val="20"/>
                <w:szCs w:val="20"/>
                <w:vertAlign w:val="subscript"/>
              </w:rPr>
            </m:ctrlPr>
          </m:sSubPr>
          <m:e>
            <m:r>
              <w:rPr>
                <w:rFonts w:ascii="Cambria Math" w:hAnsi="Cambria Math"/>
                <w:color w:val="262626" w:themeColor="text1" w:themeTint="D9"/>
                <w:sz w:val="20"/>
                <w:szCs w:val="20"/>
                <w:vertAlign w:val="subscript"/>
              </w:rPr>
              <m:t>ε</m:t>
            </m:r>
          </m:e>
          <m:sub>
            <m:r>
              <w:rPr>
                <w:rFonts w:ascii="Cambria Math" w:hAnsi="Cambria Math"/>
                <w:color w:val="262626" w:themeColor="text1" w:themeTint="D9"/>
                <w:sz w:val="20"/>
                <w:szCs w:val="20"/>
                <w:vertAlign w:val="subscript"/>
              </w:rPr>
              <m:t>it</m:t>
            </m:r>
          </m:sub>
        </m:sSub>
      </m:oMath>
      <w:r>
        <w:rPr>
          <w:rFonts w:eastAsiaTheme="minorEastAsia"/>
          <w:color w:val="262626" w:themeColor="text1" w:themeTint="D9"/>
          <w:sz w:val="20"/>
          <w:szCs w:val="20"/>
        </w:rPr>
        <w:t xml:space="preserve">                                                                                    (2)</w:t>
      </w:r>
    </w:p>
    <w:p w:rsidR="00B62137" w:rsidRDefault="0029480A" w:rsidP="005C18BC">
      <w:pPr>
        <w:spacing w:line="360" w:lineRule="auto"/>
        <w:jc w:val="both"/>
        <w:rPr>
          <w:color w:val="262626" w:themeColor="text1" w:themeTint="D9"/>
          <w:sz w:val="20"/>
          <w:szCs w:val="20"/>
        </w:rPr>
      </w:pPr>
      <w:r>
        <w:rPr>
          <w:color w:val="262626" w:themeColor="text1" w:themeTint="D9"/>
          <w:sz w:val="20"/>
          <w:szCs w:val="20"/>
        </w:rPr>
        <w:t xml:space="preserve">                                       </w:t>
      </w:r>
      <m:oMath>
        <m:sSub>
          <m:sSubPr>
            <m:ctrlPr>
              <w:rPr>
                <w:rFonts w:ascii="Cambria Math" w:hAnsi="Cambria Math"/>
                <w:i/>
                <w:color w:val="262626" w:themeColor="text1" w:themeTint="D9"/>
                <w:sz w:val="20"/>
                <w:szCs w:val="20"/>
                <w:vertAlign w:val="subscript"/>
              </w:rPr>
            </m:ctrlPr>
          </m:sSubPr>
          <m:e>
            <m:r>
              <w:rPr>
                <w:rFonts w:ascii="Cambria Math" w:hAnsi="Cambria Math"/>
                <w:color w:val="262626" w:themeColor="text1" w:themeTint="D9"/>
                <w:sz w:val="20"/>
                <w:szCs w:val="20"/>
                <w:vertAlign w:val="subscript"/>
              </w:rPr>
              <m:t>Y</m:t>
            </m:r>
          </m:e>
          <m:sub>
            <m:r>
              <w:rPr>
                <w:rFonts w:ascii="Cambria Math" w:hAnsi="Cambria Math"/>
                <w:color w:val="262626" w:themeColor="text1" w:themeTint="D9"/>
                <w:sz w:val="20"/>
                <w:szCs w:val="20"/>
                <w:vertAlign w:val="subscript"/>
              </w:rPr>
              <m:t>it</m:t>
            </m:r>
          </m:sub>
        </m:sSub>
        <m:r>
          <w:rPr>
            <w:rFonts w:ascii="Cambria Math"/>
            <w:color w:val="262626" w:themeColor="text1" w:themeTint="D9"/>
            <w:sz w:val="20"/>
            <w:szCs w:val="20"/>
            <w:vertAlign w:val="subscript"/>
          </w:rPr>
          <m:t>=</m:t>
        </m:r>
        <m:sSubSup>
          <m:sSubSupPr>
            <m:ctrlPr>
              <w:rPr>
                <w:rFonts w:ascii="Cambria Math" w:hAnsi="Cambria Math"/>
                <w:i/>
                <w:color w:val="262626" w:themeColor="text1" w:themeTint="D9"/>
                <w:sz w:val="20"/>
                <w:szCs w:val="20"/>
                <w:vertAlign w:val="subscript"/>
              </w:rPr>
            </m:ctrlPr>
          </m:sSubSupPr>
          <m:e>
            <m:r>
              <w:rPr>
                <w:rFonts w:ascii="Cambria Math" w:hAnsi="Cambria Math"/>
                <w:color w:val="262626" w:themeColor="text1" w:themeTint="D9"/>
                <w:sz w:val="20"/>
                <w:szCs w:val="20"/>
                <w:vertAlign w:val="subscript"/>
              </w:rPr>
              <m:t>X</m:t>
            </m:r>
          </m:e>
          <m:sub>
            <m:r>
              <w:rPr>
                <w:rFonts w:ascii="Cambria Math" w:hAnsi="Cambria Math"/>
                <w:color w:val="262626" w:themeColor="text1" w:themeTint="D9"/>
                <w:sz w:val="20"/>
                <w:szCs w:val="20"/>
                <w:vertAlign w:val="subscript"/>
              </w:rPr>
              <m:t>it</m:t>
            </m:r>
          </m:sub>
          <m:sup>
            <m:r>
              <w:rPr>
                <w:rFonts w:ascii="Cambria Math"/>
                <w:color w:val="262626" w:themeColor="text1" w:themeTint="D9"/>
                <w:sz w:val="20"/>
                <w:szCs w:val="20"/>
                <w:vertAlign w:val="subscript"/>
              </w:rPr>
              <m:t>1</m:t>
            </m:r>
          </m:sup>
        </m:sSubSup>
        <m:r>
          <w:rPr>
            <w:rFonts w:ascii="Cambria Math" w:hAnsi="Cambria Math"/>
            <w:color w:val="262626" w:themeColor="text1" w:themeTint="D9"/>
            <w:sz w:val="20"/>
            <w:szCs w:val="20"/>
            <w:vertAlign w:val="subscript"/>
          </w:rPr>
          <m:t>β</m:t>
        </m:r>
        <m:r>
          <w:rPr>
            <w:rFonts w:ascii="Cambria Math"/>
            <w:color w:val="262626" w:themeColor="text1" w:themeTint="D9"/>
            <w:sz w:val="20"/>
            <w:szCs w:val="20"/>
            <w:vertAlign w:val="subscript"/>
          </w:rPr>
          <m:t>+</m:t>
        </m:r>
        <m:r>
          <m:rPr>
            <m:sty m:val="p"/>
          </m:rPr>
          <w:rPr>
            <w:rFonts w:ascii="Cambria Math" w:hAnsi="Cambria Math"/>
            <w:color w:val="262626" w:themeColor="text1" w:themeTint="D9"/>
            <w:sz w:val="20"/>
            <w:szCs w:val="20"/>
          </w:rPr>
          <m:t>γ</m:t>
        </m:r>
        <m:sSub>
          <m:sSubPr>
            <m:ctrlPr>
              <w:rPr>
                <w:rFonts w:ascii="Cambria Math" w:hAnsi="Cambria Math"/>
                <w:color w:val="262626" w:themeColor="text1" w:themeTint="D9"/>
                <w:sz w:val="20"/>
                <w:szCs w:val="20"/>
                <w:vertAlign w:val="subscript"/>
              </w:rPr>
            </m:ctrlPr>
          </m:sSubPr>
          <m:e>
            <m:r>
              <m:rPr>
                <m:sty m:val="p"/>
              </m:rPr>
              <w:rPr>
                <w:rFonts w:ascii="Cambria Math" w:hAnsi="Cambria Math"/>
                <w:color w:val="262626" w:themeColor="text1" w:themeTint="D9"/>
                <w:sz w:val="20"/>
                <w:szCs w:val="20"/>
                <w:vertAlign w:val="subscript"/>
              </w:rPr>
              <m:t>Y</m:t>
            </m:r>
          </m:e>
          <m:sub>
            <m:r>
              <m:rPr>
                <m:sty m:val="p"/>
              </m:rPr>
              <w:rPr>
                <w:rFonts w:ascii="Cambria Math" w:hAnsi="Cambria Math"/>
                <w:color w:val="262626" w:themeColor="text1" w:themeTint="D9"/>
                <w:sz w:val="20"/>
                <w:szCs w:val="20"/>
                <w:vertAlign w:val="subscript"/>
              </w:rPr>
              <m:t>it-1</m:t>
            </m:r>
          </m:sub>
        </m:sSub>
        <m:r>
          <m:rPr>
            <m:sty m:val="p"/>
          </m:rPr>
          <w:rPr>
            <w:rFonts w:ascii="Cambria Math" w:hAnsi="Cambria Math"/>
            <w:color w:val="262626" w:themeColor="text1" w:themeTint="D9"/>
            <w:sz w:val="20"/>
            <w:szCs w:val="20"/>
          </w:rPr>
          <m:t>+</m:t>
        </m:r>
        <m:sSub>
          <m:sSubPr>
            <m:ctrlPr>
              <w:rPr>
                <w:rFonts w:ascii="Cambria Math" w:hAnsi="Cambria Math"/>
                <w:color w:val="262626" w:themeColor="text1" w:themeTint="D9"/>
                <w:sz w:val="20"/>
                <w:szCs w:val="20"/>
                <w:vertAlign w:val="subscript"/>
              </w:rPr>
            </m:ctrlPr>
          </m:sSubPr>
          <m:e>
            <m:r>
              <m:rPr>
                <m:sty m:val="p"/>
              </m:rPr>
              <w:rPr>
                <w:rFonts w:ascii="Cambria Math" w:hAnsi="Cambria Math"/>
                <w:color w:val="262626" w:themeColor="text1" w:themeTint="D9"/>
                <w:sz w:val="20"/>
                <w:szCs w:val="20"/>
                <w:vertAlign w:val="subscript"/>
              </w:rPr>
              <m:t>α</m:t>
            </m:r>
          </m:e>
          <m:sub>
            <m:r>
              <m:rPr>
                <m:sty m:val="p"/>
              </m:rPr>
              <w:rPr>
                <w:rFonts w:ascii="Cambria Math" w:hAnsi="Cambria Math"/>
                <w:color w:val="262626" w:themeColor="text1" w:themeTint="D9"/>
                <w:sz w:val="20"/>
                <w:szCs w:val="20"/>
                <w:vertAlign w:val="subscript"/>
              </w:rPr>
              <m:t>i</m:t>
            </m:r>
          </m:sub>
        </m:sSub>
        <m:r>
          <m:rPr>
            <m:sty m:val="p"/>
          </m:rPr>
          <w:rPr>
            <w:rFonts w:ascii="Cambria Math" w:hAnsi="Cambria Math"/>
            <w:color w:val="262626" w:themeColor="text1" w:themeTint="D9"/>
            <w:sz w:val="20"/>
            <w:szCs w:val="20"/>
          </w:rPr>
          <m:t>+</m:t>
        </m:r>
        <m:sSub>
          <m:sSubPr>
            <m:ctrlPr>
              <w:rPr>
                <w:rFonts w:ascii="Cambria Math" w:hAnsi="Cambria Math"/>
                <w:i/>
                <w:color w:val="262626" w:themeColor="text1" w:themeTint="D9"/>
                <w:sz w:val="20"/>
                <w:szCs w:val="20"/>
                <w:vertAlign w:val="subscript"/>
              </w:rPr>
            </m:ctrlPr>
          </m:sSubPr>
          <m:e>
            <m:r>
              <w:rPr>
                <w:rFonts w:ascii="Cambria Math" w:hAnsi="Cambria Math"/>
                <w:color w:val="262626" w:themeColor="text1" w:themeTint="D9"/>
                <w:sz w:val="20"/>
                <w:szCs w:val="20"/>
                <w:vertAlign w:val="subscript"/>
              </w:rPr>
              <m:t>ε</m:t>
            </m:r>
          </m:e>
          <m:sub>
            <m:r>
              <w:rPr>
                <w:rFonts w:ascii="Cambria Math" w:hAnsi="Cambria Math"/>
                <w:color w:val="262626" w:themeColor="text1" w:themeTint="D9"/>
                <w:sz w:val="20"/>
                <w:szCs w:val="20"/>
                <w:vertAlign w:val="subscript"/>
              </w:rPr>
              <m:t>it</m:t>
            </m:r>
          </m:sub>
        </m:sSub>
      </m:oMath>
      <w:r>
        <w:rPr>
          <w:color w:val="262626" w:themeColor="text1" w:themeTint="D9"/>
          <w:sz w:val="20"/>
          <w:szCs w:val="20"/>
        </w:rPr>
        <w:t xml:space="preserve">                                                                       (3)</w:t>
      </w:r>
    </w:p>
    <w:p w:rsidR="00B90B99" w:rsidRDefault="00DA2379" w:rsidP="005C18BC">
      <w:pPr>
        <w:spacing w:line="360" w:lineRule="auto"/>
        <w:jc w:val="both"/>
        <w:rPr>
          <w:color w:val="262626" w:themeColor="text1" w:themeTint="D9"/>
          <w:sz w:val="20"/>
          <w:szCs w:val="20"/>
        </w:rPr>
      </w:pPr>
      <w:r>
        <w:rPr>
          <w:color w:val="262626" w:themeColor="text1" w:themeTint="D9"/>
          <w:sz w:val="20"/>
          <w:szCs w:val="20"/>
        </w:rPr>
        <w:t>w</w:t>
      </w:r>
      <w:r w:rsidR="00B90B99">
        <w:rPr>
          <w:color w:val="262626" w:themeColor="text1" w:themeTint="D9"/>
          <w:sz w:val="20"/>
          <w:szCs w:val="20"/>
        </w:rPr>
        <w:t>here</w:t>
      </w:r>
      <w:r w:rsidR="00B90B99" w:rsidRPr="00CF06A1">
        <w:rPr>
          <w:color w:val="262626" w:themeColor="text1" w:themeTint="D9"/>
          <w:sz w:val="20"/>
          <w:szCs w:val="20"/>
        </w:rPr>
        <w:t xml:space="preserve"> </w:t>
      </w:r>
      <w:proofErr w:type="spellStart"/>
      <w:r w:rsidR="00B90B99" w:rsidRPr="00CF06A1">
        <w:rPr>
          <w:color w:val="262626" w:themeColor="text1" w:themeTint="D9"/>
          <w:sz w:val="20"/>
          <w:szCs w:val="20"/>
        </w:rPr>
        <w:t>Y</w:t>
      </w:r>
      <w:r w:rsidR="00B90B99" w:rsidRPr="00CF06A1">
        <w:rPr>
          <w:color w:val="262626" w:themeColor="text1" w:themeTint="D9"/>
          <w:sz w:val="20"/>
          <w:szCs w:val="20"/>
          <w:vertAlign w:val="subscript"/>
        </w:rPr>
        <w:t>it</w:t>
      </w:r>
      <w:proofErr w:type="spellEnd"/>
      <w:r w:rsidR="00B90B99" w:rsidRPr="00CF06A1">
        <w:rPr>
          <w:color w:val="262626" w:themeColor="text1" w:themeTint="D9"/>
          <w:sz w:val="20"/>
          <w:szCs w:val="20"/>
        </w:rPr>
        <w:t xml:space="preserve">, </w:t>
      </w:r>
      <w:r w:rsidR="00B90B99">
        <w:rPr>
          <w:color w:val="262626" w:themeColor="text1" w:themeTint="D9"/>
          <w:sz w:val="20"/>
          <w:szCs w:val="20"/>
        </w:rPr>
        <w:t xml:space="preserve">is </w:t>
      </w:r>
      <w:r w:rsidR="00B90B99" w:rsidRPr="00CF06A1">
        <w:rPr>
          <w:color w:val="262626" w:themeColor="text1" w:themeTint="D9"/>
          <w:sz w:val="20"/>
          <w:szCs w:val="20"/>
        </w:rPr>
        <w:t xml:space="preserve">an (NT X I) vector of dependent variables, </w:t>
      </w:r>
      <w:proofErr w:type="spellStart"/>
      <w:r w:rsidR="00B90B99" w:rsidRPr="00CF06A1">
        <w:rPr>
          <w:color w:val="262626" w:themeColor="text1" w:themeTint="D9"/>
          <w:sz w:val="20"/>
          <w:szCs w:val="20"/>
        </w:rPr>
        <w:t>X</w:t>
      </w:r>
      <w:r w:rsidR="00B90B99" w:rsidRPr="00CF06A1">
        <w:rPr>
          <w:color w:val="262626" w:themeColor="text1" w:themeTint="D9"/>
          <w:sz w:val="20"/>
          <w:szCs w:val="20"/>
          <w:vertAlign w:val="subscript"/>
        </w:rPr>
        <w:t>it</w:t>
      </w:r>
      <w:proofErr w:type="spellEnd"/>
      <w:r w:rsidR="00B90B99" w:rsidRPr="00CF06A1">
        <w:rPr>
          <w:color w:val="262626" w:themeColor="text1" w:themeTint="D9"/>
          <w:sz w:val="20"/>
          <w:szCs w:val="20"/>
        </w:rPr>
        <w:t xml:space="preserve">, </w:t>
      </w:r>
      <w:r w:rsidR="00B90B99">
        <w:rPr>
          <w:color w:val="262626" w:themeColor="text1" w:themeTint="D9"/>
          <w:sz w:val="20"/>
          <w:szCs w:val="20"/>
        </w:rPr>
        <w:t>is an (NT X (K -</w:t>
      </w:r>
      <w:r w:rsidR="00B90B99" w:rsidRPr="00CF06A1">
        <w:rPr>
          <w:color w:val="262626" w:themeColor="text1" w:themeTint="D9"/>
          <w:sz w:val="20"/>
          <w:szCs w:val="20"/>
        </w:rPr>
        <w:t xml:space="preserve"> 1)) matrix of independent variables,</w:t>
      </w:r>
      <m:oMath>
        <m:r>
          <m:rPr>
            <m:sty m:val="p"/>
          </m:rPr>
          <w:rPr>
            <w:rFonts w:ascii="Cambria Math" w:hAnsi="Cambria Math"/>
            <w:color w:val="262626" w:themeColor="text1" w:themeTint="D9"/>
            <w:sz w:val="20"/>
            <w:szCs w:val="20"/>
            <w:vertAlign w:val="subscript"/>
          </w:rPr>
          <m:t xml:space="preserve"> </m:t>
        </m:r>
        <m:sSub>
          <m:sSubPr>
            <m:ctrlPr>
              <w:rPr>
                <w:rFonts w:ascii="Cambria Math" w:hAnsi="Cambria Math"/>
                <w:color w:val="262626" w:themeColor="text1" w:themeTint="D9"/>
                <w:sz w:val="20"/>
                <w:szCs w:val="20"/>
                <w:vertAlign w:val="subscript"/>
              </w:rPr>
            </m:ctrlPr>
          </m:sSubPr>
          <m:e>
            <m:r>
              <m:rPr>
                <m:sty m:val="p"/>
              </m:rPr>
              <w:rPr>
                <w:rFonts w:ascii="Cambria Math" w:hAnsi="Cambria Math"/>
                <w:color w:val="262626" w:themeColor="text1" w:themeTint="D9"/>
                <w:sz w:val="20"/>
                <w:szCs w:val="20"/>
                <w:vertAlign w:val="subscript"/>
              </w:rPr>
              <m:t>Y</m:t>
            </m:r>
          </m:e>
          <m:sub>
            <m:r>
              <m:rPr>
                <m:sty m:val="p"/>
              </m:rPr>
              <w:rPr>
                <w:rFonts w:ascii="Cambria Math" w:hAnsi="Cambria Math"/>
                <w:color w:val="262626" w:themeColor="text1" w:themeTint="D9"/>
                <w:sz w:val="20"/>
                <w:szCs w:val="20"/>
                <w:vertAlign w:val="subscript"/>
              </w:rPr>
              <m:t>it-1</m:t>
            </m:r>
          </m:sub>
        </m:sSub>
        <m:r>
          <w:rPr>
            <w:rFonts w:ascii="Cambria Math" w:hAnsi="Cambria Math"/>
            <w:color w:val="262626" w:themeColor="text1" w:themeTint="D9"/>
            <w:sz w:val="20"/>
            <w:szCs w:val="20"/>
            <w:vertAlign w:val="subscript"/>
          </w:rPr>
          <m:t>,</m:t>
        </m:r>
      </m:oMath>
      <w:r w:rsidR="00B90B99">
        <w:rPr>
          <w:color w:val="262626" w:themeColor="text1" w:themeTint="D9"/>
          <w:sz w:val="20"/>
          <w:szCs w:val="20"/>
          <w:vertAlign w:val="subscript"/>
        </w:rPr>
        <w:t xml:space="preserve">  </w:t>
      </w:r>
      <w:r w:rsidR="006D2ADE">
        <w:rPr>
          <w:color w:val="262626" w:themeColor="text1" w:themeTint="D9"/>
          <w:sz w:val="20"/>
          <w:szCs w:val="20"/>
        </w:rPr>
        <w:t xml:space="preserve">is </w:t>
      </w:r>
      <w:r w:rsidR="00B90B99" w:rsidRPr="00CF06A1">
        <w:rPr>
          <w:color w:val="262626" w:themeColor="text1" w:themeTint="D9"/>
          <w:sz w:val="20"/>
          <w:szCs w:val="20"/>
        </w:rPr>
        <w:t xml:space="preserve">an (NT X I) vector of </w:t>
      </w:r>
      <w:r w:rsidR="00B90B99">
        <w:rPr>
          <w:color w:val="262626" w:themeColor="text1" w:themeTint="D9"/>
          <w:sz w:val="20"/>
          <w:szCs w:val="20"/>
        </w:rPr>
        <w:t xml:space="preserve">lag one (1) </w:t>
      </w:r>
      <w:r w:rsidR="00B90B99" w:rsidRPr="00CF06A1">
        <w:rPr>
          <w:color w:val="262626" w:themeColor="text1" w:themeTint="D9"/>
          <w:sz w:val="20"/>
          <w:szCs w:val="20"/>
        </w:rPr>
        <w:t xml:space="preserve">dependent </w:t>
      </w:r>
      <w:r w:rsidR="006D2ADE">
        <w:rPr>
          <w:color w:val="262626" w:themeColor="text1" w:themeTint="D9"/>
          <w:sz w:val="20"/>
          <w:szCs w:val="20"/>
        </w:rPr>
        <w:t xml:space="preserve">(endogenous </w:t>
      </w:r>
      <w:proofErr w:type="spellStart"/>
      <w:r w:rsidR="006D2ADE">
        <w:rPr>
          <w:color w:val="262626" w:themeColor="text1" w:themeTint="D9"/>
          <w:sz w:val="20"/>
          <w:szCs w:val="20"/>
        </w:rPr>
        <w:t>regressor</w:t>
      </w:r>
      <w:proofErr w:type="spellEnd"/>
      <w:r w:rsidR="006D2ADE">
        <w:rPr>
          <w:color w:val="262626" w:themeColor="text1" w:themeTint="D9"/>
          <w:sz w:val="20"/>
          <w:szCs w:val="20"/>
        </w:rPr>
        <w:t>)</w:t>
      </w:r>
      <w:r w:rsidR="006D2ADE" w:rsidRPr="006D2ADE">
        <w:rPr>
          <w:color w:val="262626" w:themeColor="text1" w:themeTint="D9"/>
          <w:sz w:val="20"/>
          <w:szCs w:val="20"/>
        </w:rPr>
        <w:t xml:space="preserve"> </w:t>
      </w:r>
      <w:r w:rsidR="006D2ADE" w:rsidRPr="00CF06A1">
        <w:rPr>
          <w:color w:val="262626" w:themeColor="text1" w:themeTint="D9"/>
          <w:sz w:val="20"/>
          <w:szCs w:val="20"/>
        </w:rPr>
        <w:t>variables</w:t>
      </w:r>
      <w:r w:rsidR="006D2ADE">
        <w:rPr>
          <w:color w:val="262626" w:themeColor="text1" w:themeTint="D9"/>
          <w:sz w:val="20"/>
          <w:szCs w:val="20"/>
        </w:rPr>
        <w:t xml:space="preserve"> </w:t>
      </w:r>
      <w:r w:rsidR="00B90B99">
        <w:rPr>
          <w:color w:val="262626" w:themeColor="text1" w:themeTint="D9"/>
          <w:sz w:val="20"/>
          <w:szCs w:val="20"/>
        </w:rPr>
        <w:t>,</w:t>
      </w:r>
      <w:r w:rsidR="00B90B99" w:rsidRPr="00CF06A1">
        <w:rPr>
          <w:color w:val="262626" w:themeColor="text1" w:themeTint="D9"/>
          <w:sz w:val="20"/>
          <w:szCs w:val="20"/>
        </w:rPr>
        <w:t xml:space="preserve"> </w:t>
      </w:r>
      <m:oMath>
        <m:r>
          <w:rPr>
            <w:rFonts w:ascii="Cambria Math" w:hAnsi="Cambria Math"/>
            <w:color w:val="262626" w:themeColor="text1" w:themeTint="D9"/>
            <w:sz w:val="20"/>
            <w:szCs w:val="20"/>
          </w:rPr>
          <m:t>α</m:t>
        </m:r>
      </m:oMath>
      <w:r w:rsidR="00B90B99" w:rsidRPr="00CF06A1">
        <w:rPr>
          <w:color w:val="262626" w:themeColor="text1" w:themeTint="D9"/>
          <w:sz w:val="20"/>
          <w:szCs w:val="20"/>
          <w:vertAlign w:val="subscript"/>
        </w:rPr>
        <w:t>i</w:t>
      </w:r>
      <w:r w:rsidR="00B90B99" w:rsidRPr="00CF06A1">
        <w:rPr>
          <w:color w:val="262626" w:themeColor="text1" w:themeTint="D9"/>
          <w:sz w:val="20"/>
          <w:szCs w:val="20"/>
        </w:rPr>
        <w:t xml:space="preserve">, </w:t>
      </w:r>
      <w:r w:rsidR="006D2ADE">
        <w:rPr>
          <w:color w:val="262626" w:themeColor="text1" w:themeTint="D9"/>
          <w:sz w:val="20"/>
          <w:szCs w:val="20"/>
        </w:rPr>
        <w:t xml:space="preserve">is </w:t>
      </w:r>
      <w:r w:rsidR="00B90B99" w:rsidRPr="00CF06A1">
        <w:rPr>
          <w:color w:val="262626" w:themeColor="text1" w:themeTint="D9"/>
          <w:sz w:val="20"/>
          <w:szCs w:val="20"/>
        </w:rPr>
        <w:t xml:space="preserve">an (NT X 1) vector of individual effects and </w:t>
      </w:r>
      <w:r w:rsidR="00B90B99" w:rsidRPr="00CF06A1">
        <w:rPr>
          <w:color w:val="262626" w:themeColor="text1" w:themeTint="D9"/>
          <w:sz w:val="20"/>
          <w:szCs w:val="20"/>
        </w:rPr>
        <w:sym w:font="Symbol" w:char="F065"/>
      </w:r>
      <w:r w:rsidR="00B90B99" w:rsidRPr="00CF06A1">
        <w:rPr>
          <w:color w:val="262626" w:themeColor="text1" w:themeTint="D9"/>
          <w:sz w:val="20"/>
          <w:szCs w:val="20"/>
          <w:vertAlign w:val="subscript"/>
        </w:rPr>
        <w:t xml:space="preserve">it </w:t>
      </w:r>
      <w:r w:rsidR="00B90B99" w:rsidRPr="00CF06A1">
        <w:rPr>
          <w:color w:val="262626" w:themeColor="text1" w:themeTint="D9"/>
          <w:sz w:val="20"/>
          <w:szCs w:val="20"/>
        </w:rPr>
        <w:t xml:space="preserve"> , </w:t>
      </w:r>
      <w:r w:rsidR="006D2ADE">
        <w:rPr>
          <w:color w:val="262626" w:themeColor="text1" w:themeTint="D9"/>
          <w:sz w:val="20"/>
          <w:szCs w:val="20"/>
        </w:rPr>
        <w:t xml:space="preserve">is </w:t>
      </w:r>
      <w:r w:rsidR="00B90B99" w:rsidRPr="00CF06A1">
        <w:rPr>
          <w:color w:val="262626" w:themeColor="text1" w:themeTint="D9"/>
          <w:sz w:val="20"/>
          <w:szCs w:val="20"/>
        </w:rPr>
        <w:t>an (NT x</w:t>
      </w:r>
      <w:r w:rsidR="006D2ADE">
        <w:rPr>
          <w:color w:val="262626" w:themeColor="text1" w:themeTint="D9"/>
          <w:sz w:val="20"/>
          <w:szCs w:val="20"/>
        </w:rPr>
        <w:t xml:space="preserve"> I) vector of error terms. For clarit</w:t>
      </w:r>
      <w:r w:rsidR="00B90B99" w:rsidRPr="00CF06A1">
        <w:rPr>
          <w:color w:val="262626" w:themeColor="text1" w:themeTint="D9"/>
          <w:sz w:val="20"/>
          <w:szCs w:val="20"/>
        </w:rPr>
        <w:t xml:space="preserve">y, </w:t>
      </w:r>
      <w:proofErr w:type="spellStart"/>
      <w:r w:rsidR="00B90B99" w:rsidRPr="00CF06A1">
        <w:rPr>
          <w:color w:val="262626" w:themeColor="text1" w:themeTint="D9"/>
          <w:sz w:val="20"/>
          <w:szCs w:val="20"/>
        </w:rPr>
        <w:t>i</w:t>
      </w:r>
      <w:proofErr w:type="spellEnd"/>
      <w:r w:rsidR="00B90B99" w:rsidRPr="00CF06A1">
        <w:rPr>
          <w:color w:val="262626" w:themeColor="text1" w:themeTint="D9"/>
          <w:sz w:val="20"/>
          <w:szCs w:val="20"/>
        </w:rPr>
        <w:t xml:space="preserve">  denotes the i</w:t>
      </w:r>
      <w:r w:rsidR="006D2ADE">
        <w:rPr>
          <w:color w:val="262626" w:themeColor="text1" w:themeTint="D9"/>
          <w:sz w:val="20"/>
          <w:szCs w:val="20"/>
        </w:rPr>
        <w:t>ndividuals or groups</w:t>
      </w:r>
      <w:r w:rsidR="00B90B99" w:rsidRPr="00CF06A1">
        <w:rPr>
          <w:color w:val="262626" w:themeColor="text1" w:themeTint="D9"/>
          <w:sz w:val="20"/>
          <w:szCs w:val="20"/>
        </w:rPr>
        <w:t xml:space="preserve"> while t is the time period</w:t>
      </w:r>
      <w:r w:rsidR="006D2ADE">
        <w:rPr>
          <w:color w:val="262626" w:themeColor="text1" w:themeTint="D9"/>
          <w:sz w:val="20"/>
          <w:szCs w:val="20"/>
        </w:rPr>
        <w:t xml:space="preserve"> for a panel data when cohorts are considered.</w:t>
      </w:r>
    </w:p>
    <w:p w:rsidR="00B62137" w:rsidRPr="00B62137" w:rsidRDefault="006D2ADE" w:rsidP="005C18BC">
      <w:pPr>
        <w:spacing w:line="360" w:lineRule="auto"/>
        <w:jc w:val="both"/>
        <w:rPr>
          <w:sz w:val="20"/>
          <w:szCs w:val="20"/>
        </w:rPr>
      </w:pPr>
      <w:r>
        <w:rPr>
          <w:color w:val="262626" w:themeColor="text1" w:themeTint="D9"/>
          <w:sz w:val="20"/>
          <w:szCs w:val="20"/>
        </w:rPr>
        <w:t>For model selection in the models above,</w:t>
      </w:r>
      <w:r w:rsidR="00B62137" w:rsidRPr="00CF06A1">
        <w:rPr>
          <w:color w:val="262626" w:themeColor="text1" w:themeTint="D9"/>
          <w:sz w:val="20"/>
          <w:szCs w:val="20"/>
        </w:rPr>
        <w:t xml:space="preserve"> </w:t>
      </w:r>
      <w:proofErr w:type="spellStart"/>
      <w:r w:rsidR="00B62137" w:rsidRPr="00CF06A1">
        <w:rPr>
          <w:color w:val="262626" w:themeColor="text1" w:themeTint="D9"/>
          <w:sz w:val="20"/>
          <w:szCs w:val="20"/>
        </w:rPr>
        <w:t>Akaike</w:t>
      </w:r>
      <w:proofErr w:type="spellEnd"/>
      <w:r w:rsidR="00B62137" w:rsidRPr="00CF06A1">
        <w:rPr>
          <w:color w:val="262626" w:themeColor="text1" w:themeTint="D9"/>
          <w:sz w:val="20"/>
          <w:szCs w:val="20"/>
        </w:rPr>
        <w:t xml:space="preserve"> Information Criterion(AIC)  is given as  AIC=</w:t>
      </w:r>
      <m:oMath>
        <m:sSup>
          <m:sSupPr>
            <m:ctrlPr>
              <w:rPr>
                <w:rFonts w:ascii="Cambria Math" w:hAnsi="Cambria Math"/>
                <w:i/>
                <w:color w:val="262626" w:themeColor="text1" w:themeTint="D9"/>
                <w:sz w:val="20"/>
                <w:szCs w:val="20"/>
              </w:rPr>
            </m:ctrlPr>
          </m:sSupPr>
          <m:e>
            <m:r>
              <w:rPr>
                <w:rFonts w:ascii="Cambria Math" w:hAnsi="Cambria Math"/>
                <w:color w:val="262626" w:themeColor="text1" w:themeTint="D9"/>
                <w:sz w:val="20"/>
                <w:szCs w:val="20"/>
              </w:rPr>
              <m:t>e</m:t>
            </m:r>
          </m:e>
          <m:sup>
            <m:f>
              <m:fPr>
                <m:ctrlPr>
                  <w:rPr>
                    <w:rFonts w:ascii="Cambria Math" w:hAnsi="Cambria Math"/>
                    <w:i/>
                    <w:color w:val="262626" w:themeColor="text1" w:themeTint="D9"/>
                    <w:sz w:val="20"/>
                    <w:szCs w:val="20"/>
                  </w:rPr>
                </m:ctrlPr>
              </m:fPr>
              <m:num>
                <m:r>
                  <w:rPr>
                    <w:rFonts w:ascii="Cambria Math"/>
                    <w:color w:val="262626" w:themeColor="text1" w:themeTint="D9"/>
                    <w:sz w:val="20"/>
                    <w:szCs w:val="20"/>
                  </w:rPr>
                  <m:t>2</m:t>
                </m:r>
                <m:r>
                  <w:rPr>
                    <w:rFonts w:ascii="Cambria Math" w:hAnsi="Cambria Math"/>
                    <w:color w:val="262626" w:themeColor="text1" w:themeTint="D9"/>
                    <w:sz w:val="20"/>
                    <w:szCs w:val="20"/>
                  </w:rPr>
                  <m:t>k</m:t>
                </m:r>
              </m:num>
              <m:den>
                <m:r>
                  <w:rPr>
                    <w:rFonts w:ascii="Cambria Math" w:hAnsi="Cambria Math"/>
                    <w:color w:val="262626" w:themeColor="text1" w:themeTint="D9"/>
                    <w:sz w:val="20"/>
                    <w:szCs w:val="20"/>
                  </w:rPr>
                  <m:t>n</m:t>
                </m:r>
              </m:den>
            </m:f>
          </m:sup>
        </m:sSup>
        <m:f>
          <m:fPr>
            <m:ctrlPr>
              <w:rPr>
                <w:rFonts w:ascii="Cambria Math" w:hAnsi="Cambria Math"/>
                <w:i/>
                <w:color w:val="262626" w:themeColor="text1" w:themeTint="D9"/>
                <w:sz w:val="20"/>
                <w:szCs w:val="20"/>
              </w:rPr>
            </m:ctrlPr>
          </m:fPr>
          <m:num>
            <m:r>
              <w:rPr>
                <w:rFonts w:ascii="Cambria Math" w:hAnsi="Cambria Math"/>
                <w:color w:val="262626" w:themeColor="text1" w:themeTint="D9"/>
                <w:sz w:val="20"/>
                <w:szCs w:val="20"/>
              </w:rPr>
              <m:t>RSS</m:t>
            </m:r>
          </m:num>
          <m:den>
            <m:r>
              <w:rPr>
                <w:rFonts w:ascii="Cambria Math" w:hAnsi="Cambria Math"/>
                <w:color w:val="262626" w:themeColor="text1" w:themeTint="D9"/>
                <w:sz w:val="20"/>
                <w:szCs w:val="20"/>
              </w:rPr>
              <m:t>n</m:t>
            </m:r>
          </m:den>
        </m:f>
      </m:oMath>
      <w:r w:rsidR="00B62137" w:rsidRPr="00CF06A1">
        <w:rPr>
          <w:color w:val="262626" w:themeColor="text1" w:themeTint="D9"/>
          <w:sz w:val="20"/>
          <w:szCs w:val="20"/>
        </w:rPr>
        <w:t xml:space="preserve"> or ln AIC=</w:t>
      </w:r>
      <m:oMath>
        <m:f>
          <m:fPr>
            <m:ctrlPr>
              <w:rPr>
                <w:rFonts w:ascii="Cambria Math" w:hAnsi="Cambria Math"/>
                <w:i/>
                <w:color w:val="262626" w:themeColor="text1" w:themeTint="D9"/>
                <w:sz w:val="20"/>
                <w:szCs w:val="20"/>
              </w:rPr>
            </m:ctrlPr>
          </m:fPr>
          <m:num>
            <m:r>
              <w:rPr>
                <w:rFonts w:ascii="Cambria Math"/>
                <w:color w:val="262626" w:themeColor="text1" w:themeTint="D9"/>
                <w:sz w:val="20"/>
                <w:szCs w:val="20"/>
              </w:rPr>
              <m:t>2</m:t>
            </m:r>
            <m:r>
              <w:rPr>
                <w:rFonts w:ascii="Cambria Math" w:hAnsi="Cambria Math"/>
                <w:color w:val="262626" w:themeColor="text1" w:themeTint="D9"/>
                <w:sz w:val="20"/>
                <w:szCs w:val="20"/>
              </w:rPr>
              <m:t>k</m:t>
            </m:r>
          </m:num>
          <m:den>
            <m:r>
              <w:rPr>
                <w:rFonts w:ascii="Cambria Math" w:hAnsi="Cambria Math"/>
                <w:color w:val="262626" w:themeColor="text1" w:themeTint="D9"/>
                <w:sz w:val="20"/>
                <w:szCs w:val="20"/>
              </w:rPr>
              <m:t>n</m:t>
            </m:r>
          </m:den>
        </m:f>
        <m:r>
          <w:rPr>
            <w:rFonts w:ascii="Cambria Math"/>
            <w:color w:val="262626" w:themeColor="text1" w:themeTint="D9"/>
            <w:sz w:val="20"/>
            <w:szCs w:val="20"/>
          </w:rPr>
          <m:t>+</m:t>
        </m:r>
        <m:r>
          <m:rPr>
            <m:sty m:val="p"/>
          </m:rPr>
          <w:rPr>
            <w:rFonts w:ascii="Cambria Math"/>
            <w:color w:val="262626" w:themeColor="text1" w:themeTint="D9"/>
            <w:sz w:val="20"/>
            <w:szCs w:val="20"/>
          </w:rPr>
          <m:t>ln</m:t>
        </m:r>
        <m:r>
          <m:rPr>
            <m:sty m:val="p"/>
          </m:rPr>
          <w:rPr>
            <w:rFonts w:ascii="Cambria Math" w:hAnsi="Cambria Math"/>
            <w:color w:val="262626" w:themeColor="text1" w:themeTint="D9"/>
            <w:sz w:val="20"/>
            <w:szCs w:val="20"/>
          </w:rPr>
          <m:t>⁡</m:t>
        </m:r>
        <m:r>
          <w:rPr>
            <w:rFonts w:ascii="Cambria Math"/>
            <w:color w:val="262626" w:themeColor="text1" w:themeTint="D9"/>
            <w:sz w:val="20"/>
            <w:szCs w:val="20"/>
          </w:rPr>
          <m:t>(</m:t>
        </m:r>
        <m:f>
          <m:fPr>
            <m:ctrlPr>
              <w:rPr>
                <w:rFonts w:ascii="Cambria Math" w:hAnsi="Cambria Math"/>
                <w:i/>
                <w:color w:val="262626" w:themeColor="text1" w:themeTint="D9"/>
                <w:sz w:val="20"/>
                <w:szCs w:val="20"/>
              </w:rPr>
            </m:ctrlPr>
          </m:fPr>
          <m:num>
            <m:r>
              <w:rPr>
                <w:rFonts w:ascii="Cambria Math" w:hAnsi="Cambria Math"/>
                <w:color w:val="262626" w:themeColor="text1" w:themeTint="D9"/>
                <w:sz w:val="20"/>
                <w:szCs w:val="20"/>
              </w:rPr>
              <m:t>RSS</m:t>
            </m:r>
          </m:num>
          <m:den>
            <m:r>
              <w:rPr>
                <w:rFonts w:ascii="Cambria Math" w:hAnsi="Cambria Math"/>
                <w:color w:val="262626" w:themeColor="text1" w:themeTint="D9"/>
                <w:sz w:val="20"/>
                <w:szCs w:val="20"/>
              </w:rPr>
              <m:t>n</m:t>
            </m:r>
          </m:den>
        </m:f>
        <m:r>
          <w:rPr>
            <w:rFonts w:ascii="Cambria Math"/>
            <w:color w:val="262626" w:themeColor="text1" w:themeTint="D9"/>
            <w:sz w:val="20"/>
            <w:szCs w:val="20"/>
          </w:rPr>
          <m:t>)</m:t>
        </m:r>
      </m:oMath>
      <w:r w:rsidR="00B62137" w:rsidRPr="00CF06A1">
        <w:rPr>
          <w:color w:val="262626" w:themeColor="text1" w:themeTint="D9"/>
          <w:sz w:val="20"/>
          <w:szCs w:val="20"/>
        </w:rPr>
        <w:t>. where k is number of regressors, n is number of observations while RSS is the residual sum of squares</w:t>
      </w:r>
      <w:r w:rsidR="00793238">
        <w:rPr>
          <w:color w:val="262626" w:themeColor="text1" w:themeTint="D9"/>
          <w:sz w:val="20"/>
          <w:szCs w:val="20"/>
        </w:rPr>
        <w:t xml:space="preserve"> </w:t>
      </w:r>
      <w:r w:rsidR="00D51EAD">
        <w:rPr>
          <w:sz w:val="20"/>
          <w:szCs w:val="20"/>
        </w:rPr>
        <w:t>[20]</w:t>
      </w:r>
      <w:r w:rsidR="00B62137" w:rsidRPr="00CF06A1">
        <w:rPr>
          <w:color w:val="262626" w:themeColor="text1" w:themeTint="D9"/>
          <w:sz w:val="20"/>
          <w:szCs w:val="20"/>
        </w:rPr>
        <w:t>.</w:t>
      </w:r>
      <w:r>
        <w:rPr>
          <w:color w:val="262626" w:themeColor="text1" w:themeTint="D9"/>
          <w:sz w:val="20"/>
          <w:szCs w:val="20"/>
        </w:rPr>
        <w:t xml:space="preserve"> Where, again, the model with the least value of AIC is considered better than the rest if interest is in </w:t>
      </w:r>
      <w:r w:rsidR="002D46DF">
        <w:rPr>
          <w:color w:val="262626" w:themeColor="text1" w:themeTint="D9"/>
          <w:sz w:val="20"/>
          <w:szCs w:val="20"/>
        </w:rPr>
        <w:t>forecasting</w:t>
      </w:r>
      <w:r>
        <w:rPr>
          <w:color w:val="262626" w:themeColor="text1" w:themeTint="D9"/>
          <w:sz w:val="20"/>
          <w:szCs w:val="20"/>
        </w:rPr>
        <w:t xml:space="preserve">. </w:t>
      </w:r>
    </w:p>
    <w:p w:rsidR="00D51F71" w:rsidRPr="00E73CF6" w:rsidRDefault="00DB2974" w:rsidP="005C18BC">
      <w:pPr>
        <w:spacing w:line="360" w:lineRule="auto"/>
        <w:jc w:val="both"/>
        <w:rPr>
          <w:b/>
          <w:sz w:val="20"/>
          <w:szCs w:val="20"/>
        </w:rPr>
      </w:pPr>
      <w:r>
        <w:rPr>
          <w:sz w:val="20"/>
          <w:szCs w:val="20"/>
        </w:rPr>
        <w:t xml:space="preserve">        </w:t>
      </w:r>
      <w:r w:rsidR="002D46DF">
        <w:rPr>
          <w:sz w:val="20"/>
          <w:szCs w:val="20"/>
        </w:rPr>
        <w:t>For a contingency table analysis, as adopted in this work, t</w:t>
      </w:r>
      <w:r w:rsidR="00D51F71" w:rsidRPr="00E73CF6">
        <w:rPr>
          <w:sz w:val="20"/>
          <w:szCs w:val="20"/>
        </w:rPr>
        <w:t>he AIC model is represented in terms of dependence a</w:t>
      </w:r>
      <w:r w:rsidR="002D46DF">
        <w:rPr>
          <w:sz w:val="20"/>
          <w:szCs w:val="20"/>
        </w:rPr>
        <w:t xml:space="preserve">nd independence models. </w:t>
      </w:r>
      <w:r w:rsidR="00D51F71" w:rsidRPr="00E73CF6">
        <w:rPr>
          <w:sz w:val="20"/>
          <w:szCs w:val="20"/>
        </w:rPr>
        <w:t>When t</w:t>
      </w:r>
      <w:r w:rsidR="007130D0">
        <w:rPr>
          <w:sz w:val="20"/>
          <w:szCs w:val="20"/>
        </w:rPr>
        <w:t>he independence model</w:t>
      </w:r>
      <w:r w:rsidR="00D51F71" w:rsidRPr="00E73CF6">
        <w:rPr>
          <w:sz w:val="20"/>
          <w:szCs w:val="20"/>
        </w:rPr>
        <w:t xml:space="preserve"> value is minimum compared to</w:t>
      </w:r>
      <w:r w:rsidR="007130D0">
        <w:rPr>
          <w:sz w:val="20"/>
          <w:szCs w:val="20"/>
        </w:rPr>
        <w:t xml:space="preserve"> the dependence model </w:t>
      </w:r>
      <w:r w:rsidR="00D51F71" w:rsidRPr="00E73CF6">
        <w:rPr>
          <w:sz w:val="20"/>
          <w:szCs w:val="20"/>
        </w:rPr>
        <w:t>value</w:t>
      </w:r>
      <w:r w:rsidR="007130D0">
        <w:rPr>
          <w:sz w:val="20"/>
          <w:szCs w:val="20"/>
        </w:rPr>
        <w:t xml:space="preserve"> in </w:t>
      </w:r>
      <w:r w:rsidR="007130D0" w:rsidRPr="00E73CF6">
        <w:rPr>
          <w:sz w:val="20"/>
          <w:szCs w:val="20"/>
        </w:rPr>
        <w:t>absolute</w:t>
      </w:r>
      <w:r w:rsidR="007130D0">
        <w:rPr>
          <w:sz w:val="20"/>
          <w:szCs w:val="20"/>
        </w:rPr>
        <w:t xml:space="preserve"> terms</w:t>
      </w:r>
      <w:r w:rsidR="00D51F71" w:rsidRPr="00E73CF6">
        <w:rPr>
          <w:sz w:val="20"/>
          <w:szCs w:val="20"/>
        </w:rPr>
        <w:t>, we do not</w:t>
      </w:r>
      <w:r w:rsidR="007130D0">
        <w:rPr>
          <w:sz w:val="20"/>
          <w:szCs w:val="20"/>
        </w:rPr>
        <w:t xml:space="preserve"> reject Ho and otherwis</w:t>
      </w:r>
      <w:r w:rsidR="002471BC">
        <w:rPr>
          <w:sz w:val="20"/>
          <w:szCs w:val="20"/>
        </w:rPr>
        <w:t>e</w:t>
      </w:r>
      <w:r w:rsidR="00D51F71" w:rsidRPr="00E73CF6">
        <w:rPr>
          <w:sz w:val="20"/>
          <w:szCs w:val="20"/>
        </w:rPr>
        <w:t>, we do not accept H</w:t>
      </w:r>
      <w:r w:rsidR="00D51F71" w:rsidRPr="00E73CF6">
        <w:rPr>
          <w:sz w:val="20"/>
          <w:szCs w:val="20"/>
          <w:vertAlign w:val="subscript"/>
        </w:rPr>
        <w:t>0</w:t>
      </w:r>
      <w:r w:rsidR="00D51F71" w:rsidRPr="00E73CF6">
        <w:rPr>
          <w:sz w:val="20"/>
          <w:szCs w:val="20"/>
        </w:rPr>
        <w:t>.</w:t>
      </w:r>
      <w:r>
        <w:rPr>
          <w:sz w:val="20"/>
          <w:szCs w:val="20"/>
        </w:rPr>
        <w:t xml:space="preserve"> </w:t>
      </w:r>
    </w:p>
    <w:p w:rsidR="00D51F71" w:rsidRPr="00E73CF6" w:rsidRDefault="00D51F71" w:rsidP="005C18BC">
      <w:pPr>
        <w:spacing w:line="360" w:lineRule="auto"/>
        <w:ind w:firstLine="720"/>
        <w:jc w:val="both"/>
        <w:rPr>
          <w:sz w:val="20"/>
          <w:szCs w:val="20"/>
        </w:rPr>
      </w:pPr>
      <w:r w:rsidRPr="00E73CF6">
        <w:rPr>
          <w:sz w:val="20"/>
          <w:szCs w:val="20"/>
        </w:rPr>
        <w:t>The AIC models for independence and dependence are represented below</w:t>
      </w:r>
      <w:r w:rsidR="00833E3D">
        <w:rPr>
          <w:sz w:val="20"/>
          <w:szCs w:val="20"/>
        </w:rPr>
        <w:t xml:space="preserve"> </w:t>
      </w:r>
      <w:r w:rsidRPr="00E73CF6">
        <w:rPr>
          <w:sz w:val="20"/>
          <w:szCs w:val="20"/>
        </w:rPr>
        <w:t>, denoted by AIC (0) and AIC (1)</w:t>
      </w:r>
      <w:r w:rsidR="00833E3D">
        <w:rPr>
          <w:sz w:val="20"/>
          <w:szCs w:val="20"/>
        </w:rPr>
        <w:t>,</w:t>
      </w:r>
      <w:r w:rsidRPr="00E73CF6">
        <w:rPr>
          <w:sz w:val="20"/>
          <w:szCs w:val="20"/>
        </w:rPr>
        <w:t xml:space="preserve"> respectively</w:t>
      </w:r>
      <w:r w:rsidR="00833E3D">
        <w:rPr>
          <w:sz w:val="20"/>
          <w:szCs w:val="20"/>
        </w:rPr>
        <w:t>,</w:t>
      </w:r>
      <w:r w:rsidR="00833E3D" w:rsidRPr="00833E3D">
        <w:rPr>
          <w:sz w:val="20"/>
          <w:szCs w:val="20"/>
        </w:rPr>
        <w:t xml:space="preserve"> </w:t>
      </w:r>
      <w:r w:rsidR="00D51EAD">
        <w:rPr>
          <w:sz w:val="20"/>
          <w:szCs w:val="20"/>
        </w:rPr>
        <w:t>as in [21]</w:t>
      </w:r>
      <w:r w:rsidRPr="00E73CF6">
        <w:rPr>
          <w:sz w:val="20"/>
          <w:szCs w:val="20"/>
        </w:rPr>
        <w:t>.</w:t>
      </w:r>
    </w:p>
    <w:p w:rsidR="00D51F71" w:rsidRPr="00E73CF6" w:rsidRDefault="00D51F71" w:rsidP="005C18BC">
      <w:pPr>
        <w:pStyle w:val="ListParagraph"/>
        <w:numPr>
          <w:ilvl w:val="0"/>
          <w:numId w:val="6"/>
        </w:numPr>
        <w:spacing w:line="360" w:lineRule="auto"/>
        <w:jc w:val="both"/>
        <w:rPr>
          <w:sz w:val="20"/>
          <w:szCs w:val="20"/>
        </w:rPr>
      </w:pPr>
      <w:r w:rsidRPr="00E73CF6">
        <w:rPr>
          <w:sz w:val="20"/>
          <w:szCs w:val="20"/>
        </w:rPr>
        <w:t>Model for independence: AIC (0) =−2∑</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e</m:t>
            </m:r>
          </m:sub>
        </m:sSub>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.j</m:t>
                </m:r>
              </m:sub>
            </m:sSub>
          </m:num>
          <m:den>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den>
        </m:f>
        <m:r>
          <w:rPr>
            <w:rFonts w:ascii="Cambria Math"/>
            <w:sz w:val="20"/>
            <w:szCs w:val="20"/>
          </w:rPr>
          <m:t>+2</m:t>
        </m:r>
        <m:d>
          <m:dPr>
            <m:ctrlPr>
              <w:rPr>
                <w:rFonts w:ascii="Cambria Math" w:hAnsi="Cambria Math"/>
                <w:i/>
                <w:sz w:val="20"/>
                <w:szCs w:val="20"/>
              </w:rPr>
            </m:ctrlPr>
          </m:dPr>
          <m:e>
            <m:r>
              <w:rPr>
                <w:rFonts w:ascii="Cambria Math" w:hAnsi="Cambria Math"/>
                <w:sz w:val="20"/>
                <w:szCs w:val="20"/>
              </w:rPr>
              <m:t>rc</m:t>
            </m:r>
            <m:r>
              <w:rPr>
                <w:rFonts w:ascii="Cambria Math"/>
                <w:sz w:val="20"/>
                <w:szCs w:val="20"/>
              </w:rPr>
              <m:t>-</m:t>
            </m:r>
            <m:r>
              <w:rPr>
                <w:rFonts w:ascii="Cambria Math"/>
                <w:sz w:val="20"/>
                <w:szCs w:val="20"/>
              </w:rPr>
              <m:t>2</m:t>
            </m:r>
          </m:e>
        </m:d>
      </m:oMath>
      <w:r w:rsidR="002D46DF">
        <w:rPr>
          <w:sz w:val="20"/>
          <w:szCs w:val="20"/>
        </w:rPr>
        <w:t xml:space="preserve">                                          (4)</w:t>
      </w:r>
    </w:p>
    <w:p w:rsidR="00D51F71" w:rsidRPr="00E73CF6" w:rsidRDefault="00D51F71" w:rsidP="005C18BC">
      <w:pPr>
        <w:pStyle w:val="ListParagraph"/>
        <w:numPr>
          <w:ilvl w:val="0"/>
          <w:numId w:val="6"/>
        </w:numPr>
        <w:spacing w:line="360" w:lineRule="auto"/>
        <w:jc w:val="both"/>
        <w:rPr>
          <w:rFonts w:eastAsiaTheme="minorEastAsia"/>
          <w:sz w:val="20"/>
          <w:szCs w:val="20"/>
        </w:rPr>
      </w:pPr>
      <w:r w:rsidRPr="00E73CF6">
        <w:rPr>
          <w:rFonts w:eastAsiaTheme="minorEastAsia"/>
          <w:sz w:val="20"/>
          <w:szCs w:val="20"/>
        </w:rPr>
        <w:t>Model for dependence: AIC (1) =−2∑</w:t>
      </w: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ij</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log</m:t>
            </m:r>
          </m:e>
          <m:sub>
            <m:r>
              <w:rPr>
                <w:rFonts w:ascii="Cambria Math" w:eastAsiaTheme="minorEastAsia" w:hAnsi="Cambria Math"/>
                <w:sz w:val="20"/>
                <w:szCs w:val="20"/>
              </w:rPr>
              <m:t>e</m:t>
            </m:r>
          </m:sub>
        </m:sSub>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ij</m:t>
                </m:r>
              </m:sub>
            </m:sSub>
          </m:num>
          <m:den>
            <m:r>
              <w:rPr>
                <w:rFonts w:ascii="Cambria Math" w:eastAsiaTheme="minorEastAsia" w:hAnsi="Cambria Math"/>
                <w:sz w:val="20"/>
                <w:szCs w:val="20"/>
              </w:rPr>
              <m:t>n</m:t>
            </m:r>
          </m:den>
        </m:f>
        <m:r>
          <w:rPr>
            <w:rFonts w:ascii="Cambria Math" w:eastAsiaTheme="minorEastAsia"/>
            <w:sz w:val="20"/>
            <w:szCs w:val="20"/>
          </w:rPr>
          <m:t>+2(</m:t>
        </m:r>
        <m:r>
          <w:rPr>
            <w:rFonts w:ascii="Cambria Math" w:eastAsiaTheme="minorEastAsia" w:hAnsi="Cambria Math"/>
            <w:sz w:val="20"/>
            <w:szCs w:val="20"/>
          </w:rPr>
          <m:t>rc</m:t>
        </m:r>
        <m:r>
          <w:rPr>
            <w:rFonts w:eastAsiaTheme="minorEastAsia"/>
            <w:sz w:val="20"/>
            <w:szCs w:val="20"/>
          </w:rPr>
          <m:t>-</m:t>
        </m:r>
        <m:r>
          <w:rPr>
            <w:rFonts w:ascii="Cambria Math" w:eastAsiaTheme="minorEastAsia"/>
            <w:sz w:val="20"/>
            <w:szCs w:val="20"/>
          </w:rPr>
          <m:t>1)</m:t>
        </m:r>
      </m:oMath>
      <w:r w:rsidR="002D46DF">
        <w:rPr>
          <w:rFonts w:eastAsiaTheme="minorEastAsia"/>
          <w:sz w:val="20"/>
          <w:szCs w:val="20"/>
        </w:rPr>
        <w:t xml:space="preserve">                                                (5)</w:t>
      </w:r>
    </w:p>
    <w:p w:rsidR="008B49FD" w:rsidRPr="00E73CF6" w:rsidRDefault="00E931D6" w:rsidP="005C18BC">
      <w:pPr>
        <w:pStyle w:val="ListParagraph"/>
        <w:tabs>
          <w:tab w:val="left" w:pos="3105"/>
        </w:tabs>
        <w:spacing w:line="360" w:lineRule="auto"/>
        <w:jc w:val="both"/>
        <w:rPr>
          <w:rFonts w:eastAsiaTheme="minorEastAsia"/>
          <w:sz w:val="20"/>
          <w:szCs w:val="20"/>
        </w:rPr>
      </w:pPr>
      <w:r w:rsidRPr="00E73CF6">
        <w:rPr>
          <w:rFonts w:eastAsiaTheme="minorEastAsia"/>
          <w:sz w:val="20"/>
          <w:szCs w:val="20"/>
        </w:rPr>
        <w:t xml:space="preserve">Where: </w:t>
      </w:r>
      <w:r w:rsidR="00D51F71" w:rsidRPr="00E73CF6">
        <w:rPr>
          <w:rFonts w:eastAsiaTheme="minorEastAsia"/>
          <w:sz w:val="20"/>
          <w:szCs w:val="20"/>
        </w:rPr>
        <w:t>n = sample size</w:t>
      </w:r>
      <w:r w:rsidR="008B49FD" w:rsidRPr="00E73CF6">
        <w:rPr>
          <w:rFonts w:eastAsiaTheme="minorEastAsia"/>
          <w:sz w:val="20"/>
          <w:szCs w:val="20"/>
        </w:rPr>
        <w:t>,</w:t>
      </w:r>
      <w:r w:rsidR="00D51F71" w:rsidRPr="00E73CF6">
        <w:rPr>
          <w:rFonts w:eastAsiaTheme="minorEastAsia"/>
          <w:sz w:val="20"/>
          <w:szCs w:val="20"/>
        </w:rPr>
        <w:t xml:space="preserve"> r =number of rows</w:t>
      </w:r>
      <w:r w:rsidR="008B49FD" w:rsidRPr="00E73CF6">
        <w:rPr>
          <w:rFonts w:eastAsiaTheme="minorEastAsia"/>
          <w:sz w:val="20"/>
          <w:szCs w:val="20"/>
        </w:rPr>
        <w:t xml:space="preserve">, </w:t>
      </w:r>
      <w:r w:rsidR="00D51F71" w:rsidRPr="00E73CF6">
        <w:rPr>
          <w:rFonts w:eastAsiaTheme="minorEastAsia"/>
          <w:sz w:val="20"/>
          <w:szCs w:val="20"/>
        </w:rPr>
        <w:t>c =number of columns</w:t>
      </w:r>
    </w:p>
    <w:p w:rsidR="00D51F71" w:rsidRPr="00E73CF6" w:rsidRDefault="009922C5" w:rsidP="005C18BC">
      <w:pPr>
        <w:pStyle w:val="ListParagraph"/>
        <w:spacing w:line="360" w:lineRule="auto"/>
        <w:jc w:val="both"/>
        <w:rPr>
          <w:rFonts w:eastAsiaTheme="minorEastAsia"/>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ij</m:t>
            </m:r>
          </m:sub>
        </m:sSub>
      </m:oMath>
      <w:r w:rsidR="00D51F71" w:rsidRPr="00E73CF6">
        <w:rPr>
          <w:rFonts w:eastAsiaTheme="minorEastAsia"/>
          <w:sz w:val="20"/>
          <w:szCs w:val="20"/>
        </w:rPr>
        <w:t xml:space="preserve"> =observation in </w:t>
      </w:r>
      <w:proofErr w:type="spellStart"/>
      <w:r w:rsidR="00D51F71" w:rsidRPr="00E73CF6">
        <w:rPr>
          <w:rFonts w:eastAsiaTheme="minorEastAsia"/>
          <w:sz w:val="20"/>
          <w:szCs w:val="20"/>
        </w:rPr>
        <w:t>i</w:t>
      </w:r>
      <w:r w:rsidR="00D51F71" w:rsidRPr="00E73CF6">
        <w:rPr>
          <w:rFonts w:eastAsiaTheme="minorEastAsia"/>
          <w:sz w:val="20"/>
          <w:szCs w:val="20"/>
          <w:vertAlign w:val="superscript"/>
        </w:rPr>
        <w:t>th</w:t>
      </w:r>
      <w:proofErr w:type="spellEnd"/>
      <w:r w:rsidR="00D51F71" w:rsidRPr="00E73CF6">
        <w:rPr>
          <w:rFonts w:eastAsiaTheme="minorEastAsia"/>
          <w:sz w:val="20"/>
          <w:szCs w:val="20"/>
          <w:vertAlign w:val="superscript"/>
        </w:rPr>
        <w:t xml:space="preserve">  </w:t>
      </w:r>
      <w:r w:rsidR="00D51F71" w:rsidRPr="00E73CF6">
        <w:rPr>
          <w:rFonts w:eastAsiaTheme="minorEastAsia"/>
          <w:sz w:val="20"/>
          <w:szCs w:val="20"/>
        </w:rPr>
        <w:t xml:space="preserve">row and </w:t>
      </w:r>
      <w:proofErr w:type="spellStart"/>
      <w:r w:rsidR="00D51F71" w:rsidRPr="00E73CF6">
        <w:rPr>
          <w:rFonts w:eastAsiaTheme="minorEastAsia"/>
          <w:sz w:val="20"/>
          <w:szCs w:val="20"/>
        </w:rPr>
        <w:t>j</w:t>
      </w:r>
      <w:r w:rsidR="00D51F71" w:rsidRPr="00E73CF6">
        <w:rPr>
          <w:rFonts w:eastAsiaTheme="minorEastAsia"/>
          <w:sz w:val="20"/>
          <w:szCs w:val="20"/>
          <w:vertAlign w:val="superscript"/>
        </w:rPr>
        <w:t>th</w:t>
      </w:r>
      <w:proofErr w:type="spellEnd"/>
      <w:r w:rsidR="00D51F71" w:rsidRPr="00E73CF6">
        <w:rPr>
          <w:rFonts w:eastAsiaTheme="minorEastAsia"/>
          <w:sz w:val="20"/>
          <w:szCs w:val="20"/>
        </w:rPr>
        <w:t xml:space="preserve"> column</w:t>
      </w:r>
      <w:r w:rsidR="008B49FD" w:rsidRPr="00E73CF6">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.j</m:t>
            </m:r>
          </m:sub>
        </m:sSub>
      </m:oMath>
      <w:r w:rsidR="00D51F71" w:rsidRPr="00E73CF6">
        <w:rPr>
          <w:rFonts w:eastAsiaTheme="minorEastAsia"/>
          <w:sz w:val="20"/>
          <w:szCs w:val="20"/>
        </w:rPr>
        <w:t xml:space="preserve"> =column total</w:t>
      </w:r>
      <w:r w:rsidR="008B49FD" w:rsidRPr="00E73CF6">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i.</m:t>
            </m:r>
          </m:sub>
        </m:sSub>
      </m:oMath>
      <w:r w:rsidR="00D51F71" w:rsidRPr="00E73CF6">
        <w:rPr>
          <w:rFonts w:eastAsiaTheme="minorEastAsia"/>
          <w:sz w:val="20"/>
          <w:szCs w:val="20"/>
        </w:rPr>
        <w:t xml:space="preserve"> =row total</w:t>
      </w:r>
    </w:p>
    <w:p w:rsidR="00E01B7D" w:rsidRDefault="00982D1C" w:rsidP="00591092">
      <w:pPr>
        <w:spacing w:line="360" w:lineRule="auto"/>
        <w:jc w:val="both"/>
        <w:rPr>
          <w:rFonts w:eastAsiaTheme="minorEastAsia"/>
          <w:sz w:val="20"/>
          <w:szCs w:val="20"/>
        </w:rPr>
      </w:pPr>
      <w:r w:rsidRPr="00DB2974">
        <w:rPr>
          <w:rFonts w:eastAsiaTheme="minorEastAsia"/>
          <w:b/>
          <w:sz w:val="20"/>
          <w:szCs w:val="20"/>
        </w:rPr>
        <w:t>2.4</w:t>
      </w:r>
      <w:r w:rsidR="00591092" w:rsidRPr="00DB2974">
        <w:rPr>
          <w:rFonts w:eastAsiaTheme="minorEastAsia"/>
          <w:b/>
          <w:sz w:val="20"/>
          <w:szCs w:val="20"/>
        </w:rPr>
        <w:t xml:space="preserve">. </w:t>
      </w:r>
      <w:r w:rsidR="00D51F71" w:rsidRPr="00DB2974">
        <w:rPr>
          <w:rFonts w:eastAsiaTheme="minorEastAsia"/>
          <w:b/>
          <w:sz w:val="20"/>
          <w:szCs w:val="20"/>
        </w:rPr>
        <w:t>Residual Analysis</w:t>
      </w:r>
      <w:r w:rsidR="00591092" w:rsidRPr="00DB2974">
        <w:rPr>
          <w:rFonts w:eastAsiaTheme="minorEastAsia"/>
          <w:b/>
          <w:sz w:val="20"/>
          <w:szCs w:val="20"/>
        </w:rPr>
        <w:t>:</w:t>
      </w:r>
      <w:r w:rsidR="008142CA" w:rsidRPr="00DB2974">
        <w:rPr>
          <w:rFonts w:eastAsiaTheme="minorEastAsia"/>
          <w:sz w:val="20"/>
          <w:szCs w:val="20"/>
        </w:rPr>
        <w:t xml:space="preserve"> </w:t>
      </w:r>
    </w:p>
    <w:p w:rsidR="00D51F71" w:rsidRPr="00591092" w:rsidRDefault="00E01B7D" w:rsidP="00591092">
      <w:pPr>
        <w:spacing w:line="360" w:lineRule="auto"/>
        <w:jc w:val="both"/>
        <w:rPr>
          <w:rFonts w:eastAsiaTheme="minorEastAsia"/>
          <w:sz w:val="20"/>
          <w:szCs w:val="20"/>
        </w:rPr>
      </w:pPr>
      <w:r>
        <w:rPr>
          <w:rFonts w:eastAsiaTheme="minorEastAsia"/>
          <w:sz w:val="20"/>
          <w:szCs w:val="20"/>
        </w:rPr>
        <w:t xml:space="preserve">         </w:t>
      </w:r>
      <w:r w:rsidR="00DB2974" w:rsidRPr="00DB2974">
        <w:rPr>
          <w:rFonts w:eastAsiaTheme="minorEastAsia"/>
          <w:sz w:val="20"/>
          <w:szCs w:val="20"/>
        </w:rPr>
        <w:t>When the model of dependence is selected, we use residual analysis to determine the contribution or effect of each factor on the other factors or responses</w:t>
      </w:r>
      <w:r w:rsidR="00DB2974">
        <w:rPr>
          <w:rFonts w:eastAsiaTheme="minorEastAsia"/>
          <w:sz w:val="20"/>
          <w:szCs w:val="20"/>
        </w:rPr>
        <w:t xml:space="preserve"> through the contribution of each cell entry. Residual analysis </w:t>
      </w:r>
      <w:r w:rsidR="008142CA" w:rsidRPr="00591092">
        <w:rPr>
          <w:rFonts w:eastAsiaTheme="minorEastAsia"/>
          <w:sz w:val="20"/>
          <w:szCs w:val="20"/>
        </w:rPr>
        <w:t xml:space="preserve">is </w:t>
      </w:r>
      <w:r w:rsidR="00591092">
        <w:rPr>
          <w:rFonts w:eastAsiaTheme="minorEastAsia"/>
          <w:sz w:val="20"/>
          <w:szCs w:val="20"/>
        </w:rPr>
        <w:t xml:space="preserve">denoted by </w:t>
      </w: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ij</m:t>
            </m:r>
          </m:sub>
        </m:sSub>
      </m:oMath>
      <w:r w:rsidR="00591092">
        <w:rPr>
          <w:rFonts w:eastAsiaTheme="minorEastAsia"/>
          <w:sz w:val="20"/>
          <w:szCs w:val="20"/>
        </w:rPr>
        <w:t xml:space="preserve"> and </w:t>
      </w:r>
      <w:r w:rsidR="008142CA" w:rsidRPr="00591092">
        <w:rPr>
          <w:rFonts w:eastAsiaTheme="minorEastAsia"/>
          <w:sz w:val="20"/>
          <w:szCs w:val="20"/>
        </w:rPr>
        <w:t>determined as</w:t>
      </w:r>
    </w:p>
    <w:p w:rsidR="006D1CE2" w:rsidRPr="006D1CE2" w:rsidRDefault="002D46DF" w:rsidP="005C18BC">
      <w:pPr>
        <w:pStyle w:val="ListParagraph"/>
        <w:spacing w:line="360" w:lineRule="auto"/>
        <w:jc w:val="both"/>
        <w:rPr>
          <w:rFonts w:eastAsiaTheme="minorEastAsia"/>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ij</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ij</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i.</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.j</m:t>
                    </m:r>
                  </m:sub>
                </m:sSub>
              </m:num>
              <m:den>
                <m:r>
                  <w:rPr>
                    <w:rFonts w:ascii="Cambria Math" w:eastAsiaTheme="minorEastAsia" w:hAnsi="Cambria Math"/>
                    <w:sz w:val="20"/>
                    <w:szCs w:val="20"/>
                  </w:rPr>
                  <m:t>n</m:t>
                </m:r>
              </m:den>
            </m:f>
          </m:num>
          <m:den>
            <m:rad>
              <m:radPr>
                <m:degHide m:val="on"/>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i.</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.j</m:t>
                        </m:r>
                      </m:sub>
                    </m:sSub>
                  </m:num>
                  <m:den>
                    <m:r>
                      <w:rPr>
                        <w:rFonts w:ascii="Cambria Math" w:eastAsiaTheme="minorEastAsia" w:hAnsi="Cambria Math"/>
                        <w:sz w:val="20"/>
                        <w:szCs w:val="20"/>
                      </w:rPr>
                      <m:t>n</m:t>
                    </m:r>
                  </m:den>
                </m:f>
                <m:d>
                  <m:dPr>
                    <m:ctrlPr>
                      <w:rPr>
                        <w:rFonts w:ascii="Cambria Math" w:eastAsiaTheme="minorEastAsia" w:hAnsi="Cambria Math"/>
                        <w:i/>
                        <w:sz w:val="20"/>
                        <w:szCs w:val="20"/>
                      </w:rPr>
                    </m:ctrlPr>
                  </m:dPr>
                  <m:e>
                    <m:r>
                      <w:rPr>
                        <w:rFonts w:ascii="Cambria Math" w:eastAsiaTheme="minorEastAsia" w:hAnsi="Cambria Math"/>
                        <w:sz w:val="20"/>
                        <w:szCs w:val="20"/>
                      </w:rPr>
                      <m:t>1-</m:t>
                    </m:r>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ρ</m:t>
                            </m:r>
                          </m:e>
                        </m:acc>
                      </m:e>
                      <m:sub>
                        <m:r>
                          <w:rPr>
                            <w:rFonts w:ascii="Cambria Math" w:eastAsiaTheme="minorEastAsia" w:hAnsi="Cambria Math"/>
                            <w:sz w:val="20"/>
                            <w:szCs w:val="20"/>
                          </w:rPr>
                          <m:t>i</m:t>
                        </m:r>
                      </m:sub>
                    </m:sSub>
                  </m:e>
                </m:d>
                <m:d>
                  <m:dPr>
                    <m:ctrlPr>
                      <w:rPr>
                        <w:rFonts w:ascii="Cambria Math" w:eastAsiaTheme="minorEastAsia" w:hAnsi="Cambria Math"/>
                        <w:i/>
                        <w:sz w:val="20"/>
                        <w:szCs w:val="20"/>
                      </w:rPr>
                    </m:ctrlPr>
                  </m:dPr>
                  <m:e>
                    <m:r>
                      <w:rPr>
                        <w:rFonts w:ascii="Cambria Math" w:eastAsiaTheme="minorEastAsia" w:hAnsi="Cambria Math"/>
                        <w:sz w:val="20"/>
                        <w:szCs w:val="20"/>
                      </w:rPr>
                      <m:t>1-</m:t>
                    </m:r>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ρ</m:t>
                            </m:r>
                          </m:e>
                        </m:acc>
                      </m:e>
                      <m:sub>
                        <m:r>
                          <w:rPr>
                            <w:rFonts w:ascii="Cambria Math" w:eastAsiaTheme="minorEastAsia" w:hAnsi="Cambria Math"/>
                            <w:sz w:val="20"/>
                            <w:szCs w:val="20"/>
                          </w:rPr>
                          <m:t>j</m:t>
                        </m:r>
                      </m:sub>
                    </m:sSub>
                  </m:e>
                </m:d>
              </m:e>
            </m:rad>
          </m:den>
        </m:f>
      </m:oMath>
      <w:r>
        <w:rPr>
          <w:rFonts w:eastAsiaTheme="minorEastAsia"/>
          <w:sz w:val="20"/>
          <w:szCs w:val="20"/>
        </w:rPr>
        <w:t xml:space="preserve">                                                                                (6)  </w:t>
      </w:r>
    </w:p>
    <w:p w:rsidR="00D51F71" w:rsidRPr="002D46DF" w:rsidRDefault="002D46DF" w:rsidP="002D46DF">
      <w:pPr>
        <w:spacing w:line="360" w:lineRule="auto"/>
        <w:jc w:val="both"/>
        <w:rPr>
          <w:rFonts w:eastAsiaTheme="minorEastAsia"/>
          <w:sz w:val="20"/>
          <w:szCs w:val="20"/>
        </w:rPr>
      </w:pPr>
      <w:r>
        <w:rPr>
          <w:rFonts w:eastAsiaTheme="minorEastAsia"/>
          <w:sz w:val="20"/>
          <w:szCs w:val="20"/>
        </w:rPr>
        <w:t xml:space="preserve">                                       </w:t>
      </w:r>
      <m:oMath>
        <m:r>
          <w:rPr>
            <w:rFonts w:ascii="Cambria Math" w:hAnsi="Cambria Math"/>
            <w:sz w:val="20"/>
            <w:szCs w:val="20"/>
          </w:rPr>
          <m:t xml:space="preserve">  </m:t>
        </m:r>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ρ</m:t>
                </m:r>
              </m:e>
            </m:acc>
          </m:e>
          <m:sub>
            <m:r>
              <w:rPr>
                <w:rFonts w:ascii="Cambria Math" w:hAnsi="Cambria Math"/>
                <w:sz w:val="20"/>
                <w:szCs w:val="20"/>
              </w:rPr>
              <m:t>i</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m:t>
                    </m:r>
                  </m:sub>
                </m:sSub>
                <m:r>
                  <w:rPr>
                    <w:rFonts w:ascii="Cambria Math" w:hAnsi="Cambria Math"/>
                    <w:sz w:val="20"/>
                    <w:szCs w:val="20"/>
                  </w:rPr>
                  <m:t>n</m:t>
                </m:r>
              </m:e>
              <m:sub>
                <m:r>
                  <w:rPr>
                    <w:rFonts w:ascii="Cambria Math" w:hAnsi="Cambria Math"/>
                    <w:sz w:val="20"/>
                    <w:szCs w:val="20"/>
                  </w:rPr>
                  <m:t>.j</m:t>
                </m:r>
              </m:sub>
            </m:sSub>
          </m:num>
          <m:den>
            <m:sSub>
              <m:sSubPr>
                <m:ctrlPr>
                  <w:rPr>
                    <w:rFonts w:ascii="Cambria Math" w:hAnsi="Cambria Math"/>
                    <w:i/>
                    <w:sz w:val="20"/>
                    <w:szCs w:val="20"/>
                  </w:rPr>
                </m:ctrlPr>
              </m:sSubPr>
              <m:e>
                <m:r>
                  <w:rPr>
                    <w:rFonts w:ascii="Cambria Math" w:hAnsi="Cambria Math"/>
                    <w:sz w:val="20"/>
                    <w:szCs w:val="20"/>
                  </w:rPr>
                  <m:t>n n</m:t>
                </m:r>
              </m:e>
              <m:sub>
                <m:r>
                  <w:rPr>
                    <w:rFonts w:ascii="Cambria Math" w:hAnsi="Cambria Math"/>
                    <w:sz w:val="20"/>
                    <w:szCs w:val="20"/>
                  </w:rPr>
                  <m:t>i.</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m:t>
            </m:r>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m:t>
                </m:r>
              </m:sub>
            </m:sSub>
          </m:den>
        </m:f>
        <m:r>
          <w:rPr>
            <w:rFonts w:ascii="Cambria Math" w:hAnsi="Cambria Math"/>
            <w:sz w:val="20"/>
            <w:szCs w:val="20"/>
          </w:rPr>
          <m:t xml:space="preserve">,  </m:t>
        </m:r>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ρ</m:t>
                </m:r>
              </m:e>
            </m:acc>
          </m:e>
          <m:sub>
            <m:r>
              <w:rPr>
                <w:rFonts w:ascii="Cambria Math" w:hAnsi="Cambria Math"/>
                <w:sz w:val="20"/>
                <w:szCs w:val="20"/>
              </w:rPr>
              <m:t>j</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m:t>
                    </m:r>
                  </m:sub>
                </m:sSub>
                <m:r>
                  <w:rPr>
                    <w:rFonts w:ascii="Cambria Math" w:hAnsi="Cambria Math"/>
                    <w:sz w:val="20"/>
                    <w:szCs w:val="20"/>
                  </w:rPr>
                  <m:t>n</m:t>
                </m:r>
              </m:e>
              <m:sub>
                <m:r>
                  <w:rPr>
                    <w:rFonts w:ascii="Cambria Math" w:hAnsi="Cambria Math"/>
                    <w:sz w:val="20"/>
                    <w:szCs w:val="20"/>
                  </w:rPr>
                  <m:t>.j</m:t>
                </m:r>
              </m:sub>
            </m:sSub>
          </m:num>
          <m:den>
            <m:r>
              <w:rPr>
                <w:rFonts w:ascii="Cambria Math" w:hAnsi="Cambria Math"/>
                <w:sz w:val="20"/>
                <w:szCs w:val="20"/>
              </w:rPr>
              <m:t xml:space="preserve">n </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.j</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m:t>
            </m:r>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.j</m:t>
                </m:r>
              </m:sub>
            </m:sSub>
          </m:den>
        </m:f>
      </m:oMath>
      <w:r>
        <w:rPr>
          <w:rFonts w:eastAsiaTheme="minorEastAsia"/>
          <w:sz w:val="20"/>
          <w:szCs w:val="20"/>
        </w:rPr>
        <w:t xml:space="preserve">                                                                 (7)                                              </w:t>
      </w:r>
    </w:p>
    <w:p w:rsidR="00D51F71" w:rsidRPr="00E73CF6" w:rsidRDefault="00EA6371" w:rsidP="005C18BC">
      <w:pPr>
        <w:pStyle w:val="ListParagraph"/>
        <w:spacing w:line="360" w:lineRule="auto"/>
        <w:jc w:val="both"/>
        <w:rPr>
          <w:sz w:val="20"/>
          <w:szCs w:val="20"/>
        </w:rPr>
      </w:pPr>
      <w:r>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ij</m:t>
            </m:r>
          </m:sub>
        </m:sSub>
      </m:oMath>
      <w:r w:rsidR="00D51F71" w:rsidRPr="00E73CF6">
        <w:rPr>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m:t>
            </m:r>
          </m:sub>
        </m:sSub>
      </m:oMath>
      <w:r w:rsidR="00D51F71" w:rsidRPr="00E73CF6">
        <w:rPr>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.j</m:t>
            </m:r>
          </m:sub>
        </m:sSub>
      </m:oMath>
      <w:r w:rsidR="00D51F71" w:rsidRPr="00E73CF6">
        <w:rPr>
          <w:sz w:val="20"/>
          <w:szCs w:val="20"/>
        </w:rPr>
        <w:t xml:space="preserve"> has the </w:t>
      </w:r>
      <w:r w:rsidR="008142CA">
        <w:rPr>
          <w:sz w:val="20"/>
          <w:szCs w:val="20"/>
        </w:rPr>
        <w:t xml:space="preserve">same meaning as explained above while E is </w:t>
      </w:r>
      <w:r w:rsidR="00591092">
        <w:rPr>
          <w:sz w:val="20"/>
          <w:szCs w:val="20"/>
        </w:rPr>
        <w:t xml:space="preserve">the </w:t>
      </w:r>
      <w:r w:rsidR="008142CA">
        <w:rPr>
          <w:sz w:val="20"/>
          <w:szCs w:val="20"/>
        </w:rPr>
        <w:t>expected value</w:t>
      </w:r>
    </w:p>
    <w:p w:rsidR="00D51F71" w:rsidRPr="008142CA" w:rsidRDefault="009922C5" w:rsidP="005C18BC">
      <w:pPr>
        <w:pStyle w:val="ListParagraph"/>
        <w:spacing w:line="360" w:lineRule="auto"/>
        <w:jc w:val="both"/>
        <w:rPr>
          <w:rFonts w:eastAsiaTheme="minorEastAsia"/>
          <w:sz w:val="20"/>
          <w:szCs w:val="20"/>
        </w:rPr>
      </w:pPr>
      <m:oMath>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ρ</m:t>
                </m:r>
              </m:e>
            </m:acc>
          </m:e>
          <m:sub>
            <m:r>
              <w:rPr>
                <w:rFonts w:ascii="Cambria Math" w:eastAsiaTheme="minorEastAsia" w:hAnsi="Cambria Math"/>
                <w:sz w:val="20"/>
                <w:szCs w:val="20"/>
              </w:rPr>
              <m:t>i</m:t>
            </m:r>
          </m:sub>
        </m:sSub>
        <m:r>
          <w:rPr>
            <w:rFonts w:ascii="Cambria Math" w:eastAsiaTheme="minorEastAsia" w:hAnsi="Cambria Math"/>
            <w:sz w:val="20"/>
            <w:szCs w:val="20"/>
          </w:rPr>
          <m:t>=</m:t>
        </m:r>
      </m:oMath>
      <w:r w:rsidR="00D51F71" w:rsidRPr="00E73CF6">
        <w:rPr>
          <w:rFonts w:eastAsiaTheme="minorEastAsia"/>
          <w:sz w:val="20"/>
          <w:szCs w:val="20"/>
        </w:rPr>
        <w:t>Proportion of row total</w:t>
      </w:r>
      <w:r w:rsidR="008142CA">
        <w:rPr>
          <w:rFonts w:eastAsiaTheme="minorEastAsia"/>
          <w:sz w:val="20"/>
          <w:szCs w:val="20"/>
        </w:rPr>
        <w:t xml:space="preserve"> and </w:t>
      </w:r>
      <m:oMath>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ρ</m:t>
                </m:r>
              </m:e>
            </m:acc>
          </m:e>
          <m:sub>
            <m:r>
              <w:rPr>
                <w:rFonts w:ascii="Cambria Math" w:eastAsiaTheme="minorEastAsia" w:hAnsi="Cambria Math"/>
                <w:sz w:val="20"/>
                <w:szCs w:val="20"/>
              </w:rPr>
              <m:t>j</m:t>
            </m:r>
          </m:sub>
        </m:sSub>
        <m:r>
          <w:rPr>
            <w:rFonts w:ascii="Cambria Math" w:eastAsiaTheme="minorEastAsia" w:hAnsi="Cambria Math"/>
            <w:sz w:val="20"/>
            <w:szCs w:val="20"/>
          </w:rPr>
          <m:t>=</m:t>
        </m:r>
      </m:oMath>
      <w:r w:rsidR="00D51F71" w:rsidRPr="008142CA">
        <w:rPr>
          <w:rFonts w:eastAsiaTheme="minorEastAsia"/>
          <w:sz w:val="20"/>
          <w:szCs w:val="20"/>
        </w:rPr>
        <w:t xml:space="preserve"> Proportion of column total</w:t>
      </w:r>
    </w:p>
    <w:p w:rsidR="00210F32" w:rsidRDefault="00210F32" w:rsidP="005C18BC">
      <w:pPr>
        <w:spacing w:line="360" w:lineRule="auto"/>
        <w:jc w:val="both"/>
        <w:rPr>
          <w:sz w:val="20"/>
          <w:szCs w:val="20"/>
        </w:rPr>
      </w:pPr>
      <w:r>
        <w:rPr>
          <w:sz w:val="20"/>
          <w:szCs w:val="20"/>
        </w:rPr>
        <w:lastRenderedPageBreak/>
        <w:t>Where the higher</w:t>
      </w:r>
      <w:r w:rsidR="006D1CE2">
        <w:rPr>
          <w:sz w:val="20"/>
          <w:szCs w:val="20"/>
        </w:rPr>
        <w:t xml:space="preserve"> or lower </w:t>
      </w:r>
      <w:r>
        <w:rPr>
          <w:sz w:val="20"/>
          <w:szCs w:val="20"/>
        </w:rPr>
        <w:t xml:space="preserve"> the value of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ij</m:t>
            </m:r>
          </m:sub>
        </m:sSub>
      </m:oMath>
      <w:r w:rsidR="00077A26">
        <w:rPr>
          <w:sz w:val="20"/>
          <w:szCs w:val="20"/>
        </w:rPr>
        <w:t xml:space="preserve"> </w:t>
      </w:r>
      <w:r w:rsidR="006D1CE2">
        <w:rPr>
          <w:sz w:val="20"/>
          <w:szCs w:val="20"/>
        </w:rPr>
        <w:t xml:space="preserve"> </w:t>
      </w:r>
      <w:r w:rsidR="005F1ED9">
        <w:rPr>
          <w:sz w:val="20"/>
          <w:szCs w:val="20"/>
        </w:rPr>
        <w:t xml:space="preserve">is </w:t>
      </w:r>
      <w:r w:rsidR="006D1CE2">
        <w:rPr>
          <w:sz w:val="20"/>
          <w:szCs w:val="20"/>
        </w:rPr>
        <w:t xml:space="preserve">from 2 or -2 </w:t>
      </w:r>
      <w:r w:rsidR="00077A26">
        <w:rPr>
          <w:sz w:val="20"/>
          <w:szCs w:val="20"/>
        </w:rPr>
        <w:t xml:space="preserve">the more </w:t>
      </w:r>
      <w:r>
        <w:rPr>
          <w:sz w:val="20"/>
          <w:szCs w:val="20"/>
        </w:rPr>
        <w:t xml:space="preserve"> significant the effect</w:t>
      </w:r>
      <w:r w:rsidR="006D1CE2">
        <w:rPr>
          <w:sz w:val="20"/>
          <w:szCs w:val="20"/>
        </w:rPr>
        <w:t xml:space="preserve"> of the cell and the values</w:t>
      </w:r>
      <w:r w:rsidR="005F1ED9">
        <w:rPr>
          <w:sz w:val="20"/>
          <w:szCs w:val="20"/>
        </w:rPr>
        <w:t xml:space="preserve"> of</w:t>
      </w:r>
      <w:r w:rsidR="006D1CE2">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ij</m:t>
            </m:r>
          </m:sub>
        </m:sSub>
      </m:oMath>
      <w:r w:rsidR="006D1CE2">
        <w:rPr>
          <w:sz w:val="20"/>
          <w:szCs w:val="20"/>
        </w:rPr>
        <w:t xml:space="preserve"> signifies the effect of the respective cell.</w:t>
      </w:r>
      <w:r w:rsidR="00591092">
        <w:rPr>
          <w:sz w:val="20"/>
          <w:szCs w:val="20"/>
        </w:rPr>
        <w:t xml:space="preserve"> Values of </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ij</m:t>
            </m:r>
          </m:sub>
        </m:sSub>
      </m:oMath>
      <w:r w:rsidR="00591092">
        <w:rPr>
          <w:sz w:val="20"/>
          <w:szCs w:val="20"/>
        </w:rPr>
        <w:t xml:space="preserve"> above 4 shows the effects of outliers</w:t>
      </w:r>
      <w:r w:rsidR="008E0752">
        <w:rPr>
          <w:sz w:val="20"/>
          <w:szCs w:val="20"/>
        </w:rPr>
        <w:t xml:space="preserve"> which accounts for the dependence</w:t>
      </w:r>
      <w:r w:rsidR="00591092">
        <w:rPr>
          <w:sz w:val="20"/>
          <w:szCs w:val="20"/>
        </w:rPr>
        <w:t>.</w:t>
      </w:r>
    </w:p>
    <w:p w:rsidR="00D51F71" w:rsidRPr="00E73CF6" w:rsidRDefault="00210F32" w:rsidP="005C18BC">
      <w:pPr>
        <w:spacing w:line="360" w:lineRule="auto"/>
        <w:jc w:val="both"/>
        <w:rPr>
          <w:sz w:val="20"/>
          <w:szCs w:val="20"/>
        </w:rPr>
      </w:pPr>
      <w:r>
        <w:rPr>
          <w:sz w:val="20"/>
          <w:szCs w:val="20"/>
        </w:rPr>
        <w:t xml:space="preserve">        </w:t>
      </w:r>
      <w:r w:rsidR="00EA6371">
        <w:rPr>
          <w:sz w:val="20"/>
          <w:szCs w:val="20"/>
        </w:rPr>
        <w:t>A number of  hypotheses were</w:t>
      </w:r>
      <w:r w:rsidR="00D51F71" w:rsidRPr="00E73CF6">
        <w:rPr>
          <w:sz w:val="20"/>
          <w:szCs w:val="20"/>
        </w:rPr>
        <w:t xml:space="preserve"> considered and te</w:t>
      </w:r>
      <w:r w:rsidR="00390853">
        <w:rPr>
          <w:sz w:val="20"/>
          <w:szCs w:val="20"/>
        </w:rPr>
        <w:t>sted. Example of the hypothesis is as stated below</w:t>
      </w:r>
    </w:p>
    <w:p w:rsidR="00D51F71" w:rsidRPr="00E73CF6" w:rsidRDefault="00D51F71" w:rsidP="005C18BC">
      <w:pPr>
        <w:spacing w:line="360" w:lineRule="auto"/>
        <w:jc w:val="both"/>
        <w:rPr>
          <w:b/>
          <w:sz w:val="20"/>
          <w:szCs w:val="20"/>
          <w:u w:val="single"/>
        </w:rPr>
      </w:pPr>
      <w:r w:rsidRPr="00E73CF6">
        <w:rPr>
          <w:b/>
          <w:sz w:val="20"/>
          <w:szCs w:val="20"/>
          <w:u w:val="single"/>
        </w:rPr>
        <w:t>Hypothesis 1</w:t>
      </w:r>
    </w:p>
    <w:p w:rsidR="00390853" w:rsidRDefault="00D51F71" w:rsidP="005C18BC">
      <w:pPr>
        <w:spacing w:line="360" w:lineRule="auto"/>
        <w:jc w:val="both"/>
        <w:rPr>
          <w:sz w:val="20"/>
          <w:szCs w:val="20"/>
        </w:rPr>
      </w:pPr>
      <w:r w:rsidRPr="00E73CF6">
        <w:rPr>
          <w:i/>
          <w:sz w:val="20"/>
          <w:szCs w:val="20"/>
        </w:rPr>
        <w:t>H</w:t>
      </w:r>
      <w:r w:rsidRPr="00E73CF6">
        <w:rPr>
          <w:sz w:val="20"/>
          <w:szCs w:val="20"/>
          <w:vertAlign w:val="subscript"/>
        </w:rPr>
        <w:t>0</w:t>
      </w:r>
      <w:r w:rsidRPr="00E73CF6">
        <w:rPr>
          <w:sz w:val="20"/>
          <w:szCs w:val="20"/>
        </w:rPr>
        <w:t>: There exist independence between educational attainment and</w:t>
      </w:r>
      <w:r w:rsidR="00390853">
        <w:rPr>
          <w:sz w:val="20"/>
          <w:szCs w:val="20"/>
        </w:rPr>
        <w:t xml:space="preserve"> opinion on</w:t>
      </w:r>
      <w:r w:rsidRPr="00E73CF6">
        <w:rPr>
          <w:sz w:val="20"/>
          <w:szCs w:val="20"/>
        </w:rPr>
        <w:t xml:space="preserve"> injustice</w:t>
      </w:r>
      <w:r w:rsidR="00390853">
        <w:rPr>
          <w:sz w:val="20"/>
          <w:szCs w:val="20"/>
        </w:rPr>
        <w:t xml:space="preserve"> as a catalyst for </w:t>
      </w:r>
    </w:p>
    <w:p w:rsidR="00D51F71" w:rsidRPr="00E73CF6" w:rsidRDefault="00390853" w:rsidP="005C18BC">
      <w:pPr>
        <w:spacing w:line="360" w:lineRule="auto"/>
        <w:jc w:val="both"/>
        <w:rPr>
          <w:sz w:val="20"/>
          <w:szCs w:val="20"/>
        </w:rPr>
      </w:pPr>
      <w:r>
        <w:rPr>
          <w:sz w:val="20"/>
          <w:szCs w:val="20"/>
        </w:rPr>
        <w:t xml:space="preserve">       </w:t>
      </w:r>
      <w:proofErr w:type="spellStart"/>
      <w:r>
        <w:rPr>
          <w:sz w:val="20"/>
          <w:szCs w:val="20"/>
        </w:rPr>
        <w:t>Jos</w:t>
      </w:r>
      <w:proofErr w:type="spellEnd"/>
      <w:r>
        <w:rPr>
          <w:sz w:val="20"/>
          <w:szCs w:val="20"/>
        </w:rPr>
        <w:t xml:space="preserve">/Plateau crisis  </w:t>
      </w:r>
      <w:r w:rsidR="00D51F71" w:rsidRPr="00E73CF6">
        <w:rPr>
          <w:sz w:val="20"/>
          <w:szCs w:val="20"/>
        </w:rPr>
        <w:t xml:space="preserve"> i.e. there is no association.</w:t>
      </w:r>
    </w:p>
    <w:p w:rsidR="00D51F71" w:rsidRPr="00E73CF6" w:rsidRDefault="00D51F71" w:rsidP="005C18BC">
      <w:pPr>
        <w:spacing w:line="360" w:lineRule="auto"/>
        <w:jc w:val="both"/>
        <w:rPr>
          <w:sz w:val="20"/>
          <w:szCs w:val="20"/>
        </w:rPr>
      </w:pPr>
      <w:r w:rsidRPr="00E73CF6">
        <w:rPr>
          <w:sz w:val="20"/>
          <w:szCs w:val="20"/>
        </w:rPr>
        <w:t>Vs.</w:t>
      </w:r>
    </w:p>
    <w:p w:rsidR="00390853" w:rsidRDefault="00D51F71" w:rsidP="005C18BC">
      <w:pPr>
        <w:spacing w:line="360" w:lineRule="auto"/>
        <w:jc w:val="both"/>
        <w:rPr>
          <w:sz w:val="20"/>
          <w:szCs w:val="20"/>
        </w:rPr>
      </w:pPr>
      <w:r w:rsidRPr="00E73CF6">
        <w:rPr>
          <w:i/>
          <w:sz w:val="20"/>
          <w:szCs w:val="20"/>
        </w:rPr>
        <w:t>H</w:t>
      </w:r>
      <w:r w:rsidRPr="00E73CF6">
        <w:rPr>
          <w:sz w:val="20"/>
          <w:szCs w:val="20"/>
          <w:vertAlign w:val="subscript"/>
        </w:rPr>
        <w:t>1</w:t>
      </w:r>
      <w:r w:rsidRPr="00E73CF6">
        <w:rPr>
          <w:sz w:val="20"/>
          <w:szCs w:val="20"/>
        </w:rPr>
        <w:t xml:space="preserve">: There exist dependence between educational attainment and </w:t>
      </w:r>
      <w:r w:rsidR="00390853">
        <w:rPr>
          <w:sz w:val="20"/>
          <w:szCs w:val="20"/>
        </w:rPr>
        <w:t xml:space="preserve">opinion on </w:t>
      </w:r>
      <w:r w:rsidRPr="00E73CF6">
        <w:rPr>
          <w:sz w:val="20"/>
          <w:szCs w:val="20"/>
        </w:rPr>
        <w:t>injustice</w:t>
      </w:r>
      <w:r w:rsidR="00390853">
        <w:rPr>
          <w:sz w:val="20"/>
          <w:szCs w:val="20"/>
        </w:rPr>
        <w:t xml:space="preserve"> as a catalyst for </w:t>
      </w:r>
    </w:p>
    <w:p w:rsidR="00D51F71" w:rsidRPr="00E73CF6" w:rsidRDefault="00390853" w:rsidP="005C18BC">
      <w:pPr>
        <w:spacing w:line="360" w:lineRule="auto"/>
        <w:jc w:val="both"/>
        <w:rPr>
          <w:sz w:val="20"/>
          <w:szCs w:val="20"/>
        </w:rPr>
      </w:pPr>
      <w:r>
        <w:rPr>
          <w:sz w:val="20"/>
          <w:szCs w:val="20"/>
        </w:rPr>
        <w:t xml:space="preserve">       </w:t>
      </w:r>
      <w:proofErr w:type="spellStart"/>
      <w:r>
        <w:rPr>
          <w:sz w:val="20"/>
          <w:szCs w:val="20"/>
        </w:rPr>
        <w:t>Jos</w:t>
      </w:r>
      <w:proofErr w:type="spellEnd"/>
      <w:r>
        <w:rPr>
          <w:sz w:val="20"/>
          <w:szCs w:val="20"/>
        </w:rPr>
        <w:t>/Plateau crisis</w:t>
      </w:r>
      <w:r w:rsidR="00D51F71" w:rsidRPr="00E73CF6">
        <w:rPr>
          <w:sz w:val="20"/>
          <w:szCs w:val="20"/>
        </w:rPr>
        <w:t xml:space="preserve"> i.e. there exist association.</w:t>
      </w:r>
    </w:p>
    <w:p w:rsidR="008E7F13" w:rsidRDefault="008E7F13" w:rsidP="005C18BC">
      <w:pPr>
        <w:spacing w:line="360" w:lineRule="auto"/>
        <w:rPr>
          <w:sz w:val="20"/>
          <w:szCs w:val="20"/>
        </w:rPr>
      </w:pPr>
      <w:r w:rsidRPr="008E7F13">
        <w:rPr>
          <w:b/>
          <w:sz w:val="20"/>
          <w:szCs w:val="20"/>
        </w:rPr>
        <w:t>3.1</w:t>
      </w:r>
      <w:r>
        <w:rPr>
          <w:b/>
          <w:sz w:val="20"/>
          <w:szCs w:val="20"/>
        </w:rPr>
        <w:t xml:space="preserve">. </w:t>
      </w:r>
      <w:r w:rsidRPr="008E7F13">
        <w:rPr>
          <w:b/>
          <w:sz w:val="20"/>
          <w:szCs w:val="20"/>
        </w:rPr>
        <w:t xml:space="preserve"> </w:t>
      </w:r>
      <w:r w:rsidR="00AB3E32" w:rsidRPr="008E7F13">
        <w:rPr>
          <w:b/>
          <w:sz w:val="20"/>
          <w:szCs w:val="20"/>
        </w:rPr>
        <w:t>RESULTS OF ANALYSIS</w:t>
      </w:r>
    </w:p>
    <w:p w:rsidR="00D51F71" w:rsidRPr="00E73CF6" w:rsidRDefault="008E7F13" w:rsidP="005C18BC">
      <w:pPr>
        <w:spacing w:line="360" w:lineRule="auto"/>
        <w:rPr>
          <w:sz w:val="20"/>
          <w:szCs w:val="20"/>
        </w:rPr>
      </w:pPr>
      <w:r>
        <w:rPr>
          <w:sz w:val="20"/>
          <w:szCs w:val="20"/>
        </w:rPr>
        <w:t xml:space="preserve">      </w:t>
      </w:r>
      <w:r w:rsidR="00C47049" w:rsidRPr="00E73CF6">
        <w:rPr>
          <w:sz w:val="20"/>
          <w:szCs w:val="20"/>
        </w:rPr>
        <w:t xml:space="preserve">The AIC models analysis performed using </w:t>
      </w:r>
      <w:r w:rsidR="00D51F71" w:rsidRPr="00E73CF6">
        <w:rPr>
          <w:sz w:val="20"/>
          <w:szCs w:val="20"/>
        </w:rPr>
        <w:t>statistical package for social sciences (SPSS 21</w:t>
      </w:r>
      <w:r w:rsidR="00390853">
        <w:rPr>
          <w:sz w:val="20"/>
          <w:szCs w:val="20"/>
        </w:rPr>
        <w:t xml:space="preserve">) is </w:t>
      </w:r>
      <w:r w:rsidR="00DB2974">
        <w:rPr>
          <w:sz w:val="20"/>
          <w:szCs w:val="20"/>
        </w:rPr>
        <w:t xml:space="preserve">as shown </w:t>
      </w:r>
      <w:r w:rsidR="00390853">
        <w:rPr>
          <w:sz w:val="20"/>
          <w:szCs w:val="20"/>
        </w:rPr>
        <w:t xml:space="preserve">in table </w:t>
      </w:r>
      <w:r w:rsidR="002D7EF1">
        <w:rPr>
          <w:sz w:val="20"/>
          <w:szCs w:val="20"/>
        </w:rPr>
        <w:t>3.</w:t>
      </w:r>
      <w:r w:rsidR="00390853">
        <w:rPr>
          <w:sz w:val="20"/>
          <w:szCs w:val="20"/>
        </w:rPr>
        <w:t>1</w:t>
      </w:r>
      <w:r w:rsidR="00DB2974">
        <w:rPr>
          <w:sz w:val="20"/>
          <w:szCs w:val="20"/>
        </w:rPr>
        <w:t xml:space="preserve"> below.</w:t>
      </w:r>
    </w:p>
    <w:p w:rsidR="00D51F71" w:rsidRPr="00E73CF6" w:rsidRDefault="00390853" w:rsidP="005C18BC">
      <w:pPr>
        <w:spacing w:line="360" w:lineRule="auto"/>
        <w:rPr>
          <w:b/>
          <w:sz w:val="20"/>
          <w:szCs w:val="20"/>
        </w:rPr>
      </w:pPr>
      <w:r>
        <w:rPr>
          <w:b/>
          <w:sz w:val="20"/>
          <w:szCs w:val="20"/>
        </w:rPr>
        <w:t xml:space="preserve">TABLE </w:t>
      </w:r>
      <w:r w:rsidR="002D7EF1">
        <w:rPr>
          <w:b/>
          <w:sz w:val="20"/>
          <w:szCs w:val="20"/>
        </w:rPr>
        <w:t>3.</w:t>
      </w:r>
      <w:r>
        <w:rPr>
          <w:b/>
          <w:sz w:val="20"/>
          <w:szCs w:val="20"/>
        </w:rPr>
        <w:t>1</w:t>
      </w:r>
      <w:r w:rsidR="00C47049" w:rsidRPr="00E73CF6">
        <w:rPr>
          <w:b/>
          <w:sz w:val="20"/>
          <w:szCs w:val="20"/>
        </w:rPr>
        <w:t xml:space="preserve"> </w:t>
      </w:r>
      <w:r w:rsidR="00D51F71" w:rsidRPr="00E73CF6">
        <w:rPr>
          <w:b/>
          <w:sz w:val="20"/>
          <w:szCs w:val="20"/>
        </w:rPr>
        <w:t>:</w:t>
      </w:r>
      <w:r w:rsidR="00D51F71" w:rsidRPr="00E73CF6">
        <w:rPr>
          <w:sz w:val="20"/>
          <w:szCs w:val="20"/>
        </w:rPr>
        <w:t xml:space="preserve"> </w:t>
      </w:r>
      <w:r w:rsidR="00D51F71" w:rsidRPr="00E73CF6">
        <w:rPr>
          <w:b/>
          <w:sz w:val="20"/>
          <w:szCs w:val="20"/>
        </w:rPr>
        <w:t>RESULTS FROM AIC ANALYSIS</w:t>
      </w:r>
    </w:p>
    <w:tbl>
      <w:tblPr>
        <w:tblStyle w:val="TableGrid"/>
        <w:tblW w:w="0" w:type="auto"/>
        <w:tblLook w:val="04A0"/>
      </w:tblPr>
      <w:tblGrid>
        <w:gridCol w:w="1794"/>
        <w:gridCol w:w="1814"/>
        <w:gridCol w:w="1734"/>
        <w:gridCol w:w="1734"/>
        <w:gridCol w:w="1780"/>
      </w:tblGrid>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b/>
                <w:sz w:val="20"/>
                <w:szCs w:val="20"/>
              </w:rPr>
            </w:pPr>
            <w:r w:rsidRPr="00E73CF6">
              <w:rPr>
                <w:rFonts w:ascii="Times New Roman" w:hAnsi="Times New Roman" w:cs="Times New Roman"/>
                <w:b/>
                <w:sz w:val="20"/>
                <w:szCs w:val="20"/>
              </w:rPr>
              <w:t>FACTORS</w:t>
            </w:r>
          </w:p>
        </w:tc>
        <w:tc>
          <w:tcPr>
            <w:tcW w:w="1915" w:type="dxa"/>
          </w:tcPr>
          <w:p w:rsidR="00D51F71" w:rsidRPr="00E73CF6" w:rsidRDefault="00D51F71" w:rsidP="005C18BC">
            <w:pPr>
              <w:spacing w:line="360" w:lineRule="auto"/>
              <w:jc w:val="center"/>
              <w:rPr>
                <w:rFonts w:ascii="Times New Roman" w:hAnsi="Times New Roman" w:cs="Times New Roman"/>
                <w:b/>
                <w:sz w:val="20"/>
                <w:szCs w:val="20"/>
              </w:rPr>
            </w:pPr>
            <w:r w:rsidRPr="00E73CF6">
              <w:rPr>
                <w:rFonts w:ascii="Times New Roman" w:hAnsi="Times New Roman" w:cs="Times New Roman"/>
                <w:b/>
                <w:sz w:val="20"/>
                <w:szCs w:val="20"/>
              </w:rPr>
              <w:t>QUESTIONS</w:t>
            </w:r>
          </w:p>
        </w:tc>
        <w:tc>
          <w:tcPr>
            <w:tcW w:w="1915" w:type="dxa"/>
          </w:tcPr>
          <w:p w:rsidR="00D51F71" w:rsidRPr="00E73CF6" w:rsidRDefault="00D51F71" w:rsidP="005C18BC">
            <w:pPr>
              <w:spacing w:line="360" w:lineRule="auto"/>
              <w:jc w:val="center"/>
              <w:rPr>
                <w:rFonts w:ascii="Times New Roman" w:hAnsi="Times New Roman" w:cs="Times New Roman"/>
                <w:b/>
                <w:sz w:val="20"/>
                <w:szCs w:val="20"/>
              </w:rPr>
            </w:pPr>
            <w:r w:rsidRPr="00E73CF6">
              <w:rPr>
                <w:rFonts w:ascii="Times New Roman" w:hAnsi="Times New Roman" w:cs="Times New Roman"/>
                <w:b/>
                <w:sz w:val="20"/>
                <w:szCs w:val="20"/>
              </w:rPr>
              <w:t>AIC (0)</w:t>
            </w:r>
          </w:p>
        </w:tc>
        <w:tc>
          <w:tcPr>
            <w:tcW w:w="1915" w:type="dxa"/>
          </w:tcPr>
          <w:p w:rsidR="00D51F71" w:rsidRPr="00E73CF6" w:rsidRDefault="00D51F71" w:rsidP="005C18BC">
            <w:pPr>
              <w:spacing w:line="360" w:lineRule="auto"/>
              <w:jc w:val="center"/>
              <w:rPr>
                <w:rFonts w:ascii="Times New Roman" w:hAnsi="Times New Roman" w:cs="Times New Roman"/>
                <w:b/>
                <w:sz w:val="20"/>
                <w:szCs w:val="20"/>
              </w:rPr>
            </w:pPr>
            <w:r w:rsidRPr="00E73CF6">
              <w:rPr>
                <w:rFonts w:ascii="Times New Roman" w:hAnsi="Times New Roman" w:cs="Times New Roman"/>
                <w:b/>
                <w:sz w:val="20"/>
                <w:szCs w:val="20"/>
              </w:rPr>
              <w:t>AIC (1)</w:t>
            </w:r>
          </w:p>
        </w:tc>
        <w:tc>
          <w:tcPr>
            <w:tcW w:w="1916" w:type="dxa"/>
          </w:tcPr>
          <w:p w:rsidR="00D51F71" w:rsidRPr="00E73CF6" w:rsidRDefault="00D51F71" w:rsidP="005C18BC">
            <w:pPr>
              <w:spacing w:line="360" w:lineRule="auto"/>
              <w:jc w:val="center"/>
              <w:rPr>
                <w:rFonts w:ascii="Times New Roman" w:hAnsi="Times New Roman" w:cs="Times New Roman"/>
                <w:b/>
                <w:sz w:val="20"/>
                <w:szCs w:val="20"/>
              </w:rPr>
            </w:pPr>
            <w:r w:rsidRPr="00E73CF6">
              <w:rPr>
                <w:rFonts w:ascii="Times New Roman" w:hAnsi="Times New Roman" w:cs="Times New Roman"/>
                <w:b/>
                <w:sz w:val="20"/>
                <w:szCs w:val="20"/>
              </w:rPr>
              <w:t>DECISION</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proofErr w:type="spellStart"/>
            <w:r w:rsidRPr="00E73CF6">
              <w:rPr>
                <w:rFonts w:ascii="Times New Roman" w:hAnsi="Times New Roman" w:cs="Times New Roman"/>
                <w:sz w:val="20"/>
                <w:szCs w:val="20"/>
              </w:rPr>
              <w:t>Edu</w:t>
            </w:r>
            <w:proofErr w:type="spellEnd"/>
            <w:r w:rsidRPr="00E73CF6">
              <w:rPr>
                <w:rFonts w:ascii="Times New Roman" w:hAnsi="Times New Roman" w:cs="Times New Roman"/>
                <w:sz w:val="20"/>
                <w:szCs w:val="20"/>
              </w:rPr>
              <w:t>. Attainment</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259.914</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465.581</w:t>
            </w:r>
          </w:p>
        </w:tc>
        <w:tc>
          <w:tcPr>
            <w:tcW w:w="1916" w:type="dxa"/>
          </w:tcPr>
          <w:p w:rsidR="00D51F71" w:rsidRPr="00E73CF6" w:rsidRDefault="00D51F71" w:rsidP="005C18BC">
            <w:pPr>
              <w:spacing w:line="360" w:lineRule="auto"/>
              <w:jc w:val="center"/>
              <w:rPr>
                <w:rFonts w:ascii="Times New Roman" w:hAnsi="Times New Roman" w:cs="Times New Roman"/>
                <w:i/>
                <w:sz w:val="20"/>
                <w:szCs w:val="20"/>
                <w:vertAlign w:val="subscript"/>
              </w:rPr>
            </w:pPr>
            <w:r w:rsidRPr="00E73CF6">
              <w:rPr>
                <w:rFonts w:ascii="Times New Roman" w:hAnsi="Times New Roman" w:cs="Times New Roman"/>
                <w:sz w:val="20"/>
                <w:szCs w:val="20"/>
              </w:rPr>
              <w:t xml:space="preserve">Do not 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proofErr w:type="spellStart"/>
            <w:r w:rsidRPr="00E73CF6">
              <w:rPr>
                <w:rFonts w:ascii="Times New Roman" w:hAnsi="Times New Roman" w:cs="Times New Roman"/>
                <w:sz w:val="20"/>
                <w:szCs w:val="20"/>
              </w:rPr>
              <w:t>Edu</w:t>
            </w:r>
            <w:proofErr w:type="spellEnd"/>
            <w:r w:rsidRPr="00E73CF6">
              <w:rPr>
                <w:rFonts w:ascii="Times New Roman" w:hAnsi="Times New Roman" w:cs="Times New Roman"/>
                <w:sz w:val="20"/>
                <w:szCs w:val="20"/>
              </w:rPr>
              <w:t>. Attainment</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2084.586</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1353.164</w:t>
            </w:r>
          </w:p>
        </w:tc>
        <w:tc>
          <w:tcPr>
            <w:tcW w:w="1916" w:type="dxa"/>
          </w:tcPr>
          <w:p w:rsidR="00D51F71" w:rsidRPr="00E73CF6" w:rsidRDefault="00D51F71" w:rsidP="005C18BC">
            <w:pPr>
              <w:spacing w:line="360" w:lineRule="auto"/>
              <w:jc w:val="center"/>
              <w:rPr>
                <w:rFonts w:ascii="Times New Roman" w:hAnsi="Times New Roman" w:cs="Times New Roman"/>
                <w:i/>
                <w:sz w:val="20"/>
                <w:szCs w:val="20"/>
                <w:vertAlign w:val="subscript"/>
              </w:rPr>
            </w:pPr>
            <w:r w:rsidRPr="00E73CF6">
              <w:rPr>
                <w:rFonts w:ascii="Times New Roman" w:hAnsi="Times New Roman" w:cs="Times New Roman"/>
                <w:sz w:val="20"/>
                <w:szCs w:val="20"/>
              </w:rPr>
              <w:t xml:space="preserve">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proofErr w:type="spellStart"/>
            <w:r w:rsidRPr="00E73CF6">
              <w:rPr>
                <w:rFonts w:ascii="Times New Roman" w:hAnsi="Times New Roman" w:cs="Times New Roman"/>
                <w:sz w:val="20"/>
                <w:szCs w:val="20"/>
              </w:rPr>
              <w:t>Edu</w:t>
            </w:r>
            <w:proofErr w:type="spellEnd"/>
            <w:r w:rsidRPr="00E73CF6">
              <w:rPr>
                <w:rFonts w:ascii="Times New Roman" w:hAnsi="Times New Roman" w:cs="Times New Roman"/>
                <w:sz w:val="20"/>
                <w:szCs w:val="20"/>
              </w:rPr>
              <w:t>. Attainment</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4152.617</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2345.622</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Religion</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15" w:type="dxa"/>
          </w:tcPr>
          <w:p w:rsidR="00D51F71" w:rsidRPr="00E73CF6" w:rsidRDefault="00F93EF3"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441</w:t>
            </w:r>
            <w:r w:rsidR="00D51F71" w:rsidRPr="00E73CF6">
              <w:rPr>
                <w:rFonts w:ascii="Times New Roman" w:hAnsi="Times New Roman" w:cs="Times New Roman"/>
                <w:sz w:val="20"/>
                <w:szCs w:val="20"/>
              </w:rPr>
              <w:t>.238</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446.992</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Do not 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Religion</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2132.070</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1166.682</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Religion</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4657.832</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1787.448</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Age</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15" w:type="dxa"/>
          </w:tcPr>
          <w:p w:rsidR="00D51F71" w:rsidRPr="00E73CF6" w:rsidRDefault="00F93EF3"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490</w:t>
            </w:r>
            <w:r w:rsidR="00D51F71" w:rsidRPr="00E73CF6">
              <w:rPr>
                <w:rFonts w:ascii="Times New Roman" w:hAnsi="Times New Roman" w:cs="Times New Roman"/>
                <w:sz w:val="20"/>
                <w:szCs w:val="20"/>
              </w:rPr>
              <w:t>.286</w:t>
            </w:r>
          </w:p>
        </w:tc>
        <w:tc>
          <w:tcPr>
            <w:tcW w:w="1915" w:type="dxa"/>
          </w:tcPr>
          <w:p w:rsidR="00D51F71" w:rsidRPr="00E73CF6" w:rsidRDefault="00F93EF3"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491.986</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Do not 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Age</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1903.132</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1528.430</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Age</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3509.074</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1942.984</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Occupational</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265.650</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584.908</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Do not 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Occupational</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1654.408</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1686.656</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Do not 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r w:rsidR="00D51F71" w:rsidRPr="00E73CF6" w:rsidTr="009E06F6">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Occupational</w:t>
            </w:r>
          </w:p>
        </w:tc>
        <w:tc>
          <w:tcPr>
            <w:tcW w:w="1915" w:type="dxa"/>
          </w:tcPr>
          <w:p w:rsidR="00D51F71" w:rsidRPr="00E73CF6" w:rsidRDefault="00543AF7" w:rsidP="005C18BC">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3614.374</w:t>
            </w:r>
          </w:p>
        </w:tc>
        <w:tc>
          <w:tcPr>
            <w:tcW w:w="1915"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2622.370</w:t>
            </w:r>
          </w:p>
        </w:tc>
        <w:tc>
          <w:tcPr>
            <w:tcW w:w="1916" w:type="dxa"/>
          </w:tcPr>
          <w:p w:rsidR="00D51F71" w:rsidRPr="00E73CF6" w:rsidRDefault="00D51F71" w:rsidP="005C18BC">
            <w:pPr>
              <w:spacing w:line="360" w:lineRule="auto"/>
              <w:jc w:val="center"/>
              <w:rPr>
                <w:rFonts w:ascii="Times New Roman" w:hAnsi="Times New Roman" w:cs="Times New Roman"/>
                <w:sz w:val="20"/>
                <w:szCs w:val="20"/>
              </w:rPr>
            </w:pPr>
            <w:r w:rsidRPr="00E73CF6">
              <w:rPr>
                <w:rFonts w:ascii="Times New Roman" w:hAnsi="Times New Roman" w:cs="Times New Roman"/>
                <w:sz w:val="20"/>
                <w:szCs w:val="20"/>
              </w:rPr>
              <w:t xml:space="preserve">Reject </w:t>
            </w:r>
            <w:r w:rsidRPr="00E73CF6">
              <w:rPr>
                <w:rFonts w:ascii="Times New Roman" w:hAnsi="Times New Roman" w:cs="Times New Roman"/>
                <w:i/>
                <w:sz w:val="20"/>
                <w:szCs w:val="20"/>
              </w:rPr>
              <w:t>H</w:t>
            </w:r>
            <w:r w:rsidRPr="00E73CF6">
              <w:rPr>
                <w:rFonts w:ascii="Times New Roman" w:hAnsi="Times New Roman" w:cs="Times New Roman"/>
                <w:i/>
                <w:sz w:val="20"/>
                <w:szCs w:val="20"/>
                <w:vertAlign w:val="subscript"/>
              </w:rPr>
              <w:t>0</w:t>
            </w:r>
          </w:p>
        </w:tc>
      </w:tr>
    </w:tbl>
    <w:p w:rsidR="00D51F71" w:rsidRPr="00E73CF6" w:rsidRDefault="00D51F71" w:rsidP="005C18BC">
      <w:pPr>
        <w:spacing w:line="360" w:lineRule="auto"/>
        <w:jc w:val="both"/>
        <w:rPr>
          <w:b/>
          <w:sz w:val="20"/>
          <w:szCs w:val="20"/>
        </w:rPr>
      </w:pPr>
    </w:p>
    <w:p w:rsidR="00D51F71" w:rsidRDefault="00DD1395" w:rsidP="005C18BC">
      <w:pPr>
        <w:spacing w:line="360" w:lineRule="auto"/>
        <w:jc w:val="both"/>
        <w:rPr>
          <w:b/>
          <w:sz w:val="20"/>
          <w:szCs w:val="20"/>
        </w:rPr>
      </w:pPr>
      <w:r>
        <w:rPr>
          <w:b/>
          <w:sz w:val="20"/>
          <w:szCs w:val="20"/>
        </w:rPr>
        <w:t xml:space="preserve">Table </w:t>
      </w:r>
      <w:r w:rsidR="00D51F71" w:rsidRPr="00E73CF6">
        <w:rPr>
          <w:b/>
          <w:sz w:val="20"/>
          <w:szCs w:val="20"/>
        </w:rPr>
        <w:t>3</w:t>
      </w:r>
      <w:r>
        <w:rPr>
          <w:b/>
          <w:sz w:val="20"/>
          <w:szCs w:val="20"/>
        </w:rPr>
        <w:t xml:space="preserve">.2. Results for </w:t>
      </w:r>
      <w:r w:rsidRPr="00E73CF6">
        <w:rPr>
          <w:b/>
          <w:sz w:val="20"/>
          <w:szCs w:val="20"/>
        </w:rPr>
        <w:t>residual analysis</w:t>
      </w:r>
      <w:r>
        <w:rPr>
          <w:b/>
          <w:sz w:val="20"/>
          <w:szCs w:val="20"/>
        </w:rPr>
        <w:t xml:space="preserve"> of age on opinion on economic hardship</w:t>
      </w:r>
    </w:p>
    <w:tbl>
      <w:tblPr>
        <w:tblW w:w="5883" w:type="dxa"/>
        <w:tblInd w:w="288" w:type="dxa"/>
        <w:tblLayout w:type="fixed"/>
        <w:tblLook w:val="04A0"/>
      </w:tblPr>
      <w:tblGrid>
        <w:gridCol w:w="810"/>
        <w:gridCol w:w="869"/>
        <w:gridCol w:w="1051"/>
        <w:gridCol w:w="1051"/>
        <w:gridCol w:w="1051"/>
        <w:gridCol w:w="1051"/>
      </w:tblGrid>
      <w:tr w:rsidR="00210F32" w:rsidRPr="00E1483F" w:rsidTr="00DB55EF">
        <w:trPr>
          <w:trHeight w:val="286"/>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10F32" w:rsidRPr="00E1483F" w:rsidRDefault="00210F32" w:rsidP="002D7EF1">
            <w:pPr>
              <w:spacing w:line="360" w:lineRule="auto"/>
              <w:jc w:val="center"/>
              <w:rPr>
                <w:sz w:val="20"/>
                <w:szCs w:val="20"/>
              </w:rPr>
            </w:pPr>
            <w:r w:rsidRPr="00E1483F">
              <w:rPr>
                <w:sz w:val="20"/>
                <w:szCs w:val="20"/>
              </w:rPr>
              <w:t>AGE</w:t>
            </w:r>
          </w:p>
        </w:tc>
        <w:tc>
          <w:tcPr>
            <w:tcW w:w="5073" w:type="dxa"/>
            <w:gridSpan w:val="5"/>
            <w:tcBorders>
              <w:top w:val="single" w:sz="8" w:space="0" w:color="auto"/>
              <w:left w:val="nil"/>
              <w:bottom w:val="single" w:sz="8" w:space="0" w:color="auto"/>
              <w:right w:val="single" w:sz="8" w:space="0" w:color="000000"/>
            </w:tcBorders>
            <w:shd w:val="clear" w:color="auto" w:fill="auto"/>
            <w:hideMark/>
          </w:tcPr>
          <w:p w:rsidR="00210F32" w:rsidRPr="00E1483F" w:rsidRDefault="00310120" w:rsidP="002D7EF1">
            <w:pPr>
              <w:spacing w:line="360" w:lineRule="auto"/>
              <w:jc w:val="center"/>
              <w:rPr>
                <w:sz w:val="20"/>
                <w:szCs w:val="20"/>
              </w:rPr>
            </w:pPr>
            <w:r w:rsidRPr="00E1483F">
              <w:rPr>
                <w:sz w:val="20"/>
                <w:szCs w:val="20"/>
              </w:rPr>
              <w:t>Questions   7-8</w:t>
            </w:r>
            <w:r w:rsidR="00E1483F">
              <w:rPr>
                <w:sz w:val="20"/>
                <w:szCs w:val="20"/>
              </w:rPr>
              <w:t xml:space="preserve">   </w:t>
            </w:r>
            <w:r w:rsidRPr="00E1483F">
              <w:rPr>
                <w:sz w:val="20"/>
                <w:szCs w:val="20"/>
              </w:rPr>
              <w:t xml:space="preserve">  </w:t>
            </w:r>
            <w:r w:rsidR="00E1483F">
              <w:rPr>
                <w:sz w:val="20"/>
                <w:szCs w:val="20"/>
              </w:rPr>
              <w:t>(</w:t>
            </w:r>
            <w:r w:rsidRPr="00E1483F">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ij</m:t>
                  </m:r>
                </m:sub>
              </m:sSub>
            </m:oMath>
            <w:r w:rsidR="00E1483F">
              <w:rPr>
                <w:sz w:val="20"/>
                <w:szCs w:val="20"/>
              </w:rPr>
              <w:t>)</w:t>
            </w:r>
          </w:p>
        </w:tc>
      </w:tr>
      <w:tr w:rsidR="00310120" w:rsidRPr="00E1483F" w:rsidTr="00DB55EF">
        <w:trPr>
          <w:trHeight w:val="345"/>
        </w:trPr>
        <w:tc>
          <w:tcPr>
            <w:tcW w:w="810" w:type="dxa"/>
            <w:vMerge/>
            <w:tcBorders>
              <w:top w:val="single" w:sz="8" w:space="0" w:color="auto"/>
              <w:left w:val="single" w:sz="8" w:space="0" w:color="auto"/>
              <w:bottom w:val="single" w:sz="8" w:space="0" w:color="000000"/>
              <w:right w:val="single" w:sz="8" w:space="0" w:color="auto"/>
            </w:tcBorders>
            <w:vAlign w:val="center"/>
            <w:hideMark/>
          </w:tcPr>
          <w:p w:rsidR="00310120" w:rsidRPr="00E1483F" w:rsidRDefault="00310120" w:rsidP="002D7EF1">
            <w:pPr>
              <w:spacing w:line="360" w:lineRule="auto"/>
              <w:rPr>
                <w:sz w:val="20"/>
                <w:szCs w:val="20"/>
              </w:rPr>
            </w:pPr>
          </w:p>
        </w:tc>
        <w:tc>
          <w:tcPr>
            <w:tcW w:w="869" w:type="dxa"/>
            <w:vMerge w:val="restart"/>
            <w:tcBorders>
              <w:top w:val="nil"/>
              <w:left w:val="single" w:sz="8" w:space="0" w:color="auto"/>
              <w:bottom w:val="single" w:sz="8" w:space="0" w:color="000000"/>
              <w:right w:val="single" w:sz="8" w:space="0" w:color="auto"/>
            </w:tcBorders>
            <w:shd w:val="clear" w:color="auto" w:fill="auto"/>
            <w:hideMark/>
          </w:tcPr>
          <w:p w:rsidR="00310120" w:rsidRPr="00E1483F" w:rsidRDefault="00310120" w:rsidP="002D7EF1">
            <w:pPr>
              <w:spacing w:line="360" w:lineRule="auto"/>
              <w:jc w:val="center"/>
              <w:rPr>
                <w:sz w:val="20"/>
                <w:szCs w:val="20"/>
              </w:rPr>
            </w:pPr>
            <w:r w:rsidRPr="00E1483F">
              <w:rPr>
                <w:sz w:val="20"/>
                <w:szCs w:val="20"/>
              </w:rPr>
              <w:t>SA</w:t>
            </w:r>
          </w:p>
        </w:tc>
        <w:tc>
          <w:tcPr>
            <w:tcW w:w="1051" w:type="dxa"/>
            <w:vMerge w:val="restart"/>
            <w:tcBorders>
              <w:top w:val="nil"/>
              <w:left w:val="single" w:sz="8" w:space="0" w:color="auto"/>
              <w:bottom w:val="single" w:sz="8" w:space="0" w:color="000000"/>
              <w:right w:val="single" w:sz="8" w:space="0" w:color="auto"/>
            </w:tcBorders>
            <w:shd w:val="clear" w:color="auto" w:fill="auto"/>
            <w:hideMark/>
          </w:tcPr>
          <w:p w:rsidR="00310120" w:rsidRPr="00E1483F" w:rsidRDefault="00310120" w:rsidP="002D7EF1">
            <w:pPr>
              <w:spacing w:line="360" w:lineRule="auto"/>
              <w:jc w:val="center"/>
              <w:rPr>
                <w:sz w:val="20"/>
                <w:szCs w:val="20"/>
              </w:rPr>
            </w:pPr>
            <w:r w:rsidRPr="00E1483F">
              <w:rPr>
                <w:sz w:val="20"/>
                <w:szCs w:val="20"/>
              </w:rPr>
              <w:t>A</w:t>
            </w:r>
          </w:p>
        </w:tc>
        <w:tc>
          <w:tcPr>
            <w:tcW w:w="1051" w:type="dxa"/>
            <w:vMerge w:val="restart"/>
            <w:tcBorders>
              <w:top w:val="nil"/>
              <w:left w:val="single" w:sz="8" w:space="0" w:color="auto"/>
              <w:bottom w:val="single" w:sz="8" w:space="0" w:color="000000"/>
              <w:right w:val="single" w:sz="8" w:space="0" w:color="auto"/>
            </w:tcBorders>
            <w:shd w:val="clear" w:color="auto" w:fill="auto"/>
            <w:hideMark/>
          </w:tcPr>
          <w:p w:rsidR="00310120" w:rsidRPr="00E1483F" w:rsidRDefault="00310120" w:rsidP="002D7EF1">
            <w:pPr>
              <w:spacing w:line="360" w:lineRule="auto"/>
              <w:jc w:val="center"/>
              <w:rPr>
                <w:sz w:val="20"/>
                <w:szCs w:val="20"/>
              </w:rPr>
            </w:pPr>
            <w:r w:rsidRPr="00E1483F">
              <w:rPr>
                <w:sz w:val="20"/>
                <w:szCs w:val="20"/>
              </w:rPr>
              <w:t>NI</w:t>
            </w:r>
          </w:p>
        </w:tc>
        <w:tc>
          <w:tcPr>
            <w:tcW w:w="1051" w:type="dxa"/>
            <w:vMerge w:val="restart"/>
            <w:tcBorders>
              <w:top w:val="nil"/>
              <w:left w:val="single" w:sz="8" w:space="0" w:color="auto"/>
              <w:bottom w:val="single" w:sz="8" w:space="0" w:color="000000"/>
              <w:right w:val="single" w:sz="8" w:space="0" w:color="auto"/>
            </w:tcBorders>
            <w:shd w:val="clear" w:color="auto" w:fill="auto"/>
            <w:hideMark/>
          </w:tcPr>
          <w:p w:rsidR="00310120" w:rsidRPr="00E1483F" w:rsidRDefault="00310120" w:rsidP="002D7EF1">
            <w:pPr>
              <w:spacing w:line="360" w:lineRule="auto"/>
              <w:jc w:val="center"/>
              <w:rPr>
                <w:sz w:val="20"/>
                <w:szCs w:val="20"/>
              </w:rPr>
            </w:pPr>
            <w:r w:rsidRPr="00E1483F">
              <w:rPr>
                <w:sz w:val="20"/>
                <w:szCs w:val="20"/>
              </w:rPr>
              <w:t>D</w:t>
            </w:r>
          </w:p>
        </w:tc>
        <w:tc>
          <w:tcPr>
            <w:tcW w:w="1051" w:type="dxa"/>
            <w:vMerge w:val="restart"/>
            <w:tcBorders>
              <w:top w:val="nil"/>
              <w:left w:val="single" w:sz="8" w:space="0" w:color="auto"/>
              <w:bottom w:val="single" w:sz="8" w:space="0" w:color="000000"/>
              <w:right w:val="single" w:sz="8" w:space="0" w:color="auto"/>
            </w:tcBorders>
            <w:shd w:val="clear" w:color="auto" w:fill="auto"/>
            <w:hideMark/>
          </w:tcPr>
          <w:p w:rsidR="00310120" w:rsidRPr="00E1483F" w:rsidRDefault="00310120" w:rsidP="002D7EF1">
            <w:pPr>
              <w:spacing w:line="360" w:lineRule="auto"/>
              <w:jc w:val="center"/>
              <w:rPr>
                <w:sz w:val="20"/>
                <w:szCs w:val="20"/>
              </w:rPr>
            </w:pPr>
            <w:r w:rsidRPr="00E1483F">
              <w:rPr>
                <w:sz w:val="20"/>
                <w:szCs w:val="20"/>
              </w:rPr>
              <w:t>SD</w:t>
            </w:r>
          </w:p>
        </w:tc>
      </w:tr>
      <w:tr w:rsidR="00310120" w:rsidRPr="00E1483F" w:rsidTr="00DB55EF">
        <w:trPr>
          <w:trHeight w:val="345"/>
        </w:trPr>
        <w:tc>
          <w:tcPr>
            <w:tcW w:w="810" w:type="dxa"/>
            <w:vMerge/>
            <w:tcBorders>
              <w:top w:val="single" w:sz="8" w:space="0" w:color="auto"/>
              <w:left w:val="single" w:sz="8" w:space="0" w:color="auto"/>
              <w:bottom w:val="single" w:sz="8" w:space="0" w:color="000000"/>
              <w:right w:val="single" w:sz="8" w:space="0" w:color="auto"/>
            </w:tcBorders>
            <w:vAlign w:val="center"/>
            <w:hideMark/>
          </w:tcPr>
          <w:p w:rsidR="00310120" w:rsidRPr="00E1483F" w:rsidRDefault="00310120" w:rsidP="002D7EF1">
            <w:pPr>
              <w:spacing w:line="360" w:lineRule="auto"/>
              <w:rPr>
                <w:sz w:val="20"/>
                <w:szCs w:val="20"/>
              </w:rPr>
            </w:pPr>
          </w:p>
        </w:tc>
        <w:tc>
          <w:tcPr>
            <w:tcW w:w="869" w:type="dxa"/>
            <w:vMerge/>
            <w:tcBorders>
              <w:top w:val="nil"/>
              <w:left w:val="single" w:sz="8" w:space="0" w:color="auto"/>
              <w:bottom w:val="single" w:sz="8" w:space="0" w:color="000000"/>
              <w:right w:val="single" w:sz="8" w:space="0" w:color="auto"/>
            </w:tcBorders>
            <w:vAlign w:val="center"/>
            <w:hideMark/>
          </w:tcPr>
          <w:p w:rsidR="00310120" w:rsidRPr="00E1483F" w:rsidRDefault="00310120" w:rsidP="002D7EF1">
            <w:pPr>
              <w:spacing w:line="360" w:lineRule="auto"/>
              <w:rPr>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310120" w:rsidRPr="00E1483F" w:rsidRDefault="00310120" w:rsidP="002D7EF1">
            <w:pPr>
              <w:spacing w:line="360" w:lineRule="auto"/>
              <w:rPr>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310120" w:rsidRPr="00E1483F" w:rsidRDefault="00310120" w:rsidP="002D7EF1">
            <w:pPr>
              <w:spacing w:line="360" w:lineRule="auto"/>
              <w:rPr>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310120" w:rsidRPr="00E1483F" w:rsidRDefault="00310120" w:rsidP="002D7EF1">
            <w:pPr>
              <w:spacing w:line="360" w:lineRule="auto"/>
              <w:rPr>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310120" w:rsidRPr="00E1483F" w:rsidRDefault="00310120" w:rsidP="002D7EF1">
            <w:pPr>
              <w:spacing w:line="360" w:lineRule="auto"/>
              <w:rPr>
                <w:sz w:val="20"/>
                <w:szCs w:val="20"/>
              </w:rPr>
            </w:pPr>
          </w:p>
        </w:tc>
      </w:tr>
      <w:tr w:rsidR="00DB55EF" w:rsidRPr="00E1483F" w:rsidTr="00DB55EF">
        <w:trPr>
          <w:trHeight w:val="205"/>
        </w:trPr>
        <w:tc>
          <w:tcPr>
            <w:tcW w:w="810" w:type="dxa"/>
            <w:tcBorders>
              <w:top w:val="nil"/>
              <w:left w:val="single" w:sz="8" w:space="0" w:color="auto"/>
              <w:bottom w:val="single" w:sz="8" w:space="0" w:color="auto"/>
              <w:right w:val="single" w:sz="8" w:space="0" w:color="auto"/>
            </w:tcBorders>
            <w:shd w:val="clear" w:color="auto" w:fill="auto"/>
            <w:hideMark/>
          </w:tcPr>
          <w:p w:rsidR="00DB55EF" w:rsidRPr="00E1483F" w:rsidRDefault="00DB55EF" w:rsidP="002D7EF1">
            <w:pPr>
              <w:spacing w:line="360" w:lineRule="auto"/>
              <w:jc w:val="center"/>
              <w:rPr>
                <w:sz w:val="20"/>
                <w:szCs w:val="20"/>
              </w:rPr>
            </w:pPr>
            <w:r w:rsidRPr="00E1483F">
              <w:rPr>
                <w:sz w:val="20"/>
                <w:szCs w:val="20"/>
              </w:rPr>
              <w:t>10-17</w:t>
            </w:r>
          </w:p>
        </w:tc>
        <w:tc>
          <w:tcPr>
            <w:tcW w:w="869"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4.690</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-0.452</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-2.8</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-2.16144</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0.953463</w:t>
            </w:r>
          </w:p>
        </w:tc>
      </w:tr>
      <w:tr w:rsidR="00DB55EF" w:rsidRPr="00E1483F" w:rsidTr="00DB55EF">
        <w:trPr>
          <w:trHeight w:val="223"/>
        </w:trPr>
        <w:tc>
          <w:tcPr>
            <w:tcW w:w="810" w:type="dxa"/>
            <w:tcBorders>
              <w:top w:val="nil"/>
              <w:left w:val="single" w:sz="8" w:space="0" w:color="auto"/>
              <w:bottom w:val="single" w:sz="8" w:space="0" w:color="auto"/>
              <w:right w:val="single" w:sz="8" w:space="0" w:color="auto"/>
            </w:tcBorders>
            <w:shd w:val="clear" w:color="auto" w:fill="auto"/>
            <w:hideMark/>
          </w:tcPr>
          <w:p w:rsidR="00DB55EF" w:rsidRPr="00E1483F" w:rsidRDefault="00DB55EF" w:rsidP="002D7EF1">
            <w:pPr>
              <w:spacing w:line="360" w:lineRule="auto"/>
              <w:jc w:val="center"/>
              <w:rPr>
                <w:sz w:val="20"/>
                <w:szCs w:val="20"/>
              </w:rPr>
            </w:pPr>
            <w:r w:rsidRPr="00E1483F">
              <w:rPr>
                <w:sz w:val="20"/>
                <w:szCs w:val="20"/>
              </w:rPr>
              <w:t>18-25</w:t>
            </w:r>
          </w:p>
        </w:tc>
        <w:tc>
          <w:tcPr>
            <w:tcW w:w="869"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-0.765</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-10.961</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5.129892</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4.193259</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0.978232</w:t>
            </w:r>
          </w:p>
        </w:tc>
      </w:tr>
      <w:tr w:rsidR="00DB55EF" w:rsidRPr="00E1483F" w:rsidTr="00DB55EF">
        <w:trPr>
          <w:trHeight w:val="241"/>
        </w:trPr>
        <w:tc>
          <w:tcPr>
            <w:tcW w:w="810" w:type="dxa"/>
            <w:tcBorders>
              <w:top w:val="nil"/>
              <w:left w:val="single" w:sz="8" w:space="0" w:color="auto"/>
              <w:bottom w:val="single" w:sz="8" w:space="0" w:color="auto"/>
              <w:right w:val="single" w:sz="8" w:space="0" w:color="auto"/>
            </w:tcBorders>
            <w:shd w:val="clear" w:color="auto" w:fill="auto"/>
            <w:hideMark/>
          </w:tcPr>
          <w:p w:rsidR="00DB55EF" w:rsidRPr="00E1483F" w:rsidRDefault="00DB55EF" w:rsidP="002D7EF1">
            <w:pPr>
              <w:spacing w:line="360" w:lineRule="auto"/>
              <w:jc w:val="center"/>
              <w:rPr>
                <w:sz w:val="20"/>
                <w:szCs w:val="20"/>
              </w:rPr>
            </w:pPr>
            <w:r w:rsidRPr="00E1483F">
              <w:rPr>
                <w:sz w:val="20"/>
                <w:szCs w:val="20"/>
              </w:rPr>
              <w:t>26-60</w:t>
            </w:r>
          </w:p>
        </w:tc>
        <w:tc>
          <w:tcPr>
            <w:tcW w:w="869"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-4.599</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10.11181</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-1.3484</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-1.24528</w:t>
            </w:r>
          </w:p>
        </w:tc>
        <w:tc>
          <w:tcPr>
            <w:tcW w:w="1051" w:type="dxa"/>
            <w:tcBorders>
              <w:top w:val="nil"/>
              <w:left w:val="nil"/>
              <w:bottom w:val="single" w:sz="8" w:space="0" w:color="auto"/>
              <w:right w:val="single" w:sz="8" w:space="0" w:color="auto"/>
            </w:tcBorders>
            <w:shd w:val="clear" w:color="auto" w:fill="auto"/>
            <w:vAlign w:val="bottom"/>
            <w:hideMark/>
          </w:tcPr>
          <w:p w:rsidR="00DB55EF" w:rsidRDefault="00DB55EF" w:rsidP="002D7EF1">
            <w:pPr>
              <w:spacing w:line="360" w:lineRule="auto"/>
              <w:jc w:val="right"/>
              <w:rPr>
                <w:rFonts w:ascii="Arial" w:hAnsi="Arial" w:cs="Arial"/>
                <w:sz w:val="20"/>
                <w:szCs w:val="20"/>
              </w:rPr>
            </w:pPr>
            <w:r>
              <w:rPr>
                <w:rFonts w:ascii="Arial" w:hAnsi="Arial" w:cs="Arial"/>
                <w:sz w:val="20"/>
                <w:szCs w:val="20"/>
              </w:rPr>
              <w:t>-1.92847</w:t>
            </w:r>
          </w:p>
        </w:tc>
      </w:tr>
    </w:tbl>
    <w:p w:rsidR="00D51F71" w:rsidRPr="00E73CF6" w:rsidRDefault="00D51F71" w:rsidP="002D7EF1">
      <w:pPr>
        <w:tabs>
          <w:tab w:val="left" w:pos="2565"/>
        </w:tabs>
        <w:spacing w:line="360" w:lineRule="auto"/>
        <w:jc w:val="both"/>
        <w:rPr>
          <w:b/>
          <w:sz w:val="20"/>
          <w:szCs w:val="20"/>
        </w:rPr>
      </w:pPr>
    </w:p>
    <w:p w:rsidR="00D51F71" w:rsidRPr="00E73CF6" w:rsidRDefault="008E7F13" w:rsidP="002D7EF1">
      <w:pPr>
        <w:spacing w:line="360" w:lineRule="auto"/>
        <w:jc w:val="both"/>
        <w:rPr>
          <w:b/>
          <w:sz w:val="20"/>
          <w:szCs w:val="20"/>
        </w:rPr>
      </w:pPr>
      <w:r>
        <w:rPr>
          <w:b/>
          <w:sz w:val="20"/>
          <w:szCs w:val="20"/>
        </w:rPr>
        <w:lastRenderedPageBreak/>
        <w:t xml:space="preserve"> 4.1 </w:t>
      </w:r>
      <w:r w:rsidR="00AB3E32">
        <w:rPr>
          <w:b/>
          <w:sz w:val="20"/>
          <w:szCs w:val="20"/>
        </w:rPr>
        <w:t>DISCUSSION ON RESULTS AND RECOMMENDATION</w:t>
      </w:r>
    </w:p>
    <w:p w:rsidR="00D51F71" w:rsidRPr="00E73CF6" w:rsidRDefault="00C46997" w:rsidP="002D7EF1">
      <w:pPr>
        <w:spacing w:line="360" w:lineRule="auto"/>
        <w:jc w:val="both"/>
        <w:rPr>
          <w:sz w:val="20"/>
          <w:szCs w:val="20"/>
        </w:rPr>
      </w:pPr>
      <w:r>
        <w:rPr>
          <w:sz w:val="20"/>
          <w:szCs w:val="20"/>
        </w:rPr>
        <w:t xml:space="preserve"> T</w:t>
      </w:r>
      <w:r w:rsidR="00E7775F">
        <w:rPr>
          <w:sz w:val="20"/>
          <w:szCs w:val="20"/>
        </w:rPr>
        <w:t>he results</w:t>
      </w:r>
      <w:r>
        <w:rPr>
          <w:sz w:val="20"/>
          <w:szCs w:val="20"/>
        </w:rPr>
        <w:t xml:space="preserve"> of the analysis </w:t>
      </w:r>
      <w:r w:rsidR="00D51F71" w:rsidRPr="00E73CF6">
        <w:rPr>
          <w:sz w:val="20"/>
          <w:szCs w:val="20"/>
        </w:rPr>
        <w:t>s</w:t>
      </w:r>
      <w:r w:rsidR="00924186">
        <w:rPr>
          <w:sz w:val="20"/>
          <w:szCs w:val="20"/>
        </w:rPr>
        <w:t>howed that</w:t>
      </w:r>
      <w:r w:rsidR="006424CF" w:rsidRPr="00E73CF6">
        <w:rPr>
          <w:sz w:val="20"/>
          <w:szCs w:val="20"/>
        </w:rPr>
        <w:t xml:space="preserve"> t</w:t>
      </w:r>
      <w:r w:rsidR="00D51F71" w:rsidRPr="00E73CF6">
        <w:rPr>
          <w:sz w:val="20"/>
          <w:szCs w:val="20"/>
        </w:rPr>
        <w:t>here exist in</w:t>
      </w:r>
      <w:r w:rsidR="00F37BAF">
        <w:rPr>
          <w:sz w:val="20"/>
          <w:szCs w:val="20"/>
        </w:rPr>
        <w:t>dependence of</w:t>
      </w:r>
      <w:r w:rsidR="007308F0">
        <w:rPr>
          <w:sz w:val="20"/>
          <w:szCs w:val="20"/>
        </w:rPr>
        <w:t xml:space="preserve"> the</w:t>
      </w:r>
      <w:r w:rsidR="00D51F71" w:rsidRPr="00E73CF6">
        <w:rPr>
          <w:sz w:val="20"/>
          <w:szCs w:val="20"/>
        </w:rPr>
        <w:t xml:space="preserve"> four</w:t>
      </w:r>
      <w:r w:rsidR="007308F0">
        <w:rPr>
          <w:sz w:val="20"/>
          <w:szCs w:val="20"/>
        </w:rPr>
        <w:t xml:space="preserve"> di</w:t>
      </w:r>
      <w:r w:rsidR="00607A49">
        <w:rPr>
          <w:sz w:val="20"/>
          <w:szCs w:val="20"/>
        </w:rPr>
        <w:t>ffer</w:t>
      </w:r>
      <w:r w:rsidR="007308F0">
        <w:rPr>
          <w:sz w:val="20"/>
          <w:szCs w:val="20"/>
        </w:rPr>
        <w:t>ent</w:t>
      </w:r>
      <w:r w:rsidR="00D51F71" w:rsidRPr="00E73CF6">
        <w:rPr>
          <w:sz w:val="20"/>
          <w:szCs w:val="20"/>
        </w:rPr>
        <w:t xml:space="preserve"> demographic factors</w:t>
      </w:r>
      <w:r w:rsidR="00924186">
        <w:rPr>
          <w:sz w:val="20"/>
          <w:szCs w:val="20"/>
        </w:rPr>
        <w:t xml:space="preserve"> of </w:t>
      </w:r>
      <w:r w:rsidR="007308F0">
        <w:rPr>
          <w:sz w:val="20"/>
          <w:szCs w:val="20"/>
        </w:rPr>
        <w:t>age, educational attainment, religion and occupation of respondents</w:t>
      </w:r>
      <w:r w:rsidR="00D51F71" w:rsidRPr="00E73CF6">
        <w:rPr>
          <w:sz w:val="20"/>
          <w:szCs w:val="20"/>
        </w:rPr>
        <w:t xml:space="preserve"> considered</w:t>
      </w:r>
      <w:r w:rsidR="00924186">
        <w:rPr>
          <w:sz w:val="20"/>
          <w:szCs w:val="20"/>
        </w:rPr>
        <w:t xml:space="preserve"> for the analysis and </w:t>
      </w:r>
      <w:r w:rsidR="00D51F71" w:rsidRPr="00E73CF6">
        <w:rPr>
          <w:sz w:val="20"/>
          <w:szCs w:val="20"/>
        </w:rPr>
        <w:t>effect</w:t>
      </w:r>
      <w:r w:rsidR="00924186">
        <w:rPr>
          <w:sz w:val="20"/>
          <w:szCs w:val="20"/>
        </w:rPr>
        <w:t xml:space="preserve"> of religious intolerance</w:t>
      </w:r>
      <w:r w:rsidR="00D51F71" w:rsidRPr="00E73CF6">
        <w:rPr>
          <w:sz w:val="20"/>
          <w:szCs w:val="20"/>
        </w:rPr>
        <w:t xml:space="preserve"> on </w:t>
      </w:r>
      <w:proofErr w:type="spellStart"/>
      <w:r w:rsidR="00924186">
        <w:rPr>
          <w:sz w:val="20"/>
          <w:szCs w:val="20"/>
        </w:rPr>
        <w:t>Jos</w:t>
      </w:r>
      <w:proofErr w:type="spellEnd"/>
      <w:r w:rsidR="00924186">
        <w:rPr>
          <w:sz w:val="20"/>
          <w:szCs w:val="20"/>
        </w:rPr>
        <w:t xml:space="preserve">/Plateau </w:t>
      </w:r>
      <w:r w:rsidR="00D51F71" w:rsidRPr="00E73CF6">
        <w:rPr>
          <w:sz w:val="20"/>
          <w:szCs w:val="20"/>
        </w:rPr>
        <w:t>confl</w:t>
      </w:r>
      <w:r w:rsidR="007308F0">
        <w:rPr>
          <w:sz w:val="20"/>
          <w:szCs w:val="20"/>
        </w:rPr>
        <w:t>ict. A</w:t>
      </w:r>
      <w:r w:rsidR="00D51F71" w:rsidRPr="00E73CF6">
        <w:rPr>
          <w:sz w:val="20"/>
          <w:szCs w:val="20"/>
        </w:rPr>
        <w:t>lso the analysis relatively showed a degree of dependence between the demographic factor</w:t>
      </w:r>
      <w:r>
        <w:rPr>
          <w:sz w:val="20"/>
          <w:szCs w:val="20"/>
        </w:rPr>
        <w:t>s</w:t>
      </w:r>
      <w:r w:rsidR="00D51F71" w:rsidRPr="00E73CF6">
        <w:rPr>
          <w:sz w:val="20"/>
          <w:szCs w:val="20"/>
        </w:rPr>
        <w:t xml:space="preserve"> and </w:t>
      </w:r>
      <w:r w:rsidR="00F37BAF">
        <w:rPr>
          <w:sz w:val="20"/>
          <w:szCs w:val="20"/>
        </w:rPr>
        <w:t xml:space="preserve">dispensation of </w:t>
      </w:r>
      <w:r w:rsidR="00D51F71" w:rsidRPr="00E73CF6">
        <w:rPr>
          <w:sz w:val="20"/>
          <w:szCs w:val="20"/>
        </w:rPr>
        <w:t>justice. That is, the responses of the respondents</w:t>
      </w:r>
      <w:r w:rsidR="00924186">
        <w:rPr>
          <w:sz w:val="20"/>
          <w:szCs w:val="20"/>
        </w:rPr>
        <w:t xml:space="preserve"> on injustice </w:t>
      </w:r>
      <w:r w:rsidR="003C33FF">
        <w:rPr>
          <w:sz w:val="20"/>
          <w:szCs w:val="20"/>
        </w:rPr>
        <w:t>or dispensation of justice</w:t>
      </w:r>
      <w:r w:rsidR="0071352A">
        <w:rPr>
          <w:sz w:val="20"/>
          <w:szCs w:val="20"/>
        </w:rPr>
        <w:t xml:space="preserve"> varies</w:t>
      </w:r>
      <w:r w:rsidR="00F37BAF">
        <w:rPr>
          <w:sz w:val="20"/>
          <w:szCs w:val="20"/>
        </w:rPr>
        <w:t xml:space="preserve"> within each demographic factor</w:t>
      </w:r>
      <w:r w:rsidR="007308F0">
        <w:rPr>
          <w:sz w:val="20"/>
          <w:szCs w:val="20"/>
        </w:rPr>
        <w:t xml:space="preserve"> </w:t>
      </w:r>
    </w:p>
    <w:p w:rsidR="00D51F71" w:rsidRPr="00E73CF6" w:rsidRDefault="00D51F71" w:rsidP="002D7EF1">
      <w:pPr>
        <w:spacing w:line="360" w:lineRule="auto"/>
        <w:ind w:firstLine="360"/>
        <w:jc w:val="both"/>
        <w:rPr>
          <w:sz w:val="20"/>
          <w:szCs w:val="20"/>
        </w:rPr>
      </w:pPr>
      <w:r w:rsidRPr="00E73CF6">
        <w:rPr>
          <w:sz w:val="20"/>
          <w:szCs w:val="20"/>
        </w:rPr>
        <w:t>In addition, the an</w:t>
      </w:r>
      <w:r w:rsidR="00924186">
        <w:rPr>
          <w:sz w:val="20"/>
          <w:szCs w:val="20"/>
        </w:rPr>
        <w:t>alysis showed dependence of</w:t>
      </w:r>
      <w:r w:rsidRPr="00E73CF6">
        <w:rPr>
          <w:sz w:val="20"/>
          <w:szCs w:val="20"/>
        </w:rPr>
        <w:t xml:space="preserve"> education </w:t>
      </w:r>
      <w:r w:rsidR="0071352A">
        <w:rPr>
          <w:sz w:val="20"/>
          <w:szCs w:val="20"/>
        </w:rPr>
        <w:t xml:space="preserve">attainment, religion and age </w:t>
      </w:r>
      <w:r w:rsidR="00924186">
        <w:rPr>
          <w:sz w:val="20"/>
          <w:szCs w:val="20"/>
        </w:rPr>
        <w:t xml:space="preserve">of respondents </w:t>
      </w:r>
      <w:r w:rsidR="0071352A">
        <w:rPr>
          <w:sz w:val="20"/>
          <w:szCs w:val="20"/>
        </w:rPr>
        <w:t>on</w:t>
      </w:r>
      <w:r w:rsidR="00924186">
        <w:rPr>
          <w:sz w:val="20"/>
          <w:szCs w:val="20"/>
        </w:rPr>
        <w:t xml:space="preserve"> opinion on</w:t>
      </w:r>
      <w:r w:rsidR="0071352A">
        <w:rPr>
          <w:sz w:val="20"/>
          <w:szCs w:val="20"/>
        </w:rPr>
        <w:t xml:space="preserve"> </w:t>
      </w:r>
      <w:r w:rsidRPr="00E73CF6">
        <w:rPr>
          <w:sz w:val="20"/>
          <w:szCs w:val="20"/>
        </w:rPr>
        <w:t>economic hardship but on the other hand, there exist independence between economic hardship and occupational status of the respondents</w:t>
      </w:r>
      <w:r w:rsidR="00DD1395">
        <w:rPr>
          <w:sz w:val="20"/>
          <w:szCs w:val="20"/>
        </w:rPr>
        <w:t>,</w:t>
      </w:r>
      <w:r w:rsidR="003C33FF">
        <w:rPr>
          <w:sz w:val="20"/>
          <w:szCs w:val="20"/>
        </w:rPr>
        <w:t xml:space="preserve"> implying, from the data analysis, that all categories of worker</w:t>
      </w:r>
      <w:r w:rsidR="002D46DF">
        <w:rPr>
          <w:sz w:val="20"/>
          <w:szCs w:val="20"/>
        </w:rPr>
        <w:t>s</w:t>
      </w:r>
      <w:r w:rsidR="003C33FF">
        <w:rPr>
          <w:sz w:val="20"/>
          <w:szCs w:val="20"/>
        </w:rPr>
        <w:t xml:space="preserve"> either agree or strongly agree that economic hardship is a catalyst to conflict in </w:t>
      </w:r>
      <w:proofErr w:type="spellStart"/>
      <w:r w:rsidR="003C33FF">
        <w:rPr>
          <w:sz w:val="20"/>
          <w:szCs w:val="20"/>
        </w:rPr>
        <w:t>Jos</w:t>
      </w:r>
      <w:proofErr w:type="spellEnd"/>
      <w:r w:rsidR="003C33FF">
        <w:rPr>
          <w:sz w:val="20"/>
          <w:szCs w:val="20"/>
        </w:rPr>
        <w:t>/Plateau</w:t>
      </w:r>
      <w:r w:rsidRPr="00E73CF6">
        <w:rPr>
          <w:sz w:val="20"/>
          <w:szCs w:val="20"/>
        </w:rPr>
        <w:t>.</w:t>
      </w:r>
    </w:p>
    <w:p w:rsidR="003C33FF" w:rsidRDefault="00D51F71" w:rsidP="002D7EF1">
      <w:pPr>
        <w:spacing w:line="360" w:lineRule="auto"/>
        <w:ind w:firstLine="720"/>
        <w:jc w:val="both"/>
        <w:rPr>
          <w:sz w:val="20"/>
          <w:szCs w:val="20"/>
        </w:rPr>
      </w:pPr>
      <w:r w:rsidRPr="00E73CF6">
        <w:rPr>
          <w:sz w:val="20"/>
          <w:szCs w:val="20"/>
        </w:rPr>
        <w:t xml:space="preserve">From the </w:t>
      </w:r>
      <w:r w:rsidR="00C46997">
        <w:rPr>
          <w:sz w:val="20"/>
          <w:szCs w:val="20"/>
        </w:rPr>
        <w:t xml:space="preserve">results of the </w:t>
      </w:r>
      <w:r w:rsidRPr="00E73CF6">
        <w:rPr>
          <w:sz w:val="20"/>
          <w:szCs w:val="20"/>
        </w:rPr>
        <w:t>analy</w:t>
      </w:r>
      <w:r w:rsidR="00C46997">
        <w:rPr>
          <w:sz w:val="20"/>
          <w:szCs w:val="20"/>
        </w:rPr>
        <w:t>sis, we can conclude</w:t>
      </w:r>
      <w:r w:rsidRPr="00E73CF6">
        <w:rPr>
          <w:sz w:val="20"/>
          <w:szCs w:val="20"/>
        </w:rPr>
        <w:t xml:space="preserve"> that t</w:t>
      </w:r>
      <w:r w:rsidR="003C33FF">
        <w:rPr>
          <w:sz w:val="20"/>
          <w:szCs w:val="20"/>
        </w:rPr>
        <w:t>he major cause</w:t>
      </w:r>
      <w:r w:rsidR="00F37BAF">
        <w:rPr>
          <w:sz w:val="20"/>
          <w:szCs w:val="20"/>
        </w:rPr>
        <w:t xml:space="preserve"> of conflicts is religious intolerance followed by</w:t>
      </w:r>
      <w:r w:rsidRPr="00E73CF6">
        <w:rPr>
          <w:sz w:val="20"/>
          <w:szCs w:val="20"/>
        </w:rPr>
        <w:t xml:space="preserve"> </w:t>
      </w:r>
      <w:r w:rsidR="00F37BAF">
        <w:rPr>
          <w:sz w:val="20"/>
          <w:szCs w:val="20"/>
        </w:rPr>
        <w:t>economic hardship with the</w:t>
      </w:r>
      <w:r w:rsidRPr="00E73CF6">
        <w:rPr>
          <w:sz w:val="20"/>
          <w:szCs w:val="20"/>
        </w:rPr>
        <w:t xml:space="preserve"> effect</w:t>
      </w:r>
      <w:r w:rsidR="00F37BAF">
        <w:rPr>
          <w:sz w:val="20"/>
          <w:szCs w:val="20"/>
        </w:rPr>
        <w:t xml:space="preserve"> of dispensation of justice</w:t>
      </w:r>
      <w:r w:rsidRPr="00E73CF6">
        <w:rPr>
          <w:sz w:val="20"/>
          <w:szCs w:val="20"/>
        </w:rPr>
        <w:t xml:space="preserve"> having no sign</w:t>
      </w:r>
      <w:r w:rsidR="00F37BAF">
        <w:rPr>
          <w:sz w:val="20"/>
          <w:szCs w:val="20"/>
        </w:rPr>
        <w:t>ificant role on</w:t>
      </w:r>
      <w:r w:rsidR="000B0FC0">
        <w:rPr>
          <w:sz w:val="20"/>
          <w:szCs w:val="20"/>
        </w:rPr>
        <w:t xml:space="preserve"> the </w:t>
      </w:r>
      <w:proofErr w:type="spellStart"/>
      <w:r w:rsidR="000B0FC0">
        <w:rPr>
          <w:sz w:val="20"/>
          <w:szCs w:val="20"/>
        </w:rPr>
        <w:t>Jos</w:t>
      </w:r>
      <w:proofErr w:type="spellEnd"/>
      <w:r w:rsidR="000B0FC0">
        <w:rPr>
          <w:sz w:val="20"/>
          <w:szCs w:val="20"/>
        </w:rPr>
        <w:t>/Plateau</w:t>
      </w:r>
      <w:r w:rsidR="00F37BAF">
        <w:rPr>
          <w:sz w:val="20"/>
          <w:szCs w:val="20"/>
        </w:rPr>
        <w:t xml:space="preserve"> conflict. </w:t>
      </w:r>
    </w:p>
    <w:p w:rsidR="00D51F71" w:rsidRPr="00E73CF6" w:rsidRDefault="00DD1395" w:rsidP="002D7EF1">
      <w:pPr>
        <w:spacing w:line="360" w:lineRule="auto"/>
        <w:ind w:firstLine="720"/>
        <w:jc w:val="both"/>
        <w:rPr>
          <w:sz w:val="20"/>
          <w:szCs w:val="20"/>
        </w:rPr>
      </w:pPr>
      <w:r>
        <w:rPr>
          <w:sz w:val="20"/>
          <w:szCs w:val="20"/>
        </w:rPr>
        <w:t>More so, from</w:t>
      </w:r>
      <w:r w:rsidR="00D51F71" w:rsidRPr="00E73CF6">
        <w:rPr>
          <w:sz w:val="20"/>
          <w:szCs w:val="20"/>
        </w:rPr>
        <w:t xml:space="preserve"> the residual</w:t>
      </w:r>
      <w:r w:rsidR="000B0FC0">
        <w:rPr>
          <w:sz w:val="20"/>
          <w:szCs w:val="20"/>
        </w:rPr>
        <w:t xml:space="preserve"> analysis</w:t>
      </w:r>
      <w:r>
        <w:rPr>
          <w:sz w:val="20"/>
          <w:szCs w:val="20"/>
        </w:rPr>
        <w:t xml:space="preserve"> in table 3.2</w:t>
      </w:r>
      <w:r w:rsidR="00D51F71" w:rsidRPr="00E73CF6">
        <w:rPr>
          <w:sz w:val="20"/>
          <w:szCs w:val="20"/>
        </w:rPr>
        <w:t xml:space="preserve">, </w:t>
      </w:r>
      <w:r w:rsidR="00B33D01">
        <w:rPr>
          <w:sz w:val="20"/>
          <w:szCs w:val="20"/>
        </w:rPr>
        <w:t xml:space="preserve">respondents aged 10-17 strongly agreed that </w:t>
      </w:r>
      <w:r w:rsidR="00B33D01" w:rsidRPr="00E73CF6">
        <w:rPr>
          <w:sz w:val="20"/>
          <w:szCs w:val="20"/>
        </w:rPr>
        <w:t>economic hardship</w:t>
      </w:r>
      <w:r w:rsidR="00B33D01">
        <w:rPr>
          <w:sz w:val="20"/>
          <w:szCs w:val="20"/>
        </w:rPr>
        <w:t xml:space="preserve"> is a major cause of the conflict in </w:t>
      </w:r>
      <w:proofErr w:type="spellStart"/>
      <w:r w:rsidR="00B33D01">
        <w:rPr>
          <w:sz w:val="20"/>
          <w:szCs w:val="20"/>
        </w:rPr>
        <w:t>Jos</w:t>
      </w:r>
      <w:proofErr w:type="spellEnd"/>
      <w:r w:rsidR="00B33D01">
        <w:rPr>
          <w:sz w:val="20"/>
          <w:szCs w:val="20"/>
        </w:rPr>
        <w:t xml:space="preserve">/Plateau, those aged 26-60 merely agreed while the fighting age group 18-25 do not have any idea whether economic hardship is a major cause of the conflicts in </w:t>
      </w:r>
      <w:proofErr w:type="spellStart"/>
      <w:r w:rsidR="00B33D01">
        <w:rPr>
          <w:sz w:val="20"/>
          <w:szCs w:val="20"/>
        </w:rPr>
        <w:t>Jos</w:t>
      </w:r>
      <w:proofErr w:type="spellEnd"/>
      <w:r w:rsidR="00B33D01">
        <w:rPr>
          <w:sz w:val="20"/>
          <w:szCs w:val="20"/>
        </w:rPr>
        <w:t xml:space="preserve"> /Plateau. Likewise</w:t>
      </w:r>
      <w:r w:rsidR="002D46DF">
        <w:rPr>
          <w:sz w:val="20"/>
          <w:szCs w:val="20"/>
        </w:rPr>
        <w:t>, in the other analysis,</w:t>
      </w:r>
      <w:r w:rsidR="00B33D01">
        <w:rPr>
          <w:sz w:val="20"/>
          <w:szCs w:val="20"/>
        </w:rPr>
        <w:t xml:space="preserve"> </w:t>
      </w:r>
      <w:r w:rsidR="003C33FF">
        <w:rPr>
          <w:sz w:val="20"/>
          <w:szCs w:val="20"/>
        </w:rPr>
        <w:t xml:space="preserve">respondents with </w:t>
      </w:r>
      <w:r w:rsidR="00D51F71" w:rsidRPr="00E73CF6">
        <w:rPr>
          <w:sz w:val="20"/>
          <w:szCs w:val="20"/>
        </w:rPr>
        <w:t>se</w:t>
      </w:r>
      <w:r w:rsidR="003C33FF">
        <w:rPr>
          <w:sz w:val="20"/>
          <w:szCs w:val="20"/>
        </w:rPr>
        <w:t>condary education</w:t>
      </w:r>
      <w:r w:rsidR="00D51F71" w:rsidRPr="00E73CF6">
        <w:rPr>
          <w:sz w:val="20"/>
          <w:szCs w:val="20"/>
        </w:rPr>
        <w:t xml:space="preserve"> claims not to have idea on whether conflict is caused by economic hardship. Considering injustice factor, the residual showed a little variation in the responses as Christians and individuals within the age range of 10-17 responded not to have idea on causes of conflict relating to injustice</w:t>
      </w:r>
      <w:r w:rsidR="000B0FC0">
        <w:rPr>
          <w:sz w:val="20"/>
          <w:szCs w:val="20"/>
        </w:rPr>
        <w:t xml:space="preserve"> or dispensation of justice</w:t>
      </w:r>
      <w:r w:rsidR="00D51F71" w:rsidRPr="00E73CF6">
        <w:rPr>
          <w:sz w:val="20"/>
          <w:szCs w:val="20"/>
        </w:rPr>
        <w:t>. Also traditional worshippers, businessmen and self-employed disagreed with injustice</w:t>
      </w:r>
      <w:r w:rsidR="00FD11E9">
        <w:rPr>
          <w:sz w:val="20"/>
          <w:szCs w:val="20"/>
        </w:rPr>
        <w:t xml:space="preserve"> or dispensation of justice</w:t>
      </w:r>
      <w:r w:rsidR="00D51F71" w:rsidRPr="00E73CF6">
        <w:rPr>
          <w:sz w:val="20"/>
          <w:szCs w:val="20"/>
        </w:rPr>
        <w:t xml:space="preserve"> as a cause of conflict.</w:t>
      </w:r>
    </w:p>
    <w:p w:rsidR="00D51F71" w:rsidRDefault="00DA72A8" w:rsidP="00A0425B">
      <w:pPr>
        <w:spacing w:line="360" w:lineRule="auto"/>
        <w:ind w:firstLine="720"/>
        <w:jc w:val="both"/>
        <w:rPr>
          <w:sz w:val="20"/>
          <w:szCs w:val="20"/>
        </w:rPr>
      </w:pPr>
      <w:r>
        <w:rPr>
          <w:sz w:val="20"/>
          <w:szCs w:val="20"/>
        </w:rPr>
        <w:t>Base on the findings of this study,</w:t>
      </w:r>
      <w:r w:rsidR="00D51F71" w:rsidRPr="00E73CF6">
        <w:rPr>
          <w:sz w:val="20"/>
          <w:szCs w:val="20"/>
        </w:rPr>
        <w:t xml:space="preserve"> it can be recommended that</w:t>
      </w:r>
      <w:r>
        <w:rPr>
          <w:sz w:val="20"/>
          <w:szCs w:val="20"/>
        </w:rPr>
        <w:t xml:space="preserve"> for peace to be sustained in </w:t>
      </w:r>
      <w:proofErr w:type="spellStart"/>
      <w:r>
        <w:rPr>
          <w:sz w:val="20"/>
          <w:szCs w:val="20"/>
        </w:rPr>
        <w:t>Jos</w:t>
      </w:r>
      <w:proofErr w:type="spellEnd"/>
      <w:r>
        <w:rPr>
          <w:sz w:val="20"/>
          <w:szCs w:val="20"/>
        </w:rPr>
        <w:t>/Plateau and development achieved in Nig</w:t>
      </w:r>
      <w:r w:rsidR="00D01081">
        <w:rPr>
          <w:sz w:val="20"/>
          <w:szCs w:val="20"/>
        </w:rPr>
        <w:t>eria, every effort should be geared towards eschewing every activity that fans the embers of religious</w:t>
      </w:r>
      <w:r w:rsidR="00BF6230">
        <w:rPr>
          <w:sz w:val="20"/>
          <w:szCs w:val="20"/>
        </w:rPr>
        <w:t xml:space="preserve"> hatred and conflicts: t</w:t>
      </w:r>
      <w:r w:rsidR="00D01081">
        <w:rPr>
          <w:sz w:val="20"/>
          <w:szCs w:val="20"/>
        </w:rPr>
        <w:t xml:space="preserve">his includes the activities of politicians in </w:t>
      </w:r>
      <w:proofErr w:type="spellStart"/>
      <w:r w:rsidR="00D01081">
        <w:rPr>
          <w:sz w:val="20"/>
          <w:szCs w:val="20"/>
        </w:rPr>
        <w:t>Jos</w:t>
      </w:r>
      <w:proofErr w:type="spellEnd"/>
      <w:r w:rsidR="00D01081">
        <w:rPr>
          <w:sz w:val="20"/>
          <w:szCs w:val="20"/>
        </w:rPr>
        <w:t>/Plateau since dispensation of justice with respect to pending cases with  law enforcement agencies and the judiciary leading to</w:t>
      </w:r>
      <w:r w:rsidR="00D51F71" w:rsidRPr="00E73CF6">
        <w:rPr>
          <w:sz w:val="20"/>
          <w:szCs w:val="20"/>
        </w:rPr>
        <w:t xml:space="preserve"> inappropriate administration of justice</w:t>
      </w:r>
      <w:r w:rsidR="00D01081">
        <w:rPr>
          <w:sz w:val="20"/>
          <w:szCs w:val="20"/>
        </w:rPr>
        <w:t xml:space="preserve"> were not cited as the chief cause of conflict. Therefore</w:t>
      </w:r>
      <w:r w:rsidR="00BF6230">
        <w:rPr>
          <w:sz w:val="20"/>
          <w:szCs w:val="20"/>
        </w:rPr>
        <w:t>,</w:t>
      </w:r>
      <w:r w:rsidR="00D51F71" w:rsidRPr="00E73CF6">
        <w:rPr>
          <w:sz w:val="20"/>
          <w:szCs w:val="20"/>
        </w:rPr>
        <w:t xml:space="preserve"> conflict instigator</w:t>
      </w:r>
      <w:r w:rsidR="00D01081">
        <w:rPr>
          <w:sz w:val="20"/>
          <w:szCs w:val="20"/>
        </w:rPr>
        <w:t>s</w:t>
      </w:r>
      <w:r w:rsidR="00D51F71" w:rsidRPr="00E73CF6">
        <w:rPr>
          <w:sz w:val="20"/>
          <w:szCs w:val="20"/>
        </w:rPr>
        <w:t xml:space="preserve"> should be brought to book irr</w:t>
      </w:r>
      <w:r w:rsidR="00BF6230">
        <w:rPr>
          <w:sz w:val="20"/>
          <w:szCs w:val="20"/>
        </w:rPr>
        <w:t xml:space="preserve">espective of their social class because the chief cause seem to agree with the conclusions of </w:t>
      </w:r>
      <w:r w:rsidR="00D01081">
        <w:rPr>
          <w:sz w:val="20"/>
          <w:szCs w:val="20"/>
        </w:rPr>
        <w:t xml:space="preserve"> </w:t>
      </w:r>
      <w:r w:rsidR="00D51F71" w:rsidRPr="00E73CF6">
        <w:rPr>
          <w:sz w:val="20"/>
          <w:szCs w:val="20"/>
        </w:rPr>
        <w:t xml:space="preserve"> </w:t>
      </w:r>
      <w:r w:rsidR="00D51EAD">
        <w:rPr>
          <w:sz w:val="20"/>
          <w:szCs w:val="20"/>
        </w:rPr>
        <w:t>[16] and [2]</w:t>
      </w:r>
      <w:r w:rsidR="00BF6230">
        <w:rPr>
          <w:sz w:val="20"/>
          <w:szCs w:val="20"/>
        </w:rPr>
        <w:t>. Hence</w:t>
      </w:r>
      <w:r w:rsidR="00A0425B">
        <w:rPr>
          <w:sz w:val="20"/>
          <w:szCs w:val="20"/>
        </w:rPr>
        <w:t xml:space="preserve"> the researchers advocates for</w:t>
      </w:r>
      <w:r w:rsidR="00BF6230">
        <w:rPr>
          <w:sz w:val="20"/>
          <w:szCs w:val="20"/>
        </w:rPr>
        <w:t xml:space="preserve"> </w:t>
      </w:r>
      <w:r w:rsidR="00A0425B">
        <w:rPr>
          <w:sz w:val="20"/>
          <w:szCs w:val="20"/>
        </w:rPr>
        <w:t xml:space="preserve">peace education in </w:t>
      </w:r>
      <w:proofErr w:type="spellStart"/>
      <w:r w:rsidR="00A0425B">
        <w:rPr>
          <w:sz w:val="20"/>
          <w:szCs w:val="20"/>
        </w:rPr>
        <w:t>Jos</w:t>
      </w:r>
      <w:proofErr w:type="spellEnd"/>
      <w:r w:rsidR="00A0425B">
        <w:rPr>
          <w:sz w:val="20"/>
          <w:szCs w:val="20"/>
        </w:rPr>
        <w:t>/Plateau and Nigeria in general</w:t>
      </w:r>
      <w:r w:rsidR="00BF6230">
        <w:rPr>
          <w:sz w:val="20"/>
          <w:szCs w:val="20"/>
        </w:rPr>
        <w:t>.</w:t>
      </w:r>
      <w:r w:rsidR="00D51F71" w:rsidRPr="00E73CF6">
        <w:rPr>
          <w:sz w:val="20"/>
          <w:szCs w:val="20"/>
        </w:rPr>
        <w:t xml:space="preserve"> </w:t>
      </w:r>
    </w:p>
    <w:p w:rsidR="00D563F8" w:rsidRDefault="00D563F8" w:rsidP="00D563F8">
      <w:pPr>
        <w:spacing w:line="360" w:lineRule="auto"/>
        <w:ind w:firstLine="720"/>
        <w:jc w:val="center"/>
        <w:rPr>
          <w:sz w:val="20"/>
          <w:szCs w:val="20"/>
        </w:rPr>
      </w:pPr>
      <w:r>
        <w:rPr>
          <w:sz w:val="20"/>
          <w:szCs w:val="20"/>
        </w:rPr>
        <w:t>Acknowledgement</w:t>
      </w:r>
    </w:p>
    <w:p w:rsidR="00D563F8" w:rsidRPr="00E73CF6" w:rsidRDefault="00D563F8" w:rsidP="00D563F8">
      <w:pPr>
        <w:spacing w:line="360" w:lineRule="auto"/>
        <w:ind w:firstLine="720"/>
        <w:rPr>
          <w:sz w:val="20"/>
          <w:szCs w:val="20"/>
        </w:rPr>
      </w:pPr>
      <w:r>
        <w:rPr>
          <w:sz w:val="20"/>
          <w:szCs w:val="20"/>
        </w:rPr>
        <w:t xml:space="preserve">We wish to acknowledge the assistance we obtained from the works of all the authors cited in this research  paper towards its success. We also wish to thank our families for their support and understanding during the course of the research that involved a lot of travels. </w:t>
      </w:r>
    </w:p>
    <w:p w:rsidR="00D51F71" w:rsidRPr="00E73CF6" w:rsidRDefault="00D51F71" w:rsidP="00A0425B">
      <w:pPr>
        <w:spacing w:line="360" w:lineRule="auto"/>
        <w:jc w:val="center"/>
        <w:rPr>
          <w:b/>
          <w:sz w:val="18"/>
          <w:szCs w:val="18"/>
        </w:rPr>
      </w:pPr>
      <w:r w:rsidRPr="00E73CF6">
        <w:rPr>
          <w:b/>
          <w:sz w:val="18"/>
          <w:szCs w:val="18"/>
        </w:rPr>
        <w:t>REFERENCES</w:t>
      </w:r>
    </w:p>
    <w:p w:rsidR="00A83C30" w:rsidRDefault="00E67152" w:rsidP="00A83C30">
      <w:pPr>
        <w:spacing w:line="360" w:lineRule="auto"/>
        <w:ind w:left="720" w:hanging="720"/>
        <w:jc w:val="both"/>
        <w:rPr>
          <w:sz w:val="18"/>
          <w:szCs w:val="18"/>
        </w:rPr>
      </w:pPr>
      <w:r>
        <w:rPr>
          <w:sz w:val="18"/>
          <w:szCs w:val="18"/>
        </w:rPr>
        <w:t xml:space="preserve"> </w:t>
      </w:r>
      <w:r w:rsidR="00101DC4">
        <w:rPr>
          <w:sz w:val="18"/>
          <w:szCs w:val="18"/>
        </w:rPr>
        <w:t>[1]. Wikipedia,</w:t>
      </w:r>
      <w:r w:rsidR="00A83C30">
        <w:rPr>
          <w:sz w:val="18"/>
          <w:szCs w:val="18"/>
        </w:rPr>
        <w:t xml:space="preserve"> </w:t>
      </w:r>
      <w:r w:rsidR="00101DC4">
        <w:rPr>
          <w:sz w:val="18"/>
          <w:szCs w:val="18"/>
        </w:rPr>
        <w:t>“Peace and conflict resolution,”</w:t>
      </w:r>
      <w:r w:rsidR="00A83C30">
        <w:rPr>
          <w:sz w:val="18"/>
          <w:szCs w:val="18"/>
        </w:rPr>
        <w:t xml:space="preserve"> Accessed on 23</w:t>
      </w:r>
      <w:r w:rsidR="00A83C30" w:rsidRPr="008801DF">
        <w:rPr>
          <w:sz w:val="18"/>
          <w:szCs w:val="18"/>
          <w:vertAlign w:val="superscript"/>
        </w:rPr>
        <w:t>rd</w:t>
      </w:r>
      <w:r w:rsidR="00A83C30">
        <w:rPr>
          <w:sz w:val="18"/>
          <w:szCs w:val="18"/>
        </w:rPr>
        <w:t xml:space="preserve"> June, 2017 through </w:t>
      </w:r>
      <w:hyperlink r:id="rId6" w:history="1">
        <w:r w:rsidR="00A83C30" w:rsidRPr="004821BA">
          <w:rPr>
            <w:rStyle w:val="Hyperlink"/>
            <w:sz w:val="18"/>
            <w:szCs w:val="18"/>
          </w:rPr>
          <w:t>http://en.wikipedia.org</w:t>
        </w:r>
      </w:hyperlink>
      <w:r w:rsidR="00A83C30">
        <w:rPr>
          <w:sz w:val="18"/>
          <w:szCs w:val="18"/>
        </w:rPr>
        <w:t>.</w:t>
      </w:r>
    </w:p>
    <w:p w:rsidR="00A83C30" w:rsidRDefault="00A83C30" w:rsidP="00A83C30">
      <w:pPr>
        <w:spacing w:line="360" w:lineRule="auto"/>
        <w:ind w:left="720" w:hanging="720"/>
        <w:jc w:val="both"/>
        <w:rPr>
          <w:sz w:val="18"/>
          <w:szCs w:val="18"/>
        </w:rPr>
      </w:pPr>
      <w:r>
        <w:rPr>
          <w:sz w:val="18"/>
          <w:szCs w:val="18"/>
        </w:rPr>
        <w:t xml:space="preserve">[2].  A. I. </w:t>
      </w:r>
      <w:proofErr w:type="spellStart"/>
      <w:r>
        <w:rPr>
          <w:sz w:val="18"/>
          <w:szCs w:val="18"/>
        </w:rPr>
        <w:t>Bature</w:t>
      </w:r>
      <w:proofErr w:type="spellEnd"/>
      <w:r>
        <w:rPr>
          <w:sz w:val="18"/>
          <w:szCs w:val="18"/>
        </w:rPr>
        <w:t>, “Promoting peace education in Nigeria: A case study on building a paradigm for peace,” USA: Amazon.com publishers,</w:t>
      </w:r>
      <w:r w:rsidRPr="0035589F">
        <w:rPr>
          <w:sz w:val="18"/>
          <w:szCs w:val="18"/>
        </w:rPr>
        <w:t xml:space="preserve"> </w:t>
      </w:r>
      <w:r>
        <w:rPr>
          <w:sz w:val="18"/>
          <w:szCs w:val="18"/>
        </w:rPr>
        <w:t>2015</w:t>
      </w:r>
    </w:p>
    <w:p w:rsidR="00A83C30" w:rsidRDefault="00A83C30" w:rsidP="00A83C30">
      <w:pPr>
        <w:spacing w:line="360" w:lineRule="auto"/>
        <w:ind w:left="720" w:hanging="720"/>
        <w:jc w:val="both"/>
        <w:rPr>
          <w:sz w:val="18"/>
          <w:szCs w:val="18"/>
        </w:rPr>
      </w:pPr>
      <w:r>
        <w:rPr>
          <w:sz w:val="18"/>
          <w:szCs w:val="18"/>
        </w:rPr>
        <w:lastRenderedPageBreak/>
        <w:t xml:space="preserve">[3]. C. </w:t>
      </w:r>
      <w:proofErr w:type="spellStart"/>
      <w:r>
        <w:rPr>
          <w:sz w:val="18"/>
          <w:szCs w:val="18"/>
        </w:rPr>
        <w:t>Webel</w:t>
      </w:r>
      <w:proofErr w:type="spellEnd"/>
      <w:r>
        <w:rPr>
          <w:sz w:val="18"/>
          <w:szCs w:val="18"/>
        </w:rPr>
        <w:t xml:space="preserve"> and  G. Johan, “Negotiation and international conflict: handbook of peace and conflict studies,” NY: </w:t>
      </w:r>
      <w:proofErr w:type="spellStart"/>
      <w:r>
        <w:rPr>
          <w:sz w:val="18"/>
          <w:szCs w:val="18"/>
        </w:rPr>
        <w:t>Routledge</w:t>
      </w:r>
      <w:proofErr w:type="spellEnd"/>
      <w:r>
        <w:rPr>
          <w:sz w:val="18"/>
          <w:szCs w:val="18"/>
        </w:rPr>
        <w:t>,  pp 35-50.</w:t>
      </w:r>
    </w:p>
    <w:p w:rsidR="00A83C30" w:rsidRDefault="00A83C30" w:rsidP="00A83C30">
      <w:pPr>
        <w:spacing w:line="360" w:lineRule="auto"/>
        <w:ind w:left="720" w:hanging="720"/>
        <w:jc w:val="both"/>
        <w:rPr>
          <w:sz w:val="18"/>
          <w:szCs w:val="18"/>
        </w:rPr>
      </w:pPr>
      <w:r>
        <w:rPr>
          <w:sz w:val="18"/>
          <w:szCs w:val="18"/>
        </w:rPr>
        <w:t xml:space="preserve">[4].  I. </w:t>
      </w:r>
      <w:proofErr w:type="spellStart"/>
      <w:r>
        <w:rPr>
          <w:sz w:val="18"/>
          <w:szCs w:val="18"/>
        </w:rPr>
        <w:t>Moris</w:t>
      </w:r>
      <w:proofErr w:type="spellEnd"/>
      <w:r>
        <w:rPr>
          <w:sz w:val="18"/>
          <w:szCs w:val="18"/>
        </w:rPr>
        <w:t xml:space="preserve">, “Peace and conflict: Working paper on conflict resolution,” 2010. </w:t>
      </w:r>
    </w:p>
    <w:p w:rsidR="00A83C30" w:rsidRDefault="00A83C30" w:rsidP="00A83C30">
      <w:pPr>
        <w:spacing w:line="360" w:lineRule="auto"/>
        <w:ind w:left="720" w:hanging="720"/>
        <w:jc w:val="both"/>
        <w:rPr>
          <w:sz w:val="18"/>
          <w:szCs w:val="18"/>
        </w:rPr>
      </w:pPr>
      <w:r>
        <w:rPr>
          <w:sz w:val="18"/>
          <w:szCs w:val="18"/>
        </w:rPr>
        <w:t xml:space="preserve">[5].  F. </w:t>
      </w:r>
      <w:proofErr w:type="spellStart"/>
      <w:r>
        <w:rPr>
          <w:sz w:val="18"/>
          <w:szCs w:val="18"/>
        </w:rPr>
        <w:t>Falola</w:t>
      </w:r>
      <w:proofErr w:type="spellEnd"/>
      <w:r>
        <w:rPr>
          <w:sz w:val="18"/>
          <w:szCs w:val="18"/>
        </w:rPr>
        <w:t xml:space="preserve"> and  M. M. Heaton, “A history of Nigeria,” Cambridge University Press,</w:t>
      </w:r>
      <w:r w:rsidRPr="0042301B">
        <w:rPr>
          <w:sz w:val="18"/>
          <w:szCs w:val="18"/>
        </w:rPr>
        <w:t xml:space="preserve"> </w:t>
      </w:r>
      <w:r>
        <w:rPr>
          <w:sz w:val="18"/>
          <w:szCs w:val="18"/>
        </w:rPr>
        <w:t>2008.</w:t>
      </w:r>
    </w:p>
    <w:p w:rsidR="00A83C30" w:rsidRPr="00E73CF6" w:rsidRDefault="00A83C30" w:rsidP="00A83C30">
      <w:pPr>
        <w:spacing w:line="360" w:lineRule="auto"/>
        <w:ind w:left="720" w:hanging="720"/>
        <w:jc w:val="both"/>
        <w:rPr>
          <w:sz w:val="18"/>
          <w:szCs w:val="18"/>
        </w:rPr>
      </w:pPr>
      <w:r>
        <w:rPr>
          <w:sz w:val="18"/>
          <w:szCs w:val="18"/>
        </w:rPr>
        <w:t xml:space="preserve">[6].  </w:t>
      </w:r>
      <w:r w:rsidRPr="00E73CF6">
        <w:rPr>
          <w:sz w:val="18"/>
          <w:szCs w:val="18"/>
        </w:rPr>
        <w:t>M.</w:t>
      </w:r>
      <w:r>
        <w:rPr>
          <w:sz w:val="18"/>
          <w:szCs w:val="18"/>
        </w:rPr>
        <w:t xml:space="preserve"> </w:t>
      </w:r>
      <w:r w:rsidRPr="00E73CF6">
        <w:rPr>
          <w:sz w:val="18"/>
          <w:szCs w:val="18"/>
        </w:rPr>
        <w:t xml:space="preserve">Matsuo, </w:t>
      </w:r>
      <w:r>
        <w:rPr>
          <w:sz w:val="18"/>
          <w:szCs w:val="18"/>
        </w:rPr>
        <w:t>“Peace and conflicts studies: A theoretical i</w:t>
      </w:r>
      <w:r w:rsidRPr="00E73CF6">
        <w:rPr>
          <w:sz w:val="18"/>
          <w:szCs w:val="18"/>
        </w:rPr>
        <w:t>nt</w:t>
      </w:r>
      <w:r>
        <w:rPr>
          <w:sz w:val="18"/>
          <w:szCs w:val="18"/>
        </w:rPr>
        <w:t xml:space="preserve">roduction, Hiroshima: </w:t>
      </w:r>
      <w:proofErr w:type="spellStart"/>
      <w:r>
        <w:rPr>
          <w:sz w:val="18"/>
          <w:szCs w:val="18"/>
        </w:rPr>
        <w:t>keisuisha</w:t>
      </w:r>
      <w:proofErr w:type="spellEnd"/>
      <w:r>
        <w:rPr>
          <w:sz w:val="18"/>
          <w:szCs w:val="18"/>
        </w:rPr>
        <w:t>,</w:t>
      </w:r>
      <w:r w:rsidRPr="0042301B">
        <w:rPr>
          <w:sz w:val="18"/>
          <w:szCs w:val="18"/>
        </w:rPr>
        <w:t xml:space="preserve"> </w:t>
      </w:r>
      <w:r>
        <w:rPr>
          <w:sz w:val="18"/>
          <w:szCs w:val="18"/>
        </w:rPr>
        <w:t>2005.</w:t>
      </w:r>
    </w:p>
    <w:p w:rsidR="00A83C30" w:rsidRDefault="00A83C30" w:rsidP="00A83C30">
      <w:pPr>
        <w:spacing w:line="360" w:lineRule="auto"/>
        <w:ind w:left="720" w:hanging="720"/>
        <w:jc w:val="both"/>
        <w:rPr>
          <w:sz w:val="18"/>
          <w:szCs w:val="18"/>
        </w:rPr>
      </w:pPr>
      <w:r>
        <w:rPr>
          <w:sz w:val="18"/>
          <w:szCs w:val="18"/>
        </w:rPr>
        <w:t xml:space="preserve">[7]. R. </w:t>
      </w:r>
      <w:proofErr w:type="spellStart"/>
      <w:r>
        <w:rPr>
          <w:sz w:val="18"/>
          <w:szCs w:val="18"/>
        </w:rPr>
        <w:t>Vallacher</w:t>
      </w:r>
      <w:proofErr w:type="spellEnd"/>
      <w:r>
        <w:rPr>
          <w:sz w:val="18"/>
          <w:szCs w:val="18"/>
        </w:rPr>
        <w:t xml:space="preserve">, P. Coleman,  A. Nowak  and L. Bui </w:t>
      </w:r>
      <w:proofErr w:type="spellStart"/>
      <w:r>
        <w:rPr>
          <w:sz w:val="18"/>
          <w:szCs w:val="18"/>
        </w:rPr>
        <w:t>Wrzosinska</w:t>
      </w:r>
      <w:proofErr w:type="spellEnd"/>
      <w:r>
        <w:rPr>
          <w:sz w:val="18"/>
          <w:szCs w:val="18"/>
        </w:rPr>
        <w:t xml:space="preserve">, “Peace and conflict,” American Psychologist, vol. 65, no. 4 , 2010, pp. 262-278.  </w:t>
      </w:r>
    </w:p>
    <w:p w:rsidR="00A83C30" w:rsidRDefault="00A83C30" w:rsidP="00A83C30">
      <w:pPr>
        <w:spacing w:line="360" w:lineRule="auto"/>
        <w:ind w:left="720" w:hanging="720"/>
        <w:jc w:val="both"/>
        <w:rPr>
          <w:sz w:val="18"/>
          <w:szCs w:val="18"/>
        </w:rPr>
      </w:pPr>
      <w:r>
        <w:rPr>
          <w:sz w:val="18"/>
          <w:szCs w:val="18"/>
        </w:rPr>
        <w:t xml:space="preserve">[8].  O. Richmond, “A post liberal peace </w:t>
      </w:r>
      <w:proofErr w:type="spellStart"/>
      <w:r>
        <w:rPr>
          <w:sz w:val="18"/>
          <w:szCs w:val="18"/>
        </w:rPr>
        <w:t>abingdon</w:t>
      </w:r>
      <w:proofErr w:type="spellEnd"/>
      <w:r>
        <w:rPr>
          <w:sz w:val="18"/>
          <w:szCs w:val="18"/>
        </w:rPr>
        <w:t xml:space="preserve">,” Oxon: </w:t>
      </w:r>
      <w:proofErr w:type="spellStart"/>
      <w:r>
        <w:rPr>
          <w:sz w:val="18"/>
          <w:szCs w:val="18"/>
        </w:rPr>
        <w:t>Routledge</w:t>
      </w:r>
      <w:proofErr w:type="spellEnd"/>
      <w:r>
        <w:rPr>
          <w:sz w:val="18"/>
          <w:szCs w:val="18"/>
        </w:rPr>
        <w:t>, 2011.</w:t>
      </w:r>
    </w:p>
    <w:p w:rsidR="00A83C30" w:rsidRDefault="00A83C30" w:rsidP="00A83C30">
      <w:pPr>
        <w:spacing w:line="360" w:lineRule="auto"/>
        <w:ind w:left="720" w:hanging="720"/>
        <w:jc w:val="both"/>
        <w:rPr>
          <w:sz w:val="18"/>
          <w:szCs w:val="18"/>
        </w:rPr>
      </w:pPr>
      <w:r>
        <w:rPr>
          <w:sz w:val="18"/>
          <w:szCs w:val="18"/>
        </w:rPr>
        <w:t xml:space="preserve">[9].  UN. “Report of the global high level panel on water and </w:t>
      </w:r>
      <w:proofErr w:type="spellStart"/>
      <w:r>
        <w:rPr>
          <w:sz w:val="18"/>
          <w:szCs w:val="18"/>
        </w:rPr>
        <w:t>peace,”Zurich</w:t>
      </w:r>
      <w:proofErr w:type="spellEnd"/>
      <w:r>
        <w:rPr>
          <w:sz w:val="18"/>
          <w:szCs w:val="18"/>
        </w:rPr>
        <w:t>. September 2017.</w:t>
      </w:r>
    </w:p>
    <w:p w:rsidR="00A83C30" w:rsidRDefault="00A83C30" w:rsidP="00A83C30">
      <w:pPr>
        <w:spacing w:line="360" w:lineRule="auto"/>
        <w:ind w:left="720" w:hanging="720"/>
        <w:jc w:val="both"/>
        <w:rPr>
          <w:sz w:val="18"/>
          <w:szCs w:val="18"/>
        </w:rPr>
      </w:pPr>
      <w:r>
        <w:rPr>
          <w:sz w:val="18"/>
          <w:szCs w:val="18"/>
        </w:rPr>
        <w:t xml:space="preserve">[10]. T. </w:t>
      </w:r>
      <w:proofErr w:type="spellStart"/>
      <w:r>
        <w:rPr>
          <w:sz w:val="18"/>
          <w:szCs w:val="18"/>
        </w:rPr>
        <w:t>Chadefaux</w:t>
      </w:r>
      <w:proofErr w:type="spellEnd"/>
      <w:r>
        <w:rPr>
          <w:sz w:val="18"/>
          <w:szCs w:val="18"/>
        </w:rPr>
        <w:t xml:space="preserve">, “Early warning signals for war in the news,” Journal of Peace Research, </w:t>
      </w:r>
      <w:proofErr w:type="spellStart"/>
      <w:r>
        <w:rPr>
          <w:sz w:val="18"/>
          <w:szCs w:val="18"/>
        </w:rPr>
        <w:t>vol</w:t>
      </w:r>
      <w:proofErr w:type="spellEnd"/>
      <w:r>
        <w:rPr>
          <w:sz w:val="18"/>
          <w:szCs w:val="18"/>
        </w:rPr>
        <w:t xml:space="preserve"> 51, no.1, 2014, pp. 5-18. </w:t>
      </w:r>
    </w:p>
    <w:p w:rsidR="00A83C30" w:rsidRDefault="00A83C30" w:rsidP="00A83C30">
      <w:pPr>
        <w:spacing w:line="360" w:lineRule="auto"/>
        <w:ind w:left="720" w:hanging="720"/>
        <w:jc w:val="both"/>
        <w:rPr>
          <w:sz w:val="18"/>
          <w:szCs w:val="18"/>
        </w:rPr>
      </w:pPr>
      <w:r>
        <w:rPr>
          <w:sz w:val="18"/>
          <w:szCs w:val="18"/>
        </w:rPr>
        <w:t>[11].</w:t>
      </w:r>
      <w:r w:rsidRPr="00ED512C">
        <w:rPr>
          <w:sz w:val="18"/>
          <w:szCs w:val="18"/>
        </w:rPr>
        <w:t xml:space="preserve"> </w:t>
      </w:r>
      <w:r>
        <w:rPr>
          <w:sz w:val="18"/>
          <w:szCs w:val="18"/>
        </w:rPr>
        <w:t xml:space="preserve">L. </w:t>
      </w:r>
      <w:proofErr w:type="spellStart"/>
      <w:r>
        <w:rPr>
          <w:sz w:val="18"/>
          <w:szCs w:val="18"/>
        </w:rPr>
        <w:t>Goetscel</w:t>
      </w:r>
      <w:proofErr w:type="spellEnd"/>
      <w:r>
        <w:rPr>
          <w:sz w:val="18"/>
          <w:szCs w:val="18"/>
        </w:rPr>
        <w:t xml:space="preserve"> and S. </w:t>
      </w:r>
      <w:proofErr w:type="spellStart"/>
      <w:r>
        <w:rPr>
          <w:sz w:val="18"/>
          <w:szCs w:val="18"/>
        </w:rPr>
        <w:t>Pfluger</w:t>
      </w:r>
      <w:proofErr w:type="spellEnd"/>
      <w:r>
        <w:rPr>
          <w:sz w:val="18"/>
          <w:szCs w:val="18"/>
        </w:rPr>
        <w:t>, “Challenges of peace research,”</w:t>
      </w:r>
      <w:r w:rsidRPr="00ED512C">
        <w:rPr>
          <w:sz w:val="18"/>
          <w:szCs w:val="18"/>
        </w:rPr>
        <w:t xml:space="preserve"> </w:t>
      </w:r>
      <w:r>
        <w:rPr>
          <w:sz w:val="18"/>
          <w:szCs w:val="18"/>
        </w:rPr>
        <w:t xml:space="preserve">2014. Retrieved on July 2017 from </w:t>
      </w:r>
      <w:hyperlink r:id="rId7" w:history="1">
        <w:r w:rsidRPr="004821BA">
          <w:rPr>
            <w:rStyle w:val="Hyperlink"/>
            <w:sz w:val="18"/>
            <w:szCs w:val="18"/>
          </w:rPr>
          <w:t>http://www.swisspeace.ch/fileadmin/user_upload/media/publication/wp_7_2014</w:t>
        </w:r>
      </w:hyperlink>
      <w:r>
        <w:rPr>
          <w:sz w:val="18"/>
          <w:szCs w:val="18"/>
        </w:rPr>
        <w:t xml:space="preserve">. </w:t>
      </w:r>
    </w:p>
    <w:p w:rsidR="00A83C30" w:rsidRPr="00E73CF6" w:rsidRDefault="00A83C30" w:rsidP="00A83C30">
      <w:pPr>
        <w:spacing w:line="360" w:lineRule="auto"/>
        <w:ind w:left="720" w:hanging="720"/>
        <w:jc w:val="both"/>
        <w:rPr>
          <w:sz w:val="18"/>
          <w:szCs w:val="18"/>
        </w:rPr>
      </w:pPr>
      <w:r>
        <w:rPr>
          <w:sz w:val="18"/>
          <w:szCs w:val="18"/>
        </w:rPr>
        <w:t>[12].</w:t>
      </w:r>
      <w:r w:rsidRPr="00ED512C">
        <w:rPr>
          <w:sz w:val="18"/>
          <w:szCs w:val="18"/>
        </w:rPr>
        <w:t xml:space="preserve"> </w:t>
      </w:r>
      <w:r w:rsidRPr="00E73CF6">
        <w:rPr>
          <w:sz w:val="18"/>
          <w:szCs w:val="18"/>
        </w:rPr>
        <w:t>C.</w:t>
      </w:r>
      <w:r>
        <w:rPr>
          <w:sz w:val="18"/>
          <w:szCs w:val="18"/>
        </w:rPr>
        <w:t xml:space="preserve"> </w:t>
      </w:r>
      <w:r w:rsidRPr="00E73CF6">
        <w:rPr>
          <w:sz w:val="18"/>
          <w:szCs w:val="18"/>
        </w:rPr>
        <w:t>A</w:t>
      </w:r>
      <w:r>
        <w:rPr>
          <w:sz w:val="18"/>
          <w:szCs w:val="18"/>
        </w:rPr>
        <w:t xml:space="preserve">. </w:t>
      </w:r>
      <w:proofErr w:type="spellStart"/>
      <w:r w:rsidRPr="00E73CF6">
        <w:rPr>
          <w:sz w:val="18"/>
          <w:szCs w:val="18"/>
        </w:rPr>
        <w:t>Kwaja</w:t>
      </w:r>
      <w:proofErr w:type="spellEnd"/>
      <w:r w:rsidRPr="00E73CF6">
        <w:rPr>
          <w:sz w:val="18"/>
          <w:szCs w:val="18"/>
        </w:rPr>
        <w:t xml:space="preserve">, </w:t>
      </w:r>
      <w:r>
        <w:rPr>
          <w:sz w:val="18"/>
          <w:szCs w:val="18"/>
        </w:rPr>
        <w:t>“Strategies for re</w:t>
      </w:r>
      <w:r w:rsidRPr="00E73CF6">
        <w:rPr>
          <w:sz w:val="18"/>
          <w:szCs w:val="18"/>
        </w:rPr>
        <w:t>building state capacity to manage ethnica</w:t>
      </w:r>
      <w:r>
        <w:rPr>
          <w:sz w:val="18"/>
          <w:szCs w:val="18"/>
        </w:rPr>
        <w:t>l religious conflict in Nigeria,”</w:t>
      </w:r>
      <w:r w:rsidRPr="00E73CF6">
        <w:rPr>
          <w:sz w:val="18"/>
          <w:szCs w:val="18"/>
        </w:rPr>
        <w:t xml:space="preserve"> </w:t>
      </w:r>
      <w:r w:rsidRPr="00ED512C">
        <w:rPr>
          <w:sz w:val="18"/>
          <w:szCs w:val="18"/>
        </w:rPr>
        <w:t>The Journal of Pan African Studies</w:t>
      </w:r>
      <w:r w:rsidRPr="00E73CF6">
        <w:rPr>
          <w:sz w:val="18"/>
          <w:szCs w:val="18"/>
        </w:rPr>
        <w:t xml:space="preserve">, </w:t>
      </w:r>
      <w:r>
        <w:rPr>
          <w:sz w:val="18"/>
          <w:szCs w:val="18"/>
        </w:rPr>
        <w:t xml:space="preserve">vol. </w:t>
      </w:r>
      <w:r w:rsidRPr="00E73CF6">
        <w:rPr>
          <w:b/>
          <w:sz w:val="18"/>
          <w:szCs w:val="18"/>
        </w:rPr>
        <w:t>3</w:t>
      </w:r>
      <w:r>
        <w:rPr>
          <w:sz w:val="18"/>
          <w:szCs w:val="18"/>
        </w:rPr>
        <w:t>, no. 3, 2009, pp.</w:t>
      </w:r>
      <w:r w:rsidRPr="00E73CF6">
        <w:rPr>
          <w:sz w:val="18"/>
          <w:szCs w:val="18"/>
        </w:rPr>
        <w:t xml:space="preserve"> 115-125.</w:t>
      </w:r>
    </w:p>
    <w:p w:rsidR="00A83C30" w:rsidRDefault="00A83C30" w:rsidP="00A83C30">
      <w:pPr>
        <w:spacing w:line="360" w:lineRule="auto"/>
        <w:ind w:left="720" w:hanging="720"/>
        <w:jc w:val="both"/>
        <w:rPr>
          <w:sz w:val="18"/>
          <w:szCs w:val="18"/>
        </w:rPr>
      </w:pPr>
      <w:r>
        <w:rPr>
          <w:sz w:val="18"/>
          <w:szCs w:val="18"/>
        </w:rPr>
        <w:t xml:space="preserve">[13]. </w:t>
      </w:r>
      <w:r w:rsidRPr="00E73CF6">
        <w:rPr>
          <w:sz w:val="18"/>
          <w:szCs w:val="18"/>
        </w:rPr>
        <w:t>S.G.</w:t>
      </w:r>
      <w:r>
        <w:rPr>
          <w:sz w:val="18"/>
          <w:szCs w:val="18"/>
        </w:rPr>
        <w:t xml:space="preserve"> B</w:t>
      </w:r>
      <w:r w:rsidRPr="00E73CF6">
        <w:rPr>
          <w:sz w:val="18"/>
          <w:szCs w:val="18"/>
        </w:rPr>
        <w:t xml:space="preserve">est, </w:t>
      </w:r>
      <w:r>
        <w:rPr>
          <w:sz w:val="18"/>
          <w:szCs w:val="18"/>
        </w:rPr>
        <w:t>“Causes and effects o</w:t>
      </w:r>
      <w:r w:rsidRPr="00E73CF6">
        <w:rPr>
          <w:sz w:val="18"/>
          <w:szCs w:val="18"/>
        </w:rPr>
        <w:t>f conflicts in the Southern</w:t>
      </w:r>
      <w:r>
        <w:rPr>
          <w:sz w:val="18"/>
          <w:szCs w:val="18"/>
        </w:rPr>
        <w:t xml:space="preserve"> zone of Plateau state, Nigeria,”</w:t>
      </w:r>
      <w:r w:rsidRPr="00E73CF6">
        <w:rPr>
          <w:sz w:val="18"/>
          <w:szCs w:val="18"/>
        </w:rPr>
        <w:t xml:space="preserve"> </w:t>
      </w:r>
      <w:r>
        <w:rPr>
          <w:sz w:val="18"/>
          <w:szCs w:val="18"/>
        </w:rPr>
        <w:t>John Archers Publishers Limited,</w:t>
      </w:r>
      <w:r w:rsidRPr="00E73CF6">
        <w:rPr>
          <w:sz w:val="18"/>
          <w:szCs w:val="18"/>
        </w:rPr>
        <w:t xml:space="preserve"> Ibada</w:t>
      </w:r>
      <w:r>
        <w:rPr>
          <w:sz w:val="18"/>
          <w:szCs w:val="18"/>
        </w:rPr>
        <w:t>n,</w:t>
      </w:r>
      <w:r w:rsidRPr="00E73CF6">
        <w:rPr>
          <w:sz w:val="18"/>
          <w:szCs w:val="18"/>
        </w:rPr>
        <w:t xml:space="preserve"> </w:t>
      </w:r>
      <w:r>
        <w:rPr>
          <w:sz w:val="18"/>
          <w:szCs w:val="18"/>
        </w:rPr>
        <w:t>2008.</w:t>
      </w:r>
    </w:p>
    <w:p w:rsidR="00A83C30" w:rsidRPr="00E73CF6" w:rsidRDefault="00A83C30" w:rsidP="00A83C30">
      <w:pPr>
        <w:spacing w:line="360" w:lineRule="auto"/>
        <w:ind w:left="720" w:hanging="720"/>
        <w:jc w:val="both"/>
        <w:rPr>
          <w:sz w:val="18"/>
          <w:szCs w:val="18"/>
        </w:rPr>
      </w:pPr>
      <w:r>
        <w:rPr>
          <w:sz w:val="18"/>
          <w:szCs w:val="18"/>
        </w:rPr>
        <w:t xml:space="preserve">[14]. </w:t>
      </w:r>
      <w:r w:rsidRPr="00E73CF6">
        <w:rPr>
          <w:sz w:val="18"/>
          <w:szCs w:val="18"/>
        </w:rPr>
        <w:t>T.N.</w:t>
      </w:r>
      <w:r>
        <w:rPr>
          <w:sz w:val="18"/>
          <w:szCs w:val="18"/>
        </w:rPr>
        <w:t xml:space="preserve"> </w:t>
      </w:r>
      <w:proofErr w:type="spellStart"/>
      <w:r w:rsidRPr="00E73CF6">
        <w:rPr>
          <w:sz w:val="18"/>
          <w:szCs w:val="18"/>
        </w:rPr>
        <w:t>Ambe-Uva</w:t>
      </w:r>
      <w:proofErr w:type="spellEnd"/>
      <w:r w:rsidRPr="00E73CF6">
        <w:rPr>
          <w:sz w:val="18"/>
          <w:szCs w:val="18"/>
        </w:rPr>
        <w:t xml:space="preserve">, </w:t>
      </w:r>
      <w:r>
        <w:rPr>
          <w:sz w:val="18"/>
          <w:szCs w:val="18"/>
        </w:rPr>
        <w:t xml:space="preserve">“Identity politics and the </w:t>
      </w:r>
      <w:proofErr w:type="spellStart"/>
      <w:r>
        <w:rPr>
          <w:sz w:val="18"/>
          <w:szCs w:val="18"/>
        </w:rPr>
        <w:t>Jos</w:t>
      </w:r>
      <w:proofErr w:type="spellEnd"/>
      <w:r>
        <w:rPr>
          <w:sz w:val="18"/>
          <w:szCs w:val="18"/>
        </w:rPr>
        <w:t xml:space="preserve"> crisis: evidence, l</w:t>
      </w:r>
      <w:r w:rsidRPr="00E73CF6">
        <w:rPr>
          <w:sz w:val="18"/>
          <w:szCs w:val="18"/>
        </w:rPr>
        <w:t>essons and</w:t>
      </w:r>
      <w:r>
        <w:rPr>
          <w:sz w:val="18"/>
          <w:szCs w:val="18"/>
        </w:rPr>
        <w:t xml:space="preserve"> challenges of good governance,”</w:t>
      </w:r>
      <w:r w:rsidRPr="00E73CF6">
        <w:rPr>
          <w:sz w:val="18"/>
          <w:szCs w:val="18"/>
        </w:rPr>
        <w:t xml:space="preserve"> </w:t>
      </w:r>
      <w:r w:rsidRPr="00ED512C">
        <w:rPr>
          <w:sz w:val="18"/>
          <w:szCs w:val="18"/>
        </w:rPr>
        <w:t>African Journal of History and Culture</w:t>
      </w:r>
      <w:r w:rsidRPr="00E73CF6">
        <w:rPr>
          <w:sz w:val="18"/>
          <w:szCs w:val="18"/>
        </w:rPr>
        <w:t xml:space="preserve">, </w:t>
      </w:r>
      <w:r>
        <w:rPr>
          <w:sz w:val="18"/>
          <w:szCs w:val="18"/>
        </w:rPr>
        <w:t xml:space="preserve">vol. </w:t>
      </w:r>
      <w:r w:rsidRPr="00E73CF6">
        <w:rPr>
          <w:b/>
          <w:sz w:val="18"/>
          <w:szCs w:val="18"/>
        </w:rPr>
        <w:t>2</w:t>
      </w:r>
      <w:r>
        <w:rPr>
          <w:sz w:val="18"/>
          <w:szCs w:val="18"/>
        </w:rPr>
        <w:t>, no. 3, 2010, pp.</w:t>
      </w:r>
      <w:r w:rsidRPr="00E73CF6">
        <w:rPr>
          <w:sz w:val="18"/>
          <w:szCs w:val="18"/>
        </w:rPr>
        <w:t xml:space="preserve"> 42-52.</w:t>
      </w:r>
    </w:p>
    <w:p w:rsidR="00A83C30" w:rsidRPr="00E73CF6" w:rsidRDefault="00A83C30" w:rsidP="00A83C30">
      <w:pPr>
        <w:spacing w:line="360" w:lineRule="auto"/>
        <w:ind w:left="720" w:hanging="720"/>
        <w:jc w:val="both"/>
        <w:rPr>
          <w:sz w:val="18"/>
          <w:szCs w:val="18"/>
        </w:rPr>
      </w:pPr>
      <w:r>
        <w:rPr>
          <w:sz w:val="18"/>
          <w:szCs w:val="18"/>
        </w:rPr>
        <w:t xml:space="preserve">[15]. S.G. Best and </w:t>
      </w:r>
      <w:r w:rsidRPr="00E73CF6">
        <w:rPr>
          <w:sz w:val="18"/>
          <w:szCs w:val="18"/>
        </w:rPr>
        <w:t xml:space="preserve">C. </w:t>
      </w:r>
      <w:proofErr w:type="spellStart"/>
      <w:r w:rsidRPr="00E73CF6">
        <w:rPr>
          <w:sz w:val="18"/>
          <w:szCs w:val="18"/>
        </w:rPr>
        <w:t>Rakodi</w:t>
      </w:r>
      <w:proofErr w:type="spellEnd"/>
      <w:r w:rsidRPr="00E73CF6">
        <w:rPr>
          <w:sz w:val="18"/>
          <w:szCs w:val="18"/>
        </w:rPr>
        <w:t xml:space="preserve">, </w:t>
      </w:r>
      <w:r>
        <w:rPr>
          <w:sz w:val="18"/>
          <w:szCs w:val="18"/>
        </w:rPr>
        <w:t>“</w:t>
      </w:r>
      <w:r w:rsidRPr="00E73CF6">
        <w:rPr>
          <w:sz w:val="18"/>
          <w:szCs w:val="18"/>
        </w:rPr>
        <w:t xml:space="preserve">Violent conflict and its aftermath in </w:t>
      </w:r>
      <w:proofErr w:type="spellStart"/>
      <w:r w:rsidRPr="00E73CF6">
        <w:rPr>
          <w:sz w:val="18"/>
          <w:szCs w:val="18"/>
        </w:rPr>
        <w:t>Jos</w:t>
      </w:r>
      <w:proofErr w:type="spellEnd"/>
      <w:r w:rsidRPr="00E73CF6">
        <w:rPr>
          <w:sz w:val="18"/>
          <w:szCs w:val="18"/>
        </w:rPr>
        <w:t xml:space="preserve"> and Kano, Nigeria: What is the role of religion?</w:t>
      </w:r>
      <w:r>
        <w:rPr>
          <w:sz w:val="18"/>
          <w:szCs w:val="18"/>
        </w:rPr>
        <w:t xml:space="preserve">” </w:t>
      </w:r>
      <w:r w:rsidRPr="00D7453B">
        <w:rPr>
          <w:sz w:val="18"/>
          <w:szCs w:val="18"/>
        </w:rPr>
        <w:t>African Journal of History and Culture</w:t>
      </w:r>
      <w:r w:rsidRPr="00E73CF6">
        <w:rPr>
          <w:sz w:val="18"/>
          <w:szCs w:val="18"/>
        </w:rPr>
        <w:t xml:space="preserve">, </w:t>
      </w:r>
      <w:r>
        <w:rPr>
          <w:sz w:val="18"/>
          <w:szCs w:val="18"/>
        </w:rPr>
        <w:t xml:space="preserve">vol. </w:t>
      </w:r>
      <w:r>
        <w:rPr>
          <w:b/>
          <w:sz w:val="18"/>
          <w:szCs w:val="18"/>
        </w:rPr>
        <w:t>3</w:t>
      </w:r>
      <w:r>
        <w:rPr>
          <w:sz w:val="18"/>
          <w:szCs w:val="18"/>
        </w:rPr>
        <w:t>, no. 2, 2011, pp. 23-34.</w:t>
      </w:r>
    </w:p>
    <w:p w:rsidR="00A83C30" w:rsidRDefault="00A83C30" w:rsidP="00A83C30">
      <w:pPr>
        <w:spacing w:line="360" w:lineRule="auto"/>
        <w:ind w:left="720" w:hanging="720"/>
        <w:jc w:val="both"/>
        <w:rPr>
          <w:sz w:val="18"/>
          <w:szCs w:val="18"/>
        </w:rPr>
      </w:pPr>
      <w:r>
        <w:rPr>
          <w:sz w:val="18"/>
          <w:szCs w:val="18"/>
        </w:rPr>
        <w:t xml:space="preserve">[16]. </w:t>
      </w:r>
      <w:r w:rsidRPr="00E73CF6">
        <w:rPr>
          <w:sz w:val="18"/>
          <w:szCs w:val="18"/>
        </w:rPr>
        <w:t xml:space="preserve">C.C. </w:t>
      </w:r>
      <w:proofErr w:type="spellStart"/>
      <w:r>
        <w:rPr>
          <w:sz w:val="18"/>
          <w:szCs w:val="18"/>
        </w:rPr>
        <w:t>Ojukwu</w:t>
      </w:r>
      <w:proofErr w:type="spellEnd"/>
      <w:r w:rsidRPr="00E73CF6">
        <w:rPr>
          <w:sz w:val="18"/>
          <w:szCs w:val="18"/>
        </w:rPr>
        <w:t xml:space="preserve"> and C.A. </w:t>
      </w:r>
      <w:proofErr w:type="spellStart"/>
      <w:r w:rsidRPr="00E73CF6">
        <w:rPr>
          <w:sz w:val="18"/>
          <w:szCs w:val="18"/>
        </w:rPr>
        <w:t>Onifade</w:t>
      </w:r>
      <w:proofErr w:type="spellEnd"/>
      <w:r w:rsidRPr="00E73CF6">
        <w:rPr>
          <w:sz w:val="18"/>
          <w:szCs w:val="18"/>
        </w:rPr>
        <w:t xml:space="preserve">, </w:t>
      </w:r>
      <w:r>
        <w:rPr>
          <w:sz w:val="18"/>
          <w:szCs w:val="18"/>
        </w:rPr>
        <w:t>“</w:t>
      </w:r>
      <w:r w:rsidRPr="00E73CF6">
        <w:rPr>
          <w:sz w:val="18"/>
          <w:szCs w:val="18"/>
        </w:rPr>
        <w:t>Social capital, indignity and identity politics</w:t>
      </w:r>
      <w:r>
        <w:rPr>
          <w:sz w:val="18"/>
          <w:szCs w:val="18"/>
        </w:rPr>
        <w:t xml:space="preserve">: the </w:t>
      </w:r>
      <w:proofErr w:type="spellStart"/>
      <w:r>
        <w:rPr>
          <w:sz w:val="18"/>
          <w:szCs w:val="18"/>
        </w:rPr>
        <w:t>Jos</w:t>
      </w:r>
      <w:proofErr w:type="spellEnd"/>
      <w:r>
        <w:rPr>
          <w:sz w:val="18"/>
          <w:szCs w:val="18"/>
        </w:rPr>
        <w:t xml:space="preserve"> crisis in perspective,”</w:t>
      </w:r>
      <w:r w:rsidRPr="00E73CF6">
        <w:rPr>
          <w:sz w:val="18"/>
          <w:szCs w:val="18"/>
        </w:rPr>
        <w:t xml:space="preserve"> </w:t>
      </w:r>
      <w:r w:rsidRPr="00FA1BF3">
        <w:rPr>
          <w:sz w:val="18"/>
          <w:szCs w:val="18"/>
        </w:rPr>
        <w:t>African Journal of Political Science and International Relations</w:t>
      </w:r>
      <w:r w:rsidRPr="00E73CF6">
        <w:rPr>
          <w:sz w:val="18"/>
          <w:szCs w:val="18"/>
        </w:rPr>
        <w:t xml:space="preserve">, </w:t>
      </w:r>
      <w:r>
        <w:rPr>
          <w:sz w:val="18"/>
          <w:szCs w:val="18"/>
        </w:rPr>
        <w:t xml:space="preserve">vol. </w:t>
      </w:r>
      <w:r w:rsidRPr="00E73CF6">
        <w:rPr>
          <w:b/>
          <w:sz w:val="18"/>
          <w:szCs w:val="18"/>
        </w:rPr>
        <w:t>4</w:t>
      </w:r>
      <w:r>
        <w:rPr>
          <w:sz w:val="18"/>
          <w:szCs w:val="18"/>
        </w:rPr>
        <w:t>, no. 5,</w:t>
      </w:r>
      <w:r w:rsidRPr="00FA1BF3">
        <w:rPr>
          <w:sz w:val="18"/>
          <w:szCs w:val="18"/>
        </w:rPr>
        <w:t xml:space="preserve"> </w:t>
      </w:r>
      <w:r>
        <w:rPr>
          <w:sz w:val="18"/>
          <w:szCs w:val="18"/>
        </w:rPr>
        <w:t xml:space="preserve">2010, pp. </w:t>
      </w:r>
      <w:r w:rsidRPr="00E73CF6">
        <w:rPr>
          <w:sz w:val="18"/>
          <w:szCs w:val="18"/>
        </w:rPr>
        <w:t>173-180.</w:t>
      </w:r>
    </w:p>
    <w:p w:rsidR="00A83C30" w:rsidRPr="00510B19" w:rsidRDefault="00A83C30" w:rsidP="00A83C30">
      <w:pPr>
        <w:spacing w:line="360" w:lineRule="auto"/>
        <w:ind w:left="720" w:hanging="720"/>
        <w:jc w:val="both"/>
        <w:rPr>
          <w:sz w:val="18"/>
          <w:szCs w:val="18"/>
        </w:rPr>
      </w:pPr>
      <w:r>
        <w:rPr>
          <w:sz w:val="18"/>
          <w:szCs w:val="18"/>
        </w:rPr>
        <w:t xml:space="preserve">[17]. E. </w:t>
      </w:r>
      <w:proofErr w:type="spellStart"/>
      <w:r>
        <w:rPr>
          <w:sz w:val="18"/>
          <w:szCs w:val="18"/>
        </w:rPr>
        <w:t>Osaghae</w:t>
      </w:r>
      <w:proofErr w:type="spellEnd"/>
      <w:r w:rsidRPr="00510B19">
        <w:rPr>
          <w:sz w:val="18"/>
          <w:szCs w:val="18"/>
        </w:rPr>
        <w:t xml:space="preserve"> and R. </w:t>
      </w:r>
      <w:proofErr w:type="spellStart"/>
      <w:r w:rsidRPr="00510B19">
        <w:rPr>
          <w:sz w:val="18"/>
          <w:szCs w:val="18"/>
        </w:rPr>
        <w:t>Suberu</w:t>
      </w:r>
      <w:proofErr w:type="spellEnd"/>
      <w:r w:rsidRPr="00510B19">
        <w:rPr>
          <w:sz w:val="18"/>
          <w:szCs w:val="18"/>
        </w:rPr>
        <w:t xml:space="preserve">, </w:t>
      </w:r>
      <w:r>
        <w:rPr>
          <w:sz w:val="18"/>
          <w:szCs w:val="18"/>
        </w:rPr>
        <w:t>“A history of identities, v</w:t>
      </w:r>
      <w:r w:rsidRPr="00510B19">
        <w:rPr>
          <w:sz w:val="18"/>
          <w:szCs w:val="18"/>
        </w:rPr>
        <w:t>iol</w:t>
      </w:r>
      <w:r>
        <w:rPr>
          <w:sz w:val="18"/>
          <w:szCs w:val="18"/>
        </w:rPr>
        <w:t>ence and stability in Nigeria,” Crisis Working Paper,  n</w:t>
      </w:r>
      <w:r w:rsidRPr="00510B19">
        <w:rPr>
          <w:sz w:val="18"/>
          <w:szCs w:val="18"/>
        </w:rPr>
        <w:t>o</w:t>
      </w:r>
      <w:r>
        <w:rPr>
          <w:sz w:val="18"/>
          <w:szCs w:val="18"/>
        </w:rPr>
        <w:t>. 6,</w:t>
      </w:r>
      <w:r w:rsidRPr="00FA1BF3">
        <w:rPr>
          <w:sz w:val="18"/>
          <w:szCs w:val="18"/>
        </w:rPr>
        <w:t xml:space="preserve"> </w:t>
      </w:r>
      <w:r>
        <w:rPr>
          <w:sz w:val="18"/>
          <w:szCs w:val="18"/>
        </w:rPr>
        <w:t>2005.</w:t>
      </w:r>
    </w:p>
    <w:p w:rsidR="00A83C30" w:rsidRPr="00E73CF6" w:rsidRDefault="00A83C30" w:rsidP="00A83C30">
      <w:pPr>
        <w:spacing w:line="360" w:lineRule="auto"/>
        <w:ind w:left="720" w:hanging="720"/>
        <w:jc w:val="both"/>
        <w:rPr>
          <w:sz w:val="18"/>
          <w:szCs w:val="18"/>
        </w:rPr>
      </w:pPr>
      <w:r>
        <w:rPr>
          <w:sz w:val="18"/>
          <w:szCs w:val="18"/>
        </w:rPr>
        <w:t xml:space="preserve">[18]. </w:t>
      </w:r>
      <w:r w:rsidRPr="00E73CF6">
        <w:rPr>
          <w:sz w:val="18"/>
          <w:szCs w:val="18"/>
        </w:rPr>
        <w:t xml:space="preserve">Y. </w:t>
      </w:r>
      <w:proofErr w:type="spellStart"/>
      <w:r w:rsidRPr="00E73CF6">
        <w:rPr>
          <w:sz w:val="18"/>
          <w:szCs w:val="18"/>
        </w:rPr>
        <w:t>Yomens</w:t>
      </w:r>
      <w:proofErr w:type="spellEnd"/>
      <w:r w:rsidRPr="00E73CF6">
        <w:rPr>
          <w:sz w:val="18"/>
          <w:szCs w:val="18"/>
        </w:rPr>
        <w:t xml:space="preserve">, </w:t>
      </w:r>
      <w:r>
        <w:rPr>
          <w:sz w:val="18"/>
          <w:szCs w:val="18"/>
        </w:rPr>
        <w:t>“</w:t>
      </w:r>
      <w:r w:rsidRPr="00E73CF6">
        <w:rPr>
          <w:sz w:val="18"/>
          <w:szCs w:val="18"/>
        </w:rPr>
        <w:t>Business statistics,</w:t>
      </w:r>
      <w:r>
        <w:rPr>
          <w:sz w:val="18"/>
          <w:szCs w:val="18"/>
        </w:rPr>
        <w:t>” Nigeria:</w:t>
      </w:r>
      <w:r w:rsidRPr="00E73CF6">
        <w:rPr>
          <w:sz w:val="18"/>
          <w:szCs w:val="18"/>
        </w:rPr>
        <w:t xml:space="preserve"> Ibadan un</w:t>
      </w:r>
      <w:r>
        <w:rPr>
          <w:sz w:val="18"/>
          <w:szCs w:val="18"/>
        </w:rPr>
        <w:t>iversity press.</w:t>
      </w:r>
      <w:r w:rsidRPr="00FA1BF3">
        <w:rPr>
          <w:sz w:val="18"/>
          <w:szCs w:val="18"/>
        </w:rPr>
        <w:t xml:space="preserve"> </w:t>
      </w:r>
      <w:r>
        <w:rPr>
          <w:sz w:val="18"/>
          <w:szCs w:val="18"/>
        </w:rPr>
        <w:t>2000.</w:t>
      </w:r>
    </w:p>
    <w:p w:rsidR="00A83C30" w:rsidRDefault="00A83C30" w:rsidP="00A83C30">
      <w:pPr>
        <w:spacing w:line="360" w:lineRule="auto"/>
        <w:ind w:left="1620" w:hanging="1800"/>
        <w:jc w:val="both"/>
        <w:rPr>
          <w:sz w:val="18"/>
          <w:szCs w:val="18"/>
        </w:rPr>
      </w:pPr>
      <w:r>
        <w:rPr>
          <w:sz w:val="18"/>
          <w:szCs w:val="18"/>
        </w:rPr>
        <w:t xml:space="preserve">    [19]. F. C. </w:t>
      </w:r>
      <w:proofErr w:type="spellStart"/>
      <w:r>
        <w:rPr>
          <w:sz w:val="18"/>
          <w:szCs w:val="18"/>
        </w:rPr>
        <w:t>Okafor,”Sample</w:t>
      </w:r>
      <w:proofErr w:type="spellEnd"/>
      <w:r>
        <w:rPr>
          <w:sz w:val="18"/>
          <w:szCs w:val="18"/>
        </w:rPr>
        <w:t xml:space="preserve"> survey theory and application,” Nigeria: Afro-</w:t>
      </w:r>
      <w:proofErr w:type="spellStart"/>
      <w:r>
        <w:rPr>
          <w:sz w:val="18"/>
          <w:szCs w:val="18"/>
        </w:rPr>
        <w:t>Orbis</w:t>
      </w:r>
      <w:proofErr w:type="spellEnd"/>
      <w:r>
        <w:rPr>
          <w:sz w:val="18"/>
          <w:szCs w:val="18"/>
        </w:rPr>
        <w:t xml:space="preserve"> Publications Ltd, 2002. </w:t>
      </w:r>
    </w:p>
    <w:p w:rsidR="00A83C30" w:rsidRPr="00C076D7" w:rsidRDefault="00A83C30" w:rsidP="00A83C30">
      <w:pPr>
        <w:tabs>
          <w:tab w:val="left" w:pos="720"/>
        </w:tabs>
        <w:spacing w:line="360" w:lineRule="auto"/>
        <w:jc w:val="both"/>
        <w:rPr>
          <w:color w:val="262626" w:themeColor="text1" w:themeTint="D9"/>
          <w:sz w:val="18"/>
          <w:szCs w:val="18"/>
        </w:rPr>
      </w:pPr>
      <w:r>
        <w:rPr>
          <w:color w:val="262626" w:themeColor="text1" w:themeTint="D9"/>
          <w:sz w:val="18"/>
          <w:szCs w:val="18"/>
        </w:rPr>
        <w:t>[20]. D.N. Gujarati, “Basic of e</w:t>
      </w:r>
      <w:r w:rsidRPr="005C43B9">
        <w:rPr>
          <w:color w:val="262626" w:themeColor="text1" w:themeTint="D9"/>
          <w:sz w:val="18"/>
          <w:szCs w:val="18"/>
        </w:rPr>
        <w:t>conometrics</w:t>
      </w:r>
      <w:r>
        <w:rPr>
          <w:color w:val="262626" w:themeColor="text1" w:themeTint="D9"/>
          <w:sz w:val="18"/>
          <w:szCs w:val="18"/>
        </w:rPr>
        <w:t>,”</w:t>
      </w:r>
      <w:r w:rsidRPr="00C076D7">
        <w:rPr>
          <w:color w:val="262626" w:themeColor="text1" w:themeTint="D9"/>
          <w:sz w:val="18"/>
          <w:szCs w:val="18"/>
        </w:rPr>
        <w:t xml:space="preserve"> New York: Tata</w:t>
      </w:r>
      <w:r>
        <w:rPr>
          <w:color w:val="262626" w:themeColor="text1" w:themeTint="D9"/>
          <w:sz w:val="18"/>
          <w:szCs w:val="18"/>
        </w:rPr>
        <w:t xml:space="preserve"> McGraw-Hill, 2003.</w:t>
      </w:r>
    </w:p>
    <w:p w:rsidR="00A83C30" w:rsidRDefault="00A83C30" w:rsidP="00A83C30">
      <w:pPr>
        <w:spacing w:line="360" w:lineRule="auto"/>
        <w:jc w:val="both"/>
        <w:rPr>
          <w:sz w:val="18"/>
          <w:szCs w:val="18"/>
        </w:rPr>
      </w:pPr>
      <w:r>
        <w:rPr>
          <w:sz w:val="18"/>
          <w:szCs w:val="18"/>
        </w:rPr>
        <w:t xml:space="preserve">[21]. A. </w:t>
      </w:r>
      <w:proofErr w:type="spellStart"/>
      <w:r>
        <w:rPr>
          <w:sz w:val="18"/>
          <w:szCs w:val="18"/>
        </w:rPr>
        <w:t>Akaike</w:t>
      </w:r>
      <w:proofErr w:type="spellEnd"/>
      <w:r>
        <w:rPr>
          <w:sz w:val="18"/>
          <w:szCs w:val="18"/>
        </w:rPr>
        <w:t>, “Model and information criteria,” Canada: Wiley and sons,</w:t>
      </w:r>
      <w:r w:rsidRPr="00510B19">
        <w:rPr>
          <w:sz w:val="18"/>
          <w:szCs w:val="18"/>
        </w:rPr>
        <w:t xml:space="preserve"> </w:t>
      </w:r>
      <w:r>
        <w:rPr>
          <w:sz w:val="18"/>
          <w:szCs w:val="18"/>
        </w:rPr>
        <w:t>1973.</w:t>
      </w:r>
    </w:p>
    <w:p w:rsidR="00A83C30" w:rsidRDefault="00E67152" w:rsidP="00E67152">
      <w:pPr>
        <w:spacing w:line="360" w:lineRule="auto"/>
        <w:ind w:left="1620" w:hanging="1800"/>
        <w:jc w:val="both"/>
        <w:rPr>
          <w:sz w:val="18"/>
          <w:szCs w:val="18"/>
        </w:rPr>
      </w:pPr>
      <w:r>
        <w:rPr>
          <w:sz w:val="18"/>
          <w:szCs w:val="18"/>
        </w:rPr>
        <w:t xml:space="preserve">   </w:t>
      </w:r>
    </w:p>
    <w:p w:rsidR="00A83C30" w:rsidRDefault="00A83C30" w:rsidP="00E67152">
      <w:pPr>
        <w:spacing w:line="360" w:lineRule="auto"/>
        <w:ind w:left="1620" w:hanging="1800"/>
        <w:jc w:val="both"/>
        <w:rPr>
          <w:sz w:val="18"/>
          <w:szCs w:val="18"/>
        </w:rPr>
      </w:pPr>
    </w:p>
    <w:p w:rsidR="00C076D7" w:rsidRPr="00510B19" w:rsidRDefault="00C076D7" w:rsidP="00A0425B">
      <w:pPr>
        <w:spacing w:line="360" w:lineRule="auto"/>
        <w:ind w:left="1620" w:hanging="1800"/>
        <w:jc w:val="both"/>
        <w:rPr>
          <w:sz w:val="18"/>
          <w:szCs w:val="18"/>
        </w:rPr>
      </w:pPr>
    </w:p>
    <w:p w:rsidR="00E73CF6" w:rsidRPr="00E73CF6" w:rsidRDefault="00E73CF6" w:rsidP="00A0425B">
      <w:pPr>
        <w:spacing w:line="360" w:lineRule="auto"/>
        <w:rPr>
          <w:b/>
          <w:sz w:val="18"/>
          <w:szCs w:val="18"/>
        </w:rPr>
      </w:pPr>
    </w:p>
    <w:sectPr w:rsidR="00E73CF6" w:rsidRPr="00E73CF6" w:rsidSect="00C833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655"/>
    <w:multiLevelType w:val="hybridMultilevel"/>
    <w:tmpl w:val="661E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0405B"/>
    <w:multiLevelType w:val="hybridMultilevel"/>
    <w:tmpl w:val="8E70EDC0"/>
    <w:lvl w:ilvl="0" w:tplc="91F621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A530B"/>
    <w:multiLevelType w:val="hybridMultilevel"/>
    <w:tmpl w:val="440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4068E"/>
    <w:multiLevelType w:val="hybridMultilevel"/>
    <w:tmpl w:val="59BE3D20"/>
    <w:lvl w:ilvl="0" w:tplc="5988198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97448"/>
    <w:multiLevelType w:val="multilevel"/>
    <w:tmpl w:val="3F54F0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099004E"/>
    <w:multiLevelType w:val="hybridMultilevel"/>
    <w:tmpl w:val="76180A46"/>
    <w:lvl w:ilvl="0" w:tplc="5988198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195A2D"/>
    <w:multiLevelType w:val="hybridMultilevel"/>
    <w:tmpl w:val="89C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13EA4"/>
    <w:multiLevelType w:val="singleLevel"/>
    <w:tmpl w:val="58813EA4"/>
    <w:lvl w:ilvl="0">
      <w:start w:val="1"/>
      <w:numFmt w:val="decimal"/>
      <w:suff w:val="nothing"/>
      <w:lvlText w:val="%1."/>
      <w:lvlJc w:val="left"/>
    </w:lvl>
  </w:abstractNum>
  <w:abstractNum w:abstractNumId="8">
    <w:nsid w:val="6D273DBA"/>
    <w:multiLevelType w:val="hybridMultilevel"/>
    <w:tmpl w:val="A2F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42687"/>
    <w:multiLevelType w:val="hybridMultilevel"/>
    <w:tmpl w:val="DD1CFACA"/>
    <w:lvl w:ilvl="0" w:tplc="B08C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4619E"/>
    <w:multiLevelType w:val="hybridMultilevel"/>
    <w:tmpl w:val="7BBC3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3"/>
  </w:num>
  <w:num w:numId="5">
    <w:abstractNumId w:val="10"/>
  </w:num>
  <w:num w:numId="6">
    <w:abstractNumId w:val="0"/>
  </w:num>
  <w:num w:numId="7">
    <w:abstractNumId w:val="2"/>
  </w:num>
  <w:num w:numId="8">
    <w:abstractNumId w:val="8"/>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proofState w:spelling="clean"/>
  <w:defaultTabStop w:val="720"/>
  <w:noPunctuationKerning/>
  <w:characterSpacingControl w:val="doNotCompress"/>
  <w:compat/>
  <w:rsids>
    <w:rsidRoot w:val="002A6A36"/>
    <w:rsid w:val="000077E4"/>
    <w:rsid w:val="00031539"/>
    <w:rsid w:val="00031D56"/>
    <w:rsid w:val="00077A26"/>
    <w:rsid w:val="00086ABB"/>
    <w:rsid w:val="00095CE5"/>
    <w:rsid w:val="000B0FC0"/>
    <w:rsid w:val="000B50AF"/>
    <w:rsid w:val="001005B3"/>
    <w:rsid w:val="00101DC4"/>
    <w:rsid w:val="00116B41"/>
    <w:rsid w:val="00142390"/>
    <w:rsid w:val="001502B8"/>
    <w:rsid w:val="001652AF"/>
    <w:rsid w:val="001A1CE6"/>
    <w:rsid w:val="001D7182"/>
    <w:rsid w:val="001F507F"/>
    <w:rsid w:val="00210F32"/>
    <w:rsid w:val="00212BC2"/>
    <w:rsid w:val="00223DBD"/>
    <w:rsid w:val="002357CB"/>
    <w:rsid w:val="0024467A"/>
    <w:rsid w:val="002471BC"/>
    <w:rsid w:val="002473F6"/>
    <w:rsid w:val="0024762A"/>
    <w:rsid w:val="00257C2A"/>
    <w:rsid w:val="00265167"/>
    <w:rsid w:val="00280276"/>
    <w:rsid w:val="0029480A"/>
    <w:rsid w:val="002A6A36"/>
    <w:rsid w:val="002B3EC0"/>
    <w:rsid w:val="002B6BED"/>
    <w:rsid w:val="002C7378"/>
    <w:rsid w:val="002D3B9F"/>
    <w:rsid w:val="002D46DF"/>
    <w:rsid w:val="002D7EF1"/>
    <w:rsid w:val="002E5E9E"/>
    <w:rsid w:val="002F0399"/>
    <w:rsid w:val="002F5FFE"/>
    <w:rsid w:val="002F6817"/>
    <w:rsid w:val="00300157"/>
    <w:rsid w:val="00310120"/>
    <w:rsid w:val="003267AA"/>
    <w:rsid w:val="00360273"/>
    <w:rsid w:val="003639F9"/>
    <w:rsid w:val="0037240C"/>
    <w:rsid w:val="00380048"/>
    <w:rsid w:val="00390853"/>
    <w:rsid w:val="003A3CE9"/>
    <w:rsid w:val="003C2F42"/>
    <w:rsid w:val="003C33FF"/>
    <w:rsid w:val="003E2038"/>
    <w:rsid w:val="00410E70"/>
    <w:rsid w:val="00430765"/>
    <w:rsid w:val="00434AF8"/>
    <w:rsid w:val="00434DA2"/>
    <w:rsid w:val="0045091D"/>
    <w:rsid w:val="00474E2C"/>
    <w:rsid w:val="004757D8"/>
    <w:rsid w:val="00477F15"/>
    <w:rsid w:val="0048218B"/>
    <w:rsid w:val="004B2B24"/>
    <w:rsid w:val="004C74A4"/>
    <w:rsid w:val="004D028C"/>
    <w:rsid w:val="004D268A"/>
    <w:rsid w:val="004D6492"/>
    <w:rsid w:val="004F78BF"/>
    <w:rsid w:val="00510B19"/>
    <w:rsid w:val="005371C5"/>
    <w:rsid w:val="00543AF7"/>
    <w:rsid w:val="00544526"/>
    <w:rsid w:val="00545EE4"/>
    <w:rsid w:val="0055365B"/>
    <w:rsid w:val="0056790F"/>
    <w:rsid w:val="00573D6B"/>
    <w:rsid w:val="00580448"/>
    <w:rsid w:val="00591092"/>
    <w:rsid w:val="005A0551"/>
    <w:rsid w:val="005A72E1"/>
    <w:rsid w:val="005C18BC"/>
    <w:rsid w:val="005F1ED9"/>
    <w:rsid w:val="005F4CB1"/>
    <w:rsid w:val="005F5CDC"/>
    <w:rsid w:val="0060045F"/>
    <w:rsid w:val="00607A49"/>
    <w:rsid w:val="006424CF"/>
    <w:rsid w:val="00650162"/>
    <w:rsid w:val="00660BCE"/>
    <w:rsid w:val="00662100"/>
    <w:rsid w:val="0066525E"/>
    <w:rsid w:val="00676EFA"/>
    <w:rsid w:val="006937AA"/>
    <w:rsid w:val="006A709D"/>
    <w:rsid w:val="006C02BB"/>
    <w:rsid w:val="006C3FE7"/>
    <w:rsid w:val="006C569F"/>
    <w:rsid w:val="006D1CE2"/>
    <w:rsid w:val="006D2ADE"/>
    <w:rsid w:val="006E3D35"/>
    <w:rsid w:val="007130D0"/>
    <w:rsid w:val="0071352A"/>
    <w:rsid w:val="00717328"/>
    <w:rsid w:val="007308F0"/>
    <w:rsid w:val="0076174D"/>
    <w:rsid w:val="007725BA"/>
    <w:rsid w:val="007829A0"/>
    <w:rsid w:val="00793238"/>
    <w:rsid w:val="007C4187"/>
    <w:rsid w:val="007F7803"/>
    <w:rsid w:val="008015C4"/>
    <w:rsid w:val="008142CA"/>
    <w:rsid w:val="00816358"/>
    <w:rsid w:val="00824F42"/>
    <w:rsid w:val="00833E3D"/>
    <w:rsid w:val="00853FA3"/>
    <w:rsid w:val="008801DF"/>
    <w:rsid w:val="008941FE"/>
    <w:rsid w:val="008A0D3E"/>
    <w:rsid w:val="008A2273"/>
    <w:rsid w:val="008A4E64"/>
    <w:rsid w:val="008A57D3"/>
    <w:rsid w:val="008B49FD"/>
    <w:rsid w:val="008C4468"/>
    <w:rsid w:val="008C480C"/>
    <w:rsid w:val="008D418F"/>
    <w:rsid w:val="008E0752"/>
    <w:rsid w:val="008E7F13"/>
    <w:rsid w:val="009036AE"/>
    <w:rsid w:val="00911B4A"/>
    <w:rsid w:val="009174B5"/>
    <w:rsid w:val="009213B7"/>
    <w:rsid w:val="00924186"/>
    <w:rsid w:val="0092552E"/>
    <w:rsid w:val="00937C68"/>
    <w:rsid w:val="00946DA7"/>
    <w:rsid w:val="00947C8A"/>
    <w:rsid w:val="009748FB"/>
    <w:rsid w:val="00982D1C"/>
    <w:rsid w:val="009922C5"/>
    <w:rsid w:val="009B5AA5"/>
    <w:rsid w:val="009C290C"/>
    <w:rsid w:val="009C2A2E"/>
    <w:rsid w:val="009E06F6"/>
    <w:rsid w:val="009E4B2C"/>
    <w:rsid w:val="009F5D70"/>
    <w:rsid w:val="00A02E75"/>
    <w:rsid w:val="00A0425B"/>
    <w:rsid w:val="00A308D0"/>
    <w:rsid w:val="00A50821"/>
    <w:rsid w:val="00A57DC3"/>
    <w:rsid w:val="00A83C30"/>
    <w:rsid w:val="00A91DC1"/>
    <w:rsid w:val="00A92C7E"/>
    <w:rsid w:val="00AB3E32"/>
    <w:rsid w:val="00B027F7"/>
    <w:rsid w:val="00B06533"/>
    <w:rsid w:val="00B2767E"/>
    <w:rsid w:val="00B27C72"/>
    <w:rsid w:val="00B33D01"/>
    <w:rsid w:val="00B40C7B"/>
    <w:rsid w:val="00B44D05"/>
    <w:rsid w:val="00B53E82"/>
    <w:rsid w:val="00B62137"/>
    <w:rsid w:val="00B90B99"/>
    <w:rsid w:val="00BD422D"/>
    <w:rsid w:val="00BF6230"/>
    <w:rsid w:val="00C076D7"/>
    <w:rsid w:val="00C124F8"/>
    <w:rsid w:val="00C2442A"/>
    <w:rsid w:val="00C46058"/>
    <w:rsid w:val="00C46997"/>
    <w:rsid w:val="00C47049"/>
    <w:rsid w:val="00C47CE6"/>
    <w:rsid w:val="00C47F5C"/>
    <w:rsid w:val="00C7444E"/>
    <w:rsid w:val="00C8339D"/>
    <w:rsid w:val="00C86AAD"/>
    <w:rsid w:val="00C91587"/>
    <w:rsid w:val="00C9665A"/>
    <w:rsid w:val="00CB6620"/>
    <w:rsid w:val="00CC0D58"/>
    <w:rsid w:val="00CC4CA0"/>
    <w:rsid w:val="00CD5750"/>
    <w:rsid w:val="00CE06B8"/>
    <w:rsid w:val="00CE2A23"/>
    <w:rsid w:val="00D01081"/>
    <w:rsid w:val="00D04081"/>
    <w:rsid w:val="00D15A7B"/>
    <w:rsid w:val="00D22D95"/>
    <w:rsid w:val="00D3106E"/>
    <w:rsid w:val="00D46C05"/>
    <w:rsid w:val="00D51724"/>
    <w:rsid w:val="00D51EAD"/>
    <w:rsid w:val="00D51F71"/>
    <w:rsid w:val="00D52864"/>
    <w:rsid w:val="00D563F8"/>
    <w:rsid w:val="00D608D8"/>
    <w:rsid w:val="00D77048"/>
    <w:rsid w:val="00D92059"/>
    <w:rsid w:val="00DA2379"/>
    <w:rsid w:val="00DA50D0"/>
    <w:rsid w:val="00DA72A8"/>
    <w:rsid w:val="00DB2974"/>
    <w:rsid w:val="00DB55EF"/>
    <w:rsid w:val="00DD1395"/>
    <w:rsid w:val="00DD4AD2"/>
    <w:rsid w:val="00DE1DBA"/>
    <w:rsid w:val="00DE68D8"/>
    <w:rsid w:val="00DF6930"/>
    <w:rsid w:val="00E01B7D"/>
    <w:rsid w:val="00E06922"/>
    <w:rsid w:val="00E1483F"/>
    <w:rsid w:val="00E261B4"/>
    <w:rsid w:val="00E30BC0"/>
    <w:rsid w:val="00E344F8"/>
    <w:rsid w:val="00E67152"/>
    <w:rsid w:val="00E7347B"/>
    <w:rsid w:val="00E73CF6"/>
    <w:rsid w:val="00E7775F"/>
    <w:rsid w:val="00E9033B"/>
    <w:rsid w:val="00E931D6"/>
    <w:rsid w:val="00EA6371"/>
    <w:rsid w:val="00EC2132"/>
    <w:rsid w:val="00ED580D"/>
    <w:rsid w:val="00EF3D86"/>
    <w:rsid w:val="00F04990"/>
    <w:rsid w:val="00F278C3"/>
    <w:rsid w:val="00F37BAF"/>
    <w:rsid w:val="00F5371F"/>
    <w:rsid w:val="00F80FF5"/>
    <w:rsid w:val="00F93EF3"/>
    <w:rsid w:val="00FB72F5"/>
    <w:rsid w:val="00FD11E9"/>
    <w:rsid w:val="00FF0CE9"/>
    <w:rsid w:val="00FF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2A6A36"/>
    <w:rPr>
      <w:color w:val="0000FF"/>
      <w:u w:val="single"/>
    </w:rPr>
  </w:style>
  <w:style w:type="paragraph" w:styleId="ListParagraph">
    <w:name w:val="List Paragraph"/>
    <w:basedOn w:val="Normal"/>
    <w:uiPriority w:val="34"/>
    <w:qFormat/>
    <w:rsid w:val="002A6A36"/>
    <w:pPr>
      <w:ind w:left="720"/>
      <w:contextualSpacing/>
    </w:pPr>
  </w:style>
  <w:style w:type="paragraph" w:styleId="Header">
    <w:name w:val="header"/>
    <w:basedOn w:val="Normal"/>
    <w:link w:val="HeaderChar"/>
    <w:uiPriority w:val="99"/>
    <w:semiHidden/>
    <w:unhideWhenUsed/>
    <w:rsid w:val="00D51F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51F7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51F7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F71"/>
    <w:rPr>
      <w:rFonts w:asciiTheme="minorHAnsi" w:eastAsiaTheme="minorHAnsi" w:hAnsiTheme="minorHAnsi" w:cstheme="minorBidi"/>
      <w:sz w:val="22"/>
      <w:szCs w:val="22"/>
    </w:rPr>
  </w:style>
  <w:style w:type="table" w:styleId="TableGrid">
    <w:name w:val="Table Grid"/>
    <w:basedOn w:val="TableNormal"/>
    <w:uiPriority w:val="59"/>
    <w:rsid w:val="00D51F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F7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F71"/>
    <w:rPr>
      <w:rFonts w:ascii="Tahoma" w:eastAsiaTheme="minorHAnsi" w:hAnsi="Tahoma" w:cs="Tahoma"/>
      <w:sz w:val="16"/>
      <w:szCs w:val="16"/>
    </w:rPr>
  </w:style>
  <w:style w:type="table" w:customStyle="1" w:styleId="LightShading1">
    <w:name w:val="Light Shading1"/>
    <w:basedOn w:val="TableNormal"/>
    <w:uiPriority w:val="60"/>
    <w:rsid w:val="00D51F71"/>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829A0"/>
    <w:rPr>
      <w:color w:val="808080"/>
    </w:rPr>
  </w:style>
</w:styles>
</file>

<file path=word/webSettings.xml><?xml version="1.0" encoding="utf-8"?>
<w:webSettings xmlns:r="http://schemas.openxmlformats.org/officeDocument/2006/relationships" xmlns:w="http://schemas.openxmlformats.org/wordprocessingml/2006/main">
  <w:divs>
    <w:div w:id="721290327">
      <w:bodyDiv w:val="1"/>
      <w:marLeft w:val="0"/>
      <w:marRight w:val="0"/>
      <w:marTop w:val="0"/>
      <w:marBottom w:val="0"/>
      <w:divBdr>
        <w:top w:val="none" w:sz="0" w:space="0" w:color="auto"/>
        <w:left w:val="none" w:sz="0" w:space="0" w:color="auto"/>
        <w:bottom w:val="none" w:sz="0" w:space="0" w:color="auto"/>
        <w:right w:val="none" w:sz="0" w:space="0" w:color="auto"/>
      </w:divBdr>
    </w:div>
    <w:div w:id="13918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sspeace.ch/fileadmin/user_upload/media/publication/wp_7_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 TargetMode="External"/><Relationship Id="rId5" Type="http://schemas.openxmlformats.org/officeDocument/2006/relationships/hyperlink" Target="mailto:uche70ng@yahoo.com,%20%20GSM%20no-%20%20080360268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OKONKWO</dc:creator>
  <cp:lastModifiedBy>OKONKWO</cp:lastModifiedBy>
  <cp:revision>121</cp:revision>
  <dcterms:created xsi:type="dcterms:W3CDTF">2017-05-19T15:30:00Z</dcterms:created>
  <dcterms:modified xsi:type="dcterms:W3CDTF">2018-01-26T15:51:00Z</dcterms:modified>
</cp:coreProperties>
</file>