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FD" w:rsidRDefault="00F71127" w:rsidP="00E576A0">
      <w:r w:rsidRPr="00F71127">
        <w:rPr>
          <w:b/>
        </w:rPr>
        <w:t>Trends, growth</w:t>
      </w:r>
      <w:r w:rsidR="00D86D98">
        <w:rPr>
          <w:b/>
        </w:rPr>
        <w:t xml:space="preserve"> and</w:t>
      </w:r>
      <w:r w:rsidR="007C616B">
        <w:t xml:space="preserve"> </w:t>
      </w:r>
      <w:r w:rsidRPr="007C616B">
        <w:rPr>
          <w:b/>
        </w:rPr>
        <w:t>Changing</w:t>
      </w:r>
      <w:r>
        <w:t xml:space="preserve"> </w:t>
      </w:r>
      <w:r>
        <w:rPr>
          <w:b/>
        </w:rPr>
        <w:t>patterns</w:t>
      </w:r>
      <w:r w:rsidR="00C11C61">
        <w:rPr>
          <w:b/>
        </w:rPr>
        <w:t xml:space="preserve"> of P</w:t>
      </w:r>
      <w:r w:rsidR="005E576A" w:rsidRPr="00373CF0">
        <w:rPr>
          <w:b/>
        </w:rPr>
        <w:t>ublic</w:t>
      </w:r>
      <w:r w:rsidR="00C11C61">
        <w:rPr>
          <w:b/>
        </w:rPr>
        <w:t xml:space="preserve"> E</w:t>
      </w:r>
      <w:r w:rsidR="00234598" w:rsidRPr="00373CF0">
        <w:rPr>
          <w:b/>
        </w:rPr>
        <w:t>xpe</w:t>
      </w:r>
      <w:r w:rsidR="00C11C61">
        <w:rPr>
          <w:b/>
        </w:rPr>
        <w:t xml:space="preserve">nditure </w:t>
      </w:r>
      <w:r w:rsidR="007C616B">
        <w:rPr>
          <w:b/>
        </w:rPr>
        <w:t>on education</w:t>
      </w:r>
      <w:r w:rsidR="00DB3BE1">
        <w:rPr>
          <w:b/>
        </w:rPr>
        <w:t xml:space="preserve"> </w:t>
      </w:r>
      <w:r w:rsidR="009F4164" w:rsidRPr="00373CF0">
        <w:rPr>
          <w:b/>
        </w:rPr>
        <w:t>in India</w:t>
      </w:r>
    </w:p>
    <w:p w:rsidR="00446A54" w:rsidRDefault="003A1FFD" w:rsidP="00E576A0">
      <w:pPr>
        <w:rPr>
          <w:b/>
        </w:rPr>
      </w:pPr>
      <w:r>
        <w:t xml:space="preserve">                                                                 </w:t>
      </w:r>
      <w:proofErr w:type="gramStart"/>
      <w:r w:rsidR="00D54043">
        <w:rPr>
          <w:b/>
        </w:rPr>
        <w:t>Tasleem</w:t>
      </w:r>
      <w:r w:rsidR="00060262">
        <w:rPr>
          <w:b/>
        </w:rPr>
        <w:t xml:space="preserve"> </w:t>
      </w:r>
      <w:r w:rsidR="00D54043">
        <w:rPr>
          <w:b/>
        </w:rPr>
        <w:t xml:space="preserve"> Araf</w:t>
      </w:r>
      <w:proofErr w:type="gramEnd"/>
      <w:r w:rsidR="00D54043">
        <w:rPr>
          <w:b/>
        </w:rPr>
        <w:t xml:space="preserve">  Cash</w:t>
      </w:r>
    </w:p>
    <w:p w:rsidR="003A1FFD" w:rsidRPr="003A1FFD" w:rsidRDefault="00211FEF" w:rsidP="00E576A0">
      <w:r>
        <w:rPr>
          <w:b/>
        </w:rPr>
        <w:t xml:space="preserve">      Assistant Professor Department of Economics, Central U</w:t>
      </w:r>
      <w:r w:rsidR="003A1FFD">
        <w:rPr>
          <w:b/>
        </w:rPr>
        <w:t>niversity of Kashmir</w:t>
      </w:r>
    </w:p>
    <w:p w:rsidR="009F4164" w:rsidRPr="00EE28B6" w:rsidRDefault="001E46E9" w:rsidP="001E46E9">
      <w:pPr>
        <w:ind w:left="-426"/>
      </w:pPr>
      <w:r>
        <w:t xml:space="preserve">                                                            </w:t>
      </w:r>
      <w:r w:rsidR="00446A54">
        <w:t xml:space="preserve">                             </w:t>
      </w:r>
      <w:r w:rsidR="009F4164" w:rsidRPr="00EE28B6">
        <w:t>Abstract</w:t>
      </w:r>
    </w:p>
    <w:p w:rsidR="00227451" w:rsidRDefault="0012542A" w:rsidP="00227451">
      <w:pPr>
        <w:ind w:hanging="142"/>
        <w:jc w:val="both"/>
      </w:pPr>
      <w:r>
        <w:t xml:space="preserve">   </w:t>
      </w:r>
      <w:r w:rsidR="000A2602">
        <w:t>The paper examines the level</w:t>
      </w:r>
      <w:r w:rsidR="004F6682">
        <w:t>, trends, growth</w:t>
      </w:r>
      <w:r w:rsidR="000A2602">
        <w:t xml:space="preserve"> and</w:t>
      </w:r>
      <w:r w:rsidR="00FD5164">
        <w:t xml:space="preserve"> intra-sectoral</w:t>
      </w:r>
      <w:r w:rsidR="00211FEF">
        <w:t xml:space="preserve"> allocation</w:t>
      </w:r>
      <w:r w:rsidR="000A2602">
        <w:t xml:space="preserve"> of </w:t>
      </w:r>
      <w:r w:rsidR="001E46E9">
        <w:t>P</w:t>
      </w:r>
      <w:r w:rsidR="004047CF">
        <w:t xml:space="preserve">ublic </w:t>
      </w:r>
      <w:r w:rsidR="004F6682">
        <w:t xml:space="preserve">expenditure on education. </w:t>
      </w:r>
      <w:r w:rsidR="00F5538A">
        <w:t>Finding indicates</w:t>
      </w:r>
      <w:r w:rsidR="00C11C61">
        <w:t xml:space="preserve"> that</w:t>
      </w:r>
      <w:r w:rsidR="00FD5164">
        <w:t xml:space="preserve"> quantum of</w:t>
      </w:r>
      <w:r w:rsidR="00600AA5">
        <w:t xml:space="preserve"> expenditure </w:t>
      </w:r>
      <w:r w:rsidR="0077370E">
        <w:t>on education</w:t>
      </w:r>
      <w:r w:rsidR="00B67990">
        <w:t xml:space="preserve"> has increased significantly</w:t>
      </w:r>
      <w:r w:rsidR="00FD5164">
        <w:t xml:space="preserve"> since </w:t>
      </w:r>
      <w:r w:rsidR="00211FEF">
        <w:t>2001,</w:t>
      </w:r>
      <w:r w:rsidR="00FD5164">
        <w:t xml:space="preserve"> </w:t>
      </w:r>
      <w:r w:rsidR="00211FEF">
        <w:t xml:space="preserve">But </w:t>
      </w:r>
      <w:r w:rsidR="00FD5164">
        <w:t xml:space="preserve">still </w:t>
      </w:r>
      <w:r w:rsidR="00211FEF">
        <w:t xml:space="preserve">the actual amount of money spend on </w:t>
      </w:r>
      <w:r w:rsidR="00FD5164">
        <w:t>education sector</w:t>
      </w:r>
      <w:r w:rsidR="00211FEF">
        <w:t xml:space="preserve"> is less than the required amount.</w:t>
      </w:r>
      <w:r w:rsidR="00B67990">
        <w:t xml:space="preserve"> </w:t>
      </w:r>
      <w:r w:rsidR="000A2602">
        <w:t xml:space="preserve">The </w:t>
      </w:r>
      <w:r w:rsidR="007F700B">
        <w:t>paper explores</w:t>
      </w:r>
      <w:r w:rsidR="00B67990">
        <w:t xml:space="preserve"> the trends </w:t>
      </w:r>
      <w:r w:rsidR="004F6682">
        <w:t xml:space="preserve">of public </w:t>
      </w:r>
      <w:r w:rsidR="00F71127">
        <w:t>expenditure on education,</w:t>
      </w:r>
      <w:r w:rsidR="00E576A0">
        <w:t xml:space="preserve"> </w:t>
      </w:r>
      <w:r w:rsidR="004C6B01">
        <w:t>like</w:t>
      </w:r>
      <w:r w:rsidR="00B67990">
        <w:t xml:space="preserve">, trends on </w:t>
      </w:r>
      <w:r>
        <w:t xml:space="preserve">planned and </w:t>
      </w:r>
      <w:r w:rsidR="00B67990">
        <w:t>Non</w:t>
      </w:r>
      <w:r w:rsidR="00032AED">
        <w:t xml:space="preserve"> planned expenditure,</w:t>
      </w:r>
      <w:r w:rsidR="00945882">
        <w:t xml:space="preserve"> Revenue and C</w:t>
      </w:r>
      <w:r w:rsidR="001E46E9">
        <w:t>apital expenditure</w:t>
      </w:r>
      <w:r w:rsidR="004C6B01">
        <w:t xml:space="preserve">. The </w:t>
      </w:r>
      <w:r>
        <w:t>paper also throws light on trends in intra</w:t>
      </w:r>
      <w:r w:rsidR="00FD5164">
        <w:t xml:space="preserve"> </w:t>
      </w:r>
      <w:r w:rsidR="00211FEF">
        <w:t>sect oral allocation</w:t>
      </w:r>
      <w:r w:rsidR="00945882">
        <w:t xml:space="preserve"> public</w:t>
      </w:r>
      <w:r w:rsidR="004C6B01">
        <w:t xml:space="preserve"> exp</w:t>
      </w:r>
      <w:r>
        <w:t>enditure</w:t>
      </w:r>
      <w:r w:rsidR="004F6682">
        <w:t xml:space="preserve"> </w:t>
      </w:r>
      <w:r w:rsidR="00945882">
        <w:t>i.e.</w:t>
      </w:r>
      <w:r w:rsidR="004F6682">
        <w:t xml:space="preserve"> expen</w:t>
      </w:r>
      <w:r w:rsidR="00211FEF">
        <w:t>diture on primary, secondary,</w:t>
      </w:r>
      <w:r w:rsidR="004F6682">
        <w:t xml:space="preserve"> higher education</w:t>
      </w:r>
      <w:r w:rsidR="00211FEF">
        <w:t xml:space="preserve"> and technical education</w:t>
      </w:r>
      <w:r w:rsidR="00E576A0">
        <w:t>.</w:t>
      </w:r>
      <w:r w:rsidR="00FD5164">
        <w:t xml:space="preserve"> T</w:t>
      </w:r>
      <w:r w:rsidR="00C71A9D">
        <w:t>rends</w:t>
      </w:r>
      <w:r w:rsidR="00FD5164">
        <w:t xml:space="preserve"> also found</w:t>
      </w:r>
      <w:r w:rsidR="00C71A9D">
        <w:t xml:space="preserve"> in </w:t>
      </w:r>
      <w:r w:rsidR="00FD5164">
        <w:t xml:space="preserve">expenditure incurred by </w:t>
      </w:r>
      <w:r w:rsidR="00945882">
        <w:t>S</w:t>
      </w:r>
      <w:r w:rsidR="00F71127">
        <w:t>tate government</w:t>
      </w:r>
      <w:r w:rsidR="00C71A9D">
        <w:t xml:space="preserve"> and</w:t>
      </w:r>
      <w:r w:rsidR="00FD5164">
        <w:t xml:space="preserve"> central government</w:t>
      </w:r>
      <w:r w:rsidR="00F35AF1">
        <w:t>.</w:t>
      </w:r>
      <w:r w:rsidR="00600AA5">
        <w:t xml:space="preserve"> </w:t>
      </w:r>
      <w:r w:rsidR="00C71A9D">
        <w:t xml:space="preserve"> Analysis shows </w:t>
      </w:r>
      <w:r w:rsidR="00FD5164">
        <w:t xml:space="preserve">that percentage </w:t>
      </w:r>
      <w:r w:rsidR="00211FEF">
        <w:t>share of S</w:t>
      </w:r>
      <w:r w:rsidR="00C71A9D">
        <w:t>tat</w:t>
      </w:r>
      <w:r w:rsidR="00211FEF">
        <w:t>e government has decline and</w:t>
      </w:r>
      <w:r w:rsidR="00C71A9D">
        <w:t xml:space="preserve"> the share of central government has increased.  Some </w:t>
      </w:r>
      <w:r w:rsidR="006950C2">
        <w:t>Trends</w:t>
      </w:r>
      <w:r w:rsidR="00C71A9D">
        <w:t xml:space="preserve"> has also been</w:t>
      </w:r>
      <w:r w:rsidR="001D6890">
        <w:t xml:space="preserve"> found in planned and N</w:t>
      </w:r>
      <w:r w:rsidR="003C2C88">
        <w:t>on planned expenditur</w:t>
      </w:r>
      <w:r w:rsidR="004F6682">
        <w:t>e</w:t>
      </w:r>
      <w:r w:rsidR="001E46E9">
        <w:t xml:space="preserve"> on education</w:t>
      </w:r>
      <w:r w:rsidR="004F6682">
        <w:t>. Share of former has increased and share of later</w:t>
      </w:r>
      <w:r w:rsidR="00FD5164">
        <w:t xml:space="preserve"> has decline</w:t>
      </w:r>
      <w:r w:rsidR="00B67990">
        <w:t>. No major trends</w:t>
      </w:r>
      <w:r w:rsidR="00D6042C">
        <w:t xml:space="preserve"> ha</w:t>
      </w:r>
      <w:r w:rsidR="00B05491">
        <w:t>ve been found on R</w:t>
      </w:r>
      <w:r w:rsidR="004F6682">
        <w:t xml:space="preserve">evenue </w:t>
      </w:r>
      <w:r w:rsidR="00D6042C">
        <w:t xml:space="preserve">and </w:t>
      </w:r>
      <w:r w:rsidR="00F71127">
        <w:t>capital account</w:t>
      </w:r>
      <w:r w:rsidR="00F35AF1">
        <w:t xml:space="preserve"> </w:t>
      </w:r>
      <w:r w:rsidR="009C5DCC">
        <w:t>expenditure</w:t>
      </w:r>
      <w:r w:rsidR="00D6042C">
        <w:t xml:space="preserve">. </w:t>
      </w:r>
      <w:r w:rsidR="00BA6943">
        <w:t>Capital account</w:t>
      </w:r>
      <w:r w:rsidR="00B05491">
        <w:t xml:space="preserve"> </w:t>
      </w:r>
      <w:r w:rsidR="00D6042C">
        <w:t>expenditure is meagre amount</w:t>
      </w:r>
      <w:r w:rsidR="00032AED">
        <w:t xml:space="preserve"> of the total ex</w:t>
      </w:r>
      <w:r w:rsidR="009C5DCC">
        <w:t>penditure</w:t>
      </w:r>
      <w:r w:rsidR="00DD5133">
        <w:t>.</w:t>
      </w:r>
    </w:p>
    <w:p w:rsidR="00DD5133" w:rsidRDefault="00F23D22" w:rsidP="00227451">
      <w:pPr>
        <w:ind w:hanging="142"/>
        <w:jc w:val="both"/>
      </w:pPr>
      <w:r>
        <w:t xml:space="preserve">  Key words</w:t>
      </w:r>
      <w:r w:rsidR="00BA6943">
        <w:t xml:space="preserve">: </w:t>
      </w:r>
      <w:r w:rsidR="00DD5133">
        <w:t xml:space="preserve"> Public expenditure, </w:t>
      </w:r>
      <w:r w:rsidR="00E82BA3">
        <w:t>education,</w:t>
      </w:r>
      <w:r w:rsidR="00DD5133">
        <w:t xml:space="preserve"> budget</w:t>
      </w:r>
      <w:r w:rsidR="00E82BA3">
        <w:t>, revenue</w:t>
      </w:r>
      <w:r w:rsidR="00DD5133">
        <w:t xml:space="preserve"> account, capital account,</w:t>
      </w:r>
    </w:p>
    <w:p w:rsidR="00292B47" w:rsidRDefault="00227451" w:rsidP="00292B47">
      <w:pPr>
        <w:ind w:hanging="142"/>
        <w:jc w:val="both"/>
        <w:rPr>
          <w:sz w:val="24"/>
          <w:szCs w:val="24"/>
        </w:rPr>
      </w:pPr>
      <w:r>
        <w:t xml:space="preserve">  </w:t>
      </w:r>
      <w:r w:rsidRPr="00227451">
        <w:rPr>
          <w:b/>
        </w:rPr>
        <w:t>Introduction</w:t>
      </w:r>
      <w:r w:rsidR="00E82BA3">
        <w:rPr>
          <w:b/>
        </w:rPr>
        <w:t xml:space="preserve"> </w:t>
      </w:r>
      <w:r w:rsidR="009B1D3F" w:rsidRPr="000C5F91">
        <w:t>Education is most important components</w:t>
      </w:r>
      <w:r w:rsidR="009C5DCC">
        <w:t xml:space="preserve"> of social sector. </w:t>
      </w:r>
      <w:r>
        <w:rPr>
          <w:sz w:val="24"/>
          <w:szCs w:val="24"/>
        </w:rPr>
        <w:t>Education is public good and it is included in the concurrent lis</w:t>
      </w:r>
      <w:r w:rsidR="0023283F">
        <w:rPr>
          <w:sz w:val="24"/>
          <w:szCs w:val="24"/>
        </w:rPr>
        <w:t>t of Indian constitution, both Central</w:t>
      </w:r>
      <w:r>
        <w:rPr>
          <w:sz w:val="24"/>
          <w:szCs w:val="24"/>
        </w:rPr>
        <w:t xml:space="preserve"> and state government has the responsibility</w:t>
      </w:r>
      <w:r w:rsidRPr="00542AE8">
        <w:rPr>
          <w:sz w:val="24"/>
          <w:szCs w:val="24"/>
        </w:rPr>
        <w:t xml:space="preserve"> </w:t>
      </w:r>
      <w:r>
        <w:rPr>
          <w:sz w:val="24"/>
          <w:szCs w:val="24"/>
        </w:rPr>
        <w:t>to maintain quantity, quality, access and equity in education.</w:t>
      </w:r>
      <w:r w:rsidR="0023283F">
        <w:rPr>
          <w:sz w:val="24"/>
          <w:szCs w:val="24"/>
        </w:rPr>
        <w:t xml:space="preserve"> </w:t>
      </w:r>
      <w:r w:rsidR="00A53124">
        <w:rPr>
          <w:sz w:val="24"/>
          <w:szCs w:val="24"/>
        </w:rPr>
        <w:t>Financial</w:t>
      </w:r>
      <w:r w:rsidR="00A53124" w:rsidRPr="000C5F91">
        <w:t xml:space="preserve"> resource spend by the government on any sector indicates the importance attached to that sector</w:t>
      </w:r>
      <w:r w:rsidR="00A53124">
        <w:t xml:space="preserve">. </w:t>
      </w:r>
      <w:r w:rsidR="009B1D3F">
        <w:t xml:space="preserve"> </w:t>
      </w:r>
      <w:r w:rsidR="00312643" w:rsidRPr="00312643">
        <w:rPr>
          <w:sz w:val="23"/>
          <w:szCs w:val="23"/>
        </w:rPr>
        <w:t xml:space="preserve"> </w:t>
      </w:r>
      <w:r w:rsidR="009C5DCC">
        <w:rPr>
          <w:sz w:val="24"/>
          <w:szCs w:val="24"/>
        </w:rPr>
        <w:t xml:space="preserve">Expenditure on education is considered as investment on human </w:t>
      </w:r>
      <w:r w:rsidR="00E82BA3">
        <w:rPr>
          <w:sz w:val="24"/>
          <w:szCs w:val="24"/>
        </w:rPr>
        <w:t>capital;</w:t>
      </w:r>
      <w:r w:rsidR="001E46E9">
        <w:rPr>
          <w:sz w:val="24"/>
          <w:szCs w:val="24"/>
        </w:rPr>
        <w:t xml:space="preserve"> </w:t>
      </w:r>
      <w:r w:rsidR="009C5DCC">
        <w:rPr>
          <w:rFonts w:ascii="Times New Roman" w:hAnsi="Times New Roman" w:cs="Times New Roman"/>
          <w:sz w:val="24"/>
          <w:szCs w:val="24"/>
        </w:rPr>
        <w:t>it raises</w:t>
      </w:r>
      <w:r w:rsidR="009C5DCC" w:rsidRPr="00542AE8">
        <w:rPr>
          <w:rFonts w:ascii="Times New Roman" w:hAnsi="Times New Roman" w:cs="Times New Roman"/>
          <w:sz w:val="24"/>
          <w:szCs w:val="24"/>
        </w:rPr>
        <w:t xml:space="preserve"> the </w:t>
      </w:r>
      <w:r w:rsidR="009C5DCC">
        <w:rPr>
          <w:rFonts w:ascii="Times New Roman" w:hAnsi="Times New Roman" w:cs="Times New Roman"/>
          <w:sz w:val="24"/>
          <w:szCs w:val="24"/>
        </w:rPr>
        <w:t xml:space="preserve">level of skill and therefore </w:t>
      </w:r>
      <w:r w:rsidR="009C5DCC" w:rsidRPr="00542AE8">
        <w:rPr>
          <w:rFonts w:ascii="Times New Roman" w:hAnsi="Times New Roman" w:cs="Times New Roman"/>
          <w:sz w:val="24"/>
          <w:szCs w:val="24"/>
        </w:rPr>
        <w:t xml:space="preserve">productivity </w:t>
      </w:r>
      <w:r w:rsidR="009C5DCC">
        <w:rPr>
          <w:rFonts w:ascii="Times New Roman" w:hAnsi="Times New Roman" w:cs="Times New Roman"/>
          <w:sz w:val="24"/>
          <w:szCs w:val="24"/>
        </w:rPr>
        <w:t xml:space="preserve">of worker </w:t>
      </w:r>
      <w:r w:rsidR="009C5DCC" w:rsidRPr="00542AE8">
        <w:rPr>
          <w:rFonts w:ascii="Times New Roman" w:hAnsi="Times New Roman" w:cs="Times New Roman"/>
          <w:sz w:val="24"/>
          <w:szCs w:val="24"/>
        </w:rPr>
        <w:t>and thus</w:t>
      </w:r>
      <w:r w:rsidR="009C5DCC">
        <w:rPr>
          <w:rFonts w:ascii="Times New Roman" w:hAnsi="Times New Roman" w:cs="Times New Roman"/>
          <w:sz w:val="24"/>
          <w:szCs w:val="24"/>
        </w:rPr>
        <w:t xml:space="preserve"> </w:t>
      </w:r>
      <w:r w:rsidR="009C5DCC" w:rsidRPr="00542AE8">
        <w:rPr>
          <w:rFonts w:ascii="Times New Roman" w:hAnsi="Times New Roman" w:cs="Times New Roman"/>
          <w:sz w:val="24"/>
          <w:szCs w:val="24"/>
        </w:rPr>
        <w:t>contributes</w:t>
      </w:r>
      <w:r w:rsidR="009C5DCC">
        <w:rPr>
          <w:rFonts w:ascii="Times New Roman" w:hAnsi="Times New Roman" w:cs="Times New Roman"/>
          <w:sz w:val="24"/>
          <w:szCs w:val="24"/>
        </w:rPr>
        <w:t xml:space="preserve"> to economic growth and development of the country</w:t>
      </w:r>
      <w:r w:rsidR="00E82BA3">
        <w:rPr>
          <w:rFonts w:ascii="Times New Roman" w:hAnsi="Times New Roman" w:cs="Times New Roman"/>
          <w:sz w:val="24"/>
          <w:szCs w:val="24"/>
        </w:rPr>
        <w:t xml:space="preserve">. Some studies </w:t>
      </w:r>
      <w:r w:rsidR="00DF095C">
        <w:rPr>
          <w:rFonts w:ascii="Times New Roman" w:hAnsi="Times New Roman" w:cs="Times New Roman"/>
          <w:sz w:val="24"/>
          <w:szCs w:val="24"/>
        </w:rPr>
        <w:t>show</w:t>
      </w:r>
      <w:r w:rsidR="00E82BA3">
        <w:rPr>
          <w:rFonts w:ascii="Times New Roman" w:hAnsi="Times New Roman" w:cs="Times New Roman"/>
          <w:sz w:val="24"/>
          <w:szCs w:val="24"/>
        </w:rPr>
        <w:t xml:space="preserve"> that countries spend </w:t>
      </w:r>
      <w:r w:rsidR="0023283F">
        <w:rPr>
          <w:rFonts w:ascii="Times New Roman" w:hAnsi="Times New Roman" w:cs="Times New Roman"/>
          <w:sz w:val="24"/>
          <w:szCs w:val="24"/>
        </w:rPr>
        <w:t>large money on education grows</w:t>
      </w:r>
      <w:r w:rsidR="00E82BA3">
        <w:rPr>
          <w:rFonts w:ascii="Times New Roman" w:hAnsi="Times New Roman" w:cs="Times New Roman"/>
          <w:sz w:val="24"/>
          <w:szCs w:val="24"/>
        </w:rPr>
        <w:t xml:space="preserve"> as faster rate</w:t>
      </w:r>
      <w:r w:rsidR="0023283F">
        <w:rPr>
          <w:rFonts w:ascii="Times New Roman" w:hAnsi="Times New Roman" w:cs="Times New Roman"/>
          <w:sz w:val="24"/>
          <w:szCs w:val="24"/>
        </w:rPr>
        <w:t xml:space="preserve"> compared with countries spend less on education</w:t>
      </w:r>
      <w:r w:rsidR="00E82BA3">
        <w:rPr>
          <w:rFonts w:ascii="Times New Roman" w:hAnsi="Times New Roman" w:cs="Times New Roman"/>
          <w:sz w:val="24"/>
          <w:szCs w:val="24"/>
        </w:rPr>
        <w:t>.</w:t>
      </w:r>
      <w:r w:rsidR="00A47405">
        <w:rPr>
          <w:rFonts w:ascii="Times New Roman" w:hAnsi="Times New Roman" w:cs="Times New Roman"/>
          <w:sz w:val="24"/>
          <w:szCs w:val="24"/>
        </w:rPr>
        <w:t xml:space="preserve"> </w:t>
      </w:r>
      <w:r w:rsidR="00F71127">
        <w:rPr>
          <w:sz w:val="23"/>
          <w:szCs w:val="23"/>
        </w:rPr>
        <w:t>Availability of</w:t>
      </w:r>
      <w:r w:rsidR="001D6890">
        <w:rPr>
          <w:sz w:val="23"/>
          <w:szCs w:val="23"/>
        </w:rPr>
        <w:t xml:space="preserve"> financial</w:t>
      </w:r>
      <w:r w:rsidR="00312643">
        <w:rPr>
          <w:sz w:val="23"/>
          <w:szCs w:val="23"/>
        </w:rPr>
        <w:t xml:space="preserve"> resources</w:t>
      </w:r>
      <w:r w:rsidR="00F71127">
        <w:rPr>
          <w:sz w:val="23"/>
          <w:szCs w:val="23"/>
        </w:rPr>
        <w:t xml:space="preserve"> is important det</w:t>
      </w:r>
      <w:r w:rsidR="00DE2241">
        <w:rPr>
          <w:sz w:val="23"/>
          <w:szCs w:val="23"/>
        </w:rPr>
        <w:t>erminants for quantit</w:t>
      </w:r>
      <w:r w:rsidR="007A355C">
        <w:rPr>
          <w:sz w:val="23"/>
          <w:szCs w:val="23"/>
        </w:rPr>
        <w:t>ive</w:t>
      </w:r>
      <w:r w:rsidR="00DE2241">
        <w:rPr>
          <w:sz w:val="23"/>
          <w:szCs w:val="23"/>
        </w:rPr>
        <w:t xml:space="preserve"> expansion and qualitative improvement of</w:t>
      </w:r>
      <w:r w:rsidR="00312643">
        <w:rPr>
          <w:sz w:val="23"/>
          <w:szCs w:val="23"/>
        </w:rPr>
        <w:t xml:space="preserve"> educational sector</w:t>
      </w:r>
      <w:r w:rsidR="00F71127">
        <w:rPr>
          <w:sz w:val="23"/>
          <w:szCs w:val="23"/>
        </w:rPr>
        <w:t>.</w:t>
      </w:r>
      <w:r w:rsidRPr="00227451">
        <w:rPr>
          <w:sz w:val="24"/>
          <w:szCs w:val="24"/>
        </w:rPr>
        <w:t xml:space="preserve"> </w:t>
      </w:r>
      <w:r w:rsidR="009C5DCC" w:rsidRPr="009C5DCC">
        <w:rPr>
          <w:sz w:val="24"/>
          <w:szCs w:val="24"/>
        </w:rPr>
        <w:t>Our education</w:t>
      </w:r>
      <w:r w:rsidR="009C5DCC" w:rsidRPr="009C5DCC">
        <w:rPr>
          <w:b/>
          <w:sz w:val="24"/>
          <w:szCs w:val="24"/>
        </w:rPr>
        <w:t xml:space="preserve"> </w:t>
      </w:r>
      <w:r w:rsidR="009C5DCC" w:rsidRPr="009C5DCC">
        <w:rPr>
          <w:sz w:val="24"/>
          <w:szCs w:val="24"/>
        </w:rPr>
        <w:t>syste</w:t>
      </w:r>
      <w:r w:rsidR="001E46E9">
        <w:rPr>
          <w:sz w:val="24"/>
          <w:szCs w:val="24"/>
        </w:rPr>
        <w:t>m has severely starved of funds. I</w:t>
      </w:r>
      <w:r w:rsidR="009C5DCC" w:rsidRPr="009C5DCC">
        <w:rPr>
          <w:sz w:val="24"/>
          <w:szCs w:val="24"/>
        </w:rPr>
        <w:t>t requires huge flow of funds for its quantative expansion</w:t>
      </w:r>
      <w:r w:rsidR="00A47405" w:rsidRPr="009C5DCC">
        <w:rPr>
          <w:sz w:val="24"/>
          <w:szCs w:val="24"/>
        </w:rPr>
        <w:t xml:space="preserve">, </w:t>
      </w:r>
      <w:r w:rsidR="00A47405">
        <w:rPr>
          <w:sz w:val="24"/>
          <w:szCs w:val="24"/>
        </w:rPr>
        <w:t xml:space="preserve">qualitatively </w:t>
      </w:r>
      <w:r w:rsidR="009C5DCC" w:rsidRPr="009C5DCC">
        <w:rPr>
          <w:sz w:val="24"/>
          <w:szCs w:val="24"/>
        </w:rPr>
        <w:t>i</w:t>
      </w:r>
      <w:r w:rsidR="00A47405">
        <w:rPr>
          <w:sz w:val="24"/>
          <w:szCs w:val="24"/>
        </w:rPr>
        <w:t>mprovement and for universal access</w:t>
      </w:r>
      <w:r w:rsidR="009C5DCC" w:rsidRPr="009C5DCC">
        <w:rPr>
          <w:sz w:val="24"/>
          <w:szCs w:val="24"/>
        </w:rPr>
        <w:t xml:space="preserve">. </w:t>
      </w:r>
      <w:r w:rsidR="009C5DCC">
        <w:rPr>
          <w:sz w:val="24"/>
          <w:szCs w:val="24"/>
        </w:rPr>
        <w:t xml:space="preserve"> </w:t>
      </w:r>
    </w:p>
    <w:p w:rsidR="003804AB" w:rsidRDefault="00292B47" w:rsidP="00292B47">
      <w:pPr>
        <w:ind w:hanging="142"/>
        <w:jc w:val="both"/>
        <w:rPr>
          <w:sz w:val="24"/>
          <w:szCs w:val="24"/>
        </w:rPr>
      </w:pPr>
      <w:r>
        <w:rPr>
          <w:sz w:val="24"/>
          <w:szCs w:val="24"/>
        </w:rPr>
        <w:t xml:space="preserve">  </w:t>
      </w:r>
      <w:r w:rsidR="00534625" w:rsidRPr="00534625">
        <w:rPr>
          <w:b/>
          <w:sz w:val="24"/>
          <w:szCs w:val="24"/>
        </w:rPr>
        <w:t xml:space="preserve">Sources of </w:t>
      </w:r>
      <w:r w:rsidR="000D208D" w:rsidRPr="00534625">
        <w:rPr>
          <w:b/>
          <w:sz w:val="24"/>
          <w:szCs w:val="24"/>
        </w:rPr>
        <w:t xml:space="preserve">financing </w:t>
      </w:r>
      <w:r w:rsidR="000D208D">
        <w:rPr>
          <w:b/>
          <w:sz w:val="24"/>
          <w:szCs w:val="24"/>
        </w:rPr>
        <w:t>education</w:t>
      </w:r>
      <w:r w:rsidR="00534625">
        <w:rPr>
          <w:sz w:val="24"/>
          <w:szCs w:val="24"/>
        </w:rPr>
        <w:t xml:space="preserve">. </w:t>
      </w:r>
      <w:r w:rsidR="00F71127">
        <w:rPr>
          <w:rFonts w:ascii="Times New Roman" w:hAnsi="Times New Roman" w:cs="Times New Roman"/>
          <w:sz w:val="24"/>
          <w:szCs w:val="24"/>
        </w:rPr>
        <w:t xml:space="preserve">There are several </w:t>
      </w:r>
      <w:r w:rsidR="00F71127" w:rsidRPr="00E95A33">
        <w:rPr>
          <w:rFonts w:ascii="Times New Roman" w:hAnsi="Times New Roman" w:cs="Times New Roman"/>
          <w:sz w:val="24"/>
          <w:szCs w:val="24"/>
        </w:rPr>
        <w:t>sources</w:t>
      </w:r>
      <w:r w:rsidR="00E95A33" w:rsidRPr="00E95A33">
        <w:rPr>
          <w:rFonts w:ascii="Times New Roman" w:hAnsi="Times New Roman" w:cs="Times New Roman"/>
          <w:sz w:val="24"/>
          <w:szCs w:val="24"/>
        </w:rPr>
        <w:t xml:space="preserve"> of</w:t>
      </w:r>
      <w:r w:rsidR="00F71127">
        <w:rPr>
          <w:rFonts w:ascii="Times New Roman" w:hAnsi="Times New Roman" w:cs="Times New Roman"/>
          <w:sz w:val="24"/>
          <w:szCs w:val="24"/>
        </w:rPr>
        <w:t xml:space="preserve"> financing education - </w:t>
      </w:r>
      <w:r w:rsidR="00277ED8">
        <w:rPr>
          <w:rFonts w:ascii="Times New Roman" w:hAnsi="Times New Roman" w:cs="Times New Roman"/>
          <w:sz w:val="24"/>
          <w:szCs w:val="24"/>
        </w:rPr>
        <w:t>P</w:t>
      </w:r>
      <w:r w:rsidR="00E95A33" w:rsidRPr="00E95A33">
        <w:rPr>
          <w:rFonts w:ascii="Times New Roman" w:hAnsi="Times New Roman" w:cs="Times New Roman"/>
          <w:sz w:val="24"/>
          <w:szCs w:val="24"/>
        </w:rPr>
        <w:t xml:space="preserve">ublic sector which includes </w:t>
      </w:r>
      <w:r w:rsidR="000D208D" w:rsidRPr="00E95A33">
        <w:rPr>
          <w:rFonts w:ascii="Times New Roman" w:hAnsi="Times New Roman" w:cs="Times New Roman"/>
          <w:sz w:val="24"/>
          <w:szCs w:val="24"/>
        </w:rPr>
        <w:t>expend</w:t>
      </w:r>
      <w:r w:rsidR="000D208D">
        <w:rPr>
          <w:rFonts w:ascii="Times New Roman" w:hAnsi="Times New Roman" w:cs="Times New Roman"/>
          <w:sz w:val="24"/>
          <w:szCs w:val="24"/>
        </w:rPr>
        <w:t xml:space="preserve">iture incurred </w:t>
      </w:r>
      <w:r w:rsidR="00FE6F7D">
        <w:rPr>
          <w:rFonts w:ascii="Times New Roman" w:hAnsi="Times New Roman" w:cs="Times New Roman"/>
          <w:sz w:val="24"/>
          <w:szCs w:val="24"/>
        </w:rPr>
        <w:t>by the central government,</w:t>
      </w:r>
      <w:r w:rsidR="00E95A33" w:rsidRPr="00E95A33">
        <w:rPr>
          <w:rFonts w:ascii="Times New Roman" w:hAnsi="Times New Roman" w:cs="Times New Roman"/>
          <w:sz w:val="24"/>
          <w:szCs w:val="24"/>
        </w:rPr>
        <w:t xml:space="preserve"> state governments and</w:t>
      </w:r>
      <w:r w:rsidR="004C6B01">
        <w:rPr>
          <w:rFonts w:ascii="Times New Roman" w:hAnsi="Times New Roman" w:cs="Times New Roman"/>
          <w:sz w:val="24"/>
          <w:szCs w:val="24"/>
        </w:rPr>
        <w:t xml:space="preserve"> union territories government, and local bodies. I</w:t>
      </w:r>
      <w:r w:rsidR="00F738A0">
        <w:rPr>
          <w:rFonts w:ascii="Times New Roman" w:hAnsi="Times New Roman" w:cs="Times New Roman"/>
          <w:sz w:val="24"/>
          <w:szCs w:val="24"/>
        </w:rPr>
        <w:t>n addition to government</w:t>
      </w:r>
      <w:r w:rsidR="00DA6EC7">
        <w:rPr>
          <w:rFonts w:ascii="Times New Roman" w:hAnsi="Times New Roman" w:cs="Times New Roman"/>
          <w:sz w:val="24"/>
          <w:szCs w:val="24"/>
        </w:rPr>
        <w:t>,</w:t>
      </w:r>
      <w:r w:rsidR="00277ED8">
        <w:rPr>
          <w:rFonts w:ascii="Times New Roman" w:hAnsi="Times New Roman" w:cs="Times New Roman"/>
          <w:sz w:val="24"/>
          <w:szCs w:val="24"/>
        </w:rPr>
        <w:t xml:space="preserve"> N</w:t>
      </w:r>
      <w:r w:rsidR="00F738A0">
        <w:rPr>
          <w:rFonts w:ascii="Times New Roman" w:hAnsi="Times New Roman" w:cs="Times New Roman"/>
          <w:sz w:val="24"/>
          <w:szCs w:val="24"/>
        </w:rPr>
        <w:t>on</w:t>
      </w:r>
      <w:r w:rsidR="00FE6F7D">
        <w:rPr>
          <w:rFonts w:ascii="Times New Roman" w:hAnsi="Times New Roman" w:cs="Times New Roman"/>
          <w:sz w:val="24"/>
          <w:szCs w:val="24"/>
        </w:rPr>
        <w:t xml:space="preserve"> governmental agencies, corporate investment and </w:t>
      </w:r>
      <w:r w:rsidR="00F738A0">
        <w:rPr>
          <w:rFonts w:ascii="Times New Roman" w:hAnsi="Times New Roman" w:cs="Times New Roman"/>
          <w:sz w:val="24"/>
          <w:szCs w:val="24"/>
        </w:rPr>
        <w:t>individual household</w:t>
      </w:r>
      <w:r w:rsidR="00FE6F7D">
        <w:rPr>
          <w:rFonts w:ascii="Times New Roman" w:hAnsi="Times New Roman" w:cs="Times New Roman"/>
          <w:sz w:val="24"/>
          <w:szCs w:val="24"/>
        </w:rPr>
        <w:t xml:space="preserve"> </w:t>
      </w:r>
      <w:r w:rsidR="00DA6EC7">
        <w:rPr>
          <w:rFonts w:ascii="Times New Roman" w:hAnsi="Times New Roman" w:cs="Times New Roman"/>
          <w:sz w:val="24"/>
          <w:szCs w:val="24"/>
        </w:rPr>
        <w:t>spending also</w:t>
      </w:r>
      <w:r w:rsidR="00793EC1">
        <w:rPr>
          <w:rFonts w:ascii="Times New Roman" w:hAnsi="Times New Roman" w:cs="Times New Roman"/>
          <w:sz w:val="24"/>
          <w:szCs w:val="24"/>
        </w:rPr>
        <w:t xml:space="preserve"> </w:t>
      </w:r>
      <w:r w:rsidR="004C6B01">
        <w:rPr>
          <w:rFonts w:ascii="Times New Roman" w:hAnsi="Times New Roman" w:cs="Times New Roman"/>
          <w:sz w:val="24"/>
          <w:szCs w:val="24"/>
        </w:rPr>
        <w:t>contribute</w:t>
      </w:r>
      <w:r w:rsidR="00F738A0">
        <w:rPr>
          <w:rFonts w:ascii="Times New Roman" w:hAnsi="Times New Roman" w:cs="Times New Roman"/>
          <w:sz w:val="24"/>
          <w:szCs w:val="24"/>
        </w:rPr>
        <w:t xml:space="preserve"> significantly. But the </w:t>
      </w:r>
      <w:r w:rsidR="00793EC1">
        <w:rPr>
          <w:rFonts w:ascii="Times New Roman" w:hAnsi="Times New Roman" w:cs="Times New Roman"/>
          <w:sz w:val="24"/>
          <w:szCs w:val="24"/>
        </w:rPr>
        <w:t>roles of the government still remain</w:t>
      </w:r>
      <w:r w:rsidR="00F738A0">
        <w:rPr>
          <w:rFonts w:ascii="Times New Roman" w:hAnsi="Times New Roman" w:cs="Times New Roman"/>
          <w:sz w:val="24"/>
          <w:szCs w:val="24"/>
        </w:rPr>
        <w:t xml:space="preserve"> pervasive and important. </w:t>
      </w:r>
      <w:r w:rsidR="00E95A33" w:rsidRPr="00E95A33">
        <w:rPr>
          <w:rFonts w:ascii="Times New Roman" w:hAnsi="Times New Roman" w:cs="Times New Roman"/>
          <w:sz w:val="24"/>
          <w:szCs w:val="24"/>
        </w:rPr>
        <w:t xml:space="preserve"> The focus in</w:t>
      </w:r>
      <w:r w:rsidR="00E95A33">
        <w:rPr>
          <w:rFonts w:ascii="Times New Roman" w:hAnsi="Times New Roman" w:cs="Times New Roman"/>
          <w:sz w:val="24"/>
          <w:szCs w:val="24"/>
        </w:rPr>
        <w:t xml:space="preserve"> </w:t>
      </w:r>
      <w:r w:rsidR="00E95A33" w:rsidRPr="00E95A33">
        <w:rPr>
          <w:rFonts w:ascii="Times New Roman" w:hAnsi="Times New Roman" w:cs="Times New Roman"/>
          <w:sz w:val="24"/>
          <w:szCs w:val="24"/>
        </w:rPr>
        <w:t>this paper has been essentially on public expend</w:t>
      </w:r>
      <w:r w:rsidR="000D208D">
        <w:rPr>
          <w:rFonts w:ascii="Times New Roman" w:hAnsi="Times New Roman" w:cs="Times New Roman"/>
          <w:sz w:val="24"/>
          <w:szCs w:val="24"/>
        </w:rPr>
        <w:t>iture on education by the central</w:t>
      </w:r>
      <w:r w:rsidR="00963481">
        <w:rPr>
          <w:rFonts w:ascii="Times New Roman" w:hAnsi="Times New Roman" w:cs="Times New Roman"/>
          <w:sz w:val="24"/>
          <w:szCs w:val="24"/>
        </w:rPr>
        <w:t xml:space="preserve"> and the state</w:t>
      </w:r>
      <w:r w:rsidR="00793EC1">
        <w:rPr>
          <w:rFonts w:ascii="Times New Roman" w:hAnsi="Times New Roman" w:cs="Times New Roman"/>
          <w:sz w:val="24"/>
          <w:szCs w:val="24"/>
        </w:rPr>
        <w:t xml:space="preserve"> government</w:t>
      </w:r>
      <w:r w:rsidR="00E95A33">
        <w:rPr>
          <w:rFonts w:ascii="Times New Roman" w:hAnsi="Times New Roman" w:cs="Times New Roman"/>
        </w:rPr>
        <w:t>.</w:t>
      </w:r>
      <w:r w:rsidR="00277ED8">
        <w:rPr>
          <w:rFonts w:ascii="Times New Roman" w:hAnsi="Times New Roman" w:cs="Times New Roman"/>
        </w:rPr>
        <w:t xml:space="preserve"> </w:t>
      </w:r>
      <w:r w:rsidR="00710B08">
        <w:rPr>
          <w:sz w:val="24"/>
          <w:szCs w:val="24"/>
        </w:rPr>
        <w:t>The state has lion share</w:t>
      </w:r>
      <w:r w:rsidR="00540AB5">
        <w:rPr>
          <w:sz w:val="24"/>
          <w:szCs w:val="24"/>
        </w:rPr>
        <w:t xml:space="preserve"> with more than one third</w:t>
      </w:r>
      <w:r w:rsidR="00710B08">
        <w:rPr>
          <w:sz w:val="24"/>
          <w:szCs w:val="24"/>
        </w:rPr>
        <w:t xml:space="preserve"> in the tota</w:t>
      </w:r>
      <w:r w:rsidR="00540AB5">
        <w:rPr>
          <w:sz w:val="24"/>
          <w:szCs w:val="24"/>
        </w:rPr>
        <w:t>l expenditure</w:t>
      </w:r>
      <w:r w:rsidR="00710B08">
        <w:rPr>
          <w:sz w:val="24"/>
          <w:szCs w:val="24"/>
        </w:rPr>
        <w:t>.</w:t>
      </w:r>
      <w:r w:rsidR="005F3833">
        <w:rPr>
          <w:sz w:val="24"/>
          <w:szCs w:val="24"/>
        </w:rPr>
        <w:t xml:space="preserve"> </w:t>
      </w:r>
    </w:p>
    <w:p w:rsidR="00784D1C" w:rsidRPr="00C8101E" w:rsidRDefault="003804AB" w:rsidP="00C8101E">
      <w:pPr>
        <w:ind w:hanging="142"/>
        <w:jc w:val="both"/>
        <w:rPr>
          <w:sz w:val="24"/>
          <w:szCs w:val="24"/>
        </w:rPr>
      </w:pPr>
      <w:r>
        <w:rPr>
          <w:sz w:val="24"/>
          <w:szCs w:val="24"/>
        </w:rPr>
        <w:lastRenderedPageBreak/>
        <w:t xml:space="preserve">  </w:t>
      </w:r>
      <w:r w:rsidR="00251689">
        <w:rPr>
          <w:b/>
          <w:sz w:val="24"/>
          <w:szCs w:val="24"/>
        </w:rPr>
        <w:t>Financial Requirement of E</w:t>
      </w:r>
      <w:r w:rsidRPr="003804AB">
        <w:rPr>
          <w:b/>
          <w:sz w:val="24"/>
          <w:szCs w:val="24"/>
        </w:rPr>
        <w:t>du</w:t>
      </w:r>
      <w:r w:rsidR="00251689">
        <w:rPr>
          <w:b/>
          <w:sz w:val="24"/>
          <w:szCs w:val="24"/>
        </w:rPr>
        <w:t>cation S</w:t>
      </w:r>
      <w:r w:rsidRPr="003804AB">
        <w:rPr>
          <w:b/>
          <w:sz w:val="24"/>
          <w:szCs w:val="24"/>
        </w:rPr>
        <w:t>ector.</w:t>
      </w:r>
      <w:r>
        <w:rPr>
          <w:sz w:val="24"/>
          <w:szCs w:val="24"/>
        </w:rPr>
        <w:t xml:space="preserve"> </w:t>
      </w:r>
      <w:r w:rsidR="00541E65">
        <w:rPr>
          <w:sz w:val="24"/>
          <w:szCs w:val="24"/>
        </w:rPr>
        <w:t>T</w:t>
      </w:r>
      <w:r w:rsidR="004F469A">
        <w:rPr>
          <w:sz w:val="24"/>
          <w:szCs w:val="24"/>
        </w:rPr>
        <w:t>he government has constitutes commissions and appointed various committees to estimate the financial r</w:t>
      </w:r>
      <w:r w:rsidR="00395296">
        <w:rPr>
          <w:sz w:val="24"/>
          <w:szCs w:val="24"/>
        </w:rPr>
        <w:t>equirement of educational sector</w:t>
      </w:r>
      <w:r w:rsidR="004F469A">
        <w:rPr>
          <w:sz w:val="24"/>
          <w:szCs w:val="24"/>
        </w:rPr>
        <w:t xml:space="preserve">. The education commission 1964-66 popularly known as kathori commission made a detailed analysis of financial requirement of educational sector, and recommended that we should </w:t>
      </w:r>
      <w:r w:rsidR="00DD4B32">
        <w:rPr>
          <w:sz w:val="24"/>
          <w:szCs w:val="24"/>
        </w:rPr>
        <w:t>increase the proportion of GDP spend on education to 6 percent</w:t>
      </w:r>
      <w:r w:rsidR="00476EA7">
        <w:rPr>
          <w:sz w:val="24"/>
          <w:szCs w:val="24"/>
        </w:rPr>
        <w:t xml:space="preserve"> of GDP</w:t>
      </w:r>
      <w:r w:rsidR="00DD4B32">
        <w:rPr>
          <w:sz w:val="24"/>
          <w:szCs w:val="24"/>
        </w:rPr>
        <w:t xml:space="preserve"> by 1985-86.</w:t>
      </w:r>
      <w:r w:rsidR="00B800DF">
        <w:rPr>
          <w:sz w:val="24"/>
          <w:szCs w:val="24"/>
        </w:rPr>
        <w:t xml:space="preserve"> Among other recommendation this recommendation</w:t>
      </w:r>
      <w:r w:rsidR="00476EA7">
        <w:rPr>
          <w:sz w:val="24"/>
          <w:szCs w:val="24"/>
        </w:rPr>
        <w:t xml:space="preserve"> was accepted by the government a</w:t>
      </w:r>
      <w:r w:rsidR="00F130C6">
        <w:rPr>
          <w:sz w:val="24"/>
          <w:szCs w:val="24"/>
        </w:rPr>
        <w:t xml:space="preserve">nd it was decided to raise the </w:t>
      </w:r>
      <w:r w:rsidR="00A6384D">
        <w:rPr>
          <w:sz w:val="24"/>
          <w:szCs w:val="24"/>
        </w:rPr>
        <w:t>spending on</w:t>
      </w:r>
      <w:r w:rsidR="00F130C6">
        <w:rPr>
          <w:sz w:val="24"/>
          <w:szCs w:val="24"/>
        </w:rPr>
        <w:t xml:space="preserve"> education to 6 percent</w:t>
      </w:r>
      <w:r w:rsidR="00476EA7">
        <w:rPr>
          <w:sz w:val="24"/>
          <w:szCs w:val="24"/>
        </w:rPr>
        <w:t xml:space="preserve"> of GDP</w:t>
      </w:r>
      <w:r w:rsidR="00F130C6">
        <w:rPr>
          <w:sz w:val="24"/>
          <w:szCs w:val="24"/>
        </w:rPr>
        <w:t xml:space="preserve"> by 1986.</w:t>
      </w:r>
      <w:r w:rsidR="00A82A67">
        <w:rPr>
          <w:sz w:val="24"/>
          <w:szCs w:val="24"/>
        </w:rPr>
        <w:t xml:space="preserve"> National education policy 1968 also recommended </w:t>
      </w:r>
      <w:r w:rsidR="00FD53F8">
        <w:rPr>
          <w:sz w:val="24"/>
          <w:szCs w:val="24"/>
        </w:rPr>
        <w:t>that investment</w:t>
      </w:r>
      <w:r w:rsidR="00A82A67">
        <w:rPr>
          <w:sz w:val="24"/>
          <w:szCs w:val="24"/>
        </w:rPr>
        <w:t xml:space="preserve"> on education should increase gradually to six percent of national income as soon as possible.</w:t>
      </w:r>
      <w:r w:rsidR="00B800DF">
        <w:rPr>
          <w:sz w:val="24"/>
          <w:szCs w:val="24"/>
        </w:rPr>
        <w:t xml:space="preserve"> It was resolved in the </w:t>
      </w:r>
      <w:r w:rsidR="00205D34">
        <w:rPr>
          <w:sz w:val="24"/>
          <w:szCs w:val="24"/>
        </w:rPr>
        <w:t>National educational</w:t>
      </w:r>
      <w:r w:rsidR="00B800DF">
        <w:rPr>
          <w:sz w:val="24"/>
          <w:szCs w:val="24"/>
        </w:rPr>
        <w:t xml:space="preserve"> policy of 1986, to increase the investment on </w:t>
      </w:r>
      <w:r w:rsidR="009C5DCC">
        <w:rPr>
          <w:sz w:val="24"/>
          <w:szCs w:val="24"/>
        </w:rPr>
        <w:t>education so</w:t>
      </w:r>
      <w:r w:rsidR="00B800DF">
        <w:rPr>
          <w:sz w:val="24"/>
          <w:szCs w:val="24"/>
        </w:rPr>
        <w:t xml:space="preserve"> as to reach the level of 6 percent of national income.</w:t>
      </w:r>
      <w:r w:rsidR="00205D34">
        <w:rPr>
          <w:sz w:val="24"/>
          <w:szCs w:val="24"/>
        </w:rPr>
        <w:t xml:space="preserve"> But the goal remained unfulfilled.</w:t>
      </w:r>
      <w:r w:rsidR="00FD53F8">
        <w:rPr>
          <w:sz w:val="24"/>
          <w:szCs w:val="24"/>
        </w:rPr>
        <w:t xml:space="preserve"> Saikia committee 1996 stressed on the need for an expenditure of six percent of GDP on education with 50 percent of it earmarked for the primary sector. </w:t>
      </w:r>
      <w:r w:rsidR="009C5DCC">
        <w:rPr>
          <w:sz w:val="24"/>
          <w:szCs w:val="24"/>
        </w:rPr>
        <w:t>In The</w:t>
      </w:r>
      <w:r w:rsidR="00205D34">
        <w:rPr>
          <w:sz w:val="24"/>
          <w:szCs w:val="24"/>
        </w:rPr>
        <w:t xml:space="preserve"> common Minimum programme of the UPA government it was decided that public </w:t>
      </w:r>
      <w:r w:rsidR="009C5DCC">
        <w:rPr>
          <w:sz w:val="24"/>
          <w:szCs w:val="24"/>
        </w:rPr>
        <w:t>spending on</w:t>
      </w:r>
      <w:r w:rsidR="00205D34">
        <w:rPr>
          <w:sz w:val="24"/>
          <w:szCs w:val="24"/>
        </w:rPr>
        <w:t xml:space="preserve"> education will be raised to 6 percent of the </w:t>
      </w:r>
      <w:r w:rsidR="00E277CE">
        <w:rPr>
          <w:sz w:val="24"/>
          <w:szCs w:val="24"/>
        </w:rPr>
        <w:t>GDP and that will be in the phased manner.</w:t>
      </w:r>
      <w:r w:rsidR="00784D1C">
        <w:rPr>
          <w:sz w:val="24"/>
          <w:szCs w:val="24"/>
        </w:rPr>
        <w:t xml:space="preserve">  With this background the present study tries to analyse the level and comp</w:t>
      </w:r>
      <w:r w:rsidR="00541E65">
        <w:rPr>
          <w:sz w:val="24"/>
          <w:szCs w:val="24"/>
        </w:rPr>
        <w:t>osition of public expenditure on</w:t>
      </w:r>
      <w:r w:rsidR="00784D1C">
        <w:rPr>
          <w:sz w:val="24"/>
          <w:szCs w:val="24"/>
        </w:rPr>
        <w:t xml:space="preserve"> education sector.</w:t>
      </w:r>
    </w:p>
    <w:p w:rsidR="00231355" w:rsidRPr="004C6B01" w:rsidRDefault="001D6890" w:rsidP="00542A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Objective of the S</w:t>
      </w:r>
      <w:r w:rsidR="00231355" w:rsidRPr="00231355">
        <w:rPr>
          <w:rFonts w:ascii="Times New Roman" w:hAnsi="Times New Roman" w:cs="Times New Roman"/>
          <w:b/>
          <w:sz w:val="24"/>
          <w:szCs w:val="24"/>
        </w:rPr>
        <w:t>tudy</w:t>
      </w:r>
      <w:r w:rsidR="00231355">
        <w:rPr>
          <w:rFonts w:ascii="Times New Roman" w:hAnsi="Times New Roman" w:cs="Times New Roman"/>
          <w:b/>
          <w:sz w:val="24"/>
          <w:szCs w:val="24"/>
        </w:rPr>
        <w:t>.</w:t>
      </w:r>
      <w:r w:rsidR="001631D6">
        <w:rPr>
          <w:rFonts w:ascii="Times New Roman" w:hAnsi="Times New Roman" w:cs="Times New Roman"/>
          <w:b/>
          <w:sz w:val="24"/>
          <w:szCs w:val="24"/>
        </w:rPr>
        <w:t xml:space="preserve"> </w:t>
      </w:r>
      <w:r w:rsidR="001631D6" w:rsidRPr="004C6B01">
        <w:rPr>
          <w:rFonts w:ascii="Times New Roman" w:hAnsi="Times New Roman" w:cs="Times New Roman"/>
          <w:sz w:val="24"/>
          <w:szCs w:val="24"/>
        </w:rPr>
        <w:t>The objective</w:t>
      </w:r>
      <w:r w:rsidR="004942D3">
        <w:rPr>
          <w:rFonts w:ascii="Times New Roman" w:hAnsi="Times New Roman" w:cs="Times New Roman"/>
          <w:sz w:val="24"/>
          <w:szCs w:val="24"/>
        </w:rPr>
        <w:t>s</w:t>
      </w:r>
      <w:r w:rsidR="001631D6" w:rsidRPr="004C6B01">
        <w:rPr>
          <w:rFonts w:ascii="Times New Roman" w:hAnsi="Times New Roman" w:cs="Times New Roman"/>
          <w:sz w:val="24"/>
          <w:szCs w:val="24"/>
        </w:rPr>
        <w:t xml:space="preserve"> of the paper is to provide comprehensive assessment of the </w:t>
      </w:r>
      <w:r w:rsidR="00255574">
        <w:rPr>
          <w:rFonts w:ascii="Times New Roman" w:hAnsi="Times New Roman" w:cs="Times New Roman"/>
          <w:sz w:val="24"/>
          <w:szCs w:val="24"/>
        </w:rPr>
        <w:t>expenditure incurred both</w:t>
      </w:r>
      <w:r w:rsidR="004942D3">
        <w:rPr>
          <w:rFonts w:ascii="Times New Roman" w:hAnsi="Times New Roman" w:cs="Times New Roman"/>
          <w:sz w:val="24"/>
          <w:szCs w:val="24"/>
        </w:rPr>
        <w:t xml:space="preserve"> by Central and State G</w:t>
      </w:r>
      <w:r w:rsidR="001631D6" w:rsidRPr="004C6B01">
        <w:rPr>
          <w:rFonts w:ascii="Times New Roman" w:hAnsi="Times New Roman" w:cs="Times New Roman"/>
          <w:sz w:val="24"/>
          <w:szCs w:val="24"/>
        </w:rPr>
        <w:t xml:space="preserve">overnment on </w:t>
      </w:r>
      <w:r w:rsidR="00255574" w:rsidRPr="004C6B01">
        <w:rPr>
          <w:rFonts w:ascii="Times New Roman" w:hAnsi="Times New Roman" w:cs="Times New Roman"/>
          <w:sz w:val="24"/>
          <w:szCs w:val="24"/>
        </w:rPr>
        <w:t>education</w:t>
      </w:r>
      <w:r w:rsidR="00255574">
        <w:rPr>
          <w:rFonts w:ascii="Times New Roman" w:hAnsi="Times New Roman" w:cs="Times New Roman"/>
          <w:b/>
          <w:sz w:val="24"/>
          <w:szCs w:val="24"/>
        </w:rPr>
        <w:t>,</w:t>
      </w:r>
      <w:r w:rsidR="001631D6" w:rsidRPr="008233BE">
        <w:rPr>
          <w:rFonts w:ascii="Times New Roman" w:hAnsi="Times New Roman" w:cs="Times New Roman"/>
          <w:sz w:val="24"/>
          <w:szCs w:val="24"/>
        </w:rPr>
        <w:t xml:space="preserve"> </w:t>
      </w:r>
      <w:r w:rsidR="009C2AFE" w:rsidRPr="008233BE">
        <w:rPr>
          <w:rFonts w:ascii="Times New Roman" w:hAnsi="Times New Roman" w:cs="Times New Roman"/>
          <w:sz w:val="24"/>
          <w:szCs w:val="24"/>
        </w:rPr>
        <w:t>The</w:t>
      </w:r>
      <w:r w:rsidR="009C2AFE">
        <w:rPr>
          <w:rFonts w:ascii="Times New Roman" w:hAnsi="Times New Roman" w:cs="Times New Roman"/>
          <w:b/>
          <w:sz w:val="24"/>
          <w:szCs w:val="24"/>
        </w:rPr>
        <w:t xml:space="preserve"> </w:t>
      </w:r>
      <w:r w:rsidR="009C2AFE">
        <w:rPr>
          <w:rFonts w:ascii="Times New Roman" w:hAnsi="Times New Roman" w:cs="Times New Roman"/>
          <w:sz w:val="24"/>
          <w:szCs w:val="24"/>
        </w:rPr>
        <w:t>primary focus of the study is on the following objective</w:t>
      </w:r>
      <w:r w:rsidR="0094759C">
        <w:rPr>
          <w:rFonts w:ascii="Times New Roman" w:hAnsi="Times New Roman" w:cs="Times New Roman"/>
          <w:sz w:val="24"/>
          <w:szCs w:val="24"/>
        </w:rPr>
        <w:t>s</w:t>
      </w:r>
      <w:r w:rsidR="00793EC1">
        <w:rPr>
          <w:rFonts w:ascii="Times New Roman" w:hAnsi="Times New Roman" w:cs="Times New Roman"/>
          <w:sz w:val="24"/>
          <w:szCs w:val="24"/>
        </w:rPr>
        <w:t>:-</w:t>
      </w:r>
    </w:p>
    <w:p w:rsidR="004942D3" w:rsidRDefault="004942D3" w:rsidP="00793EC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know the amount</w:t>
      </w:r>
      <w:r w:rsidR="001631D6">
        <w:rPr>
          <w:rFonts w:ascii="Times New Roman" w:hAnsi="Times New Roman" w:cs="Times New Roman"/>
          <w:sz w:val="24"/>
          <w:szCs w:val="24"/>
        </w:rPr>
        <w:t xml:space="preserve"> of money </w:t>
      </w:r>
      <w:r w:rsidR="00255574">
        <w:rPr>
          <w:rFonts w:ascii="Times New Roman" w:hAnsi="Times New Roman" w:cs="Times New Roman"/>
          <w:sz w:val="24"/>
          <w:szCs w:val="24"/>
        </w:rPr>
        <w:t>spent by</w:t>
      </w:r>
      <w:r>
        <w:rPr>
          <w:rFonts w:ascii="Times New Roman" w:hAnsi="Times New Roman" w:cs="Times New Roman"/>
          <w:sz w:val="24"/>
          <w:szCs w:val="24"/>
        </w:rPr>
        <w:t xml:space="preserve"> C</w:t>
      </w:r>
      <w:r w:rsidR="001631D6">
        <w:rPr>
          <w:rFonts w:ascii="Times New Roman" w:hAnsi="Times New Roman" w:cs="Times New Roman"/>
          <w:sz w:val="24"/>
          <w:szCs w:val="24"/>
        </w:rPr>
        <w:t>entre</w:t>
      </w:r>
      <w:r w:rsidR="008233BE">
        <w:rPr>
          <w:rFonts w:ascii="Times New Roman" w:hAnsi="Times New Roman" w:cs="Times New Roman"/>
          <w:sz w:val="24"/>
          <w:szCs w:val="24"/>
        </w:rPr>
        <w:t>,</w:t>
      </w:r>
      <w:r w:rsidR="00541E65">
        <w:rPr>
          <w:rFonts w:ascii="Times New Roman" w:hAnsi="Times New Roman" w:cs="Times New Roman"/>
          <w:sz w:val="24"/>
          <w:szCs w:val="24"/>
        </w:rPr>
        <w:t xml:space="preserve"> S</w:t>
      </w:r>
      <w:r w:rsidR="001631D6">
        <w:rPr>
          <w:rFonts w:ascii="Times New Roman" w:hAnsi="Times New Roman" w:cs="Times New Roman"/>
          <w:sz w:val="24"/>
          <w:szCs w:val="24"/>
        </w:rPr>
        <w:t>tate and union territories</w:t>
      </w:r>
      <w:r>
        <w:rPr>
          <w:rFonts w:ascii="Times New Roman" w:hAnsi="Times New Roman" w:cs="Times New Roman"/>
          <w:sz w:val="24"/>
          <w:szCs w:val="24"/>
        </w:rPr>
        <w:t xml:space="preserve"> government on education an</w:t>
      </w:r>
    </w:p>
    <w:p w:rsidR="00793EC1" w:rsidRPr="00793EC1" w:rsidRDefault="004942D3" w:rsidP="00793EC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1631D6">
        <w:rPr>
          <w:rFonts w:ascii="Times New Roman" w:hAnsi="Times New Roman" w:cs="Times New Roman"/>
          <w:sz w:val="24"/>
          <w:szCs w:val="24"/>
        </w:rPr>
        <w:t>o find</w:t>
      </w:r>
      <w:r w:rsidR="00793EC1" w:rsidRPr="00793EC1">
        <w:rPr>
          <w:rFonts w:ascii="Times New Roman" w:hAnsi="Times New Roman" w:cs="Times New Roman"/>
          <w:sz w:val="24"/>
          <w:szCs w:val="24"/>
        </w:rPr>
        <w:t xml:space="preserve"> the trends and growth of public expenditure on education</w:t>
      </w:r>
      <w:r w:rsidR="00255574">
        <w:rPr>
          <w:rFonts w:ascii="Times New Roman" w:hAnsi="Times New Roman" w:cs="Times New Roman"/>
          <w:sz w:val="24"/>
          <w:szCs w:val="24"/>
        </w:rPr>
        <w:t>.</w:t>
      </w:r>
    </w:p>
    <w:p w:rsidR="009C2AFE" w:rsidRPr="00793EC1" w:rsidRDefault="006950C2" w:rsidP="00793EC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93EC1">
        <w:rPr>
          <w:rFonts w:ascii="Times New Roman" w:hAnsi="Times New Roman" w:cs="Times New Roman"/>
          <w:sz w:val="24"/>
          <w:szCs w:val="24"/>
        </w:rPr>
        <w:t>To</w:t>
      </w:r>
      <w:r w:rsidR="00793EC1" w:rsidRPr="00793EC1">
        <w:rPr>
          <w:rFonts w:ascii="Times New Roman" w:hAnsi="Times New Roman" w:cs="Times New Roman"/>
          <w:sz w:val="24"/>
          <w:szCs w:val="24"/>
        </w:rPr>
        <w:t xml:space="preserve"> know the changing P</w:t>
      </w:r>
      <w:r w:rsidR="0029218F" w:rsidRPr="00793EC1">
        <w:rPr>
          <w:rFonts w:ascii="Times New Roman" w:hAnsi="Times New Roman" w:cs="Times New Roman"/>
          <w:sz w:val="24"/>
          <w:szCs w:val="24"/>
        </w:rPr>
        <w:t>attern</w:t>
      </w:r>
      <w:r w:rsidR="00793EC1">
        <w:rPr>
          <w:rFonts w:ascii="Times New Roman" w:hAnsi="Times New Roman" w:cs="Times New Roman"/>
          <w:sz w:val="24"/>
          <w:szCs w:val="24"/>
        </w:rPr>
        <w:t>s</w:t>
      </w:r>
      <w:r w:rsidR="0029218F" w:rsidRPr="00793EC1">
        <w:rPr>
          <w:rFonts w:ascii="Times New Roman" w:hAnsi="Times New Roman" w:cs="Times New Roman"/>
          <w:sz w:val="24"/>
          <w:szCs w:val="24"/>
        </w:rPr>
        <w:t xml:space="preserve"> of gov</w:t>
      </w:r>
      <w:r w:rsidR="00BC6AD4" w:rsidRPr="00793EC1">
        <w:rPr>
          <w:rFonts w:ascii="Times New Roman" w:hAnsi="Times New Roman" w:cs="Times New Roman"/>
          <w:sz w:val="24"/>
          <w:szCs w:val="24"/>
        </w:rPr>
        <w:t>ernment expenditure</w:t>
      </w:r>
      <w:r w:rsidR="00255574">
        <w:rPr>
          <w:rFonts w:ascii="Times New Roman" w:hAnsi="Times New Roman" w:cs="Times New Roman"/>
          <w:sz w:val="24"/>
          <w:szCs w:val="24"/>
        </w:rPr>
        <w:t xml:space="preserve"> at</w:t>
      </w:r>
      <w:r w:rsidR="001631D6">
        <w:rPr>
          <w:rFonts w:ascii="Times New Roman" w:hAnsi="Times New Roman" w:cs="Times New Roman"/>
          <w:sz w:val="24"/>
          <w:szCs w:val="24"/>
        </w:rPr>
        <w:t xml:space="preserve"> different components</w:t>
      </w:r>
      <w:r w:rsidR="00BC6AD4" w:rsidRPr="00793EC1">
        <w:rPr>
          <w:rFonts w:ascii="Times New Roman" w:hAnsi="Times New Roman" w:cs="Times New Roman"/>
          <w:sz w:val="24"/>
          <w:szCs w:val="24"/>
        </w:rPr>
        <w:t xml:space="preserve"> </w:t>
      </w:r>
      <w:r w:rsidR="001631D6">
        <w:rPr>
          <w:rFonts w:ascii="Times New Roman" w:hAnsi="Times New Roman" w:cs="Times New Roman"/>
          <w:sz w:val="24"/>
          <w:szCs w:val="24"/>
        </w:rPr>
        <w:t>of public expenditure on education</w:t>
      </w:r>
      <w:r w:rsidR="00BB4C8C" w:rsidRPr="00793EC1">
        <w:rPr>
          <w:rFonts w:ascii="Times New Roman" w:hAnsi="Times New Roman" w:cs="Times New Roman"/>
          <w:sz w:val="24"/>
          <w:szCs w:val="24"/>
        </w:rPr>
        <w:t xml:space="preserve"> education.</w:t>
      </w:r>
    </w:p>
    <w:p w:rsidR="00F123C2" w:rsidRPr="007E4F08" w:rsidRDefault="00F123C2" w:rsidP="007E4F0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7E4F08">
        <w:rPr>
          <w:rFonts w:ascii="Times New Roman" w:hAnsi="Times New Roman" w:cs="Times New Roman"/>
          <w:sz w:val="24"/>
          <w:szCs w:val="24"/>
        </w:rPr>
        <w:t xml:space="preserve">To </w:t>
      </w:r>
      <w:r w:rsidR="001631D6">
        <w:rPr>
          <w:rFonts w:ascii="Times New Roman" w:hAnsi="Times New Roman" w:cs="Times New Roman"/>
          <w:sz w:val="24"/>
          <w:szCs w:val="24"/>
        </w:rPr>
        <w:t xml:space="preserve">know the level and trends </w:t>
      </w:r>
      <w:r w:rsidR="003A0026">
        <w:rPr>
          <w:rFonts w:ascii="Times New Roman" w:hAnsi="Times New Roman" w:cs="Times New Roman"/>
          <w:sz w:val="24"/>
          <w:szCs w:val="24"/>
        </w:rPr>
        <w:t>of intra</w:t>
      </w:r>
      <w:r w:rsidR="001E46E9">
        <w:rPr>
          <w:rFonts w:ascii="Times New Roman" w:hAnsi="Times New Roman" w:cs="Times New Roman"/>
          <w:sz w:val="24"/>
          <w:szCs w:val="24"/>
        </w:rPr>
        <w:t>-</w:t>
      </w:r>
      <w:r w:rsidR="008233BE">
        <w:rPr>
          <w:rFonts w:ascii="Times New Roman" w:hAnsi="Times New Roman" w:cs="Times New Roman"/>
          <w:sz w:val="24"/>
          <w:szCs w:val="24"/>
        </w:rPr>
        <w:t xml:space="preserve"> sect</w:t>
      </w:r>
      <w:r w:rsidR="00496502">
        <w:rPr>
          <w:rFonts w:ascii="Times New Roman" w:hAnsi="Times New Roman" w:cs="Times New Roman"/>
          <w:sz w:val="24"/>
          <w:szCs w:val="24"/>
        </w:rPr>
        <w:t>oral allocation of P</w:t>
      </w:r>
      <w:r w:rsidR="001631D6">
        <w:rPr>
          <w:rFonts w:ascii="Times New Roman" w:hAnsi="Times New Roman" w:cs="Times New Roman"/>
          <w:sz w:val="24"/>
          <w:szCs w:val="24"/>
        </w:rPr>
        <w:t xml:space="preserve">ublic </w:t>
      </w:r>
      <w:r w:rsidR="003A0026">
        <w:rPr>
          <w:rFonts w:ascii="Times New Roman" w:hAnsi="Times New Roman" w:cs="Times New Roman"/>
          <w:sz w:val="24"/>
          <w:szCs w:val="24"/>
        </w:rPr>
        <w:t>expenditure.</w:t>
      </w:r>
    </w:p>
    <w:p w:rsidR="00793EC1" w:rsidRDefault="00B04440" w:rsidP="00740DD8">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Methodology</w:t>
      </w:r>
      <w:r w:rsidR="00793EC1">
        <w:rPr>
          <w:rFonts w:ascii="Times New Roman" w:hAnsi="Times New Roman" w:cs="Times New Roman"/>
          <w:b/>
          <w:sz w:val="24"/>
          <w:szCs w:val="24"/>
        </w:rPr>
        <w:t>.</w:t>
      </w:r>
      <w:proofErr w:type="gramEnd"/>
    </w:p>
    <w:p w:rsidR="00740DD8" w:rsidRDefault="00B04440" w:rsidP="00740D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The </w:t>
      </w:r>
      <w:r w:rsidR="00793EC1" w:rsidRPr="00793EC1">
        <w:rPr>
          <w:rFonts w:ascii="Times New Roman" w:hAnsi="Times New Roman" w:cs="Times New Roman"/>
          <w:sz w:val="24"/>
          <w:szCs w:val="24"/>
        </w:rPr>
        <w:t>Study</w:t>
      </w:r>
      <w:r>
        <w:rPr>
          <w:rFonts w:ascii="Times New Roman" w:hAnsi="Times New Roman" w:cs="Times New Roman"/>
          <w:sz w:val="24"/>
          <w:szCs w:val="24"/>
        </w:rPr>
        <w:t xml:space="preserve"> </w:t>
      </w:r>
      <w:r w:rsidR="001D6890" w:rsidRPr="00793EC1">
        <w:rPr>
          <w:rFonts w:ascii="Times New Roman" w:hAnsi="Times New Roman" w:cs="Times New Roman"/>
          <w:sz w:val="24"/>
          <w:szCs w:val="24"/>
        </w:rPr>
        <w:t>covers</w:t>
      </w:r>
      <w:r w:rsidR="00F123C2">
        <w:rPr>
          <w:rFonts w:ascii="Times New Roman" w:hAnsi="Times New Roman" w:cs="Times New Roman"/>
          <w:b/>
          <w:sz w:val="24"/>
          <w:szCs w:val="24"/>
        </w:rPr>
        <w:t xml:space="preserve"> </w:t>
      </w:r>
      <w:r w:rsidR="00793EC1">
        <w:rPr>
          <w:rFonts w:ascii="Times New Roman" w:hAnsi="Times New Roman" w:cs="Times New Roman"/>
          <w:sz w:val="24"/>
          <w:szCs w:val="24"/>
        </w:rPr>
        <w:t xml:space="preserve">the period </w:t>
      </w:r>
      <w:r w:rsidR="00AE5505">
        <w:rPr>
          <w:rFonts w:ascii="Times New Roman" w:hAnsi="Times New Roman" w:cs="Times New Roman"/>
          <w:sz w:val="24"/>
          <w:szCs w:val="24"/>
        </w:rPr>
        <w:t>2000-01</w:t>
      </w:r>
      <w:r w:rsidR="00F123C2">
        <w:rPr>
          <w:rFonts w:ascii="Times New Roman" w:hAnsi="Times New Roman" w:cs="Times New Roman"/>
          <w:sz w:val="24"/>
          <w:szCs w:val="24"/>
        </w:rPr>
        <w:t xml:space="preserve"> to 2</w:t>
      </w:r>
      <w:r w:rsidR="00A6384D">
        <w:rPr>
          <w:rFonts w:ascii="Times New Roman" w:hAnsi="Times New Roman" w:cs="Times New Roman"/>
          <w:sz w:val="24"/>
          <w:szCs w:val="24"/>
        </w:rPr>
        <w:t>013-14</w:t>
      </w:r>
      <w:r w:rsidR="00600AA5">
        <w:rPr>
          <w:rFonts w:ascii="Times New Roman" w:hAnsi="Times New Roman" w:cs="Times New Roman"/>
          <w:b/>
          <w:sz w:val="24"/>
          <w:szCs w:val="24"/>
        </w:rPr>
        <w:t xml:space="preserve"> </w:t>
      </w:r>
      <w:r w:rsidR="00600AA5">
        <w:rPr>
          <w:rFonts w:ascii="Times New Roman" w:hAnsi="Times New Roman" w:cs="Times New Roman"/>
          <w:sz w:val="24"/>
          <w:szCs w:val="24"/>
        </w:rPr>
        <w:t>and</w:t>
      </w:r>
      <w:r w:rsidR="00793EC1">
        <w:rPr>
          <w:rFonts w:ascii="Times New Roman" w:hAnsi="Times New Roman" w:cs="Times New Roman"/>
          <w:sz w:val="24"/>
          <w:szCs w:val="24"/>
        </w:rPr>
        <w:t xml:space="preserve"> primarily </w:t>
      </w:r>
      <w:r w:rsidR="007E4F08">
        <w:rPr>
          <w:rFonts w:ascii="Times New Roman" w:hAnsi="Times New Roman" w:cs="Times New Roman"/>
          <w:sz w:val="24"/>
          <w:szCs w:val="24"/>
        </w:rPr>
        <w:t>base</w:t>
      </w:r>
      <w:r w:rsidR="00600AA5">
        <w:rPr>
          <w:rFonts w:ascii="Times New Roman" w:hAnsi="Times New Roman" w:cs="Times New Roman"/>
          <w:sz w:val="24"/>
          <w:szCs w:val="24"/>
        </w:rPr>
        <w:t xml:space="preserve"> on secondary</w:t>
      </w:r>
      <w:r w:rsidR="00A6384D">
        <w:rPr>
          <w:rFonts w:ascii="Times New Roman" w:hAnsi="Times New Roman" w:cs="Times New Roman"/>
          <w:sz w:val="24"/>
          <w:szCs w:val="24"/>
        </w:rPr>
        <w:t xml:space="preserve"> data </w:t>
      </w:r>
      <w:r w:rsidR="0094759C">
        <w:rPr>
          <w:rFonts w:ascii="Times New Roman" w:hAnsi="Times New Roman" w:cs="Times New Roman"/>
          <w:sz w:val="24"/>
          <w:szCs w:val="24"/>
        </w:rPr>
        <w:t>collected from</w:t>
      </w:r>
      <w:r w:rsidR="00E16090">
        <w:rPr>
          <w:rFonts w:ascii="Times New Roman" w:hAnsi="Times New Roman" w:cs="Times New Roman"/>
          <w:sz w:val="24"/>
          <w:szCs w:val="24"/>
        </w:rPr>
        <w:t xml:space="preserve"> budgetary</w:t>
      </w:r>
      <w:r w:rsidR="00A6384D">
        <w:rPr>
          <w:rFonts w:ascii="Times New Roman" w:hAnsi="Times New Roman" w:cs="Times New Roman"/>
          <w:sz w:val="24"/>
          <w:szCs w:val="24"/>
        </w:rPr>
        <w:t xml:space="preserve"> A</w:t>
      </w:r>
      <w:r w:rsidR="00E16090">
        <w:rPr>
          <w:rFonts w:ascii="Times New Roman" w:hAnsi="Times New Roman" w:cs="Times New Roman"/>
          <w:sz w:val="24"/>
          <w:szCs w:val="24"/>
        </w:rPr>
        <w:t>nalysis of G</w:t>
      </w:r>
      <w:r w:rsidR="00F123C2">
        <w:rPr>
          <w:rFonts w:ascii="Times New Roman" w:hAnsi="Times New Roman" w:cs="Times New Roman"/>
          <w:sz w:val="24"/>
          <w:szCs w:val="24"/>
        </w:rPr>
        <w:t>ovt expenditure (Ministry</w:t>
      </w:r>
      <w:r w:rsidR="00663591">
        <w:rPr>
          <w:rFonts w:ascii="Times New Roman" w:hAnsi="Times New Roman" w:cs="Times New Roman"/>
          <w:sz w:val="24"/>
          <w:szCs w:val="24"/>
        </w:rPr>
        <w:t xml:space="preserve"> of Human Resource D</w:t>
      </w:r>
      <w:r w:rsidR="008233BE">
        <w:rPr>
          <w:rFonts w:ascii="Times New Roman" w:hAnsi="Times New Roman" w:cs="Times New Roman"/>
          <w:sz w:val="24"/>
          <w:szCs w:val="24"/>
        </w:rPr>
        <w:t>evelopment G</w:t>
      </w:r>
      <w:r w:rsidR="00740DD8">
        <w:rPr>
          <w:rFonts w:ascii="Times New Roman" w:hAnsi="Times New Roman" w:cs="Times New Roman"/>
          <w:sz w:val="24"/>
          <w:szCs w:val="24"/>
        </w:rPr>
        <w:t xml:space="preserve">overnment of </w:t>
      </w:r>
      <w:r w:rsidR="00663591">
        <w:rPr>
          <w:rFonts w:ascii="Times New Roman" w:hAnsi="Times New Roman" w:cs="Times New Roman"/>
          <w:sz w:val="24"/>
          <w:szCs w:val="24"/>
        </w:rPr>
        <w:t>India</w:t>
      </w:r>
      <w:r w:rsidR="00F123C2">
        <w:rPr>
          <w:rFonts w:ascii="Times New Roman" w:hAnsi="Times New Roman" w:cs="Times New Roman"/>
          <w:sz w:val="24"/>
          <w:szCs w:val="24"/>
        </w:rPr>
        <w:t>)</w:t>
      </w:r>
      <w:r w:rsidR="008233BE">
        <w:rPr>
          <w:rFonts w:ascii="Times New Roman" w:hAnsi="Times New Roman" w:cs="Times New Roman"/>
          <w:sz w:val="24"/>
          <w:szCs w:val="24"/>
        </w:rPr>
        <w:t>.</w:t>
      </w:r>
      <w:r w:rsidR="0094759C">
        <w:rPr>
          <w:rFonts w:ascii="Times New Roman" w:hAnsi="Times New Roman" w:cs="Times New Roman"/>
          <w:sz w:val="24"/>
          <w:szCs w:val="24"/>
        </w:rPr>
        <w:t xml:space="preserve"> </w:t>
      </w:r>
      <w:r w:rsidR="00663591">
        <w:rPr>
          <w:rFonts w:ascii="Times New Roman" w:hAnsi="Times New Roman" w:cs="Times New Roman"/>
          <w:sz w:val="24"/>
          <w:szCs w:val="24"/>
        </w:rPr>
        <w:t>D</w:t>
      </w:r>
      <w:r w:rsidR="00740DD8">
        <w:rPr>
          <w:rFonts w:ascii="Times New Roman" w:hAnsi="Times New Roman" w:cs="Times New Roman"/>
          <w:sz w:val="24"/>
          <w:szCs w:val="24"/>
        </w:rPr>
        <w:t xml:space="preserve">ata is </w:t>
      </w:r>
      <w:r w:rsidR="00E16090">
        <w:rPr>
          <w:rFonts w:ascii="Times New Roman" w:hAnsi="Times New Roman" w:cs="Times New Roman"/>
          <w:sz w:val="24"/>
          <w:szCs w:val="24"/>
        </w:rPr>
        <w:t>also obtained from U</w:t>
      </w:r>
      <w:r w:rsidR="00663591">
        <w:rPr>
          <w:rFonts w:ascii="Times New Roman" w:hAnsi="Times New Roman" w:cs="Times New Roman"/>
          <w:sz w:val="24"/>
          <w:szCs w:val="24"/>
        </w:rPr>
        <w:t>niversity Grant C</w:t>
      </w:r>
      <w:r w:rsidR="00740DD8">
        <w:rPr>
          <w:rFonts w:ascii="Times New Roman" w:hAnsi="Times New Roman" w:cs="Times New Roman"/>
          <w:sz w:val="24"/>
          <w:szCs w:val="24"/>
        </w:rPr>
        <w:t>ommission</w:t>
      </w:r>
      <w:r w:rsidR="00E16090">
        <w:rPr>
          <w:rFonts w:ascii="Times New Roman" w:hAnsi="Times New Roman" w:cs="Times New Roman"/>
          <w:sz w:val="24"/>
          <w:szCs w:val="24"/>
        </w:rPr>
        <w:t xml:space="preserve"> (UGC)</w:t>
      </w:r>
      <w:r w:rsidR="00740DD8">
        <w:rPr>
          <w:rFonts w:ascii="Times New Roman" w:hAnsi="Times New Roman" w:cs="Times New Roman"/>
          <w:sz w:val="24"/>
          <w:szCs w:val="24"/>
        </w:rPr>
        <w:t xml:space="preserve"> annual reports</w:t>
      </w:r>
      <w:r w:rsidR="00793EC1">
        <w:rPr>
          <w:rFonts w:ascii="Times New Roman" w:hAnsi="Times New Roman" w:cs="Times New Roman"/>
          <w:sz w:val="24"/>
          <w:szCs w:val="24"/>
        </w:rPr>
        <w:t xml:space="preserve">. The </w:t>
      </w:r>
      <w:r w:rsidR="00F123C2">
        <w:rPr>
          <w:rFonts w:ascii="Times New Roman" w:hAnsi="Times New Roman" w:cs="Times New Roman"/>
          <w:sz w:val="24"/>
          <w:szCs w:val="24"/>
        </w:rPr>
        <w:t xml:space="preserve">research tools and </w:t>
      </w:r>
      <w:r w:rsidR="0074248E">
        <w:rPr>
          <w:rFonts w:ascii="Times New Roman" w:hAnsi="Times New Roman" w:cs="Times New Roman"/>
          <w:sz w:val="24"/>
          <w:szCs w:val="24"/>
        </w:rPr>
        <w:t>concepts</w:t>
      </w:r>
      <w:r w:rsidR="00793EC1">
        <w:rPr>
          <w:rFonts w:ascii="Times New Roman" w:hAnsi="Times New Roman" w:cs="Times New Roman"/>
          <w:sz w:val="24"/>
          <w:szCs w:val="24"/>
        </w:rPr>
        <w:t xml:space="preserve"> used for the study </w:t>
      </w:r>
      <w:r w:rsidR="00F5174A">
        <w:rPr>
          <w:rFonts w:ascii="Times New Roman" w:hAnsi="Times New Roman" w:cs="Times New Roman"/>
          <w:sz w:val="24"/>
          <w:szCs w:val="24"/>
        </w:rPr>
        <w:t>include percentage</w:t>
      </w:r>
      <w:r w:rsidR="00057B36">
        <w:rPr>
          <w:rFonts w:ascii="Times New Roman" w:hAnsi="Times New Roman" w:cs="Times New Roman"/>
          <w:sz w:val="24"/>
          <w:szCs w:val="24"/>
        </w:rPr>
        <w:t>, growth rate</w:t>
      </w:r>
      <w:r w:rsidR="00BB00FC">
        <w:rPr>
          <w:rFonts w:ascii="Times New Roman" w:hAnsi="Times New Roman" w:cs="Times New Roman"/>
          <w:sz w:val="24"/>
          <w:szCs w:val="24"/>
        </w:rPr>
        <w:t xml:space="preserve"> </w:t>
      </w:r>
      <w:r w:rsidR="00F5174A">
        <w:rPr>
          <w:rFonts w:ascii="Times New Roman" w:hAnsi="Times New Roman" w:cs="Times New Roman"/>
          <w:sz w:val="24"/>
          <w:szCs w:val="24"/>
        </w:rPr>
        <w:t>etc.</w:t>
      </w:r>
    </w:p>
    <w:p w:rsidR="00E16090" w:rsidRDefault="00A6384D" w:rsidP="00A6384D">
      <w:pPr>
        <w:autoSpaceDE w:val="0"/>
        <w:autoSpaceDN w:val="0"/>
        <w:adjustRightInd w:val="0"/>
        <w:spacing w:after="0" w:line="240" w:lineRule="auto"/>
        <w:ind w:right="-188"/>
        <w:rPr>
          <w:rFonts w:ascii="Times New Roman" w:hAnsi="Times New Roman" w:cs="Times New Roman"/>
          <w:b/>
          <w:sz w:val="24"/>
          <w:szCs w:val="24"/>
        </w:rPr>
      </w:pPr>
      <w:r>
        <w:rPr>
          <w:rFonts w:ascii="Times New Roman" w:hAnsi="Times New Roman" w:cs="Times New Roman"/>
          <w:b/>
          <w:sz w:val="24"/>
          <w:szCs w:val="24"/>
        </w:rPr>
        <w:t>Review of literature</w:t>
      </w:r>
    </w:p>
    <w:p w:rsidR="007E67BE" w:rsidRPr="00204581" w:rsidRDefault="00600AA5" w:rsidP="007E67BE">
      <w:pPr>
        <w:autoSpaceDE w:val="0"/>
        <w:autoSpaceDN w:val="0"/>
        <w:adjustRightInd w:val="0"/>
        <w:spacing w:after="0" w:line="240" w:lineRule="auto"/>
        <w:rPr>
          <w:rFonts w:ascii="Times New Roman" w:hAnsi="Times New Roman" w:cs="Times New Roman"/>
        </w:rPr>
      </w:pPr>
      <w:r w:rsidRPr="00B04440">
        <w:rPr>
          <w:rFonts w:ascii="Times New Roman" w:hAnsi="Times New Roman" w:cs="Times New Roman"/>
          <w:sz w:val="24"/>
          <w:szCs w:val="24"/>
        </w:rPr>
        <w:t>There have b</w:t>
      </w:r>
      <w:r w:rsidR="00F5174A" w:rsidRPr="00B04440">
        <w:rPr>
          <w:rFonts w:ascii="Times New Roman" w:hAnsi="Times New Roman" w:cs="Times New Roman"/>
          <w:sz w:val="24"/>
          <w:szCs w:val="24"/>
        </w:rPr>
        <w:t>een several studies on expenditure on education</w:t>
      </w:r>
      <w:r w:rsidRPr="00B04440">
        <w:rPr>
          <w:rFonts w:ascii="Times New Roman" w:hAnsi="Times New Roman" w:cs="Times New Roman"/>
          <w:sz w:val="24"/>
          <w:szCs w:val="24"/>
        </w:rPr>
        <w:t xml:space="preserve"> in recent times which provide</w:t>
      </w:r>
      <w:r w:rsidR="00F5174A" w:rsidRPr="00B04440">
        <w:rPr>
          <w:rFonts w:ascii="Times New Roman" w:hAnsi="Times New Roman" w:cs="Times New Roman"/>
          <w:sz w:val="24"/>
          <w:szCs w:val="24"/>
        </w:rPr>
        <w:t xml:space="preserve"> valuable inputs to this paper</w:t>
      </w:r>
      <w:r w:rsidR="00B04440">
        <w:rPr>
          <w:rFonts w:ascii="Times New Roman" w:hAnsi="Times New Roman" w:cs="Times New Roman"/>
          <w:sz w:val="24"/>
          <w:szCs w:val="24"/>
        </w:rPr>
        <w:t>.</w:t>
      </w:r>
      <w:r w:rsidR="00DE0AA0">
        <w:rPr>
          <w:rFonts w:ascii="Times New Roman" w:hAnsi="Times New Roman" w:cs="Times New Roman"/>
          <w:sz w:val="24"/>
          <w:szCs w:val="24"/>
        </w:rPr>
        <w:t xml:space="preserve"> Important among them are:-</w:t>
      </w:r>
    </w:p>
    <w:p w:rsidR="00343EE2" w:rsidRDefault="00600AA5" w:rsidP="00BD6DC3">
      <w:pPr>
        <w:autoSpaceDE w:val="0"/>
        <w:autoSpaceDN w:val="0"/>
        <w:adjustRightInd w:val="0"/>
        <w:spacing w:after="0" w:line="240" w:lineRule="auto"/>
        <w:jc w:val="both"/>
        <w:rPr>
          <w:rFonts w:ascii="Times New Roman" w:hAnsi="Times New Roman" w:cs="Times New Roman"/>
          <w:sz w:val="24"/>
          <w:szCs w:val="24"/>
        </w:rPr>
      </w:pPr>
      <w:r w:rsidRPr="00BA47B6">
        <w:rPr>
          <w:rFonts w:ascii="Times New Roman" w:hAnsi="Times New Roman" w:cs="Times New Roman"/>
          <w:b/>
          <w:bCs/>
          <w:sz w:val="24"/>
          <w:szCs w:val="24"/>
        </w:rPr>
        <w:t xml:space="preserve">Anuradha De and </w:t>
      </w:r>
      <w:r w:rsidR="00F5174A" w:rsidRPr="00BA47B6">
        <w:rPr>
          <w:rFonts w:ascii="Times New Roman" w:hAnsi="Times New Roman" w:cs="Times New Roman"/>
          <w:b/>
          <w:bCs/>
          <w:sz w:val="24"/>
          <w:szCs w:val="24"/>
        </w:rPr>
        <w:t>-</w:t>
      </w:r>
      <w:r w:rsidRPr="00BA47B6">
        <w:rPr>
          <w:rFonts w:ascii="Times New Roman" w:hAnsi="Times New Roman" w:cs="Times New Roman"/>
          <w:b/>
          <w:bCs/>
          <w:sz w:val="24"/>
          <w:szCs w:val="24"/>
        </w:rPr>
        <w:t>etal (2008</w:t>
      </w:r>
      <w:r w:rsidRPr="00BA47B6">
        <w:rPr>
          <w:rFonts w:ascii="Times New Roman" w:hAnsi="Times New Roman" w:cs="Times New Roman"/>
          <w:bCs/>
          <w:sz w:val="24"/>
          <w:szCs w:val="24"/>
        </w:rPr>
        <w:t>) in their</w:t>
      </w:r>
      <w:r w:rsidRPr="00BA47B6">
        <w:rPr>
          <w:rFonts w:ascii="Times New Roman" w:hAnsi="Times New Roman" w:cs="Times New Roman"/>
          <w:b/>
          <w:bCs/>
          <w:sz w:val="24"/>
          <w:szCs w:val="24"/>
        </w:rPr>
        <w:t xml:space="preserve"> </w:t>
      </w:r>
      <w:r w:rsidRPr="00BA47B6">
        <w:rPr>
          <w:rFonts w:ascii="Times New Roman" w:hAnsi="Times New Roman" w:cs="Times New Roman"/>
          <w:bCs/>
          <w:sz w:val="24"/>
          <w:szCs w:val="24"/>
        </w:rPr>
        <w:t>working paper on the title</w:t>
      </w:r>
      <w:r w:rsidRPr="00BA47B6">
        <w:rPr>
          <w:rFonts w:ascii="Times New Roman" w:hAnsi="Times New Roman" w:cs="Times New Roman"/>
          <w:b/>
          <w:bCs/>
          <w:sz w:val="24"/>
          <w:szCs w:val="24"/>
        </w:rPr>
        <w:t xml:space="preserve"> </w:t>
      </w:r>
      <w:r w:rsidR="0057281A">
        <w:rPr>
          <w:rFonts w:ascii="Times New Roman" w:hAnsi="Times New Roman" w:cs="Times New Roman"/>
          <w:b/>
          <w:bCs/>
          <w:sz w:val="24"/>
          <w:szCs w:val="24"/>
        </w:rPr>
        <w:t>“</w:t>
      </w:r>
      <w:r w:rsidRPr="00BA47B6">
        <w:rPr>
          <w:rFonts w:ascii="Times New Roman" w:hAnsi="Times New Roman" w:cs="Times New Roman"/>
          <w:bCs/>
          <w:sz w:val="24"/>
          <w:szCs w:val="24"/>
        </w:rPr>
        <w:t>Public Expenditure on Education</w:t>
      </w:r>
      <w:r w:rsidRPr="00BA47B6">
        <w:rPr>
          <w:rFonts w:ascii="Times New Roman" w:hAnsi="Times New Roman" w:cs="Times New Roman"/>
          <w:b/>
          <w:bCs/>
          <w:sz w:val="24"/>
          <w:szCs w:val="24"/>
        </w:rPr>
        <w:t xml:space="preserve"> </w:t>
      </w:r>
      <w:r w:rsidRPr="00BA47B6">
        <w:rPr>
          <w:rFonts w:ascii="Times New Roman" w:hAnsi="Times New Roman" w:cs="Times New Roman"/>
          <w:bCs/>
          <w:sz w:val="24"/>
          <w:szCs w:val="24"/>
        </w:rPr>
        <w:t>in India</w:t>
      </w:r>
      <w:r w:rsidR="0057281A">
        <w:rPr>
          <w:rFonts w:ascii="Times New Roman" w:hAnsi="Times New Roman" w:cs="Times New Roman"/>
          <w:bCs/>
          <w:sz w:val="24"/>
          <w:szCs w:val="24"/>
        </w:rPr>
        <w:t>,</w:t>
      </w:r>
      <w:r w:rsidRPr="00BA47B6">
        <w:rPr>
          <w:rFonts w:ascii="Times New Roman" w:hAnsi="Times New Roman" w:cs="Times New Roman"/>
          <w:bCs/>
          <w:sz w:val="24"/>
          <w:szCs w:val="24"/>
        </w:rPr>
        <w:t xml:space="preserve"> Recent Trends and Outcomes</w:t>
      </w:r>
      <w:r w:rsidR="0057281A">
        <w:rPr>
          <w:rFonts w:ascii="Times New Roman" w:hAnsi="Times New Roman" w:cs="Times New Roman"/>
          <w:b/>
          <w:bCs/>
          <w:sz w:val="24"/>
          <w:szCs w:val="24"/>
        </w:rPr>
        <w:t>”</w:t>
      </w:r>
      <w:r w:rsidRPr="00BA47B6">
        <w:rPr>
          <w:rFonts w:ascii="Times New Roman" w:hAnsi="Times New Roman" w:cs="Times New Roman"/>
          <w:sz w:val="24"/>
          <w:szCs w:val="24"/>
        </w:rPr>
        <w:t xml:space="preserve"> found that public expenditure on education in current prices has been growing at the compound annual growth rate (CAGR) of 13.5 per cent p.a. for the period 1990-91 to 2003-04 the rate of growth has slowed down in the present decade</w:t>
      </w:r>
      <w:r w:rsidR="0057281A">
        <w:rPr>
          <w:rFonts w:ascii="Times New Roman" w:hAnsi="Times New Roman" w:cs="Times New Roman"/>
          <w:sz w:val="24"/>
          <w:szCs w:val="24"/>
        </w:rPr>
        <w:t>.</w:t>
      </w:r>
      <w:r w:rsidRPr="00BA47B6">
        <w:rPr>
          <w:rFonts w:ascii="Times New Roman" w:hAnsi="Times New Roman" w:cs="Times New Roman"/>
          <w:sz w:val="24"/>
          <w:szCs w:val="24"/>
        </w:rPr>
        <w:t xml:space="preserve"> Moreover their study indicates that expenditure in constant prices shows a much lower CAGR of only 6.5 percent for the same period. Though the expenditure has almost doubled between 1990-01 to 2000-01,</w:t>
      </w:r>
      <w:r w:rsidR="0057281A">
        <w:rPr>
          <w:rFonts w:ascii="Times New Roman" w:hAnsi="Times New Roman" w:cs="Times New Roman"/>
          <w:sz w:val="24"/>
          <w:szCs w:val="24"/>
        </w:rPr>
        <w:t xml:space="preserve"> it had stagnated and even  </w:t>
      </w:r>
      <w:r w:rsidRPr="00BA47B6">
        <w:rPr>
          <w:rFonts w:ascii="Times New Roman" w:hAnsi="Times New Roman" w:cs="Times New Roman"/>
          <w:sz w:val="24"/>
          <w:szCs w:val="24"/>
        </w:rPr>
        <w:t xml:space="preserve"> decline since then</w:t>
      </w:r>
      <w:r w:rsidR="0057281A">
        <w:rPr>
          <w:rFonts w:ascii="Times New Roman" w:hAnsi="Times New Roman" w:cs="Times New Roman"/>
          <w:sz w:val="24"/>
          <w:szCs w:val="24"/>
        </w:rPr>
        <w:t>.</w:t>
      </w:r>
      <w:r w:rsidRPr="00BA47B6">
        <w:rPr>
          <w:rFonts w:ascii="Times New Roman" w:hAnsi="Times New Roman" w:cs="Times New Roman"/>
          <w:sz w:val="24"/>
          <w:szCs w:val="24"/>
        </w:rPr>
        <w:t xml:space="preserve">  As a proportion of GDP the share of public expenditure on education has been less than 4 per cent.</w:t>
      </w:r>
      <w:r w:rsidRPr="00BA47B6">
        <w:rPr>
          <w:rFonts w:ascii="Times New Roman" w:hAnsi="Times New Roman" w:cs="Times New Roman"/>
          <w:bCs/>
          <w:sz w:val="24"/>
          <w:szCs w:val="24"/>
        </w:rPr>
        <w:t xml:space="preserve"> </w:t>
      </w:r>
      <w:r w:rsidR="0057281A">
        <w:rPr>
          <w:rFonts w:ascii="Times New Roman" w:hAnsi="Times New Roman" w:cs="Times New Roman"/>
          <w:sz w:val="24"/>
          <w:szCs w:val="24"/>
        </w:rPr>
        <w:t xml:space="preserve"> T</w:t>
      </w:r>
      <w:r w:rsidRPr="00BA47B6">
        <w:rPr>
          <w:rFonts w:ascii="Times New Roman" w:hAnsi="Times New Roman" w:cs="Times New Roman"/>
          <w:sz w:val="24"/>
          <w:szCs w:val="24"/>
        </w:rPr>
        <w:t>here have been major changes in the composition and modaliti</w:t>
      </w:r>
      <w:r w:rsidR="00B04440" w:rsidRPr="00BA47B6">
        <w:rPr>
          <w:rFonts w:ascii="Times New Roman" w:hAnsi="Times New Roman" w:cs="Times New Roman"/>
          <w:sz w:val="24"/>
          <w:szCs w:val="24"/>
        </w:rPr>
        <w:t>es of expenditure on education.</w:t>
      </w:r>
      <w:r w:rsidR="004F7F0A" w:rsidRPr="00BA47B6">
        <w:rPr>
          <w:rFonts w:ascii="Times New Roman" w:hAnsi="Times New Roman" w:cs="Times New Roman"/>
          <w:sz w:val="24"/>
          <w:szCs w:val="24"/>
        </w:rPr>
        <w:t xml:space="preserve"> The analysis finds that the centre has been</w:t>
      </w:r>
      <w:r w:rsidR="00541E65">
        <w:rPr>
          <w:rFonts w:ascii="Times New Roman" w:hAnsi="Times New Roman" w:cs="Times New Roman"/>
          <w:sz w:val="24"/>
          <w:szCs w:val="24"/>
        </w:rPr>
        <w:t xml:space="preserve"> p</w:t>
      </w:r>
      <w:r w:rsidR="008233BE" w:rsidRPr="00BA47B6">
        <w:rPr>
          <w:rFonts w:ascii="Times New Roman" w:hAnsi="Times New Roman" w:cs="Times New Roman"/>
          <w:sz w:val="24"/>
          <w:szCs w:val="24"/>
        </w:rPr>
        <w:t>laying</w:t>
      </w:r>
      <w:r w:rsidR="004F7F0A" w:rsidRPr="00BA47B6">
        <w:rPr>
          <w:rFonts w:ascii="Times New Roman" w:hAnsi="Times New Roman" w:cs="Times New Roman"/>
          <w:sz w:val="24"/>
          <w:szCs w:val="24"/>
        </w:rPr>
        <w:t xml:space="preserve"> an increasingly important role in state education finance.</w:t>
      </w:r>
    </w:p>
    <w:p w:rsidR="00635639" w:rsidRPr="00343EE2" w:rsidRDefault="00635639" w:rsidP="00BD6DC3">
      <w:pPr>
        <w:autoSpaceDE w:val="0"/>
        <w:autoSpaceDN w:val="0"/>
        <w:adjustRightInd w:val="0"/>
        <w:spacing w:after="0" w:line="240" w:lineRule="auto"/>
        <w:jc w:val="both"/>
        <w:rPr>
          <w:rFonts w:ascii="Times New Roman" w:hAnsi="Times New Roman" w:cs="Times New Roman"/>
          <w:sz w:val="24"/>
          <w:szCs w:val="24"/>
        </w:rPr>
      </w:pPr>
      <w:r w:rsidRPr="00BD6DC3">
        <w:rPr>
          <w:rFonts w:ascii="Times New Roman" w:hAnsi="Times New Roman" w:cs="Times New Roman"/>
          <w:b/>
          <w:bCs/>
          <w:sz w:val="20"/>
          <w:szCs w:val="20"/>
        </w:rPr>
        <w:lastRenderedPageBreak/>
        <w:t>JANDHYALA B G TILAK</w:t>
      </w:r>
      <w:r w:rsidR="005E044E" w:rsidRPr="00630442">
        <w:rPr>
          <w:rFonts w:ascii="Times New Roman" w:hAnsi="Times New Roman" w:cs="Times New Roman"/>
          <w:b/>
          <w:bCs/>
          <w:sz w:val="24"/>
          <w:szCs w:val="24"/>
        </w:rPr>
        <w:t xml:space="preserve"> </w:t>
      </w:r>
      <w:r w:rsidR="005E044E" w:rsidRPr="00630442">
        <w:rPr>
          <w:rFonts w:ascii="Times New Roman" w:hAnsi="Times New Roman" w:cs="Times New Roman"/>
          <w:bCs/>
          <w:sz w:val="24"/>
          <w:szCs w:val="24"/>
        </w:rPr>
        <w:t>(2006) in his paper on the title</w:t>
      </w:r>
      <w:r w:rsidR="00250483" w:rsidRPr="00630442">
        <w:rPr>
          <w:rFonts w:ascii="Times New Roman" w:hAnsi="Times New Roman" w:cs="Times New Roman"/>
          <w:sz w:val="24"/>
          <w:szCs w:val="24"/>
        </w:rPr>
        <w:t xml:space="preserve"> </w:t>
      </w:r>
      <w:r w:rsidR="000248F4">
        <w:rPr>
          <w:rFonts w:ascii="Times New Roman" w:hAnsi="Times New Roman" w:cs="Times New Roman"/>
          <w:sz w:val="24"/>
          <w:szCs w:val="24"/>
        </w:rPr>
        <w:t>“</w:t>
      </w:r>
      <w:r w:rsidR="00F26B3D" w:rsidRPr="00630442">
        <w:rPr>
          <w:rFonts w:ascii="Times New Roman" w:hAnsi="Times New Roman" w:cs="Times New Roman"/>
          <w:sz w:val="24"/>
          <w:szCs w:val="24"/>
        </w:rPr>
        <w:t>On Allocating 6 Perc</w:t>
      </w:r>
      <w:r w:rsidR="00250483" w:rsidRPr="00630442">
        <w:rPr>
          <w:rFonts w:ascii="Times New Roman" w:hAnsi="Times New Roman" w:cs="Times New Roman"/>
          <w:sz w:val="24"/>
          <w:szCs w:val="24"/>
        </w:rPr>
        <w:t>ent</w:t>
      </w:r>
      <w:r w:rsidR="00F26B3D" w:rsidRPr="00630442">
        <w:rPr>
          <w:rFonts w:ascii="Times New Roman" w:hAnsi="Times New Roman" w:cs="Times New Roman"/>
          <w:sz w:val="24"/>
          <w:szCs w:val="24"/>
        </w:rPr>
        <w:t xml:space="preserve"> </w:t>
      </w:r>
      <w:r w:rsidR="00250483" w:rsidRPr="00630442">
        <w:rPr>
          <w:rFonts w:ascii="Times New Roman" w:hAnsi="Times New Roman" w:cs="Times New Roman"/>
          <w:sz w:val="24"/>
          <w:szCs w:val="24"/>
        </w:rPr>
        <w:t>of GDP to Education</w:t>
      </w:r>
      <w:r w:rsidR="000248F4">
        <w:rPr>
          <w:rFonts w:ascii="Times New Roman" w:hAnsi="Times New Roman" w:cs="Times New Roman"/>
          <w:sz w:val="24"/>
          <w:szCs w:val="24"/>
        </w:rPr>
        <w:t>”</w:t>
      </w:r>
      <w:r w:rsidR="00854938" w:rsidRPr="00630442">
        <w:rPr>
          <w:rFonts w:ascii="Times New Roman" w:hAnsi="Times New Roman" w:cs="Times New Roman"/>
          <w:sz w:val="24"/>
          <w:szCs w:val="24"/>
        </w:rPr>
        <w:t xml:space="preserve"> found </w:t>
      </w:r>
      <w:r w:rsidR="00BD6DC3" w:rsidRPr="00630442">
        <w:rPr>
          <w:rFonts w:ascii="Times New Roman" w:hAnsi="Times New Roman" w:cs="Times New Roman"/>
          <w:sz w:val="24"/>
          <w:szCs w:val="24"/>
        </w:rPr>
        <w:t>that under</w:t>
      </w:r>
      <w:r w:rsidR="00541E65">
        <w:rPr>
          <w:rFonts w:ascii="Times New Roman" w:hAnsi="Times New Roman" w:cs="Times New Roman"/>
          <w:sz w:val="24"/>
          <w:szCs w:val="24"/>
        </w:rPr>
        <w:t xml:space="preserve"> </w:t>
      </w:r>
      <w:r w:rsidR="00BD6DC3" w:rsidRPr="00630442">
        <w:rPr>
          <w:rFonts w:ascii="Times New Roman" w:hAnsi="Times New Roman" w:cs="Times New Roman"/>
          <w:sz w:val="24"/>
          <w:szCs w:val="24"/>
        </w:rPr>
        <w:t>investment</w:t>
      </w:r>
      <w:r w:rsidR="00630442" w:rsidRPr="00630442">
        <w:rPr>
          <w:rFonts w:ascii="Times New Roman" w:hAnsi="Times New Roman" w:cs="Times New Roman"/>
          <w:sz w:val="24"/>
          <w:szCs w:val="24"/>
        </w:rPr>
        <w:t xml:space="preserve"> in </w:t>
      </w:r>
      <w:r w:rsidR="00BA47B6" w:rsidRPr="00630442">
        <w:rPr>
          <w:rFonts w:ascii="Times New Roman" w:hAnsi="Times New Roman" w:cs="Times New Roman"/>
          <w:sz w:val="24"/>
          <w:szCs w:val="24"/>
        </w:rPr>
        <w:t>education is</w:t>
      </w:r>
      <w:r w:rsidR="00630442" w:rsidRPr="00630442">
        <w:rPr>
          <w:rFonts w:ascii="Times New Roman" w:hAnsi="Times New Roman" w:cs="Times New Roman"/>
          <w:sz w:val="24"/>
          <w:szCs w:val="24"/>
        </w:rPr>
        <w:t xml:space="preserve"> regarded as one of the main reasons for failure in realising our </w:t>
      </w:r>
      <w:r w:rsidR="00BA47B6" w:rsidRPr="00630442">
        <w:rPr>
          <w:rFonts w:ascii="Times New Roman" w:hAnsi="Times New Roman" w:cs="Times New Roman"/>
          <w:sz w:val="24"/>
          <w:szCs w:val="24"/>
        </w:rPr>
        <w:t>educational goals</w:t>
      </w:r>
      <w:r w:rsidR="00630442" w:rsidRPr="00630442">
        <w:rPr>
          <w:rFonts w:ascii="Times New Roman" w:hAnsi="Times New Roman" w:cs="Times New Roman"/>
          <w:sz w:val="24"/>
          <w:szCs w:val="24"/>
        </w:rPr>
        <w:t xml:space="preserve"> and targets. He </w:t>
      </w:r>
      <w:r w:rsidR="00BA47B6" w:rsidRPr="00630442">
        <w:rPr>
          <w:rFonts w:ascii="Times New Roman" w:hAnsi="Times New Roman" w:cs="Times New Roman"/>
          <w:sz w:val="24"/>
          <w:szCs w:val="24"/>
        </w:rPr>
        <w:t>concludes</w:t>
      </w:r>
      <w:r w:rsidR="00630442" w:rsidRPr="00630442">
        <w:rPr>
          <w:rFonts w:ascii="Times New Roman" w:hAnsi="Times New Roman" w:cs="Times New Roman"/>
          <w:sz w:val="24"/>
          <w:szCs w:val="24"/>
        </w:rPr>
        <w:t xml:space="preserve"> that </w:t>
      </w:r>
      <w:r w:rsidR="003F0877" w:rsidRPr="00630442">
        <w:rPr>
          <w:rFonts w:ascii="Times New Roman" w:hAnsi="Times New Roman" w:cs="Times New Roman"/>
          <w:sz w:val="24"/>
          <w:szCs w:val="24"/>
        </w:rPr>
        <w:t>allocation</w:t>
      </w:r>
      <w:r w:rsidR="00630442" w:rsidRPr="00630442">
        <w:rPr>
          <w:rFonts w:ascii="Times New Roman" w:hAnsi="Times New Roman" w:cs="Times New Roman"/>
          <w:sz w:val="24"/>
          <w:szCs w:val="24"/>
        </w:rPr>
        <w:t xml:space="preserve"> to education can be increased by reallocation resources from other sources or by raising more resources from the common pool of government funds or by both. </w:t>
      </w:r>
    </w:p>
    <w:p w:rsidR="00AE67EF" w:rsidRPr="00AE67EF" w:rsidRDefault="00B6076B" w:rsidP="00AE67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Public expenditure on e</w:t>
      </w:r>
      <w:r w:rsidR="00B10DB9" w:rsidRPr="00AB0B0F">
        <w:rPr>
          <w:rFonts w:ascii="Times New Roman" w:hAnsi="Times New Roman" w:cs="Times New Roman"/>
          <w:b/>
          <w:sz w:val="24"/>
          <w:szCs w:val="24"/>
        </w:rPr>
        <w:t>ducation i</w:t>
      </w:r>
      <w:r w:rsidR="00635639">
        <w:rPr>
          <w:rFonts w:ascii="Times New Roman" w:hAnsi="Times New Roman" w:cs="Times New Roman"/>
          <w:b/>
          <w:sz w:val="24"/>
          <w:szCs w:val="24"/>
        </w:rPr>
        <w:t>n</w:t>
      </w:r>
      <w:r w:rsidR="00635639" w:rsidRPr="00635639">
        <w:rPr>
          <w:rFonts w:ascii="Times New Roman" w:hAnsi="Times New Roman" w:cs="Times New Roman"/>
          <w:b/>
          <w:bCs/>
          <w:sz w:val="20"/>
          <w:szCs w:val="20"/>
        </w:rPr>
        <w:t xml:space="preserve"> </w:t>
      </w:r>
      <w:r w:rsidR="00B10DB9" w:rsidRPr="00AB0B0F">
        <w:rPr>
          <w:rFonts w:ascii="Times New Roman" w:hAnsi="Times New Roman" w:cs="Times New Roman"/>
          <w:b/>
          <w:sz w:val="24"/>
          <w:szCs w:val="24"/>
        </w:rPr>
        <w:t>India</w:t>
      </w:r>
      <w:r w:rsidR="00B10DB9">
        <w:rPr>
          <w:rFonts w:ascii="Times New Roman" w:hAnsi="Times New Roman" w:cs="Times New Roman"/>
          <w:b/>
          <w:sz w:val="28"/>
          <w:szCs w:val="28"/>
        </w:rPr>
        <w:t xml:space="preserve">. </w:t>
      </w:r>
      <w:r w:rsidR="00B10DB9" w:rsidRPr="00710B08">
        <w:rPr>
          <w:rFonts w:ascii="Times New Roman" w:hAnsi="Times New Roman" w:cs="Times New Roman"/>
          <w:b/>
          <w:sz w:val="24"/>
          <w:szCs w:val="24"/>
        </w:rPr>
        <w:t>Ce</w:t>
      </w:r>
      <w:r w:rsidR="008233BE">
        <w:rPr>
          <w:rFonts w:ascii="Times New Roman" w:hAnsi="Times New Roman" w:cs="Times New Roman"/>
          <w:sz w:val="24"/>
          <w:szCs w:val="24"/>
        </w:rPr>
        <w:t>ntre,</w:t>
      </w:r>
      <w:r w:rsidR="00ED7F81">
        <w:rPr>
          <w:rFonts w:ascii="Times New Roman" w:hAnsi="Times New Roman" w:cs="Times New Roman"/>
          <w:sz w:val="24"/>
          <w:szCs w:val="24"/>
        </w:rPr>
        <w:t xml:space="preserve"> S</w:t>
      </w:r>
      <w:r w:rsidR="00B10DB9" w:rsidRPr="00710B08">
        <w:rPr>
          <w:rFonts w:ascii="Times New Roman" w:hAnsi="Times New Roman" w:cs="Times New Roman"/>
          <w:sz w:val="24"/>
          <w:szCs w:val="24"/>
        </w:rPr>
        <w:t>tate</w:t>
      </w:r>
      <w:r w:rsidR="00ED7F81">
        <w:rPr>
          <w:rFonts w:ascii="Times New Roman" w:hAnsi="Times New Roman" w:cs="Times New Roman"/>
          <w:sz w:val="24"/>
          <w:szCs w:val="24"/>
        </w:rPr>
        <w:t xml:space="preserve"> and Union T</w:t>
      </w:r>
      <w:r w:rsidR="001539EF">
        <w:rPr>
          <w:rFonts w:ascii="Times New Roman" w:hAnsi="Times New Roman" w:cs="Times New Roman"/>
          <w:sz w:val="24"/>
          <w:szCs w:val="24"/>
        </w:rPr>
        <w:t>erritories</w:t>
      </w:r>
      <w:r w:rsidR="00B10DB9" w:rsidRPr="00710B08">
        <w:rPr>
          <w:rFonts w:ascii="Times New Roman" w:hAnsi="Times New Roman" w:cs="Times New Roman"/>
          <w:sz w:val="24"/>
          <w:szCs w:val="24"/>
        </w:rPr>
        <w:t xml:space="preserve"> government </w:t>
      </w:r>
      <w:r w:rsidR="008233BE">
        <w:rPr>
          <w:rFonts w:ascii="Times New Roman" w:hAnsi="Times New Roman" w:cs="Times New Roman"/>
          <w:sz w:val="24"/>
          <w:szCs w:val="24"/>
        </w:rPr>
        <w:t>are the</w:t>
      </w:r>
      <w:r w:rsidR="00FE2030">
        <w:rPr>
          <w:rFonts w:ascii="Times New Roman" w:hAnsi="Times New Roman" w:cs="Times New Roman"/>
          <w:sz w:val="24"/>
          <w:szCs w:val="24"/>
        </w:rPr>
        <w:t xml:space="preserve"> main sources of </w:t>
      </w:r>
      <w:r w:rsidR="00A6384D">
        <w:rPr>
          <w:rFonts w:ascii="Times New Roman" w:hAnsi="Times New Roman" w:cs="Times New Roman"/>
          <w:sz w:val="24"/>
          <w:szCs w:val="24"/>
        </w:rPr>
        <w:t>financing education</w:t>
      </w:r>
      <w:r w:rsidR="00B10DB9" w:rsidRPr="00710B08">
        <w:rPr>
          <w:rFonts w:ascii="Times New Roman" w:hAnsi="Times New Roman" w:cs="Times New Roman"/>
          <w:sz w:val="24"/>
          <w:szCs w:val="24"/>
        </w:rPr>
        <w:t xml:space="preserve"> </w:t>
      </w:r>
      <w:r w:rsidR="00AE67EF" w:rsidRPr="00710B08">
        <w:rPr>
          <w:rFonts w:ascii="Times New Roman" w:hAnsi="Times New Roman" w:cs="Times New Roman"/>
          <w:sz w:val="24"/>
          <w:szCs w:val="24"/>
        </w:rPr>
        <w:t>sectors</w:t>
      </w:r>
      <w:r w:rsidR="00AE67EF">
        <w:rPr>
          <w:rFonts w:ascii="Times New Roman" w:hAnsi="Times New Roman" w:cs="Times New Roman"/>
          <w:sz w:val="24"/>
          <w:szCs w:val="24"/>
        </w:rPr>
        <w:t>;</w:t>
      </w:r>
      <w:r w:rsidR="00AB0B0F">
        <w:rPr>
          <w:rFonts w:ascii="Times New Roman" w:hAnsi="Times New Roman" w:cs="Times New Roman"/>
          <w:sz w:val="28"/>
          <w:szCs w:val="28"/>
        </w:rPr>
        <w:t xml:space="preserve"> </w:t>
      </w:r>
      <w:r w:rsidR="00AB0B0F" w:rsidRPr="00AB0B0F">
        <w:rPr>
          <w:rFonts w:ascii="Times New Roman" w:hAnsi="Times New Roman" w:cs="Times New Roman"/>
          <w:sz w:val="24"/>
          <w:szCs w:val="24"/>
        </w:rPr>
        <w:t>with State</w:t>
      </w:r>
      <w:r w:rsidR="00710B08" w:rsidRPr="00AB0B0F">
        <w:rPr>
          <w:rFonts w:ascii="Times New Roman" w:hAnsi="Times New Roman" w:cs="Times New Roman"/>
          <w:sz w:val="24"/>
          <w:szCs w:val="24"/>
        </w:rPr>
        <w:t xml:space="preserve"> government has lion shar</w:t>
      </w:r>
      <w:r w:rsidR="00FE2030">
        <w:rPr>
          <w:rFonts w:ascii="Times New Roman" w:hAnsi="Times New Roman" w:cs="Times New Roman"/>
          <w:sz w:val="24"/>
          <w:szCs w:val="24"/>
        </w:rPr>
        <w:t>e</w:t>
      </w:r>
      <w:r w:rsidR="001539EF">
        <w:rPr>
          <w:rFonts w:ascii="Times New Roman" w:hAnsi="Times New Roman" w:cs="Times New Roman"/>
          <w:sz w:val="24"/>
          <w:szCs w:val="24"/>
        </w:rPr>
        <w:t>.</w:t>
      </w:r>
      <w:r w:rsidR="00ED7F81">
        <w:rPr>
          <w:rFonts w:ascii="Times New Roman" w:hAnsi="Times New Roman" w:cs="Times New Roman"/>
          <w:sz w:val="24"/>
          <w:szCs w:val="24"/>
        </w:rPr>
        <w:t xml:space="preserve"> Share of the S</w:t>
      </w:r>
      <w:r w:rsidR="00A224C9">
        <w:rPr>
          <w:rFonts w:ascii="Times New Roman" w:hAnsi="Times New Roman" w:cs="Times New Roman"/>
          <w:sz w:val="24"/>
          <w:szCs w:val="24"/>
        </w:rPr>
        <w:t>tate go</w:t>
      </w:r>
      <w:r w:rsidR="00ED7F81">
        <w:rPr>
          <w:rFonts w:ascii="Times New Roman" w:hAnsi="Times New Roman" w:cs="Times New Roman"/>
          <w:sz w:val="24"/>
          <w:szCs w:val="24"/>
        </w:rPr>
        <w:t>vernment has decline but still S</w:t>
      </w:r>
      <w:r w:rsidR="00A224C9">
        <w:rPr>
          <w:rFonts w:ascii="Times New Roman" w:hAnsi="Times New Roman" w:cs="Times New Roman"/>
          <w:sz w:val="24"/>
          <w:szCs w:val="24"/>
        </w:rPr>
        <w:t>tate government contributes more than one third of total expenditure on education</w:t>
      </w:r>
      <w:r w:rsidR="00AE67EF">
        <w:rPr>
          <w:rFonts w:ascii="Times New Roman" w:hAnsi="Times New Roman" w:cs="Times New Roman"/>
          <w:sz w:val="24"/>
          <w:szCs w:val="24"/>
        </w:rPr>
        <w:t>.</w:t>
      </w:r>
      <w:r w:rsidR="00A224C9">
        <w:rPr>
          <w:rFonts w:ascii="Times New Roman" w:hAnsi="Times New Roman" w:cs="Times New Roman"/>
          <w:sz w:val="24"/>
          <w:szCs w:val="24"/>
        </w:rPr>
        <w:t xml:space="preserve"> </w:t>
      </w:r>
      <w:r w:rsidR="00ED7F81">
        <w:rPr>
          <w:rFonts w:ascii="Times New Roman" w:hAnsi="Times New Roman" w:cs="Times New Roman"/>
          <w:sz w:val="24"/>
          <w:szCs w:val="24"/>
        </w:rPr>
        <w:t xml:space="preserve">The </w:t>
      </w:r>
      <w:r w:rsidR="00A6384D">
        <w:rPr>
          <w:rFonts w:ascii="Times New Roman" w:hAnsi="Times New Roman" w:cs="Times New Roman"/>
          <w:sz w:val="24"/>
          <w:szCs w:val="24"/>
        </w:rPr>
        <w:t xml:space="preserve">paper </w:t>
      </w:r>
      <w:r w:rsidR="00A6384D" w:rsidRPr="00AE67EF">
        <w:rPr>
          <w:rFonts w:ascii="Times New Roman" w:hAnsi="Times New Roman" w:cs="Times New Roman"/>
          <w:sz w:val="24"/>
          <w:szCs w:val="24"/>
        </w:rPr>
        <w:t>primarily</w:t>
      </w:r>
      <w:r w:rsidR="00AE67EF" w:rsidRPr="00AE67EF">
        <w:rPr>
          <w:rFonts w:ascii="Times New Roman" w:hAnsi="Times New Roman" w:cs="Times New Roman"/>
          <w:sz w:val="24"/>
          <w:szCs w:val="24"/>
        </w:rPr>
        <w:t xml:space="preserve"> used data from</w:t>
      </w:r>
      <w:r w:rsidR="00AE67EF">
        <w:rPr>
          <w:rFonts w:ascii="Times New Roman" w:hAnsi="Times New Roman" w:cs="Times New Roman"/>
          <w:sz w:val="24"/>
          <w:szCs w:val="24"/>
        </w:rPr>
        <w:t xml:space="preserve"> </w:t>
      </w:r>
      <w:r w:rsidR="00AE67EF" w:rsidRPr="00AE67EF">
        <w:rPr>
          <w:rFonts w:ascii="Times New Roman" w:hAnsi="Times New Roman" w:cs="Times New Roman"/>
          <w:sz w:val="24"/>
          <w:szCs w:val="24"/>
        </w:rPr>
        <w:t>Analysis of Budgeted Expenditure on Educat</w:t>
      </w:r>
      <w:r w:rsidR="00AE67EF">
        <w:rPr>
          <w:rFonts w:ascii="Times New Roman" w:hAnsi="Times New Roman" w:cs="Times New Roman"/>
          <w:sz w:val="24"/>
          <w:szCs w:val="24"/>
        </w:rPr>
        <w:t xml:space="preserve">ion (Ministry of Human Resource </w:t>
      </w:r>
      <w:r w:rsidR="00AE67EF" w:rsidRPr="00AE67EF">
        <w:rPr>
          <w:rFonts w:ascii="Times New Roman" w:hAnsi="Times New Roman" w:cs="Times New Roman"/>
          <w:sz w:val="24"/>
          <w:szCs w:val="24"/>
        </w:rPr>
        <w:t>Development). The</w:t>
      </w:r>
      <w:r w:rsidR="00AE67EF">
        <w:rPr>
          <w:rFonts w:ascii="Times New Roman" w:hAnsi="Times New Roman" w:cs="Times New Roman"/>
          <w:sz w:val="24"/>
          <w:szCs w:val="24"/>
        </w:rPr>
        <w:t xml:space="preserve"> </w:t>
      </w:r>
      <w:r w:rsidR="00AE67EF" w:rsidRPr="00AE67EF">
        <w:rPr>
          <w:rFonts w:ascii="Times New Roman" w:hAnsi="Times New Roman" w:cs="Times New Roman"/>
          <w:sz w:val="24"/>
          <w:szCs w:val="24"/>
        </w:rPr>
        <w:t>data presented in these reports take into account the expenditure incurred on education by all</w:t>
      </w:r>
      <w:r w:rsidR="00AE67EF">
        <w:rPr>
          <w:rFonts w:ascii="Times New Roman" w:hAnsi="Times New Roman" w:cs="Times New Roman"/>
          <w:sz w:val="24"/>
          <w:szCs w:val="24"/>
        </w:rPr>
        <w:t xml:space="preserve"> </w:t>
      </w:r>
      <w:r w:rsidR="00AE67EF" w:rsidRPr="00AE67EF">
        <w:rPr>
          <w:rFonts w:ascii="Times New Roman" w:hAnsi="Times New Roman" w:cs="Times New Roman"/>
          <w:sz w:val="24"/>
          <w:szCs w:val="24"/>
        </w:rPr>
        <w:t>departments in addition to that by the education department, and is the standard source used for</w:t>
      </w:r>
      <w:r w:rsidR="00AE67EF">
        <w:rPr>
          <w:rFonts w:ascii="Times New Roman" w:hAnsi="Times New Roman" w:cs="Times New Roman"/>
          <w:sz w:val="24"/>
          <w:szCs w:val="24"/>
        </w:rPr>
        <w:t xml:space="preserve"> </w:t>
      </w:r>
      <w:r w:rsidR="00AE67EF" w:rsidRPr="00AE67EF">
        <w:rPr>
          <w:rFonts w:ascii="Times New Roman" w:hAnsi="Times New Roman" w:cs="Times New Roman"/>
          <w:sz w:val="24"/>
          <w:szCs w:val="24"/>
        </w:rPr>
        <w:t xml:space="preserve">analyzing </w:t>
      </w:r>
      <w:r w:rsidR="00C6511D">
        <w:rPr>
          <w:rFonts w:ascii="Times New Roman" w:hAnsi="Times New Roman" w:cs="Times New Roman"/>
          <w:sz w:val="24"/>
          <w:szCs w:val="24"/>
        </w:rPr>
        <w:t>public expenditure on education</w:t>
      </w:r>
      <w:r w:rsidR="00AE67EF" w:rsidRPr="00AE67EF">
        <w:rPr>
          <w:rFonts w:ascii="Times New Roman" w:hAnsi="Times New Roman" w:cs="Times New Roman"/>
          <w:sz w:val="24"/>
          <w:szCs w:val="24"/>
        </w:rPr>
        <w:t>. However much of the data used in this paper are</w:t>
      </w:r>
      <w:r w:rsidR="00AE67EF">
        <w:rPr>
          <w:rFonts w:ascii="Times New Roman" w:hAnsi="Times New Roman" w:cs="Times New Roman"/>
          <w:sz w:val="24"/>
          <w:szCs w:val="24"/>
        </w:rPr>
        <w:t xml:space="preserve"> </w:t>
      </w:r>
      <w:r w:rsidR="00ED7F81">
        <w:rPr>
          <w:rFonts w:ascii="Times New Roman" w:hAnsi="Times New Roman" w:cs="Times New Roman"/>
          <w:sz w:val="24"/>
          <w:szCs w:val="24"/>
        </w:rPr>
        <w:t>expenditures by education D</w:t>
      </w:r>
      <w:r w:rsidR="00AE67EF" w:rsidRPr="00AE67EF">
        <w:rPr>
          <w:rFonts w:ascii="Times New Roman" w:hAnsi="Times New Roman" w:cs="Times New Roman"/>
          <w:sz w:val="24"/>
          <w:szCs w:val="24"/>
        </w:rPr>
        <w:t>epartment of the relevant governments on revenue account.</w:t>
      </w:r>
      <w:r w:rsidR="00AE67EF">
        <w:rPr>
          <w:rFonts w:ascii="Times New Roman" w:hAnsi="Times New Roman" w:cs="Times New Roman"/>
          <w:sz w:val="24"/>
          <w:szCs w:val="24"/>
        </w:rPr>
        <w:t xml:space="preserve"> </w:t>
      </w:r>
      <w:r w:rsidR="00AE67EF" w:rsidRPr="00AE67EF">
        <w:rPr>
          <w:rFonts w:ascii="Times New Roman" w:hAnsi="Times New Roman" w:cs="Times New Roman"/>
          <w:sz w:val="24"/>
          <w:szCs w:val="24"/>
        </w:rPr>
        <w:t>We next take a look at the budget expenditure on education, its share in GDP and the Plan-</w:t>
      </w:r>
    </w:p>
    <w:p w:rsidR="00AB0A48" w:rsidRDefault="00AE67EF" w:rsidP="00AE67EF">
      <w:pPr>
        <w:autoSpaceDE w:val="0"/>
        <w:autoSpaceDN w:val="0"/>
        <w:adjustRightInd w:val="0"/>
        <w:spacing w:after="0" w:line="240" w:lineRule="auto"/>
        <w:jc w:val="both"/>
        <w:rPr>
          <w:rFonts w:ascii="BookAntiqua" w:hAnsi="BookAntiqua" w:cs="BookAntiqua"/>
          <w:sz w:val="23"/>
          <w:szCs w:val="23"/>
        </w:rPr>
      </w:pPr>
      <w:r w:rsidRPr="00C6511D">
        <w:rPr>
          <w:rFonts w:ascii="Times New Roman" w:hAnsi="Times New Roman" w:cs="Times New Roman"/>
          <w:sz w:val="24"/>
          <w:szCs w:val="24"/>
        </w:rPr>
        <w:t>Non</w:t>
      </w:r>
      <w:r w:rsidR="00C6511D">
        <w:rPr>
          <w:rFonts w:ascii="Times New Roman" w:hAnsi="Times New Roman" w:cs="Times New Roman"/>
          <w:sz w:val="24"/>
          <w:szCs w:val="24"/>
        </w:rPr>
        <w:t xml:space="preserve"> </w:t>
      </w:r>
      <w:r w:rsidRPr="00C6511D">
        <w:rPr>
          <w:rFonts w:ascii="Times New Roman" w:hAnsi="Times New Roman" w:cs="Times New Roman"/>
          <w:sz w:val="24"/>
          <w:szCs w:val="24"/>
        </w:rPr>
        <w:t>plan distribution of public expenditure on education</w:t>
      </w:r>
      <w:r>
        <w:rPr>
          <w:rFonts w:ascii="Times New Roman" w:hAnsi="Times New Roman" w:cs="Times New Roman"/>
        </w:rPr>
        <w:t>.</w:t>
      </w:r>
      <w:r w:rsidR="00C6511D">
        <w:rPr>
          <w:rFonts w:ascii="Times New Roman" w:hAnsi="Times New Roman" w:cs="Times New Roman"/>
        </w:rPr>
        <w:t xml:space="preserve"> </w:t>
      </w:r>
      <w:r w:rsidR="00A224C9">
        <w:rPr>
          <w:rFonts w:ascii="Times New Roman" w:hAnsi="Times New Roman" w:cs="Times New Roman"/>
          <w:sz w:val="24"/>
          <w:szCs w:val="24"/>
        </w:rPr>
        <w:t>During</w:t>
      </w:r>
      <w:r w:rsidR="00FE2030">
        <w:rPr>
          <w:sz w:val="24"/>
          <w:szCs w:val="24"/>
        </w:rPr>
        <w:t xml:space="preserve"> the last one and half decade some major trends have been found in financing education.</w:t>
      </w:r>
      <w:r w:rsidR="00FE2030">
        <w:rPr>
          <w:rFonts w:ascii="Times New Roman" w:hAnsi="Times New Roman" w:cs="Times New Roman"/>
          <w:sz w:val="24"/>
          <w:szCs w:val="24"/>
        </w:rPr>
        <w:t xml:space="preserve"> </w:t>
      </w:r>
      <w:r w:rsidR="00FE2030">
        <w:rPr>
          <w:sz w:val="24"/>
          <w:szCs w:val="24"/>
        </w:rPr>
        <w:t>The share of state government in total expenditure has declines from 88 % in 2000-01 to 74 % in 2013-</w:t>
      </w:r>
      <w:r w:rsidR="00ED7F81">
        <w:rPr>
          <w:sz w:val="24"/>
          <w:szCs w:val="24"/>
        </w:rPr>
        <w:t>14.</w:t>
      </w:r>
      <w:r w:rsidR="00A76EC4">
        <w:rPr>
          <w:sz w:val="24"/>
          <w:szCs w:val="24"/>
        </w:rPr>
        <w:t xml:space="preserve"> </w:t>
      </w:r>
      <w:r w:rsidR="00861834">
        <w:rPr>
          <w:sz w:val="24"/>
          <w:szCs w:val="24"/>
        </w:rPr>
        <w:t xml:space="preserve"> Percentage S</w:t>
      </w:r>
      <w:r w:rsidR="00A76EC4">
        <w:rPr>
          <w:sz w:val="24"/>
          <w:szCs w:val="24"/>
        </w:rPr>
        <w:t xml:space="preserve">hare of </w:t>
      </w:r>
      <w:r w:rsidR="00FE2030">
        <w:rPr>
          <w:sz w:val="24"/>
          <w:szCs w:val="24"/>
        </w:rPr>
        <w:t>central government</w:t>
      </w:r>
      <w:r w:rsidR="00A76EC4">
        <w:rPr>
          <w:sz w:val="24"/>
          <w:szCs w:val="24"/>
        </w:rPr>
        <w:t xml:space="preserve"> has increased significantly during the same period</w:t>
      </w:r>
      <w:r w:rsidR="00FE2030">
        <w:rPr>
          <w:sz w:val="24"/>
          <w:szCs w:val="24"/>
        </w:rPr>
        <w:t xml:space="preserve"> from 12 percent in 2000-01 to 26 percent in 2013-14</w:t>
      </w:r>
      <w:r w:rsidR="00A76EC4">
        <w:rPr>
          <w:sz w:val="24"/>
          <w:szCs w:val="24"/>
        </w:rPr>
        <w:t xml:space="preserve">. </w:t>
      </w:r>
      <w:r w:rsidR="001539EF">
        <w:rPr>
          <w:rFonts w:ascii="Times New Roman" w:hAnsi="Times New Roman" w:cs="Times New Roman"/>
          <w:sz w:val="24"/>
          <w:szCs w:val="24"/>
        </w:rPr>
        <w:t xml:space="preserve">The notable feature of the is real expenditure on education which is obtained by dividing nominal expenditure with the GDP deflator. Real expenditure shows the real amount of money spend on this sector by eliminating the effect of inflation. </w:t>
      </w:r>
      <w:r w:rsidR="001539EF">
        <w:rPr>
          <w:rFonts w:ascii="BookAntiqua" w:hAnsi="BookAntiqua" w:cs="BookAntiqua"/>
          <w:sz w:val="23"/>
          <w:szCs w:val="23"/>
        </w:rPr>
        <w:t>If we look at the percentage of GDP spend on education for both Centre and States. we found an increasing trend over the years the percentage of GDP spend on education gone up from 0.51% in 2000-01 to1.19% in 2013-14, The percentage of GDP spend by state government shows a declining trends state’s share has declined from 3.63% in the year 2000-01 to 2.53</w:t>
      </w:r>
      <w:r w:rsidR="00DC0302">
        <w:rPr>
          <w:rFonts w:ascii="BookAntiqua" w:hAnsi="BookAntiqua" w:cs="BookAntiqua"/>
          <w:sz w:val="23"/>
          <w:szCs w:val="23"/>
        </w:rPr>
        <w:t>% in</w:t>
      </w:r>
      <w:r w:rsidR="001539EF">
        <w:rPr>
          <w:rFonts w:ascii="BookAntiqua" w:hAnsi="BookAntiqua" w:cs="BookAntiqua"/>
          <w:sz w:val="23"/>
          <w:szCs w:val="23"/>
        </w:rPr>
        <w:t xml:space="preserve"> 2007-08 thereafter it has increases and reached at 3.26 percent in 2013-14.</w:t>
      </w:r>
    </w:p>
    <w:p w:rsidR="001539EF" w:rsidRPr="00DC0302" w:rsidRDefault="00553D25" w:rsidP="00AE67EF">
      <w:pPr>
        <w:autoSpaceDE w:val="0"/>
        <w:autoSpaceDN w:val="0"/>
        <w:adjustRightInd w:val="0"/>
        <w:spacing w:after="0" w:line="240" w:lineRule="auto"/>
        <w:jc w:val="both"/>
        <w:rPr>
          <w:rFonts w:ascii="Times New Roman" w:hAnsi="Times New Roman" w:cs="Times New Roman"/>
          <w:b/>
          <w:sz w:val="19"/>
          <w:szCs w:val="19"/>
        </w:rPr>
      </w:pPr>
      <w:r>
        <w:rPr>
          <w:rFonts w:ascii="BookAntiqua" w:hAnsi="BookAntiqua" w:cs="BookAntiqua"/>
          <w:sz w:val="23"/>
          <w:szCs w:val="23"/>
        </w:rPr>
        <w:t xml:space="preserve">                                                    </w:t>
      </w:r>
      <w:r w:rsidR="00AB0A48" w:rsidRPr="00DC0302">
        <w:rPr>
          <w:rFonts w:ascii="BookAntiqua" w:hAnsi="BookAntiqua" w:cs="BookAntiqua"/>
          <w:b/>
          <w:sz w:val="23"/>
          <w:szCs w:val="23"/>
        </w:rPr>
        <w:t>Table -1</w:t>
      </w:r>
    </w:p>
    <w:p w:rsidR="00290E11" w:rsidRPr="00290E11" w:rsidRDefault="00290E11" w:rsidP="00EE7344">
      <w:pPr>
        <w:autoSpaceDE w:val="0"/>
        <w:autoSpaceDN w:val="0"/>
        <w:adjustRightInd w:val="0"/>
        <w:spacing w:after="0" w:line="240" w:lineRule="auto"/>
        <w:jc w:val="both"/>
        <w:rPr>
          <w:rFonts w:ascii="BookAntiqua" w:hAnsi="BookAntiqua" w:cs="BookAntiqua"/>
          <w:b/>
          <w:sz w:val="23"/>
          <w:szCs w:val="23"/>
        </w:rPr>
      </w:pPr>
      <w:r w:rsidRPr="00290E11">
        <w:rPr>
          <w:rFonts w:ascii="BookAntiqua" w:hAnsi="BookAntiqua" w:cs="BookAntiqua"/>
          <w:b/>
          <w:sz w:val="23"/>
          <w:szCs w:val="23"/>
        </w:rPr>
        <w:t>Public Exp</w:t>
      </w:r>
      <w:r w:rsidR="00696D2A">
        <w:rPr>
          <w:rFonts w:ascii="BookAntiqua" w:hAnsi="BookAntiqua" w:cs="BookAntiqua"/>
          <w:b/>
          <w:sz w:val="23"/>
          <w:szCs w:val="23"/>
        </w:rPr>
        <w:t>enditure on education since 2000-01</w:t>
      </w:r>
    </w:p>
    <w:tbl>
      <w:tblPr>
        <w:tblStyle w:val="TableGrid"/>
        <w:tblW w:w="9606" w:type="dxa"/>
        <w:tblLayout w:type="fixed"/>
        <w:tblLook w:val="04A0"/>
      </w:tblPr>
      <w:tblGrid>
        <w:gridCol w:w="1101"/>
        <w:gridCol w:w="2268"/>
        <w:gridCol w:w="1134"/>
        <w:gridCol w:w="992"/>
        <w:gridCol w:w="992"/>
        <w:gridCol w:w="1134"/>
        <w:gridCol w:w="992"/>
        <w:gridCol w:w="993"/>
      </w:tblGrid>
      <w:tr w:rsidR="00E8138D" w:rsidTr="00E3073B">
        <w:trPr>
          <w:trHeight w:val="858"/>
        </w:trPr>
        <w:tc>
          <w:tcPr>
            <w:tcW w:w="1101"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Years</w:t>
            </w:r>
          </w:p>
        </w:tc>
        <w:tc>
          <w:tcPr>
            <w:tcW w:w="2268"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Expenditure  on  Education</w:t>
            </w:r>
          </w:p>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Centre         State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Total</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Growth rate</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Share of centre</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 Share of state</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State as % of GDP</w:t>
            </w:r>
          </w:p>
          <w:p w:rsidR="00E8138D" w:rsidRDefault="00E8138D" w:rsidP="00E8138D">
            <w:pPr>
              <w:autoSpaceDE w:val="0"/>
              <w:autoSpaceDN w:val="0"/>
              <w:adjustRightInd w:val="0"/>
              <w:jc w:val="both"/>
              <w:rPr>
                <w:rFonts w:ascii="Times New Roman" w:hAnsi="Times New Roman" w:cs="Times New Roman"/>
                <w:b/>
                <w:sz w:val="24"/>
                <w:szCs w:val="24"/>
              </w:rPr>
            </w:pP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State+</w:t>
            </w:r>
          </w:p>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Centre</w:t>
            </w:r>
          </w:p>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As % of GDP</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2000-01</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10195             72290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82486</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88</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3.63</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4.14</w:t>
            </w:r>
          </w:p>
        </w:tc>
      </w:tr>
      <w:tr w:rsidR="00E8138D" w:rsidTr="00E3073B">
        <w:trPr>
          <w:trHeight w:val="62"/>
        </w:trPr>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2001-02</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14119              65746 </w:t>
            </w:r>
          </w:p>
        </w:tc>
        <w:tc>
          <w:tcPr>
            <w:tcW w:w="1134" w:type="dxa"/>
          </w:tcPr>
          <w:p w:rsidR="00E8138D" w:rsidRPr="004419F4"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79865 </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-3.17</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82</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3.03</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3.68</w:t>
            </w:r>
          </w:p>
        </w:tc>
      </w:tr>
      <w:tr w:rsidR="00E8138D" w:rsidTr="00E3073B">
        <w:trPr>
          <w:trHeight w:val="305"/>
        </w:trPr>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2002-03</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16156              69350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85506</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7.06</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19</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81</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2.97</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3.66</w:t>
            </w:r>
          </w:p>
        </w:tc>
      </w:tr>
      <w:tr w:rsidR="0038742C"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2003-04</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17101              71798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89079</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4.01</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19</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81</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2.74</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3.40</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2004-05</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18026              78668</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96694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8.54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19</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81</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2.65</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3.26</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2005-06</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23209              90019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113228</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17.09</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21</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79</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2.66</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3.34</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2006-07</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34236            103148</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137384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21.23</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25</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75</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2.61</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3.48</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2007-08</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39919            115878</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155797</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13.40</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2.53</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3.40</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2008-9</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48728            143667 </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192395</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23.49</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25</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75</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2.66</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3.56</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2009-10</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54146            188636</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246782</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28.26</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24</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76</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2.90</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3.95</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2010-11</w:t>
            </w:r>
          </w:p>
        </w:tc>
        <w:tc>
          <w:tcPr>
            <w:tcW w:w="2268" w:type="dxa"/>
          </w:tcPr>
          <w:p w:rsidR="00E8138D" w:rsidRDefault="00E8138D" w:rsidP="00E813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80661            212817</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293478</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18.92</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28</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72</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2.94</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4.05</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2011-12</w:t>
            </w:r>
          </w:p>
        </w:tc>
        <w:tc>
          <w:tcPr>
            <w:tcW w:w="2268" w:type="dxa"/>
          </w:tcPr>
          <w:p w:rsidR="00E8138D" w:rsidRPr="00D910E9" w:rsidRDefault="00E8138D" w:rsidP="00E8138D">
            <w:pPr>
              <w:autoSpaceDE w:val="0"/>
              <w:autoSpaceDN w:val="0"/>
              <w:adjustRightInd w:val="0"/>
              <w:rPr>
                <w:rFonts w:ascii="Times New Roman" w:hAnsi="Times New Roman" w:cs="Times New Roman"/>
                <w:sz w:val="24"/>
                <w:szCs w:val="24"/>
              </w:rPr>
            </w:pPr>
            <w:r w:rsidRPr="00D910E9">
              <w:rPr>
                <w:rFonts w:ascii="BookAntiqua" w:hAnsi="BookAntiqua" w:cs="BookAntiqua"/>
                <w:sz w:val="24"/>
                <w:szCs w:val="24"/>
              </w:rPr>
              <w:t>86074</w:t>
            </w:r>
            <w:r w:rsidRPr="00D91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0E9">
              <w:rPr>
                <w:rFonts w:ascii="BookAntiqua" w:hAnsi="BookAntiqua" w:cs="BookAntiqua"/>
                <w:sz w:val="24"/>
                <w:szCs w:val="24"/>
              </w:rPr>
              <w:t>251008</w:t>
            </w:r>
            <w:r w:rsidRPr="00D910E9">
              <w:rPr>
                <w:rFonts w:ascii="Times New Roman" w:hAnsi="Times New Roman" w:cs="Times New Roman"/>
                <w:sz w:val="24"/>
                <w:szCs w:val="24"/>
              </w:rPr>
              <w:t xml:space="preserve"> </w:t>
            </w:r>
          </w:p>
        </w:tc>
        <w:tc>
          <w:tcPr>
            <w:tcW w:w="1134" w:type="dxa"/>
          </w:tcPr>
          <w:p w:rsidR="00E8138D" w:rsidRPr="00F70F56" w:rsidRDefault="00E8138D" w:rsidP="00E8138D">
            <w:pPr>
              <w:autoSpaceDE w:val="0"/>
              <w:autoSpaceDN w:val="0"/>
              <w:adjustRightInd w:val="0"/>
              <w:jc w:val="both"/>
              <w:rPr>
                <w:rFonts w:ascii="Times New Roman" w:hAnsi="Times New Roman" w:cs="Times New Roman"/>
                <w:b/>
                <w:sz w:val="28"/>
                <w:szCs w:val="28"/>
              </w:rPr>
            </w:pPr>
            <w:r w:rsidRPr="00F70F56">
              <w:rPr>
                <w:rFonts w:ascii="BookAntiqua" w:hAnsi="BookAntiqua" w:cs="BookAntiqua"/>
                <w:sz w:val="28"/>
                <w:szCs w:val="28"/>
              </w:rPr>
              <w:t>337082</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14.85</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2.95</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3.98</w:t>
            </w:r>
          </w:p>
        </w:tc>
      </w:tr>
      <w:tr w:rsidR="00E8138D" w:rsidTr="00E3073B">
        <w:tc>
          <w:tcPr>
            <w:tcW w:w="1101"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2012-13</w:t>
            </w:r>
          </w:p>
        </w:tc>
        <w:tc>
          <w:tcPr>
            <w:tcW w:w="2268" w:type="dxa"/>
          </w:tcPr>
          <w:p w:rsidR="00E8138D" w:rsidRDefault="00E8138D" w:rsidP="00E8138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103312          </w:t>
            </w:r>
            <w:r w:rsidRPr="00865F86">
              <w:rPr>
                <w:rFonts w:ascii="BookAntiqua" w:hAnsi="BookAntiqua" w:cs="BookAntiqua"/>
                <w:sz w:val="24"/>
                <w:szCs w:val="24"/>
              </w:rPr>
              <w:t>311426</w:t>
            </w:r>
          </w:p>
        </w:tc>
        <w:tc>
          <w:tcPr>
            <w:tcW w:w="1134" w:type="dxa"/>
          </w:tcPr>
          <w:p w:rsidR="00E8138D" w:rsidRPr="00A53575" w:rsidRDefault="00E8138D" w:rsidP="00E8138D">
            <w:pPr>
              <w:autoSpaceDE w:val="0"/>
              <w:autoSpaceDN w:val="0"/>
              <w:adjustRightInd w:val="0"/>
              <w:jc w:val="both"/>
              <w:rPr>
                <w:rFonts w:ascii="Times New Roman" w:hAnsi="Times New Roman" w:cs="Times New Roman"/>
                <w:b/>
                <w:sz w:val="28"/>
                <w:szCs w:val="28"/>
              </w:rPr>
            </w:pPr>
            <w:r w:rsidRPr="00A53575">
              <w:rPr>
                <w:rFonts w:ascii="BookAntiqua" w:hAnsi="BookAntiqua" w:cs="BookAntiqua"/>
                <w:sz w:val="28"/>
                <w:szCs w:val="28"/>
              </w:rPr>
              <w:t>414738</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23.03</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25</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75</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3.25</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4.35</w:t>
            </w:r>
          </w:p>
        </w:tc>
      </w:tr>
      <w:tr w:rsidR="00E8138D" w:rsidTr="00E3073B">
        <w:trPr>
          <w:trHeight w:val="144"/>
        </w:trPr>
        <w:tc>
          <w:tcPr>
            <w:tcW w:w="1101"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2013-14</w:t>
            </w:r>
          </w:p>
        </w:tc>
        <w:tc>
          <w:tcPr>
            <w:tcW w:w="2268" w:type="dxa"/>
          </w:tcPr>
          <w:p w:rsidR="00E8138D" w:rsidRDefault="00E8138D" w:rsidP="00E8138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124118          </w:t>
            </w:r>
            <w:r w:rsidRPr="00AF2FFF">
              <w:rPr>
                <w:rFonts w:ascii="BookAntiqua" w:hAnsi="BookAntiqua" w:cs="BookAntiqua"/>
                <w:b/>
                <w:sz w:val="24"/>
                <w:szCs w:val="24"/>
              </w:rPr>
              <w:t>347893</w:t>
            </w:r>
          </w:p>
        </w:tc>
        <w:tc>
          <w:tcPr>
            <w:tcW w:w="1134" w:type="dxa"/>
          </w:tcPr>
          <w:p w:rsidR="00E8138D" w:rsidRPr="00AF2FFF" w:rsidRDefault="00E8138D" w:rsidP="00E8138D">
            <w:pPr>
              <w:autoSpaceDE w:val="0"/>
              <w:autoSpaceDN w:val="0"/>
              <w:adjustRightInd w:val="0"/>
              <w:jc w:val="both"/>
              <w:rPr>
                <w:rFonts w:ascii="Times New Roman" w:hAnsi="Times New Roman" w:cs="Times New Roman"/>
                <w:b/>
                <w:sz w:val="28"/>
                <w:szCs w:val="28"/>
              </w:rPr>
            </w:pPr>
            <w:r w:rsidRPr="00AF2FFF">
              <w:rPr>
                <w:rFonts w:ascii="BookAntiqua" w:hAnsi="BookAntiqua" w:cs="BookAntiqua"/>
                <w:sz w:val="28"/>
                <w:szCs w:val="28"/>
              </w:rPr>
              <w:t>472011</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13.80</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74</w:t>
            </w:r>
          </w:p>
        </w:tc>
        <w:tc>
          <w:tcPr>
            <w:tcW w:w="992"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3.26</w:t>
            </w:r>
          </w:p>
        </w:tc>
        <w:tc>
          <w:tcPr>
            <w:tcW w:w="993" w:type="dxa"/>
          </w:tcPr>
          <w:p w:rsidR="00E8138D" w:rsidRDefault="00E8138D" w:rsidP="00E8138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4.44</w:t>
            </w:r>
          </w:p>
        </w:tc>
      </w:tr>
    </w:tbl>
    <w:p w:rsidR="007413C2" w:rsidRDefault="006B5315" w:rsidP="00A224C9">
      <w:pPr>
        <w:autoSpaceDE w:val="0"/>
        <w:autoSpaceDN w:val="0"/>
        <w:adjustRightInd w:val="0"/>
        <w:spacing w:after="0" w:line="240" w:lineRule="auto"/>
        <w:jc w:val="both"/>
        <w:rPr>
          <w:rFonts w:ascii="Times New Roman" w:hAnsi="Times New Roman" w:cs="Times New Roman"/>
          <w:b/>
          <w:sz w:val="24"/>
          <w:szCs w:val="24"/>
        </w:rPr>
      </w:pPr>
      <w:r w:rsidRPr="006E2C09">
        <w:rPr>
          <w:rFonts w:ascii="Times New Roman" w:hAnsi="Times New Roman" w:cs="Times New Roman"/>
          <w:b/>
          <w:sz w:val="24"/>
          <w:szCs w:val="24"/>
        </w:rPr>
        <w:t>Source</w:t>
      </w:r>
      <w:proofErr w:type="gramStart"/>
      <w:r w:rsidR="00A9487B" w:rsidRPr="006E2C09">
        <w:rPr>
          <w:rFonts w:ascii="Times New Roman" w:hAnsi="Times New Roman" w:cs="Times New Roman"/>
          <w:b/>
          <w:sz w:val="24"/>
          <w:szCs w:val="24"/>
        </w:rPr>
        <w:t>:-</w:t>
      </w:r>
      <w:proofErr w:type="gramEnd"/>
      <w:r w:rsidRPr="006E2C09">
        <w:rPr>
          <w:rFonts w:ascii="Times New Roman" w:hAnsi="Times New Roman" w:cs="Times New Roman"/>
          <w:b/>
          <w:sz w:val="24"/>
          <w:szCs w:val="24"/>
        </w:rPr>
        <w:t xml:space="preserve"> </w:t>
      </w:r>
      <w:r w:rsidR="00A9487B" w:rsidRPr="006E2C09">
        <w:rPr>
          <w:rFonts w:ascii="Times New Roman" w:hAnsi="Times New Roman" w:cs="Times New Roman"/>
          <w:b/>
          <w:sz w:val="24"/>
          <w:szCs w:val="24"/>
        </w:rPr>
        <w:t>Ministry</w:t>
      </w:r>
      <w:r w:rsidRPr="006E2C09">
        <w:rPr>
          <w:rFonts w:ascii="Times New Roman" w:hAnsi="Times New Roman" w:cs="Times New Roman"/>
          <w:b/>
          <w:sz w:val="24"/>
          <w:szCs w:val="24"/>
        </w:rPr>
        <w:t xml:space="preserve"> of Human Resou</w:t>
      </w:r>
      <w:r w:rsidR="00EF225F" w:rsidRPr="006E2C09">
        <w:rPr>
          <w:rFonts w:ascii="Times New Roman" w:hAnsi="Times New Roman" w:cs="Times New Roman"/>
          <w:b/>
          <w:sz w:val="24"/>
          <w:szCs w:val="24"/>
        </w:rPr>
        <w:t xml:space="preserve">rces Govt of India. </w:t>
      </w:r>
      <w:proofErr w:type="gramStart"/>
      <w:r w:rsidR="00EF225F" w:rsidRPr="006E2C09">
        <w:rPr>
          <w:rFonts w:ascii="Times New Roman" w:hAnsi="Times New Roman" w:cs="Times New Roman"/>
          <w:b/>
          <w:sz w:val="24"/>
          <w:szCs w:val="24"/>
        </w:rPr>
        <w:t>(</w:t>
      </w:r>
      <w:r w:rsidR="00087075" w:rsidRPr="006E2C09">
        <w:rPr>
          <w:rFonts w:ascii="Times New Roman" w:hAnsi="Times New Roman" w:cs="Times New Roman"/>
          <w:b/>
          <w:sz w:val="24"/>
          <w:szCs w:val="24"/>
        </w:rPr>
        <w:t>Budgetary</w:t>
      </w:r>
      <w:r w:rsidR="00EF225F" w:rsidRPr="006E2C09">
        <w:rPr>
          <w:rFonts w:ascii="Times New Roman" w:hAnsi="Times New Roman" w:cs="Times New Roman"/>
          <w:b/>
          <w:sz w:val="24"/>
          <w:szCs w:val="24"/>
        </w:rPr>
        <w:t xml:space="preserve"> A</w:t>
      </w:r>
      <w:r w:rsidRPr="006E2C09">
        <w:rPr>
          <w:rFonts w:ascii="Times New Roman" w:hAnsi="Times New Roman" w:cs="Times New Roman"/>
          <w:b/>
          <w:sz w:val="24"/>
          <w:szCs w:val="24"/>
        </w:rPr>
        <w:t>nalysis)</w:t>
      </w:r>
      <w:r w:rsidR="00AF4EEC">
        <w:rPr>
          <w:rFonts w:ascii="Times New Roman" w:hAnsi="Times New Roman" w:cs="Times New Roman"/>
          <w:b/>
          <w:sz w:val="24"/>
          <w:szCs w:val="24"/>
        </w:rPr>
        <w:t xml:space="preserve"> various issues.</w:t>
      </w:r>
      <w:proofErr w:type="gramEnd"/>
    </w:p>
    <w:p w:rsidR="009D11B0" w:rsidRDefault="009D11B0" w:rsidP="00A224C9">
      <w:pPr>
        <w:autoSpaceDE w:val="0"/>
        <w:autoSpaceDN w:val="0"/>
        <w:adjustRightInd w:val="0"/>
        <w:spacing w:after="0" w:line="240" w:lineRule="auto"/>
        <w:jc w:val="both"/>
        <w:rPr>
          <w:rFonts w:ascii="Times New Roman" w:hAnsi="Times New Roman" w:cs="Times New Roman"/>
          <w:b/>
          <w:sz w:val="24"/>
          <w:szCs w:val="24"/>
        </w:rPr>
      </w:pPr>
    </w:p>
    <w:p w:rsidR="007C6109" w:rsidRDefault="006E2C09" w:rsidP="00877C4B">
      <w:pPr>
        <w:autoSpaceDE w:val="0"/>
        <w:autoSpaceDN w:val="0"/>
        <w:adjustRightInd w:val="0"/>
        <w:spacing w:after="0" w:line="240" w:lineRule="auto"/>
        <w:jc w:val="both"/>
        <w:rPr>
          <w:rFonts w:ascii="Times New Roman" w:hAnsi="Times New Roman" w:cs="Times New Roman"/>
          <w:b/>
          <w:sz w:val="24"/>
          <w:szCs w:val="24"/>
        </w:rPr>
      </w:pPr>
      <w:r w:rsidRPr="00A224C9">
        <w:rPr>
          <w:rFonts w:ascii="Times New Roman" w:hAnsi="Times New Roman" w:cs="Times New Roman"/>
          <w:sz w:val="24"/>
          <w:szCs w:val="24"/>
        </w:rPr>
        <w:t>It is seen from Table</w:t>
      </w:r>
      <w:r w:rsidR="007413C2">
        <w:rPr>
          <w:rFonts w:ascii="Times New Roman" w:hAnsi="Times New Roman" w:cs="Times New Roman"/>
          <w:sz w:val="24"/>
          <w:szCs w:val="24"/>
        </w:rPr>
        <w:t>.</w:t>
      </w:r>
      <w:r w:rsidRPr="00A224C9">
        <w:rPr>
          <w:rFonts w:ascii="Times New Roman" w:hAnsi="Times New Roman" w:cs="Times New Roman"/>
          <w:sz w:val="24"/>
          <w:szCs w:val="24"/>
        </w:rPr>
        <w:t xml:space="preserve"> 1 th</w:t>
      </w:r>
      <w:r w:rsidR="007413C2">
        <w:rPr>
          <w:rFonts w:ascii="Times New Roman" w:hAnsi="Times New Roman" w:cs="Times New Roman"/>
          <w:sz w:val="24"/>
          <w:szCs w:val="24"/>
        </w:rPr>
        <w:t>at N</w:t>
      </w:r>
      <w:r w:rsidR="00D66AB4" w:rsidRPr="00A224C9">
        <w:rPr>
          <w:rFonts w:ascii="Times New Roman" w:hAnsi="Times New Roman" w:cs="Times New Roman"/>
          <w:sz w:val="24"/>
          <w:szCs w:val="24"/>
        </w:rPr>
        <w:t>ominal expenditure on education has</w:t>
      </w:r>
      <w:r w:rsidR="00C6511D">
        <w:rPr>
          <w:rFonts w:ascii="Times New Roman" w:hAnsi="Times New Roman" w:cs="Times New Roman"/>
          <w:sz w:val="24"/>
          <w:szCs w:val="24"/>
        </w:rPr>
        <w:t xml:space="preserve"> increases five times since 2001. Total expenditure on </w:t>
      </w:r>
      <w:r w:rsidR="00A351D9">
        <w:rPr>
          <w:rFonts w:ascii="Times New Roman" w:hAnsi="Times New Roman" w:cs="Times New Roman"/>
          <w:sz w:val="24"/>
          <w:szCs w:val="24"/>
        </w:rPr>
        <w:t>education incurred</w:t>
      </w:r>
      <w:r w:rsidR="00C6511D">
        <w:rPr>
          <w:rFonts w:ascii="Times New Roman" w:hAnsi="Times New Roman" w:cs="Times New Roman"/>
          <w:sz w:val="24"/>
          <w:szCs w:val="24"/>
        </w:rPr>
        <w:t xml:space="preserve"> by both centre and </w:t>
      </w:r>
      <w:r w:rsidR="00A351D9">
        <w:rPr>
          <w:rFonts w:ascii="Times New Roman" w:hAnsi="Times New Roman" w:cs="Times New Roman"/>
          <w:sz w:val="24"/>
          <w:szCs w:val="24"/>
        </w:rPr>
        <w:t xml:space="preserve">state </w:t>
      </w:r>
      <w:r w:rsidR="00A351D9" w:rsidRPr="00A224C9">
        <w:rPr>
          <w:rFonts w:ascii="Times New Roman" w:hAnsi="Times New Roman" w:cs="Times New Roman"/>
          <w:sz w:val="24"/>
          <w:szCs w:val="24"/>
        </w:rPr>
        <w:t>been</w:t>
      </w:r>
      <w:r w:rsidR="00D66AB4" w:rsidRPr="00A224C9">
        <w:rPr>
          <w:rFonts w:ascii="Times New Roman" w:hAnsi="Times New Roman" w:cs="Times New Roman"/>
          <w:sz w:val="24"/>
          <w:szCs w:val="24"/>
        </w:rPr>
        <w:t xml:space="preserve"> growing </w:t>
      </w:r>
      <w:r w:rsidR="008233BE" w:rsidRPr="00A224C9">
        <w:rPr>
          <w:rFonts w:ascii="Times New Roman" w:hAnsi="Times New Roman" w:cs="Times New Roman"/>
          <w:sz w:val="24"/>
          <w:szCs w:val="24"/>
        </w:rPr>
        <w:t>at the annual average growth rate—percent.</w:t>
      </w:r>
      <w:r w:rsidR="00A964F7" w:rsidRPr="00A224C9">
        <w:rPr>
          <w:rFonts w:ascii="Times New Roman" w:hAnsi="Times New Roman" w:cs="Times New Roman"/>
          <w:sz w:val="24"/>
          <w:szCs w:val="24"/>
        </w:rPr>
        <w:t xml:space="preserve"> </w:t>
      </w:r>
      <w:r w:rsidR="007413C2">
        <w:rPr>
          <w:rFonts w:ascii="Times New Roman" w:hAnsi="Times New Roman" w:cs="Times New Roman"/>
          <w:sz w:val="24"/>
          <w:szCs w:val="24"/>
        </w:rPr>
        <w:t>Moreover R</w:t>
      </w:r>
      <w:r w:rsidR="003E5BF8" w:rsidRPr="00A224C9">
        <w:rPr>
          <w:rFonts w:ascii="Times New Roman" w:hAnsi="Times New Roman" w:cs="Times New Roman"/>
          <w:sz w:val="24"/>
          <w:szCs w:val="24"/>
        </w:rPr>
        <w:t xml:space="preserve">eal expenditure i.e expenditure on constant prices  </w:t>
      </w:r>
      <w:r w:rsidR="00A964F7" w:rsidRPr="00A224C9">
        <w:rPr>
          <w:rFonts w:ascii="Times New Roman" w:hAnsi="Times New Roman" w:cs="Times New Roman"/>
          <w:sz w:val="24"/>
          <w:szCs w:val="24"/>
        </w:rPr>
        <w:t xml:space="preserve"> shows a much lower CAGR of only 6.5 percent for the same period</w:t>
      </w:r>
      <w:r w:rsidRPr="00A224C9">
        <w:rPr>
          <w:rFonts w:ascii="Times New Roman" w:hAnsi="Times New Roman" w:cs="Times New Roman"/>
          <w:sz w:val="24"/>
          <w:szCs w:val="24"/>
        </w:rPr>
        <w:t>.</w:t>
      </w:r>
      <w:r w:rsidR="007413C2">
        <w:rPr>
          <w:rFonts w:ascii="Times New Roman" w:hAnsi="Times New Roman" w:cs="Times New Roman"/>
          <w:sz w:val="24"/>
          <w:szCs w:val="24"/>
        </w:rPr>
        <w:t xml:space="preserve"> It has also been analysed </w:t>
      </w:r>
      <w:r w:rsidR="007413C2" w:rsidRPr="00A224C9">
        <w:rPr>
          <w:rFonts w:ascii="Times New Roman" w:hAnsi="Times New Roman" w:cs="Times New Roman"/>
          <w:sz w:val="24"/>
          <w:szCs w:val="24"/>
        </w:rPr>
        <w:t>from</w:t>
      </w:r>
      <w:r w:rsidR="0064185A" w:rsidRPr="00A224C9">
        <w:rPr>
          <w:rFonts w:ascii="Times New Roman" w:hAnsi="Times New Roman" w:cs="Times New Roman"/>
          <w:sz w:val="24"/>
          <w:szCs w:val="24"/>
        </w:rPr>
        <w:t xml:space="preserve"> the table that the share of state government in total expenditure has decline from 88 </w:t>
      </w:r>
      <w:r w:rsidR="007413C2" w:rsidRPr="00A224C9">
        <w:rPr>
          <w:rFonts w:ascii="Times New Roman" w:hAnsi="Times New Roman" w:cs="Times New Roman"/>
          <w:sz w:val="24"/>
          <w:szCs w:val="24"/>
        </w:rPr>
        <w:t xml:space="preserve">% </w:t>
      </w:r>
      <w:r w:rsidR="007413C2">
        <w:rPr>
          <w:rFonts w:ascii="Times New Roman" w:hAnsi="Times New Roman" w:cs="Times New Roman"/>
          <w:sz w:val="24"/>
          <w:szCs w:val="24"/>
        </w:rPr>
        <w:t xml:space="preserve">in 2001 </w:t>
      </w:r>
      <w:r w:rsidR="0064185A" w:rsidRPr="00A224C9">
        <w:rPr>
          <w:rFonts w:ascii="Times New Roman" w:hAnsi="Times New Roman" w:cs="Times New Roman"/>
          <w:sz w:val="24"/>
          <w:szCs w:val="24"/>
        </w:rPr>
        <w:t xml:space="preserve">to 74 </w:t>
      </w:r>
      <w:r w:rsidR="007413C2" w:rsidRPr="00A224C9">
        <w:rPr>
          <w:rFonts w:ascii="Times New Roman" w:hAnsi="Times New Roman" w:cs="Times New Roman"/>
          <w:sz w:val="24"/>
          <w:szCs w:val="24"/>
        </w:rPr>
        <w:t>percent</w:t>
      </w:r>
      <w:r w:rsidR="007413C2">
        <w:rPr>
          <w:rFonts w:ascii="Times New Roman" w:hAnsi="Times New Roman" w:cs="Times New Roman"/>
          <w:sz w:val="24"/>
          <w:szCs w:val="24"/>
        </w:rPr>
        <w:t xml:space="preserve"> in 2013-14. T</w:t>
      </w:r>
      <w:r w:rsidR="0064185A" w:rsidRPr="00A224C9">
        <w:rPr>
          <w:rFonts w:ascii="Times New Roman" w:hAnsi="Times New Roman" w:cs="Times New Roman"/>
          <w:sz w:val="24"/>
          <w:szCs w:val="24"/>
        </w:rPr>
        <w:t>he share of central govern</w:t>
      </w:r>
      <w:r w:rsidR="007413C2">
        <w:rPr>
          <w:rFonts w:ascii="Times New Roman" w:hAnsi="Times New Roman" w:cs="Times New Roman"/>
          <w:sz w:val="24"/>
          <w:szCs w:val="24"/>
        </w:rPr>
        <w:t>ment has increased significantly from 12 percent in 2001 to 26 percent in 2013-14</w:t>
      </w:r>
      <w:r w:rsidR="00195AD4">
        <w:rPr>
          <w:rFonts w:ascii="Times New Roman" w:hAnsi="Times New Roman" w:cs="Times New Roman"/>
          <w:sz w:val="24"/>
          <w:szCs w:val="24"/>
        </w:rPr>
        <w:t xml:space="preserve">. Public expenditure on education as percentage of total expenditure of the government has reached the highest level 14.60 </w:t>
      </w:r>
      <w:r w:rsidR="007F69EA">
        <w:rPr>
          <w:rFonts w:ascii="Times New Roman" w:hAnsi="Times New Roman" w:cs="Times New Roman"/>
          <w:sz w:val="24"/>
          <w:szCs w:val="24"/>
        </w:rPr>
        <w:t>percent;</w:t>
      </w:r>
      <w:r w:rsidR="00195AD4">
        <w:rPr>
          <w:rFonts w:ascii="Times New Roman" w:hAnsi="Times New Roman" w:cs="Times New Roman"/>
          <w:sz w:val="24"/>
          <w:szCs w:val="24"/>
        </w:rPr>
        <w:t xml:space="preserve"> thereafter it stared declining at become 13.63 in 2008-09.</w:t>
      </w:r>
    </w:p>
    <w:p w:rsidR="00517FA9" w:rsidRPr="00F46CFF" w:rsidRDefault="000F4BE0" w:rsidP="0003159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Components of P</w:t>
      </w:r>
      <w:r w:rsidR="00710B08" w:rsidRPr="0010352A">
        <w:rPr>
          <w:rFonts w:ascii="Times New Roman" w:hAnsi="Times New Roman" w:cs="Times New Roman"/>
          <w:b/>
          <w:sz w:val="24"/>
          <w:szCs w:val="24"/>
        </w:rPr>
        <w:t xml:space="preserve">ublic expenditure. </w:t>
      </w:r>
      <w:r>
        <w:rPr>
          <w:rFonts w:ascii="Times New Roman" w:hAnsi="Times New Roman" w:cs="Times New Roman"/>
          <w:sz w:val="24"/>
          <w:szCs w:val="24"/>
        </w:rPr>
        <w:t>C</w:t>
      </w:r>
      <w:r w:rsidR="00082247">
        <w:rPr>
          <w:rFonts w:ascii="Times New Roman" w:hAnsi="Times New Roman" w:cs="Times New Roman"/>
          <w:sz w:val="24"/>
          <w:szCs w:val="24"/>
        </w:rPr>
        <w:t>omponents of P</w:t>
      </w:r>
      <w:r w:rsidR="00710B08" w:rsidRPr="0010352A">
        <w:rPr>
          <w:rFonts w:ascii="Times New Roman" w:hAnsi="Times New Roman" w:cs="Times New Roman"/>
          <w:sz w:val="24"/>
          <w:szCs w:val="24"/>
        </w:rPr>
        <w:t>ublic expenditure on any sector are planned expenditur</w:t>
      </w:r>
      <w:r w:rsidR="008664BD">
        <w:rPr>
          <w:rFonts w:ascii="Times New Roman" w:hAnsi="Times New Roman" w:cs="Times New Roman"/>
          <w:sz w:val="24"/>
          <w:szCs w:val="24"/>
        </w:rPr>
        <w:t>e and Non-planned expenditure,</w:t>
      </w:r>
      <w:r w:rsidR="00710B08">
        <w:rPr>
          <w:rFonts w:ascii="Times New Roman" w:hAnsi="Times New Roman" w:cs="Times New Roman"/>
          <w:sz w:val="24"/>
          <w:szCs w:val="24"/>
        </w:rPr>
        <w:t xml:space="preserve"> R</w:t>
      </w:r>
      <w:r w:rsidR="00710B08" w:rsidRPr="0010352A">
        <w:rPr>
          <w:rFonts w:ascii="Times New Roman" w:hAnsi="Times New Roman" w:cs="Times New Roman"/>
          <w:sz w:val="24"/>
          <w:szCs w:val="24"/>
        </w:rPr>
        <w:t>evenue expenditure and capital expenditure. Pla</w:t>
      </w:r>
      <w:r w:rsidR="00710B08">
        <w:rPr>
          <w:rFonts w:ascii="Times New Roman" w:hAnsi="Times New Roman" w:cs="Times New Roman"/>
          <w:sz w:val="24"/>
          <w:szCs w:val="24"/>
        </w:rPr>
        <w:t>nned expenditure in that part of</w:t>
      </w:r>
      <w:r w:rsidR="00710B08" w:rsidRPr="0010352A">
        <w:rPr>
          <w:rFonts w:ascii="Times New Roman" w:hAnsi="Times New Roman" w:cs="Times New Roman"/>
          <w:sz w:val="24"/>
          <w:szCs w:val="24"/>
        </w:rPr>
        <w:t xml:space="preserve"> budgetary expenditure whi</w:t>
      </w:r>
      <w:r w:rsidR="00710B08">
        <w:rPr>
          <w:rFonts w:ascii="Times New Roman" w:hAnsi="Times New Roman" w:cs="Times New Roman"/>
          <w:sz w:val="24"/>
          <w:szCs w:val="24"/>
        </w:rPr>
        <w:t>ch is meant for finance the schemes and pro</w:t>
      </w:r>
      <w:r w:rsidR="00082247">
        <w:rPr>
          <w:rFonts w:ascii="Times New Roman" w:hAnsi="Times New Roman" w:cs="Times New Roman"/>
          <w:sz w:val="24"/>
          <w:szCs w:val="24"/>
        </w:rPr>
        <w:t>grammes framed under annual</w:t>
      </w:r>
      <w:r w:rsidR="00710B08">
        <w:rPr>
          <w:rFonts w:ascii="Times New Roman" w:hAnsi="Times New Roman" w:cs="Times New Roman"/>
          <w:sz w:val="24"/>
          <w:szCs w:val="24"/>
        </w:rPr>
        <w:t xml:space="preserve"> and five years plan or expenditure on unfinished task of the previous plan. Plan expenditure in mainly on the creation of assets. </w:t>
      </w:r>
      <w:r w:rsidR="00710B08" w:rsidRPr="0010352A">
        <w:rPr>
          <w:rFonts w:ascii="Times New Roman" w:hAnsi="Times New Roman" w:cs="Times New Roman"/>
          <w:sz w:val="24"/>
          <w:szCs w:val="24"/>
        </w:rPr>
        <w:t xml:space="preserve"> Non</w:t>
      </w:r>
      <w:r w:rsidR="00710B08">
        <w:rPr>
          <w:rFonts w:ascii="Times New Roman" w:hAnsi="Times New Roman" w:cs="Times New Roman"/>
          <w:sz w:val="24"/>
          <w:szCs w:val="24"/>
        </w:rPr>
        <w:t>-</w:t>
      </w:r>
      <w:r w:rsidR="00710B08" w:rsidRPr="0010352A">
        <w:rPr>
          <w:rFonts w:ascii="Times New Roman" w:hAnsi="Times New Roman" w:cs="Times New Roman"/>
          <w:sz w:val="24"/>
          <w:szCs w:val="24"/>
        </w:rPr>
        <w:t xml:space="preserve"> plan expenditure is the expenditure on operating and maintaining existing education</w:t>
      </w:r>
      <w:r w:rsidR="00710B08">
        <w:rPr>
          <w:rFonts w:ascii="Times New Roman" w:hAnsi="Times New Roman" w:cs="Times New Roman"/>
          <w:sz w:val="24"/>
          <w:szCs w:val="24"/>
        </w:rPr>
        <w:t>al</w:t>
      </w:r>
      <w:r w:rsidR="00710B08" w:rsidRPr="0010352A">
        <w:rPr>
          <w:rFonts w:ascii="Times New Roman" w:hAnsi="Times New Roman" w:cs="Times New Roman"/>
          <w:sz w:val="24"/>
          <w:szCs w:val="24"/>
        </w:rPr>
        <w:t xml:space="preserve"> infrastructure. So at the end of a five year plan, the recurring parts of Plan expenditure on different programmes or schemes become </w:t>
      </w:r>
      <w:r w:rsidR="00710B08">
        <w:rPr>
          <w:rFonts w:ascii="Times New Roman" w:hAnsi="Times New Roman" w:cs="Times New Roman"/>
          <w:sz w:val="24"/>
          <w:szCs w:val="24"/>
        </w:rPr>
        <w:t xml:space="preserve">part of Non plan expenditure. </w:t>
      </w:r>
      <w:r w:rsidR="00710B08" w:rsidRPr="0010352A">
        <w:rPr>
          <w:rFonts w:ascii="Times New Roman" w:hAnsi="Times New Roman" w:cs="Times New Roman"/>
          <w:sz w:val="24"/>
          <w:szCs w:val="24"/>
        </w:rPr>
        <w:t xml:space="preserve"> Non plan expenditure is expected to increase steadily over the years.</w:t>
      </w:r>
      <w:r w:rsidR="00710B08">
        <w:rPr>
          <w:rFonts w:ascii="Times New Roman" w:hAnsi="Times New Roman" w:cs="Times New Roman"/>
          <w:sz w:val="24"/>
          <w:szCs w:val="24"/>
        </w:rPr>
        <w:t xml:space="preserve"> Another classification of public</w:t>
      </w:r>
      <w:r w:rsidR="00082247">
        <w:rPr>
          <w:rFonts w:ascii="Times New Roman" w:hAnsi="Times New Roman" w:cs="Times New Roman"/>
          <w:sz w:val="24"/>
          <w:szCs w:val="24"/>
        </w:rPr>
        <w:t xml:space="preserve"> expenditure i</w:t>
      </w:r>
      <w:r w:rsidR="000E7819">
        <w:rPr>
          <w:rFonts w:ascii="Times New Roman" w:hAnsi="Times New Roman" w:cs="Times New Roman"/>
          <w:sz w:val="24"/>
          <w:szCs w:val="24"/>
        </w:rPr>
        <w:t xml:space="preserve">s expenditure on  </w:t>
      </w:r>
      <w:r w:rsidR="00082247">
        <w:rPr>
          <w:rFonts w:ascii="Times New Roman" w:hAnsi="Times New Roman" w:cs="Times New Roman"/>
          <w:sz w:val="24"/>
          <w:szCs w:val="24"/>
        </w:rPr>
        <w:t xml:space="preserve"> C</w:t>
      </w:r>
      <w:r w:rsidR="00710B08">
        <w:rPr>
          <w:rFonts w:ascii="Times New Roman" w:hAnsi="Times New Roman" w:cs="Times New Roman"/>
          <w:sz w:val="24"/>
          <w:szCs w:val="24"/>
        </w:rPr>
        <w:t>apital account</w:t>
      </w:r>
      <w:r w:rsidR="000E7819">
        <w:rPr>
          <w:rFonts w:ascii="Times New Roman" w:hAnsi="Times New Roman" w:cs="Times New Roman"/>
          <w:sz w:val="24"/>
          <w:szCs w:val="24"/>
        </w:rPr>
        <w:t xml:space="preserve"> and revenue account</w:t>
      </w:r>
      <w:r w:rsidR="00710B08">
        <w:rPr>
          <w:rFonts w:ascii="Times New Roman" w:hAnsi="Times New Roman" w:cs="Times New Roman"/>
          <w:sz w:val="24"/>
          <w:szCs w:val="24"/>
        </w:rPr>
        <w:t>.</w:t>
      </w:r>
      <w:r w:rsidR="001539EF" w:rsidRPr="001539EF">
        <w:rPr>
          <w:rFonts w:ascii="Times New Roman" w:hAnsi="Times New Roman" w:cs="Times New Roman"/>
          <w:sz w:val="24"/>
          <w:szCs w:val="24"/>
        </w:rPr>
        <w:t xml:space="preserve"> </w:t>
      </w:r>
      <w:r w:rsidR="001539EF">
        <w:rPr>
          <w:rFonts w:ascii="Times New Roman" w:hAnsi="Times New Roman" w:cs="Times New Roman"/>
          <w:sz w:val="24"/>
          <w:szCs w:val="24"/>
        </w:rPr>
        <w:t>Former is expenditure on creation of assets and it is developmental in nature. Whereas the later is expenditure on normal running of the system it includes the expenditure on salaries etc</w:t>
      </w:r>
      <w:r w:rsidR="00082247">
        <w:rPr>
          <w:rFonts w:ascii="Times New Roman" w:hAnsi="Times New Roman" w:cs="Times New Roman"/>
          <w:sz w:val="24"/>
          <w:szCs w:val="24"/>
        </w:rPr>
        <w:t>.</w:t>
      </w:r>
      <w:r w:rsidR="001539EF">
        <w:rPr>
          <w:rFonts w:ascii="Times New Roman" w:hAnsi="Times New Roman" w:cs="Times New Roman"/>
          <w:sz w:val="24"/>
          <w:szCs w:val="24"/>
        </w:rPr>
        <w:t xml:space="preserve"> </w:t>
      </w:r>
      <w:r w:rsidR="00710B08">
        <w:rPr>
          <w:rFonts w:ascii="Times New Roman" w:hAnsi="Times New Roman" w:cs="Times New Roman"/>
          <w:sz w:val="24"/>
          <w:szCs w:val="24"/>
        </w:rPr>
        <w:t xml:space="preserve"> Bulk of resources spen</w:t>
      </w:r>
      <w:r w:rsidR="00082247">
        <w:rPr>
          <w:rFonts w:ascii="Times New Roman" w:hAnsi="Times New Roman" w:cs="Times New Roman"/>
          <w:sz w:val="24"/>
          <w:szCs w:val="24"/>
        </w:rPr>
        <w:t>d on education in India are on R</w:t>
      </w:r>
      <w:r w:rsidR="00710B08">
        <w:rPr>
          <w:rFonts w:ascii="Times New Roman" w:hAnsi="Times New Roman" w:cs="Times New Roman"/>
          <w:sz w:val="24"/>
          <w:szCs w:val="24"/>
        </w:rPr>
        <w:t>evenue account and small amount is spend on capital account.</w:t>
      </w:r>
      <w:r w:rsidR="006E2C09" w:rsidRPr="006E2C09">
        <w:rPr>
          <w:rFonts w:ascii="BookAntiqua" w:hAnsi="BookAntiqua" w:cs="BookAntiqua"/>
          <w:sz w:val="23"/>
          <w:szCs w:val="23"/>
        </w:rPr>
        <w:t xml:space="preserve"> </w:t>
      </w:r>
      <w:r w:rsidR="006E2C09">
        <w:rPr>
          <w:rFonts w:ascii="BookAntiqua" w:hAnsi="BookAntiqua" w:cs="BookAntiqua"/>
          <w:sz w:val="23"/>
          <w:szCs w:val="23"/>
        </w:rPr>
        <w:t>Capital expenditure and loans for education are quite meagre in comparison with the expenditure under Revenue. The share of capital expenditure in total expenditure is less than one percent.</w:t>
      </w:r>
      <w:r w:rsidR="00710B08">
        <w:rPr>
          <w:rFonts w:ascii="Times New Roman" w:hAnsi="Times New Roman" w:cs="Times New Roman"/>
          <w:sz w:val="24"/>
          <w:szCs w:val="24"/>
        </w:rPr>
        <w:t xml:space="preserve"> It does not mean that government is not spending money on the creation of assets. The reason behind this is</w:t>
      </w:r>
      <w:r w:rsidR="00082247">
        <w:rPr>
          <w:rFonts w:ascii="Times New Roman" w:hAnsi="Times New Roman" w:cs="Times New Roman"/>
          <w:sz w:val="24"/>
          <w:szCs w:val="24"/>
        </w:rPr>
        <w:t xml:space="preserve"> that the total</w:t>
      </w:r>
      <w:r w:rsidR="00710B08">
        <w:rPr>
          <w:rFonts w:ascii="Times New Roman" w:hAnsi="Times New Roman" w:cs="Times New Roman"/>
          <w:sz w:val="24"/>
          <w:szCs w:val="24"/>
        </w:rPr>
        <w:t xml:space="preserve"> grant in aid provided for creation of assets booked under revenue account and not on capital account.</w:t>
      </w:r>
      <w:r w:rsidR="00517FA9">
        <w:rPr>
          <w:rFonts w:ascii="Times New Roman" w:hAnsi="Times New Roman" w:cs="Times New Roman"/>
          <w:sz w:val="24"/>
          <w:szCs w:val="24"/>
        </w:rPr>
        <w:t xml:space="preserve"> It is important to look at </w:t>
      </w:r>
      <w:r w:rsidR="00082247">
        <w:rPr>
          <w:rFonts w:ascii="Times New Roman" w:hAnsi="Times New Roman" w:cs="Times New Roman"/>
          <w:sz w:val="24"/>
          <w:szCs w:val="24"/>
        </w:rPr>
        <w:t>the trends of Planned and Non P</w:t>
      </w:r>
      <w:r w:rsidR="00517FA9">
        <w:rPr>
          <w:rFonts w:ascii="Times New Roman" w:hAnsi="Times New Roman" w:cs="Times New Roman"/>
          <w:sz w:val="24"/>
          <w:szCs w:val="24"/>
        </w:rPr>
        <w:t>lanned expenditure on education.</w:t>
      </w:r>
      <w:r w:rsidR="00517FA9" w:rsidRPr="00517FA9">
        <w:rPr>
          <w:rFonts w:ascii="Times New Roman" w:hAnsi="Times New Roman" w:cs="Times New Roman"/>
        </w:rPr>
        <w:t xml:space="preserve"> </w:t>
      </w:r>
      <w:r w:rsidR="00517FA9" w:rsidRPr="00517FA9">
        <w:rPr>
          <w:rFonts w:ascii="Times New Roman" w:hAnsi="Times New Roman" w:cs="Times New Roman"/>
          <w:sz w:val="24"/>
          <w:szCs w:val="24"/>
        </w:rPr>
        <w:t>This is because, as already mentioned,</w:t>
      </w:r>
    </w:p>
    <w:p w:rsidR="00710B08" w:rsidRDefault="00517FA9" w:rsidP="00031594">
      <w:pPr>
        <w:autoSpaceDE w:val="0"/>
        <w:autoSpaceDN w:val="0"/>
        <w:adjustRightInd w:val="0"/>
        <w:spacing w:after="0" w:line="240" w:lineRule="auto"/>
        <w:jc w:val="both"/>
        <w:rPr>
          <w:rFonts w:ascii="Times New Roman" w:hAnsi="Times New Roman" w:cs="Times New Roman"/>
          <w:sz w:val="24"/>
          <w:szCs w:val="24"/>
        </w:rPr>
      </w:pPr>
      <w:r w:rsidRPr="00517FA9">
        <w:rPr>
          <w:rFonts w:ascii="Times New Roman" w:hAnsi="Times New Roman" w:cs="Times New Roman"/>
          <w:sz w:val="24"/>
          <w:szCs w:val="24"/>
        </w:rPr>
        <w:t>Non</w:t>
      </w:r>
      <w:r>
        <w:rPr>
          <w:rFonts w:ascii="Times New Roman" w:hAnsi="Times New Roman" w:cs="Times New Roman"/>
          <w:sz w:val="24"/>
          <w:szCs w:val="24"/>
        </w:rPr>
        <w:t>-</w:t>
      </w:r>
      <w:r w:rsidRPr="00517FA9">
        <w:rPr>
          <w:rFonts w:ascii="Times New Roman" w:hAnsi="Times New Roman" w:cs="Times New Roman"/>
          <w:sz w:val="24"/>
          <w:szCs w:val="24"/>
        </w:rPr>
        <w:t>plan expenditure largely reflects the recurring expenses in the education sector while the Plan</w:t>
      </w:r>
      <w:r>
        <w:rPr>
          <w:rFonts w:ascii="Times New Roman" w:hAnsi="Times New Roman" w:cs="Times New Roman"/>
          <w:sz w:val="24"/>
          <w:szCs w:val="24"/>
        </w:rPr>
        <w:t xml:space="preserve"> </w:t>
      </w:r>
      <w:r w:rsidRPr="00517FA9">
        <w:rPr>
          <w:rFonts w:ascii="Times New Roman" w:hAnsi="Times New Roman" w:cs="Times New Roman"/>
          <w:sz w:val="24"/>
          <w:szCs w:val="24"/>
        </w:rPr>
        <w:t>expenditure reflects new schemes and projects started by the government</w:t>
      </w:r>
      <w:r w:rsidR="000E7819">
        <w:rPr>
          <w:rFonts w:ascii="Times New Roman" w:hAnsi="Times New Roman" w:cs="Times New Roman"/>
          <w:sz w:val="24"/>
          <w:szCs w:val="24"/>
        </w:rPr>
        <w:t>.</w:t>
      </w:r>
    </w:p>
    <w:p w:rsidR="00F659EF" w:rsidRDefault="00082247" w:rsidP="006E2C0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D349E">
        <w:rPr>
          <w:rFonts w:ascii="Times New Roman" w:hAnsi="Times New Roman" w:cs="Times New Roman"/>
          <w:b/>
          <w:sz w:val="24"/>
          <w:szCs w:val="24"/>
        </w:rPr>
        <w:t xml:space="preserve">                                                       </w:t>
      </w:r>
    </w:p>
    <w:p w:rsidR="00737E50" w:rsidRDefault="00F659EF" w:rsidP="006E2C0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2247">
        <w:rPr>
          <w:rFonts w:ascii="Times New Roman" w:hAnsi="Times New Roman" w:cs="Times New Roman"/>
          <w:b/>
          <w:sz w:val="24"/>
          <w:szCs w:val="24"/>
        </w:rPr>
        <w:t>Table - 3</w:t>
      </w:r>
    </w:p>
    <w:p w:rsidR="006E2C09" w:rsidRDefault="006E2C09" w:rsidP="006E2C0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Share of plan and Non plan expenditure on education Revenue Account.</w:t>
      </w:r>
    </w:p>
    <w:tbl>
      <w:tblPr>
        <w:tblStyle w:val="TableGrid"/>
        <w:tblW w:w="0" w:type="auto"/>
        <w:tblLayout w:type="fixed"/>
        <w:tblLook w:val="04A0"/>
      </w:tblPr>
      <w:tblGrid>
        <w:gridCol w:w="1134"/>
        <w:gridCol w:w="2802"/>
        <w:gridCol w:w="2551"/>
        <w:gridCol w:w="2693"/>
      </w:tblGrid>
      <w:tr w:rsidR="006E2C09" w:rsidTr="00353A86">
        <w:trPr>
          <w:trHeight w:val="733"/>
        </w:trPr>
        <w:tc>
          <w:tcPr>
            <w:tcW w:w="1134" w:type="dxa"/>
          </w:tcPr>
          <w:p w:rsidR="00353A86" w:rsidRPr="00353A86" w:rsidRDefault="006E2C09" w:rsidP="00353A86">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YEARS</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353A86">
              <w:rPr>
                <w:rFonts w:ascii="Times New Roman" w:hAnsi="Times New Roman" w:cs="Times New Roman"/>
                <w:b/>
                <w:sz w:val="24"/>
                <w:szCs w:val="24"/>
              </w:rPr>
              <w:t xml:space="preserve">  </w:t>
            </w:r>
            <w:r>
              <w:rPr>
                <w:rFonts w:ascii="Times New Roman" w:hAnsi="Times New Roman" w:cs="Times New Roman"/>
                <w:b/>
                <w:sz w:val="24"/>
                <w:szCs w:val="24"/>
              </w:rPr>
              <w:t>Centre</w:t>
            </w:r>
          </w:p>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Plan           </w:t>
            </w:r>
            <w:r w:rsidR="001D4035">
              <w:rPr>
                <w:rFonts w:ascii="Times New Roman" w:hAnsi="Times New Roman" w:cs="Times New Roman"/>
                <w:b/>
                <w:sz w:val="24"/>
                <w:szCs w:val="24"/>
              </w:rPr>
              <w:t xml:space="preserve">    </w:t>
            </w:r>
            <w:r>
              <w:rPr>
                <w:rFonts w:ascii="Times New Roman" w:hAnsi="Times New Roman" w:cs="Times New Roman"/>
                <w:b/>
                <w:sz w:val="24"/>
                <w:szCs w:val="24"/>
              </w:rPr>
              <w:t xml:space="preserve"> Non-plan</w:t>
            </w:r>
          </w:p>
        </w:tc>
        <w:tc>
          <w:tcPr>
            <w:tcW w:w="2551"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353A86">
              <w:rPr>
                <w:rFonts w:ascii="Times New Roman" w:hAnsi="Times New Roman" w:cs="Times New Roman"/>
                <w:b/>
                <w:sz w:val="24"/>
                <w:szCs w:val="24"/>
              </w:rPr>
              <w:t xml:space="preserve">       </w:t>
            </w:r>
            <w:r>
              <w:rPr>
                <w:rFonts w:ascii="Times New Roman" w:hAnsi="Times New Roman" w:cs="Times New Roman"/>
                <w:b/>
                <w:sz w:val="24"/>
                <w:szCs w:val="24"/>
              </w:rPr>
              <w:t xml:space="preserve"> State</w:t>
            </w:r>
          </w:p>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Plan      </w:t>
            </w:r>
            <w:r w:rsidR="00353A86">
              <w:rPr>
                <w:rFonts w:ascii="Times New Roman" w:hAnsi="Times New Roman" w:cs="Times New Roman"/>
                <w:b/>
                <w:sz w:val="24"/>
                <w:szCs w:val="24"/>
              </w:rPr>
              <w:t xml:space="preserve">    </w:t>
            </w:r>
            <w:r>
              <w:rPr>
                <w:rFonts w:ascii="Times New Roman" w:hAnsi="Times New Roman" w:cs="Times New Roman"/>
                <w:b/>
                <w:sz w:val="24"/>
                <w:szCs w:val="24"/>
              </w:rPr>
              <w:t xml:space="preserve"> Non- Plan</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Total centre and state</w:t>
            </w:r>
          </w:p>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Plan           </w:t>
            </w:r>
            <w:r w:rsidR="00F56EB9">
              <w:rPr>
                <w:rFonts w:ascii="Times New Roman" w:hAnsi="Times New Roman" w:cs="Times New Roman"/>
                <w:b/>
                <w:sz w:val="24"/>
                <w:szCs w:val="24"/>
              </w:rPr>
              <w:t xml:space="preserve">      </w:t>
            </w:r>
            <w:r>
              <w:rPr>
                <w:rFonts w:ascii="Times New Roman" w:hAnsi="Times New Roman" w:cs="Times New Roman"/>
                <w:b/>
                <w:sz w:val="24"/>
                <w:szCs w:val="24"/>
              </w:rPr>
              <w:t>Non Plan</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2004-05</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71.43                      </w:t>
            </w:r>
            <w:r w:rsidR="001D368E">
              <w:rPr>
                <w:rFonts w:ascii="Times New Roman" w:hAnsi="Times New Roman" w:cs="Times New Roman"/>
                <w:b/>
                <w:sz w:val="24"/>
                <w:szCs w:val="24"/>
              </w:rPr>
              <w:t xml:space="preserve">  </w:t>
            </w:r>
            <w:r>
              <w:rPr>
                <w:rFonts w:ascii="Times New Roman" w:hAnsi="Times New Roman" w:cs="Times New Roman"/>
                <w:b/>
                <w:sz w:val="24"/>
                <w:szCs w:val="24"/>
              </w:rPr>
              <w:t>28.57</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12.45                  87.55        </w:t>
            </w:r>
          </w:p>
        </w:tc>
        <w:tc>
          <w:tcPr>
            <w:tcW w:w="2693" w:type="dxa"/>
          </w:tcPr>
          <w:p w:rsidR="006E2C09" w:rsidRDefault="006E2C09"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23.88                       76.55</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2005-06</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76.97                      </w:t>
            </w:r>
            <w:r w:rsidR="001D368E">
              <w:rPr>
                <w:rFonts w:ascii="Times New Roman" w:hAnsi="Times New Roman" w:cs="Times New Roman"/>
                <w:b/>
                <w:sz w:val="24"/>
                <w:szCs w:val="24"/>
              </w:rPr>
              <w:t xml:space="preserve">   </w:t>
            </w:r>
            <w:r>
              <w:rPr>
                <w:rFonts w:ascii="Times New Roman" w:hAnsi="Times New Roman" w:cs="Times New Roman"/>
                <w:b/>
                <w:sz w:val="24"/>
                <w:szCs w:val="24"/>
              </w:rPr>
              <w:t>23.03</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15.32                 </w:t>
            </w:r>
            <w:r w:rsidR="000A4942">
              <w:rPr>
                <w:rFonts w:ascii="Times New Roman" w:hAnsi="Times New Roman" w:cs="Times New Roman"/>
                <w:b/>
                <w:sz w:val="24"/>
                <w:szCs w:val="24"/>
              </w:rPr>
              <w:t xml:space="preserve"> </w:t>
            </w:r>
            <w:r>
              <w:rPr>
                <w:rFonts w:ascii="Times New Roman" w:hAnsi="Times New Roman" w:cs="Times New Roman"/>
                <w:b/>
                <w:sz w:val="24"/>
                <w:szCs w:val="24"/>
              </w:rPr>
              <w:t>84.68</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27.92                       71.08</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2006-07</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81.04                      </w:t>
            </w:r>
            <w:r w:rsidR="001D368E">
              <w:rPr>
                <w:rFonts w:ascii="Times New Roman" w:hAnsi="Times New Roman" w:cs="Times New Roman"/>
                <w:b/>
                <w:sz w:val="24"/>
                <w:szCs w:val="24"/>
              </w:rPr>
              <w:t xml:space="preserve">  </w:t>
            </w:r>
            <w:r>
              <w:rPr>
                <w:rFonts w:ascii="Times New Roman" w:hAnsi="Times New Roman" w:cs="Times New Roman"/>
                <w:b/>
                <w:sz w:val="24"/>
                <w:szCs w:val="24"/>
              </w:rPr>
              <w:t>18.94</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16.48                  83.52</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32.52                      </w:t>
            </w:r>
            <w:r w:rsidR="0059773D">
              <w:rPr>
                <w:rFonts w:ascii="Times New Roman" w:hAnsi="Times New Roman" w:cs="Times New Roman"/>
                <w:b/>
                <w:sz w:val="24"/>
                <w:szCs w:val="24"/>
              </w:rPr>
              <w:t xml:space="preserve"> </w:t>
            </w:r>
            <w:r>
              <w:rPr>
                <w:rFonts w:ascii="Times New Roman" w:hAnsi="Times New Roman" w:cs="Times New Roman"/>
                <w:b/>
                <w:sz w:val="24"/>
                <w:szCs w:val="24"/>
              </w:rPr>
              <w:t>67.48</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2007-08</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82.42                      </w:t>
            </w:r>
            <w:r w:rsidR="001D368E">
              <w:rPr>
                <w:rFonts w:ascii="Times New Roman" w:hAnsi="Times New Roman" w:cs="Times New Roman"/>
                <w:b/>
                <w:sz w:val="24"/>
                <w:szCs w:val="24"/>
              </w:rPr>
              <w:t xml:space="preserve">  </w:t>
            </w:r>
            <w:r>
              <w:rPr>
                <w:rFonts w:ascii="Times New Roman" w:hAnsi="Times New Roman" w:cs="Times New Roman"/>
                <w:b/>
                <w:sz w:val="24"/>
                <w:szCs w:val="24"/>
              </w:rPr>
              <w:t xml:space="preserve"> 17.58</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16.71                  83.28               </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33.55                       66.45</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2008-09</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79.67                      </w:t>
            </w:r>
            <w:r w:rsidR="001D368E">
              <w:rPr>
                <w:rFonts w:ascii="Times New Roman" w:hAnsi="Times New Roman" w:cs="Times New Roman"/>
                <w:b/>
                <w:sz w:val="24"/>
                <w:szCs w:val="24"/>
              </w:rPr>
              <w:t xml:space="preserve">   </w:t>
            </w:r>
            <w:r>
              <w:rPr>
                <w:rFonts w:ascii="Times New Roman" w:hAnsi="Times New Roman" w:cs="Times New Roman"/>
                <w:b/>
                <w:sz w:val="24"/>
                <w:szCs w:val="24"/>
              </w:rPr>
              <w:t>20.33</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16.47                  83.53</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32.51                     </w:t>
            </w:r>
            <w:r w:rsidR="0059773D">
              <w:rPr>
                <w:rFonts w:ascii="Times New Roman" w:hAnsi="Times New Roman" w:cs="Times New Roman"/>
                <w:b/>
                <w:sz w:val="24"/>
                <w:szCs w:val="24"/>
              </w:rPr>
              <w:t xml:space="preserve">  </w:t>
            </w:r>
            <w:r>
              <w:rPr>
                <w:rFonts w:ascii="Times New Roman" w:hAnsi="Times New Roman" w:cs="Times New Roman"/>
                <w:b/>
                <w:sz w:val="24"/>
                <w:szCs w:val="24"/>
              </w:rPr>
              <w:t>67.49</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2009-10</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74.19                     </w:t>
            </w:r>
            <w:r w:rsidR="001D368E">
              <w:rPr>
                <w:rFonts w:ascii="Times New Roman" w:hAnsi="Times New Roman" w:cs="Times New Roman"/>
                <w:b/>
                <w:sz w:val="24"/>
                <w:szCs w:val="24"/>
              </w:rPr>
              <w:t xml:space="preserve">    </w:t>
            </w:r>
            <w:r>
              <w:rPr>
                <w:rFonts w:ascii="Times New Roman" w:hAnsi="Times New Roman" w:cs="Times New Roman"/>
                <w:b/>
                <w:sz w:val="24"/>
                <w:szCs w:val="24"/>
              </w:rPr>
              <w:t>25.81</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16.56                  83.48</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31.86                  </w:t>
            </w:r>
            <w:r w:rsidR="0059773D">
              <w:rPr>
                <w:rFonts w:ascii="Times New Roman" w:hAnsi="Times New Roman" w:cs="Times New Roman"/>
                <w:b/>
                <w:sz w:val="24"/>
                <w:szCs w:val="24"/>
              </w:rPr>
              <w:t xml:space="preserve">   </w:t>
            </w:r>
            <w:r>
              <w:rPr>
                <w:rFonts w:ascii="Times New Roman" w:hAnsi="Times New Roman" w:cs="Times New Roman"/>
                <w:b/>
                <w:sz w:val="24"/>
                <w:szCs w:val="24"/>
              </w:rPr>
              <w:t xml:space="preserve"> 68.14</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2010-11</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80.22                     </w:t>
            </w:r>
            <w:r w:rsidR="001D368E">
              <w:rPr>
                <w:rFonts w:ascii="Times New Roman" w:hAnsi="Times New Roman" w:cs="Times New Roman"/>
                <w:b/>
                <w:sz w:val="24"/>
                <w:szCs w:val="24"/>
              </w:rPr>
              <w:t xml:space="preserve">    </w:t>
            </w:r>
            <w:r>
              <w:rPr>
                <w:rFonts w:ascii="Times New Roman" w:hAnsi="Times New Roman" w:cs="Times New Roman"/>
                <w:b/>
                <w:sz w:val="24"/>
                <w:szCs w:val="24"/>
              </w:rPr>
              <w:t>19.78</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20.54                  79.46</w:t>
            </w:r>
          </w:p>
        </w:tc>
        <w:tc>
          <w:tcPr>
            <w:tcW w:w="2693"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35.92                   </w:t>
            </w:r>
            <w:r w:rsidR="0059773D">
              <w:rPr>
                <w:rFonts w:ascii="Times New Roman" w:hAnsi="Times New Roman" w:cs="Times New Roman"/>
                <w:b/>
                <w:sz w:val="24"/>
                <w:szCs w:val="24"/>
              </w:rPr>
              <w:t xml:space="preserve">    </w:t>
            </w:r>
            <w:r>
              <w:rPr>
                <w:rFonts w:ascii="Times New Roman" w:hAnsi="Times New Roman" w:cs="Times New Roman"/>
                <w:b/>
                <w:sz w:val="24"/>
                <w:szCs w:val="24"/>
              </w:rPr>
              <w:t>64.08</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2011-12</w:t>
            </w:r>
          </w:p>
        </w:tc>
        <w:tc>
          <w:tcPr>
            <w:tcW w:w="2802" w:type="dxa"/>
          </w:tcPr>
          <w:p w:rsidR="006E2C09" w:rsidRDefault="000A4942"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73.40                     </w:t>
            </w:r>
            <w:r w:rsidR="001D368E">
              <w:rPr>
                <w:rFonts w:ascii="Times New Roman" w:hAnsi="Times New Roman" w:cs="Times New Roman"/>
                <w:b/>
                <w:sz w:val="24"/>
                <w:szCs w:val="24"/>
              </w:rPr>
              <w:t xml:space="preserve">    </w:t>
            </w:r>
            <w:r w:rsidR="006E2C09">
              <w:rPr>
                <w:rFonts w:ascii="Times New Roman" w:hAnsi="Times New Roman" w:cs="Times New Roman"/>
                <w:b/>
                <w:sz w:val="24"/>
                <w:szCs w:val="24"/>
              </w:rPr>
              <w:t>26.60</w:t>
            </w:r>
          </w:p>
        </w:tc>
        <w:tc>
          <w:tcPr>
            <w:tcW w:w="2551" w:type="dxa"/>
          </w:tcPr>
          <w:p w:rsidR="006E2C09" w:rsidRDefault="00637915"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24.28                 </w:t>
            </w:r>
            <w:r w:rsidR="006E2C09">
              <w:rPr>
                <w:rFonts w:ascii="Times New Roman" w:hAnsi="Times New Roman" w:cs="Times New Roman"/>
                <w:b/>
                <w:sz w:val="24"/>
                <w:szCs w:val="24"/>
              </w:rPr>
              <w:t xml:space="preserve">75.72   </w:t>
            </w:r>
          </w:p>
        </w:tc>
        <w:tc>
          <w:tcPr>
            <w:tcW w:w="2693" w:type="dxa"/>
          </w:tcPr>
          <w:p w:rsidR="006E2C09" w:rsidRDefault="006E2C09"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36.70                   </w:t>
            </w:r>
            <w:r w:rsidR="0059773D">
              <w:rPr>
                <w:rFonts w:ascii="Times New Roman" w:hAnsi="Times New Roman" w:cs="Times New Roman"/>
                <w:sz w:val="24"/>
                <w:szCs w:val="24"/>
              </w:rPr>
              <w:t xml:space="preserve">   </w:t>
            </w:r>
            <w:r>
              <w:rPr>
                <w:rFonts w:ascii="Times New Roman" w:hAnsi="Times New Roman" w:cs="Times New Roman"/>
                <w:sz w:val="24"/>
                <w:szCs w:val="24"/>
              </w:rPr>
              <w:t xml:space="preserve"> 63.30</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2012-13</w:t>
            </w:r>
          </w:p>
        </w:tc>
        <w:tc>
          <w:tcPr>
            <w:tcW w:w="2802"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73.33                     </w:t>
            </w:r>
            <w:r w:rsidR="001D368E">
              <w:rPr>
                <w:rFonts w:ascii="Times New Roman" w:hAnsi="Times New Roman" w:cs="Times New Roman"/>
                <w:b/>
                <w:sz w:val="24"/>
                <w:szCs w:val="24"/>
              </w:rPr>
              <w:t xml:space="preserve">    </w:t>
            </w:r>
            <w:r>
              <w:rPr>
                <w:rFonts w:ascii="Times New Roman" w:hAnsi="Times New Roman" w:cs="Times New Roman"/>
                <w:b/>
                <w:sz w:val="24"/>
                <w:szCs w:val="24"/>
              </w:rPr>
              <w:t>26.67</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23.52                  76.48</w:t>
            </w:r>
          </w:p>
        </w:tc>
        <w:tc>
          <w:tcPr>
            <w:tcW w:w="2693" w:type="dxa"/>
          </w:tcPr>
          <w:p w:rsidR="006E2C09" w:rsidRDefault="006E2C09"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37.00                    </w:t>
            </w:r>
            <w:r w:rsidR="0059773D">
              <w:rPr>
                <w:rFonts w:ascii="Times New Roman" w:hAnsi="Times New Roman" w:cs="Times New Roman"/>
                <w:sz w:val="24"/>
                <w:szCs w:val="24"/>
              </w:rPr>
              <w:t xml:space="preserve">   </w:t>
            </w:r>
            <w:r>
              <w:rPr>
                <w:rFonts w:ascii="Times New Roman" w:hAnsi="Times New Roman" w:cs="Times New Roman"/>
                <w:sz w:val="24"/>
                <w:szCs w:val="24"/>
              </w:rPr>
              <w:t>63.00</w:t>
            </w:r>
          </w:p>
        </w:tc>
      </w:tr>
      <w:tr w:rsidR="006E2C09" w:rsidTr="002A1C8F">
        <w:tc>
          <w:tcPr>
            <w:tcW w:w="1134" w:type="dxa"/>
          </w:tcPr>
          <w:p w:rsidR="006E2C09" w:rsidRDefault="006E2C09" w:rsidP="002A1C8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2013-14</w:t>
            </w:r>
          </w:p>
        </w:tc>
        <w:tc>
          <w:tcPr>
            <w:tcW w:w="2802" w:type="dxa"/>
          </w:tcPr>
          <w:p w:rsidR="006E2C09" w:rsidRDefault="006E2C09" w:rsidP="002A1C8F">
            <w:pPr>
              <w:tabs>
                <w:tab w:val="right" w:pos="2586"/>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74.41                     </w:t>
            </w:r>
            <w:r w:rsidR="001D368E">
              <w:rPr>
                <w:rFonts w:ascii="Times New Roman" w:hAnsi="Times New Roman" w:cs="Times New Roman"/>
                <w:b/>
                <w:sz w:val="24"/>
                <w:szCs w:val="24"/>
              </w:rPr>
              <w:t xml:space="preserve">    </w:t>
            </w:r>
            <w:r>
              <w:rPr>
                <w:rFonts w:ascii="Times New Roman" w:hAnsi="Times New Roman" w:cs="Times New Roman"/>
                <w:b/>
                <w:sz w:val="24"/>
                <w:szCs w:val="24"/>
              </w:rPr>
              <w:t>25.59</w:t>
            </w:r>
          </w:p>
        </w:tc>
        <w:tc>
          <w:tcPr>
            <w:tcW w:w="2551" w:type="dxa"/>
          </w:tcPr>
          <w:p w:rsidR="006E2C09" w:rsidRDefault="006E2C09" w:rsidP="0063791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25.23                  74.77</w:t>
            </w:r>
          </w:p>
        </w:tc>
        <w:tc>
          <w:tcPr>
            <w:tcW w:w="2693" w:type="dxa"/>
          </w:tcPr>
          <w:p w:rsidR="006E2C09" w:rsidRDefault="006E2C09"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38.34                    </w:t>
            </w:r>
            <w:r w:rsidR="0059773D">
              <w:rPr>
                <w:rFonts w:ascii="Times New Roman" w:hAnsi="Times New Roman" w:cs="Times New Roman"/>
                <w:sz w:val="24"/>
                <w:szCs w:val="24"/>
              </w:rPr>
              <w:t xml:space="preserve">  </w:t>
            </w:r>
            <w:r w:rsidR="00F56EB9">
              <w:rPr>
                <w:rFonts w:ascii="Times New Roman" w:hAnsi="Times New Roman" w:cs="Times New Roman"/>
                <w:sz w:val="24"/>
                <w:szCs w:val="24"/>
              </w:rPr>
              <w:t xml:space="preserve"> </w:t>
            </w:r>
            <w:r>
              <w:rPr>
                <w:rFonts w:ascii="Times New Roman" w:hAnsi="Times New Roman" w:cs="Times New Roman"/>
                <w:sz w:val="24"/>
                <w:szCs w:val="24"/>
              </w:rPr>
              <w:t>61.66</w:t>
            </w:r>
          </w:p>
        </w:tc>
      </w:tr>
    </w:tbl>
    <w:p w:rsidR="006E2C09" w:rsidRDefault="006E2C09" w:rsidP="006E2C09">
      <w:pPr>
        <w:autoSpaceDE w:val="0"/>
        <w:autoSpaceDN w:val="0"/>
        <w:adjustRightInd w:val="0"/>
        <w:spacing w:after="0" w:line="240" w:lineRule="auto"/>
        <w:jc w:val="both"/>
        <w:rPr>
          <w:rFonts w:ascii="Times New Roman" w:hAnsi="Times New Roman" w:cs="Times New Roman"/>
          <w:b/>
          <w:sz w:val="24"/>
          <w:szCs w:val="24"/>
        </w:rPr>
      </w:pPr>
    </w:p>
    <w:p w:rsidR="006E2C09" w:rsidRPr="001630A9" w:rsidRDefault="006E2C09" w:rsidP="001630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Source</w:t>
      </w:r>
      <w:r w:rsidR="001630A9">
        <w:rPr>
          <w:rFonts w:ascii="Times New Roman" w:hAnsi="Times New Roman" w:cs="Times New Roman"/>
          <w:sz w:val="24"/>
          <w:szCs w:val="24"/>
        </w:rPr>
        <w:t>- Calculated</w:t>
      </w:r>
      <w:r w:rsidR="001630A9" w:rsidRPr="001630A9">
        <w:rPr>
          <w:rFonts w:ascii="Times New Roman" w:hAnsi="Times New Roman" w:cs="Times New Roman"/>
          <w:sz w:val="24"/>
          <w:szCs w:val="24"/>
        </w:rPr>
        <w:t xml:space="preserve"> from “Analysis of Budgeted Expenditure on Education”, Ministry of HRD, Govt. of India</w:t>
      </w:r>
      <w:r w:rsidR="001630A9">
        <w:rPr>
          <w:rFonts w:ascii="Times New Roman" w:hAnsi="Times New Roman" w:cs="Times New Roman"/>
          <w:sz w:val="24"/>
          <w:szCs w:val="24"/>
        </w:rPr>
        <w:t xml:space="preserve"> </w:t>
      </w:r>
      <w:r w:rsidR="001630A9" w:rsidRPr="001630A9">
        <w:rPr>
          <w:rFonts w:ascii="Times New Roman" w:hAnsi="Times New Roman" w:cs="Times New Roman"/>
          <w:sz w:val="24"/>
          <w:szCs w:val="24"/>
        </w:rPr>
        <w:t xml:space="preserve">various issues. </w:t>
      </w:r>
    </w:p>
    <w:p w:rsidR="006E2C09" w:rsidRPr="001630A9" w:rsidRDefault="006E2C09" w:rsidP="002A1C8F">
      <w:pPr>
        <w:autoSpaceDE w:val="0"/>
        <w:autoSpaceDN w:val="0"/>
        <w:adjustRightInd w:val="0"/>
        <w:spacing w:after="0" w:line="240" w:lineRule="auto"/>
        <w:rPr>
          <w:rFonts w:ascii="Times New Roman" w:hAnsi="Times New Roman" w:cs="Times New Roman"/>
          <w:sz w:val="24"/>
          <w:szCs w:val="24"/>
        </w:rPr>
      </w:pPr>
    </w:p>
    <w:p w:rsidR="002E138A" w:rsidRPr="00710B08" w:rsidRDefault="000E7819" w:rsidP="002E138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During 2012-13 C</w:t>
      </w:r>
      <w:r w:rsidR="002E138A">
        <w:rPr>
          <w:rFonts w:ascii="Times New Roman" w:hAnsi="Times New Roman" w:cs="Times New Roman"/>
          <w:sz w:val="24"/>
          <w:szCs w:val="24"/>
        </w:rPr>
        <w:t xml:space="preserve">entral </w:t>
      </w:r>
      <w:r>
        <w:rPr>
          <w:rFonts w:ascii="Times New Roman" w:hAnsi="Times New Roman" w:cs="Times New Roman"/>
          <w:sz w:val="24"/>
          <w:szCs w:val="24"/>
        </w:rPr>
        <w:t>governments</w:t>
      </w:r>
      <w:r w:rsidR="002E138A">
        <w:rPr>
          <w:rFonts w:ascii="Times New Roman" w:hAnsi="Times New Roman" w:cs="Times New Roman"/>
          <w:sz w:val="24"/>
          <w:szCs w:val="24"/>
        </w:rPr>
        <w:t xml:space="preserve"> total expenditure on education consists of 84.11% on planned and remaining 14.89 % on Non planned expenditure. State government incur bulk of its expenditure on Non planned the share of Non planned expenditure in the total expenditure on revenue account was 83.60 percent the remaining 16.40 percent is the share of plan expenditure. </w:t>
      </w:r>
      <w:r w:rsidR="002E138A">
        <w:rPr>
          <w:rFonts w:ascii="BookAntiqua" w:hAnsi="BookAntiqua" w:cs="BookAntiqua"/>
          <w:sz w:val="23"/>
          <w:szCs w:val="23"/>
        </w:rPr>
        <w:t xml:space="preserve">About 82.72% of the Central government expenditure on education is under plan whereas in case of States/UTs it is only 21.03 % in the year 2013-14. Some trends have been observed on plan and Non plan expenditure. </w:t>
      </w:r>
    </w:p>
    <w:p w:rsidR="0062394A" w:rsidRDefault="006E2C09" w:rsidP="00740D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analysis shows that share of planned expenditure in the total expenditure on education </w:t>
      </w:r>
      <w:r w:rsidR="003E0513">
        <w:rPr>
          <w:rFonts w:ascii="Times New Roman" w:hAnsi="Times New Roman" w:cs="Times New Roman"/>
          <w:sz w:val="24"/>
          <w:szCs w:val="24"/>
        </w:rPr>
        <w:t xml:space="preserve">incurred </w:t>
      </w:r>
      <w:r w:rsidR="00F659EF">
        <w:rPr>
          <w:rFonts w:ascii="Times New Roman" w:hAnsi="Times New Roman" w:cs="Times New Roman"/>
          <w:sz w:val="24"/>
          <w:szCs w:val="24"/>
        </w:rPr>
        <w:t>by centre</w:t>
      </w:r>
      <w:r>
        <w:rPr>
          <w:rFonts w:ascii="Times New Roman" w:hAnsi="Times New Roman" w:cs="Times New Roman"/>
          <w:sz w:val="24"/>
          <w:szCs w:val="24"/>
        </w:rPr>
        <w:t xml:space="preserve">, state </w:t>
      </w:r>
      <w:r w:rsidR="00F56EB9">
        <w:rPr>
          <w:rFonts w:ascii="Times New Roman" w:hAnsi="Times New Roman" w:cs="Times New Roman"/>
          <w:sz w:val="24"/>
          <w:szCs w:val="24"/>
        </w:rPr>
        <w:t>and UTs</w:t>
      </w:r>
      <w:r>
        <w:rPr>
          <w:rFonts w:ascii="Times New Roman" w:hAnsi="Times New Roman" w:cs="Times New Roman"/>
          <w:sz w:val="24"/>
          <w:szCs w:val="24"/>
        </w:rPr>
        <w:t xml:space="preserve"> has i</w:t>
      </w:r>
      <w:r w:rsidR="003E0513">
        <w:rPr>
          <w:rFonts w:ascii="Times New Roman" w:hAnsi="Times New Roman" w:cs="Times New Roman"/>
          <w:sz w:val="24"/>
          <w:szCs w:val="24"/>
        </w:rPr>
        <w:t>ncreased where as the share of N</w:t>
      </w:r>
      <w:r>
        <w:rPr>
          <w:rFonts w:ascii="Times New Roman" w:hAnsi="Times New Roman" w:cs="Times New Roman"/>
          <w:sz w:val="24"/>
          <w:szCs w:val="24"/>
        </w:rPr>
        <w:t>on- plan expenditure has declined. At state level the planned expenditure has shown increasing trends its share has gone up from 12.45 percent to 25.23 percent. The shar</w:t>
      </w:r>
      <w:r w:rsidR="00F56EB9">
        <w:rPr>
          <w:rFonts w:ascii="Times New Roman" w:hAnsi="Times New Roman" w:cs="Times New Roman"/>
          <w:sz w:val="24"/>
          <w:szCs w:val="24"/>
        </w:rPr>
        <w:t>e of N</w:t>
      </w:r>
      <w:r>
        <w:rPr>
          <w:rFonts w:ascii="Times New Roman" w:hAnsi="Times New Roman" w:cs="Times New Roman"/>
          <w:sz w:val="24"/>
          <w:szCs w:val="24"/>
        </w:rPr>
        <w:t xml:space="preserve">on planned expenditure shows </w:t>
      </w:r>
      <w:r w:rsidR="00A9729D">
        <w:rPr>
          <w:rFonts w:ascii="Times New Roman" w:hAnsi="Times New Roman" w:cs="Times New Roman"/>
          <w:sz w:val="24"/>
          <w:szCs w:val="24"/>
        </w:rPr>
        <w:t>a declining trend</w:t>
      </w:r>
      <w:r>
        <w:rPr>
          <w:rFonts w:ascii="Times New Roman" w:hAnsi="Times New Roman" w:cs="Times New Roman"/>
          <w:sz w:val="24"/>
          <w:szCs w:val="24"/>
        </w:rPr>
        <w:t xml:space="preserve"> its share has decline from – percent to</w:t>
      </w:r>
      <w:r w:rsidR="00F56EB9">
        <w:rPr>
          <w:rFonts w:ascii="Times New Roman" w:hAnsi="Times New Roman" w:cs="Times New Roman"/>
          <w:sz w:val="24"/>
          <w:szCs w:val="24"/>
        </w:rPr>
        <w:t xml:space="preserve"> 74.77 in 2013-14. Planned and N</w:t>
      </w:r>
      <w:r>
        <w:rPr>
          <w:rFonts w:ascii="Times New Roman" w:hAnsi="Times New Roman" w:cs="Times New Roman"/>
          <w:sz w:val="24"/>
          <w:szCs w:val="24"/>
        </w:rPr>
        <w:t>on planned expenditure</w:t>
      </w:r>
      <w:r w:rsidR="00F56EB9">
        <w:rPr>
          <w:rFonts w:ascii="Times New Roman" w:hAnsi="Times New Roman" w:cs="Times New Roman"/>
          <w:sz w:val="24"/>
          <w:szCs w:val="24"/>
        </w:rPr>
        <w:t xml:space="preserve"> incurred by the centre also  show  some tr</w:t>
      </w:r>
      <w:r>
        <w:rPr>
          <w:rFonts w:ascii="Times New Roman" w:hAnsi="Times New Roman" w:cs="Times New Roman"/>
          <w:sz w:val="24"/>
          <w:szCs w:val="24"/>
        </w:rPr>
        <w:t>ends</w:t>
      </w:r>
      <w:r w:rsidR="00F56EB9">
        <w:rPr>
          <w:rFonts w:ascii="Times New Roman" w:hAnsi="Times New Roman" w:cs="Times New Roman"/>
          <w:sz w:val="24"/>
          <w:szCs w:val="24"/>
        </w:rPr>
        <w:t xml:space="preserve"> the share of planned expenditure has increased and share of  non planned has decline from </w:t>
      </w:r>
      <w:r w:rsidR="00434A97">
        <w:rPr>
          <w:rFonts w:ascii="Times New Roman" w:hAnsi="Times New Roman" w:cs="Times New Roman"/>
          <w:sz w:val="24"/>
          <w:szCs w:val="24"/>
        </w:rPr>
        <w:t>– to 61.66 percent in 2013-14.</w:t>
      </w:r>
    </w:p>
    <w:p w:rsidR="003E0513" w:rsidRPr="00893343" w:rsidRDefault="0096085D" w:rsidP="003E051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Intra</w:t>
      </w:r>
      <w:r w:rsidR="00517FA9">
        <w:rPr>
          <w:rFonts w:ascii="Times New Roman" w:hAnsi="Times New Roman" w:cs="Times New Roman"/>
          <w:b/>
          <w:sz w:val="24"/>
          <w:szCs w:val="24"/>
        </w:rPr>
        <w:t xml:space="preserve"> </w:t>
      </w:r>
      <w:r w:rsidR="00687A55">
        <w:rPr>
          <w:rFonts w:ascii="Times New Roman" w:hAnsi="Times New Roman" w:cs="Times New Roman"/>
          <w:b/>
          <w:sz w:val="24"/>
          <w:szCs w:val="24"/>
        </w:rPr>
        <w:t>Sectoral</w:t>
      </w:r>
      <w:r w:rsidR="00517FA9">
        <w:rPr>
          <w:rFonts w:ascii="Times New Roman" w:hAnsi="Times New Roman" w:cs="Times New Roman"/>
          <w:b/>
          <w:sz w:val="24"/>
          <w:szCs w:val="24"/>
        </w:rPr>
        <w:t xml:space="preserve"> allocat</w:t>
      </w:r>
      <w:r w:rsidR="000E7819">
        <w:rPr>
          <w:rFonts w:ascii="Times New Roman" w:hAnsi="Times New Roman" w:cs="Times New Roman"/>
          <w:b/>
          <w:sz w:val="24"/>
          <w:szCs w:val="24"/>
        </w:rPr>
        <w:t>ion of Public E</w:t>
      </w:r>
      <w:r w:rsidR="00517FA9">
        <w:rPr>
          <w:rFonts w:ascii="Times New Roman" w:hAnsi="Times New Roman" w:cs="Times New Roman"/>
          <w:b/>
          <w:sz w:val="24"/>
          <w:szCs w:val="24"/>
        </w:rPr>
        <w:t xml:space="preserve">xpenditure on education in </w:t>
      </w:r>
      <w:r w:rsidR="00687A55">
        <w:rPr>
          <w:rFonts w:ascii="Times New Roman" w:hAnsi="Times New Roman" w:cs="Times New Roman"/>
          <w:b/>
          <w:sz w:val="24"/>
          <w:szCs w:val="24"/>
        </w:rPr>
        <w:t>India</w:t>
      </w:r>
      <w:r w:rsidR="00C82A25">
        <w:rPr>
          <w:rFonts w:ascii="Times New Roman" w:hAnsi="Times New Roman" w:cs="Times New Roman"/>
          <w:b/>
          <w:sz w:val="24"/>
          <w:szCs w:val="24"/>
        </w:rPr>
        <w:t xml:space="preserve"> since 2001-02</w:t>
      </w:r>
    </w:p>
    <w:tbl>
      <w:tblPr>
        <w:tblStyle w:val="TableGrid"/>
        <w:tblW w:w="0" w:type="auto"/>
        <w:tblLook w:val="04A0"/>
      </w:tblPr>
      <w:tblGrid>
        <w:gridCol w:w="1540"/>
        <w:gridCol w:w="1540"/>
        <w:gridCol w:w="1540"/>
        <w:gridCol w:w="1540"/>
        <w:gridCol w:w="1541"/>
        <w:gridCol w:w="1541"/>
      </w:tblGrid>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Years</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Elementary Sector</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Secondary sector</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University and higher education</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Technical education</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Others sector including adult, etc.</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2001-02</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B788A">
              <w:rPr>
                <w:rFonts w:ascii="Times New Roman" w:hAnsi="Times New Roman" w:cs="Times New Roman"/>
                <w:sz w:val="24"/>
                <w:szCs w:val="24"/>
              </w:rPr>
              <w:t>50.91</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w:t>
            </w:r>
            <w:r w:rsidR="003E0513">
              <w:rPr>
                <w:rFonts w:ascii="Times New Roman" w:hAnsi="Times New Roman" w:cs="Times New Roman"/>
                <w:sz w:val="24"/>
                <w:szCs w:val="24"/>
              </w:rPr>
              <w:t>.</w:t>
            </w:r>
            <w:r>
              <w:rPr>
                <w:rFonts w:ascii="Times New Roman" w:hAnsi="Times New Roman" w:cs="Times New Roman"/>
                <w:sz w:val="24"/>
                <w:szCs w:val="24"/>
              </w:rPr>
              <w:t>80</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3E0513">
              <w:rPr>
                <w:rFonts w:ascii="Times New Roman" w:hAnsi="Times New Roman" w:cs="Times New Roman"/>
                <w:sz w:val="24"/>
                <w:szCs w:val="24"/>
              </w:rPr>
              <w:t>.</w:t>
            </w:r>
            <w:r>
              <w:rPr>
                <w:rFonts w:ascii="Times New Roman" w:hAnsi="Times New Roman" w:cs="Times New Roman"/>
                <w:sz w:val="24"/>
                <w:szCs w:val="24"/>
              </w:rPr>
              <w:t>34</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B788A">
              <w:rPr>
                <w:rFonts w:ascii="Times New Roman" w:hAnsi="Times New Roman" w:cs="Times New Roman"/>
                <w:sz w:val="24"/>
                <w:szCs w:val="24"/>
              </w:rPr>
              <w:t>2.32</w:t>
            </w:r>
          </w:p>
        </w:tc>
        <w:tc>
          <w:tcPr>
            <w:tcW w:w="1541"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1.64</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2002-03</w:t>
            </w:r>
          </w:p>
        </w:tc>
        <w:tc>
          <w:tcPr>
            <w:tcW w:w="1540" w:type="dxa"/>
          </w:tcPr>
          <w:p w:rsidR="003E0513" w:rsidRDefault="00F3086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B788A">
              <w:rPr>
                <w:rFonts w:ascii="Times New Roman" w:hAnsi="Times New Roman" w:cs="Times New Roman"/>
                <w:sz w:val="24"/>
                <w:szCs w:val="24"/>
              </w:rPr>
              <w:t>49.12</w:t>
            </w:r>
          </w:p>
        </w:tc>
        <w:tc>
          <w:tcPr>
            <w:tcW w:w="1540" w:type="dxa"/>
          </w:tcPr>
          <w:p w:rsidR="003E0513" w:rsidRDefault="00F3086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B788A">
              <w:rPr>
                <w:rFonts w:ascii="Times New Roman" w:hAnsi="Times New Roman" w:cs="Times New Roman"/>
                <w:sz w:val="24"/>
                <w:szCs w:val="24"/>
              </w:rPr>
              <w:t>34.91</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11.95</w:t>
            </w:r>
          </w:p>
        </w:tc>
        <w:tc>
          <w:tcPr>
            <w:tcW w:w="1541"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2.42</w:t>
            </w:r>
          </w:p>
        </w:tc>
        <w:tc>
          <w:tcPr>
            <w:tcW w:w="1541"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1.59</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2003-04</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49.57</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34.95</w:t>
            </w:r>
          </w:p>
        </w:tc>
        <w:tc>
          <w:tcPr>
            <w:tcW w:w="1540"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11.61</w:t>
            </w:r>
          </w:p>
        </w:tc>
        <w:tc>
          <w:tcPr>
            <w:tcW w:w="1541"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2.28</w:t>
            </w:r>
          </w:p>
        </w:tc>
        <w:tc>
          <w:tcPr>
            <w:tcW w:w="1541" w:type="dxa"/>
          </w:tcPr>
          <w:p w:rsidR="003E0513" w:rsidRDefault="009B788A"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1.59</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2004-05</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51. 45</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30.13</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11.67</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3.82</w:t>
            </w:r>
          </w:p>
        </w:tc>
        <w:tc>
          <w:tcPr>
            <w:tcW w:w="1541" w:type="dxa"/>
          </w:tcPr>
          <w:p w:rsidR="003E0513" w:rsidRDefault="0096121E"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2.93</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2005-06</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46.56</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25.80</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19.31</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7.96</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0.89</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2006-07</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45.17</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23.27</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19.30</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11.98</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0.28</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2007-08</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44.62</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22.98</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24.47</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7.67</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0.26</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2008-09</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42.47</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24.24</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24.30</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8.79</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0.20</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2009-10</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39.63</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25.87</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23.59</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8.91</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2010-11</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42.09</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24.31</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21.34</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11.95</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0.31</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2011-12</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44.66</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25.62</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16.14</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13.28</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0.30</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2012-13</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45.21</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25.19</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14.70</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14.62</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0.28</w:t>
            </w:r>
          </w:p>
        </w:tc>
      </w:tr>
      <w:tr w:rsidR="003E0513" w:rsidTr="002A1C8F">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2013-14</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t xml:space="preserve">    44.59 </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t xml:space="preserve">   24.86      </w:t>
            </w:r>
          </w:p>
        </w:tc>
        <w:tc>
          <w:tcPr>
            <w:tcW w:w="1540" w:type="dxa"/>
          </w:tcPr>
          <w:p w:rsidR="003E0513" w:rsidRDefault="003E0513" w:rsidP="002A1C8F">
            <w:pPr>
              <w:autoSpaceDE w:val="0"/>
              <w:autoSpaceDN w:val="0"/>
              <w:adjustRightInd w:val="0"/>
              <w:jc w:val="both"/>
              <w:rPr>
                <w:rFonts w:ascii="Times New Roman" w:hAnsi="Times New Roman" w:cs="Times New Roman"/>
                <w:sz w:val="24"/>
                <w:szCs w:val="24"/>
              </w:rPr>
            </w:pPr>
            <w:r>
              <w:t xml:space="preserve">15.29           </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t xml:space="preserve"> 14.95        </w:t>
            </w:r>
          </w:p>
        </w:tc>
        <w:tc>
          <w:tcPr>
            <w:tcW w:w="1541" w:type="dxa"/>
          </w:tcPr>
          <w:p w:rsidR="003E0513" w:rsidRDefault="003E0513" w:rsidP="002A1C8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0.31</w:t>
            </w:r>
          </w:p>
        </w:tc>
      </w:tr>
    </w:tbl>
    <w:p w:rsidR="003E0513" w:rsidRDefault="006E49EB" w:rsidP="003E051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Sources</w:t>
      </w:r>
      <w:proofErr w:type="gramStart"/>
      <w:r w:rsidR="00850FFF">
        <w:rPr>
          <w:rFonts w:ascii="Times New Roman" w:hAnsi="Times New Roman" w:cs="Times New Roman"/>
          <w:i/>
          <w:sz w:val="24"/>
          <w:szCs w:val="24"/>
        </w:rPr>
        <w:t>:</w:t>
      </w:r>
      <w:r>
        <w:rPr>
          <w:rFonts w:ascii="Times New Roman" w:hAnsi="Times New Roman" w:cs="Times New Roman"/>
          <w:i/>
          <w:sz w:val="24"/>
          <w:szCs w:val="24"/>
        </w:rPr>
        <w:t>-</w:t>
      </w:r>
      <w:proofErr w:type="gramEnd"/>
      <w:r w:rsidR="00850FFF" w:rsidRPr="00850FFF">
        <w:rPr>
          <w:rFonts w:ascii="Times New Roman" w:hAnsi="Times New Roman" w:cs="Times New Roman"/>
          <w:sz w:val="24"/>
          <w:szCs w:val="24"/>
        </w:rPr>
        <w:t xml:space="preserve"> </w:t>
      </w:r>
      <w:r w:rsidR="00850FFF">
        <w:rPr>
          <w:rFonts w:ascii="Times New Roman" w:hAnsi="Times New Roman" w:cs="Times New Roman"/>
          <w:sz w:val="24"/>
          <w:szCs w:val="24"/>
        </w:rPr>
        <w:t>Calculated</w:t>
      </w:r>
      <w:r w:rsidR="00850FFF" w:rsidRPr="001630A9">
        <w:rPr>
          <w:rFonts w:ascii="Times New Roman" w:hAnsi="Times New Roman" w:cs="Times New Roman"/>
          <w:sz w:val="24"/>
          <w:szCs w:val="24"/>
        </w:rPr>
        <w:t xml:space="preserve"> from “Analysis of Budgeted Expenditure on Education”, Ministry of HRD, Govt. of India</w:t>
      </w:r>
      <w:r w:rsidR="00850FFF">
        <w:rPr>
          <w:rFonts w:ascii="Times New Roman" w:hAnsi="Times New Roman" w:cs="Times New Roman"/>
          <w:sz w:val="24"/>
          <w:szCs w:val="24"/>
        </w:rPr>
        <w:t xml:space="preserve"> </w:t>
      </w:r>
      <w:r w:rsidR="00850FFF" w:rsidRPr="001630A9">
        <w:rPr>
          <w:rFonts w:ascii="Times New Roman" w:hAnsi="Times New Roman" w:cs="Times New Roman"/>
          <w:sz w:val="24"/>
          <w:szCs w:val="24"/>
        </w:rPr>
        <w:t>various issues</w:t>
      </w:r>
      <w:r w:rsidR="00D42B36">
        <w:rPr>
          <w:rFonts w:ascii="Times New Roman" w:hAnsi="Times New Roman" w:cs="Times New Roman"/>
          <w:sz w:val="24"/>
          <w:szCs w:val="24"/>
        </w:rPr>
        <w:t>,</w:t>
      </w:r>
    </w:p>
    <w:p w:rsidR="006E49EB" w:rsidRDefault="006E49EB" w:rsidP="003E0513">
      <w:pPr>
        <w:autoSpaceDE w:val="0"/>
        <w:autoSpaceDN w:val="0"/>
        <w:adjustRightInd w:val="0"/>
        <w:spacing w:after="0" w:line="240" w:lineRule="auto"/>
        <w:jc w:val="both"/>
        <w:rPr>
          <w:rFonts w:ascii="Times New Roman" w:hAnsi="Times New Roman" w:cs="Times New Roman"/>
          <w:sz w:val="24"/>
          <w:szCs w:val="24"/>
        </w:rPr>
      </w:pPr>
    </w:p>
    <w:p w:rsidR="003E0513" w:rsidRDefault="003E0513" w:rsidP="003E0513">
      <w:pPr>
        <w:autoSpaceDE w:val="0"/>
        <w:autoSpaceDN w:val="0"/>
        <w:adjustRightInd w:val="0"/>
        <w:spacing w:after="0" w:line="240" w:lineRule="auto"/>
        <w:jc w:val="both"/>
        <w:rPr>
          <w:rFonts w:ascii="Times New Roman" w:hAnsi="Times New Roman" w:cs="Times New Roman"/>
          <w:sz w:val="24"/>
          <w:szCs w:val="24"/>
        </w:rPr>
      </w:pPr>
      <w:r w:rsidRPr="00A5688A">
        <w:rPr>
          <w:rFonts w:ascii="Times New Roman" w:hAnsi="Times New Roman" w:cs="Times New Roman"/>
          <w:sz w:val="24"/>
          <w:szCs w:val="24"/>
        </w:rPr>
        <w:t xml:space="preserve">The </w:t>
      </w:r>
      <w:r w:rsidR="009B43D3">
        <w:rPr>
          <w:rFonts w:ascii="Times New Roman" w:hAnsi="Times New Roman" w:cs="Times New Roman"/>
          <w:sz w:val="24"/>
          <w:szCs w:val="24"/>
        </w:rPr>
        <w:t>above data indicates some trends in the intra-sect oral composition of public expenditure</w:t>
      </w:r>
      <w:r w:rsidR="00A5688A">
        <w:rPr>
          <w:rFonts w:ascii="Times New Roman" w:hAnsi="Times New Roman" w:cs="Times New Roman"/>
          <w:sz w:val="24"/>
          <w:szCs w:val="24"/>
        </w:rPr>
        <w:t>.</w:t>
      </w:r>
      <w:r w:rsidR="00EE50D0">
        <w:rPr>
          <w:rFonts w:ascii="Times New Roman" w:hAnsi="Times New Roman" w:cs="Times New Roman"/>
          <w:sz w:val="24"/>
          <w:szCs w:val="24"/>
        </w:rPr>
        <w:t xml:space="preserve"> Government focusing on elementary education since independence. The share of elementary education in total expenditure on education was 50 percent. Since 2001 t</w:t>
      </w:r>
      <w:r>
        <w:rPr>
          <w:rFonts w:ascii="Times New Roman" w:hAnsi="Times New Roman" w:cs="Times New Roman"/>
          <w:sz w:val="24"/>
          <w:szCs w:val="24"/>
        </w:rPr>
        <w:t>he share of elementary</w:t>
      </w:r>
      <w:r w:rsidR="009B43D3">
        <w:rPr>
          <w:rFonts w:ascii="Times New Roman" w:hAnsi="Times New Roman" w:cs="Times New Roman"/>
          <w:sz w:val="24"/>
          <w:szCs w:val="24"/>
        </w:rPr>
        <w:t xml:space="preserve"> education</w:t>
      </w:r>
      <w:r>
        <w:rPr>
          <w:rFonts w:ascii="Times New Roman" w:hAnsi="Times New Roman" w:cs="Times New Roman"/>
          <w:sz w:val="24"/>
          <w:szCs w:val="24"/>
        </w:rPr>
        <w:t xml:space="preserve"> i</w:t>
      </w:r>
      <w:r w:rsidR="00A5688A">
        <w:rPr>
          <w:rFonts w:ascii="Times New Roman" w:hAnsi="Times New Roman" w:cs="Times New Roman"/>
          <w:sz w:val="24"/>
          <w:szCs w:val="24"/>
        </w:rPr>
        <w:t xml:space="preserve">n total expenditure </w:t>
      </w:r>
      <w:r w:rsidR="001A0B7B">
        <w:rPr>
          <w:rFonts w:ascii="Times New Roman" w:hAnsi="Times New Roman" w:cs="Times New Roman"/>
          <w:sz w:val="24"/>
          <w:szCs w:val="24"/>
        </w:rPr>
        <w:t>has marginally</w:t>
      </w:r>
      <w:r w:rsidR="00A5688A">
        <w:rPr>
          <w:rFonts w:ascii="Times New Roman" w:hAnsi="Times New Roman" w:cs="Times New Roman"/>
          <w:sz w:val="24"/>
          <w:szCs w:val="24"/>
        </w:rPr>
        <w:t xml:space="preserve"> decline from over 50 percen</w:t>
      </w:r>
      <w:r w:rsidR="00BF4263">
        <w:rPr>
          <w:rFonts w:ascii="Times New Roman" w:hAnsi="Times New Roman" w:cs="Times New Roman"/>
          <w:sz w:val="24"/>
          <w:szCs w:val="24"/>
        </w:rPr>
        <w:t xml:space="preserve">t to 44.59 percent in 2013-14. </w:t>
      </w:r>
      <w:r w:rsidR="009B43D3">
        <w:rPr>
          <w:rFonts w:ascii="Times New Roman" w:hAnsi="Times New Roman" w:cs="Times New Roman"/>
          <w:sz w:val="24"/>
          <w:szCs w:val="24"/>
        </w:rPr>
        <w:t xml:space="preserve">The percentage share of  </w:t>
      </w:r>
      <w:r w:rsidR="00B60829">
        <w:rPr>
          <w:rFonts w:ascii="Times New Roman" w:hAnsi="Times New Roman" w:cs="Times New Roman"/>
          <w:sz w:val="24"/>
          <w:szCs w:val="24"/>
        </w:rPr>
        <w:t xml:space="preserve"> secondary</w:t>
      </w:r>
      <w:r w:rsidR="00EE50D0">
        <w:rPr>
          <w:rFonts w:ascii="Times New Roman" w:hAnsi="Times New Roman" w:cs="Times New Roman"/>
          <w:sz w:val="24"/>
          <w:szCs w:val="24"/>
        </w:rPr>
        <w:t xml:space="preserve"> education</w:t>
      </w:r>
      <w:r>
        <w:rPr>
          <w:rFonts w:ascii="Times New Roman" w:hAnsi="Times New Roman" w:cs="Times New Roman"/>
          <w:sz w:val="24"/>
          <w:szCs w:val="24"/>
        </w:rPr>
        <w:t xml:space="preserve"> </w:t>
      </w:r>
      <w:r w:rsidR="00EE50D0">
        <w:rPr>
          <w:rFonts w:ascii="Times New Roman" w:hAnsi="Times New Roman" w:cs="Times New Roman"/>
          <w:sz w:val="24"/>
          <w:szCs w:val="24"/>
        </w:rPr>
        <w:t>has also shown</w:t>
      </w:r>
      <w:r>
        <w:rPr>
          <w:rFonts w:ascii="Times New Roman" w:hAnsi="Times New Roman" w:cs="Times New Roman"/>
          <w:sz w:val="24"/>
          <w:szCs w:val="24"/>
        </w:rPr>
        <w:t xml:space="preserve"> </w:t>
      </w:r>
      <w:r w:rsidR="00F63433">
        <w:rPr>
          <w:rFonts w:ascii="Times New Roman" w:hAnsi="Times New Roman" w:cs="Times New Roman"/>
          <w:sz w:val="24"/>
          <w:szCs w:val="24"/>
        </w:rPr>
        <w:t>declining trends</w:t>
      </w:r>
      <w:r w:rsidR="00EE50D0">
        <w:rPr>
          <w:rFonts w:ascii="Times New Roman" w:hAnsi="Times New Roman" w:cs="Times New Roman"/>
          <w:sz w:val="24"/>
          <w:szCs w:val="24"/>
        </w:rPr>
        <w:t xml:space="preserve">, its share has decline from 33.80 </w:t>
      </w:r>
      <w:r w:rsidR="00900A88">
        <w:rPr>
          <w:rFonts w:ascii="Times New Roman" w:hAnsi="Times New Roman" w:cs="Times New Roman"/>
          <w:sz w:val="24"/>
          <w:szCs w:val="24"/>
        </w:rPr>
        <w:t>percent to</w:t>
      </w:r>
      <w:r>
        <w:rPr>
          <w:rFonts w:ascii="Times New Roman" w:hAnsi="Times New Roman" w:cs="Times New Roman"/>
          <w:sz w:val="24"/>
          <w:szCs w:val="24"/>
        </w:rPr>
        <w:t xml:space="preserve"> 24.86 in 2013-14. Share of university and higher education in total </w:t>
      </w:r>
      <w:r w:rsidR="00A5688A">
        <w:rPr>
          <w:rFonts w:ascii="Times New Roman" w:hAnsi="Times New Roman" w:cs="Times New Roman"/>
          <w:sz w:val="24"/>
          <w:szCs w:val="24"/>
        </w:rPr>
        <w:t>expenditure increased</w:t>
      </w:r>
      <w:r>
        <w:rPr>
          <w:rFonts w:ascii="Times New Roman" w:hAnsi="Times New Roman" w:cs="Times New Roman"/>
          <w:sz w:val="24"/>
          <w:szCs w:val="24"/>
        </w:rPr>
        <w:t xml:space="preserve"> from 14.71 to 24.47 in 2007-08 thereafter it starts declining.</w:t>
      </w:r>
      <w:r w:rsidR="009B43D3">
        <w:rPr>
          <w:rFonts w:ascii="Times New Roman" w:hAnsi="Times New Roman" w:cs="Times New Roman"/>
          <w:sz w:val="24"/>
          <w:szCs w:val="24"/>
        </w:rPr>
        <w:t xml:space="preserve"> Presently the share of higher education in total </w:t>
      </w:r>
      <w:r w:rsidR="006D7CB4">
        <w:rPr>
          <w:rFonts w:ascii="Times New Roman" w:hAnsi="Times New Roman" w:cs="Times New Roman"/>
          <w:sz w:val="24"/>
          <w:szCs w:val="24"/>
        </w:rPr>
        <w:t>expenditure</w:t>
      </w:r>
      <w:r w:rsidR="009B43D3">
        <w:rPr>
          <w:rFonts w:ascii="Times New Roman" w:hAnsi="Times New Roman" w:cs="Times New Roman"/>
          <w:sz w:val="24"/>
          <w:szCs w:val="24"/>
        </w:rPr>
        <w:t xml:space="preserve"> on education is 15.29 percent.</w:t>
      </w:r>
      <w:r w:rsidR="00BF4263">
        <w:rPr>
          <w:rFonts w:ascii="Times New Roman" w:hAnsi="Times New Roman" w:cs="Times New Roman"/>
          <w:sz w:val="24"/>
          <w:szCs w:val="24"/>
        </w:rPr>
        <w:t xml:space="preserve"> Government spend less than one percent of GDP on higher education</w:t>
      </w:r>
      <w:r w:rsidR="00900A88">
        <w:rPr>
          <w:rFonts w:ascii="Times New Roman" w:hAnsi="Times New Roman" w:cs="Times New Roman"/>
          <w:sz w:val="24"/>
          <w:szCs w:val="24"/>
        </w:rPr>
        <w:t xml:space="preserve">, this has seriously </w:t>
      </w:r>
      <w:r w:rsidR="00930850">
        <w:rPr>
          <w:rFonts w:ascii="Times New Roman" w:hAnsi="Times New Roman" w:cs="Times New Roman"/>
          <w:sz w:val="24"/>
          <w:szCs w:val="24"/>
        </w:rPr>
        <w:t>hampered the quality</w:t>
      </w:r>
      <w:r w:rsidR="00900A88">
        <w:rPr>
          <w:rFonts w:ascii="Times New Roman" w:hAnsi="Times New Roman" w:cs="Times New Roman"/>
          <w:sz w:val="24"/>
          <w:szCs w:val="24"/>
        </w:rPr>
        <w:t xml:space="preserve"> of higher education in </w:t>
      </w:r>
      <w:r w:rsidR="00930850">
        <w:rPr>
          <w:rFonts w:ascii="Times New Roman" w:hAnsi="Times New Roman" w:cs="Times New Roman"/>
          <w:sz w:val="24"/>
          <w:szCs w:val="24"/>
        </w:rPr>
        <w:t>India</w:t>
      </w:r>
      <w:r w:rsidR="00900A88">
        <w:rPr>
          <w:rFonts w:ascii="Times New Roman" w:hAnsi="Times New Roman" w:cs="Times New Roman"/>
          <w:sz w:val="24"/>
          <w:szCs w:val="24"/>
        </w:rPr>
        <w:t xml:space="preserve">. </w:t>
      </w:r>
      <w:r w:rsidR="00BF4263">
        <w:rPr>
          <w:rFonts w:ascii="Times New Roman" w:hAnsi="Times New Roman" w:cs="Times New Roman"/>
          <w:sz w:val="24"/>
          <w:szCs w:val="24"/>
        </w:rPr>
        <w:t xml:space="preserve"> </w:t>
      </w:r>
      <w:r w:rsidR="001A0B7B">
        <w:rPr>
          <w:rFonts w:ascii="Times New Roman" w:hAnsi="Times New Roman" w:cs="Times New Roman"/>
          <w:sz w:val="24"/>
          <w:szCs w:val="24"/>
        </w:rPr>
        <w:t>Significantly increased</w:t>
      </w:r>
      <w:r>
        <w:rPr>
          <w:rFonts w:ascii="Times New Roman" w:hAnsi="Times New Roman" w:cs="Times New Roman"/>
          <w:sz w:val="24"/>
          <w:szCs w:val="24"/>
        </w:rPr>
        <w:t xml:space="preserve"> in the expenditure on technical education </w:t>
      </w:r>
      <w:r w:rsidR="00BF3DEB">
        <w:rPr>
          <w:rFonts w:ascii="Times New Roman" w:hAnsi="Times New Roman" w:cs="Times New Roman"/>
          <w:sz w:val="24"/>
          <w:szCs w:val="24"/>
        </w:rPr>
        <w:t>has been found. The share of technical education in total expenditure</w:t>
      </w:r>
      <w:r w:rsidR="00A5688A">
        <w:rPr>
          <w:rFonts w:ascii="Times New Roman" w:hAnsi="Times New Roman" w:cs="Times New Roman"/>
          <w:sz w:val="24"/>
          <w:szCs w:val="24"/>
        </w:rPr>
        <w:t xml:space="preserve"> has increased substationally </w:t>
      </w:r>
      <w:r>
        <w:rPr>
          <w:rFonts w:ascii="Times New Roman" w:hAnsi="Times New Roman" w:cs="Times New Roman"/>
          <w:sz w:val="24"/>
          <w:szCs w:val="24"/>
        </w:rPr>
        <w:t>from 3</w:t>
      </w:r>
      <w:r w:rsidR="00930850">
        <w:rPr>
          <w:rFonts w:ascii="Times New Roman" w:hAnsi="Times New Roman" w:cs="Times New Roman"/>
          <w:sz w:val="24"/>
          <w:szCs w:val="24"/>
        </w:rPr>
        <w:t>%</w:t>
      </w:r>
      <w:r>
        <w:rPr>
          <w:rFonts w:ascii="Times New Roman" w:hAnsi="Times New Roman" w:cs="Times New Roman"/>
          <w:sz w:val="24"/>
          <w:szCs w:val="24"/>
        </w:rPr>
        <w:t xml:space="preserve"> </w:t>
      </w:r>
      <w:r w:rsidR="00894B85">
        <w:rPr>
          <w:rFonts w:ascii="Times New Roman" w:hAnsi="Times New Roman" w:cs="Times New Roman"/>
          <w:sz w:val="24"/>
          <w:szCs w:val="24"/>
        </w:rPr>
        <w:t xml:space="preserve">in 2001 to </w:t>
      </w:r>
      <w:r>
        <w:rPr>
          <w:rFonts w:ascii="Times New Roman" w:hAnsi="Times New Roman" w:cs="Times New Roman"/>
          <w:sz w:val="24"/>
          <w:szCs w:val="24"/>
        </w:rPr>
        <w:t>percent to 15 percent</w:t>
      </w:r>
      <w:r w:rsidR="00894B85">
        <w:rPr>
          <w:rFonts w:ascii="Times New Roman" w:hAnsi="Times New Roman" w:cs="Times New Roman"/>
          <w:sz w:val="24"/>
          <w:szCs w:val="24"/>
        </w:rPr>
        <w:t xml:space="preserve"> in 2013-14</w:t>
      </w:r>
      <w:r>
        <w:rPr>
          <w:rFonts w:ascii="Times New Roman" w:hAnsi="Times New Roman" w:cs="Times New Roman"/>
          <w:sz w:val="24"/>
          <w:szCs w:val="24"/>
        </w:rPr>
        <w:t xml:space="preserve">. </w:t>
      </w:r>
    </w:p>
    <w:p w:rsidR="008B58DE" w:rsidRDefault="008B58DE" w:rsidP="00740DD8">
      <w:pPr>
        <w:autoSpaceDE w:val="0"/>
        <w:autoSpaceDN w:val="0"/>
        <w:adjustRightInd w:val="0"/>
        <w:spacing w:after="0" w:line="240" w:lineRule="auto"/>
        <w:jc w:val="both"/>
        <w:rPr>
          <w:rFonts w:ascii="BookAntiqua" w:hAnsi="BookAntiqua" w:cs="BookAntiqua"/>
          <w:sz w:val="23"/>
          <w:szCs w:val="23"/>
        </w:rPr>
      </w:pPr>
    </w:p>
    <w:p w:rsidR="003E0513" w:rsidRDefault="001A3190" w:rsidP="00740DD8">
      <w:pPr>
        <w:autoSpaceDE w:val="0"/>
        <w:autoSpaceDN w:val="0"/>
        <w:adjustRightInd w:val="0"/>
        <w:spacing w:after="0" w:line="240" w:lineRule="auto"/>
        <w:jc w:val="both"/>
        <w:rPr>
          <w:rFonts w:ascii="BookAntiqua" w:hAnsi="BookAntiqua" w:cs="BookAntiqua"/>
          <w:b/>
        </w:rPr>
      </w:pPr>
      <w:r w:rsidRPr="001B6A75">
        <w:rPr>
          <w:rFonts w:ascii="BookAntiqua" w:hAnsi="BookAntiqua" w:cs="BookAntiqua"/>
          <w:b/>
        </w:rPr>
        <w:lastRenderedPageBreak/>
        <w:t>Conclusion</w:t>
      </w:r>
    </w:p>
    <w:p w:rsidR="001A3190" w:rsidRPr="000E7819" w:rsidRDefault="001B6A75" w:rsidP="008D4CD6">
      <w:pPr>
        <w:autoSpaceDE w:val="0"/>
        <w:autoSpaceDN w:val="0"/>
        <w:adjustRightInd w:val="0"/>
        <w:spacing w:after="0" w:line="240" w:lineRule="auto"/>
        <w:jc w:val="both"/>
        <w:rPr>
          <w:rFonts w:ascii="BookAntiqua" w:hAnsi="BookAntiqua" w:cs="BookAntiqua"/>
        </w:rPr>
      </w:pPr>
      <w:r w:rsidRPr="000E7819">
        <w:rPr>
          <w:rFonts w:ascii="BookAntiqua" w:hAnsi="BookAntiqua" w:cs="BookAntiqua"/>
        </w:rPr>
        <w:t>India in the second most populas country in the world, having world largest school going</w:t>
      </w:r>
      <w:r w:rsidR="008B58DE">
        <w:rPr>
          <w:rFonts w:ascii="BookAntiqua" w:hAnsi="BookAntiqua" w:cs="BookAntiqua"/>
        </w:rPr>
        <w:t xml:space="preserve"> age</w:t>
      </w:r>
      <w:r w:rsidRPr="000E7819">
        <w:rPr>
          <w:rFonts w:ascii="BookAntiqua" w:hAnsi="BookAntiqua" w:cs="BookAntiqua"/>
        </w:rPr>
        <w:t xml:space="preserve"> population. The combined public expenditure incurred by both central and state government</w:t>
      </w:r>
      <w:r w:rsidR="00643119">
        <w:rPr>
          <w:rFonts w:ascii="BookAntiqua" w:hAnsi="BookAntiqua" w:cs="BookAntiqua"/>
        </w:rPr>
        <w:t xml:space="preserve"> on education</w:t>
      </w:r>
      <w:r w:rsidRPr="000E7819">
        <w:rPr>
          <w:rFonts w:ascii="BookAntiqua" w:hAnsi="BookAntiqua" w:cs="BookAntiqua"/>
        </w:rPr>
        <w:t xml:space="preserve"> hovering aroun</w:t>
      </w:r>
      <w:r w:rsidR="008E47B2">
        <w:rPr>
          <w:rFonts w:ascii="BookAntiqua" w:hAnsi="BookAntiqua" w:cs="BookAntiqua"/>
        </w:rPr>
        <w:t>d three to four percent of GDP S</w:t>
      </w:r>
      <w:r w:rsidRPr="000E7819">
        <w:rPr>
          <w:rFonts w:ascii="BookAntiqua" w:hAnsi="BookAntiqua" w:cs="BookAntiqua"/>
        </w:rPr>
        <w:t>ince 2001.</w:t>
      </w:r>
      <w:r w:rsidR="00643119">
        <w:rPr>
          <w:rFonts w:ascii="BookAntiqua" w:hAnsi="BookAntiqua" w:cs="BookAntiqua"/>
        </w:rPr>
        <w:t xml:space="preserve"> There are </w:t>
      </w:r>
      <w:r w:rsidR="00666DC3">
        <w:rPr>
          <w:rFonts w:ascii="BookAntiqua" w:hAnsi="BookAntiqua" w:cs="BookAntiqua"/>
        </w:rPr>
        <w:t xml:space="preserve"> </w:t>
      </w:r>
      <w:r w:rsidR="00643119">
        <w:rPr>
          <w:rFonts w:ascii="BookAntiqua" w:hAnsi="BookAntiqua" w:cs="BookAntiqua"/>
        </w:rPr>
        <w:t>some</w:t>
      </w:r>
      <w:r w:rsidR="00144F77">
        <w:rPr>
          <w:rFonts w:ascii="BookAntiqua" w:hAnsi="BookAntiqua" w:cs="BookAntiqua"/>
        </w:rPr>
        <w:t xml:space="preserve">  advanced </w:t>
      </w:r>
      <w:r w:rsidR="00144F77" w:rsidRPr="000E7819">
        <w:rPr>
          <w:rFonts w:ascii="BookAntiqua" w:hAnsi="BookAntiqua" w:cs="BookAntiqua"/>
        </w:rPr>
        <w:t xml:space="preserve">countries </w:t>
      </w:r>
      <w:r w:rsidR="00144F77">
        <w:rPr>
          <w:rFonts w:ascii="BookAntiqua" w:hAnsi="BookAntiqua" w:cs="BookAntiqua"/>
        </w:rPr>
        <w:t>spending</w:t>
      </w:r>
      <w:r w:rsidR="00666DC3">
        <w:rPr>
          <w:rFonts w:ascii="BookAntiqua" w:hAnsi="BookAntiqua" w:cs="BookAntiqua"/>
        </w:rPr>
        <w:t xml:space="preserve"> more than six percent of GDP on education </w:t>
      </w:r>
      <w:r w:rsidR="008D4CD6" w:rsidRPr="000E7819">
        <w:rPr>
          <w:rFonts w:ascii="BookAntiqua" w:hAnsi="BookAntiqua" w:cs="BookAntiqua"/>
        </w:rPr>
        <w:t>like USA</w:t>
      </w:r>
      <w:r w:rsidR="00666DC3">
        <w:rPr>
          <w:rFonts w:ascii="BookAntiqua" w:hAnsi="BookAntiqua" w:cs="BookAntiqua"/>
        </w:rPr>
        <w:t xml:space="preserve"> (6.4</w:t>
      </w:r>
      <w:r w:rsidR="00144F77">
        <w:rPr>
          <w:rFonts w:ascii="BookAntiqua" w:hAnsi="BookAntiqua" w:cs="BookAntiqua"/>
        </w:rPr>
        <w:t>%</w:t>
      </w:r>
      <w:r w:rsidR="00666DC3">
        <w:rPr>
          <w:rFonts w:ascii="BookAntiqua" w:hAnsi="BookAntiqua" w:cs="BookAntiqua"/>
        </w:rPr>
        <w:t>), New Zealand (6.9</w:t>
      </w:r>
      <w:r w:rsidR="00144F77">
        <w:rPr>
          <w:rFonts w:ascii="BookAntiqua" w:hAnsi="BookAntiqua" w:cs="BookAntiqua"/>
        </w:rPr>
        <w:t>%</w:t>
      </w:r>
      <w:r w:rsidR="00666DC3">
        <w:rPr>
          <w:rFonts w:ascii="BookAntiqua" w:hAnsi="BookAntiqua" w:cs="BookAntiqua"/>
        </w:rPr>
        <w:t>),</w:t>
      </w:r>
      <w:r w:rsidR="00643119">
        <w:rPr>
          <w:rFonts w:ascii="BookAntiqua" w:hAnsi="BookAntiqua" w:cs="BookAntiqua"/>
        </w:rPr>
        <w:t xml:space="preserve"> </w:t>
      </w:r>
      <w:r w:rsidR="00666DC3">
        <w:rPr>
          <w:rFonts w:ascii="BookAntiqua" w:hAnsi="BookAntiqua" w:cs="BookAntiqua"/>
        </w:rPr>
        <w:t>Norway (6.5</w:t>
      </w:r>
      <w:r w:rsidR="00144F77">
        <w:rPr>
          <w:rFonts w:ascii="BookAntiqua" w:hAnsi="BookAntiqua" w:cs="BookAntiqua"/>
        </w:rPr>
        <w:t>%</w:t>
      </w:r>
      <w:r w:rsidR="006F712A">
        <w:rPr>
          <w:rFonts w:ascii="BookAntiqua" w:hAnsi="BookAntiqua" w:cs="BookAntiqua"/>
        </w:rPr>
        <w:t xml:space="preserve">) </w:t>
      </w:r>
      <w:proofErr w:type="gramStart"/>
      <w:r w:rsidR="006F712A">
        <w:rPr>
          <w:rFonts w:ascii="BookAntiqua" w:hAnsi="BookAntiqua" w:cs="BookAntiqua"/>
        </w:rPr>
        <w:t xml:space="preserve">and  </w:t>
      </w:r>
      <w:r w:rsidR="00643119">
        <w:rPr>
          <w:rFonts w:ascii="BookAntiqua" w:hAnsi="BookAntiqua" w:cs="BookAntiqua"/>
        </w:rPr>
        <w:t>U</w:t>
      </w:r>
      <w:r w:rsidR="006F712A">
        <w:rPr>
          <w:rFonts w:ascii="BookAntiqua" w:hAnsi="BookAntiqua" w:cs="BookAntiqua"/>
        </w:rPr>
        <w:t>nited</w:t>
      </w:r>
      <w:proofErr w:type="gramEnd"/>
      <w:r w:rsidR="006F712A">
        <w:rPr>
          <w:rFonts w:ascii="BookAntiqua" w:hAnsi="BookAntiqua" w:cs="BookAntiqua"/>
        </w:rPr>
        <w:t xml:space="preserve"> Kingdom (6.3</w:t>
      </w:r>
      <w:r w:rsidR="00144F77">
        <w:rPr>
          <w:rFonts w:ascii="BookAntiqua" w:hAnsi="BookAntiqua" w:cs="BookAntiqua"/>
        </w:rPr>
        <w:t>%</w:t>
      </w:r>
      <w:r w:rsidR="000A10DF">
        <w:rPr>
          <w:rFonts w:ascii="BookAntiqua" w:hAnsi="BookAntiqua" w:cs="BookAntiqua"/>
        </w:rPr>
        <w:t>). Per capita</w:t>
      </w:r>
      <w:r w:rsidR="008D4CD6" w:rsidRPr="000E7819">
        <w:rPr>
          <w:rFonts w:ascii="BookAntiqua" w:hAnsi="BookAntiqua" w:cs="BookAntiqua"/>
        </w:rPr>
        <w:t xml:space="preserve"> </w:t>
      </w:r>
      <w:r w:rsidR="000A10DF" w:rsidRPr="000E7819">
        <w:rPr>
          <w:rFonts w:ascii="BookAntiqua" w:hAnsi="BookAntiqua" w:cs="BookAntiqua"/>
        </w:rPr>
        <w:t>expenditure on education in India is one of the lowest in the world.</w:t>
      </w:r>
      <w:r w:rsidR="000A10DF">
        <w:rPr>
          <w:rFonts w:ascii="BookAntiqua" w:hAnsi="BookAntiqua" w:cs="BookAntiqua"/>
        </w:rPr>
        <w:t xml:space="preserve"> </w:t>
      </w:r>
      <w:r w:rsidR="000A10DF" w:rsidRPr="000E7819">
        <w:rPr>
          <w:rFonts w:ascii="BookAntiqua" w:hAnsi="BookAntiqua" w:cs="BookAntiqua"/>
        </w:rPr>
        <w:t>Shortage of funds acts</w:t>
      </w:r>
      <w:r w:rsidR="008D4CD6" w:rsidRPr="000E7819">
        <w:rPr>
          <w:rFonts w:ascii="BookAntiqua" w:hAnsi="BookAntiqua" w:cs="BookAntiqua"/>
        </w:rPr>
        <w:t xml:space="preserve"> as obstacles in quantative expansion and qualitative imp</w:t>
      </w:r>
      <w:r w:rsidR="000A10DF">
        <w:rPr>
          <w:rFonts w:ascii="BookAntiqua" w:hAnsi="BookAntiqua" w:cs="BookAntiqua"/>
        </w:rPr>
        <w:t xml:space="preserve">rovement on education. Govt spend less than one percent of GDP on higher education. </w:t>
      </w:r>
      <w:r w:rsidR="008D4CD6" w:rsidRPr="000E7819">
        <w:rPr>
          <w:rFonts w:ascii="BookAntiqua" w:hAnsi="BookAntiqua" w:cs="BookAntiqua"/>
        </w:rPr>
        <w:t xml:space="preserve">  There is need to increase spending on education beyond six perc</w:t>
      </w:r>
      <w:r w:rsidR="00115C53">
        <w:rPr>
          <w:rFonts w:ascii="BookAntiqua" w:hAnsi="BookAntiqua" w:cs="BookAntiqua"/>
        </w:rPr>
        <w:t xml:space="preserve">ent of Gross Domestic Product. </w:t>
      </w:r>
    </w:p>
    <w:p w:rsidR="00933A5E" w:rsidRPr="000E7819" w:rsidRDefault="00933A5E" w:rsidP="00792A2C">
      <w:pPr>
        <w:autoSpaceDE w:val="0"/>
        <w:autoSpaceDN w:val="0"/>
        <w:adjustRightInd w:val="0"/>
        <w:spacing w:after="0" w:line="240" w:lineRule="auto"/>
        <w:jc w:val="both"/>
        <w:rPr>
          <w:rFonts w:ascii="BookAntiqua" w:hAnsi="BookAntiqua" w:cs="BookAntiqua"/>
          <w:i/>
        </w:rPr>
      </w:pPr>
    </w:p>
    <w:p w:rsidR="00792A2C" w:rsidRPr="00792A2C" w:rsidRDefault="00792A2C" w:rsidP="00792A2C">
      <w:pPr>
        <w:autoSpaceDE w:val="0"/>
        <w:autoSpaceDN w:val="0"/>
        <w:adjustRightInd w:val="0"/>
        <w:spacing w:after="0" w:line="240" w:lineRule="auto"/>
        <w:jc w:val="both"/>
        <w:rPr>
          <w:rFonts w:ascii="BookAntiqua" w:hAnsi="BookAntiqua" w:cs="BookAntiqua"/>
          <w:sz w:val="23"/>
          <w:szCs w:val="23"/>
        </w:rPr>
      </w:pPr>
      <w:r>
        <w:rPr>
          <w:rFonts w:ascii="BookAntiqua" w:hAnsi="BookAntiqua" w:cs="BookAntiqua"/>
          <w:sz w:val="23"/>
          <w:szCs w:val="23"/>
        </w:rPr>
        <w:t>Referenc</w:t>
      </w:r>
      <w:r w:rsidR="00AE786B">
        <w:rPr>
          <w:rFonts w:ascii="BookAntiqua" w:hAnsi="BookAntiqua" w:cs="BookAntiqua"/>
          <w:sz w:val="23"/>
          <w:szCs w:val="23"/>
        </w:rPr>
        <w:t>es</w:t>
      </w:r>
    </w:p>
    <w:p w:rsidR="00792A2C" w:rsidRPr="00D83646" w:rsidRDefault="00792A2C" w:rsidP="00D83646">
      <w:pPr>
        <w:pStyle w:val="ListParagraph"/>
        <w:numPr>
          <w:ilvl w:val="0"/>
          <w:numId w:val="10"/>
        </w:numPr>
        <w:autoSpaceDE w:val="0"/>
        <w:autoSpaceDN w:val="0"/>
        <w:adjustRightInd w:val="0"/>
        <w:spacing w:after="0" w:line="240" w:lineRule="auto"/>
        <w:jc w:val="both"/>
        <w:rPr>
          <w:rFonts w:ascii="BookAntiqua" w:hAnsi="BookAntiqua" w:cs="BookAntiqua"/>
        </w:rPr>
      </w:pPr>
      <w:r w:rsidRPr="00D83646">
        <w:rPr>
          <w:rFonts w:ascii="BookAntiqua" w:hAnsi="BookAntiqua" w:cs="BookAntiqua"/>
        </w:rPr>
        <w:t xml:space="preserve">An analysis of </w:t>
      </w:r>
      <w:r w:rsidR="007F7827" w:rsidRPr="00D83646">
        <w:rPr>
          <w:rFonts w:ascii="BookAntiqua" w:hAnsi="BookAntiqua" w:cs="BookAntiqua"/>
        </w:rPr>
        <w:t>B</w:t>
      </w:r>
      <w:r w:rsidRPr="00D83646">
        <w:rPr>
          <w:rFonts w:ascii="BookAntiqua" w:hAnsi="BookAntiqua" w:cs="BookAntiqua"/>
        </w:rPr>
        <w:t xml:space="preserve">udgetary </w:t>
      </w:r>
      <w:r w:rsidR="007F7827" w:rsidRPr="00D83646">
        <w:rPr>
          <w:rFonts w:ascii="BookAntiqua" w:hAnsi="BookAntiqua" w:cs="BookAntiqua"/>
        </w:rPr>
        <w:t>E</w:t>
      </w:r>
      <w:r w:rsidRPr="00D83646">
        <w:rPr>
          <w:rFonts w:ascii="BookAntiqua" w:hAnsi="BookAntiqua" w:cs="BookAntiqua"/>
        </w:rPr>
        <w:t xml:space="preserve">xpenditure on </w:t>
      </w:r>
      <w:r w:rsidR="007F7827" w:rsidRPr="00D83646">
        <w:rPr>
          <w:rFonts w:ascii="BookAntiqua" w:hAnsi="BookAntiqua" w:cs="BookAntiqua"/>
        </w:rPr>
        <w:t>E</w:t>
      </w:r>
      <w:r w:rsidRPr="00D83646">
        <w:rPr>
          <w:rFonts w:ascii="BookAntiqua" w:hAnsi="BookAntiqua" w:cs="BookAntiqua"/>
        </w:rPr>
        <w:t xml:space="preserve">ducation, </w:t>
      </w:r>
      <w:r w:rsidR="007F7827" w:rsidRPr="00D83646">
        <w:rPr>
          <w:rFonts w:ascii="BookAntiqua" w:hAnsi="BookAntiqua" w:cs="BookAntiqua"/>
        </w:rPr>
        <w:t>Ministry</w:t>
      </w:r>
      <w:r w:rsidRPr="00D83646">
        <w:rPr>
          <w:rFonts w:ascii="BookAntiqua" w:hAnsi="BookAntiqua" w:cs="BookAntiqua"/>
        </w:rPr>
        <w:t xml:space="preserve"> of Human Development Govt of India various issues.</w:t>
      </w:r>
    </w:p>
    <w:p w:rsidR="003E0513" w:rsidRPr="00D83646" w:rsidRDefault="007F0AB1" w:rsidP="00D83646">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D83646">
        <w:rPr>
          <w:rFonts w:ascii="Times New Roman" w:hAnsi="Times New Roman" w:cs="Times New Roman"/>
          <w:bCs/>
        </w:rPr>
        <w:t>Anuradha De and Tanuka Endow Public Expenditure on Education in India: Recent Trends and Outcomes</w:t>
      </w:r>
      <w:r w:rsidR="00972BEE" w:rsidRPr="00D83646">
        <w:rPr>
          <w:rFonts w:ascii="Times New Roman" w:hAnsi="Times New Roman" w:cs="Times New Roman"/>
          <w:bCs/>
        </w:rPr>
        <w:t>,</w:t>
      </w:r>
      <w:r w:rsidR="00972BEE" w:rsidRPr="00D83646">
        <w:rPr>
          <w:rFonts w:ascii="Times New Roman" w:hAnsi="Times New Roman" w:cs="Times New Roman"/>
        </w:rPr>
        <w:t xml:space="preserve"> 2008 Research Consortium on Educational Outcomes and Poverty, working paper </w:t>
      </w:r>
    </w:p>
    <w:p w:rsidR="0042153D" w:rsidRPr="000F7305" w:rsidRDefault="0042153D" w:rsidP="00740DD8">
      <w:pPr>
        <w:autoSpaceDE w:val="0"/>
        <w:autoSpaceDN w:val="0"/>
        <w:adjustRightInd w:val="0"/>
        <w:spacing w:after="0" w:line="240" w:lineRule="auto"/>
        <w:jc w:val="both"/>
        <w:rPr>
          <w:rFonts w:ascii="BookAntiqua" w:hAnsi="BookAntiqua" w:cs="BookAntiqua"/>
        </w:rPr>
      </w:pPr>
    </w:p>
    <w:p w:rsidR="0042153D" w:rsidRPr="00D83646" w:rsidRDefault="003E7FB0" w:rsidP="00D83646">
      <w:pPr>
        <w:pStyle w:val="ListParagraph"/>
        <w:numPr>
          <w:ilvl w:val="0"/>
          <w:numId w:val="10"/>
        </w:num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 xml:space="preserve"> J</w:t>
      </w:r>
      <w:r w:rsidR="00252E98" w:rsidRPr="00D83646">
        <w:rPr>
          <w:rFonts w:ascii="Times New Roman" w:hAnsi="Times New Roman" w:cs="Times New Roman"/>
          <w:bCs/>
        </w:rPr>
        <w:t>andhyala B G Tilak (</w:t>
      </w:r>
      <w:r w:rsidR="006D20E1" w:rsidRPr="00D83646">
        <w:rPr>
          <w:rFonts w:ascii="Times New Roman" w:hAnsi="Times New Roman" w:cs="Times New Roman"/>
          <w:bCs/>
        </w:rPr>
        <w:t>Feb</w:t>
      </w:r>
      <w:r w:rsidR="00252E98" w:rsidRPr="00D83646">
        <w:rPr>
          <w:rFonts w:ascii="Times New Roman" w:hAnsi="Times New Roman" w:cs="Times New Roman"/>
          <w:bCs/>
        </w:rPr>
        <w:t>, 18</w:t>
      </w:r>
      <w:r w:rsidR="006D20E1" w:rsidRPr="00D83646">
        <w:rPr>
          <w:rFonts w:ascii="Times New Roman" w:hAnsi="Times New Roman" w:cs="Times New Roman"/>
          <w:bCs/>
        </w:rPr>
        <w:t xml:space="preserve">, </w:t>
      </w:r>
      <w:r w:rsidR="00FA5690" w:rsidRPr="00D83646">
        <w:rPr>
          <w:rFonts w:ascii="Times New Roman" w:hAnsi="Times New Roman" w:cs="Times New Roman"/>
          <w:bCs/>
        </w:rPr>
        <w:t>2006) Economic and political weekly,</w:t>
      </w:r>
      <w:r w:rsidR="00FA5690" w:rsidRPr="00D83646">
        <w:rPr>
          <w:rFonts w:ascii="BookAntiqua" w:hAnsi="BookAntiqua" w:cs="BookAntiqua"/>
        </w:rPr>
        <w:t xml:space="preserve"> </w:t>
      </w:r>
      <w:r w:rsidR="006D20E1" w:rsidRPr="00D83646">
        <w:rPr>
          <w:rFonts w:ascii="Times New Roman" w:hAnsi="Times New Roman" w:cs="Times New Roman"/>
        </w:rPr>
        <w:t>On Allocating 6 Perc</w:t>
      </w:r>
      <w:r w:rsidR="00FA5690" w:rsidRPr="00D83646">
        <w:rPr>
          <w:rFonts w:ascii="Times New Roman" w:hAnsi="Times New Roman" w:cs="Times New Roman"/>
        </w:rPr>
        <w:t>ent</w:t>
      </w:r>
      <w:r w:rsidR="006D20E1" w:rsidRPr="00D83646">
        <w:rPr>
          <w:rFonts w:ascii="Times New Roman" w:hAnsi="Times New Roman" w:cs="Times New Roman"/>
        </w:rPr>
        <w:t xml:space="preserve"> </w:t>
      </w:r>
      <w:r w:rsidR="00FA5690" w:rsidRPr="00D83646">
        <w:rPr>
          <w:rFonts w:ascii="Times New Roman" w:hAnsi="Times New Roman" w:cs="Times New Roman"/>
        </w:rPr>
        <w:t>of GDP to Education</w:t>
      </w:r>
      <w:r w:rsidR="00666168" w:rsidRPr="00D83646">
        <w:rPr>
          <w:rFonts w:ascii="Times New Roman" w:hAnsi="Times New Roman" w:cs="Times New Roman"/>
        </w:rPr>
        <w:t>.</w:t>
      </w:r>
    </w:p>
    <w:p w:rsidR="000F7305" w:rsidRDefault="000F7305" w:rsidP="0042153D">
      <w:pPr>
        <w:autoSpaceDE w:val="0"/>
        <w:autoSpaceDN w:val="0"/>
        <w:adjustRightInd w:val="0"/>
        <w:spacing w:after="0" w:line="240" w:lineRule="auto"/>
        <w:rPr>
          <w:rFonts w:ascii="Times New Roman" w:hAnsi="Times New Roman" w:cs="Times New Roman"/>
        </w:rPr>
      </w:pPr>
    </w:p>
    <w:p w:rsidR="000F7305" w:rsidRPr="00D83646" w:rsidRDefault="000F7305" w:rsidP="00D83646">
      <w:pPr>
        <w:pStyle w:val="ListParagraph"/>
        <w:numPr>
          <w:ilvl w:val="0"/>
          <w:numId w:val="10"/>
        </w:numPr>
        <w:autoSpaceDE w:val="0"/>
        <w:autoSpaceDN w:val="0"/>
        <w:adjustRightInd w:val="0"/>
        <w:spacing w:after="0" w:line="240" w:lineRule="auto"/>
        <w:rPr>
          <w:rFonts w:ascii="Times New Roman" w:hAnsi="Times New Roman" w:cs="Times New Roman"/>
        </w:rPr>
      </w:pPr>
      <w:r w:rsidRPr="00D83646">
        <w:rPr>
          <w:rFonts w:ascii="Times New Roman" w:hAnsi="Times New Roman" w:cs="Times New Roman"/>
        </w:rPr>
        <w:t xml:space="preserve">Anit N Mukerjee, Public expenditure on </w:t>
      </w:r>
      <w:r w:rsidR="00D83646" w:rsidRPr="00D83646">
        <w:rPr>
          <w:rFonts w:ascii="Times New Roman" w:hAnsi="Times New Roman" w:cs="Times New Roman"/>
        </w:rPr>
        <w:t>education,</w:t>
      </w:r>
      <w:r w:rsidRPr="00D83646">
        <w:rPr>
          <w:rFonts w:ascii="Times New Roman" w:hAnsi="Times New Roman" w:cs="Times New Roman"/>
        </w:rPr>
        <w:t xml:space="preserve"> A Review of selected issues and evidence.</w:t>
      </w:r>
    </w:p>
    <w:p w:rsidR="000F7305" w:rsidRDefault="000F7305" w:rsidP="0042153D">
      <w:pPr>
        <w:autoSpaceDE w:val="0"/>
        <w:autoSpaceDN w:val="0"/>
        <w:adjustRightInd w:val="0"/>
        <w:spacing w:after="0" w:line="240" w:lineRule="auto"/>
        <w:rPr>
          <w:rFonts w:ascii="Times New Roman" w:hAnsi="Times New Roman" w:cs="Times New Roman"/>
        </w:rPr>
      </w:pPr>
    </w:p>
    <w:p w:rsidR="000F7305" w:rsidRPr="00D83646" w:rsidRDefault="00AE633A" w:rsidP="00D83646">
      <w:pPr>
        <w:pStyle w:val="ListParagraph"/>
        <w:numPr>
          <w:ilvl w:val="0"/>
          <w:numId w:val="10"/>
        </w:numPr>
        <w:autoSpaceDE w:val="0"/>
        <w:autoSpaceDN w:val="0"/>
        <w:adjustRightInd w:val="0"/>
        <w:spacing w:after="0" w:line="240" w:lineRule="auto"/>
        <w:rPr>
          <w:rFonts w:ascii="Times New Roman" w:hAnsi="Times New Roman" w:cs="Times New Roman"/>
        </w:rPr>
      </w:pPr>
      <w:r w:rsidRPr="00D83646">
        <w:rPr>
          <w:rFonts w:ascii="Times New Roman" w:hAnsi="Times New Roman" w:cs="Times New Roman"/>
        </w:rPr>
        <w:t xml:space="preserve"> </w:t>
      </w:r>
      <w:r w:rsidR="000F7305" w:rsidRPr="00D83646">
        <w:rPr>
          <w:rFonts w:ascii="Times New Roman" w:hAnsi="Times New Roman" w:cs="Times New Roman"/>
        </w:rPr>
        <w:t>Das, J 2005 Equity in Educational Expenditure, Can government subsidies help. World Bank Policy Research paper. NO 3249, washting D.C</w:t>
      </w:r>
    </w:p>
    <w:p w:rsidR="0069595A" w:rsidRDefault="0069595A" w:rsidP="00D83646">
      <w:pPr>
        <w:autoSpaceDE w:val="0"/>
        <w:autoSpaceDN w:val="0"/>
        <w:adjustRightInd w:val="0"/>
        <w:spacing w:after="0" w:line="240" w:lineRule="auto"/>
        <w:ind w:firstLine="45"/>
        <w:rPr>
          <w:rFonts w:ascii="Times New Roman" w:hAnsi="Times New Roman" w:cs="Times New Roman"/>
        </w:rPr>
      </w:pPr>
    </w:p>
    <w:p w:rsidR="0042153D" w:rsidRPr="00D83646" w:rsidRDefault="000F7305" w:rsidP="00D83646">
      <w:pPr>
        <w:pStyle w:val="ListParagraph"/>
        <w:numPr>
          <w:ilvl w:val="0"/>
          <w:numId w:val="10"/>
        </w:numPr>
        <w:autoSpaceDE w:val="0"/>
        <w:autoSpaceDN w:val="0"/>
        <w:adjustRightInd w:val="0"/>
        <w:spacing w:after="0" w:line="240" w:lineRule="auto"/>
        <w:rPr>
          <w:rFonts w:ascii="Arial" w:hAnsi="Arial" w:cs="Arial"/>
          <w:b/>
        </w:rPr>
      </w:pPr>
      <w:r w:rsidRPr="00D83646">
        <w:rPr>
          <w:rFonts w:ascii="Times New Roman" w:hAnsi="Times New Roman" w:cs="Times New Roman"/>
        </w:rPr>
        <w:t xml:space="preserve"> Kaur B and S Mishra, 2003, Social Sector Expenditure </w:t>
      </w:r>
      <w:proofErr w:type="gramStart"/>
      <w:r w:rsidRPr="00D83646">
        <w:rPr>
          <w:rFonts w:ascii="Times New Roman" w:hAnsi="Times New Roman" w:cs="Times New Roman"/>
        </w:rPr>
        <w:t>And</w:t>
      </w:r>
      <w:proofErr w:type="gramEnd"/>
      <w:r w:rsidRPr="00D83646">
        <w:rPr>
          <w:rFonts w:ascii="Times New Roman" w:hAnsi="Times New Roman" w:cs="Times New Roman"/>
        </w:rPr>
        <w:t xml:space="preserve"> Attainment:</w:t>
      </w:r>
      <w:r w:rsidR="005C3A5D" w:rsidRPr="00D83646">
        <w:rPr>
          <w:rFonts w:ascii="Times New Roman" w:hAnsi="Times New Roman" w:cs="Times New Roman"/>
        </w:rPr>
        <w:t xml:space="preserve"> </w:t>
      </w:r>
      <w:r w:rsidR="00AE633A" w:rsidRPr="00D83646">
        <w:rPr>
          <w:rFonts w:ascii="Times New Roman" w:hAnsi="Times New Roman" w:cs="Times New Roman"/>
        </w:rPr>
        <w:t>An Analysis of Indian state. Reserve Bank o</w:t>
      </w:r>
      <w:r w:rsidRPr="00D83646">
        <w:rPr>
          <w:rFonts w:ascii="Times New Roman" w:hAnsi="Times New Roman" w:cs="Times New Roman"/>
        </w:rPr>
        <w:t xml:space="preserve">f </w:t>
      </w:r>
      <w:r w:rsidR="00AE633A" w:rsidRPr="00D83646">
        <w:rPr>
          <w:rFonts w:ascii="Times New Roman" w:hAnsi="Times New Roman" w:cs="Times New Roman"/>
        </w:rPr>
        <w:t>India</w:t>
      </w:r>
      <w:r w:rsidRPr="00D83646">
        <w:rPr>
          <w:rFonts w:ascii="Times New Roman" w:hAnsi="Times New Roman" w:cs="Times New Roman"/>
        </w:rPr>
        <w:t xml:space="preserve"> Occasional Papers</w:t>
      </w:r>
    </w:p>
    <w:p w:rsidR="006D20E1" w:rsidRPr="000F7305" w:rsidRDefault="006D20E1" w:rsidP="006D20E1">
      <w:pPr>
        <w:autoSpaceDE w:val="0"/>
        <w:autoSpaceDN w:val="0"/>
        <w:adjustRightInd w:val="0"/>
        <w:spacing w:after="0" w:line="240" w:lineRule="auto"/>
        <w:jc w:val="both"/>
        <w:rPr>
          <w:rFonts w:ascii="BookAntiqua" w:hAnsi="BookAntiqua" w:cs="BookAntiqua"/>
        </w:rPr>
      </w:pPr>
    </w:p>
    <w:p w:rsidR="003E0513" w:rsidRPr="000F7305" w:rsidRDefault="003E0513" w:rsidP="00740DD8">
      <w:pPr>
        <w:autoSpaceDE w:val="0"/>
        <w:autoSpaceDN w:val="0"/>
        <w:adjustRightInd w:val="0"/>
        <w:spacing w:after="0" w:line="240" w:lineRule="auto"/>
        <w:jc w:val="both"/>
        <w:rPr>
          <w:rFonts w:ascii="BookAntiqua" w:hAnsi="BookAntiqua" w:cs="BookAntiqua"/>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Default="003E0513" w:rsidP="00740DD8">
      <w:pPr>
        <w:autoSpaceDE w:val="0"/>
        <w:autoSpaceDN w:val="0"/>
        <w:adjustRightInd w:val="0"/>
        <w:spacing w:after="0" w:line="240" w:lineRule="auto"/>
        <w:jc w:val="both"/>
        <w:rPr>
          <w:rFonts w:ascii="BookAntiqua" w:hAnsi="BookAntiqua" w:cs="BookAntiqua"/>
          <w:sz w:val="23"/>
          <w:szCs w:val="23"/>
        </w:rPr>
      </w:pPr>
    </w:p>
    <w:p w:rsidR="003E0513" w:rsidRPr="003E0513" w:rsidRDefault="003E0513" w:rsidP="00740DD8">
      <w:pPr>
        <w:autoSpaceDE w:val="0"/>
        <w:autoSpaceDN w:val="0"/>
        <w:adjustRightInd w:val="0"/>
        <w:spacing w:after="0" w:line="240" w:lineRule="auto"/>
        <w:jc w:val="both"/>
        <w:rPr>
          <w:rFonts w:ascii="BookAntiqua" w:hAnsi="BookAntiqua" w:cs="BookAntiqua"/>
          <w:sz w:val="23"/>
          <w:szCs w:val="23"/>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62394A" w:rsidRDefault="0062394A"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FB780D" w:rsidRDefault="00FB780D"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9610E8" w:rsidRDefault="009610E8" w:rsidP="00740DD8">
      <w:pPr>
        <w:autoSpaceDE w:val="0"/>
        <w:autoSpaceDN w:val="0"/>
        <w:adjustRightInd w:val="0"/>
        <w:spacing w:after="0" w:line="240" w:lineRule="auto"/>
        <w:jc w:val="both"/>
        <w:rPr>
          <w:rFonts w:ascii="Times New Roman" w:hAnsi="Times New Roman" w:cs="Times New Roman"/>
          <w:b/>
          <w:sz w:val="24"/>
          <w:szCs w:val="24"/>
        </w:rPr>
      </w:pPr>
    </w:p>
    <w:p w:rsidR="003E0513" w:rsidRDefault="003E0513" w:rsidP="00740DD8">
      <w:pPr>
        <w:autoSpaceDE w:val="0"/>
        <w:autoSpaceDN w:val="0"/>
        <w:adjustRightInd w:val="0"/>
        <w:spacing w:after="0" w:line="240" w:lineRule="auto"/>
        <w:jc w:val="both"/>
        <w:rPr>
          <w:rFonts w:ascii="Times New Roman" w:hAnsi="Times New Roman" w:cs="Times New Roman"/>
          <w:b/>
          <w:sz w:val="24"/>
          <w:szCs w:val="24"/>
        </w:rPr>
      </w:pPr>
    </w:p>
    <w:p w:rsidR="003E0513" w:rsidRDefault="003E0513" w:rsidP="00740DD8">
      <w:pPr>
        <w:autoSpaceDE w:val="0"/>
        <w:autoSpaceDN w:val="0"/>
        <w:adjustRightInd w:val="0"/>
        <w:spacing w:after="0" w:line="240" w:lineRule="auto"/>
        <w:jc w:val="both"/>
        <w:rPr>
          <w:rFonts w:ascii="Times New Roman" w:hAnsi="Times New Roman" w:cs="Times New Roman"/>
          <w:b/>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A961BD" w:rsidRDefault="00A961BD" w:rsidP="00740DD8">
      <w:pPr>
        <w:autoSpaceDE w:val="0"/>
        <w:autoSpaceDN w:val="0"/>
        <w:adjustRightInd w:val="0"/>
        <w:spacing w:after="0" w:line="240" w:lineRule="auto"/>
        <w:jc w:val="both"/>
        <w:rPr>
          <w:rFonts w:ascii="Times New Roman" w:hAnsi="Times New Roman" w:cs="Times New Roman"/>
          <w:sz w:val="24"/>
          <w:szCs w:val="24"/>
        </w:rPr>
      </w:pPr>
    </w:p>
    <w:p w:rsidR="00B203E3" w:rsidRDefault="00B203E3" w:rsidP="00740DD8">
      <w:pPr>
        <w:autoSpaceDE w:val="0"/>
        <w:autoSpaceDN w:val="0"/>
        <w:adjustRightInd w:val="0"/>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center" w:tblpY="110"/>
        <w:tblW w:w="10524" w:type="dxa"/>
        <w:tblLayout w:type="fixed"/>
        <w:tblLook w:val="04A0"/>
      </w:tblPr>
      <w:tblGrid>
        <w:gridCol w:w="1041"/>
        <w:gridCol w:w="1389"/>
        <w:gridCol w:w="1389"/>
        <w:gridCol w:w="1569"/>
        <w:gridCol w:w="1129"/>
        <w:gridCol w:w="1422"/>
        <w:gridCol w:w="1701"/>
        <w:gridCol w:w="884"/>
      </w:tblGrid>
      <w:tr w:rsidR="00711FEF" w:rsidTr="00711FEF">
        <w:trPr>
          <w:trHeight w:val="1268"/>
        </w:trPr>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Years</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Total Nominal Expenditure on higher education</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Real Expenditure on higher Education</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Growth rate  expenditure nominal</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Growth of real Exp</w:t>
            </w:r>
          </w:p>
          <w:p w:rsidR="00711FEF" w:rsidRPr="00960F09" w:rsidRDefault="00711FEF" w:rsidP="00711FEF">
            <w:pPr>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Expenditure on higher as percentage of GDP</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Exp. On higher as % of total exp. on Education</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2001-02</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14323</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0.66</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17.93</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2002-03</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15868</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10.78</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0.67</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18.55</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2003-04</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16856</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6.22</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0.64</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18.92</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2004-05</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18813</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18813</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11.61</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0.63</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19.45</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2005-06</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21871</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20969</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16.25</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0.67</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19.31</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2006-07</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26635</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24017</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22.08</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0.70</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19.29</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2007-08</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30106</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25666</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13.03</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0.70</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19.13</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2008-09</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45946</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36036</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49.29</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0.87</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24.30</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2009-10</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57225</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42326</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24.54</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0.94</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23.59</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2010-11</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63817</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43295</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11.51</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0.89</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23.45</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2011-12</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69054</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43174</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8.2</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0.82</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19.66</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2012-13</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83559</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48751</w:t>
            </w: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w:t>
            </w: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0.89</w:t>
            </w: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20.70</w:t>
            </w: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2013-14</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r w:rsidR="00711FEF" w:rsidTr="00711FEF">
        <w:tc>
          <w:tcPr>
            <w:tcW w:w="1041" w:type="dxa"/>
          </w:tcPr>
          <w:p w:rsidR="00711FEF" w:rsidRDefault="00711FEF" w:rsidP="00711F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2014-15</w:t>
            </w: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38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56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129"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422"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1701" w:type="dxa"/>
          </w:tcPr>
          <w:p w:rsidR="00711FEF" w:rsidRDefault="00711FEF" w:rsidP="00711FEF">
            <w:pPr>
              <w:autoSpaceDE w:val="0"/>
              <w:autoSpaceDN w:val="0"/>
              <w:adjustRightInd w:val="0"/>
              <w:jc w:val="both"/>
              <w:rPr>
                <w:rFonts w:ascii="Times New Roman" w:hAnsi="Times New Roman" w:cs="Times New Roman"/>
                <w:sz w:val="24"/>
                <w:szCs w:val="24"/>
              </w:rPr>
            </w:pPr>
          </w:p>
        </w:tc>
        <w:tc>
          <w:tcPr>
            <w:tcW w:w="884" w:type="dxa"/>
          </w:tcPr>
          <w:p w:rsidR="00711FEF" w:rsidRDefault="00711FEF" w:rsidP="00711FEF">
            <w:pPr>
              <w:autoSpaceDE w:val="0"/>
              <w:autoSpaceDN w:val="0"/>
              <w:adjustRightInd w:val="0"/>
              <w:jc w:val="both"/>
              <w:rPr>
                <w:rFonts w:ascii="Times New Roman" w:hAnsi="Times New Roman" w:cs="Times New Roman"/>
                <w:sz w:val="24"/>
                <w:szCs w:val="24"/>
              </w:rPr>
            </w:pPr>
          </w:p>
        </w:tc>
      </w:tr>
    </w:tbl>
    <w:p w:rsidR="00FB47FE" w:rsidRDefault="00FB47FE" w:rsidP="00740DD8">
      <w:pPr>
        <w:autoSpaceDE w:val="0"/>
        <w:autoSpaceDN w:val="0"/>
        <w:adjustRightInd w:val="0"/>
        <w:spacing w:after="0" w:line="240" w:lineRule="auto"/>
        <w:jc w:val="both"/>
        <w:rPr>
          <w:rFonts w:ascii="Times New Roman" w:hAnsi="Times New Roman" w:cs="Times New Roman"/>
          <w:sz w:val="24"/>
          <w:szCs w:val="24"/>
        </w:rPr>
      </w:pPr>
    </w:p>
    <w:p w:rsidR="001F5AAD" w:rsidRPr="0061653C" w:rsidRDefault="00AA311B" w:rsidP="00740DD8">
      <w:pPr>
        <w:autoSpaceDE w:val="0"/>
        <w:autoSpaceDN w:val="0"/>
        <w:adjustRightInd w:val="0"/>
        <w:spacing w:after="0" w:line="240" w:lineRule="auto"/>
        <w:jc w:val="both"/>
        <w:rPr>
          <w:rFonts w:ascii="Times New Roman" w:hAnsi="Times New Roman" w:cs="Times New Roman"/>
          <w:b/>
          <w:sz w:val="24"/>
          <w:szCs w:val="24"/>
        </w:rPr>
      </w:pPr>
      <w:r w:rsidRPr="0061653C">
        <w:rPr>
          <w:rFonts w:ascii="Times New Roman" w:hAnsi="Times New Roman" w:cs="Times New Roman"/>
          <w:b/>
          <w:sz w:val="24"/>
          <w:szCs w:val="24"/>
        </w:rPr>
        <w:t xml:space="preserve">Public expenditure on education and higher education in </w:t>
      </w:r>
      <w:r w:rsidR="00122ACC" w:rsidRPr="0061653C">
        <w:rPr>
          <w:rFonts w:ascii="Times New Roman" w:hAnsi="Times New Roman" w:cs="Times New Roman"/>
          <w:b/>
          <w:sz w:val="24"/>
          <w:szCs w:val="24"/>
        </w:rPr>
        <w:t>India</w:t>
      </w:r>
      <w:r w:rsidRPr="0061653C">
        <w:rPr>
          <w:rFonts w:ascii="Times New Roman" w:hAnsi="Times New Roman" w:cs="Times New Roman"/>
          <w:b/>
          <w:sz w:val="24"/>
          <w:szCs w:val="24"/>
        </w:rPr>
        <w:t xml:space="preserve"> since 2001 (Rs. </w:t>
      </w:r>
      <w:proofErr w:type="spellStart"/>
      <w:r w:rsidR="00122ACC" w:rsidRPr="0061653C">
        <w:rPr>
          <w:rFonts w:ascii="Times New Roman" w:hAnsi="Times New Roman" w:cs="Times New Roman"/>
          <w:b/>
          <w:sz w:val="24"/>
          <w:szCs w:val="24"/>
        </w:rPr>
        <w:t>Crore</w:t>
      </w:r>
      <w:proofErr w:type="spellEnd"/>
      <w:r w:rsidRPr="0061653C">
        <w:rPr>
          <w:rFonts w:ascii="Times New Roman" w:hAnsi="Times New Roman" w:cs="Times New Roman"/>
          <w:b/>
          <w:sz w:val="24"/>
          <w:szCs w:val="24"/>
        </w:rPr>
        <w:t>)</w:t>
      </w:r>
    </w:p>
    <w:p w:rsidR="001F5AAD" w:rsidRDefault="00855063" w:rsidP="00740D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Ministry of human resources government of India</w:t>
      </w:r>
    </w:p>
    <w:p w:rsidR="00855063" w:rsidRDefault="00561882" w:rsidP="00740D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Budgetary</w:t>
      </w:r>
      <w:r w:rsidR="00855063">
        <w:rPr>
          <w:rFonts w:ascii="Times New Roman" w:hAnsi="Times New Roman" w:cs="Times New Roman"/>
          <w:sz w:val="24"/>
          <w:szCs w:val="24"/>
        </w:rPr>
        <w:t xml:space="preserve"> analysis of government expenditure on education</w:t>
      </w:r>
    </w:p>
    <w:p w:rsidR="00855063" w:rsidRDefault="009E5552" w:rsidP="00740D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GDP D</w:t>
      </w:r>
      <w:r w:rsidR="00855063">
        <w:rPr>
          <w:rFonts w:ascii="Times New Roman" w:hAnsi="Times New Roman" w:cs="Times New Roman"/>
          <w:sz w:val="24"/>
          <w:szCs w:val="24"/>
        </w:rPr>
        <w:t xml:space="preserve">eflator is uses to </w:t>
      </w:r>
      <w:r w:rsidR="00561882">
        <w:rPr>
          <w:rFonts w:ascii="Times New Roman" w:hAnsi="Times New Roman" w:cs="Times New Roman"/>
          <w:sz w:val="24"/>
          <w:szCs w:val="24"/>
        </w:rPr>
        <w:t>convert nominal expenditure into real expenditure (base 2004-05)</w:t>
      </w:r>
    </w:p>
    <w:p w:rsidR="00960F09" w:rsidRDefault="00960F09" w:rsidP="00740DD8">
      <w:pPr>
        <w:autoSpaceDE w:val="0"/>
        <w:autoSpaceDN w:val="0"/>
        <w:adjustRightInd w:val="0"/>
        <w:spacing w:after="0" w:line="240" w:lineRule="auto"/>
        <w:jc w:val="both"/>
        <w:rPr>
          <w:rFonts w:ascii="Times New Roman" w:hAnsi="Times New Roman" w:cs="Times New Roman"/>
          <w:sz w:val="24"/>
          <w:szCs w:val="24"/>
        </w:rPr>
      </w:pPr>
    </w:p>
    <w:p w:rsidR="00960F09" w:rsidRDefault="00960F09"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Default="00920CBA" w:rsidP="00740DD8">
      <w:pPr>
        <w:autoSpaceDE w:val="0"/>
        <w:autoSpaceDN w:val="0"/>
        <w:adjustRightInd w:val="0"/>
        <w:spacing w:after="0" w:line="240" w:lineRule="auto"/>
        <w:jc w:val="both"/>
        <w:rPr>
          <w:rFonts w:ascii="Times New Roman" w:hAnsi="Times New Roman" w:cs="Times New Roman"/>
          <w:sz w:val="24"/>
          <w:szCs w:val="24"/>
        </w:rPr>
      </w:pPr>
    </w:p>
    <w:p w:rsidR="00920CBA" w:rsidRPr="00740DD8" w:rsidRDefault="00920CBA" w:rsidP="00740DD8">
      <w:pPr>
        <w:autoSpaceDE w:val="0"/>
        <w:autoSpaceDN w:val="0"/>
        <w:adjustRightInd w:val="0"/>
        <w:spacing w:after="0" w:line="240" w:lineRule="auto"/>
        <w:jc w:val="both"/>
        <w:rPr>
          <w:rFonts w:ascii="Times New Roman" w:hAnsi="Times New Roman" w:cs="Times New Roman"/>
          <w:sz w:val="24"/>
          <w:szCs w:val="24"/>
        </w:rPr>
      </w:pPr>
    </w:p>
    <w:sectPr w:rsidR="00920CBA" w:rsidRPr="00740DD8" w:rsidSect="00811E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5D" w:rsidRDefault="00D01E5D" w:rsidP="00432889">
      <w:pPr>
        <w:spacing w:after="0" w:line="240" w:lineRule="auto"/>
      </w:pPr>
      <w:r>
        <w:separator/>
      </w:r>
    </w:p>
  </w:endnote>
  <w:endnote w:type="continuationSeparator" w:id="0">
    <w:p w:rsidR="00D01E5D" w:rsidRDefault="00D01E5D" w:rsidP="00432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81" w:rsidRDefault="00963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2937"/>
      <w:docPartObj>
        <w:docPartGallery w:val="Page Numbers (Bottom of Page)"/>
        <w:docPartUnique/>
      </w:docPartObj>
    </w:sdtPr>
    <w:sdtContent>
      <w:p w:rsidR="00963481" w:rsidRDefault="00B74E37">
        <w:pPr>
          <w:pStyle w:val="Footer"/>
        </w:pPr>
        <w:fldSimple w:instr=" PAGE   \* MERGEFORMAT ">
          <w:r w:rsidR="00643119">
            <w:rPr>
              <w:noProof/>
            </w:rPr>
            <w:t>6</w:t>
          </w:r>
        </w:fldSimple>
      </w:p>
    </w:sdtContent>
  </w:sdt>
  <w:p w:rsidR="00963481" w:rsidRDefault="00963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81" w:rsidRDefault="0096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5D" w:rsidRDefault="00D01E5D" w:rsidP="00432889">
      <w:pPr>
        <w:spacing w:after="0" w:line="240" w:lineRule="auto"/>
      </w:pPr>
      <w:r>
        <w:separator/>
      </w:r>
    </w:p>
  </w:footnote>
  <w:footnote w:type="continuationSeparator" w:id="0">
    <w:p w:rsidR="00D01E5D" w:rsidRDefault="00D01E5D" w:rsidP="00432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81" w:rsidRDefault="00963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81" w:rsidRDefault="009634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81" w:rsidRDefault="00963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32D"/>
    <w:multiLevelType w:val="hybridMultilevel"/>
    <w:tmpl w:val="9B129064"/>
    <w:lvl w:ilvl="0" w:tplc="07663B04">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nsid w:val="0CE86002"/>
    <w:multiLevelType w:val="hybridMultilevel"/>
    <w:tmpl w:val="F6F6C1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17E4B65"/>
    <w:multiLevelType w:val="hybridMultilevel"/>
    <w:tmpl w:val="5A805F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E9420CF"/>
    <w:multiLevelType w:val="hybridMultilevel"/>
    <w:tmpl w:val="2F74F916"/>
    <w:lvl w:ilvl="0" w:tplc="EFAC38D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E4377A"/>
    <w:multiLevelType w:val="hybridMultilevel"/>
    <w:tmpl w:val="5B987308"/>
    <w:lvl w:ilvl="0" w:tplc="D7D233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E356FF"/>
    <w:multiLevelType w:val="hybridMultilevel"/>
    <w:tmpl w:val="8EDAB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376973"/>
    <w:multiLevelType w:val="hybridMultilevel"/>
    <w:tmpl w:val="F13E7B4C"/>
    <w:lvl w:ilvl="0" w:tplc="50FA200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920071"/>
    <w:multiLevelType w:val="hybridMultilevel"/>
    <w:tmpl w:val="EB54B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F3238E"/>
    <w:multiLevelType w:val="hybridMultilevel"/>
    <w:tmpl w:val="7D6C034C"/>
    <w:lvl w:ilvl="0" w:tplc="40090001">
      <w:start w:val="1"/>
      <w:numFmt w:val="bullet"/>
      <w:lvlText w:val=""/>
      <w:lvlJc w:val="left"/>
      <w:pPr>
        <w:ind w:left="1044" w:hanging="360"/>
      </w:pPr>
      <w:rPr>
        <w:rFonts w:ascii="Symbol" w:hAnsi="Symbol" w:hint="default"/>
      </w:rPr>
    </w:lvl>
    <w:lvl w:ilvl="1" w:tplc="40090003" w:tentative="1">
      <w:start w:val="1"/>
      <w:numFmt w:val="bullet"/>
      <w:lvlText w:val="o"/>
      <w:lvlJc w:val="left"/>
      <w:pPr>
        <w:ind w:left="1764" w:hanging="360"/>
      </w:pPr>
      <w:rPr>
        <w:rFonts w:ascii="Courier New" w:hAnsi="Courier New" w:cs="Courier New" w:hint="default"/>
      </w:rPr>
    </w:lvl>
    <w:lvl w:ilvl="2" w:tplc="40090005" w:tentative="1">
      <w:start w:val="1"/>
      <w:numFmt w:val="bullet"/>
      <w:lvlText w:val=""/>
      <w:lvlJc w:val="left"/>
      <w:pPr>
        <w:ind w:left="2484" w:hanging="360"/>
      </w:pPr>
      <w:rPr>
        <w:rFonts w:ascii="Wingdings" w:hAnsi="Wingdings" w:hint="default"/>
      </w:rPr>
    </w:lvl>
    <w:lvl w:ilvl="3" w:tplc="40090001" w:tentative="1">
      <w:start w:val="1"/>
      <w:numFmt w:val="bullet"/>
      <w:lvlText w:val=""/>
      <w:lvlJc w:val="left"/>
      <w:pPr>
        <w:ind w:left="3204" w:hanging="360"/>
      </w:pPr>
      <w:rPr>
        <w:rFonts w:ascii="Symbol" w:hAnsi="Symbol" w:hint="default"/>
      </w:rPr>
    </w:lvl>
    <w:lvl w:ilvl="4" w:tplc="40090003" w:tentative="1">
      <w:start w:val="1"/>
      <w:numFmt w:val="bullet"/>
      <w:lvlText w:val="o"/>
      <w:lvlJc w:val="left"/>
      <w:pPr>
        <w:ind w:left="3924" w:hanging="360"/>
      </w:pPr>
      <w:rPr>
        <w:rFonts w:ascii="Courier New" w:hAnsi="Courier New" w:cs="Courier New" w:hint="default"/>
      </w:rPr>
    </w:lvl>
    <w:lvl w:ilvl="5" w:tplc="40090005" w:tentative="1">
      <w:start w:val="1"/>
      <w:numFmt w:val="bullet"/>
      <w:lvlText w:val=""/>
      <w:lvlJc w:val="left"/>
      <w:pPr>
        <w:ind w:left="4644" w:hanging="360"/>
      </w:pPr>
      <w:rPr>
        <w:rFonts w:ascii="Wingdings" w:hAnsi="Wingdings" w:hint="default"/>
      </w:rPr>
    </w:lvl>
    <w:lvl w:ilvl="6" w:tplc="40090001" w:tentative="1">
      <w:start w:val="1"/>
      <w:numFmt w:val="bullet"/>
      <w:lvlText w:val=""/>
      <w:lvlJc w:val="left"/>
      <w:pPr>
        <w:ind w:left="5364" w:hanging="360"/>
      </w:pPr>
      <w:rPr>
        <w:rFonts w:ascii="Symbol" w:hAnsi="Symbol" w:hint="default"/>
      </w:rPr>
    </w:lvl>
    <w:lvl w:ilvl="7" w:tplc="40090003" w:tentative="1">
      <w:start w:val="1"/>
      <w:numFmt w:val="bullet"/>
      <w:lvlText w:val="o"/>
      <w:lvlJc w:val="left"/>
      <w:pPr>
        <w:ind w:left="6084" w:hanging="360"/>
      </w:pPr>
      <w:rPr>
        <w:rFonts w:ascii="Courier New" w:hAnsi="Courier New" w:cs="Courier New" w:hint="default"/>
      </w:rPr>
    </w:lvl>
    <w:lvl w:ilvl="8" w:tplc="40090005" w:tentative="1">
      <w:start w:val="1"/>
      <w:numFmt w:val="bullet"/>
      <w:lvlText w:val=""/>
      <w:lvlJc w:val="left"/>
      <w:pPr>
        <w:ind w:left="6804" w:hanging="360"/>
      </w:pPr>
      <w:rPr>
        <w:rFonts w:ascii="Wingdings" w:hAnsi="Wingdings" w:hint="default"/>
      </w:rPr>
    </w:lvl>
  </w:abstractNum>
  <w:abstractNum w:abstractNumId="9">
    <w:nsid w:val="727B3299"/>
    <w:multiLevelType w:val="hybridMultilevel"/>
    <w:tmpl w:val="E7903178"/>
    <w:lvl w:ilvl="0" w:tplc="4106D1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8"/>
  </w:num>
  <w:num w:numId="6">
    <w:abstractNumId w:val="1"/>
  </w:num>
  <w:num w:numId="7">
    <w:abstractNumId w:val="7"/>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234598"/>
    <w:rsid w:val="00000FD8"/>
    <w:rsid w:val="00004D6B"/>
    <w:rsid w:val="000061D8"/>
    <w:rsid w:val="00024862"/>
    <w:rsid w:val="000248F4"/>
    <w:rsid w:val="00031594"/>
    <w:rsid w:val="00032AED"/>
    <w:rsid w:val="0003342F"/>
    <w:rsid w:val="00037C7E"/>
    <w:rsid w:val="00051E6E"/>
    <w:rsid w:val="00055AF4"/>
    <w:rsid w:val="00057B36"/>
    <w:rsid w:val="00060262"/>
    <w:rsid w:val="00065AE5"/>
    <w:rsid w:val="0007708A"/>
    <w:rsid w:val="00082247"/>
    <w:rsid w:val="0008324A"/>
    <w:rsid w:val="000845CD"/>
    <w:rsid w:val="00087075"/>
    <w:rsid w:val="000A10DF"/>
    <w:rsid w:val="000A2602"/>
    <w:rsid w:val="000A2A4F"/>
    <w:rsid w:val="000A3AEE"/>
    <w:rsid w:val="000A4942"/>
    <w:rsid w:val="000A5CA7"/>
    <w:rsid w:val="000A6F31"/>
    <w:rsid w:val="000B0BE7"/>
    <w:rsid w:val="000B7C65"/>
    <w:rsid w:val="000C1A87"/>
    <w:rsid w:val="000C5F91"/>
    <w:rsid w:val="000D208D"/>
    <w:rsid w:val="000D2690"/>
    <w:rsid w:val="000E6323"/>
    <w:rsid w:val="000E7673"/>
    <w:rsid w:val="000E7819"/>
    <w:rsid w:val="000F0D41"/>
    <w:rsid w:val="000F39D1"/>
    <w:rsid w:val="000F4BE0"/>
    <w:rsid w:val="000F7305"/>
    <w:rsid w:val="0010352A"/>
    <w:rsid w:val="001044A5"/>
    <w:rsid w:val="001058FB"/>
    <w:rsid w:val="00112763"/>
    <w:rsid w:val="00114A1E"/>
    <w:rsid w:val="00115C53"/>
    <w:rsid w:val="00120FB0"/>
    <w:rsid w:val="00122ACC"/>
    <w:rsid w:val="0012542A"/>
    <w:rsid w:val="00144F77"/>
    <w:rsid w:val="001465C8"/>
    <w:rsid w:val="001539EF"/>
    <w:rsid w:val="001630A9"/>
    <w:rsid w:val="001631D6"/>
    <w:rsid w:val="00165A47"/>
    <w:rsid w:val="00170062"/>
    <w:rsid w:val="0017390B"/>
    <w:rsid w:val="00181984"/>
    <w:rsid w:val="001855A3"/>
    <w:rsid w:val="0019267C"/>
    <w:rsid w:val="00195AD4"/>
    <w:rsid w:val="001A0B7B"/>
    <w:rsid w:val="001A15B7"/>
    <w:rsid w:val="001A3190"/>
    <w:rsid w:val="001A3E81"/>
    <w:rsid w:val="001B357A"/>
    <w:rsid w:val="001B6A75"/>
    <w:rsid w:val="001B6E1F"/>
    <w:rsid w:val="001B6F4D"/>
    <w:rsid w:val="001D2664"/>
    <w:rsid w:val="001D368E"/>
    <w:rsid w:val="001D4035"/>
    <w:rsid w:val="001D4DC6"/>
    <w:rsid w:val="001D6890"/>
    <w:rsid w:val="001E2F35"/>
    <w:rsid w:val="001E46E9"/>
    <w:rsid w:val="001E67BF"/>
    <w:rsid w:val="001F043A"/>
    <w:rsid w:val="001F5AAD"/>
    <w:rsid w:val="0020283D"/>
    <w:rsid w:val="00204581"/>
    <w:rsid w:val="00204C7F"/>
    <w:rsid w:val="00205D34"/>
    <w:rsid w:val="00210D95"/>
    <w:rsid w:val="00211FEF"/>
    <w:rsid w:val="002126D3"/>
    <w:rsid w:val="00215120"/>
    <w:rsid w:val="00216F05"/>
    <w:rsid w:val="002174CA"/>
    <w:rsid w:val="00217CAA"/>
    <w:rsid w:val="00220479"/>
    <w:rsid w:val="00221144"/>
    <w:rsid w:val="00227451"/>
    <w:rsid w:val="00231355"/>
    <w:rsid w:val="0023283F"/>
    <w:rsid w:val="00234598"/>
    <w:rsid w:val="00250483"/>
    <w:rsid w:val="00251138"/>
    <w:rsid w:val="00251689"/>
    <w:rsid w:val="0025180A"/>
    <w:rsid w:val="00252E98"/>
    <w:rsid w:val="00254534"/>
    <w:rsid w:val="00255574"/>
    <w:rsid w:val="00260688"/>
    <w:rsid w:val="00264959"/>
    <w:rsid w:val="002655E6"/>
    <w:rsid w:val="00277ED8"/>
    <w:rsid w:val="00286330"/>
    <w:rsid w:val="00290E11"/>
    <w:rsid w:val="0029218F"/>
    <w:rsid w:val="00292B47"/>
    <w:rsid w:val="00293E12"/>
    <w:rsid w:val="002A1C8F"/>
    <w:rsid w:val="002A71C8"/>
    <w:rsid w:val="002B2423"/>
    <w:rsid w:val="002B2842"/>
    <w:rsid w:val="002B5C92"/>
    <w:rsid w:val="002C16C8"/>
    <w:rsid w:val="002C6384"/>
    <w:rsid w:val="002D2EBA"/>
    <w:rsid w:val="002E0708"/>
    <w:rsid w:val="002E0F0C"/>
    <w:rsid w:val="002E138A"/>
    <w:rsid w:val="002E1747"/>
    <w:rsid w:val="002E3DD2"/>
    <w:rsid w:val="002E3E3E"/>
    <w:rsid w:val="002E5E77"/>
    <w:rsid w:val="00300BE2"/>
    <w:rsid w:val="003102D7"/>
    <w:rsid w:val="00311BDE"/>
    <w:rsid w:val="00312643"/>
    <w:rsid w:val="003206C2"/>
    <w:rsid w:val="00321DA9"/>
    <w:rsid w:val="00324A6D"/>
    <w:rsid w:val="00327317"/>
    <w:rsid w:val="003314BC"/>
    <w:rsid w:val="00334111"/>
    <w:rsid w:val="00341CAE"/>
    <w:rsid w:val="003426A1"/>
    <w:rsid w:val="00343EE2"/>
    <w:rsid w:val="00352F72"/>
    <w:rsid w:val="00353564"/>
    <w:rsid w:val="00353A86"/>
    <w:rsid w:val="00355441"/>
    <w:rsid w:val="00355AC6"/>
    <w:rsid w:val="00360131"/>
    <w:rsid w:val="00363BB3"/>
    <w:rsid w:val="00367CE4"/>
    <w:rsid w:val="00373CF0"/>
    <w:rsid w:val="003804AB"/>
    <w:rsid w:val="0038742C"/>
    <w:rsid w:val="00392023"/>
    <w:rsid w:val="003927F0"/>
    <w:rsid w:val="00395296"/>
    <w:rsid w:val="003A0026"/>
    <w:rsid w:val="003A0F93"/>
    <w:rsid w:val="003A1FFD"/>
    <w:rsid w:val="003B016A"/>
    <w:rsid w:val="003B2C64"/>
    <w:rsid w:val="003B507B"/>
    <w:rsid w:val="003B7D94"/>
    <w:rsid w:val="003C0BFE"/>
    <w:rsid w:val="003C0E1C"/>
    <w:rsid w:val="003C2C88"/>
    <w:rsid w:val="003C712B"/>
    <w:rsid w:val="003D0382"/>
    <w:rsid w:val="003D4EA2"/>
    <w:rsid w:val="003E0513"/>
    <w:rsid w:val="003E5BF8"/>
    <w:rsid w:val="003E63B9"/>
    <w:rsid w:val="003E6C9D"/>
    <w:rsid w:val="003E7FB0"/>
    <w:rsid w:val="003F0877"/>
    <w:rsid w:val="003F67F0"/>
    <w:rsid w:val="004047CF"/>
    <w:rsid w:val="0041412D"/>
    <w:rsid w:val="0042028F"/>
    <w:rsid w:val="00421244"/>
    <w:rsid w:val="0042153D"/>
    <w:rsid w:val="0042326F"/>
    <w:rsid w:val="00424E78"/>
    <w:rsid w:val="00424FFC"/>
    <w:rsid w:val="004307B2"/>
    <w:rsid w:val="004323B5"/>
    <w:rsid w:val="00432889"/>
    <w:rsid w:val="00434A97"/>
    <w:rsid w:val="00440301"/>
    <w:rsid w:val="004419F4"/>
    <w:rsid w:val="00443FBD"/>
    <w:rsid w:val="00444A6A"/>
    <w:rsid w:val="00446A54"/>
    <w:rsid w:val="00453AA4"/>
    <w:rsid w:val="004560D7"/>
    <w:rsid w:val="00461F60"/>
    <w:rsid w:val="0046430B"/>
    <w:rsid w:val="00475414"/>
    <w:rsid w:val="00476EA7"/>
    <w:rsid w:val="00480EFE"/>
    <w:rsid w:val="00486157"/>
    <w:rsid w:val="004942D3"/>
    <w:rsid w:val="00494DAB"/>
    <w:rsid w:val="00496502"/>
    <w:rsid w:val="004A1044"/>
    <w:rsid w:val="004A5268"/>
    <w:rsid w:val="004A7DEA"/>
    <w:rsid w:val="004B037F"/>
    <w:rsid w:val="004B4E22"/>
    <w:rsid w:val="004C13F1"/>
    <w:rsid w:val="004C6B01"/>
    <w:rsid w:val="004C7298"/>
    <w:rsid w:val="004C7EAA"/>
    <w:rsid w:val="004D16F2"/>
    <w:rsid w:val="004D4327"/>
    <w:rsid w:val="004D583A"/>
    <w:rsid w:val="004E75F0"/>
    <w:rsid w:val="004F469A"/>
    <w:rsid w:val="004F6682"/>
    <w:rsid w:val="004F7F0A"/>
    <w:rsid w:val="0050338C"/>
    <w:rsid w:val="00515628"/>
    <w:rsid w:val="005160BB"/>
    <w:rsid w:val="00516B99"/>
    <w:rsid w:val="00517FA9"/>
    <w:rsid w:val="00527699"/>
    <w:rsid w:val="00527997"/>
    <w:rsid w:val="005303A4"/>
    <w:rsid w:val="00534625"/>
    <w:rsid w:val="00540AB5"/>
    <w:rsid w:val="00541E65"/>
    <w:rsid w:val="00542AE8"/>
    <w:rsid w:val="00553D25"/>
    <w:rsid w:val="005609E3"/>
    <w:rsid w:val="00561882"/>
    <w:rsid w:val="005620F8"/>
    <w:rsid w:val="0056323E"/>
    <w:rsid w:val="005660A6"/>
    <w:rsid w:val="0057104D"/>
    <w:rsid w:val="0057281A"/>
    <w:rsid w:val="00583055"/>
    <w:rsid w:val="0059202B"/>
    <w:rsid w:val="00592724"/>
    <w:rsid w:val="0059773D"/>
    <w:rsid w:val="005A3EDF"/>
    <w:rsid w:val="005C3A5D"/>
    <w:rsid w:val="005C6117"/>
    <w:rsid w:val="005C69E8"/>
    <w:rsid w:val="005D1AEF"/>
    <w:rsid w:val="005E044E"/>
    <w:rsid w:val="005E406D"/>
    <w:rsid w:val="005E576A"/>
    <w:rsid w:val="005F0ECD"/>
    <w:rsid w:val="005F1BAA"/>
    <w:rsid w:val="005F3833"/>
    <w:rsid w:val="005F7E83"/>
    <w:rsid w:val="00600AA5"/>
    <w:rsid w:val="006016BE"/>
    <w:rsid w:val="00606172"/>
    <w:rsid w:val="00616302"/>
    <w:rsid w:val="0061653C"/>
    <w:rsid w:val="00616713"/>
    <w:rsid w:val="00621DCD"/>
    <w:rsid w:val="006234E4"/>
    <w:rsid w:val="0062394A"/>
    <w:rsid w:val="00623FCF"/>
    <w:rsid w:val="0062415B"/>
    <w:rsid w:val="00630442"/>
    <w:rsid w:val="00635639"/>
    <w:rsid w:val="00637915"/>
    <w:rsid w:val="0064185A"/>
    <w:rsid w:val="0064262E"/>
    <w:rsid w:val="00643119"/>
    <w:rsid w:val="00644669"/>
    <w:rsid w:val="006475CC"/>
    <w:rsid w:val="00651B23"/>
    <w:rsid w:val="00663591"/>
    <w:rsid w:val="00664E06"/>
    <w:rsid w:val="00666168"/>
    <w:rsid w:val="00666DC3"/>
    <w:rsid w:val="006736B3"/>
    <w:rsid w:val="006821B3"/>
    <w:rsid w:val="00687A55"/>
    <w:rsid w:val="00690706"/>
    <w:rsid w:val="006933DF"/>
    <w:rsid w:val="006950C2"/>
    <w:rsid w:val="0069595A"/>
    <w:rsid w:val="0069639F"/>
    <w:rsid w:val="006966F7"/>
    <w:rsid w:val="00696D2A"/>
    <w:rsid w:val="00696E77"/>
    <w:rsid w:val="006A4395"/>
    <w:rsid w:val="006A4F99"/>
    <w:rsid w:val="006A6DB5"/>
    <w:rsid w:val="006A732C"/>
    <w:rsid w:val="006B081F"/>
    <w:rsid w:val="006B1862"/>
    <w:rsid w:val="006B5315"/>
    <w:rsid w:val="006B7C07"/>
    <w:rsid w:val="006C6279"/>
    <w:rsid w:val="006D20E1"/>
    <w:rsid w:val="006D7CB4"/>
    <w:rsid w:val="006E2C09"/>
    <w:rsid w:val="006E49EB"/>
    <w:rsid w:val="006E55E2"/>
    <w:rsid w:val="006F712A"/>
    <w:rsid w:val="006F7BB0"/>
    <w:rsid w:val="006F7C81"/>
    <w:rsid w:val="0070017B"/>
    <w:rsid w:val="007060BD"/>
    <w:rsid w:val="00710B08"/>
    <w:rsid w:val="00711FEF"/>
    <w:rsid w:val="0072562B"/>
    <w:rsid w:val="00725FA8"/>
    <w:rsid w:val="00730EF5"/>
    <w:rsid w:val="00731BD9"/>
    <w:rsid w:val="00734A7D"/>
    <w:rsid w:val="00737303"/>
    <w:rsid w:val="00737685"/>
    <w:rsid w:val="00737E50"/>
    <w:rsid w:val="00740DD8"/>
    <w:rsid w:val="007413C2"/>
    <w:rsid w:val="007419C0"/>
    <w:rsid w:val="0074248E"/>
    <w:rsid w:val="007452AC"/>
    <w:rsid w:val="00751BA7"/>
    <w:rsid w:val="0075234E"/>
    <w:rsid w:val="007527F6"/>
    <w:rsid w:val="00753699"/>
    <w:rsid w:val="00754CEA"/>
    <w:rsid w:val="0075756F"/>
    <w:rsid w:val="00757956"/>
    <w:rsid w:val="0076085F"/>
    <w:rsid w:val="00772031"/>
    <w:rsid w:val="0077370E"/>
    <w:rsid w:val="00774AB1"/>
    <w:rsid w:val="00774AD7"/>
    <w:rsid w:val="007779C3"/>
    <w:rsid w:val="00783687"/>
    <w:rsid w:val="00784871"/>
    <w:rsid w:val="00784A76"/>
    <w:rsid w:val="00784D1C"/>
    <w:rsid w:val="00785AC1"/>
    <w:rsid w:val="00792A2C"/>
    <w:rsid w:val="00793EC1"/>
    <w:rsid w:val="00794B04"/>
    <w:rsid w:val="00796DA5"/>
    <w:rsid w:val="007A29FD"/>
    <w:rsid w:val="007A355C"/>
    <w:rsid w:val="007B13FF"/>
    <w:rsid w:val="007C2721"/>
    <w:rsid w:val="007C6109"/>
    <w:rsid w:val="007C616B"/>
    <w:rsid w:val="007D05DB"/>
    <w:rsid w:val="007E12C3"/>
    <w:rsid w:val="007E4F08"/>
    <w:rsid w:val="007E67BE"/>
    <w:rsid w:val="007F099F"/>
    <w:rsid w:val="007F0AB1"/>
    <w:rsid w:val="007F0BC1"/>
    <w:rsid w:val="007F30A0"/>
    <w:rsid w:val="007F69EA"/>
    <w:rsid w:val="007F700B"/>
    <w:rsid w:val="007F7659"/>
    <w:rsid w:val="007F7827"/>
    <w:rsid w:val="008011D6"/>
    <w:rsid w:val="00802386"/>
    <w:rsid w:val="00804A69"/>
    <w:rsid w:val="00807D9D"/>
    <w:rsid w:val="0081140D"/>
    <w:rsid w:val="00811E47"/>
    <w:rsid w:val="008164F5"/>
    <w:rsid w:val="008233BE"/>
    <w:rsid w:val="00842717"/>
    <w:rsid w:val="00847C2E"/>
    <w:rsid w:val="00850FFF"/>
    <w:rsid w:val="008521CE"/>
    <w:rsid w:val="0085396A"/>
    <w:rsid w:val="00854938"/>
    <w:rsid w:val="00855063"/>
    <w:rsid w:val="008561C7"/>
    <w:rsid w:val="00856CC1"/>
    <w:rsid w:val="00861834"/>
    <w:rsid w:val="00865F86"/>
    <w:rsid w:val="008664BD"/>
    <w:rsid w:val="0087257A"/>
    <w:rsid w:val="00873488"/>
    <w:rsid w:val="00874F21"/>
    <w:rsid w:val="00877C4B"/>
    <w:rsid w:val="008875A7"/>
    <w:rsid w:val="00893343"/>
    <w:rsid w:val="00894B85"/>
    <w:rsid w:val="008957AE"/>
    <w:rsid w:val="008A2AEF"/>
    <w:rsid w:val="008A455C"/>
    <w:rsid w:val="008A62F7"/>
    <w:rsid w:val="008B05E3"/>
    <w:rsid w:val="008B309D"/>
    <w:rsid w:val="008B58DE"/>
    <w:rsid w:val="008C4D14"/>
    <w:rsid w:val="008D4171"/>
    <w:rsid w:val="008D4CD6"/>
    <w:rsid w:val="008E47B2"/>
    <w:rsid w:val="008E664C"/>
    <w:rsid w:val="008F1A73"/>
    <w:rsid w:val="008F2CE6"/>
    <w:rsid w:val="00900A88"/>
    <w:rsid w:val="00920CBA"/>
    <w:rsid w:val="009218FE"/>
    <w:rsid w:val="009230C1"/>
    <w:rsid w:val="00926D59"/>
    <w:rsid w:val="00930850"/>
    <w:rsid w:val="00931229"/>
    <w:rsid w:val="00933A5E"/>
    <w:rsid w:val="00934AE9"/>
    <w:rsid w:val="009415FC"/>
    <w:rsid w:val="00945882"/>
    <w:rsid w:val="009474AB"/>
    <w:rsid w:val="0094759C"/>
    <w:rsid w:val="00953CF0"/>
    <w:rsid w:val="0096085D"/>
    <w:rsid w:val="00960F09"/>
    <w:rsid w:val="009610E8"/>
    <w:rsid w:val="0096121E"/>
    <w:rsid w:val="00963481"/>
    <w:rsid w:val="00963E0C"/>
    <w:rsid w:val="00970B61"/>
    <w:rsid w:val="00972BEE"/>
    <w:rsid w:val="0097350A"/>
    <w:rsid w:val="00977451"/>
    <w:rsid w:val="00982AE1"/>
    <w:rsid w:val="00983760"/>
    <w:rsid w:val="00983FD0"/>
    <w:rsid w:val="009A3C91"/>
    <w:rsid w:val="009B1D3F"/>
    <w:rsid w:val="009B43D3"/>
    <w:rsid w:val="009B6B87"/>
    <w:rsid w:val="009B7419"/>
    <w:rsid w:val="009B788A"/>
    <w:rsid w:val="009C2AFE"/>
    <w:rsid w:val="009C3AD5"/>
    <w:rsid w:val="009C44EC"/>
    <w:rsid w:val="009C5DCC"/>
    <w:rsid w:val="009D11B0"/>
    <w:rsid w:val="009D63B0"/>
    <w:rsid w:val="009E44BE"/>
    <w:rsid w:val="009E5552"/>
    <w:rsid w:val="009E6247"/>
    <w:rsid w:val="009F1589"/>
    <w:rsid w:val="009F4164"/>
    <w:rsid w:val="009F53E1"/>
    <w:rsid w:val="00A0001E"/>
    <w:rsid w:val="00A02169"/>
    <w:rsid w:val="00A03DF8"/>
    <w:rsid w:val="00A0501C"/>
    <w:rsid w:val="00A06AAA"/>
    <w:rsid w:val="00A07391"/>
    <w:rsid w:val="00A22407"/>
    <w:rsid w:val="00A224C9"/>
    <w:rsid w:val="00A256F6"/>
    <w:rsid w:val="00A34185"/>
    <w:rsid w:val="00A351D9"/>
    <w:rsid w:val="00A47405"/>
    <w:rsid w:val="00A47C20"/>
    <w:rsid w:val="00A503C5"/>
    <w:rsid w:val="00A511F1"/>
    <w:rsid w:val="00A525CC"/>
    <w:rsid w:val="00A53124"/>
    <w:rsid w:val="00A53575"/>
    <w:rsid w:val="00A53E50"/>
    <w:rsid w:val="00A5688A"/>
    <w:rsid w:val="00A6384D"/>
    <w:rsid w:val="00A7465C"/>
    <w:rsid w:val="00A76EC4"/>
    <w:rsid w:val="00A82A67"/>
    <w:rsid w:val="00A85786"/>
    <w:rsid w:val="00A86A79"/>
    <w:rsid w:val="00A9487B"/>
    <w:rsid w:val="00A961BD"/>
    <w:rsid w:val="00A964F7"/>
    <w:rsid w:val="00A9729D"/>
    <w:rsid w:val="00AA311B"/>
    <w:rsid w:val="00AB0A48"/>
    <w:rsid w:val="00AB0B0F"/>
    <w:rsid w:val="00AC5536"/>
    <w:rsid w:val="00AE3201"/>
    <w:rsid w:val="00AE5505"/>
    <w:rsid w:val="00AE5A05"/>
    <w:rsid w:val="00AE5A88"/>
    <w:rsid w:val="00AE633A"/>
    <w:rsid w:val="00AE67EF"/>
    <w:rsid w:val="00AE786B"/>
    <w:rsid w:val="00AF2FFF"/>
    <w:rsid w:val="00AF4EEC"/>
    <w:rsid w:val="00AF5892"/>
    <w:rsid w:val="00AF5EC8"/>
    <w:rsid w:val="00AF7D5A"/>
    <w:rsid w:val="00B01731"/>
    <w:rsid w:val="00B04440"/>
    <w:rsid w:val="00B05491"/>
    <w:rsid w:val="00B10DB9"/>
    <w:rsid w:val="00B13781"/>
    <w:rsid w:val="00B1574E"/>
    <w:rsid w:val="00B203E3"/>
    <w:rsid w:val="00B22074"/>
    <w:rsid w:val="00B32D1A"/>
    <w:rsid w:val="00B331A1"/>
    <w:rsid w:val="00B6076B"/>
    <w:rsid w:val="00B60829"/>
    <w:rsid w:val="00B62FC1"/>
    <w:rsid w:val="00B67990"/>
    <w:rsid w:val="00B7119D"/>
    <w:rsid w:val="00B74E37"/>
    <w:rsid w:val="00B76D7B"/>
    <w:rsid w:val="00B800DF"/>
    <w:rsid w:val="00B80D7F"/>
    <w:rsid w:val="00B8178C"/>
    <w:rsid w:val="00B82A08"/>
    <w:rsid w:val="00B83CAF"/>
    <w:rsid w:val="00B860D0"/>
    <w:rsid w:val="00B91A74"/>
    <w:rsid w:val="00BA3BB3"/>
    <w:rsid w:val="00BA3C12"/>
    <w:rsid w:val="00BA47B6"/>
    <w:rsid w:val="00BA6943"/>
    <w:rsid w:val="00BA7C39"/>
    <w:rsid w:val="00BB00FC"/>
    <w:rsid w:val="00BB103B"/>
    <w:rsid w:val="00BB43AE"/>
    <w:rsid w:val="00BB4C8C"/>
    <w:rsid w:val="00BB584D"/>
    <w:rsid w:val="00BB786E"/>
    <w:rsid w:val="00BC6AD4"/>
    <w:rsid w:val="00BC7144"/>
    <w:rsid w:val="00BD08EA"/>
    <w:rsid w:val="00BD095B"/>
    <w:rsid w:val="00BD349E"/>
    <w:rsid w:val="00BD44C1"/>
    <w:rsid w:val="00BD6DC3"/>
    <w:rsid w:val="00BD7E15"/>
    <w:rsid w:val="00BE0182"/>
    <w:rsid w:val="00BE18A9"/>
    <w:rsid w:val="00BE733D"/>
    <w:rsid w:val="00BF0319"/>
    <w:rsid w:val="00BF3DEB"/>
    <w:rsid w:val="00BF4263"/>
    <w:rsid w:val="00BF6E05"/>
    <w:rsid w:val="00C02DC3"/>
    <w:rsid w:val="00C0428F"/>
    <w:rsid w:val="00C1111E"/>
    <w:rsid w:val="00C11C61"/>
    <w:rsid w:val="00C12788"/>
    <w:rsid w:val="00C16FD1"/>
    <w:rsid w:val="00C30983"/>
    <w:rsid w:val="00C40DE6"/>
    <w:rsid w:val="00C42C45"/>
    <w:rsid w:val="00C43609"/>
    <w:rsid w:val="00C44568"/>
    <w:rsid w:val="00C504C9"/>
    <w:rsid w:val="00C53E15"/>
    <w:rsid w:val="00C604F2"/>
    <w:rsid w:val="00C6511D"/>
    <w:rsid w:val="00C71A9D"/>
    <w:rsid w:val="00C72D85"/>
    <w:rsid w:val="00C764D3"/>
    <w:rsid w:val="00C80F30"/>
    <w:rsid w:val="00C8101E"/>
    <w:rsid w:val="00C82A25"/>
    <w:rsid w:val="00C82D82"/>
    <w:rsid w:val="00C832E7"/>
    <w:rsid w:val="00C86079"/>
    <w:rsid w:val="00C86606"/>
    <w:rsid w:val="00C86D18"/>
    <w:rsid w:val="00CB16A0"/>
    <w:rsid w:val="00CE3985"/>
    <w:rsid w:val="00CE5E44"/>
    <w:rsid w:val="00CF1DC8"/>
    <w:rsid w:val="00D01E5D"/>
    <w:rsid w:val="00D14D4D"/>
    <w:rsid w:val="00D25049"/>
    <w:rsid w:val="00D403D2"/>
    <w:rsid w:val="00D42B36"/>
    <w:rsid w:val="00D43638"/>
    <w:rsid w:val="00D50146"/>
    <w:rsid w:val="00D508B0"/>
    <w:rsid w:val="00D54043"/>
    <w:rsid w:val="00D57DE3"/>
    <w:rsid w:val="00D6042C"/>
    <w:rsid w:val="00D61820"/>
    <w:rsid w:val="00D65FCC"/>
    <w:rsid w:val="00D66AB4"/>
    <w:rsid w:val="00D66DBF"/>
    <w:rsid w:val="00D67458"/>
    <w:rsid w:val="00D67542"/>
    <w:rsid w:val="00D70A1B"/>
    <w:rsid w:val="00D76C2D"/>
    <w:rsid w:val="00D774DC"/>
    <w:rsid w:val="00D814B5"/>
    <w:rsid w:val="00D81ACA"/>
    <w:rsid w:val="00D827CF"/>
    <w:rsid w:val="00D83646"/>
    <w:rsid w:val="00D83CBC"/>
    <w:rsid w:val="00D86D98"/>
    <w:rsid w:val="00D87CD0"/>
    <w:rsid w:val="00D90413"/>
    <w:rsid w:val="00D910E9"/>
    <w:rsid w:val="00D97766"/>
    <w:rsid w:val="00DA1D60"/>
    <w:rsid w:val="00DA2691"/>
    <w:rsid w:val="00DA4836"/>
    <w:rsid w:val="00DA5693"/>
    <w:rsid w:val="00DA6D54"/>
    <w:rsid w:val="00DA6EC7"/>
    <w:rsid w:val="00DB26F2"/>
    <w:rsid w:val="00DB3BE1"/>
    <w:rsid w:val="00DB4869"/>
    <w:rsid w:val="00DB5E69"/>
    <w:rsid w:val="00DC0302"/>
    <w:rsid w:val="00DD4B32"/>
    <w:rsid w:val="00DD5133"/>
    <w:rsid w:val="00DD765E"/>
    <w:rsid w:val="00DE0AA0"/>
    <w:rsid w:val="00DE2241"/>
    <w:rsid w:val="00DE4437"/>
    <w:rsid w:val="00DE44C9"/>
    <w:rsid w:val="00DE7EF4"/>
    <w:rsid w:val="00DF095C"/>
    <w:rsid w:val="00DF7DEE"/>
    <w:rsid w:val="00E13A89"/>
    <w:rsid w:val="00E16090"/>
    <w:rsid w:val="00E25C49"/>
    <w:rsid w:val="00E277CE"/>
    <w:rsid w:val="00E3073B"/>
    <w:rsid w:val="00E44B74"/>
    <w:rsid w:val="00E44DE3"/>
    <w:rsid w:val="00E47B0B"/>
    <w:rsid w:val="00E511FF"/>
    <w:rsid w:val="00E52A26"/>
    <w:rsid w:val="00E53997"/>
    <w:rsid w:val="00E576A0"/>
    <w:rsid w:val="00E63A87"/>
    <w:rsid w:val="00E65E65"/>
    <w:rsid w:val="00E8138D"/>
    <w:rsid w:val="00E82BA3"/>
    <w:rsid w:val="00E85C28"/>
    <w:rsid w:val="00E86F38"/>
    <w:rsid w:val="00E952A4"/>
    <w:rsid w:val="00E95A33"/>
    <w:rsid w:val="00E97A13"/>
    <w:rsid w:val="00EA7A13"/>
    <w:rsid w:val="00EB1B1A"/>
    <w:rsid w:val="00ED0088"/>
    <w:rsid w:val="00ED77FB"/>
    <w:rsid w:val="00ED7F81"/>
    <w:rsid w:val="00EE28B6"/>
    <w:rsid w:val="00EE50D0"/>
    <w:rsid w:val="00EE5F0F"/>
    <w:rsid w:val="00EE7344"/>
    <w:rsid w:val="00EF225F"/>
    <w:rsid w:val="00EF7089"/>
    <w:rsid w:val="00EF739E"/>
    <w:rsid w:val="00F04226"/>
    <w:rsid w:val="00F10127"/>
    <w:rsid w:val="00F10918"/>
    <w:rsid w:val="00F123C2"/>
    <w:rsid w:val="00F130C6"/>
    <w:rsid w:val="00F22EDC"/>
    <w:rsid w:val="00F236DD"/>
    <w:rsid w:val="00F23D22"/>
    <w:rsid w:val="00F26B3D"/>
    <w:rsid w:val="00F30863"/>
    <w:rsid w:val="00F32B49"/>
    <w:rsid w:val="00F35614"/>
    <w:rsid w:val="00F35AF1"/>
    <w:rsid w:val="00F42554"/>
    <w:rsid w:val="00F44604"/>
    <w:rsid w:val="00F46CFF"/>
    <w:rsid w:val="00F473F8"/>
    <w:rsid w:val="00F5020A"/>
    <w:rsid w:val="00F5174A"/>
    <w:rsid w:val="00F5538A"/>
    <w:rsid w:val="00F56EB9"/>
    <w:rsid w:val="00F573E7"/>
    <w:rsid w:val="00F63433"/>
    <w:rsid w:val="00F63A05"/>
    <w:rsid w:val="00F659EF"/>
    <w:rsid w:val="00F66A44"/>
    <w:rsid w:val="00F70F56"/>
    <w:rsid w:val="00F71127"/>
    <w:rsid w:val="00F738A0"/>
    <w:rsid w:val="00F872E7"/>
    <w:rsid w:val="00F93762"/>
    <w:rsid w:val="00F97311"/>
    <w:rsid w:val="00FA5690"/>
    <w:rsid w:val="00FA7CC5"/>
    <w:rsid w:val="00FB1E26"/>
    <w:rsid w:val="00FB4571"/>
    <w:rsid w:val="00FB47FE"/>
    <w:rsid w:val="00FB624A"/>
    <w:rsid w:val="00FB780D"/>
    <w:rsid w:val="00FC1D0D"/>
    <w:rsid w:val="00FD112A"/>
    <w:rsid w:val="00FD130D"/>
    <w:rsid w:val="00FD5164"/>
    <w:rsid w:val="00FD53F8"/>
    <w:rsid w:val="00FE2030"/>
    <w:rsid w:val="00FE5E1F"/>
    <w:rsid w:val="00FE60F3"/>
    <w:rsid w:val="00FE6336"/>
    <w:rsid w:val="00FE6F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1C"/>
  </w:style>
  <w:style w:type="paragraph" w:styleId="Heading1">
    <w:name w:val="heading 1"/>
    <w:basedOn w:val="Normal"/>
    <w:next w:val="Normal"/>
    <w:link w:val="Heading1Char"/>
    <w:uiPriority w:val="9"/>
    <w:qFormat/>
    <w:rsid w:val="003C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0E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0E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0E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0E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0E1C"/>
    <w:rPr>
      <w:rFonts w:asciiTheme="majorHAnsi" w:eastAsiaTheme="majorEastAsia" w:hAnsiTheme="majorHAnsi" w:cstheme="majorBidi"/>
      <w:b/>
      <w:bCs/>
      <w:i/>
      <w:iCs/>
      <w:color w:val="4F81BD" w:themeColor="accent1"/>
    </w:rPr>
  </w:style>
  <w:style w:type="paragraph" w:styleId="NoSpacing">
    <w:name w:val="No Spacing"/>
    <w:uiPriority w:val="1"/>
    <w:qFormat/>
    <w:rsid w:val="003C0E1C"/>
    <w:pPr>
      <w:spacing w:after="0" w:line="240" w:lineRule="auto"/>
    </w:pPr>
  </w:style>
  <w:style w:type="paragraph" w:styleId="ListParagraph">
    <w:name w:val="List Paragraph"/>
    <w:basedOn w:val="Normal"/>
    <w:uiPriority w:val="34"/>
    <w:qFormat/>
    <w:rsid w:val="003C0E1C"/>
    <w:pPr>
      <w:ind w:left="720"/>
      <w:contextualSpacing/>
    </w:pPr>
  </w:style>
  <w:style w:type="table" w:styleId="TableGrid">
    <w:name w:val="Table Grid"/>
    <w:basedOn w:val="TableNormal"/>
    <w:uiPriority w:val="59"/>
    <w:rsid w:val="006E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0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BA"/>
    <w:rPr>
      <w:rFonts w:ascii="Tahoma" w:hAnsi="Tahoma" w:cs="Tahoma"/>
      <w:sz w:val="16"/>
      <w:szCs w:val="16"/>
    </w:rPr>
  </w:style>
  <w:style w:type="paragraph" w:styleId="Header">
    <w:name w:val="header"/>
    <w:basedOn w:val="Normal"/>
    <w:link w:val="HeaderChar"/>
    <w:uiPriority w:val="99"/>
    <w:semiHidden/>
    <w:unhideWhenUsed/>
    <w:rsid w:val="004328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2889"/>
  </w:style>
  <w:style w:type="paragraph" w:styleId="Footer">
    <w:name w:val="footer"/>
    <w:basedOn w:val="Normal"/>
    <w:link w:val="FooterChar"/>
    <w:uiPriority w:val="99"/>
    <w:unhideWhenUsed/>
    <w:rsid w:val="0043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889"/>
  </w:style>
</w:styles>
</file>

<file path=word/webSettings.xml><?xml version="1.0" encoding="utf-8"?>
<w:webSettings xmlns:r="http://schemas.openxmlformats.org/officeDocument/2006/relationships" xmlns:w="http://schemas.openxmlformats.org/wordprocessingml/2006/main">
  <w:divs>
    <w:div w:id="123500301">
      <w:bodyDiv w:val="1"/>
      <w:marLeft w:val="0"/>
      <w:marRight w:val="0"/>
      <w:marTop w:val="0"/>
      <w:marBottom w:val="0"/>
      <w:divBdr>
        <w:top w:val="none" w:sz="0" w:space="0" w:color="auto"/>
        <w:left w:val="none" w:sz="0" w:space="0" w:color="auto"/>
        <w:bottom w:val="none" w:sz="0" w:space="0" w:color="auto"/>
        <w:right w:val="none" w:sz="0" w:space="0" w:color="auto"/>
      </w:divBdr>
    </w:div>
    <w:div w:id="1583877438">
      <w:bodyDiv w:val="1"/>
      <w:marLeft w:val="0"/>
      <w:marRight w:val="0"/>
      <w:marTop w:val="0"/>
      <w:marBottom w:val="0"/>
      <w:divBdr>
        <w:top w:val="none" w:sz="0" w:space="0" w:color="auto"/>
        <w:left w:val="none" w:sz="0" w:space="0" w:color="auto"/>
        <w:bottom w:val="none" w:sz="0" w:space="0" w:color="auto"/>
        <w:right w:val="none" w:sz="0" w:space="0" w:color="auto"/>
      </w:divBdr>
    </w:div>
    <w:div w:id="20501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2292</TotalTime>
  <Pages>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dc:creator>
  <cp:lastModifiedBy>Aftab</cp:lastModifiedBy>
  <cp:revision>551</cp:revision>
  <dcterms:created xsi:type="dcterms:W3CDTF">2016-04-26T15:13:00Z</dcterms:created>
  <dcterms:modified xsi:type="dcterms:W3CDTF">2016-10-10T08:26:00Z</dcterms:modified>
</cp:coreProperties>
</file>