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8F1B1" w14:textId="6444FC39" w:rsidR="0065571D" w:rsidRPr="00AB75D3" w:rsidRDefault="00AB75D3" w:rsidP="008A6679">
      <w:pPr>
        <w:spacing w:before="120" w:line="560" w:lineRule="exact"/>
        <w:rPr>
          <w:rFonts w:eastAsia="標楷體"/>
          <w:sz w:val="36"/>
        </w:rPr>
      </w:pPr>
      <w:r w:rsidRPr="008A6679">
        <w:rPr>
          <w:sz w:val="36"/>
          <w:szCs w:val="36"/>
        </w:rPr>
        <w:t>Non-</w:t>
      </w:r>
      <w:r w:rsidR="008A6679">
        <w:rPr>
          <w:sz w:val="36"/>
          <w:szCs w:val="36"/>
        </w:rPr>
        <w:t>p</w:t>
      </w:r>
      <w:r w:rsidRPr="008A6679">
        <w:rPr>
          <w:sz w:val="36"/>
          <w:szCs w:val="36"/>
        </w:rPr>
        <w:t>erforming Loans</w:t>
      </w:r>
      <w:r w:rsidR="00162E00">
        <w:rPr>
          <w:sz w:val="36"/>
          <w:szCs w:val="36"/>
        </w:rPr>
        <w:t xml:space="preserve"> </w:t>
      </w:r>
      <w:r w:rsidR="00162E00">
        <w:rPr>
          <w:rFonts w:hint="eastAsia"/>
          <w:sz w:val="36"/>
          <w:szCs w:val="36"/>
        </w:rPr>
        <w:t>a</w:t>
      </w:r>
      <w:r w:rsidR="00162E00">
        <w:rPr>
          <w:sz w:val="36"/>
          <w:szCs w:val="36"/>
        </w:rPr>
        <w:t>nd Housing Prices in Taiwan</w:t>
      </w:r>
    </w:p>
    <w:p w14:paraId="3D433E1B" w14:textId="66789083" w:rsidR="0065571D" w:rsidRPr="00950F36" w:rsidRDefault="00AB75D3" w:rsidP="008A6679">
      <w:pPr>
        <w:spacing w:before="180" w:line="360" w:lineRule="auto"/>
        <w:jc w:val="both"/>
        <w:rPr>
          <w:b/>
          <w:color w:val="000000"/>
          <w:sz w:val="28"/>
          <w:szCs w:val="28"/>
        </w:rPr>
      </w:pPr>
      <w:proofErr w:type="spellStart"/>
      <w:r>
        <w:rPr>
          <w:b/>
          <w:sz w:val="28"/>
          <w:szCs w:val="28"/>
        </w:rPr>
        <w:t>Tsaubin</w:t>
      </w:r>
      <w:proofErr w:type="spellEnd"/>
      <w:r>
        <w:rPr>
          <w:b/>
          <w:sz w:val="28"/>
          <w:szCs w:val="28"/>
        </w:rPr>
        <w:t xml:space="preserve"> Chen</w:t>
      </w:r>
      <w:r w:rsidR="002114AF">
        <w:rPr>
          <w:rStyle w:val="a5"/>
          <w:b/>
          <w:sz w:val="28"/>
          <w:szCs w:val="28"/>
        </w:rPr>
        <w:footnoteReference w:id="1"/>
      </w:r>
      <w:r w:rsidR="004C291F">
        <w:rPr>
          <w:b/>
          <w:sz w:val="28"/>
          <w:szCs w:val="28"/>
        </w:rPr>
        <w:t xml:space="preserve"> </w:t>
      </w:r>
      <w:r w:rsidR="00162E00">
        <w:rPr>
          <w:b/>
          <w:sz w:val="28"/>
          <w:szCs w:val="28"/>
        </w:rPr>
        <w:t>and Chiang Ku Fan</w:t>
      </w:r>
      <w:r w:rsidR="002114AF">
        <w:rPr>
          <w:rStyle w:val="a5"/>
          <w:b/>
          <w:sz w:val="28"/>
          <w:szCs w:val="28"/>
        </w:rPr>
        <w:footnoteReference w:id="2"/>
      </w:r>
    </w:p>
    <w:p w14:paraId="25DC7DAF" w14:textId="77777777" w:rsidR="00A337D5" w:rsidRPr="00E02DA7" w:rsidRDefault="00AC4B96" w:rsidP="00E02DA7">
      <w:pPr>
        <w:jc w:val="both"/>
      </w:pPr>
      <w:r w:rsidRPr="00E02DA7">
        <w:t>________________________________________</w:t>
      </w:r>
      <w:r w:rsidR="00877E08" w:rsidRPr="00E02DA7">
        <w:t>____________________________</w:t>
      </w:r>
    </w:p>
    <w:p w14:paraId="16CE5C32" w14:textId="77777777" w:rsidR="00350872" w:rsidRPr="00D76C9E" w:rsidRDefault="00D76C9E" w:rsidP="00BF1E98">
      <w:pPr>
        <w:spacing w:before="300" w:line="580" w:lineRule="exact"/>
        <w:jc w:val="both"/>
        <w:rPr>
          <w:color w:val="000000"/>
          <w:sz w:val="28"/>
          <w:szCs w:val="28"/>
        </w:rPr>
      </w:pPr>
      <w:r w:rsidRPr="00D76C9E">
        <w:rPr>
          <w:color w:val="000000"/>
          <w:sz w:val="28"/>
          <w:szCs w:val="28"/>
        </w:rPr>
        <w:t>ABSTRACT</w:t>
      </w:r>
    </w:p>
    <w:p w14:paraId="01B9733F" w14:textId="6DB64E2E" w:rsidR="00DD6790" w:rsidRPr="00AB75D3" w:rsidRDefault="008A6679" w:rsidP="00BF1E98">
      <w:pPr>
        <w:spacing w:line="580" w:lineRule="exact"/>
        <w:jc w:val="both"/>
      </w:pPr>
      <w:bookmarkStart w:id="0" w:name="OLE_LINK15"/>
      <w:bookmarkStart w:id="1" w:name="OLE_LINK16"/>
      <w:r>
        <w:t>We set out in t</w:t>
      </w:r>
      <w:r w:rsidR="00950F36" w:rsidRPr="0015025E">
        <w:rPr>
          <w:rFonts w:hint="eastAsia"/>
        </w:rPr>
        <w:t>his</w:t>
      </w:r>
      <w:r w:rsidR="00AB75D3">
        <w:t xml:space="preserve"> study to </w:t>
      </w:r>
      <w:r w:rsidR="00330E2A">
        <w:t xml:space="preserve">empirically examine </w:t>
      </w:r>
      <w:r w:rsidR="00AB75D3">
        <w:t>the relationship between house price</w:t>
      </w:r>
      <w:r>
        <w:t>s</w:t>
      </w:r>
      <w:r w:rsidR="00AB75D3">
        <w:t xml:space="preserve"> and bank stability </w:t>
      </w:r>
      <w:r w:rsidR="00330E2A">
        <w:t>based upon an</w:t>
      </w:r>
      <w:r w:rsidR="00AB75D3">
        <w:t xml:space="preserve"> </w:t>
      </w:r>
      <w:r w:rsidR="00330E2A">
        <w:t>exploration of</w:t>
      </w:r>
      <w:r w:rsidR="00AB75D3" w:rsidRPr="001F349C">
        <w:t xml:space="preserve"> </w:t>
      </w:r>
      <w:r>
        <w:t xml:space="preserve">quarterly </w:t>
      </w:r>
      <w:r w:rsidR="00AB75D3">
        <w:t xml:space="preserve">data </w:t>
      </w:r>
      <w:r>
        <w:t xml:space="preserve">obtained from </w:t>
      </w:r>
      <w:r w:rsidRPr="001F349C">
        <w:t>Taiwan</w:t>
      </w:r>
      <w:r>
        <w:t>ese</w:t>
      </w:r>
      <w:r w:rsidRPr="001F349C">
        <w:t xml:space="preserve"> bank</w:t>
      </w:r>
      <w:r>
        <w:t>s</w:t>
      </w:r>
      <w:r w:rsidR="00623C18" w:rsidRPr="00623C18">
        <w:t xml:space="preserve"> </w:t>
      </w:r>
      <w:r w:rsidR="00623C18">
        <w:t>covering the years 2006 to 2015</w:t>
      </w:r>
      <w:r w:rsidR="00AB75D3">
        <w:t xml:space="preserve">. </w:t>
      </w:r>
      <w:r>
        <w:t>T</w:t>
      </w:r>
      <w:r w:rsidR="00AB75D3">
        <w:t xml:space="preserve">here are </w:t>
      </w:r>
      <w:r>
        <w:t xml:space="preserve">various </w:t>
      </w:r>
      <w:r w:rsidR="00AB75D3" w:rsidRPr="0001727F">
        <w:t>di</w:t>
      </w:r>
      <w:r w:rsidR="00623C18">
        <w:t>verg</w:t>
      </w:r>
      <w:r w:rsidR="00AB75D3" w:rsidRPr="0001727F">
        <w:t xml:space="preserve">ent views on </w:t>
      </w:r>
      <w:r>
        <w:t>the ways in which</w:t>
      </w:r>
      <w:r w:rsidR="00AB75D3" w:rsidRPr="0001727F">
        <w:t xml:space="preserve"> persistent ris</w:t>
      </w:r>
      <w:r>
        <w:t xml:space="preserve">es </w:t>
      </w:r>
      <w:r w:rsidR="00AB75D3" w:rsidRPr="0001727F">
        <w:t xml:space="preserve">in </w:t>
      </w:r>
      <w:r w:rsidRPr="0001727F">
        <w:t>hous</w:t>
      </w:r>
      <w:r>
        <w:t>e</w:t>
      </w:r>
      <w:r w:rsidRPr="0001727F">
        <w:t xml:space="preserve"> </w:t>
      </w:r>
      <w:r w:rsidR="00AB75D3" w:rsidRPr="0001727F">
        <w:t xml:space="preserve">prices </w:t>
      </w:r>
      <w:r w:rsidR="00623C18">
        <w:t>can</w:t>
      </w:r>
      <w:r w:rsidR="00AB75D3" w:rsidRPr="0001727F">
        <w:t xml:space="preserve"> influence </w:t>
      </w:r>
      <w:r>
        <w:t>‘</w:t>
      </w:r>
      <w:r w:rsidR="00AB75D3">
        <w:t>non-performing loans</w:t>
      </w:r>
      <w:r>
        <w:t xml:space="preserve">’ </w:t>
      </w:r>
      <w:r w:rsidR="00AB75D3">
        <w:t>(</w:t>
      </w:r>
      <w:r w:rsidR="00AB75D3" w:rsidRPr="0001727F">
        <w:t>NPLs</w:t>
      </w:r>
      <w:r w:rsidR="00AB75D3">
        <w:t>)</w:t>
      </w:r>
      <w:r>
        <w:t>; o</w:t>
      </w:r>
      <w:r w:rsidR="00AB75D3" w:rsidRPr="0001727F">
        <w:t xml:space="preserve">ne view </w:t>
      </w:r>
      <w:r>
        <w:t>i</w:t>
      </w:r>
      <w:r w:rsidR="00AB75D3" w:rsidRPr="0001727F">
        <w:t>s that when house price</w:t>
      </w:r>
      <w:r>
        <w:t>s</w:t>
      </w:r>
      <w:r w:rsidR="00AB75D3" w:rsidRPr="0001727F">
        <w:t xml:space="preserve"> rise, </w:t>
      </w:r>
      <w:r>
        <w:t>this</w:t>
      </w:r>
      <w:r w:rsidR="00AB75D3" w:rsidRPr="0001727F">
        <w:t xml:space="preserve"> may </w:t>
      </w:r>
      <w:r w:rsidR="00330E2A">
        <w:t>raise</w:t>
      </w:r>
      <w:r w:rsidR="00AB75D3" w:rsidRPr="0001727F">
        <w:t xml:space="preserve"> </w:t>
      </w:r>
      <w:r w:rsidRPr="0001727F">
        <w:t xml:space="preserve">collateral </w:t>
      </w:r>
      <w:r w:rsidR="00AB75D3" w:rsidRPr="0001727F">
        <w:t>value</w:t>
      </w:r>
      <w:r w:rsidR="00623C18">
        <w:t>,</w:t>
      </w:r>
      <w:r w:rsidR="00AB75D3" w:rsidRPr="0001727F">
        <w:t xml:space="preserve"> and </w:t>
      </w:r>
      <w:r w:rsidR="00623C18">
        <w:t xml:space="preserve">as a result, </w:t>
      </w:r>
      <w:r w:rsidR="00AB75D3" w:rsidRPr="0001727F">
        <w:t xml:space="preserve">NPLs will be </w:t>
      </w:r>
      <w:r>
        <w:t>reduc</w:t>
      </w:r>
      <w:r w:rsidR="00AB75D3" w:rsidRPr="0001727F">
        <w:t>ed</w:t>
      </w:r>
      <w:r w:rsidR="00AB75D3">
        <w:t xml:space="preserve">, </w:t>
      </w:r>
      <w:r>
        <w:t>whilst an alternative</w:t>
      </w:r>
      <w:r w:rsidR="00AB75D3" w:rsidRPr="0001727F">
        <w:t xml:space="preserve"> view </w:t>
      </w:r>
      <w:r>
        <w:t>i</w:t>
      </w:r>
      <w:r w:rsidR="00AB75D3" w:rsidRPr="0001727F">
        <w:t xml:space="preserve">s that </w:t>
      </w:r>
      <w:r w:rsidR="00330E2A">
        <w:t>increas</w:t>
      </w:r>
      <w:r w:rsidR="00AB75D3" w:rsidRPr="0001727F">
        <w:t xml:space="preserve">ing </w:t>
      </w:r>
      <w:r w:rsidRPr="0001727F">
        <w:t>hous</w:t>
      </w:r>
      <w:r>
        <w:t>e</w:t>
      </w:r>
      <w:r w:rsidRPr="0001727F">
        <w:t xml:space="preserve"> </w:t>
      </w:r>
      <w:r w:rsidR="00AB75D3" w:rsidRPr="0001727F">
        <w:t>price</w:t>
      </w:r>
      <w:r>
        <w:t>s</w:t>
      </w:r>
      <w:r w:rsidR="00AB75D3" w:rsidRPr="0001727F">
        <w:t xml:space="preserve"> may </w:t>
      </w:r>
      <w:r>
        <w:t>give rise to</w:t>
      </w:r>
      <w:r w:rsidR="00AB75D3" w:rsidRPr="0001727F">
        <w:t xml:space="preserve"> </w:t>
      </w:r>
      <w:r w:rsidR="00623C18">
        <w:t xml:space="preserve">issues of </w:t>
      </w:r>
      <w:r w:rsidR="00AB75D3" w:rsidRPr="0001727F">
        <w:t>moral hazard and adverse selection</w:t>
      </w:r>
      <w:r>
        <w:t>, thereby</w:t>
      </w:r>
      <w:r w:rsidR="00AB75D3" w:rsidRPr="0001727F">
        <w:t xml:space="preserve"> </w:t>
      </w:r>
      <w:r>
        <w:t>leading</w:t>
      </w:r>
      <w:r w:rsidR="00AB75D3" w:rsidRPr="0001727F">
        <w:t xml:space="preserve"> to </w:t>
      </w:r>
      <w:r w:rsidR="005A7D89">
        <w:t xml:space="preserve">an overall increase in NPLs and </w:t>
      </w:r>
      <w:r>
        <w:t>greater</w:t>
      </w:r>
      <w:r w:rsidR="00AB75D3" w:rsidRPr="0001727F">
        <w:t xml:space="preserve"> accumulation of risky assets </w:t>
      </w:r>
      <w:r>
        <w:t xml:space="preserve">within the </w:t>
      </w:r>
      <w:r w:rsidRPr="0001727F">
        <w:t>banks</w:t>
      </w:r>
      <w:r w:rsidR="00AB75D3">
        <w:t xml:space="preserve">. The results of </w:t>
      </w:r>
      <w:r w:rsidR="00623C18">
        <w:t xml:space="preserve">the </w:t>
      </w:r>
      <w:r w:rsidR="00AB75D3">
        <w:t>d</w:t>
      </w:r>
      <w:r w:rsidR="00AB75D3" w:rsidRPr="001F349C">
        <w:t xml:space="preserve">ynamic panel data analysis </w:t>
      </w:r>
      <w:r w:rsidR="00623C18">
        <w:t xml:space="preserve">carried out in this study reveal </w:t>
      </w:r>
      <w:r w:rsidR="00AB75D3" w:rsidRPr="001F349C">
        <w:t xml:space="preserve">the </w:t>
      </w:r>
      <w:r w:rsidR="00623C18" w:rsidRPr="001F349C">
        <w:t>exist</w:t>
      </w:r>
      <w:r w:rsidR="00623C18">
        <w:t>ence of a</w:t>
      </w:r>
      <w:r w:rsidR="00623C18" w:rsidRPr="001F349C">
        <w:t xml:space="preserve"> </w:t>
      </w:r>
      <w:r w:rsidR="00AB75D3" w:rsidRPr="001F349C">
        <w:t xml:space="preserve">long-run, negative relationship between </w:t>
      </w:r>
      <w:r w:rsidR="00623C18">
        <w:t xml:space="preserve">NPL </w:t>
      </w:r>
      <w:r w:rsidR="00AB75D3" w:rsidRPr="001F349C">
        <w:t xml:space="preserve">ratios and </w:t>
      </w:r>
      <w:r w:rsidR="00623C18">
        <w:t xml:space="preserve">the </w:t>
      </w:r>
      <w:r w:rsidR="00AB75D3" w:rsidRPr="001F349C">
        <w:t>housing price index</w:t>
      </w:r>
      <w:r w:rsidR="00623C18">
        <w:t>;</w:t>
      </w:r>
      <w:r w:rsidR="00AB75D3">
        <w:t xml:space="preserve"> however</w:t>
      </w:r>
      <w:r w:rsidR="00623C18">
        <w:t>,</w:t>
      </w:r>
      <w:r w:rsidR="00AB75D3">
        <w:t xml:space="preserve"> </w:t>
      </w:r>
      <w:r w:rsidR="00623C18">
        <w:t xml:space="preserve">no such </w:t>
      </w:r>
      <w:r w:rsidR="00AB75D3">
        <w:t xml:space="preserve">negative </w:t>
      </w:r>
      <w:r w:rsidR="00AB75D3" w:rsidRPr="001F349C">
        <w:t>relationship</w:t>
      </w:r>
      <w:r w:rsidR="00623C18">
        <w:t xml:space="preserve"> i</w:t>
      </w:r>
      <w:r w:rsidR="00AB75D3" w:rsidRPr="001F349C">
        <w:t>s</w:t>
      </w:r>
      <w:r w:rsidR="00AB75D3">
        <w:t xml:space="preserve"> </w:t>
      </w:r>
      <w:r w:rsidR="00330E2A">
        <w:t>discernible</w:t>
      </w:r>
      <w:r w:rsidR="00AB75D3">
        <w:t xml:space="preserve"> </w:t>
      </w:r>
      <w:r w:rsidR="00AB75D3" w:rsidRPr="001F349C">
        <w:t>in the short</w:t>
      </w:r>
      <w:r w:rsidR="00623C18">
        <w:t xml:space="preserve"> </w:t>
      </w:r>
      <w:r w:rsidR="00AB75D3" w:rsidRPr="001F349C">
        <w:t>run</w:t>
      </w:r>
      <w:r w:rsidR="00AB75D3">
        <w:t xml:space="preserve">. </w:t>
      </w:r>
      <w:r w:rsidR="00623C18">
        <w:t>Our</w:t>
      </w:r>
      <w:r w:rsidR="00AB75D3" w:rsidRPr="00ED318B">
        <w:t xml:space="preserve"> </w:t>
      </w:r>
      <w:r w:rsidR="00AB75D3">
        <w:t xml:space="preserve">findings </w:t>
      </w:r>
      <w:r w:rsidR="00AB75D3" w:rsidRPr="00ED318B">
        <w:t xml:space="preserve">offer </w:t>
      </w:r>
      <w:r w:rsidR="00AB75D3">
        <w:t xml:space="preserve">policy </w:t>
      </w:r>
      <w:r w:rsidR="00AB75D3" w:rsidRPr="00ED318B">
        <w:t>implications for the emerging markets</w:t>
      </w:r>
      <w:r w:rsidR="00AB75D3">
        <w:t xml:space="preserve"> </w:t>
      </w:r>
      <w:r w:rsidR="00623C18">
        <w:t xml:space="preserve">in the </w:t>
      </w:r>
      <w:r w:rsidR="00AB75D3">
        <w:t>after</w:t>
      </w:r>
      <w:r w:rsidR="00623C18">
        <w:t>math of</w:t>
      </w:r>
      <w:r w:rsidR="00AB75D3">
        <w:t xml:space="preserve"> the sub-prime </w:t>
      </w:r>
      <w:r w:rsidR="00623C18">
        <w:t>mortgage</w:t>
      </w:r>
      <w:r w:rsidR="00AB75D3">
        <w:t xml:space="preserve"> crisis</w:t>
      </w:r>
      <w:r w:rsidR="00330E2A">
        <w:t>; a</w:t>
      </w:r>
      <w:r w:rsidR="00AB75D3">
        <w:t xml:space="preserve">ccording to </w:t>
      </w:r>
      <w:r w:rsidR="00623C18">
        <w:t>our</w:t>
      </w:r>
      <w:r w:rsidR="00AB75D3">
        <w:t xml:space="preserve"> research results, policies </w:t>
      </w:r>
      <w:r w:rsidR="00623C18">
        <w:t>aimed at</w:t>
      </w:r>
      <w:r w:rsidR="00AB75D3">
        <w:t xml:space="preserve"> </w:t>
      </w:r>
      <w:r w:rsidR="00623C18">
        <w:t>reducing</w:t>
      </w:r>
      <w:r w:rsidR="00AB75D3">
        <w:t xml:space="preserve"> the </w:t>
      </w:r>
      <w:r w:rsidR="00623C18">
        <w:t>duration of any</w:t>
      </w:r>
      <w:r w:rsidR="00AB75D3">
        <w:t xml:space="preserve"> housing market recession may improve bank stability</w:t>
      </w:r>
      <w:r w:rsidR="00DD6790">
        <w:rPr>
          <w:color w:val="000000"/>
        </w:rPr>
        <w:t>.</w:t>
      </w:r>
    </w:p>
    <w:bookmarkEnd w:id="0"/>
    <w:bookmarkEnd w:id="1"/>
    <w:p w14:paraId="094A8C2F" w14:textId="3233FDC6" w:rsidR="0004772E" w:rsidRPr="00AB75D3" w:rsidRDefault="0004772E" w:rsidP="001156CC">
      <w:pPr>
        <w:spacing w:before="180" w:line="480" w:lineRule="exact"/>
        <w:ind w:left="1426" w:hanging="1426"/>
      </w:pPr>
      <w:r w:rsidRPr="00C40BC8">
        <w:rPr>
          <w:b/>
          <w:kern w:val="0"/>
        </w:rPr>
        <w:t>Keywords</w:t>
      </w:r>
      <w:r w:rsidRPr="0074284F">
        <w:rPr>
          <w:kern w:val="0"/>
        </w:rPr>
        <w:t>:</w:t>
      </w:r>
      <w:r w:rsidR="00162E00">
        <w:rPr>
          <w:kern w:val="0"/>
        </w:rPr>
        <w:t xml:space="preserve"> </w:t>
      </w:r>
      <w:r w:rsidR="00AB75D3" w:rsidRPr="001254D8">
        <w:t>Non-performing loans</w:t>
      </w:r>
      <w:r w:rsidR="00AB75D3">
        <w:t>;</w:t>
      </w:r>
      <w:r w:rsidR="00AB75D3" w:rsidRPr="001254D8">
        <w:t xml:space="preserve"> Bank-specific determinants</w:t>
      </w:r>
      <w:r w:rsidR="00AB75D3">
        <w:t>;</w:t>
      </w:r>
      <w:r w:rsidR="00AB75D3" w:rsidRPr="001254D8">
        <w:t xml:space="preserve"> Housing market determinants</w:t>
      </w:r>
      <w:r w:rsidR="00AB75D3">
        <w:t>;</w:t>
      </w:r>
      <w:r w:rsidR="00AB75D3" w:rsidRPr="001254D8">
        <w:t xml:space="preserve"> MG estimation</w:t>
      </w:r>
      <w:r w:rsidR="00AB75D3">
        <w:t>;</w:t>
      </w:r>
      <w:r w:rsidR="00AB75D3" w:rsidRPr="001254D8">
        <w:t xml:space="preserve"> PMG estimation</w:t>
      </w:r>
      <w:r>
        <w:rPr>
          <w:kern w:val="0"/>
        </w:rPr>
        <w:t>.</w:t>
      </w:r>
    </w:p>
    <w:p w14:paraId="3E4B8000" w14:textId="5FAEC664" w:rsidR="00CD0E2D" w:rsidRPr="00AB75D3" w:rsidRDefault="00D76C9E" w:rsidP="00AB75D3">
      <w:pPr>
        <w:spacing w:before="120" w:line="480" w:lineRule="exact"/>
        <w:jc w:val="both"/>
        <w:rPr>
          <w:color w:val="FF0000"/>
          <w:kern w:val="0"/>
          <w:lang w:val="fr-FR"/>
        </w:rPr>
        <w:sectPr w:rsidR="00CD0E2D" w:rsidRPr="00AB75D3" w:rsidSect="004C291F">
          <w:footerReference w:type="default" r:id="rId8"/>
          <w:footnotePr>
            <w:numRestart w:val="eachSect"/>
          </w:footnotePr>
          <w:type w:val="continuous"/>
          <w:pgSz w:w="11909" w:h="16834" w:code="9"/>
          <w:pgMar w:top="1584" w:right="1728" w:bottom="1440" w:left="1800" w:header="850" w:footer="878" w:gutter="0"/>
          <w:cols w:space="425"/>
          <w:titlePg/>
          <w:docGrid w:type="linesAndChars" w:linePitch="360"/>
        </w:sectPr>
      </w:pPr>
      <w:r w:rsidRPr="003A524E">
        <w:rPr>
          <w:b/>
        </w:rPr>
        <w:t>JEL Classification</w:t>
      </w:r>
      <w:r w:rsidR="00AB75D3">
        <w:t>:</w:t>
      </w:r>
      <w:r w:rsidR="00162E00">
        <w:t xml:space="preserve"> </w:t>
      </w:r>
      <w:r w:rsidR="00AB75D3" w:rsidRPr="001254D8">
        <w:t>C23, G21</w:t>
      </w:r>
    </w:p>
    <w:p w14:paraId="0769BFE1" w14:textId="6981D9D1" w:rsidR="0004772E" w:rsidRDefault="00D76C9E" w:rsidP="00E02DA7">
      <w:pPr>
        <w:spacing w:line="480" w:lineRule="auto"/>
        <w:jc w:val="both"/>
        <w:rPr>
          <w:sz w:val="28"/>
          <w:szCs w:val="28"/>
        </w:rPr>
      </w:pPr>
      <w:r w:rsidRPr="00F24FF8">
        <w:rPr>
          <w:sz w:val="28"/>
          <w:szCs w:val="28"/>
        </w:rPr>
        <w:lastRenderedPageBreak/>
        <w:t>1</w:t>
      </w:r>
      <w:r w:rsidRPr="00F24FF8">
        <w:rPr>
          <w:rFonts w:hint="eastAsia"/>
          <w:sz w:val="28"/>
          <w:szCs w:val="28"/>
        </w:rPr>
        <w:t xml:space="preserve">. </w:t>
      </w:r>
      <w:r w:rsidRPr="00F24FF8">
        <w:rPr>
          <w:sz w:val="28"/>
          <w:szCs w:val="28"/>
        </w:rPr>
        <w:tab/>
        <w:t>INTRODUCTION</w:t>
      </w:r>
    </w:p>
    <w:p w14:paraId="3A33FACE" w14:textId="66D023A7" w:rsidR="009F4458" w:rsidRDefault="00AB75D3" w:rsidP="00AB75D3">
      <w:pPr>
        <w:spacing w:line="480" w:lineRule="auto"/>
        <w:jc w:val="both"/>
      </w:pPr>
      <w:r>
        <w:t>T</w:t>
      </w:r>
      <w:r w:rsidRPr="002E7305">
        <w:t xml:space="preserve">he </w:t>
      </w:r>
      <w:r w:rsidR="00330E2A">
        <w:t>primary aim</w:t>
      </w:r>
      <w:r w:rsidRPr="002E7305">
        <w:t xml:space="preserve"> of this </w:t>
      </w:r>
      <w:r w:rsidR="00330E2A">
        <w:t>study</w:t>
      </w:r>
      <w:r w:rsidRPr="002E7305">
        <w:t xml:space="preserve"> is to </w:t>
      </w:r>
      <w:r w:rsidR="00330E2A">
        <w:t>identify</w:t>
      </w:r>
      <w:r w:rsidRPr="002E7305">
        <w:t xml:space="preserve"> the determinants of </w:t>
      </w:r>
      <w:r w:rsidR="00330E2A">
        <w:t>‘</w:t>
      </w:r>
      <w:r w:rsidRPr="002E7305">
        <w:t>non-performing loans</w:t>
      </w:r>
      <w:r w:rsidR="00330E2A">
        <w:t>’</w:t>
      </w:r>
      <w:r w:rsidRPr="002E7305">
        <w:t xml:space="preserve"> </w:t>
      </w:r>
      <w:r w:rsidR="00330E2A">
        <w:t xml:space="preserve">(NPLs) in the </w:t>
      </w:r>
      <w:r w:rsidRPr="002E7305">
        <w:t>after</w:t>
      </w:r>
      <w:r w:rsidR="00330E2A">
        <w:t>math of</w:t>
      </w:r>
      <w:r w:rsidRPr="002E7305">
        <w:t xml:space="preserve"> the </w:t>
      </w:r>
      <w:r w:rsidR="00330E2A" w:rsidRPr="002E7305">
        <w:t>2008</w:t>
      </w:r>
      <w:r w:rsidR="00330E2A">
        <w:t xml:space="preserve"> </w:t>
      </w:r>
      <w:r w:rsidRPr="002E7305">
        <w:t xml:space="preserve">sub-prime </w:t>
      </w:r>
      <w:r w:rsidR="00330E2A">
        <w:t>mortgage</w:t>
      </w:r>
      <w:r w:rsidRPr="002E7305">
        <w:t xml:space="preserve"> crisis. </w:t>
      </w:r>
      <w:r w:rsidR="005A7D89">
        <w:t>V</w:t>
      </w:r>
      <w:r w:rsidR="00330E2A">
        <w:t>irtually all</w:t>
      </w:r>
      <w:r w:rsidRPr="002E7305">
        <w:t xml:space="preserve"> countries </w:t>
      </w:r>
      <w:r w:rsidR="00330E2A">
        <w:t xml:space="preserve">around </w:t>
      </w:r>
      <w:r w:rsidRPr="002E7305">
        <w:t xml:space="preserve">the world experienced sluggish economic growth and </w:t>
      </w:r>
      <w:r w:rsidR="00671817" w:rsidRPr="002E7305">
        <w:t xml:space="preserve">higher unemployment rates </w:t>
      </w:r>
      <w:r w:rsidR="00671817">
        <w:t>as a result of</w:t>
      </w:r>
      <w:r w:rsidR="00671817" w:rsidRPr="002E7305">
        <w:t xml:space="preserve"> the </w:t>
      </w:r>
      <w:r w:rsidR="00671817">
        <w:t>financial crisis</w:t>
      </w:r>
      <w:r w:rsidR="005A7D89">
        <w:t>; however</w:t>
      </w:r>
      <w:r w:rsidR="00671817" w:rsidRPr="002E7305">
        <w:t xml:space="preserve">, </w:t>
      </w:r>
      <w:r w:rsidR="00671817">
        <w:t xml:space="preserve">some of these </w:t>
      </w:r>
      <w:r w:rsidR="00671817" w:rsidRPr="002E7305">
        <w:t xml:space="preserve">countries </w:t>
      </w:r>
      <w:r w:rsidR="00671817">
        <w:t xml:space="preserve">have also been confronted with </w:t>
      </w:r>
      <w:r w:rsidR="00671817" w:rsidRPr="002E7305">
        <w:t>deteriorat</w:t>
      </w:r>
      <w:r w:rsidR="00671817">
        <w:t xml:space="preserve">ion in their </w:t>
      </w:r>
      <w:r w:rsidR="00671817" w:rsidRPr="002E7305">
        <w:t xml:space="preserve">credit risk, </w:t>
      </w:r>
      <w:r w:rsidR="00671817">
        <w:t xml:space="preserve">an additional setback which </w:t>
      </w:r>
      <w:r w:rsidRPr="002E7305">
        <w:t>other</w:t>
      </w:r>
      <w:r w:rsidR="00330E2A">
        <w:t xml:space="preserve"> countries have </w:t>
      </w:r>
      <w:r w:rsidR="00671817">
        <w:t xml:space="preserve">apparently </w:t>
      </w:r>
      <w:r w:rsidR="00330E2A">
        <w:t xml:space="preserve">managed to </w:t>
      </w:r>
      <w:r w:rsidR="00671817">
        <w:t>avoid</w:t>
      </w:r>
      <w:r w:rsidRPr="002E7305">
        <w:t xml:space="preserve">. </w:t>
      </w:r>
    </w:p>
    <w:p w14:paraId="00A5CF2B" w14:textId="5349ACBD" w:rsidR="009F4458" w:rsidRDefault="00330E2A" w:rsidP="009F4458">
      <w:pPr>
        <w:spacing w:line="480" w:lineRule="auto"/>
        <w:ind w:firstLine="475"/>
        <w:jc w:val="both"/>
      </w:pPr>
      <w:r>
        <w:t>According to a World Bank report, there has been a significant</w:t>
      </w:r>
      <w:r w:rsidRPr="00A17DFF">
        <w:t xml:space="preserve"> ris</w:t>
      </w:r>
      <w:r>
        <w:t>e in t</w:t>
      </w:r>
      <w:r w:rsidR="00AB75D3" w:rsidRPr="00A17DFF">
        <w:t xml:space="preserve">he </w:t>
      </w:r>
      <w:r w:rsidR="00691C47">
        <w:t>global</w:t>
      </w:r>
      <w:r w:rsidR="00AB75D3" w:rsidRPr="00A17DFF">
        <w:t xml:space="preserve"> average percentage of NPLs to total gross loans</w:t>
      </w:r>
      <w:r>
        <w:t>,</w:t>
      </w:r>
      <w:r w:rsidRPr="00330E2A">
        <w:t xml:space="preserve"> </w:t>
      </w:r>
      <w:r w:rsidR="00671817">
        <w:t>from</w:t>
      </w:r>
      <w:r w:rsidR="00671817" w:rsidRPr="00A17DFF">
        <w:t xml:space="preserve"> 2.99</w:t>
      </w:r>
      <w:r w:rsidR="00671817">
        <w:t xml:space="preserve"> per cent</w:t>
      </w:r>
      <w:r w:rsidR="00671817" w:rsidRPr="00A17DFF">
        <w:t xml:space="preserve"> in 2008</w:t>
      </w:r>
      <w:r w:rsidR="00671817">
        <w:t xml:space="preserve">, </w:t>
      </w:r>
      <w:r w:rsidRPr="00A17DFF">
        <w:t>to 4.3</w:t>
      </w:r>
      <w:r>
        <w:t xml:space="preserve"> per cent</w:t>
      </w:r>
      <w:r w:rsidRPr="00330E2A">
        <w:t xml:space="preserve"> </w:t>
      </w:r>
      <w:r>
        <w:t>in</w:t>
      </w:r>
      <w:r w:rsidRPr="00A17DFF">
        <w:t xml:space="preserve"> 2015</w:t>
      </w:r>
      <w:r w:rsidR="00BF1E98">
        <w:t xml:space="preserve">; </w:t>
      </w:r>
      <w:r w:rsidR="00671817">
        <w:t xml:space="preserve">and </w:t>
      </w:r>
      <w:r w:rsidR="00BF1E98">
        <w:t>indeed,</w:t>
      </w:r>
      <w:r w:rsidR="00AB75D3">
        <w:t xml:space="preserve"> </w:t>
      </w:r>
      <w:r w:rsidR="00691C47">
        <w:t xml:space="preserve">most of the countries in the regions of Europe and Central Asia continue to </w:t>
      </w:r>
      <w:r w:rsidR="00671817">
        <w:t>experience</w:t>
      </w:r>
      <w:r w:rsidR="00691C47">
        <w:t xml:space="preserve"> increases in </w:t>
      </w:r>
      <w:r w:rsidR="00BF1E98">
        <w:t>the</w:t>
      </w:r>
      <w:r w:rsidR="00691C47">
        <w:t>ir</w:t>
      </w:r>
      <w:r w:rsidR="00BF1E98">
        <w:t xml:space="preserve"> NPL ratios</w:t>
      </w:r>
      <w:r w:rsidR="00AB75D3">
        <w:t>.</w:t>
      </w:r>
      <w:r w:rsidR="00AB75D3">
        <w:rPr>
          <w:rStyle w:val="a5"/>
        </w:rPr>
        <w:footnoteReference w:id="3"/>
      </w:r>
      <w:r w:rsidR="00AB75D3">
        <w:t xml:space="preserve"> </w:t>
      </w:r>
      <w:r w:rsidR="005A7D89">
        <w:t>Although s</w:t>
      </w:r>
      <w:r w:rsidR="00671817">
        <w:t xml:space="preserve">ome of these countries reported extremely high NPL ratios in 2015, </w:t>
      </w:r>
      <w:r w:rsidR="00691C47">
        <w:t xml:space="preserve">as high as 18 per cent </w:t>
      </w:r>
      <w:r w:rsidR="00AB75D3">
        <w:t xml:space="preserve">in Italy, </w:t>
      </w:r>
      <w:r w:rsidR="00691C47">
        <w:t xml:space="preserve">34.7 per cent </w:t>
      </w:r>
      <w:r w:rsidR="00AB75D3">
        <w:t>in Greece and 45.6</w:t>
      </w:r>
      <w:r w:rsidR="00BF1E98">
        <w:t xml:space="preserve"> per cent</w:t>
      </w:r>
      <w:r w:rsidR="00691C47" w:rsidRPr="00691C47">
        <w:t xml:space="preserve"> </w:t>
      </w:r>
      <w:r w:rsidR="00691C47">
        <w:t>in Cyprus</w:t>
      </w:r>
      <w:r w:rsidR="00AB75D3">
        <w:t xml:space="preserve">, </w:t>
      </w:r>
      <w:r w:rsidR="00691C47">
        <w:t>over the same</w:t>
      </w:r>
      <w:r w:rsidR="00AB75D3">
        <w:t xml:space="preserve"> period, the NPL ratio</w:t>
      </w:r>
      <w:r w:rsidR="00691C47">
        <w:t>s in</w:t>
      </w:r>
      <w:r w:rsidR="00AB75D3">
        <w:t xml:space="preserve"> </w:t>
      </w:r>
      <w:r w:rsidR="00691C47">
        <w:t xml:space="preserve">the </w:t>
      </w:r>
      <w:r w:rsidR="00AB75D3">
        <w:t xml:space="preserve">East Asia and Pacific </w:t>
      </w:r>
      <w:r w:rsidR="00691C47">
        <w:t>regions</w:t>
      </w:r>
      <w:r w:rsidR="00AB75D3">
        <w:t xml:space="preserve"> </w:t>
      </w:r>
      <w:r w:rsidR="00AB75D3" w:rsidRPr="00473765">
        <w:t>ha</w:t>
      </w:r>
      <w:r w:rsidR="00671817">
        <w:t>ve</w:t>
      </w:r>
      <w:r w:rsidR="00AB75D3" w:rsidRPr="00473765">
        <w:t xml:space="preserve"> been </w:t>
      </w:r>
      <w:r w:rsidR="00691C47">
        <w:t xml:space="preserve">in </w:t>
      </w:r>
      <w:r w:rsidR="00AB75D3">
        <w:t>dec</w:t>
      </w:r>
      <w:r w:rsidR="00691C47">
        <w:t>line</w:t>
      </w:r>
      <w:r w:rsidR="00AB75D3" w:rsidRPr="00473765">
        <w:t xml:space="preserve">, from </w:t>
      </w:r>
      <w:r w:rsidR="00AB75D3">
        <w:t>2.28</w:t>
      </w:r>
      <w:r w:rsidR="00BF1E98">
        <w:t xml:space="preserve"> per cent</w:t>
      </w:r>
      <w:r w:rsidR="00AB75D3">
        <w:t xml:space="preserve"> </w:t>
      </w:r>
      <w:r w:rsidR="00AB75D3" w:rsidRPr="00473765">
        <w:t>in 2008</w:t>
      </w:r>
      <w:r w:rsidR="00671817">
        <w:t>,</w:t>
      </w:r>
      <w:r w:rsidR="00AB75D3" w:rsidRPr="00473765">
        <w:t xml:space="preserve"> to </w:t>
      </w:r>
      <w:r w:rsidR="00AB75D3">
        <w:t>1.59</w:t>
      </w:r>
      <w:r w:rsidR="00BF1E98">
        <w:t xml:space="preserve"> per cent</w:t>
      </w:r>
      <w:r w:rsidR="00AB75D3" w:rsidRPr="00473765">
        <w:t xml:space="preserve"> in 2015</w:t>
      </w:r>
      <w:r w:rsidR="00AB75D3">
        <w:t>.</w:t>
      </w:r>
    </w:p>
    <w:p w14:paraId="275733CE" w14:textId="4BC8C926" w:rsidR="009F4458" w:rsidRDefault="00671817" w:rsidP="009F4458">
      <w:pPr>
        <w:spacing w:line="480" w:lineRule="auto"/>
        <w:ind w:firstLine="475"/>
        <w:jc w:val="both"/>
      </w:pPr>
      <w:r>
        <w:t>S</w:t>
      </w:r>
      <w:r w:rsidR="00691C47">
        <w:t>everal prior related</w:t>
      </w:r>
      <w:r w:rsidR="00AB75D3" w:rsidRPr="002E7305">
        <w:t xml:space="preserve"> studies</w:t>
      </w:r>
      <w:r>
        <w:t xml:space="preserve"> argue that</w:t>
      </w:r>
      <w:r w:rsidR="00AB75D3" w:rsidRPr="002E7305">
        <w:t xml:space="preserve"> the determinants of NPLs are </w:t>
      </w:r>
      <w:r w:rsidRPr="002E7305">
        <w:t xml:space="preserve">mainly </w:t>
      </w:r>
      <w:r w:rsidR="00AB75D3" w:rsidRPr="002E7305">
        <w:t>associated with either macroeconomic variables</w:t>
      </w:r>
      <w:r>
        <w:t xml:space="preserve"> (</w:t>
      </w:r>
      <w:r w:rsidR="00AB75D3" w:rsidRPr="002E7305">
        <w:t>such as economic growth, national debt</w:t>
      </w:r>
      <w:r>
        <w:t>, the</w:t>
      </w:r>
      <w:r w:rsidR="00AB75D3" w:rsidRPr="002E7305">
        <w:t xml:space="preserve"> </w:t>
      </w:r>
      <w:r w:rsidRPr="002E7305">
        <w:t xml:space="preserve">unemployment rate </w:t>
      </w:r>
      <w:r w:rsidR="00AB75D3" w:rsidRPr="002E7305">
        <w:t xml:space="preserve">and </w:t>
      </w:r>
      <w:r w:rsidR="00691C47">
        <w:t xml:space="preserve">the </w:t>
      </w:r>
      <w:r w:rsidR="00AB75D3" w:rsidRPr="002E7305">
        <w:t>inflation rate</w:t>
      </w:r>
      <w:r>
        <w:t>)</w:t>
      </w:r>
      <w:r w:rsidR="00AB75D3" w:rsidRPr="002E7305">
        <w:t xml:space="preserve"> or with bank-</w:t>
      </w:r>
      <w:proofErr w:type="gramStart"/>
      <w:r w:rsidR="00AB75D3" w:rsidRPr="002E7305">
        <w:t xml:space="preserve">specific </w:t>
      </w:r>
      <w:r w:rsidRPr="002E7305">
        <w:t xml:space="preserve"> </w:t>
      </w:r>
      <w:r w:rsidR="00AB75D3" w:rsidRPr="002E7305">
        <w:t>characteristics</w:t>
      </w:r>
      <w:proofErr w:type="gramEnd"/>
      <w:r>
        <w:t xml:space="preserve"> (</w:t>
      </w:r>
      <w:r w:rsidR="00AB75D3" w:rsidRPr="002E7305">
        <w:t xml:space="preserve">such as </w:t>
      </w:r>
      <w:r w:rsidR="00691C47" w:rsidRPr="002E7305">
        <w:t xml:space="preserve">asset management </w:t>
      </w:r>
      <w:r w:rsidR="00AB75D3" w:rsidRPr="002E7305">
        <w:t>quality or financial supervision</w:t>
      </w:r>
      <w:r>
        <w:t>)</w:t>
      </w:r>
      <w:r w:rsidR="00AB75D3" w:rsidRPr="002E7305">
        <w:t xml:space="preserve">. </w:t>
      </w:r>
      <w:r w:rsidR="005A7D89">
        <w:t>However, i</w:t>
      </w:r>
      <w:r w:rsidR="00AB75D3" w:rsidRPr="002E7305">
        <w:t xml:space="preserve">n addition to the traditional perspectives, recent </w:t>
      </w:r>
      <w:r>
        <w:t>studies</w:t>
      </w:r>
      <w:r w:rsidR="00AB75D3" w:rsidRPr="002E7305">
        <w:t xml:space="preserve"> ha</w:t>
      </w:r>
      <w:r>
        <w:t>ve also</w:t>
      </w:r>
      <w:r w:rsidR="00AB75D3" w:rsidRPr="002E7305">
        <w:t xml:space="preserve"> begun to explore the role </w:t>
      </w:r>
      <w:r>
        <w:t>potentially</w:t>
      </w:r>
      <w:r w:rsidRPr="002E7305">
        <w:t xml:space="preserve"> play</w:t>
      </w:r>
      <w:r>
        <w:t>ed by</w:t>
      </w:r>
      <w:r w:rsidRPr="002E7305">
        <w:t xml:space="preserve"> house </w:t>
      </w:r>
      <w:r w:rsidR="00AB75D3" w:rsidRPr="002E7305">
        <w:t xml:space="preserve">prices, </w:t>
      </w:r>
      <w:r w:rsidR="005A7D89">
        <w:t xml:space="preserve">although </w:t>
      </w:r>
      <w:r w:rsidR="00AB75D3" w:rsidRPr="002E7305">
        <w:t xml:space="preserve">the impacts </w:t>
      </w:r>
      <w:r w:rsidRPr="002E7305">
        <w:t xml:space="preserve">on credit risk </w:t>
      </w:r>
      <w:r>
        <w:t xml:space="preserve">arising from </w:t>
      </w:r>
      <w:r w:rsidRPr="002E7305">
        <w:t xml:space="preserve">property </w:t>
      </w:r>
      <w:r w:rsidR="00AB75D3" w:rsidRPr="002E7305">
        <w:t xml:space="preserve">prices </w:t>
      </w:r>
      <w:r>
        <w:t>are</w:t>
      </w:r>
      <w:r w:rsidR="00AB75D3" w:rsidRPr="002E7305">
        <w:t xml:space="preserve"> still unclear. </w:t>
      </w:r>
    </w:p>
    <w:p w14:paraId="2D517638" w14:textId="6453F3FA" w:rsidR="009F4458" w:rsidRDefault="00AB75D3" w:rsidP="009F4458">
      <w:pPr>
        <w:spacing w:line="480" w:lineRule="auto"/>
        <w:ind w:firstLine="475"/>
        <w:jc w:val="both"/>
      </w:pPr>
      <w:r>
        <w:t>During the recent economic recession</w:t>
      </w:r>
      <w:r w:rsidR="00671817" w:rsidRPr="00671817">
        <w:t xml:space="preserve"> </w:t>
      </w:r>
      <w:r w:rsidR="00671817">
        <w:t>period</w:t>
      </w:r>
      <w:r>
        <w:t xml:space="preserve">, some countries experienced </w:t>
      </w:r>
      <w:r w:rsidR="00671817">
        <w:t>significant decline</w:t>
      </w:r>
      <w:r w:rsidR="00550FD0">
        <w:t>s</w:t>
      </w:r>
      <w:r w:rsidR="00671817">
        <w:t xml:space="preserve"> in</w:t>
      </w:r>
      <w:r>
        <w:t xml:space="preserve"> hous</w:t>
      </w:r>
      <w:r w:rsidR="00671817">
        <w:t>e</w:t>
      </w:r>
      <w:r>
        <w:t xml:space="preserve"> prices, whil</w:t>
      </w:r>
      <w:r w:rsidR="00671817">
        <w:t>st</w:t>
      </w:r>
      <w:r>
        <w:t xml:space="preserve"> others </w:t>
      </w:r>
      <w:r w:rsidR="00550FD0">
        <w:t xml:space="preserve">have continued to </w:t>
      </w:r>
      <w:r>
        <w:t xml:space="preserve">experience housing price </w:t>
      </w:r>
      <w:r w:rsidR="00924264">
        <w:t>‘</w:t>
      </w:r>
      <w:r>
        <w:t>bubbles</w:t>
      </w:r>
      <w:r w:rsidR="00924264">
        <w:t>’</w:t>
      </w:r>
      <w:r>
        <w:t xml:space="preserve">. </w:t>
      </w:r>
      <w:r w:rsidRPr="008D2FA2">
        <w:t xml:space="preserve">For </w:t>
      </w:r>
      <w:r w:rsidR="00550FD0">
        <w:t>example</w:t>
      </w:r>
      <w:r w:rsidRPr="008D2FA2">
        <w:t xml:space="preserve">, </w:t>
      </w:r>
      <w:r w:rsidR="00550FD0">
        <w:t>between 2009</w:t>
      </w:r>
      <w:r w:rsidR="00550FD0" w:rsidRPr="008D2FA2">
        <w:t xml:space="preserve"> </w:t>
      </w:r>
      <w:r w:rsidR="00550FD0">
        <w:t>and</w:t>
      </w:r>
      <w:r w:rsidR="00550FD0" w:rsidRPr="008D2FA2">
        <w:t xml:space="preserve"> 2015</w:t>
      </w:r>
      <w:r w:rsidR="00550FD0">
        <w:t>,</w:t>
      </w:r>
      <w:r w:rsidR="00550FD0" w:rsidRPr="008D2FA2">
        <w:t xml:space="preserve"> </w:t>
      </w:r>
      <w:r w:rsidRPr="008D2FA2">
        <w:t xml:space="preserve">according to </w:t>
      </w:r>
      <w:r w:rsidR="00BF1E98" w:rsidRPr="008D2FA2">
        <w:t xml:space="preserve">BIS </w:t>
      </w:r>
      <w:r w:rsidRPr="008D2FA2">
        <w:t>data</w:t>
      </w:r>
      <w:r w:rsidR="00BF1E98">
        <w:t>,</w:t>
      </w:r>
      <w:r w:rsidRPr="008D2FA2">
        <w:t xml:space="preserve"> resi</w:t>
      </w:r>
      <w:r>
        <w:t>dential property price</w:t>
      </w:r>
      <w:r w:rsidR="00550FD0">
        <w:t>s</w:t>
      </w:r>
      <w:r>
        <w:t xml:space="preserve"> </w:t>
      </w:r>
      <w:r w:rsidR="00550FD0">
        <w:t xml:space="preserve">fell </w:t>
      </w:r>
      <w:r w:rsidR="00816831">
        <w:t>by</w:t>
      </w:r>
      <w:r w:rsidRPr="00550FD0">
        <w:rPr>
          <w:color w:val="FF0000"/>
        </w:rPr>
        <w:t xml:space="preserve"> </w:t>
      </w:r>
      <w:r w:rsidRPr="008D2FA2">
        <w:t>a</w:t>
      </w:r>
      <w:r w:rsidR="00550FD0">
        <w:t>round</w:t>
      </w:r>
      <w:r w:rsidRPr="008D2FA2">
        <w:t xml:space="preserve"> </w:t>
      </w:r>
      <w:r w:rsidRPr="00550FD0">
        <w:t>16</w:t>
      </w:r>
      <w:r w:rsidR="00BF1E98" w:rsidRPr="00550FD0">
        <w:t xml:space="preserve"> per cent</w:t>
      </w:r>
      <w:r w:rsidRPr="00550FD0">
        <w:t xml:space="preserve"> in Italy, 26</w:t>
      </w:r>
      <w:r w:rsidR="00BF1E98" w:rsidRPr="00550FD0">
        <w:t xml:space="preserve"> per cent</w:t>
      </w:r>
      <w:r w:rsidRPr="00550FD0">
        <w:t xml:space="preserve"> in Cyprus, and 39</w:t>
      </w:r>
      <w:r w:rsidR="00BF1E98" w:rsidRPr="00550FD0">
        <w:t xml:space="preserve"> per cent</w:t>
      </w:r>
      <w:r w:rsidRPr="00550FD0">
        <w:t xml:space="preserve"> in Greece</w:t>
      </w:r>
      <w:r w:rsidRPr="008D2FA2">
        <w:t>.</w:t>
      </w:r>
      <w:r w:rsidR="00BF1E98">
        <w:rPr>
          <w:rStyle w:val="a5"/>
        </w:rPr>
        <w:footnoteReference w:id="4"/>
      </w:r>
      <w:r w:rsidRPr="008D2FA2">
        <w:t xml:space="preserve"> </w:t>
      </w:r>
      <w:r w:rsidR="00550FD0">
        <w:t>In contrast, h</w:t>
      </w:r>
      <w:r>
        <w:t>owever, house</w:t>
      </w:r>
      <w:r w:rsidRPr="008D2FA2">
        <w:t xml:space="preserve"> prices </w:t>
      </w:r>
      <w:r w:rsidR="00550FD0">
        <w:t>in East Asia</w:t>
      </w:r>
      <w:r w:rsidR="00550FD0" w:rsidRPr="008D2FA2">
        <w:t xml:space="preserve"> </w:t>
      </w:r>
      <w:r w:rsidRPr="008D2FA2">
        <w:t>have steadily risen</w:t>
      </w:r>
      <w:r w:rsidR="00550FD0">
        <w:t>; over the same period</w:t>
      </w:r>
      <w:r>
        <w:t>, residential property price</w:t>
      </w:r>
      <w:r w:rsidR="00550FD0">
        <w:t>s</w:t>
      </w:r>
      <w:r>
        <w:t xml:space="preserve"> </w:t>
      </w:r>
      <w:r w:rsidR="00550FD0">
        <w:t>have</w:t>
      </w:r>
      <w:r>
        <w:t xml:space="preserve"> increased </w:t>
      </w:r>
      <w:r w:rsidR="00550FD0">
        <w:t xml:space="preserve">by </w:t>
      </w:r>
      <w:r>
        <w:t>about 5</w:t>
      </w:r>
      <w:r w:rsidR="00BF1E98">
        <w:t xml:space="preserve"> per cent</w:t>
      </w:r>
      <w:r>
        <w:t xml:space="preserve"> in Japan, 19</w:t>
      </w:r>
      <w:r w:rsidR="00BF1E98">
        <w:t xml:space="preserve"> per cent</w:t>
      </w:r>
      <w:r>
        <w:t xml:space="preserve"> in Korea and 35</w:t>
      </w:r>
      <w:r w:rsidR="00BF1E98">
        <w:t xml:space="preserve"> per cent</w:t>
      </w:r>
      <w:r>
        <w:t xml:space="preserve"> in Taiwan.</w:t>
      </w:r>
    </w:p>
    <w:p w14:paraId="5BD3CB97" w14:textId="6F1D1211" w:rsidR="009F4458" w:rsidRDefault="00550FD0" w:rsidP="009F4458">
      <w:pPr>
        <w:spacing w:line="480" w:lineRule="auto"/>
        <w:ind w:firstLine="475"/>
        <w:jc w:val="both"/>
      </w:pPr>
      <w:r>
        <w:t>Although t</w:t>
      </w:r>
      <w:r w:rsidR="00AB75D3">
        <w:t>he hous</w:t>
      </w:r>
      <w:r>
        <w:t>ing</w:t>
      </w:r>
      <w:r w:rsidR="00AB75D3">
        <w:t xml:space="preserve"> price index </w:t>
      </w:r>
      <w:r>
        <w:t xml:space="preserve">in Taiwan </w:t>
      </w:r>
      <w:r w:rsidR="00AB75D3">
        <w:t>increased steadily</w:t>
      </w:r>
      <w:r w:rsidRPr="00550FD0">
        <w:t xml:space="preserve"> </w:t>
      </w:r>
      <w:r>
        <w:t>between 2009 and 2015,</w:t>
      </w:r>
      <w:r w:rsidR="00AB75D3">
        <w:t xml:space="preserve"> t</w:t>
      </w:r>
      <w:r w:rsidR="00AB75D3" w:rsidRPr="00CF1A94">
        <w:t xml:space="preserve">he </w:t>
      </w:r>
      <w:r w:rsidR="00AB75D3">
        <w:t xml:space="preserve">economic growth rate </w:t>
      </w:r>
      <w:r>
        <w:t>has remained</w:t>
      </w:r>
      <w:r w:rsidR="00AB75D3">
        <w:t xml:space="preserve"> sluggish, </w:t>
      </w:r>
      <w:r>
        <w:t xml:space="preserve">with </w:t>
      </w:r>
      <w:r w:rsidR="00AB75D3">
        <w:t xml:space="preserve">the average </w:t>
      </w:r>
      <w:r w:rsidR="00AB75D3" w:rsidRPr="00CF1A94">
        <w:t xml:space="preserve">GDP growth rate </w:t>
      </w:r>
      <w:r>
        <w:t xml:space="preserve">languishing at around 3 per cent throughout </w:t>
      </w:r>
      <w:r w:rsidR="00AB75D3">
        <w:t>this period</w:t>
      </w:r>
      <w:r>
        <w:t>; i</w:t>
      </w:r>
      <w:r w:rsidR="00AB75D3">
        <w:t>n</w:t>
      </w:r>
      <w:r>
        <w:t>deed</w:t>
      </w:r>
      <w:r w:rsidR="00AB75D3">
        <w:t xml:space="preserve">, </w:t>
      </w:r>
      <w:r>
        <w:t>from a</w:t>
      </w:r>
      <w:r w:rsidR="00AB75D3" w:rsidRPr="00526734">
        <w:t xml:space="preserve"> </w:t>
      </w:r>
      <w:r>
        <w:t xml:space="preserve">negative </w:t>
      </w:r>
      <w:r w:rsidR="00AB75D3" w:rsidRPr="00526734">
        <w:t xml:space="preserve">GDP growth rate </w:t>
      </w:r>
      <w:r>
        <w:t xml:space="preserve">of </w:t>
      </w:r>
      <w:r w:rsidRPr="00550FD0">
        <w:rPr>
          <w:position w:val="2"/>
          <w:sz w:val="18"/>
        </w:rPr>
        <w:t>–</w:t>
      </w:r>
      <w:r w:rsidR="00AB75D3" w:rsidRPr="00526734">
        <w:t>1.57</w:t>
      </w:r>
      <w:r w:rsidR="00BF1E98">
        <w:t xml:space="preserve"> per cent</w:t>
      </w:r>
      <w:r w:rsidR="00AB75D3" w:rsidRPr="00526734">
        <w:t xml:space="preserve"> in</w:t>
      </w:r>
      <w:r w:rsidR="00AB75D3">
        <w:t xml:space="preserve"> 2009, it </w:t>
      </w:r>
      <w:r>
        <w:t>had risen to</w:t>
      </w:r>
      <w:r w:rsidR="00AB75D3">
        <w:t xml:space="preserve"> only 0.65</w:t>
      </w:r>
      <w:r w:rsidR="00BF1E98">
        <w:t xml:space="preserve"> per cent</w:t>
      </w:r>
      <w:r w:rsidR="00AB75D3">
        <w:t xml:space="preserve"> in 2015. </w:t>
      </w:r>
      <w:r>
        <w:t xml:space="preserve">Nevertheless, whilst the </w:t>
      </w:r>
      <w:r w:rsidR="00B665F0">
        <w:t xml:space="preserve">overall </w:t>
      </w:r>
      <w:r>
        <w:t>economy was clearly</w:t>
      </w:r>
      <w:r w:rsidR="00AB75D3">
        <w:t xml:space="preserve"> in recession </w:t>
      </w:r>
      <w:r>
        <w:t xml:space="preserve">as a </w:t>
      </w:r>
      <w:r w:rsidRPr="00B665F0">
        <w:t>result of</w:t>
      </w:r>
      <w:r w:rsidR="00AB75D3" w:rsidRPr="00B665F0">
        <w:t xml:space="preserve"> the sub</w:t>
      </w:r>
      <w:r w:rsidRPr="00B665F0">
        <w:t>-</w:t>
      </w:r>
      <w:r w:rsidR="00AB75D3" w:rsidRPr="00B665F0">
        <w:t>prime</w:t>
      </w:r>
      <w:r w:rsidRPr="00B665F0">
        <w:t xml:space="preserve"> mortgage</w:t>
      </w:r>
      <w:r w:rsidR="00AB75D3" w:rsidRPr="00B665F0">
        <w:t xml:space="preserve"> crisis, the NPL ratio</w:t>
      </w:r>
      <w:r w:rsidR="00B665F0" w:rsidRPr="00B665F0">
        <w:t>s</w:t>
      </w:r>
      <w:r w:rsidR="00AB75D3" w:rsidRPr="00B665F0">
        <w:t xml:space="preserve"> </w:t>
      </w:r>
      <w:r w:rsidRPr="00B665F0">
        <w:t>had</w:t>
      </w:r>
      <w:r w:rsidR="00AB75D3" w:rsidRPr="00B665F0">
        <w:t xml:space="preserve"> improved</w:t>
      </w:r>
      <w:r w:rsidRPr="00B665F0">
        <w:t xml:space="preserve"> </w:t>
      </w:r>
      <w:r w:rsidR="00B665F0" w:rsidRPr="00B665F0">
        <w:t>significantly,</w:t>
      </w:r>
      <w:r w:rsidR="00B665F0">
        <w:t xml:space="preserve"> </w:t>
      </w:r>
      <w:r>
        <w:t>from</w:t>
      </w:r>
      <w:r w:rsidR="00AB75D3">
        <w:t xml:space="preserve"> about </w:t>
      </w:r>
      <w:r w:rsidR="00AB75D3" w:rsidRPr="002D7B2B">
        <w:t>1</w:t>
      </w:r>
      <w:r w:rsidR="00BF1E98">
        <w:t xml:space="preserve"> per cent</w:t>
      </w:r>
      <w:r w:rsidR="00AB75D3">
        <w:t xml:space="preserve"> in 2009</w:t>
      </w:r>
      <w:r w:rsidR="00B665F0">
        <w:t>, to just</w:t>
      </w:r>
      <w:r w:rsidR="00AB75D3">
        <w:t xml:space="preserve"> 0.3</w:t>
      </w:r>
      <w:r w:rsidR="00BF1E98">
        <w:t xml:space="preserve"> per cent</w:t>
      </w:r>
      <w:r w:rsidR="00AB75D3">
        <w:t xml:space="preserve"> in 2015.</w:t>
      </w:r>
      <w:r w:rsidR="00AB75D3" w:rsidRPr="002D7B2B">
        <w:t xml:space="preserve"> </w:t>
      </w:r>
    </w:p>
    <w:p w14:paraId="229AA45C" w14:textId="31055E94" w:rsidR="00DA6081" w:rsidRPr="00B665F0" w:rsidRDefault="00DA6081" w:rsidP="00DA6081">
      <w:pPr>
        <w:spacing w:line="480" w:lineRule="auto"/>
        <w:ind w:firstLine="475"/>
        <w:jc w:val="both"/>
        <w:rPr>
          <w:spacing w:val="-2"/>
        </w:rPr>
      </w:pPr>
      <w:r w:rsidRPr="00B665F0">
        <w:rPr>
          <w:spacing w:val="-2"/>
        </w:rPr>
        <w:t xml:space="preserve">Exactly what has caused such low NPL ratios remains unclear, thus, </w:t>
      </w:r>
      <w:r w:rsidR="00FE76F1">
        <w:rPr>
          <w:spacing w:val="-2"/>
        </w:rPr>
        <w:t>our</w:t>
      </w:r>
      <w:r w:rsidRPr="00B665F0">
        <w:rPr>
          <w:spacing w:val="-2"/>
        </w:rPr>
        <w:t xml:space="preserve"> primary aim </w:t>
      </w:r>
      <w:r w:rsidR="005A7D89">
        <w:rPr>
          <w:spacing w:val="-2"/>
        </w:rPr>
        <w:t>in</w:t>
      </w:r>
      <w:r w:rsidRPr="00B665F0">
        <w:rPr>
          <w:spacing w:val="-2"/>
        </w:rPr>
        <w:t xml:space="preserve"> this study is to investigate the determinants of non-performing loans in Taiwan over the </w:t>
      </w:r>
      <w:r w:rsidR="005A7D89">
        <w:rPr>
          <w:spacing w:val="-2"/>
        </w:rPr>
        <w:t>years 2006 to 2015</w:t>
      </w:r>
      <w:r w:rsidRPr="00B665F0">
        <w:rPr>
          <w:spacing w:val="-2"/>
        </w:rPr>
        <w:t>. This issue is regarded as being extremely important, essentially because bank insolvency has become a critical problem for those countries experiencing deteriorations in their bank assets in the aftermath of the sub-prime mortgage crisis. The ways in which the global housing markets can jeopardize both the short- and long-term soundness of a country’s financial sector remain ambiguous; thus, an examination of empirical data on Taiwan may offer some policy implications for bank stability</w:t>
      </w:r>
      <w:r w:rsidRPr="00B665F0">
        <w:rPr>
          <w:rFonts w:eastAsia="標楷體"/>
          <w:spacing w:val="-2"/>
        </w:rPr>
        <w:t>.</w:t>
      </w:r>
    </w:p>
    <w:p w14:paraId="77A9D279" w14:textId="7D96B306" w:rsidR="001156CC" w:rsidRPr="001156CC" w:rsidRDefault="00D76C9E" w:rsidP="001156CC">
      <w:pPr>
        <w:spacing w:before="120" w:line="480" w:lineRule="auto"/>
        <w:jc w:val="both"/>
        <w:rPr>
          <w:spacing w:val="-2"/>
          <w:sz w:val="32"/>
          <w:szCs w:val="28"/>
        </w:rPr>
      </w:pPr>
      <w:r w:rsidRPr="0004772E">
        <w:rPr>
          <w:spacing w:val="-2"/>
          <w:sz w:val="28"/>
          <w:szCs w:val="28"/>
        </w:rPr>
        <w:t>2</w:t>
      </w:r>
      <w:r w:rsidRPr="0004772E">
        <w:rPr>
          <w:rFonts w:hint="eastAsia"/>
          <w:spacing w:val="-2"/>
          <w:sz w:val="28"/>
          <w:szCs w:val="28"/>
        </w:rPr>
        <w:t xml:space="preserve">. </w:t>
      </w:r>
      <w:r w:rsidRPr="0004772E">
        <w:rPr>
          <w:spacing w:val="-2"/>
          <w:sz w:val="28"/>
          <w:szCs w:val="28"/>
        </w:rPr>
        <w:tab/>
      </w:r>
      <w:r w:rsidR="00950F36">
        <w:rPr>
          <w:bCs/>
          <w:spacing w:val="-2"/>
          <w:sz w:val="28"/>
        </w:rPr>
        <w:t>LITERATURE REVIEW</w:t>
      </w:r>
    </w:p>
    <w:p w14:paraId="2A7DBD17" w14:textId="15405076" w:rsidR="00AB75D3" w:rsidRDefault="00AB75D3" w:rsidP="00AB75D3">
      <w:pPr>
        <w:spacing w:line="480" w:lineRule="auto"/>
        <w:jc w:val="both"/>
      </w:pPr>
      <w:r>
        <w:t xml:space="preserve">Bank stability is </w:t>
      </w:r>
      <w:r w:rsidR="00B665F0">
        <w:t>invariably</w:t>
      </w:r>
      <w:r>
        <w:t xml:space="preserve"> associated with </w:t>
      </w:r>
      <w:r w:rsidR="00B665F0">
        <w:t>NPL</w:t>
      </w:r>
      <w:r w:rsidR="00B665F0" w:rsidRPr="00B665F0">
        <w:t xml:space="preserve"> </w:t>
      </w:r>
      <w:r w:rsidR="00B665F0" w:rsidRPr="00923AE1">
        <w:t>ratios</w:t>
      </w:r>
      <w:r w:rsidR="00B665F0">
        <w:t>, and indeed, ac</w:t>
      </w:r>
      <w:r w:rsidRPr="00923AE1">
        <w:t xml:space="preserve">cording to </w:t>
      </w:r>
      <w:r w:rsidR="00B665F0">
        <w:t>numerous</w:t>
      </w:r>
      <w:r>
        <w:t xml:space="preserve"> empirical </w:t>
      </w:r>
      <w:r w:rsidRPr="00923AE1">
        <w:t>studies</w:t>
      </w:r>
      <w:r w:rsidR="00B665F0">
        <w:t xml:space="preserve"> </w:t>
      </w:r>
      <w:r w:rsidR="005A7D89">
        <w:t>examining</w:t>
      </w:r>
      <w:r w:rsidR="00B665F0">
        <w:t xml:space="preserve"> this issue</w:t>
      </w:r>
      <w:r w:rsidRPr="00923AE1">
        <w:t xml:space="preserve">, the determinants of NPLs are </w:t>
      </w:r>
      <w:r w:rsidR="00B665F0">
        <w:t>primari</w:t>
      </w:r>
      <w:r w:rsidR="00B665F0" w:rsidRPr="00923AE1">
        <w:t xml:space="preserve">ly </w:t>
      </w:r>
      <w:r w:rsidR="00B665F0">
        <w:t>associated with</w:t>
      </w:r>
      <w:r w:rsidRPr="00923AE1">
        <w:t xml:space="preserve"> macroeconom</w:t>
      </w:r>
      <w:r>
        <w:t xml:space="preserve">ic and bank-specific variables, including </w:t>
      </w:r>
      <w:r w:rsidRPr="00923AE1">
        <w:t>GDP growth rate, interest rate</w:t>
      </w:r>
      <w:r w:rsidR="00B665F0">
        <w:t>s</w:t>
      </w:r>
      <w:r w:rsidRPr="00923AE1">
        <w:t>, unemployment rate</w:t>
      </w:r>
      <w:r w:rsidR="00B665F0">
        <w:t>s</w:t>
      </w:r>
      <w:r w:rsidRPr="00923AE1">
        <w:t xml:space="preserve">, </w:t>
      </w:r>
      <w:r>
        <w:t>returns on asset</w:t>
      </w:r>
      <w:r w:rsidR="00B665F0">
        <w:t>s</w:t>
      </w:r>
      <w:r>
        <w:t>, returns on equity</w:t>
      </w:r>
      <w:r w:rsidR="00B665F0">
        <w:t>,</w:t>
      </w:r>
      <w:r>
        <w:t xml:space="preserve"> loan</w:t>
      </w:r>
      <w:r w:rsidR="00BF1E98">
        <w:t>s</w:t>
      </w:r>
      <w:r>
        <w:t xml:space="preserve"> to saving</w:t>
      </w:r>
      <w:r w:rsidR="00BF1E98">
        <w:t>s</w:t>
      </w:r>
      <w:r>
        <w:t xml:space="preserve"> ratio</w:t>
      </w:r>
      <w:r w:rsidR="00B665F0">
        <w:t xml:space="preserve">s, national debt </w:t>
      </w:r>
      <w:r w:rsidR="00B665F0" w:rsidRPr="00923AE1">
        <w:t>and CPI inflation</w:t>
      </w:r>
      <w:r>
        <w:t xml:space="preserve">. </w:t>
      </w:r>
      <w:r w:rsidRPr="00166BD4">
        <w:t>The</w:t>
      </w:r>
      <w:r w:rsidR="00DA6081">
        <w:t xml:space="preserve"> extant literature contains a wealth of </w:t>
      </w:r>
      <w:r w:rsidRPr="00166BD4">
        <w:t>empirical investigations on the determinants of NPLs,</w:t>
      </w:r>
      <w:r w:rsidR="00B665F0">
        <w:rPr>
          <w:rStyle w:val="a5"/>
        </w:rPr>
        <w:footnoteReference w:id="5"/>
      </w:r>
      <w:r w:rsidRPr="00166BD4">
        <w:t xml:space="preserve"> </w:t>
      </w:r>
      <w:r w:rsidR="00C12A54">
        <w:t>with</w:t>
      </w:r>
      <w:r w:rsidRPr="00166BD4">
        <w:t xml:space="preserve"> most of the</w:t>
      </w:r>
      <w:r w:rsidR="00C12A54">
        <w:t>se</w:t>
      </w:r>
      <w:r w:rsidRPr="00166BD4">
        <w:t xml:space="preserve"> </w:t>
      </w:r>
      <w:r w:rsidR="00DA6081">
        <w:t xml:space="preserve">studies </w:t>
      </w:r>
      <w:r w:rsidR="00BF1E98">
        <w:t>provid</w:t>
      </w:r>
      <w:r w:rsidR="00C12A54">
        <w:t>ing</w:t>
      </w:r>
      <w:r w:rsidRPr="00166BD4">
        <w:t xml:space="preserve"> evidence</w:t>
      </w:r>
      <w:r w:rsidR="00BF1E98">
        <w:t xml:space="preserve"> in</w:t>
      </w:r>
      <w:r w:rsidRPr="00166BD4">
        <w:t xml:space="preserve"> support </w:t>
      </w:r>
      <w:r w:rsidR="00BF1E98">
        <w:t xml:space="preserve">of </w:t>
      </w:r>
      <w:r w:rsidRPr="00166BD4">
        <w:t xml:space="preserve">the view that macroeconomic determinants </w:t>
      </w:r>
      <w:r w:rsidR="00C12A54">
        <w:t>have clear</w:t>
      </w:r>
      <w:r w:rsidRPr="00166BD4">
        <w:t xml:space="preserve"> </w:t>
      </w:r>
      <w:r w:rsidR="00C12A54">
        <w:t>associations with</w:t>
      </w:r>
      <w:r>
        <w:t xml:space="preserve"> </w:t>
      </w:r>
      <w:r w:rsidRPr="00166BD4">
        <w:t xml:space="preserve">NPL ratios. </w:t>
      </w:r>
    </w:p>
    <w:p w14:paraId="46156931" w14:textId="63B3210F" w:rsidR="002365D5" w:rsidRDefault="00DA6081" w:rsidP="009F4458">
      <w:pPr>
        <w:spacing w:line="480" w:lineRule="auto"/>
        <w:ind w:firstLine="475"/>
        <w:jc w:val="both"/>
        <w:rPr>
          <w:spacing w:val="-2"/>
        </w:rPr>
      </w:pPr>
      <w:r w:rsidRPr="002365D5">
        <w:rPr>
          <w:spacing w:val="-2"/>
        </w:rPr>
        <w:t>From a</w:t>
      </w:r>
      <w:r w:rsidR="009B3C72">
        <w:rPr>
          <w:spacing w:val="-2"/>
        </w:rPr>
        <w:t xml:space="preserve"> recent</w:t>
      </w:r>
      <w:r w:rsidRPr="002365D5">
        <w:rPr>
          <w:spacing w:val="-2"/>
        </w:rPr>
        <w:t xml:space="preserve"> examination of</w:t>
      </w:r>
      <w:r w:rsidR="00AB75D3" w:rsidRPr="002365D5">
        <w:rPr>
          <w:spacing w:val="-2"/>
        </w:rPr>
        <w:t xml:space="preserve"> seven Central and Eastern European countries</w:t>
      </w:r>
      <w:r w:rsidRPr="002365D5">
        <w:rPr>
          <w:spacing w:val="-2"/>
        </w:rPr>
        <w:t xml:space="preserve">, </w:t>
      </w:r>
      <w:proofErr w:type="spellStart"/>
      <w:r w:rsidRPr="002365D5">
        <w:rPr>
          <w:spacing w:val="-2"/>
        </w:rPr>
        <w:t>Škarica</w:t>
      </w:r>
      <w:proofErr w:type="spellEnd"/>
      <w:r w:rsidRPr="002365D5">
        <w:rPr>
          <w:spacing w:val="-2"/>
        </w:rPr>
        <w:t xml:space="preserve"> (2014) reported</w:t>
      </w:r>
      <w:r w:rsidR="00AB75D3" w:rsidRPr="002365D5">
        <w:rPr>
          <w:spacing w:val="-2"/>
        </w:rPr>
        <w:t xml:space="preserve"> th</w:t>
      </w:r>
      <w:r w:rsidRPr="002365D5">
        <w:rPr>
          <w:spacing w:val="-2"/>
        </w:rPr>
        <w:t>at th</w:t>
      </w:r>
      <w:r w:rsidR="00AB75D3" w:rsidRPr="002365D5">
        <w:rPr>
          <w:spacing w:val="-2"/>
        </w:rPr>
        <w:t>e NPL</w:t>
      </w:r>
      <w:r w:rsidRPr="002365D5">
        <w:rPr>
          <w:spacing w:val="-2"/>
        </w:rPr>
        <w:t xml:space="preserve"> ratio</w:t>
      </w:r>
      <w:r w:rsidR="00AB75D3" w:rsidRPr="002365D5">
        <w:rPr>
          <w:spacing w:val="-2"/>
        </w:rPr>
        <w:t xml:space="preserve">s </w:t>
      </w:r>
      <w:r w:rsidRPr="002365D5">
        <w:rPr>
          <w:spacing w:val="-2"/>
        </w:rPr>
        <w:t xml:space="preserve">in these countries </w:t>
      </w:r>
      <w:r w:rsidR="009B3C72">
        <w:rPr>
          <w:spacing w:val="-2"/>
        </w:rPr>
        <w:t>exhibited growth</w:t>
      </w:r>
      <w:r w:rsidR="00AB75D3" w:rsidRPr="002365D5">
        <w:rPr>
          <w:spacing w:val="-2"/>
        </w:rPr>
        <w:t xml:space="preserve"> throughout the four</w:t>
      </w:r>
      <w:r w:rsidRPr="002365D5">
        <w:rPr>
          <w:spacing w:val="-2"/>
        </w:rPr>
        <w:t>-</w:t>
      </w:r>
      <w:r w:rsidR="00AB75D3" w:rsidRPr="002365D5">
        <w:rPr>
          <w:spacing w:val="-2"/>
        </w:rPr>
        <w:t xml:space="preserve">year </w:t>
      </w:r>
      <w:r w:rsidRPr="002365D5">
        <w:rPr>
          <w:spacing w:val="-2"/>
        </w:rPr>
        <w:t xml:space="preserve">(2007-2011) </w:t>
      </w:r>
      <w:r w:rsidR="00AB75D3" w:rsidRPr="002365D5">
        <w:rPr>
          <w:spacing w:val="-2"/>
        </w:rPr>
        <w:t>crisis period</w:t>
      </w:r>
      <w:r w:rsidRPr="002365D5">
        <w:rPr>
          <w:spacing w:val="-2"/>
        </w:rPr>
        <w:t xml:space="preserve">, </w:t>
      </w:r>
      <w:r w:rsidR="00AB75D3" w:rsidRPr="002365D5">
        <w:rPr>
          <w:spacing w:val="-2"/>
        </w:rPr>
        <w:t xml:space="preserve">with the </w:t>
      </w:r>
      <w:r w:rsidRPr="002365D5">
        <w:rPr>
          <w:spacing w:val="-2"/>
        </w:rPr>
        <w:t xml:space="preserve">respective </w:t>
      </w:r>
      <w:r w:rsidR="00AB75D3" w:rsidRPr="002365D5">
        <w:rPr>
          <w:spacing w:val="-2"/>
        </w:rPr>
        <w:t xml:space="preserve">NPL ratios </w:t>
      </w:r>
      <w:r w:rsidRPr="002365D5">
        <w:rPr>
          <w:spacing w:val="-2"/>
        </w:rPr>
        <w:t xml:space="preserve">in 2011 </w:t>
      </w:r>
      <w:r w:rsidR="00AB75D3" w:rsidRPr="002365D5">
        <w:rPr>
          <w:spacing w:val="-2"/>
        </w:rPr>
        <w:t xml:space="preserve">in Bulgaria, Romania, Latvia and Croatia </w:t>
      </w:r>
      <w:r w:rsidRPr="002365D5">
        <w:rPr>
          <w:spacing w:val="-2"/>
        </w:rPr>
        <w:t xml:space="preserve">being </w:t>
      </w:r>
      <w:r w:rsidR="00AB75D3" w:rsidRPr="002365D5">
        <w:rPr>
          <w:spacing w:val="-2"/>
        </w:rPr>
        <w:t>as high as 16.87</w:t>
      </w:r>
      <w:r w:rsidR="00BF1E98" w:rsidRPr="002365D5">
        <w:rPr>
          <w:spacing w:val="-2"/>
        </w:rPr>
        <w:t xml:space="preserve"> per cent</w:t>
      </w:r>
      <w:r w:rsidR="00AB75D3" w:rsidRPr="002365D5">
        <w:rPr>
          <w:spacing w:val="-2"/>
        </w:rPr>
        <w:t>, 14.3</w:t>
      </w:r>
      <w:r w:rsidR="00BF1E98" w:rsidRPr="002365D5">
        <w:rPr>
          <w:spacing w:val="-2"/>
        </w:rPr>
        <w:t xml:space="preserve"> per cent</w:t>
      </w:r>
      <w:r w:rsidR="00AB75D3" w:rsidRPr="002365D5">
        <w:rPr>
          <w:spacing w:val="-2"/>
        </w:rPr>
        <w:t>, 17.23</w:t>
      </w:r>
      <w:r w:rsidR="00BF1E98" w:rsidRPr="002365D5">
        <w:rPr>
          <w:spacing w:val="-2"/>
        </w:rPr>
        <w:t xml:space="preserve"> per cent</w:t>
      </w:r>
      <w:r w:rsidR="00AB75D3" w:rsidRPr="002365D5">
        <w:rPr>
          <w:spacing w:val="-2"/>
        </w:rPr>
        <w:t xml:space="preserve"> and 12.27</w:t>
      </w:r>
      <w:r w:rsidR="00BF1E98" w:rsidRPr="002365D5">
        <w:rPr>
          <w:spacing w:val="-2"/>
        </w:rPr>
        <w:t xml:space="preserve"> per cent</w:t>
      </w:r>
      <w:r w:rsidRPr="002365D5">
        <w:rPr>
          <w:spacing w:val="-2"/>
        </w:rPr>
        <w:t>;</w:t>
      </w:r>
      <w:r w:rsidR="00AB75D3" w:rsidRPr="002365D5">
        <w:rPr>
          <w:spacing w:val="-2"/>
        </w:rPr>
        <w:t xml:space="preserve"> </w:t>
      </w:r>
      <w:proofErr w:type="spellStart"/>
      <w:r w:rsidRPr="002365D5">
        <w:rPr>
          <w:spacing w:val="-2"/>
        </w:rPr>
        <w:t>Škarica</w:t>
      </w:r>
      <w:proofErr w:type="spellEnd"/>
      <w:r w:rsidRPr="002365D5">
        <w:rPr>
          <w:spacing w:val="-2"/>
        </w:rPr>
        <w:t xml:space="preserve"> </w:t>
      </w:r>
      <w:r w:rsidR="00AB75D3" w:rsidRPr="002365D5">
        <w:rPr>
          <w:spacing w:val="-2"/>
        </w:rPr>
        <w:t xml:space="preserve">concluded </w:t>
      </w:r>
      <w:r w:rsidRPr="002365D5">
        <w:rPr>
          <w:spacing w:val="-2"/>
        </w:rPr>
        <w:t xml:space="preserve">that the </w:t>
      </w:r>
      <w:r w:rsidR="00AB75D3" w:rsidRPr="002365D5">
        <w:rPr>
          <w:spacing w:val="-2"/>
        </w:rPr>
        <w:t xml:space="preserve">high </w:t>
      </w:r>
      <w:r w:rsidRPr="002365D5">
        <w:rPr>
          <w:spacing w:val="-2"/>
        </w:rPr>
        <w:t xml:space="preserve">NPL ratios of these countries </w:t>
      </w:r>
      <w:r w:rsidR="00AB75D3" w:rsidRPr="002365D5">
        <w:rPr>
          <w:spacing w:val="-2"/>
        </w:rPr>
        <w:t>were mainly due to the economic slowdown</w:t>
      </w:r>
      <w:r w:rsidRPr="002365D5">
        <w:rPr>
          <w:spacing w:val="-2"/>
        </w:rPr>
        <w:t xml:space="preserve"> attributable to the sub-prime mortgage crisis</w:t>
      </w:r>
      <w:r w:rsidR="00AB75D3" w:rsidRPr="002365D5">
        <w:rPr>
          <w:spacing w:val="-2"/>
        </w:rPr>
        <w:t xml:space="preserve">. </w:t>
      </w:r>
    </w:p>
    <w:p w14:paraId="130AD43B" w14:textId="2A1680F8" w:rsidR="002365D5" w:rsidRDefault="002365D5" w:rsidP="009F4458">
      <w:pPr>
        <w:spacing w:line="480" w:lineRule="auto"/>
        <w:ind w:firstLine="475"/>
        <w:jc w:val="both"/>
      </w:pPr>
      <w:r>
        <w:rPr>
          <w:spacing w:val="-2"/>
        </w:rPr>
        <w:t>I</w:t>
      </w:r>
      <w:r w:rsidR="00AB75D3" w:rsidRPr="002365D5">
        <w:rPr>
          <w:spacing w:val="-2"/>
        </w:rPr>
        <w:t>n addition to the macroeconomic determinant</w:t>
      </w:r>
      <w:r w:rsidR="00DA6081" w:rsidRPr="002365D5">
        <w:rPr>
          <w:spacing w:val="-2"/>
        </w:rPr>
        <w:t>s</w:t>
      </w:r>
      <w:r w:rsidRPr="002365D5">
        <w:rPr>
          <w:spacing w:val="-2"/>
        </w:rPr>
        <w:t xml:space="preserve"> of non-performing loans</w:t>
      </w:r>
      <w:r w:rsidR="00AB75D3" w:rsidRPr="002365D5">
        <w:rPr>
          <w:spacing w:val="-2"/>
        </w:rPr>
        <w:t>, some studies have tested the determinants of bank characteristics</w:t>
      </w:r>
      <w:r w:rsidR="009B3C72">
        <w:rPr>
          <w:spacing w:val="-2"/>
        </w:rPr>
        <w:t>;</w:t>
      </w:r>
      <w:r w:rsidR="009B3C72" w:rsidRPr="002365D5">
        <w:rPr>
          <w:spacing w:val="-2"/>
        </w:rPr>
        <w:t xml:space="preserve"> for example,</w:t>
      </w:r>
      <w:r w:rsidR="009B3C72">
        <w:rPr>
          <w:spacing w:val="-2"/>
        </w:rPr>
        <w:t xml:space="preserve"> </w:t>
      </w:r>
      <w:proofErr w:type="spellStart"/>
      <w:r w:rsidR="00AB75D3" w:rsidRPr="002365D5">
        <w:rPr>
          <w:spacing w:val="-2"/>
        </w:rPr>
        <w:t>Dimitrios</w:t>
      </w:r>
      <w:proofErr w:type="spellEnd"/>
      <w:r w:rsidR="005E3588" w:rsidRPr="002365D5">
        <w:rPr>
          <w:spacing w:val="-2"/>
        </w:rPr>
        <w:t xml:space="preserve"> </w:t>
      </w:r>
      <w:r w:rsidR="00AB75D3" w:rsidRPr="002365D5">
        <w:rPr>
          <w:spacing w:val="-2"/>
        </w:rPr>
        <w:t>et al. (2016</w:t>
      </w:r>
      <w:r w:rsidR="009B3C72">
        <w:rPr>
          <w:spacing w:val="-2"/>
        </w:rPr>
        <w:t>)</w:t>
      </w:r>
      <w:r w:rsidR="00AB75D3" w:rsidRPr="002365D5">
        <w:rPr>
          <w:spacing w:val="-2"/>
        </w:rPr>
        <w:t xml:space="preserve"> </w:t>
      </w:r>
      <w:r w:rsidRPr="002365D5">
        <w:rPr>
          <w:spacing w:val="-2"/>
        </w:rPr>
        <w:t>noted that</w:t>
      </w:r>
      <w:r w:rsidR="00AB75D3" w:rsidRPr="002365D5">
        <w:rPr>
          <w:spacing w:val="-2"/>
        </w:rPr>
        <w:t xml:space="preserve"> returns o</w:t>
      </w:r>
      <w:r w:rsidRPr="002365D5">
        <w:rPr>
          <w:spacing w:val="-2"/>
        </w:rPr>
        <w:t>n</w:t>
      </w:r>
      <w:r w:rsidR="00AB75D3" w:rsidRPr="002365D5">
        <w:rPr>
          <w:spacing w:val="-2"/>
        </w:rPr>
        <w:t xml:space="preserve"> assets and returns on equity </w:t>
      </w:r>
      <w:r w:rsidRPr="002365D5">
        <w:rPr>
          <w:spacing w:val="-2"/>
        </w:rPr>
        <w:t xml:space="preserve">had </w:t>
      </w:r>
      <w:r w:rsidR="00AB75D3" w:rsidRPr="002365D5">
        <w:rPr>
          <w:spacing w:val="-2"/>
        </w:rPr>
        <w:t xml:space="preserve">negative </w:t>
      </w:r>
      <w:r w:rsidRPr="002365D5">
        <w:rPr>
          <w:spacing w:val="-2"/>
        </w:rPr>
        <w:t>cor</w:t>
      </w:r>
      <w:r w:rsidR="00AB75D3" w:rsidRPr="002365D5">
        <w:rPr>
          <w:spacing w:val="-2"/>
        </w:rPr>
        <w:t>relat</w:t>
      </w:r>
      <w:r w:rsidRPr="002365D5">
        <w:rPr>
          <w:spacing w:val="-2"/>
        </w:rPr>
        <w:t>ions with</w:t>
      </w:r>
      <w:r w:rsidR="00AB75D3" w:rsidRPr="002365D5">
        <w:rPr>
          <w:spacing w:val="-2"/>
        </w:rPr>
        <w:t xml:space="preserve"> the </w:t>
      </w:r>
      <w:r w:rsidRPr="002365D5">
        <w:rPr>
          <w:spacing w:val="-2"/>
        </w:rPr>
        <w:t xml:space="preserve">NPL </w:t>
      </w:r>
      <w:r w:rsidR="00AB75D3" w:rsidRPr="002365D5">
        <w:rPr>
          <w:spacing w:val="-2"/>
        </w:rPr>
        <w:t>level</w:t>
      </w:r>
      <w:r w:rsidRPr="002365D5">
        <w:rPr>
          <w:spacing w:val="-2"/>
        </w:rPr>
        <w:t>s</w:t>
      </w:r>
      <w:r w:rsidR="00AB75D3" w:rsidRPr="002365D5">
        <w:rPr>
          <w:spacing w:val="-2"/>
        </w:rPr>
        <w:t xml:space="preserve"> </w:t>
      </w:r>
      <w:r w:rsidRPr="002365D5">
        <w:rPr>
          <w:spacing w:val="-2"/>
        </w:rPr>
        <w:t>found in</w:t>
      </w:r>
      <w:r w:rsidR="00AB75D3" w:rsidRPr="002365D5">
        <w:rPr>
          <w:spacing w:val="-2"/>
        </w:rPr>
        <w:t xml:space="preserve"> Euro-area countries</w:t>
      </w:r>
      <w:r w:rsidR="009B3C72">
        <w:rPr>
          <w:spacing w:val="-2"/>
        </w:rPr>
        <w:t>, whilst o</w:t>
      </w:r>
      <w:r>
        <w:t>ther r</w:t>
      </w:r>
      <w:r w:rsidR="00AB75D3">
        <w:t xml:space="preserve">ecent studies have </w:t>
      </w:r>
      <w:r>
        <w:t xml:space="preserve">also </w:t>
      </w:r>
      <w:r w:rsidR="00AB75D3">
        <w:t xml:space="preserve">begun to explore the </w:t>
      </w:r>
      <w:r>
        <w:t xml:space="preserve">potential effects of </w:t>
      </w:r>
      <w:r w:rsidR="00AB75D3" w:rsidRPr="00923AE1">
        <w:t>asset prices on bank stability (</w:t>
      </w:r>
      <w:proofErr w:type="spellStart"/>
      <w:r w:rsidR="00AB75D3" w:rsidRPr="00923AE1">
        <w:t>Koeeter</w:t>
      </w:r>
      <w:proofErr w:type="spellEnd"/>
      <w:r w:rsidR="00AB75D3" w:rsidRPr="00923AE1">
        <w:t xml:space="preserve"> and </w:t>
      </w:r>
      <w:proofErr w:type="spellStart"/>
      <w:r w:rsidR="00AB75D3" w:rsidRPr="00923AE1">
        <w:t>Poghosyan</w:t>
      </w:r>
      <w:proofErr w:type="spellEnd"/>
      <w:r w:rsidR="00AB75D3" w:rsidRPr="00923AE1">
        <w:t xml:space="preserve">, 2010; Pan and Wang, 2013). </w:t>
      </w:r>
    </w:p>
    <w:p w14:paraId="78A0E08B" w14:textId="722349AC" w:rsidR="009F4458" w:rsidRDefault="002365D5" w:rsidP="009F4458">
      <w:pPr>
        <w:spacing w:line="480" w:lineRule="auto"/>
        <w:ind w:firstLine="475"/>
        <w:jc w:val="both"/>
      </w:pPr>
      <w:r>
        <w:t>Various</w:t>
      </w:r>
      <w:r w:rsidR="00AB75D3">
        <w:t xml:space="preserve"> studies have shown that </w:t>
      </w:r>
      <w:r w:rsidR="009B3C72">
        <w:t xml:space="preserve">a typical boom and bust in the </w:t>
      </w:r>
      <w:r w:rsidR="00AB75D3">
        <w:t>h</w:t>
      </w:r>
      <w:r w:rsidR="00AB75D3">
        <w:rPr>
          <w:rFonts w:hint="eastAsia"/>
        </w:rPr>
        <w:t xml:space="preserve">ousing market </w:t>
      </w:r>
      <w:r w:rsidR="009B3C72">
        <w:t>can give rise to severe</w:t>
      </w:r>
      <w:r w:rsidR="00AB75D3">
        <w:t xml:space="preserve"> financial instability</w:t>
      </w:r>
      <w:r w:rsidR="009B3C72">
        <w:t>,</w:t>
      </w:r>
      <w:r w:rsidR="00AB75D3">
        <w:t xml:space="preserve"> </w:t>
      </w:r>
      <w:r w:rsidR="009B3C72">
        <w:t xml:space="preserve">which will ultimately have direct impacts on a country’s </w:t>
      </w:r>
      <w:r w:rsidR="00AB75D3">
        <w:t>economic growth</w:t>
      </w:r>
      <w:r w:rsidR="009B3C72">
        <w:t xml:space="preserve"> prospects,</w:t>
      </w:r>
      <w:r w:rsidR="00AB75D3">
        <w:t xml:space="preserve"> </w:t>
      </w:r>
      <w:r w:rsidR="009B3C72">
        <w:t>s</w:t>
      </w:r>
      <w:r w:rsidR="00AB75D3">
        <w:t>ince r</w:t>
      </w:r>
      <w:r w:rsidR="00AB75D3" w:rsidRPr="00777795">
        <w:t>eal estate is frequent</w:t>
      </w:r>
      <w:r w:rsidR="00AB75D3">
        <w:t>ly</w:t>
      </w:r>
      <w:r w:rsidR="00AB75D3" w:rsidRPr="00777795">
        <w:t xml:space="preserve"> used as collateral</w:t>
      </w:r>
      <w:r w:rsidR="00AB75D3">
        <w:t xml:space="preserve"> for loans</w:t>
      </w:r>
      <w:r w:rsidR="00AB75D3" w:rsidRPr="00777795">
        <w:t xml:space="preserve"> (Goodhart and Hofmann, 2007)</w:t>
      </w:r>
      <w:r w:rsidR="00AB75D3">
        <w:t xml:space="preserve"> and </w:t>
      </w:r>
      <w:r w:rsidR="005A7D89" w:rsidRPr="00777795">
        <w:t>housing asset</w:t>
      </w:r>
      <w:r w:rsidR="00AB75D3" w:rsidRPr="00777795">
        <w:t xml:space="preserve"> characteristics </w:t>
      </w:r>
      <w:r w:rsidR="00AB75D3">
        <w:t xml:space="preserve">are </w:t>
      </w:r>
      <w:r w:rsidR="009B3C72">
        <w:t>associated with</w:t>
      </w:r>
      <w:r w:rsidR="00AB75D3" w:rsidRPr="00777795">
        <w:t xml:space="preserve"> the quality of bank loans</w:t>
      </w:r>
      <w:r w:rsidR="00AB75D3">
        <w:t>.</w:t>
      </w:r>
      <w:r w:rsidR="009B3C72">
        <w:rPr>
          <w:rStyle w:val="a5"/>
        </w:rPr>
        <w:footnoteReference w:id="6"/>
      </w:r>
      <w:r w:rsidR="00AB75D3">
        <w:t xml:space="preserve"> </w:t>
      </w:r>
    </w:p>
    <w:p w14:paraId="01B8F288" w14:textId="4448F041" w:rsidR="009B3C72" w:rsidRDefault="009B3C72" w:rsidP="005E3588">
      <w:pPr>
        <w:spacing w:line="480" w:lineRule="auto"/>
        <w:ind w:firstLine="475"/>
        <w:jc w:val="both"/>
      </w:pPr>
      <w:r>
        <w:t>From an examination of</w:t>
      </w:r>
      <w:r w:rsidR="00AB75D3">
        <w:t xml:space="preserve"> </w:t>
      </w:r>
      <w:r>
        <w:t xml:space="preserve">1999-2012 </w:t>
      </w:r>
      <w:r w:rsidR="00AB75D3" w:rsidRPr="00781393">
        <w:t>sample</w:t>
      </w:r>
      <w:r>
        <w:t xml:space="preserve"> data on</w:t>
      </w:r>
      <w:r w:rsidR="00AB75D3">
        <w:t xml:space="preserve"> US banks</w:t>
      </w:r>
      <w:r>
        <w:t>,</w:t>
      </w:r>
      <w:r w:rsidR="00AB75D3">
        <w:t xml:space="preserve"> </w:t>
      </w:r>
      <w:r w:rsidRPr="004801D9">
        <w:t xml:space="preserve">Tajik, </w:t>
      </w:r>
      <w:proofErr w:type="spellStart"/>
      <w:r w:rsidRPr="004801D9">
        <w:t>Aliakbari</w:t>
      </w:r>
      <w:proofErr w:type="spellEnd"/>
      <w:r w:rsidRPr="004801D9">
        <w:t xml:space="preserve">, </w:t>
      </w:r>
      <w:proofErr w:type="spellStart"/>
      <w:r w:rsidRPr="004801D9">
        <w:t>Ghalia</w:t>
      </w:r>
      <w:proofErr w:type="spellEnd"/>
      <w:r w:rsidRPr="004801D9">
        <w:t xml:space="preserve"> and </w:t>
      </w:r>
      <w:proofErr w:type="spellStart"/>
      <w:r w:rsidRPr="004801D9">
        <w:t>Kaffash</w:t>
      </w:r>
      <w:proofErr w:type="spellEnd"/>
      <w:r>
        <w:t xml:space="preserve">, (2015) </w:t>
      </w:r>
      <w:r w:rsidR="00AB75D3">
        <w:t xml:space="preserve">found </w:t>
      </w:r>
      <w:r>
        <w:t xml:space="preserve">that </w:t>
      </w:r>
      <w:r w:rsidR="00AB75D3">
        <w:t>h</w:t>
      </w:r>
      <w:r w:rsidR="00AB75D3" w:rsidRPr="00781393">
        <w:t>ouse price fluctuations significantly affect</w:t>
      </w:r>
      <w:r>
        <w:t>ed</w:t>
      </w:r>
      <w:r w:rsidR="00AB75D3" w:rsidRPr="00781393">
        <w:t xml:space="preserve"> the evolution of NPL</w:t>
      </w:r>
      <w:r>
        <w:t>s</w:t>
      </w:r>
      <w:r w:rsidR="00AB75D3">
        <w:t xml:space="preserve">, </w:t>
      </w:r>
      <w:r>
        <w:t>with</w:t>
      </w:r>
      <w:r w:rsidR="00AB75D3">
        <w:t xml:space="preserve"> t</w:t>
      </w:r>
      <w:r w:rsidR="00AB75D3" w:rsidRPr="00781393">
        <w:t xml:space="preserve">he impact of house prices </w:t>
      </w:r>
      <w:r>
        <w:t>being found to vary</w:t>
      </w:r>
      <w:r w:rsidR="00AB75D3" w:rsidRPr="00781393">
        <w:t xml:space="preserve"> across </w:t>
      </w:r>
      <w:r>
        <w:t xml:space="preserve">different </w:t>
      </w:r>
      <w:r w:rsidR="00AB75D3" w:rsidRPr="00781393">
        <w:t xml:space="preserve">loan categories and </w:t>
      </w:r>
      <w:r w:rsidRPr="00781393">
        <w:t xml:space="preserve">types </w:t>
      </w:r>
      <w:r>
        <w:t xml:space="preserve">of </w:t>
      </w:r>
      <w:r w:rsidR="00AB75D3" w:rsidRPr="00781393">
        <w:t>bank</w:t>
      </w:r>
      <w:r>
        <w:t>s</w:t>
      </w:r>
      <w:r w:rsidR="00AB75D3" w:rsidRPr="00781393">
        <w:t>.</w:t>
      </w:r>
      <w:r w:rsidR="00AB75D3">
        <w:t xml:space="preserve"> They also </w:t>
      </w:r>
      <w:r>
        <w:t>no</w:t>
      </w:r>
      <w:r w:rsidR="00AB75D3">
        <w:t xml:space="preserve">ted </w:t>
      </w:r>
      <w:r>
        <w:t xml:space="preserve">that </w:t>
      </w:r>
      <w:r w:rsidR="00AB75D3">
        <w:t>N</w:t>
      </w:r>
      <w:r w:rsidR="00AB75D3" w:rsidRPr="00781393">
        <w:t>PL</w:t>
      </w:r>
      <w:r w:rsidR="00AB75D3">
        <w:t>s</w:t>
      </w:r>
      <w:r w:rsidR="00AB75D3" w:rsidRPr="00781393">
        <w:t xml:space="preserve"> </w:t>
      </w:r>
      <w:r>
        <w:t>we</w:t>
      </w:r>
      <w:r w:rsidR="00AB75D3" w:rsidRPr="00781393">
        <w:t xml:space="preserve">re more sensitive to house price fluctuations during </w:t>
      </w:r>
      <w:r>
        <w:t xml:space="preserve">a period of </w:t>
      </w:r>
      <w:r w:rsidR="00AB75D3">
        <w:t xml:space="preserve">economic </w:t>
      </w:r>
      <w:r w:rsidR="00AB75D3" w:rsidRPr="00781393">
        <w:t>downturn.</w:t>
      </w:r>
      <w:r w:rsidR="005E3588">
        <w:t xml:space="preserve"> </w:t>
      </w:r>
    </w:p>
    <w:p w14:paraId="701ACA6A" w14:textId="684D200B" w:rsidR="005E3588" w:rsidRPr="0075757E" w:rsidRDefault="00AB75D3" w:rsidP="005E3588">
      <w:pPr>
        <w:spacing w:line="480" w:lineRule="auto"/>
        <w:ind w:firstLine="475"/>
        <w:jc w:val="both"/>
        <w:rPr>
          <w:spacing w:val="-2"/>
        </w:rPr>
      </w:pPr>
      <w:r w:rsidRPr="0075757E">
        <w:rPr>
          <w:spacing w:val="-2"/>
        </w:rPr>
        <w:t>The interactions between house price</w:t>
      </w:r>
      <w:r w:rsidR="0075757E" w:rsidRPr="0075757E">
        <w:rPr>
          <w:spacing w:val="-2"/>
        </w:rPr>
        <w:t>s</w:t>
      </w:r>
      <w:r w:rsidRPr="0075757E">
        <w:rPr>
          <w:spacing w:val="-2"/>
        </w:rPr>
        <w:t xml:space="preserve"> and NPLs have been empirically tested </w:t>
      </w:r>
      <w:r w:rsidR="0075757E" w:rsidRPr="0075757E">
        <w:rPr>
          <w:spacing w:val="-2"/>
        </w:rPr>
        <w:t>in various studies, resulting in these</w:t>
      </w:r>
      <w:r w:rsidRPr="0075757E">
        <w:rPr>
          <w:spacing w:val="-2"/>
        </w:rPr>
        <w:t xml:space="preserve"> relationships </w:t>
      </w:r>
      <w:r w:rsidR="0075757E" w:rsidRPr="0075757E">
        <w:rPr>
          <w:spacing w:val="-2"/>
        </w:rPr>
        <w:t>being</w:t>
      </w:r>
      <w:r w:rsidRPr="0075757E">
        <w:rPr>
          <w:spacing w:val="-2"/>
        </w:rPr>
        <w:t xml:space="preserve"> interpreted </w:t>
      </w:r>
      <w:r w:rsidR="0075757E" w:rsidRPr="0075757E">
        <w:rPr>
          <w:spacing w:val="-2"/>
        </w:rPr>
        <w:t>from</w:t>
      </w:r>
      <w:r w:rsidRPr="0075757E">
        <w:rPr>
          <w:spacing w:val="-2"/>
        </w:rPr>
        <w:t xml:space="preserve"> different perspectives</w:t>
      </w:r>
      <w:r w:rsidR="0075757E" w:rsidRPr="0075757E">
        <w:rPr>
          <w:spacing w:val="-2"/>
        </w:rPr>
        <w:t>; and indeed, t</w:t>
      </w:r>
      <w:r w:rsidRPr="0075757E">
        <w:rPr>
          <w:spacing w:val="-2"/>
        </w:rPr>
        <w:t xml:space="preserve">here are two contrasting views on </w:t>
      </w:r>
      <w:r w:rsidR="0075757E" w:rsidRPr="0075757E">
        <w:rPr>
          <w:spacing w:val="-2"/>
        </w:rPr>
        <w:t>the ways in which</w:t>
      </w:r>
      <w:r w:rsidRPr="0075757E">
        <w:rPr>
          <w:spacing w:val="-2"/>
        </w:rPr>
        <w:t xml:space="preserve"> housing prices </w:t>
      </w:r>
      <w:r w:rsidR="0075757E" w:rsidRPr="0075757E">
        <w:rPr>
          <w:spacing w:val="-2"/>
        </w:rPr>
        <w:t>can</w:t>
      </w:r>
      <w:r w:rsidRPr="0075757E">
        <w:rPr>
          <w:spacing w:val="-2"/>
        </w:rPr>
        <w:t xml:space="preserve"> affect bank loans. One view </w:t>
      </w:r>
      <w:r w:rsidR="0075757E" w:rsidRPr="0075757E">
        <w:rPr>
          <w:spacing w:val="-2"/>
        </w:rPr>
        <w:t>posits that</w:t>
      </w:r>
      <w:r w:rsidRPr="0075757E">
        <w:rPr>
          <w:spacing w:val="-2"/>
        </w:rPr>
        <w:t xml:space="preserve"> rising </w:t>
      </w:r>
      <w:r w:rsidR="0075757E" w:rsidRPr="0075757E">
        <w:rPr>
          <w:spacing w:val="-2"/>
        </w:rPr>
        <w:t xml:space="preserve">house </w:t>
      </w:r>
      <w:r w:rsidRPr="0075757E">
        <w:rPr>
          <w:spacing w:val="-2"/>
        </w:rPr>
        <w:t>price</w:t>
      </w:r>
      <w:r w:rsidR="0075757E" w:rsidRPr="0075757E">
        <w:rPr>
          <w:spacing w:val="-2"/>
        </w:rPr>
        <w:t>s</w:t>
      </w:r>
      <w:r w:rsidRPr="0075757E">
        <w:rPr>
          <w:spacing w:val="-2"/>
        </w:rPr>
        <w:t xml:space="preserve"> can increase </w:t>
      </w:r>
      <w:r w:rsidR="0075757E" w:rsidRPr="0075757E">
        <w:rPr>
          <w:spacing w:val="-2"/>
        </w:rPr>
        <w:t xml:space="preserve">collateral </w:t>
      </w:r>
      <w:r w:rsidRPr="0075757E">
        <w:rPr>
          <w:spacing w:val="-2"/>
        </w:rPr>
        <w:t>value</w:t>
      </w:r>
      <w:r w:rsidR="0075757E" w:rsidRPr="0075757E">
        <w:rPr>
          <w:spacing w:val="-2"/>
        </w:rPr>
        <w:t>, thereby</w:t>
      </w:r>
      <w:r w:rsidRPr="0075757E">
        <w:rPr>
          <w:spacing w:val="-2"/>
        </w:rPr>
        <w:t xml:space="preserve"> improv</w:t>
      </w:r>
      <w:r w:rsidR="0075757E" w:rsidRPr="0075757E">
        <w:rPr>
          <w:spacing w:val="-2"/>
        </w:rPr>
        <w:t>ing</w:t>
      </w:r>
      <w:r w:rsidRPr="0075757E">
        <w:rPr>
          <w:spacing w:val="-2"/>
        </w:rPr>
        <w:t xml:space="preserve"> the </w:t>
      </w:r>
      <w:r w:rsidR="0075757E" w:rsidRPr="0075757E">
        <w:rPr>
          <w:spacing w:val="-2"/>
        </w:rPr>
        <w:t xml:space="preserve">ability of </w:t>
      </w:r>
      <w:r w:rsidRPr="0075757E">
        <w:rPr>
          <w:spacing w:val="-2"/>
        </w:rPr>
        <w:t xml:space="preserve">borrowers to </w:t>
      </w:r>
      <w:r w:rsidR="0075757E" w:rsidRPr="0075757E">
        <w:rPr>
          <w:spacing w:val="-2"/>
        </w:rPr>
        <w:t xml:space="preserve">engage in mortgage </w:t>
      </w:r>
      <w:r w:rsidRPr="0075757E">
        <w:rPr>
          <w:spacing w:val="-2"/>
        </w:rPr>
        <w:t>refinanc</w:t>
      </w:r>
      <w:r w:rsidR="0075757E" w:rsidRPr="0075757E">
        <w:rPr>
          <w:spacing w:val="-2"/>
        </w:rPr>
        <w:t>ing whilst simultaneously</w:t>
      </w:r>
      <w:r w:rsidRPr="0075757E">
        <w:rPr>
          <w:spacing w:val="-2"/>
        </w:rPr>
        <w:t xml:space="preserve"> reduc</w:t>
      </w:r>
      <w:r w:rsidR="0075757E" w:rsidRPr="0075757E">
        <w:rPr>
          <w:spacing w:val="-2"/>
        </w:rPr>
        <w:t>ing</w:t>
      </w:r>
      <w:r w:rsidRPr="0075757E">
        <w:rPr>
          <w:spacing w:val="-2"/>
        </w:rPr>
        <w:t xml:space="preserve"> the risk of default (</w:t>
      </w:r>
      <w:proofErr w:type="spellStart"/>
      <w:r w:rsidRPr="0075757E">
        <w:rPr>
          <w:spacing w:val="-2"/>
        </w:rPr>
        <w:t>Kiyotaki</w:t>
      </w:r>
      <w:proofErr w:type="spellEnd"/>
      <w:r w:rsidRPr="0075757E">
        <w:rPr>
          <w:spacing w:val="-2"/>
        </w:rPr>
        <w:t xml:space="preserve"> and Moore, </w:t>
      </w:r>
      <w:proofErr w:type="gramStart"/>
      <w:r w:rsidRPr="0075757E">
        <w:rPr>
          <w:spacing w:val="-2"/>
        </w:rPr>
        <w:t>1997</w:t>
      </w:r>
      <w:r w:rsidR="00DF7636">
        <w:rPr>
          <w:spacing w:val="-2"/>
        </w:rPr>
        <w:t>;</w:t>
      </w:r>
      <w:r w:rsidR="004425A3">
        <w:rPr>
          <w:spacing w:val="-2"/>
        </w:rPr>
        <w:t>Wan</w:t>
      </w:r>
      <w:proofErr w:type="gramEnd"/>
      <w:r w:rsidR="004425A3">
        <w:rPr>
          <w:spacing w:val="-2"/>
        </w:rPr>
        <w:t xml:space="preserve"> 2018</w:t>
      </w:r>
      <w:r w:rsidRPr="0075757E">
        <w:rPr>
          <w:spacing w:val="-2"/>
        </w:rPr>
        <w:t xml:space="preserve">). According to this view, higher </w:t>
      </w:r>
      <w:r w:rsidR="0075757E" w:rsidRPr="0075757E">
        <w:rPr>
          <w:spacing w:val="-2"/>
        </w:rPr>
        <w:t xml:space="preserve">real estate </w:t>
      </w:r>
      <w:r w:rsidRPr="0075757E">
        <w:rPr>
          <w:spacing w:val="-2"/>
        </w:rPr>
        <w:t>price</w:t>
      </w:r>
      <w:r w:rsidR="0075757E" w:rsidRPr="0075757E">
        <w:rPr>
          <w:spacing w:val="-2"/>
        </w:rPr>
        <w:t>s</w:t>
      </w:r>
      <w:r w:rsidRPr="0075757E">
        <w:rPr>
          <w:spacing w:val="-2"/>
        </w:rPr>
        <w:t xml:space="preserve"> will enhance bank stability, </w:t>
      </w:r>
      <w:r w:rsidR="0075757E" w:rsidRPr="0075757E">
        <w:rPr>
          <w:spacing w:val="-2"/>
        </w:rPr>
        <w:t>which</w:t>
      </w:r>
      <w:r w:rsidRPr="0075757E">
        <w:rPr>
          <w:spacing w:val="-2"/>
        </w:rPr>
        <w:t xml:space="preserve"> implies </w:t>
      </w:r>
      <w:r w:rsidR="0075757E" w:rsidRPr="0075757E">
        <w:rPr>
          <w:spacing w:val="-2"/>
        </w:rPr>
        <w:t xml:space="preserve">a </w:t>
      </w:r>
      <w:r w:rsidRPr="0075757E">
        <w:rPr>
          <w:spacing w:val="-2"/>
        </w:rPr>
        <w:t>negative relationship between house price</w:t>
      </w:r>
      <w:r w:rsidR="0075757E" w:rsidRPr="0075757E">
        <w:rPr>
          <w:spacing w:val="-2"/>
        </w:rPr>
        <w:t>s</w:t>
      </w:r>
      <w:r w:rsidRPr="0075757E">
        <w:rPr>
          <w:spacing w:val="-2"/>
        </w:rPr>
        <w:t xml:space="preserve"> and </w:t>
      </w:r>
      <w:r w:rsidR="0075757E" w:rsidRPr="0075757E">
        <w:rPr>
          <w:spacing w:val="-2"/>
        </w:rPr>
        <w:t xml:space="preserve">NPL </w:t>
      </w:r>
      <w:r w:rsidRPr="0075757E">
        <w:rPr>
          <w:spacing w:val="-2"/>
        </w:rPr>
        <w:t>ratio</w:t>
      </w:r>
      <w:r w:rsidR="0075757E" w:rsidRPr="0075757E">
        <w:rPr>
          <w:spacing w:val="-2"/>
        </w:rPr>
        <w:t>s</w:t>
      </w:r>
      <w:r w:rsidRPr="0075757E">
        <w:rPr>
          <w:spacing w:val="-2"/>
        </w:rPr>
        <w:t>.</w:t>
      </w:r>
      <w:r w:rsidR="0075757E" w:rsidRPr="0075757E">
        <w:rPr>
          <w:rStyle w:val="a5"/>
          <w:spacing w:val="-2"/>
        </w:rPr>
        <w:footnoteReference w:id="7"/>
      </w:r>
      <w:r w:rsidRPr="0075757E">
        <w:rPr>
          <w:spacing w:val="-2"/>
        </w:rPr>
        <w:t xml:space="preserve"> </w:t>
      </w:r>
    </w:p>
    <w:p w14:paraId="2CFDEA3B" w14:textId="48F0A9C9" w:rsidR="001631C2" w:rsidRDefault="00AB75D3" w:rsidP="005E3588">
      <w:pPr>
        <w:spacing w:line="480" w:lineRule="auto"/>
        <w:ind w:firstLine="475"/>
        <w:jc w:val="both"/>
      </w:pPr>
      <w:r>
        <w:t xml:space="preserve">The </w:t>
      </w:r>
      <w:r w:rsidR="0075757E">
        <w:t>alternative</w:t>
      </w:r>
      <w:r>
        <w:t xml:space="preserve"> viewpoint </w:t>
      </w:r>
      <w:r w:rsidR="0075757E">
        <w:t>argues that</w:t>
      </w:r>
      <w:r>
        <w:t xml:space="preserve"> rising </w:t>
      </w:r>
      <w:r w:rsidR="0075757E">
        <w:t xml:space="preserve">house </w:t>
      </w:r>
      <w:r>
        <w:t>price</w:t>
      </w:r>
      <w:r w:rsidR="0075757E">
        <w:t>s</w:t>
      </w:r>
      <w:r>
        <w:t xml:space="preserve"> may induce perverse incentives or moral hazard </w:t>
      </w:r>
      <w:r w:rsidR="0075757E">
        <w:t>leading to</w:t>
      </w:r>
      <w:r>
        <w:t xml:space="preserve"> excess</w:t>
      </w:r>
      <w:r w:rsidR="0075757E">
        <w:t>ive</w:t>
      </w:r>
      <w:r>
        <w:t xml:space="preserve"> lending from the banks and </w:t>
      </w:r>
      <w:r w:rsidR="0075757E">
        <w:t xml:space="preserve">more betting by </w:t>
      </w:r>
      <w:r>
        <w:t xml:space="preserve">speculators on the </w:t>
      </w:r>
      <w:r w:rsidR="0075757E">
        <w:t xml:space="preserve">related </w:t>
      </w:r>
      <w:r>
        <w:t xml:space="preserve">assets </w:t>
      </w:r>
      <w:r w:rsidRPr="004801D9">
        <w:t>(</w:t>
      </w:r>
      <w:r w:rsidR="007C026D" w:rsidRPr="004801D9">
        <w:t>Evans</w:t>
      </w:r>
      <w:r w:rsidR="005E3588" w:rsidRPr="004801D9">
        <w:t xml:space="preserve"> et al.</w:t>
      </w:r>
      <w:r w:rsidR="007C026D" w:rsidRPr="004801D9">
        <w:t xml:space="preserve">, </w:t>
      </w:r>
      <w:r w:rsidRPr="004801D9">
        <w:t>200</w:t>
      </w:r>
      <w:r w:rsidR="005E3588" w:rsidRPr="004801D9">
        <w:t xml:space="preserve">0; </w:t>
      </w:r>
      <w:proofErr w:type="spellStart"/>
      <w:r w:rsidR="005E3588">
        <w:t>Dell’Ariccia</w:t>
      </w:r>
      <w:proofErr w:type="spellEnd"/>
      <w:r w:rsidR="005E3588">
        <w:t xml:space="preserve"> and Marquez, 2006</w:t>
      </w:r>
      <w:r>
        <w:t>). According to this view, higher house price</w:t>
      </w:r>
      <w:r w:rsidR="0075757E">
        <w:t>s</w:t>
      </w:r>
      <w:r>
        <w:t xml:space="preserve"> may </w:t>
      </w:r>
      <w:r w:rsidR="0075757E">
        <w:t>create greater</w:t>
      </w:r>
      <w:r>
        <w:t xml:space="preserve"> information asymmetry</w:t>
      </w:r>
      <w:r w:rsidR="0075757E">
        <w:t>,</w:t>
      </w:r>
      <w:r>
        <w:t xml:space="preserve"> </w:t>
      </w:r>
      <w:r w:rsidR="0075757E">
        <w:t xml:space="preserve">which could result in </w:t>
      </w:r>
      <w:r>
        <w:t>banks hold</w:t>
      </w:r>
      <w:r w:rsidR="0075757E">
        <w:t>ing</w:t>
      </w:r>
      <w:r>
        <w:t xml:space="preserve"> </w:t>
      </w:r>
      <w:r w:rsidR="0075757E">
        <w:t>greater levels of</w:t>
      </w:r>
      <w:r>
        <w:t xml:space="preserve"> risky assets, </w:t>
      </w:r>
      <w:r w:rsidR="0075757E">
        <w:t xml:space="preserve">with such </w:t>
      </w:r>
      <w:r>
        <w:t xml:space="preserve">higher </w:t>
      </w:r>
      <w:r w:rsidR="0075757E">
        <w:t xml:space="preserve">real estate </w:t>
      </w:r>
      <w:r>
        <w:t>price</w:t>
      </w:r>
      <w:r w:rsidR="0075757E">
        <w:t>s</w:t>
      </w:r>
      <w:r>
        <w:t xml:space="preserve"> </w:t>
      </w:r>
      <w:r w:rsidR="0075757E">
        <w:t>ultimately leading to an</w:t>
      </w:r>
      <w:r>
        <w:t xml:space="preserve"> </w:t>
      </w:r>
      <w:r w:rsidR="0075757E">
        <w:t>increase</w:t>
      </w:r>
      <w:r>
        <w:t xml:space="preserve"> </w:t>
      </w:r>
      <w:r w:rsidR="0075757E">
        <w:t xml:space="preserve">in the level of instability in the </w:t>
      </w:r>
      <w:r>
        <w:t>bank</w:t>
      </w:r>
      <w:r w:rsidR="0075757E">
        <w:t>s</w:t>
      </w:r>
      <w:r>
        <w:t xml:space="preserve">. </w:t>
      </w:r>
      <w:r w:rsidR="0075757E">
        <w:t>This perspective</w:t>
      </w:r>
      <w:r>
        <w:t xml:space="preserve"> </w:t>
      </w:r>
      <w:r w:rsidR="0075757E">
        <w:t xml:space="preserve">therefore clearly </w:t>
      </w:r>
      <w:r>
        <w:t xml:space="preserve">implies </w:t>
      </w:r>
      <w:r w:rsidR="0075757E">
        <w:t xml:space="preserve">a </w:t>
      </w:r>
      <w:r>
        <w:t>positive relationship between house price</w:t>
      </w:r>
      <w:r w:rsidR="0075757E">
        <w:t>s</w:t>
      </w:r>
      <w:r>
        <w:t xml:space="preserve"> and </w:t>
      </w:r>
      <w:r w:rsidR="0075757E">
        <w:t>NPL</w:t>
      </w:r>
      <w:r>
        <w:t xml:space="preserve"> ratio</w:t>
      </w:r>
      <w:r w:rsidR="0075757E">
        <w:t>s</w:t>
      </w:r>
      <w:r>
        <w:t>.</w:t>
      </w:r>
      <w:r w:rsidR="005E3588">
        <w:t xml:space="preserve"> </w:t>
      </w:r>
    </w:p>
    <w:p w14:paraId="7A3D2DC3" w14:textId="240F9EAB" w:rsidR="00924264" w:rsidRDefault="0075757E" w:rsidP="005E3588">
      <w:pPr>
        <w:spacing w:line="480" w:lineRule="auto"/>
        <w:ind w:firstLine="475"/>
        <w:jc w:val="both"/>
      </w:pPr>
      <w:r>
        <w:t>From their examination of the relationship between house prices and loan quality in the US</w:t>
      </w:r>
      <w:r w:rsidR="00924264">
        <w:t>,</w:t>
      </w:r>
      <w:r w:rsidRPr="002E6155">
        <w:t xml:space="preserve"> </w:t>
      </w:r>
      <w:r w:rsidR="00AB75D3" w:rsidRPr="002E6155">
        <w:t>Tajik et al. (2015)</w:t>
      </w:r>
      <w:r w:rsidR="00924264">
        <w:t xml:space="preserve"> indicated that</w:t>
      </w:r>
      <w:r w:rsidR="00AB75D3">
        <w:t xml:space="preserve"> </w:t>
      </w:r>
      <w:r w:rsidR="00924264">
        <w:t xml:space="preserve">fluctuations in </w:t>
      </w:r>
      <w:r w:rsidR="00AB75D3">
        <w:t>house prices</w:t>
      </w:r>
      <w:r w:rsidR="00924264">
        <w:t xml:space="preserve"> at state level were </w:t>
      </w:r>
      <w:r w:rsidR="00AB75D3">
        <w:t xml:space="preserve">negatively related to changes </w:t>
      </w:r>
      <w:r w:rsidR="00924264">
        <w:t>in</w:t>
      </w:r>
      <w:r w:rsidR="00AB75D3">
        <w:t xml:space="preserve"> NPL</w:t>
      </w:r>
      <w:r w:rsidR="00924264">
        <w:t xml:space="preserve"> ratios, whilst other studies</w:t>
      </w:r>
      <w:r w:rsidR="00AB75D3">
        <w:t xml:space="preserve"> emphasize the impacts of house price deviations from the</w:t>
      </w:r>
      <w:r w:rsidR="00924264">
        <w:t>ir</w:t>
      </w:r>
      <w:r w:rsidR="00AB75D3">
        <w:t xml:space="preserve"> fundamental value</w:t>
      </w:r>
      <w:r w:rsidR="00924264">
        <w:t xml:space="preserve">; that </w:t>
      </w:r>
      <w:r w:rsidR="00924264" w:rsidRPr="00924264">
        <w:t>is, the creation of a</w:t>
      </w:r>
      <w:r w:rsidR="00AB75D3" w:rsidRPr="00924264">
        <w:t xml:space="preserve"> </w:t>
      </w:r>
      <w:r w:rsidR="00924264">
        <w:t>‘</w:t>
      </w:r>
      <w:r w:rsidR="00AB75D3" w:rsidRPr="00924264">
        <w:t>housing bubble</w:t>
      </w:r>
      <w:r w:rsidR="00924264">
        <w:t>’</w:t>
      </w:r>
      <w:r w:rsidR="00AB75D3" w:rsidRPr="00924264">
        <w:t xml:space="preserve">. </w:t>
      </w:r>
    </w:p>
    <w:p w14:paraId="7FC7E57C" w14:textId="0646D9AC" w:rsidR="005E3588" w:rsidRDefault="00AB75D3" w:rsidP="005E3588">
      <w:pPr>
        <w:spacing w:line="480" w:lineRule="auto"/>
        <w:ind w:firstLine="475"/>
        <w:jc w:val="both"/>
      </w:pPr>
      <w:r w:rsidRPr="00924264">
        <w:t xml:space="preserve">According to </w:t>
      </w:r>
      <w:proofErr w:type="spellStart"/>
      <w:r w:rsidRPr="00924264">
        <w:t>Koetter</w:t>
      </w:r>
      <w:proofErr w:type="spellEnd"/>
      <w:r w:rsidRPr="00924264">
        <w:t xml:space="preserve"> and </w:t>
      </w:r>
      <w:proofErr w:type="spellStart"/>
      <w:r w:rsidRPr="00924264">
        <w:t>Poghosya</w:t>
      </w:r>
      <w:proofErr w:type="spellEnd"/>
      <w:r w:rsidRPr="00924264">
        <w:t xml:space="preserve"> (2010), </w:t>
      </w:r>
      <w:r w:rsidR="00924264">
        <w:t>any increase in</w:t>
      </w:r>
      <w:r>
        <w:t xml:space="preserve"> deviations from the fundamental </w:t>
      </w:r>
      <w:r w:rsidR="00924264">
        <w:t xml:space="preserve">value of properties </w:t>
      </w:r>
      <w:r>
        <w:t xml:space="preserve">will </w:t>
      </w:r>
      <w:r w:rsidR="00924264">
        <w:t>give rise to</w:t>
      </w:r>
      <w:r>
        <w:t xml:space="preserve"> problems of moral hazard and adverse selection</w:t>
      </w:r>
      <w:r w:rsidR="00924264">
        <w:t>,</w:t>
      </w:r>
      <w:r>
        <w:t xml:space="preserve"> </w:t>
      </w:r>
      <w:r w:rsidR="00924264">
        <w:t>which</w:t>
      </w:r>
      <w:r>
        <w:t xml:space="preserve"> can </w:t>
      </w:r>
      <w:r w:rsidR="00924264">
        <w:t xml:space="preserve">clearly </w:t>
      </w:r>
      <w:r>
        <w:t xml:space="preserve">increase the probability of loan default, and </w:t>
      </w:r>
      <w:r w:rsidR="00924264">
        <w:t xml:space="preserve">indeed, </w:t>
      </w:r>
      <w:r>
        <w:t xml:space="preserve">their study </w:t>
      </w:r>
      <w:r w:rsidR="00924264">
        <w:t xml:space="preserve">identified an obvious </w:t>
      </w:r>
      <w:r>
        <w:t xml:space="preserve">positive relationship between deviations </w:t>
      </w:r>
      <w:r w:rsidR="00924264">
        <w:t>in</w:t>
      </w:r>
      <w:r>
        <w:t xml:space="preserve"> house price</w:t>
      </w:r>
      <w:r w:rsidR="00924264">
        <w:t>s</w:t>
      </w:r>
      <w:r>
        <w:t xml:space="preserve"> and </w:t>
      </w:r>
      <w:r w:rsidR="00924264">
        <w:t>NPL</w:t>
      </w:r>
      <w:r>
        <w:t xml:space="preserve"> ratios. </w:t>
      </w:r>
      <w:r w:rsidRPr="00B974B2">
        <w:t xml:space="preserve">Pan and Wang (2013) </w:t>
      </w:r>
      <w:r w:rsidR="00924264">
        <w:t>carried out a</w:t>
      </w:r>
      <w:r w:rsidRPr="00B974B2">
        <w:t xml:space="preserve"> similar </w:t>
      </w:r>
      <w:r>
        <w:t xml:space="preserve">empirical </w:t>
      </w:r>
      <w:r w:rsidR="00924264">
        <w:t>study</w:t>
      </w:r>
      <w:r w:rsidRPr="00B974B2">
        <w:t xml:space="preserve"> </w:t>
      </w:r>
      <w:r w:rsidR="00924264" w:rsidRPr="00B974B2">
        <w:t xml:space="preserve">on US </w:t>
      </w:r>
      <w:r w:rsidR="00924264">
        <w:t>Metropolitan Statistical Areas</w:t>
      </w:r>
      <w:r w:rsidR="001631C2">
        <w:t>,</w:t>
      </w:r>
      <w:r w:rsidR="00924264" w:rsidRPr="00B974B2">
        <w:t xml:space="preserve"> </w:t>
      </w:r>
      <w:r w:rsidR="00924264">
        <w:t>based upon</w:t>
      </w:r>
      <w:r w:rsidRPr="00B974B2">
        <w:t xml:space="preserve"> a threshold model</w:t>
      </w:r>
      <w:r w:rsidR="00924264">
        <w:t>,</w:t>
      </w:r>
      <w:r w:rsidRPr="00B974B2">
        <w:t xml:space="preserve"> and </w:t>
      </w:r>
      <w:r>
        <w:t xml:space="preserve">found </w:t>
      </w:r>
      <w:r w:rsidR="00924264">
        <w:t xml:space="preserve">that </w:t>
      </w:r>
      <w:r w:rsidR="00924264" w:rsidRPr="00B974B2">
        <w:t>hous</w:t>
      </w:r>
      <w:r w:rsidR="00924264">
        <w:t>e</w:t>
      </w:r>
      <w:r w:rsidR="00924264" w:rsidRPr="00B974B2">
        <w:t xml:space="preserve"> price</w:t>
      </w:r>
      <w:r w:rsidR="00924264">
        <w:t xml:space="preserve"> deviations were likely to </w:t>
      </w:r>
      <w:r w:rsidR="00924264" w:rsidRPr="00B974B2">
        <w:t xml:space="preserve">reduce </w:t>
      </w:r>
      <w:r w:rsidR="00924264">
        <w:t xml:space="preserve">(increase) </w:t>
      </w:r>
      <w:r w:rsidR="00924264" w:rsidRPr="00B974B2">
        <w:t>NPL</w:t>
      </w:r>
      <w:r w:rsidR="00924264">
        <w:t xml:space="preserve"> ratio</w:t>
      </w:r>
      <w:r w:rsidR="00924264" w:rsidRPr="00B974B2">
        <w:t xml:space="preserve">s </w:t>
      </w:r>
      <w:r w:rsidRPr="00B974B2">
        <w:t>in area</w:t>
      </w:r>
      <w:r>
        <w:t>s</w:t>
      </w:r>
      <w:r w:rsidRPr="00B974B2">
        <w:t xml:space="preserve"> with higher </w:t>
      </w:r>
      <w:r w:rsidR="00924264">
        <w:t xml:space="preserve">(lower) </w:t>
      </w:r>
      <w:r w:rsidRPr="00B974B2">
        <w:t>income growth.</w:t>
      </w:r>
    </w:p>
    <w:p w14:paraId="43DED71E" w14:textId="693778E9" w:rsidR="00F77CBB" w:rsidRDefault="00924264" w:rsidP="005E3588">
      <w:pPr>
        <w:spacing w:line="480" w:lineRule="auto"/>
        <w:ind w:firstLine="475"/>
        <w:jc w:val="both"/>
      </w:pPr>
      <w:r>
        <w:t>Significant e</w:t>
      </w:r>
      <w:r w:rsidR="00AB75D3">
        <w:t>vidence</w:t>
      </w:r>
      <w:r>
        <w:t xml:space="preserve"> has been provided to </w:t>
      </w:r>
      <w:r w:rsidR="00AB75D3">
        <w:t xml:space="preserve">show that instability </w:t>
      </w:r>
      <w:r>
        <w:t>in</w:t>
      </w:r>
      <w:r w:rsidR="00AB75D3">
        <w:t xml:space="preserve"> </w:t>
      </w:r>
      <w:r>
        <w:t xml:space="preserve">the </w:t>
      </w:r>
      <w:r w:rsidR="00AB75D3">
        <w:t xml:space="preserve">housing market </w:t>
      </w:r>
      <w:r>
        <w:t>can</w:t>
      </w:r>
      <w:r w:rsidR="00AB75D3">
        <w:t xml:space="preserve"> </w:t>
      </w:r>
      <w:r w:rsidR="00F77CBB">
        <w:t>lead to</w:t>
      </w:r>
      <w:r w:rsidR="00AB75D3">
        <w:t xml:space="preserve"> </w:t>
      </w:r>
      <w:r>
        <w:t xml:space="preserve">instability in the </w:t>
      </w:r>
      <w:r w:rsidR="00AB75D3">
        <w:t>bank</w:t>
      </w:r>
      <w:r>
        <w:t>ing sector</w:t>
      </w:r>
      <w:r w:rsidR="00F77CBB">
        <w:t>, with s</w:t>
      </w:r>
      <w:r>
        <w:t>everal related</w:t>
      </w:r>
      <w:r w:rsidR="00AB75D3">
        <w:t xml:space="preserve"> studies </w:t>
      </w:r>
      <w:r>
        <w:t>providing</w:t>
      </w:r>
      <w:r w:rsidR="00AB75D3">
        <w:t xml:space="preserve"> international comparisons</w:t>
      </w:r>
      <w:r>
        <w:t xml:space="preserve"> clearly show</w:t>
      </w:r>
      <w:r w:rsidR="00F77CBB">
        <w:t>ing</w:t>
      </w:r>
      <w:r>
        <w:t xml:space="preserve"> initial sharp surges</w:t>
      </w:r>
      <w:r w:rsidR="00F77CBB" w:rsidRPr="00F77CBB">
        <w:t xml:space="preserve"> in house prices</w:t>
      </w:r>
      <w:r w:rsidR="001631C2" w:rsidRPr="001631C2">
        <w:t xml:space="preserve"> </w:t>
      </w:r>
      <w:r w:rsidR="001631C2" w:rsidRPr="00F77CBB">
        <w:t>during periods of banking crises</w:t>
      </w:r>
      <w:r w:rsidR="00F77CBB">
        <w:t>,</w:t>
      </w:r>
      <w:r>
        <w:t xml:space="preserve"> followed by steady </w:t>
      </w:r>
      <w:r w:rsidRPr="00F77CBB">
        <w:t>declines</w:t>
      </w:r>
      <w:r w:rsidR="00AB75D3" w:rsidRPr="00F77CBB">
        <w:t>.</w:t>
      </w:r>
      <w:r w:rsidR="00F77CBB" w:rsidRPr="00F77CBB">
        <w:rPr>
          <w:rStyle w:val="a5"/>
        </w:rPr>
        <w:footnoteReference w:id="8"/>
      </w:r>
      <w:r w:rsidR="00AB75D3" w:rsidRPr="00F77CBB">
        <w:t xml:space="preserve"> The</w:t>
      </w:r>
      <w:r w:rsidR="00F77CBB">
        <w:t xml:space="preserve"> the</w:t>
      </w:r>
      <w:r w:rsidR="00AB75D3" w:rsidRPr="00F77CBB">
        <w:t>oretical models</w:t>
      </w:r>
      <w:r w:rsidR="00AB75D3">
        <w:t xml:space="preserve"> </w:t>
      </w:r>
      <w:r w:rsidR="00F77CBB">
        <w:t xml:space="preserve">used in these studies </w:t>
      </w:r>
      <w:r w:rsidR="00AB75D3">
        <w:t xml:space="preserve">suggest </w:t>
      </w:r>
      <w:r w:rsidR="00F77CBB">
        <w:t>that when</w:t>
      </w:r>
      <w:r w:rsidR="00AB75D3">
        <w:t xml:space="preserve"> </w:t>
      </w:r>
      <w:r w:rsidR="00F77CBB">
        <w:t xml:space="preserve">a </w:t>
      </w:r>
      <w:r w:rsidR="00AB75D3">
        <w:t>housing bubble</w:t>
      </w:r>
      <w:r w:rsidR="00F77CBB">
        <w:t xml:space="preserve"> burst</w:t>
      </w:r>
      <w:r w:rsidR="00AB75D3">
        <w:t>s, house owners or speculative investors may find it difficult to roll over their loans and may be unwilling</w:t>
      </w:r>
      <w:r w:rsidR="00F77CBB">
        <w:t>,</w:t>
      </w:r>
      <w:r w:rsidR="00AB75D3">
        <w:t xml:space="preserve"> or unable</w:t>
      </w:r>
      <w:r w:rsidR="00F77CBB">
        <w:t>,</w:t>
      </w:r>
      <w:r w:rsidR="00AB75D3">
        <w:t xml:space="preserve"> to repay their mortgages</w:t>
      </w:r>
      <w:r w:rsidR="00F77CBB">
        <w:t>; c</w:t>
      </w:r>
      <w:r w:rsidR="00AB75D3">
        <w:t xml:space="preserve">onsequently, the collapse of </w:t>
      </w:r>
      <w:r w:rsidR="00F77CBB">
        <w:t xml:space="preserve">a </w:t>
      </w:r>
      <w:r w:rsidR="00AB75D3">
        <w:t xml:space="preserve">housing bubble may </w:t>
      </w:r>
      <w:r w:rsidR="00F77CBB">
        <w:t xml:space="preserve">lead to an </w:t>
      </w:r>
      <w:r w:rsidR="00AB75D3">
        <w:t>increase</w:t>
      </w:r>
      <w:r w:rsidR="00F77CBB">
        <w:t xml:space="preserve"> in</w:t>
      </w:r>
      <w:r w:rsidR="00AB75D3">
        <w:t xml:space="preserve"> NPL</w:t>
      </w:r>
      <w:r w:rsidR="00F77CBB">
        <w:t xml:space="preserve"> ratio</w:t>
      </w:r>
      <w:r w:rsidR="00AB75D3">
        <w:t>s</w:t>
      </w:r>
      <w:r w:rsidR="00F77CBB">
        <w:t xml:space="preserve">, </w:t>
      </w:r>
      <w:r w:rsidR="001631C2">
        <w:t>ultimately</w:t>
      </w:r>
      <w:r w:rsidR="00F77CBB">
        <w:t xml:space="preserve"> </w:t>
      </w:r>
      <w:r w:rsidR="001631C2">
        <w:t>leading to</w:t>
      </w:r>
      <w:r w:rsidR="00F77CBB">
        <w:t xml:space="preserve"> greater</w:t>
      </w:r>
      <w:r w:rsidR="00AB75D3">
        <w:t xml:space="preserve"> bank instability. </w:t>
      </w:r>
    </w:p>
    <w:p w14:paraId="5B330DA3" w14:textId="3432CF29" w:rsidR="00C903A1" w:rsidRPr="00C903A1" w:rsidRDefault="00165C39" w:rsidP="00C903A1">
      <w:pPr>
        <w:spacing w:line="480" w:lineRule="auto"/>
        <w:ind w:firstLine="475"/>
        <w:jc w:val="both"/>
        <w:rPr>
          <w:spacing w:val="-2"/>
        </w:rPr>
      </w:pPr>
      <w:r w:rsidRPr="00C903A1">
        <w:rPr>
          <w:spacing w:val="-2"/>
        </w:rPr>
        <w:t>In an attempt t</w:t>
      </w:r>
      <w:r w:rsidR="00AB75D3" w:rsidRPr="00C903A1">
        <w:rPr>
          <w:spacing w:val="-2"/>
        </w:rPr>
        <w:t>o explore this issue</w:t>
      </w:r>
      <w:r w:rsidRPr="00C903A1">
        <w:rPr>
          <w:spacing w:val="-2"/>
        </w:rPr>
        <w:t xml:space="preserve"> in the present study</w:t>
      </w:r>
      <w:r w:rsidR="00AB75D3" w:rsidRPr="00C903A1">
        <w:rPr>
          <w:spacing w:val="-2"/>
        </w:rPr>
        <w:t xml:space="preserve">, </w:t>
      </w:r>
      <w:r w:rsidRPr="00C903A1">
        <w:rPr>
          <w:spacing w:val="-2"/>
        </w:rPr>
        <w:t>we</w:t>
      </w:r>
      <w:r w:rsidR="00AB75D3" w:rsidRPr="00C903A1">
        <w:rPr>
          <w:spacing w:val="-2"/>
        </w:rPr>
        <w:t xml:space="preserve"> collected </w:t>
      </w:r>
      <w:r w:rsidRPr="00C903A1">
        <w:rPr>
          <w:spacing w:val="-2"/>
        </w:rPr>
        <w:t>2006-2015 macroeconomic variables and data from 29 Taiwanese banks, in conjunction with q</w:t>
      </w:r>
      <w:r w:rsidR="00AB75D3" w:rsidRPr="00C903A1">
        <w:rPr>
          <w:spacing w:val="-2"/>
        </w:rPr>
        <w:t xml:space="preserve">uarterly data </w:t>
      </w:r>
      <w:r w:rsidRPr="00C903A1">
        <w:rPr>
          <w:spacing w:val="-2"/>
        </w:rPr>
        <w:t>from the housing price index covering</w:t>
      </w:r>
      <w:r w:rsidR="00AB75D3" w:rsidRPr="00C903A1">
        <w:rPr>
          <w:spacing w:val="-2"/>
        </w:rPr>
        <w:t xml:space="preserve"> </w:t>
      </w:r>
      <w:r w:rsidRPr="00C903A1">
        <w:rPr>
          <w:spacing w:val="-2"/>
        </w:rPr>
        <w:t xml:space="preserve">the periods </w:t>
      </w:r>
      <w:r w:rsidR="007C026D" w:rsidRPr="00C903A1">
        <w:rPr>
          <w:spacing w:val="-2"/>
        </w:rPr>
        <w:t xml:space="preserve">Q2 </w:t>
      </w:r>
      <w:r w:rsidR="00AB75D3" w:rsidRPr="00C903A1">
        <w:rPr>
          <w:spacing w:val="-2"/>
        </w:rPr>
        <w:t>2006</w:t>
      </w:r>
      <w:r w:rsidR="007C026D" w:rsidRPr="00C903A1">
        <w:rPr>
          <w:spacing w:val="-2"/>
        </w:rPr>
        <w:t xml:space="preserve"> </w:t>
      </w:r>
      <w:r w:rsidRPr="00C903A1">
        <w:rPr>
          <w:spacing w:val="-2"/>
        </w:rPr>
        <w:t>to</w:t>
      </w:r>
      <w:r w:rsidR="00AB75D3" w:rsidRPr="00C903A1">
        <w:rPr>
          <w:spacing w:val="-2"/>
        </w:rPr>
        <w:t xml:space="preserve"> </w:t>
      </w:r>
      <w:r w:rsidR="007C026D" w:rsidRPr="00C903A1">
        <w:rPr>
          <w:spacing w:val="-2"/>
        </w:rPr>
        <w:t xml:space="preserve">Q4 </w:t>
      </w:r>
      <w:r w:rsidR="00AB75D3" w:rsidRPr="00C903A1">
        <w:rPr>
          <w:spacing w:val="-2"/>
        </w:rPr>
        <w:t>2015</w:t>
      </w:r>
      <w:r w:rsidR="007C026D" w:rsidRPr="00C903A1">
        <w:rPr>
          <w:spacing w:val="-2"/>
        </w:rPr>
        <w:t>.</w:t>
      </w:r>
      <w:r w:rsidR="00AB75D3" w:rsidRPr="00C903A1">
        <w:rPr>
          <w:rStyle w:val="a5"/>
          <w:spacing w:val="-2"/>
        </w:rPr>
        <w:footnoteReference w:id="9"/>
      </w:r>
      <w:r w:rsidR="00AB75D3" w:rsidRPr="00C903A1">
        <w:rPr>
          <w:spacing w:val="-2"/>
        </w:rPr>
        <w:t xml:space="preserve"> </w:t>
      </w:r>
      <w:r w:rsidRPr="00C903A1">
        <w:rPr>
          <w:spacing w:val="-2"/>
        </w:rPr>
        <w:t>P</w:t>
      </w:r>
      <w:r w:rsidR="00AB75D3" w:rsidRPr="00C903A1">
        <w:rPr>
          <w:spacing w:val="-2"/>
        </w:rPr>
        <w:t xml:space="preserve">anel data analysis </w:t>
      </w:r>
      <w:r w:rsidRPr="00C903A1">
        <w:rPr>
          <w:spacing w:val="-2"/>
        </w:rPr>
        <w:t>was subsequently undertaken to</w:t>
      </w:r>
      <w:r w:rsidR="00AB75D3" w:rsidRPr="00C903A1">
        <w:rPr>
          <w:spacing w:val="-2"/>
        </w:rPr>
        <w:t xml:space="preserve"> verify the relationships </w:t>
      </w:r>
      <w:r w:rsidR="001631C2">
        <w:rPr>
          <w:spacing w:val="-2"/>
        </w:rPr>
        <w:t xml:space="preserve">that may </w:t>
      </w:r>
      <w:r w:rsidRPr="00C903A1">
        <w:rPr>
          <w:spacing w:val="-2"/>
        </w:rPr>
        <w:t>exist between</w:t>
      </w:r>
      <w:r w:rsidR="00AB75D3" w:rsidRPr="00C903A1">
        <w:rPr>
          <w:spacing w:val="-2"/>
        </w:rPr>
        <w:t xml:space="preserve"> </w:t>
      </w:r>
      <w:r w:rsidRPr="00C903A1">
        <w:rPr>
          <w:spacing w:val="-2"/>
        </w:rPr>
        <w:t xml:space="preserve">bank-level data on </w:t>
      </w:r>
      <w:r w:rsidR="00AB75D3" w:rsidRPr="00C903A1">
        <w:rPr>
          <w:spacing w:val="-2"/>
        </w:rPr>
        <w:t xml:space="preserve">NPL ratios, </w:t>
      </w:r>
      <w:r w:rsidRPr="00C903A1">
        <w:rPr>
          <w:spacing w:val="-2"/>
        </w:rPr>
        <w:t xml:space="preserve">the </w:t>
      </w:r>
      <w:r w:rsidR="00AB75D3" w:rsidRPr="00C903A1">
        <w:rPr>
          <w:spacing w:val="-2"/>
        </w:rPr>
        <w:t xml:space="preserve">macroeconomic variables and the housing price index. </w:t>
      </w:r>
      <w:r w:rsidRPr="00C903A1">
        <w:rPr>
          <w:spacing w:val="-2"/>
        </w:rPr>
        <w:t xml:space="preserve">Our study adopts </w:t>
      </w:r>
      <w:r w:rsidR="00C12A54" w:rsidRPr="00C903A1">
        <w:rPr>
          <w:spacing w:val="-2"/>
        </w:rPr>
        <w:t>‘</w:t>
      </w:r>
      <w:r w:rsidR="00AB75D3" w:rsidRPr="00C903A1">
        <w:rPr>
          <w:spacing w:val="-2"/>
        </w:rPr>
        <w:t>mean-group</w:t>
      </w:r>
      <w:r w:rsidR="00C12A54" w:rsidRPr="00C903A1">
        <w:rPr>
          <w:spacing w:val="-2"/>
        </w:rPr>
        <w:t>’</w:t>
      </w:r>
      <w:r w:rsidR="00AB75D3" w:rsidRPr="00C903A1">
        <w:rPr>
          <w:spacing w:val="-2"/>
        </w:rPr>
        <w:t xml:space="preserve"> (MG) and </w:t>
      </w:r>
      <w:r w:rsidR="00C12A54" w:rsidRPr="00C903A1">
        <w:rPr>
          <w:spacing w:val="-2"/>
        </w:rPr>
        <w:t>‘</w:t>
      </w:r>
      <w:r w:rsidR="00AB75D3" w:rsidRPr="00C903A1">
        <w:rPr>
          <w:spacing w:val="-2"/>
        </w:rPr>
        <w:t>pool</w:t>
      </w:r>
      <w:r w:rsidR="00C12A54" w:rsidRPr="00C903A1">
        <w:rPr>
          <w:spacing w:val="-2"/>
        </w:rPr>
        <w:t>ed</w:t>
      </w:r>
      <w:r w:rsidR="00AB75D3" w:rsidRPr="00C903A1">
        <w:rPr>
          <w:spacing w:val="-2"/>
        </w:rPr>
        <w:t xml:space="preserve"> mean group</w:t>
      </w:r>
      <w:r w:rsidR="00C12A54" w:rsidRPr="00C903A1">
        <w:rPr>
          <w:spacing w:val="-2"/>
        </w:rPr>
        <w:t>’</w:t>
      </w:r>
      <w:r w:rsidR="00AB75D3" w:rsidRPr="00C903A1">
        <w:rPr>
          <w:spacing w:val="-2"/>
        </w:rPr>
        <w:t xml:space="preserve"> (PMG) approaches to estimate the relationships in the dynamic panels</w:t>
      </w:r>
      <w:r w:rsidR="00C903A1" w:rsidRPr="00C903A1">
        <w:rPr>
          <w:spacing w:val="-2"/>
        </w:rPr>
        <w:t xml:space="preserve"> essentially because housing price data during boom or bust periods is usually found to be non-stationary. </w:t>
      </w:r>
    </w:p>
    <w:p w14:paraId="4847D1ED" w14:textId="15265BE6" w:rsidR="00950F36" w:rsidRDefault="00AB75D3" w:rsidP="005E3588">
      <w:pPr>
        <w:spacing w:line="480" w:lineRule="auto"/>
        <w:ind w:firstLine="475"/>
        <w:jc w:val="both"/>
      </w:pPr>
      <w:r>
        <w:t xml:space="preserve">The </w:t>
      </w:r>
      <w:r w:rsidRPr="00592346">
        <w:t>investigat</w:t>
      </w:r>
      <w:r>
        <w:t>ion</w:t>
      </w:r>
      <w:r w:rsidRPr="00592346">
        <w:t xml:space="preserve"> </w:t>
      </w:r>
      <w:r>
        <w:t xml:space="preserve">of </w:t>
      </w:r>
      <w:r w:rsidRPr="00592346">
        <w:t xml:space="preserve">the determinants of non-performing loans </w:t>
      </w:r>
      <w:r w:rsidR="00165C39">
        <w:t>in</w:t>
      </w:r>
      <w:r w:rsidR="00165C39" w:rsidRPr="00592346">
        <w:t xml:space="preserve"> Taiwan </w:t>
      </w:r>
      <w:r w:rsidR="00165C39">
        <w:t>over our ten-year sample period should provide a valuable</w:t>
      </w:r>
      <w:r w:rsidRPr="00592346">
        <w:t xml:space="preserve"> contribut</w:t>
      </w:r>
      <w:r w:rsidR="00165C39">
        <w:t>ion to</w:t>
      </w:r>
      <w:r w:rsidRPr="00592346">
        <w:t xml:space="preserve"> the </w:t>
      </w:r>
      <w:r w:rsidR="00165C39">
        <w:t>extant</w:t>
      </w:r>
      <w:r w:rsidRPr="00592346">
        <w:t xml:space="preserve"> literature on bank stability. </w:t>
      </w:r>
      <w:r>
        <w:t xml:space="preserve">The main findings of </w:t>
      </w:r>
      <w:r w:rsidR="00165C39">
        <w:t>our study</w:t>
      </w:r>
      <w:r>
        <w:t xml:space="preserve"> are</w:t>
      </w:r>
      <w:r w:rsidR="00165C39">
        <w:t xml:space="preserve"> that</w:t>
      </w:r>
      <w:r>
        <w:t xml:space="preserve"> in the long-run, </w:t>
      </w:r>
      <w:r w:rsidR="00C903A1">
        <w:t xml:space="preserve">a </w:t>
      </w:r>
      <w:r w:rsidR="00165C39">
        <w:t>negative relationship</w:t>
      </w:r>
      <w:r w:rsidR="00C903A1">
        <w:t xml:space="preserve"> i</w:t>
      </w:r>
      <w:r w:rsidR="00165C39">
        <w:t>s found to</w:t>
      </w:r>
      <w:r>
        <w:t xml:space="preserve"> exist between </w:t>
      </w:r>
      <w:r w:rsidR="00165C39">
        <w:t xml:space="preserve">NPL </w:t>
      </w:r>
      <w:r>
        <w:t xml:space="preserve">ratios and </w:t>
      </w:r>
      <w:r w:rsidR="00165C39">
        <w:t xml:space="preserve">the </w:t>
      </w:r>
      <w:r>
        <w:t xml:space="preserve">housing price index, </w:t>
      </w:r>
      <w:r w:rsidR="00C903A1">
        <w:t>whilst</w:t>
      </w:r>
      <w:r>
        <w:t xml:space="preserve"> </w:t>
      </w:r>
      <w:r w:rsidR="00C903A1">
        <w:t xml:space="preserve">in the short-run, </w:t>
      </w:r>
      <w:r>
        <w:t xml:space="preserve">the relationship </w:t>
      </w:r>
      <w:r w:rsidR="00C903A1">
        <w:t>is found to be</w:t>
      </w:r>
      <w:r>
        <w:t xml:space="preserve"> positive</w:t>
      </w:r>
      <w:r w:rsidR="00C12A54">
        <w:t>;</w:t>
      </w:r>
      <w:r>
        <w:t xml:space="preserve"> however, </w:t>
      </w:r>
      <w:r w:rsidR="00C903A1">
        <w:t xml:space="preserve">all of </w:t>
      </w:r>
      <w:r>
        <w:t xml:space="preserve">the estimated coefficients were </w:t>
      </w:r>
      <w:r w:rsidR="00C903A1">
        <w:t xml:space="preserve">found to be </w:t>
      </w:r>
      <w:r>
        <w:t>insignificant</w:t>
      </w:r>
      <w:r w:rsidR="00950F36">
        <w:rPr>
          <w:rFonts w:hint="eastAsia"/>
        </w:rPr>
        <w:t>.</w:t>
      </w:r>
    </w:p>
    <w:p w14:paraId="4293993D" w14:textId="46D2513E" w:rsidR="00FE41E2" w:rsidRDefault="00FE41E2" w:rsidP="00FE41E2">
      <w:pPr>
        <w:spacing w:before="120" w:line="480" w:lineRule="auto"/>
        <w:jc w:val="both"/>
        <w:rPr>
          <w:sz w:val="28"/>
          <w:szCs w:val="28"/>
        </w:rPr>
      </w:pPr>
      <w:r w:rsidRPr="00B13317">
        <w:rPr>
          <w:sz w:val="28"/>
          <w:szCs w:val="28"/>
        </w:rPr>
        <w:t>3</w:t>
      </w:r>
      <w:r w:rsidRPr="00B13317">
        <w:rPr>
          <w:rFonts w:hint="eastAsia"/>
          <w:sz w:val="28"/>
          <w:szCs w:val="28"/>
        </w:rPr>
        <w:t xml:space="preserve">. </w:t>
      </w:r>
      <w:r w:rsidRPr="00B13317">
        <w:rPr>
          <w:sz w:val="28"/>
          <w:szCs w:val="28"/>
        </w:rPr>
        <w:tab/>
      </w:r>
      <w:r w:rsidR="00AB75D3" w:rsidRPr="00B13317">
        <w:rPr>
          <w:sz w:val="28"/>
          <w:szCs w:val="28"/>
        </w:rPr>
        <w:t>MODELS AND ECONOMETRIC ESTIMATION</w:t>
      </w:r>
    </w:p>
    <w:p w14:paraId="786AF0B3" w14:textId="62CF0744" w:rsidR="005E3588" w:rsidRDefault="00B13317" w:rsidP="00C903A1">
      <w:pPr>
        <w:spacing w:line="480" w:lineRule="auto"/>
        <w:jc w:val="both"/>
      </w:pPr>
      <w:r>
        <w:t>In t</w:t>
      </w:r>
      <w:r w:rsidR="00AB75D3" w:rsidRPr="00104EDD">
        <w:t xml:space="preserve">he pooled estimators, such as </w:t>
      </w:r>
      <w:r w:rsidR="00C903A1">
        <w:t xml:space="preserve">the </w:t>
      </w:r>
      <w:r w:rsidR="00AB75D3" w:rsidRPr="00104EDD">
        <w:t xml:space="preserve">fixed and random effects, </w:t>
      </w:r>
      <w:r>
        <w:t xml:space="preserve">the </w:t>
      </w:r>
      <w:r w:rsidR="00AB75D3" w:rsidRPr="00104EDD">
        <w:t xml:space="preserve">slope coefficients and error variances are </w:t>
      </w:r>
      <w:r w:rsidRPr="00104EDD">
        <w:t>assum</w:t>
      </w:r>
      <w:r>
        <w:t xml:space="preserve">ed to be </w:t>
      </w:r>
      <w:r w:rsidR="00AB75D3" w:rsidRPr="00104EDD">
        <w:t xml:space="preserve">identical or homogeneous. The MG method estimates separate regressions and </w:t>
      </w:r>
      <w:r>
        <w:t xml:space="preserve">then </w:t>
      </w:r>
      <w:r w:rsidR="00AB75D3" w:rsidRPr="00104EDD">
        <w:t>calculate</w:t>
      </w:r>
      <w:r w:rsidR="00C903A1">
        <w:t>s</w:t>
      </w:r>
      <w:r w:rsidR="00AB75D3" w:rsidRPr="00104EDD">
        <w:t xml:space="preserve"> the coefficient means, </w:t>
      </w:r>
      <w:r w:rsidR="00C903A1">
        <w:t>where</w:t>
      </w:r>
      <w:r w:rsidR="00AB75D3" w:rsidRPr="00104EDD">
        <w:t xml:space="preserve"> the slope coefficients can be heterogeneous. The PMG method </w:t>
      </w:r>
      <w:r w:rsidR="00C903A1">
        <w:t>involves</w:t>
      </w:r>
      <w:r w:rsidR="00AB75D3" w:rsidRPr="00104EDD">
        <w:t xml:space="preserve"> an intermediate procedure </w:t>
      </w:r>
      <w:r w:rsidR="00C903A1">
        <w:t xml:space="preserve">within </w:t>
      </w:r>
      <w:r w:rsidR="00C903A1" w:rsidRPr="00104EDD">
        <w:t>which constrain</w:t>
      </w:r>
      <w:r w:rsidR="00C903A1">
        <w:t>t</w:t>
      </w:r>
      <w:r w:rsidR="00C903A1" w:rsidRPr="00104EDD">
        <w:t xml:space="preserve">s </w:t>
      </w:r>
      <w:r w:rsidR="00C903A1">
        <w:t xml:space="preserve">are </w:t>
      </w:r>
      <w:r w:rsidR="00623C18">
        <w:t>place</w:t>
      </w:r>
      <w:r w:rsidR="00C903A1">
        <w:t>d</w:t>
      </w:r>
      <w:r w:rsidR="00623C18">
        <w:t xml:space="preserve"> on the </w:t>
      </w:r>
      <w:r w:rsidR="00AB75D3" w:rsidRPr="00104EDD">
        <w:t>long-run coefficients</w:t>
      </w:r>
      <w:r w:rsidR="00623C18">
        <w:t>, thereby ensuring that they are</w:t>
      </w:r>
      <w:r w:rsidR="00AB75D3" w:rsidRPr="00104EDD">
        <w:t xml:space="preserve"> identical</w:t>
      </w:r>
      <w:r w:rsidR="00623C18">
        <w:t>,</w:t>
      </w:r>
      <w:r w:rsidR="00AB75D3" w:rsidRPr="00104EDD">
        <w:t xml:space="preserve"> </w:t>
      </w:r>
      <w:r w:rsidR="00C903A1">
        <w:t>whilst also</w:t>
      </w:r>
      <w:r w:rsidR="00AB75D3" w:rsidRPr="00104EDD">
        <w:t xml:space="preserve"> allow</w:t>
      </w:r>
      <w:r w:rsidR="00C903A1">
        <w:t>ing the</w:t>
      </w:r>
      <w:r w:rsidR="00AB75D3" w:rsidRPr="00104EDD">
        <w:t xml:space="preserve"> short-run coefficients and error variances to differ across groups, </w:t>
      </w:r>
      <w:r w:rsidR="00C903A1">
        <w:t xml:space="preserve">thereby </w:t>
      </w:r>
      <w:r w:rsidR="00AB75D3" w:rsidRPr="00104EDD">
        <w:t xml:space="preserve">imposing a homogeneity restriction on the </w:t>
      </w:r>
      <w:r w:rsidR="00C903A1" w:rsidRPr="00104EDD">
        <w:t>long-run relationship</w:t>
      </w:r>
      <w:r w:rsidR="00C903A1">
        <w:t xml:space="preserve"> coefficients</w:t>
      </w:r>
      <w:r w:rsidR="00AB75D3" w:rsidRPr="00104EDD">
        <w:t xml:space="preserve">. </w:t>
      </w:r>
    </w:p>
    <w:p w14:paraId="1A6D5667" w14:textId="28FA5A28" w:rsidR="00AB75D3" w:rsidRDefault="00AB75D3" w:rsidP="005E3588">
      <w:pPr>
        <w:spacing w:line="480" w:lineRule="auto"/>
        <w:ind w:firstLine="475"/>
        <w:jc w:val="both"/>
      </w:pPr>
      <w:r w:rsidRPr="00104EDD">
        <w:t xml:space="preserve">As </w:t>
      </w:r>
      <w:r w:rsidR="005E3588">
        <w:t xml:space="preserve">noted </w:t>
      </w:r>
      <w:r w:rsidR="00C903A1">
        <w:t>in</w:t>
      </w:r>
      <w:r w:rsidR="005E3588" w:rsidRPr="00104EDD">
        <w:t xml:space="preserve"> </w:t>
      </w:r>
      <w:proofErr w:type="spellStart"/>
      <w:r w:rsidRPr="00CF5BB6">
        <w:t>Pesaran</w:t>
      </w:r>
      <w:proofErr w:type="spellEnd"/>
      <w:r w:rsidR="007C026D" w:rsidRPr="00CF5BB6">
        <w:t>, Shin and Smith</w:t>
      </w:r>
      <w:r w:rsidRPr="00CF5BB6">
        <w:t xml:space="preserve"> </w:t>
      </w:r>
      <w:r w:rsidRPr="00104EDD">
        <w:t>(1999)</w:t>
      </w:r>
      <w:r w:rsidR="005E3588">
        <w:t>,</w:t>
      </w:r>
      <w:r w:rsidRPr="00104EDD">
        <w:t xml:space="preserve"> </w:t>
      </w:r>
      <w:r w:rsidR="00C903A1">
        <w:t xml:space="preserve">as a result of various factors, </w:t>
      </w:r>
      <w:r w:rsidRPr="00104EDD">
        <w:t xml:space="preserve">there are often good reasons to expect </w:t>
      </w:r>
      <w:r w:rsidR="00C903A1">
        <w:t xml:space="preserve">to find </w:t>
      </w:r>
      <w:r w:rsidR="00C903A1" w:rsidRPr="00104EDD">
        <w:t>similar</w:t>
      </w:r>
      <w:r w:rsidR="00C903A1">
        <w:t xml:space="preserve">ities </w:t>
      </w:r>
      <w:r w:rsidR="00C903A1" w:rsidRPr="00104EDD">
        <w:t xml:space="preserve">across </w:t>
      </w:r>
      <w:r w:rsidR="00C903A1">
        <w:t xml:space="preserve">different </w:t>
      </w:r>
      <w:r w:rsidR="00C903A1" w:rsidRPr="00104EDD">
        <w:t>groups</w:t>
      </w:r>
      <w:r w:rsidR="00C903A1">
        <w:t xml:space="preserve"> in</w:t>
      </w:r>
      <w:r w:rsidR="00C903A1" w:rsidRPr="00104EDD">
        <w:t xml:space="preserve"> </w:t>
      </w:r>
      <w:r w:rsidRPr="00104EDD">
        <w:t xml:space="preserve">the long-run equilibrium relationships </w:t>
      </w:r>
      <w:r w:rsidR="00C903A1" w:rsidRPr="00104EDD">
        <w:t xml:space="preserve">between </w:t>
      </w:r>
      <w:r w:rsidR="00C903A1">
        <w:t xml:space="preserve">the </w:t>
      </w:r>
      <w:r w:rsidRPr="00104EDD">
        <w:t xml:space="preserve">variables, </w:t>
      </w:r>
      <w:r w:rsidR="0034137E">
        <w:t>such as</w:t>
      </w:r>
      <w:r w:rsidRPr="00104EDD">
        <w:t xml:space="preserve"> budget</w:t>
      </w:r>
      <w:r w:rsidR="00C903A1">
        <w:t>ary</w:t>
      </w:r>
      <w:r w:rsidRPr="00104EDD">
        <w:t xml:space="preserve"> or solvency constraints, arbitrage conditions or common technologies </w:t>
      </w:r>
      <w:r w:rsidR="00B13317">
        <w:t xml:space="preserve">that </w:t>
      </w:r>
      <w:r w:rsidRPr="00104EDD">
        <w:t>influenc</w:t>
      </w:r>
      <w:r w:rsidR="00B13317">
        <w:t>e</w:t>
      </w:r>
      <w:r w:rsidRPr="00104EDD">
        <w:t xml:space="preserve"> all groups in a similar way.</w:t>
      </w:r>
      <w:r>
        <w:t xml:space="preserve"> </w:t>
      </w:r>
      <w:r w:rsidR="0034137E">
        <w:t>Such l</w:t>
      </w:r>
      <w:r w:rsidRPr="00104EDD">
        <w:t xml:space="preserve">ong-run slope homogeneity </w:t>
      </w:r>
      <w:r w:rsidR="0034137E">
        <w:t>between</w:t>
      </w:r>
      <w:r w:rsidRPr="00104EDD">
        <w:t xml:space="preserve"> the coefficients can be evaluated </w:t>
      </w:r>
      <w:r w:rsidR="0034137E">
        <w:t>using</w:t>
      </w:r>
      <w:r w:rsidRPr="00104EDD">
        <w:t xml:space="preserve"> Hausman test statistics.  </w:t>
      </w:r>
    </w:p>
    <w:p w14:paraId="25795E9B" w14:textId="43FF0E5D" w:rsidR="00AB75D3" w:rsidRDefault="00AB75D3" w:rsidP="003F71A8">
      <w:pPr>
        <w:spacing w:line="480" w:lineRule="auto"/>
        <w:ind w:firstLine="475"/>
        <w:jc w:val="both"/>
      </w:pPr>
      <w:r w:rsidRPr="00104EDD">
        <w:t xml:space="preserve">A dynamic heterogeneous panel estimator can be constructed </w:t>
      </w:r>
      <w:r w:rsidR="0034137E">
        <w:t>based upon an</w:t>
      </w:r>
      <w:r w:rsidRPr="00104EDD">
        <w:t xml:space="preserve"> </w:t>
      </w:r>
      <w:r w:rsidR="007C026D">
        <w:t>‘</w:t>
      </w:r>
      <w:r w:rsidRPr="00104EDD">
        <w:t>autoregressive distributed lag</w:t>
      </w:r>
      <w:r w:rsidR="00C12A54">
        <w:t>’</w:t>
      </w:r>
      <w:r w:rsidRPr="00104EDD">
        <w:t xml:space="preserve"> (ARDL) </w:t>
      </w:r>
      <w:r w:rsidR="00C12A54" w:rsidRPr="00104EDD">
        <w:t>model</w:t>
      </w:r>
      <w:r w:rsidR="00C12A54">
        <w:t>.</w:t>
      </w:r>
      <w:r w:rsidR="00C12A54" w:rsidRPr="00104EDD">
        <w:t xml:space="preserve"> </w:t>
      </w:r>
      <w:r w:rsidRPr="00104EDD">
        <w:t xml:space="preserve">For simplicity, </w:t>
      </w:r>
      <w:r w:rsidR="00B13317">
        <w:t>the</w:t>
      </w:r>
      <w:r w:rsidRPr="00104EDD">
        <w:t xml:space="preserve"> ARDL (1,</w:t>
      </w:r>
      <w:r w:rsidR="00C12A54" w:rsidRPr="00C12A54">
        <w:rPr>
          <w:sz w:val="12"/>
          <w:vertAlign w:val="subscript"/>
        </w:rPr>
        <w:t xml:space="preserve"> </w:t>
      </w:r>
      <w:r w:rsidRPr="00104EDD">
        <w:t xml:space="preserve">1…1) model can be </w:t>
      </w:r>
      <w:r w:rsidR="0034137E">
        <w:t>expressed</w:t>
      </w:r>
      <w:r w:rsidRPr="00104EDD">
        <w:t xml:space="preserve"> as:</w:t>
      </w:r>
    </w:p>
    <w:p w14:paraId="01CF02C1" w14:textId="4952205A" w:rsidR="00AB75D3" w:rsidRPr="00AB75D3" w:rsidRDefault="00CD0D0B" w:rsidP="00C12A54">
      <w:pPr>
        <w:spacing w:after="120" w:line="480" w:lineRule="auto"/>
        <w:jc w:val="right"/>
      </w:pPr>
      <m:oMath>
        <m:sSub>
          <m:sSubPr>
            <m:ctrlPr>
              <w:rPr>
                <w:rFonts w:ascii="Cambria Math" w:hAnsi="Cambria Math"/>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i,t-1</m:t>
            </m:r>
          </m:sub>
        </m:sSub>
        <m:r>
          <w:rPr>
            <w:rFonts w:ascii="Cambria Math" w:hAnsi="Cambria Math"/>
          </w:rPr>
          <m:t>+</m:t>
        </m:r>
        <m:nary>
          <m:naryPr>
            <m:chr m:val="∑"/>
            <m:limLoc m:val="undOvr"/>
            <m:ctrlPr>
              <w:rPr>
                <w:rFonts w:ascii="Cambria Math" w:hAnsi="Cambria Math"/>
                <w:i/>
              </w:rPr>
            </m:ctrlPr>
          </m:naryPr>
          <m:sub>
            <m:r>
              <w:rPr>
                <w:rFonts w:ascii="Cambria Math" w:hAnsi="Cambria Math"/>
              </w:rPr>
              <m:t>j=0</m:t>
            </m:r>
          </m:sub>
          <m:sup>
            <m:r>
              <w:rPr>
                <w:rFonts w:ascii="Cambria Math" w:hAnsi="Cambria Math"/>
              </w:rPr>
              <m:t>1</m:t>
            </m:r>
          </m:sup>
          <m:e>
            <m:sSubSup>
              <m:sSubSupPr>
                <m:ctrlPr>
                  <w:rPr>
                    <w:rFonts w:ascii="Cambria Math" w:hAnsi="Cambria Math"/>
                    <w:i/>
                  </w:rPr>
                </m:ctrlPr>
              </m:sSubSupPr>
              <m:e>
                <m:r>
                  <w:rPr>
                    <w:rFonts w:ascii="Cambria Math" w:hAnsi="Cambria Math"/>
                  </w:rPr>
                  <m:t>δ</m:t>
                </m:r>
              </m:e>
              <m:sub>
                <m:r>
                  <w:rPr>
                    <w:rFonts w:ascii="Cambria Math" w:hAnsi="Cambria Math"/>
                  </w:rPr>
                  <m:t>ij</m:t>
                </m:r>
              </m:sub>
              <m:sup>
                <m:r>
                  <w:rPr>
                    <w:rFonts w:ascii="Cambria Math" w:hAnsi="Cambria Math"/>
                  </w:rPr>
                  <m:t>'</m:t>
                </m:r>
              </m:sup>
            </m:sSubSup>
          </m:e>
        </m:nary>
        <m:sSub>
          <m:sSubPr>
            <m:ctrlPr>
              <w:rPr>
                <w:rFonts w:ascii="Cambria Math" w:hAnsi="Cambria Math"/>
                <w:i/>
              </w:rPr>
            </m:ctrlPr>
          </m:sSubPr>
          <m:e>
            <m:r>
              <m:rPr>
                <m:sty m:val="p"/>
              </m:rPr>
              <w:rPr>
                <w:rFonts w:ascii="Cambria Math" w:hAnsi="Cambria Math"/>
              </w:rPr>
              <m:t>Χ</m:t>
            </m:r>
          </m:e>
          <m:sub>
            <m:r>
              <w:rPr>
                <w:rFonts w:ascii="Cambria Math" w:hAnsi="Cambria Math"/>
              </w:rPr>
              <m:t>i,t-j</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w:proofErr w:type="gramStart"/>
      <w:r w:rsidR="00AB75D3">
        <w:t>,</w:t>
      </w:r>
      <w:r w:rsidR="00AB75D3" w:rsidRPr="00AB75D3">
        <w:t xml:space="preserve">   </w:t>
      </w:r>
      <w:proofErr w:type="gramEnd"/>
      <w:r w:rsidR="00AB75D3">
        <w:t xml:space="preserve">  </w:t>
      </w:r>
      <w:r w:rsidR="00AB75D3" w:rsidRPr="00AB75D3">
        <w:t xml:space="preserve"> </w:t>
      </w:r>
      <w:r w:rsidR="007C026D">
        <w:t xml:space="preserve">      </w:t>
      </w:r>
      <w:r w:rsidR="00AB75D3" w:rsidRPr="00CF5BB6">
        <w:t>(1)</w:t>
      </w:r>
    </w:p>
    <w:p w14:paraId="4E307A0D" w14:textId="132B1E01" w:rsidR="00AB75D3" w:rsidRPr="00104EDD" w:rsidRDefault="0034137E" w:rsidP="0034137E">
      <w:pPr>
        <w:spacing w:line="480" w:lineRule="auto"/>
        <w:jc w:val="both"/>
      </w:pPr>
      <w:r>
        <w:t>whilst t</w:t>
      </w:r>
      <w:r w:rsidR="00AB75D3" w:rsidRPr="00104EDD">
        <w:t xml:space="preserve">he error correction equilibrium representation is </w:t>
      </w:r>
      <w:r>
        <w:t>expressed</w:t>
      </w:r>
      <w:r w:rsidR="00AB75D3" w:rsidRPr="00104EDD">
        <w:t xml:space="preserve"> as:</w:t>
      </w:r>
    </w:p>
    <w:p w14:paraId="5CA0DEE5" w14:textId="48BD5302" w:rsidR="00AB75D3" w:rsidRDefault="00CD0D0B" w:rsidP="00C12A54">
      <w:pPr>
        <w:spacing w:before="80" w:after="80" w:line="480" w:lineRule="auto"/>
        <w:jc w:val="right"/>
      </w:pPr>
      <m:oMath>
        <m:sSub>
          <m:sSubPr>
            <m:ctrlPr>
              <w:rPr>
                <w:rFonts w:ascii="Cambria Math" w:hAnsi="Cambria Math"/>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 t-1</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i</m:t>
            </m:r>
          </m:sub>
          <m:sup>
            <m:r>
              <w:rPr>
                <w:rFonts w:ascii="Cambria Math" w:hAnsi="Cambria Math"/>
              </w:rPr>
              <m:t>'</m:t>
            </m:r>
          </m:sup>
        </m:sSubSup>
        <m:sSub>
          <m:sSubPr>
            <m:ctrlPr>
              <w:rPr>
                <w:rFonts w:ascii="Cambria Math" w:hAnsi="Cambria Math"/>
                <w:i/>
              </w:rPr>
            </m:ctrlPr>
          </m:sSubPr>
          <m:e>
            <m:r>
              <m:rPr>
                <m:sty m:val="p"/>
              </m:rPr>
              <w:rPr>
                <w:rFonts w:ascii="Cambria Math" w:hAnsi="Cambria Math"/>
              </w:rPr>
              <m:t>Χ</m:t>
            </m:r>
          </m:e>
          <m:sub>
            <m:r>
              <w:rPr>
                <w:rFonts w:ascii="Cambria Math" w:hAnsi="Cambria Math"/>
              </w:rPr>
              <m:t>it</m:t>
            </m:r>
          </m:sub>
        </m:sSub>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it</m:t>
            </m:r>
          </m:sub>
          <m:sup>
            <m:r>
              <w:rPr>
                <w:rFonts w:ascii="Cambria Math" w:hAnsi="Cambria Math"/>
              </w:rPr>
              <m:t>'</m:t>
            </m:r>
          </m:sup>
        </m:sSubSup>
        <m:r>
          <m:rPr>
            <m:sty m:val="p"/>
          </m:rPr>
          <w:rPr>
            <w:rFonts w:ascii="Cambria Math" w:hAnsi="Cambria Math"/>
          </w:rPr>
          <m:t>Δ</m:t>
        </m:r>
        <m:sSub>
          <m:sSubPr>
            <m:ctrlPr>
              <w:rPr>
                <w:rFonts w:ascii="Cambria Math" w:hAnsi="Cambria Math"/>
                <w:i/>
              </w:rPr>
            </m:ctrlPr>
          </m:sSubPr>
          <m:e>
            <m:r>
              <m:rPr>
                <m:sty m:val="p"/>
              </m:rPr>
              <w:rPr>
                <w:rFonts w:ascii="Cambria Math" w:hAnsi="Cambria Math"/>
              </w:rPr>
              <m:t>Χ</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it</m:t>
            </m:r>
          </m:sub>
        </m:sSub>
      </m:oMath>
      <w:proofErr w:type="gramStart"/>
      <w:r w:rsidR="00AB75D3">
        <w:t xml:space="preserve">,   </w:t>
      </w:r>
      <w:proofErr w:type="gramEnd"/>
      <w:r w:rsidR="00AB75D3">
        <w:t xml:space="preserve">  </w:t>
      </w:r>
      <w:r w:rsidR="007C026D">
        <w:t xml:space="preserve">      </w:t>
      </w:r>
      <w:r w:rsidR="00AB75D3" w:rsidRPr="00CF5BB6">
        <w:t>(2)</w:t>
      </w:r>
    </w:p>
    <w:p w14:paraId="6D74726B" w14:textId="77777777" w:rsidR="00AB75D3" w:rsidRDefault="00AB75D3" w:rsidP="00AB75D3">
      <w:pPr>
        <w:spacing w:line="480" w:lineRule="auto"/>
        <w:jc w:val="both"/>
      </w:pPr>
      <w:r w:rsidRPr="00104EDD">
        <w:t xml:space="preserve">where </w:t>
      </w:r>
      <m:oMath>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  ∆</m:t>
        </m:r>
        <m:sSub>
          <m:sSubPr>
            <m:ctrlPr>
              <w:rPr>
                <w:rFonts w:ascii="Cambria Math" w:hAnsi="Cambria Math"/>
              </w:rPr>
            </m:ctrlPr>
          </m:sSubPr>
          <m:e>
            <m:r>
              <w:rPr>
                <w:rFonts w:ascii="Cambria Math" w:hAnsi="Cambria Math"/>
              </w:rPr>
              <m:t>X</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r>
              <m:rPr>
                <m:sty m:val="p"/>
              </m:rPr>
              <w:rPr>
                <w:rFonts w:ascii="Cambria Math" w:hAnsi="Cambria Math"/>
              </w:rPr>
              <m:t xml:space="preserve">, </m:t>
            </m:r>
            <m:r>
              <w:rPr>
                <w:rFonts w:ascii="Cambria Math" w:hAnsi="Cambria Math"/>
              </w:rPr>
              <m:t>t</m:t>
            </m:r>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ϕ</m:t>
            </m:r>
          </m:e>
          <m:sub>
            <m:r>
              <w:rPr>
                <w:rFonts w:ascii="Cambria Math" w:hAnsi="Cambria Math"/>
              </w:rPr>
              <m:t>i</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λ</m:t>
                </m:r>
              </m:e>
              <m:sub>
                <m:r>
                  <w:rPr>
                    <w:rFonts w:ascii="Cambria Math" w:hAnsi="Cambria Math"/>
                  </w:rPr>
                  <m:t>i</m:t>
                </m:r>
              </m:sub>
            </m:sSub>
          </m:e>
        </m:d>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w:rPr>
                <w:rFonts w:ascii="Cambria Math" w:hAnsi="Cambria Math"/>
              </w:rPr>
              <m:t>i</m:t>
            </m:r>
          </m:sub>
        </m:sSub>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m:rPr>
                <m:sty m:val="p"/>
              </m:rPr>
              <w:rPr>
                <w:rFonts w:ascii="Cambria Math" w:hAnsi="Cambria Math"/>
              </w:rPr>
              <m:t>1</m:t>
            </m:r>
          </m:sup>
          <m:e>
            <m:sSub>
              <m:sSubPr>
                <m:ctrlPr>
                  <w:rPr>
                    <w:rFonts w:ascii="Cambria Math" w:hAnsi="Cambria Math"/>
                  </w:rPr>
                </m:ctrlPr>
              </m:sSubPr>
              <m:e>
                <m:r>
                  <w:rPr>
                    <w:rFonts w:ascii="Cambria Math" w:hAnsi="Cambria Math"/>
                  </w:rPr>
                  <m:t>δ</m:t>
                </m:r>
              </m:e>
              <m:sub>
                <m:r>
                  <w:rPr>
                    <w:rFonts w:ascii="Cambria Math" w:hAnsi="Cambria Math"/>
                  </w:rPr>
                  <m:t>ij</m:t>
                </m:r>
              </m:sub>
            </m:sSub>
          </m:e>
        </m:nary>
        <m:r>
          <m:rPr>
            <m:sty m:val="p"/>
          </m:rPr>
          <w:rPr>
            <w:rFonts w:ascii="Cambria Math" w:hAnsi="Cambria Math"/>
          </w:rPr>
          <m:t xml:space="preserve">. </m:t>
        </m:r>
      </m:oMath>
    </w:p>
    <w:p w14:paraId="1E3F6D00" w14:textId="112E04B6" w:rsidR="003F71A8" w:rsidRDefault="00AB75D3" w:rsidP="003F71A8">
      <w:pPr>
        <w:spacing w:line="480" w:lineRule="auto"/>
        <w:ind w:firstLine="475"/>
        <w:jc w:val="both"/>
      </w:pPr>
      <w:r w:rsidRPr="00FF749C">
        <w:t xml:space="preserve">We assume </w:t>
      </w:r>
      <w:r w:rsidR="003F71A8" w:rsidRPr="00FF749C">
        <w:t xml:space="preserve">that </w:t>
      </w:r>
      <w:r w:rsidRPr="00FF749C">
        <w:t>the disturbances</w:t>
      </w:r>
      <w:r w:rsidR="00FF749C">
        <w:t>,</w:t>
      </w:r>
      <w:r w:rsidR="00C12A54" w:rsidRPr="00FF749C">
        <w:t xml:space="preserve"> </w:t>
      </w:r>
      <w:r w:rsidR="00C12A54" w:rsidRPr="00FF749C">
        <w:rPr>
          <w:i/>
          <w:sz w:val="25"/>
          <w:szCs w:val="25"/>
        </w:rPr>
        <w:t>ε</w:t>
      </w:r>
      <w:r w:rsidR="00C12A54" w:rsidRPr="00FF749C">
        <w:rPr>
          <w:i/>
          <w:position w:val="-2"/>
          <w:vertAlign w:val="subscript"/>
        </w:rPr>
        <w:t>it</w:t>
      </w:r>
      <w:r w:rsidR="00FF749C">
        <w:t xml:space="preserve">, </w:t>
      </w:r>
      <w:r w:rsidR="003F71A8" w:rsidRPr="00FF749C">
        <w:t>are</w:t>
      </w:r>
      <w:r w:rsidRPr="00FF749C">
        <w:t xml:space="preserve"> independently distributed across </w:t>
      </w:r>
      <w:proofErr w:type="spellStart"/>
      <w:r w:rsidRPr="00FF749C">
        <w:rPr>
          <w:i/>
        </w:rPr>
        <w:t>i</w:t>
      </w:r>
      <w:proofErr w:type="spellEnd"/>
      <w:r w:rsidRPr="00FF749C">
        <w:rPr>
          <w:i/>
        </w:rPr>
        <w:t xml:space="preserve"> </w:t>
      </w:r>
      <w:r w:rsidRPr="00FF749C">
        <w:t xml:space="preserve">and </w:t>
      </w:r>
      <w:r w:rsidRPr="00FF749C">
        <w:rPr>
          <w:i/>
        </w:rPr>
        <w:t>t</w:t>
      </w:r>
      <w:r w:rsidRPr="00FF749C">
        <w:t>,</w:t>
      </w:r>
      <w:r w:rsidRPr="00104EDD">
        <w:t xml:space="preserve"> with zero means, </w:t>
      </w:r>
      <w:r w:rsidR="003F71A8" w:rsidRPr="00104EDD">
        <w:t xml:space="preserve">positive </w:t>
      </w:r>
      <w:r w:rsidRPr="00104EDD">
        <w:t>variances and finite fourth-order moments</w:t>
      </w:r>
      <w:r w:rsidR="00FF749C">
        <w:t>; t</w:t>
      </w:r>
      <w:r w:rsidRPr="00104EDD">
        <w:t>he</w:t>
      </w:r>
      <w:r w:rsidR="00FF749C">
        <w:t xml:space="preserve"> </w:t>
      </w:r>
      <w:r w:rsidR="00FF749C" w:rsidRPr="00FF749C">
        <w:rPr>
          <w:i/>
          <w:sz w:val="25"/>
          <w:szCs w:val="25"/>
        </w:rPr>
        <w:t>ε</w:t>
      </w:r>
      <w:r w:rsidR="00FF749C" w:rsidRPr="00FF749C">
        <w:rPr>
          <w:i/>
          <w:position w:val="-2"/>
          <w:vertAlign w:val="subscript"/>
        </w:rPr>
        <w:t>it</w:t>
      </w:r>
      <w:r w:rsidR="00FF749C">
        <w:t xml:space="preserve"> </w:t>
      </w:r>
      <w:r w:rsidRPr="00104EDD">
        <w:t>are also distributed independently of the regressors,</w:t>
      </w:r>
      <w:r w:rsidR="00C12A54">
        <w:t xml:space="preserve"> </w:t>
      </w:r>
      <w:r w:rsidR="00C12A54" w:rsidRPr="00C12A54">
        <w:rPr>
          <w:i/>
          <w:szCs w:val="25"/>
        </w:rPr>
        <w:t>X</w:t>
      </w:r>
      <w:r w:rsidR="00C12A54" w:rsidRPr="00C12A54">
        <w:rPr>
          <w:i/>
          <w:position w:val="-2"/>
          <w:vertAlign w:val="subscript"/>
        </w:rPr>
        <w:t>it</w:t>
      </w:r>
      <w:r w:rsidRPr="00104EDD">
        <w:t xml:space="preserve">. We </w:t>
      </w:r>
      <w:r w:rsidR="00FF749C">
        <w:t>further</w:t>
      </w:r>
      <w:r w:rsidRPr="00104EDD">
        <w:t xml:space="preserve"> assume</w:t>
      </w:r>
      <w:r w:rsidR="003F71A8">
        <w:t xml:space="preserve"> that</w:t>
      </w:r>
      <w:r w:rsidRPr="00104EDD">
        <w:t xml:space="preserve"> the long-run equation is stable</w:t>
      </w:r>
      <w:r w:rsidR="00FF749C">
        <w:t>,</w:t>
      </w:r>
      <w:r w:rsidRPr="00104EDD">
        <w:t xml:space="preserve"> and</w:t>
      </w:r>
      <w:r w:rsidR="00C12A54">
        <w:t xml:space="preserve"> that </w:t>
      </w:r>
      <w:r w:rsidR="00C12A54" w:rsidRPr="00C12A54">
        <w:rPr>
          <w:i/>
          <w:sz w:val="26"/>
          <w:szCs w:val="26"/>
        </w:rPr>
        <w:t>ϕ</w:t>
      </w:r>
      <w:proofErr w:type="spellStart"/>
      <w:r w:rsidR="00C12A54" w:rsidRPr="00C12A54">
        <w:rPr>
          <w:i/>
          <w:position w:val="-2"/>
          <w:vertAlign w:val="subscript"/>
        </w:rPr>
        <w:t>i</w:t>
      </w:r>
      <w:proofErr w:type="spellEnd"/>
      <w:r w:rsidR="00C12A54" w:rsidRPr="00C12A54">
        <w:rPr>
          <w:sz w:val="18"/>
        </w:rPr>
        <w:t xml:space="preserve"> &lt; </w:t>
      </w:r>
      <w:r w:rsidR="00C12A54">
        <w:t>0</w:t>
      </w:r>
      <w:r w:rsidRPr="00104EDD">
        <w:rPr>
          <w:rFonts w:hint="eastAsia"/>
        </w:rPr>
        <w:t xml:space="preserve">, </w:t>
      </w:r>
      <w:r w:rsidR="00C12A54">
        <w:t>such that</w:t>
      </w:r>
      <w:r w:rsidRPr="00104EDD">
        <w:t xml:space="preserve"> </w:t>
      </w:r>
      <w:r w:rsidR="00C12A54" w:rsidRPr="00104EDD">
        <w:t xml:space="preserve">a long-run relationship </w:t>
      </w:r>
      <w:r w:rsidR="00FF749C">
        <w:t xml:space="preserve">is assumed to </w:t>
      </w:r>
      <w:r w:rsidRPr="00104EDD">
        <w:t>exist between</w:t>
      </w:r>
      <w:r w:rsidRPr="00104EDD">
        <w:rPr>
          <w:rFonts w:hint="eastAsia"/>
        </w:rPr>
        <w:t xml:space="preserve"> </w:t>
      </w:r>
      <w:r w:rsidR="00C12A54">
        <w:rPr>
          <w:i/>
          <w:szCs w:val="25"/>
        </w:rPr>
        <w:t>y</w:t>
      </w:r>
      <w:r w:rsidR="00C12A54" w:rsidRPr="00C12A54">
        <w:rPr>
          <w:i/>
          <w:position w:val="-2"/>
          <w:vertAlign w:val="subscript"/>
        </w:rPr>
        <w:t>it</w:t>
      </w:r>
      <w:r w:rsidR="00C12A54" w:rsidRPr="00104EDD">
        <w:rPr>
          <w:rFonts w:hint="eastAsia"/>
        </w:rPr>
        <w:t xml:space="preserve"> </w:t>
      </w:r>
      <w:r w:rsidRPr="00104EDD">
        <w:rPr>
          <w:rFonts w:hint="eastAsia"/>
        </w:rPr>
        <w:t>and</w:t>
      </w:r>
      <w:r w:rsidR="00C12A54" w:rsidRPr="00C12A54">
        <w:rPr>
          <w:i/>
          <w:szCs w:val="25"/>
        </w:rPr>
        <w:t xml:space="preserve"> X</w:t>
      </w:r>
      <w:r w:rsidR="00C12A54" w:rsidRPr="00C12A54">
        <w:rPr>
          <w:i/>
          <w:position w:val="-2"/>
          <w:vertAlign w:val="subscript"/>
        </w:rPr>
        <w:t>it</w:t>
      </w:r>
      <w:r w:rsidRPr="00104EDD">
        <w:t xml:space="preserve">. The long-run coefficients on </w:t>
      </w:r>
      <w:r w:rsidR="00C12A54" w:rsidRPr="00C12A54">
        <w:rPr>
          <w:i/>
          <w:szCs w:val="25"/>
        </w:rPr>
        <w:t>X</w:t>
      </w:r>
      <w:r w:rsidR="00C12A54" w:rsidRPr="00C12A54">
        <w:rPr>
          <w:i/>
          <w:position w:val="-2"/>
          <w:vertAlign w:val="subscript"/>
        </w:rPr>
        <w:t>it</w:t>
      </w:r>
      <w:r w:rsidR="00C12A54">
        <w:t xml:space="preserve">, which </w:t>
      </w:r>
      <w:r w:rsidRPr="00104EDD">
        <w:t xml:space="preserve">are defined </w:t>
      </w:r>
      <w:r w:rsidR="00FF749C">
        <w:t xml:space="preserve">in this study </w:t>
      </w:r>
      <w:r w:rsidR="00B13317">
        <w:t>as</w:t>
      </w:r>
      <w:r w:rsidR="00C30E34">
        <w:t xml:space="preserve"> </w:t>
      </w:r>
      <w:r w:rsidR="00C30E34" w:rsidRPr="00C30E34">
        <w:rPr>
          <w:i/>
        </w:rPr>
        <w:t>θ</w:t>
      </w:r>
      <w:proofErr w:type="spellStart"/>
      <w:r w:rsidR="00C30E34" w:rsidRPr="00C12A54">
        <w:rPr>
          <w:i/>
          <w:position w:val="-2"/>
          <w:vertAlign w:val="subscript"/>
        </w:rPr>
        <w:t>i</w:t>
      </w:r>
      <w:proofErr w:type="spellEnd"/>
      <w:r w:rsidR="00C30E34" w:rsidRPr="00C30E34">
        <w:rPr>
          <w:sz w:val="20"/>
          <w:vertAlign w:val="subscript"/>
        </w:rPr>
        <w:t xml:space="preserve"> </w:t>
      </w:r>
      <w:r w:rsidR="00C12A54" w:rsidRPr="00C30E34">
        <w:rPr>
          <w:sz w:val="20"/>
        </w:rPr>
        <w:t>=</w:t>
      </w:r>
      <w:r w:rsidR="00C12A54" w:rsidRPr="00C30E34">
        <w:rPr>
          <w:sz w:val="12"/>
        </w:rPr>
        <w:t xml:space="preserve"> </w:t>
      </w:r>
      <w:r w:rsidR="00C12A54" w:rsidRPr="00C12A54">
        <w:rPr>
          <w:position w:val="2"/>
          <w:sz w:val="18"/>
        </w:rPr>
        <w:t>–</w:t>
      </w:r>
      <w:r w:rsidR="00C30E34" w:rsidRPr="00C30E34">
        <w:rPr>
          <w:position w:val="2"/>
          <w:sz w:val="10"/>
          <w:vertAlign w:val="subscript"/>
        </w:rPr>
        <w:t xml:space="preserve"> </w:t>
      </w:r>
      <w:r w:rsidR="00C12A54" w:rsidRPr="00C30E34">
        <w:rPr>
          <w:i/>
        </w:rPr>
        <w:t>β</w:t>
      </w:r>
      <w:r w:rsidR="00C30E34" w:rsidRPr="00C30E34">
        <w:rPr>
          <w:i/>
          <w:spacing w:val="-20"/>
        </w:rPr>
        <w:t>′</w:t>
      </w:r>
      <w:proofErr w:type="spellStart"/>
      <w:r w:rsidR="00C30E34" w:rsidRPr="00C30E34">
        <w:rPr>
          <w:i/>
          <w:spacing w:val="-20"/>
          <w:position w:val="-2"/>
          <w:vertAlign w:val="subscript"/>
        </w:rPr>
        <w:t>i</w:t>
      </w:r>
      <w:proofErr w:type="spellEnd"/>
      <w:r w:rsidR="00C30E34" w:rsidRPr="00C30E34">
        <w:rPr>
          <w:position w:val="-2"/>
          <w:sz w:val="14"/>
          <w:szCs w:val="26"/>
          <w:vertAlign w:val="subscript"/>
        </w:rPr>
        <w:t xml:space="preserve"> </w:t>
      </w:r>
      <w:r w:rsidR="00C12A54" w:rsidRPr="00C12A54">
        <w:rPr>
          <w:position w:val="-2"/>
          <w:sz w:val="28"/>
          <w:szCs w:val="26"/>
        </w:rPr>
        <w:t>/</w:t>
      </w:r>
      <w:r w:rsidR="00C30E34" w:rsidRPr="00C12A54">
        <w:rPr>
          <w:i/>
          <w:sz w:val="26"/>
          <w:szCs w:val="26"/>
        </w:rPr>
        <w:t>ϕ</w:t>
      </w:r>
      <w:proofErr w:type="spellStart"/>
      <w:r w:rsidR="00C30E34" w:rsidRPr="00C12A54">
        <w:rPr>
          <w:i/>
          <w:position w:val="-2"/>
          <w:vertAlign w:val="subscript"/>
        </w:rPr>
        <w:t>i</w:t>
      </w:r>
      <w:proofErr w:type="spellEnd"/>
      <w:r w:rsidRPr="00104EDD">
        <w:t>, are the same across the groups</w:t>
      </w:r>
      <w:r w:rsidR="00FF749C">
        <w:t>, with b</w:t>
      </w:r>
      <w:r w:rsidR="00C30E34">
        <w:t>oth t</w:t>
      </w:r>
      <w:r w:rsidRPr="00104EDD">
        <w:t>he long-run coefficient</w:t>
      </w:r>
      <w:r w:rsidR="00FF749C">
        <w:t>s,</w:t>
      </w:r>
      <w:r w:rsidR="00FF749C" w:rsidRPr="00FF749C">
        <w:rPr>
          <w:vertAlign w:val="subscript"/>
        </w:rPr>
        <w:t xml:space="preserve"> </w:t>
      </w:r>
      <w:r w:rsidR="00C30E34" w:rsidRPr="00C30E34">
        <w:rPr>
          <w:i/>
        </w:rPr>
        <w:t>θ</w:t>
      </w:r>
      <w:proofErr w:type="spellStart"/>
      <w:r w:rsidR="00C30E34" w:rsidRPr="00C12A54">
        <w:rPr>
          <w:i/>
          <w:position w:val="-2"/>
          <w:vertAlign w:val="subscript"/>
        </w:rPr>
        <w:t>i</w:t>
      </w:r>
      <w:proofErr w:type="spellEnd"/>
      <w:r w:rsidRPr="00104EDD">
        <w:t>,</w:t>
      </w:r>
      <w:r w:rsidRPr="00C30E34">
        <w:rPr>
          <w:sz w:val="12"/>
          <w:vertAlign w:val="subscript"/>
        </w:rPr>
        <w:t xml:space="preserve"> </w:t>
      </w:r>
      <w:r w:rsidRPr="00104EDD">
        <w:t>and group-specific error-correction coefficients</w:t>
      </w:r>
      <w:r w:rsidR="00C30E34">
        <w:t>,</w:t>
      </w:r>
      <w:r w:rsidR="00C30E34" w:rsidRPr="00C30E34">
        <w:rPr>
          <w:sz w:val="12"/>
          <w:vertAlign w:val="subscript"/>
        </w:rPr>
        <w:t xml:space="preserve"> </w:t>
      </w:r>
      <w:r w:rsidR="00C30E34" w:rsidRPr="00C12A54">
        <w:rPr>
          <w:i/>
          <w:sz w:val="26"/>
          <w:szCs w:val="26"/>
        </w:rPr>
        <w:t>ϕ</w:t>
      </w:r>
      <w:proofErr w:type="spellStart"/>
      <w:r w:rsidR="00C30E34" w:rsidRPr="00C12A54">
        <w:rPr>
          <w:i/>
          <w:position w:val="-2"/>
          <w:vertAlign w:val="subscript"/>
        </w:rPr>
        <w:t>i</w:t>
      </w:r>
      <w:proofErr w:type="spellEnd"/>
      <w:r w:rsidRPr="00104EDD">
        <w:t>,</w:t>
      </w:r>
      <w:r w:rsidRPr="00C30E34">
        <w:rPr>
          <w:sz w:val="12"/>
          <w:vertAlign w:val="subscript"/>
        </w:rPr>
        <w:t xml:space="preserve"> </w:t>
      </w:r>
      <w:r w:rsidR="00FF749C">
        <w:t>being</w:t>
      </w:r>
      <w:r w:rsidRPr="00104EDD">
        <w:t xml:space="preserve"> computed </w:t>
      </w:r>
      <w:r w:rsidR="00C30E34">
        <w:t>using</w:t>
      </w:r>
      <w:r w:rsidRPr="00104EDD">
        <w:t xml:space="preserve"> maximum likelihood (ML) estimation</w:t>
      </w:r>
      <w:r w:rsidR="00C30E34">
        <w:t>s</w:t>
      </w:r>
      <w:r w:rsidRPr="00104EDD">
        <w:t xml:space="preserve">. </w:t>
      </w:r>
    </w:p>
    <w:p w14:paraId="59A1DB2C" w14:textId="72612830" w:rsidR="00AB75D3" w:rsidRDefault="00FF749C" w:rsidP="003F71A8">
      <w:pPr>
        <w:spacing w:line="480" w:lineRule="auto"/>
        <w:ind w:firstLine="475"/>
        <w:jc w:val="both"/>
      </w:pPr>
      <w:r>
        <w:t>In order t</w:t>
      </w:r>
      <w:r w:rsidR="00AB75D3" w:rsidRPr="00104EDD">
        <w:t xml:space="preserve">o explore the relationships between </w:t>
      </w:r>
      <w:r w:rsidR="00AB75D3">
        <w:t xml:space="preserve">the </w:t>
      </w:r>
      <w:r w:rsidR="00C30E34" w:rsidRPr="00104EDD">
        <w:t>NPL</w:t>
      </w:r>
      <w:r w:rsidR="00C30E34">
        <w:t xml:space="preserve"> </w:t>
      </w:r>
      <w:r w:rsidR="00AB75D3">
        <w:t xml:space="preserve">ratios </w:t>
      </w:r>
      <w:r w:rsidR="00AB75D3" w:rsidRPr="00104EDD">
        <w:t xml:space="preserve">and </w:t>
      </w:r>
      <w:r w:rsidR="00AB75D3">
        <w:t>h</w:t>
      </w:r>
      <w:r w:rsidR="00AB75D3" w:rsidRPr="00104EDD">
        <w:t>ous</w:t>
      </w:r>
      <w:r w:rsidR="00C30E34">
        <w:t>e</w:t>
      </w:r>
      <w:r w:rsidR="00AB75D3" w:rsidRPr="00104EDD">
        <w:t xml:space="preserve"> price</w:t>
      </w:r>
      <w:r w:rsidR="00C30E34">
        <w:t>s</w:t>
      </w:r>
      <w:r w:rsidR="00AB75D3" w:rsidRPr="00104EDD">
        <w:t xml:space="preserve">, </w:t>
      </w:r>
      <w:r w:rsidR="00AB75D3">
        <w:t>t</w:t>
      </w:r>
      <w:r w:rsidR="00AB75D3" w:rsidRPr="00104EDD">
        <w:t>he autoregressive distributed lags</w:t>
      </w:r>
      <w:r w:rsidR="00C30E34">
        <w:t>,</w:t>
      </w:r>
      <w:r w:rsidR="00C30E34" w:rsidRPr="00104EDD">
        <w:t xml:space="preserve"> ARDL</w:t>
      </w:r>
      <w:r w:rsidR="00C30E34" w:rsidRPr="00C30E34">
        <w:rPr>
          <w:sz w:val="12"/>
          <w:vertAlign w:val="subscript"/>
        </w:rPr>
        <w:t xml:space="preserve"> </w:t>
      </w:r>
      <w:r w:rsidR="00C30E34" w:rsidRPr="00104EDD">
        <w:t>(1,</w:t>
      </w:r>
      <w:r w:rsidR="00C30E34" w:rsidRPr="00C30E34">
        <w:rPr>
          <w:sz w:val="12"/>
          <w:vertAlign w:val="subscript"/>
        </w:rPr>
        <w:t xml:space="preserve"> </w:t>
      </w:r>
      <w:r w:rsidR="00C30E34" w:rsidRPr="00104EDD">
        <w:t>1)</w:t>
      </w:r>
      <w:r w:rsidR="00C30E34">
        <w:t xml:space="preserve">, </w:t>
      </w:r>
      <w:r>
        <w:t xml:space="preserve">the </w:t>
      </w:r>
      <w:r w:rsidR="00AB75D3" w:rsidRPr="00104EDD">
        <w:t>dynamic panel representation of the long-run equation</w:t>
      </w:r>
      <w:r>
        <w:t>,</w:t>
      </w:r>
      <w:r w:rsidR="00C30E34">
        <w:t xml:space="preserve"> </w:t>
      </w:r>
      <w:r>
        <w:t>are</w:t>
      </w:r>
      <w:r w:rsidR="00C30E34">
        <w:t xml:space="preserve"> expressed as</w:t>
      </w:r>
      <w:r w:rsidR="00AB75D3" w:rsidRPr="00104EDD">
        <w:t xml:space="preserve">: </w:t>
      </w:r>
    </w:p>
    <w:p w14:paraId="5FC59A14" w14:textId="22263C56" w:rsidR="00AB75D3" w:rsidRPr="00AB75D3" w:rsidRDefault="00CD0D0B" w:rsidP="00AB75D3">
      <w:pPr>
        <w:spacing w:line="480" w:lineRule="auto"/>
        <w:jc w:val="right"/>
      </w:pPr>
      <m:oMath>
        <m:sSub>
          <m:sSubPr>
            <m:ctrlPr>
              <w:rPr>
                <w:rFonts w:ascii="Cambria Math" w:hAnsi="Cambria Math"/>
              </w:rPr>
            </m:ctrlPr>
          </m:sSubPr>
          <m:e>
            <m:r>
              <w:rPr>
                <w:rFonts w:ascii="Cambria Math" w:hAnsi="Cambria Math"/>
              </w:rPr>
              <m:t>NPL</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λ</m:t>
            </m:r>
          </m:e>
          <m:sub>
            <m:r>
              <w:rPr>
                <w:rFonts w:ascii="Cambria Math" w:hAnsi="Cambria Math"/>
              </w:rPr>
              <m:t>i</m:t>
            </m:r>
          </m:sub>
        </m:sSub>
        <m:sSub>
          <m:sSubPr>
            <m:ctrlPr>
              <w:rPr>
                <w:rFonts w:ascii="Cambria Math" w:hAnsi="Cambria Math"/>
                <w:i/>
              </w:rPr>
            </m:ctrlPr>
          </m:sSubPr>
          <m:e>
            <m:r>
              <w:rPr>
                <w:rFonts w:ascii="Cambria Math" w:hAnsi="Cambria Math"/>
              </w:rPr>
              <m:t>NPL</m:t>
            </m:r>
          </m:e>
          <m:sub>
            <m:r>
              <w:rPr>
                <w:rFonts w:ascii="Cambria Math" w:hAnsi="Cambria Math"/>
              </w:rPr>
              <m:t>i, t-1</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10i</m:t>
            </m:r>
          </m:sub>
        </m:sSub>
        <m:sSub>
          <m:sSubPr>
            <m:ctrlPr>
              <w:rPr>
                <w:rFonts w:ascii="Cambria Math" w:hAnsi="Cambria Math"/>
                <w:i/>
              </w:rPr>
            </m:ctrlPr>
          </m:sSubPr>
          <m:e>
            <m:r>
              <w:rPr>
                <w:rFonts w:ascii="Cambria Math" w:hAnsi="Cambria Math"/>
              </w:rPr>
              <m:t>HP</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11i</m:t>
            </m:r>
          </m:sub>
        </m:sSub>
        <m:sSub>
          <m:sSubPr>
            <m:ctrlPr>
              <w:rPr>
                <w:rFonts w:ascii="Cambria Math" w:hAnsi="Cambria Math"/>
                <w:i/>
              </w:rPr>
            </m:ctrlPr>
          </m:sSubPr>
          <m:e>
            <m:r>
              <w:rPr>
                <w:rFonts w:ascii="Cambria Math" w:hAnsi="Cambria Math"/>
              </w:rPr>
              <m:t>HP</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w:proofErr w:type="gramStart"/>
      <w:r w:rsidR="00AB75D3">
        <w:t xml:space="preserve">,   </w:t>
      </w:r>
      <w:proofErr w:type="gramEnd"/>
      <w:r w:rsidR="00AB75D3">
        <w:t xml:space="preserve">  </w:t>
      </w:r>
      <w:r w:rsidR="007C026D">
        <w:t xml:space="preserve">   </w:t>
      </w:r>
      <w:r w:rsidR="00AB75D3" w:rsidRPr="00CF5BB6">
        <w:t>(3)</w:t>
      </w:r>
    </w:p>
    <w:p w14:paraId="073631B2" w14:textId="77777777" w:rsidR="00AB75D3" w:rsidRDefault="00AB75D3" w:rsidP="00AB75D3">
      <w:pPr>
        <w:spacing w:line="480" w:lineRule="auto"/>
        <w:jc w:val="both"/>
      </w:pPr>
      <w:r w:rsidRPr="00104EDD">
        <w:t>and the error-correction representation is:</w:t>
      </w:r>
    </w:p>
    <w:p w14:paraId="74521922" w14:textId="5887D7D4" w:rsidR="00AB75D3" w:rsidRDefault="00CD0D0B" w:rsidP="00AB75D3">
      <w:pPr>
        <w:spacing w:line="480" w:lineRule="auto"/>
        <w:jc w:val="right"/>
      </w:pPr>
      <m:oMath>
        <m:sSub>
          <m:sSubPr>
            <m:ctrlPr>
              <w:rPr>
                <w:rFonts w:ascii="Cambria Math" w:hAnsi="Cambria Math"/>
              </w:rPr>
            </m:ctrlPr>
          </m:sSubPr>
          <m:e>
            <m:r>
              <m:rPr>
                <m:sty m:val="p"/>
              </m:rPr>
              <w:rPr>
                <w:rFonts w:ascii="Cambria Math" w:hAnsi="Cambria Math"/>
              </w:rPr>
              <m:t>Δ</m:t>
            </m:r>
            <m:r>
              <w:rPr>
                <w:rFonts w:ascii="Cambria Math" w:hAnsi="Cambria Math"/>
              </w:rPr>
              <m:t>NPL</m:t>
            </m:r>
          </m:e>
          <m:sub>
            <m:r>
              <w:rPr>
                <w:rFonts w:ascii="Cambria Math" w:hAnsi="Cambria Math"/>
              </w:rPr>
              <m:t>it</m:t>
            </m:r>
          </m:sub>
        </m:sSub>
        <m:r>
          <w:rPr>
            <w:rFonts w:ascii="Cambria Math" w:hAnsi="Cambria Math"/>
          </w:rPr>
          <m:t>=</m:t>
        </m:r>
        <m:sSub>
          <m:sSubPr>
            <m:ctrlPr>
              <w:rPr>
                <w:rFonts w:ascii="Cambria Math" w:hAnsi="Cambria Math"/>
              </w:rPr>
            </m:ctrlPr>
          </m:sSubPr>
          <m:e>
            <m:r>
              <w:rPr>
                <w:rFonts w:ascii="Cambria Math" w:hAnsi="Cambria Math"/>
              </w:rPr>
              <m:t>ϕ</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NPL</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1i</m:t>
                </m:r>
              </m:sub>
            </m:sSub>
            <m:sSub>
              <m:sSubPr>
                <m:ctrlPr>
                  <w:rPr>
                    <w:rFonts w:ascii="Cambria Math" w:hAnsi="Cambria Math"/>
                    <w:i/>
                  </w:rPr>
                </m:ctrlPr>
              </m:sSubPr>
              <m:e>
                <m:r>
                  <w:rPr>
                    <w:rFonts w:ascii="Cambria Math" w:hAnsi="Cambria Math"/>
                  </w:rPr>
                  <m:t>HP</m:t>
                </m:r>
              </m:e>
              <m:sub>
                <m:r>
                  <w:rPr>
                    <w:rFonts w:ascii="Cambria Math" w:hAnsi="Cambria Math"/>
                  </w:rPr>
                  <m:t>it-1</m:t>
                </m:r>
              </m:sub>
            </m:sSub>
          </m:e>
        </m:d>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10</m:t>
            </m:r>
          </m:sub>
        </m:sSub>
        <m:sSub>
          <m:sSubPr>
            <m:ctrlPr>
              <w:rPr>
                <w:rFonts w:ascii="Cambria Math" w:hAnsi="Cambria Math"/>
                <w:i/>
              </w:rPr>
            </m:ctrlPr>
          </m:sSubPr>
          <m:e>
            <m:r>
              <w:rPr>
                <w:rFonts w:ascii="Cambria Math" w:hAnsi="Cambria Math"/>
              </w:rPr>
              <m:t>ΔHP</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w:proofErr w:type="gramStart"/>
      <w:r w:rsidR="00FF749C">
        <w:t>,</w:t>
      </w:r>
      <w:r w:rsidR="00AB75D3">
        <w:t xml:space="preserve">  </w:t>
      </w:r>
      <w:r w:rsidR="00FF749C">
        <w:t xml:space="preserve"> </w:t>
      </w:r>
      <w:proofErr w:type="gramEnd"/>
      <w:r w:rsidR="00FF749C">
        <w:t xml:space="preserve"> </w:t>
      </w:r>
      <w:r w:rsidR="00AB75D3">
        <w:t xml:space="preserve"> </w:t>
      </w:r>
      <w:r w:rsidR="007C026D">
        <w:t xml:space="preserve"> </w:t>
      </w:r>
      <w:r w:rsidR="00AB75D3" w:rsidRPr="00CF5BB6">
        <w:t>(4)</w:t>
      </w:r>
    </w:p>
    <w:p w14:paraId="1F09E49E" w14:textId="6450D7FB" w:rsidR="006945FF" w:rsidRPr="00FF749C" w:rsidRDefault="00FF749C" w:rsidP="00FF749C">
      <w:pPr>
        <w:spacing w:line="480" w:lineRule="auto"/>
        <w:jc w:val="both"/>
        <w:rPr>
          <w:spacing w:val="-2"/>
        </w:rPr>
      </w:pPr>
      <w:r w:rsidRPr="00FF749C">
        <w:rPr>
          <w:spacing w:val="-2"/>
        </w:rPr>
        <w:t>where</w:t>
      </w:r>
      <w:r w:rsidR="00C30E34" w:rsidRPr="00FF749C">
        <w:rPr>
          <w:spacing w:val="-2"/>
        </w:rPr>
        <w:t xml:space="preserve"> </w:t>
      </w:r>
      <w:r w:rsidR="00AB75D3" w:rsidRPr="00FF749C">
        <w:rPr>
          <w:rFonts w:hint="eastAsia"/>
          <w:i/>
          <w:spacing w:val="-2"/>
        </w:rPr>
        <w:t>NPL</w:t>
      </w:r>
      <w:r w:rsidR="00AB75D3" w:rsidRPr="00FF749C">
        <w:rPr>
          <w:rFonts w:hint="eastAsia"/>
          <w:spacing w:val="-2"/>
        </w:rPr>
        <w:t xml:space="preserve"> </w:t>
      </w:r>
      <w:r w:rsidRPr="00FF749C">
        <w:rPr>
          <w:spacing w:val="-2"/>
        </w:rPr>
        <w:t>are</w:t>
      </w:r>
      <w:r w:rsidR="00AB75D3" w:rsidRPr="00FF749C">
        <w:rPr>
          <w:rFonts w:hint="eastAsia"/>
          <w:spacing w:val="-2"/>
        </w:rPr>
        <w:t xml:space="preserve"> the </w:t>
      </w:r>
      <w:r w:rsidR="00AB75D3" w:rsidRPr="00FF749C">
        <w:rPr>
          <w:spacing w:val="-2"/>
        </w:rPr>
        <w:t xml:space="preserve">quarterly </w:t>
      </w:r>
      <w:r w:rsidR="00C30E34" w:rsidRPr="00FF749C">
        <w:rPr>
          <w:rFonts w:hint="eastAsia"/>
          <w:spacing w:val="-2"/>
        </w:rPr>
        <w:t>NPL</w:t>
      </w:r>
      <w:r w:rsidR="00C30E34" w:rsidRPr="00FF749C">
        <w:rPr>
          <w:spacing w:val="-2"/>
        </w:rPr>
        <w:t xml:space="preserve"> </w:t>
      </w:r>
      <w:r w:rsidR="00AB75D3" w:rsidRPr="00FF749C">
        <w:rPr>
          <w:rFonts w:hint="eastAsia"/>
          <w:spacing w:val="-2"/>
        </w:rPr>
        <w:t xml:space="preserve">ratios, which include all </w:t>
      </w:r>
      <w:r w:rsidR="00AB75D3" w:rsidRPr="00FF749C">
        <w:rPr>
          <w:spacing w:val="-2"/>
        </w:rPr>
        <w:t>categories</w:t>
      </w:r>
      <w:r w:rsidR="00AB75D3" w:rsidRPr="00FF749C">
        <w:rPr>
          <w:rFonts w:hint="eastAsia"/>
          <w:spacing w:val="-2"/>
        </w:rPr>
        <w:t xml:space="preserve"> </w:t>
      </w:r>
      <w:r w:rsidR="00AB75D3" w:rsidRPr="00FF749C">
        <w:rPr>
          <w:spacing w:val="-2"/>
        </w:rPr>
        <w:t xml:space="preserve">of bank loans </w:t>
      </w:r>
      <w:r w:rsidR="00C30E34" w:rsidRPr="00FF749C">
        <w:rPr>
          <w:spacing w:val="-4"/>
        </w:rPr>
        <w:t>between</w:t>
      </w:r>
      <w:r w:rsidR="00AB75D3" w:rsidRPr="00FF749C">
        <w:rPr>
          <w:spacing w:val="-4"/>
        </w:rPr>
        <w:t xml:space="preserve"> </w:t>
      </w:r>
      <w:r w:rsidR="00C30E34" w:rsidRPr="00FF749C">
        <w:rPr>
          <w:spacing w:val="-4"/>
        </w:rPr>
        <w:t xml:space="preserve">Q2 </w:t>
      </w:r>
      <w:r w:rsidR="00AB75D3" w:rsidRPr="00FF749C">
        <w:rPr>
          <w:spacing w:val="-4"/>
        </w:rPr>
        <w:t>2006</w:t>
      </w:r>
      <w:r w:rsidR="00C30E34" w:rsidRPr="00FF749C">
        <w:rPr>
          <w:spacing w:val="-4"/>
        </w:rPr>
        <w:t xml:space="preserve"> and Q4 </w:t>
      </w:r>
      <w:r w:rsidR="00AB75D3" w:rsidRPr="00FF749C">
        <w:rPr>
          <w:spacing w:val="-4"/>
        </w:rPr>
        <w:t>2015</w:t>
      </w:r>
      <w:r w:rsidRPr="00FF749C">
        <w:rPr>
          <w:spacing w:val="-4"/>
        </w:rPr>
        <w:t>; and</w:t>
      </w:r>
      <w:r w:rsidR="00AB75D3" w:rsidRPr="00FF749C">
        <w:rPr>
          <w:spacing w:val="-4"/>
        </w:rPr>
        <w:t xml:space="preserve"> </w:t>
      </w:r>
      <w:r w:rsidR="00AB75D3" w:rsidRPr="00FF749C">
        <w:rPr>
          <w:i/>
          <w:spacing w:val="-4"/>
        </w:rPr>
        <w:t>HP</w:t>
      </w:r>
      <w:r w:rsidR="00AB75D3" w:rsidRPr="00FF749C">
        <w:rPr>
          <w:spacing w:val="-4"/>
        </w:rPr>
        <w:t xml:space="preserve"> denotes the housing price index in logarithm</w:t>
      </w:r>
      <w:r w:rsidRPr="00FF749C">
        <w:rPr>
          <w:spacing w:val="-4"/>
        </w:rPr>
        <w:t>ic</w:t>
      </w:r>
      <w:r w:rsidR="00AB75D3" w:rsidRPr="00FF749C">
        <w:rPr>
          <w:spacing w:val="-2"/>
        </w:rPr>
        <w:t xml:space="preserve"> form. The bank-level data includes 29 local Taiwanese banks</w:t>
      </w:r>
      <w:r w:rsidRPr="00FF749C">
        <w:rPr>
          <w:spacing w:val="-2"/>
        </w:rPr>
        <w:t xml:space="preserve">, with </w:t>
      </w:r>
      <w:r w:rsidR="00AB75D3" w:rsidRPr="00FF749C">
        <w:rPr>
          <w:spacing w:val="-2"/>
        </w:rPr>
        <w:t xml:space="preserve">the panel analysis </w:t>
      </w:r>
      <w:r w:rsidRPr="00FF749C">
        <w:rPr>
          <w:spacing w:val="-2"/>
        </w:rPr>
        <w:t>being</w:t>
      </w:r>
      <w:r w:rsidR="00AB75D3" w:rsidRPr="00FF749C">
        <w:rPr>
          <w:spacing w:val="-2"/>
        </w:rPr>
        <w:t xml:space="preserve"> </w:t>
      </w:r>
      <w:r w:rsidRPr="00FF749C">
        <w:rPr>
          <w:spacing w:val="-2"/>
        </w:rPr>
        <w:t>carried out</w:t>
      </w:r>
      <w:r w:rsidR="00AB75D3" w:rsidRPr="00FF749C">
        <w:rPr>
          <w:spacing w:val="-2"/>
        </w:rPr>
        <w:t xml:space="preserve"> </w:t>
      </w:r>
      <w:r>
        <w:rPr>
          <w:spacing w:val="-2"/>
        </w:rPr>
        <w:t>using</w:t>
      </w:r>
      <w:r w:rsidR="00AB75D3" w:rsidRPr="00FF749C">
        <w:rPr>
          <w:spacing w:val="-2"/>
        </w:rPr>
        <w:t xml:space="preserve"> </w:t>
      </w:r>
      <w:r w:rsidRPr="00FF749C">
        <w:rPr>
          <w:spacing w:val="-2"/>
        </w:rPr>
        <w:t>MG</w:t>
      </w:r>
      <w:r w:rsidR="00AB75D3" w:rsidRPr="00FF749C">
        <w:rPr>
          <w:spacing w:val="-2"/>
        </w:rPr>
        <w:t xml:space="preserve">, </w:t>
      </w:r>
      <w:r w:rsidRPr="00FF749C">
        <w:rPr>
          <w:spacing w:val="-2"/>
        </w:rPr>
        <w:t xml:space="preserve">PMG and </w:t>
      </w:r>
      <w:r w:rsidR="00AB75D3" w:rsidRPr="00FF749C">
        <w:rPr>
          <w:spacing w:val="-2"/>
        </w:rPr>
        <w:t xml:space="preserve">fixed effect methods to identify the relationships between the </w:t>
      </w:r>
      <w:r w:rsidRPr="00FF749C">
        <w:rPr>
          <w:spacing w:val="-2"/>
        </w:rPr>
        <w:t xml:space="preserve">NPL </w:t>
      </w:r>
      <w:r w:rsidR="00AB75D3" w:rsidRPr="00FF749C">
        <w:rPr>
          <w:spacing w:val="-2"/>
        </w:rPr>
        <w:t>ratios and housing price deviations</w:t>
      </w:r>
      <w:r w:rsidR="006945FF" w:rsidRPr="00FF749C">
        <w:rPr>
          <w:spacing w:val="-2"/>
        </w:rPr>
        <w:t>.</w:t>
      </w:r>
    </w:p>
    <w:p w14:paraId="2FA2D18B" w14:textId="326C83C6" w:rsidR="006945FF" w:rsidRDefault="00EF184A" w:rsidP="00AD5B67">
      <w:pPr>
        <w:spacing w:before="120" w:line="480" w:lineRule="auto"/>
        <w:jc w:val="both"/>
        <w:rPr>
          <w:sz w:val="28"/>
          <w:szCs w:val="28"/>
        </w:rPr>
      </w:pPr>
      <w:r w:rsidRPr="00FF749C">
        <w:rPr>
          <w:sz w:val="28"/>
          <w:szCs w:val="28"/>
        </w:rPr>
        <w:t>4</w:t>
      </w:r>
      <w:r w:rsidR="00750AC0" w:rsidRPr="00FF749C">
        <w:rPr>
          <w:rFonts w:hint="eastAsia"/>
          <w:sz w:val="28"/>
          <w:szCs w:val="28"/>
        </w:rPr>
        <w:t xml:space="preserve">. </w:t>
      </w:r>
      <w:r w:rsidR="00750AC0" w:rsidRPr="00FF749C">
        <w:rPr>
          <w:sz w:val="28"/>
          <w:szCs w:val="28"/>
        </w:rPr>
        <w:tab/>
      </w:r>
      <w:r w:rsidR="00AB75D3" w:rsidRPr="00FF749C">
        <w:rPr>
          <w:sz w:val="28"/>
          <w:szCs w:val="28"/>
        </w:rPr>
        <w:t>RESULTS</w:t>
      </w:r>
      <w:r w:rsidR="00AB75D3">
        <w:rPr>
          <w:sz w:val="28"/>
          <w:szCs w:val="28"/>
        </w:rPr>
        <w:tab/>
      </w:r>
    </w:p>
    <w:p w14:paraId="78F3DC0E" w14:textId="3C37AEEA" w:rsidR="00E6777A" w:rsidRDefault="00FF749C" w:rsidP="00AB75D3">
      <w:pPr>
        <w:spacing w:line="480" w:lineRule="auto"/>
        <w:jc w:val="both"/>
      </w:pPr>
      <w:bookmarkStart w:id="2" w:name="_Toc357457530"/>
      <w:bookmarkStart w:id="3" w:name="_Toc357458131"/>
      <w:r>
        <w:t>T</w:t>
      </w:r>
      <w:r>
        <w:rPr>
          <w:rFonts w:hint="eastAsia"/>
        </w:rPr>
        <w:t xml:space="preserve">he estimation results of the panel data analysis </w:t>
      </w:r>
      <w:r>
        <w:t>of</w:t>
      </w:r>
      <w:r>
        <w:rPr>
          <w:rFonts w:hint="eastAsia"/>
        </w:rPr>
        <w:t xml:space="preserve"> the NPL ratios and house price</w:t>
      </w:r>
      <w:r>
        <w:t>s</w:t>
      </w:r>
      <w:r>
        <w:rPr>
          <w:rFonts w:hint="eastAsia"/>
        </w:rPr>
        <w:t xml:space="preserve">, as described </w:t>
      </w:r>
      <w:r>
        <w:t>in</w:t>
      </w:r>
      <w:r w:rsidRPr="00CF5BB6">
        <w:rPr>
          <w:rFonts w:hint="eastAsia"/>
        </w:rPr>
        <w:t xml:space="preserve"> </w:t>
      </w:r>
      <w:r w:rsidRPr="00CF5BB6">
        <w:t>Equations (3) and (4),</w:t>
      </w:r>
      <w:r>
        <w:t xml:space="preserve"> are presented in</w:t>
      </w:r>
      <w:r w:rsidRPr="00CF5BB6">
        <w:rPr>
          <w:rFonts w:hint="eastAsia"/>
        </w:rPr>
        <w:t xml:space="preserve"> Table</w:t>
      </w:r>
      <w:r w:rsidRPr="00CF5BB6">
        <w:t xml:space="preserve"> 1</w:t>
      </w:r>
      <w:r>
        <w:t>, where w</w:t>
      </w:r>
      <w:r w:rsidR="00AB75D3">
        <w:t xml:space="preserve">e report three specifications, </w:t>
      </w:r>
      <w:r>
        <w:t>based upon a sample of</w:t>
      </w:r>
      <w:r w:rsidR="00AB75D3">
        <w:t xml:space="preserve"> 1</w:t>
      </w:r>
      <w:r>
        <w:t>,</w:t>
      </w:r>
      <w:r w:rsidR="00AB75D3">
        <w:t xml:space="preserve">131 observations </w:t>
      </w:r>
      <w:r>
        <w:t>cove</w:t>
      </w:r>
      <w:r w:rsidR="00AB75D3">
        <w:t xml:space="preserve">ring the </w:t>
      </w:r>
      <w:r>
        <w:t>years</w:t>
      </w:r>
      <w:r w:rsidR="00AB75D3">
        <w:t xml:space="preserve"> 2006 </w:t>
      </w:r>
      <w:r>
        <w:t xml:space="preserve">to </w:t>
      </w:r>
      <w:r w:rsidR="00AB75D3">
        <w:t xml:space="preserve">2015. </w:t>
      </w:r>
      <w:r w:rsidR="004718B6">
        <w:t xml:space="preserve"> </w:t>
      </w:r>
      <w:bookmarkStart w:id="4" w:name="_GoBack"/>
      <w:bookmarkEnd w:id="4"/>
      <w:proofErr w:type="gramStart"/>
      <w:r w:rsidR="00E6777A">
        <w:t>All of</w:t>
      </w:r>
      <w:proofErr w:type="gramEnd"/>
      <w:r w:rsidR="00E6777A">
        <w:t xml:space="preserve"> the error correction coefficients i</w:t>
      </w:r>
      <w:r w:rsidR="00AB75D3">
        <w:t xml:space="preserve">n </w:t>
      </w:r>
      <w:r w:rsidR="00E6777A">
        <w:t xml:space="preserve">the </w:t>
      </w:r>
      <w:r w:rsidR="00AB75D3">
        <w:t>three specifications are</w:t>
      </w:r>
      <w:r>
        <w:t xml:space="preserve"> found to have </w:t>
      </w:r>
      <w:r w:rsidR="00AB75D3">
        <w:t>negative sign</w:t>
      </w:r>
      <w:r w:rsidR="00E6777A">
        <w:t>s</w:t>
      </w:r>
      <w:r>
        <w:t>,</w:t>
      </w:r>
      <w:r w:rsidR="00AB75D3">
        <w:t xml:space="preserve"> </w:t>
      </w:r>
      <w:r>
        <w:t>with</w:t>
      </w:r>
      <w:r w:rsidR="00AB75D3">
        <w:t xml:space="preserve"> significan</w:t>
      </w:r>
      <w:r>
        <w:t>ce</w:t>
      </w:r>
      <w:r w:rsidR="00AB75D3">
        <w:t xml:space="preserve"> </w:t>
      </w:r>
      <w:r>
        <w:t>at</w:t>
      </w:r>
      <w:r w:rsidR="00AB75D3">
        <w:t xml:space="preserve"> </w:t>
      </w:r>
      <w:r>
        <w:t xml:space="preserve">the </w:t>
      </w:r>
      <w:r w:rsidR="00AB75D3">
        <w:t>1</w:t>
      </w:r>
      <w:r w:rsidR="00BF1E98">
        <w:t xml:space="preserve"> per cent</w:t>
      </w:r>
      <w:r w:rsidR="00AB75D3">
        <w:t xml:space="preserve"> level</w:t>
      </w:r>
      <w:r w:rsidR="00E6777A">
        <w:t xml:space="preserve">. </w:t>
      </w:r>
    </w:p>
    <w:p w14:paraId="2CF70009" w14:textId="1AC936A2" w:rsidR="004718B6" w:rsidRDefault="004718B6" w:rsidP="00AB75D3">
      <w:pPr>
        <w:spacing w:line="480" w:lineRule="auto"/>
        <w:jc w:val="both"/>
      </w:pPr>
    </w:p>
    <w:p w14:paraId="3441A4C4" w14:textId="555ACAB8" w:rsidR="004718B6" w:rsidRDefault="004718B6" w:rsidP="00AB75D3">
      <w:pPr>
        <w:spacing w:line="480" w:lineRule="auto"/>
        <w:jc w:val="both"/>
      </w:pPr>
    </w:p>
    <w:p w14:paraId="171FD4AE" w14:textId="3B2ED6E7" w:rsidR="004718B6" w:rsidRDefault="004718B6" w:rsidP="00AB75D3">
      <w:pPr>
        <w:spacing w:line="480" w:lineRule="auto"/>
        <w:jc w:val="both"/>
      </w:pPr>
    </w:p>
    <w:p w14:paraId="0EF71E88" w14:textId="395B0D3D" w:rsidR="004718B6" w:rsidRDefault="004718B6" w:rsidP="00AB75D3">
      <w:pPr>
        <w:spacing w:line="480" w:lineRule="auto"/>
        <w:jc w:val="both"/>
      </w:pPr>
    </w:p>
    <w:p w14:paraId="7517C216" w14:textId="2B7DB989" w:rsidR="004718B6" w:rsidRDefault="004718B6" w:rsidP="00AB75D3">
      <w:pPr>
        <w:spacing w:line="480" w:lineRule="auto"/>
        <w:jc w:val="both"/>
      </w:pPr>
    </w:p>
    <w:p w14:paraId="114373D8" w14:textId="63BFEC59" w:rsidR="004718B6" w:rsidRDefault="004718B6" w:rsidP="00AB75D3">
      <w:pPr>
        <w:spacing w:line="480" w:lineRule="auto"/>
        <w:jc w:val="both"/>
      </w:pPr>
    </w:p>
    <w:p w14:paraId="54DB0C17" w14:textId="726BAE90" w:rsidR="004718B6" w:rsidRDefault="004718B6" w:rsidP="00AB75D3">
      <w:pPr>
        <w:spacing w:line="480" w:lineRule="auto"/>
        <w:jc w:val="both"/>
      </w:pPr>
    </w:p>
    <w:p w14:paraId="2814ACD8" w14:textId="77777777" w:rsidR="004718B6" w:rsidRDefault="004718B6" w:rsidP="00AB75D3">
      <w:pPr>
        <w:spacing w:line="480" w:lineRule="auto"/>
        <w:jc w:val="both"/>
        <w:rPr>
          <w:rFonts w:hint="eastAsia"/>
        </w:rPr>
      </w:pPr>
    </w:p>
    <w:p w14:paraId="3F9360C6" w14:textId="77777777" w:rsidR="004718B6" w:rsidRPr="00E26ED0" w:rsidRDefault="004718B6" w:rsidP="004718B6">
      <w:pPr>
        <w:spacing w:line="240" w:lineRule="exact"/>
      </w:pPr>
    </w:p>
    <w:tbl>
      <w:tblPr>
        <w:tblW w:w="0" w:type="auto"/>
        <w:tblInd w:w="108" w:type="dxa"/>
        <w:tblLayout w:type="fixed"/>
        <w:tblLook w:val="01E0" w:firstRow="1" w:lastRow="1" w:firstColumn="1" w:lastColumn="1" w:noHBand="0" w:noVBand="0"/>
      </w:tblPr>
      <w:tblGrid>
        <w:gridCol w:w="1350"/>
        <w:gridCol w:w="1080"/>
        <w:gridCol w:w="630"/>
        <w:gridCol w:w="1080"/>
        <w:gridCol w:w="630"/>
        <w:gridCol w:w="990"/>
        <w:gridCol w:w="720"/>
        <w:gridCol w:w="1080"/>
        <w:gridCol w:w="630"/>
      </w:tblGrid>
      <w:tr w:rsidR="004718B6" w:rsidRPr="007C026D" w14:paraId="17F9C788" w14:textId="77777777" w:rsidTr="00F37084">
        <w:tc>
          <w:tcPr>
            <w:tcW w:w="1350" w:type="dxa"/>
            <w:tcBorders>
              <w:top w:val="single" w:sz="4" w:space="0" w:color="auto"/>
              <w:bottom w:val="single" w:sz="4" w:space="0" w:color="auto"/>
            </w:tcBorders>
            <w:shd w:val="clear" w:color="auto" w:fill="auto"/>
            <w:vAlign w:val="center"/>
          </w:tcPr>
          <w:p w14:paraId="13F454D7" w14:textId="77777777" w:rsidR="004718B6" w:rsidRPr="007C026D" w:rsidRDefault="004718B6" w:rsidP="00F37084">
            <w:pPr>
              <w:spacing w:before="60" w:after="60" w:line="240" w:lineRule="exact"/>
              <w:ind w:left="-144"/>
              <w:jc w:val="center"/>
              <w:rPr>
                <w:rFonts w:eastAsia="SimSun"/>
                <w:sz w:val="20"/>
                <w:szCs w:val="20"/>
                <w:lang w:eastAsia="zh-CN"/>
              </w:rPr>
            </w:pPr>
            <w:r>
              <w:rPr>
                <w:rFonts w:eastAsia="SimSun"/>
                <w:sz w:val="20"/>
                <w:szCs w:val="20"/>
                <w:lang w:eastAsia="zh-CN"/>
              </w:rPr>
              <w:t>Variables</w:t>
            </w:r>
          </w:p>
        </w:tc>
        <w:tc>
          <w:tcPr>
            <w:tcW w:w="1710" w:type="dxa"/>
            <w:gridSpan w:val="2"/>
            <w:tcBorders>
              <w:top w:val="single" w:sz="4" w:space="0" w:color="auto"/>
              <w:bottom w:val="single" w:sz="4" w:space="0" w:color="auto"/>
            </w:tcBorders>
            <w:shd w:val="clear" w:color="auto" w:fill="auto"/>
            <w:vAlign w:val="center"/>
          </w:tcPr>
          <w:p w14:paraId="1F676578" w14:textId="77777777" w:rsidR="004718B6" w:rsidRPr="007C026D" w:rsidRDefault="004718B6" w:rsidP="00F37084">
            <w:pPr>
              <w:spacing w:before="60" w:after="60" w:line="240" w:lineRule="exact"/>
              <w:ind w:left="-72" w:right="-72"/>
              <w:jc w:val="center"/>
              <w:rPr>
                <w:sz w:val="20"/>
                <w:szCs w:val="20"/>
              </w:rPr>
            </w:pPr>
            <w:r w:rsidRPr="007C026D">
              <w:rPr>
                <w:sz w:val="20"/>
                <w:szCs w:val="20"/>
              </w:rPr>
              <w:t>PMG</w:t>
            </w:r>
            <w:r>
              <w:rPr>
                <w:sz w:val="20"/>
                <w:szCs w:val="20"/>
              </w:rPr>
              <w:t xml:space="preserve"> </w:t>
            </w:r>
            <w:proofErr w:type="gramStart"/>
            <w:r w:rsidRPr="007C026D">
              <w:rPr>
                <w:sz w:val="20"/>
                <w:szCs w:val="20"/>
              </w:rPr>
              <w:t>Estimators</w:t>
            </w:r>
            <w:proofErr w:type="spellStart"/>
            <w:r>
              <w:rPr>
                <w:position w:val="4"/>
                <w:sz w:val="20"/>
                <w:szCs w:val="22"/>
                <w:vertAlign w:val="superscript"/>
              </w:rPr>
              <w:t>b,d</w:t>
            </w:r>
            <w:proofErr w:type="spellEnd"/>
            <w:proofErr w:type="gramEnd"/>
          </w:p>
        </w:tc>
        <w:tc>
          <w:tcPr>
            <w:tcW w:w="1710" w:type="dxa"/>
            <w:gridSpan w:val="2"/>
            <w:tcBorders>
              <w:top w:val="single" w:sz="4" w:space="0" w:color="auto"/>
              <w:bottom w:val="single" w:sz="4" w:space="0" w:color="auto"/>
            </w:tcBorders>
            <w:shd w:val="clear" w:color="auto" w:fill="auto"/>
            <w:vAlign w:val="center"/>
          </w:tcPr>
          <w:p w14:paraId="5CAC6A42" w14:textId="77777777" w:rsidR="004718B6" w:rsidRPr="007C026D" w:rsidRDefault="004718B6" w:rsidP="00F37084">
            <w:pPr>
              <w:spacing w:before="60" w:after="60" w:line="240" w:lineRule="exact"/>
              <w:ind w:left="-72" w:right="-72"/>
              <w:jc w:val="center"/>
              <w:rPr>
                <w:sz w:val="20"/>
                <w:szCs w:val="20"/>
              </w:rPr>
            </w:pPr>
            <w:r w:rsidRPr="007C026D">
              <w:rPr>
                <w:sz w:val="20"/>
                <w:szCs w:val="20"/>
              </w:rPr>
              <w:t>MG</w:t>
            </w:r>
            <w:r>
              <w:rPr>
                <w:sz w:val="20"/>
                <w:szCs w:val="20"/>
              </w:rPr>
              <w:t xml:space="preserve"> </w:t>
            </w:r>
            <w:proofErr w:type="gramStart"/>
            <w:r w:rsidRPr="007C026D">
              <w:rPr>
                <w:sz w:val="20"/>
                <w:szCs w:val="20"/>
              </w:rPr>
              <w:t>Estimators</w:t>
            </w:r>
            <w:proofErr w:type="spellStart"/>
            <w:r>
              <w:rPr>
                <w:position w:val="4"/>
                <w:sz w:val="20"/>
                <w:szCs w:val="22"/>
                <w:vertAlign w:val="superscript"/>
              </w:rPr>
              <w:t>b,d</w:t>
            </w:r>
            <w:proofErr w:type="spellEnd"/>
            <w:proofErr w:type="gramEnd"/>
          </w:p>
        </w:tc>
        <w:tc>
          <w:tcPr>
            <w:tcW w:w="1710" w:type="dxa"/>
            <w:gridSpan w:val="2"/>
            <w:tcBorders>
              <w:top w:val="single" w:sz="4" w:space="0" w:color="auto"/>
              <w:bottom w:val="single" w:sz="4" w:space="0" w:color="auto"/>
            </w:tcBorders>
            <w:shd w:val="clear" w:color="auto" w:fill="auto"/>
            <w:vAlign w:val="center"/>
          </w:tcPr>
          <w:p w14:paraId="5D75529F" w14:textId="77777777" w:rsidR="004718B6" w:rsidRPr="007C026D" w:rsidRDefault="004718B6" w:rsidP="00F37084">
            <w:pPr>
              <w:spacing w:before="60" w:after="60" w:line="240" w:lineRule="exact"/>
              <w:ind w:left="-72" w:right="-72"/>
              <w:jc w:val="center"/>
              <w:rPr>
                <w:sz w:val="20"/>
                <w:szCs w:val="20"/>
              </w:rPr>
            </w:pPr>
            <w:r w:rsidRPr="007C026D">
              <w:rPr>
                <w:sz w:val="20"/>
                <w:szCs w:val="20"/>
              </w:rPr>
              <w:t>Hausman</w:t>
            </w:r>
            <w:r>
              <w:rPr>
                <w:sz w:val="20"/>
                <w:szCs w:val="20"/>
              </w:rPr>
              <w:t xml:space="preserve"> </w:t>
            </w:r>
            <w:proofErr w:type="gramStart"/>
            <w:r w:rsidRPr="007C026D">
              <w:rPr>
                <w:sz w:val="20"/>
                <w:szCs w:val="20"/>
              </w:rPr>
              <w:t>Test</w:t>
            </w:r>
            <w:proofErr w:type="spellStart"/>
            <w:r>
              <w:rPr>
                <w:position w:val="4"/>
                <w:sz w:val="20"/>
                <w:szCs w:val="22"/>
                <w:vertAlign w:val="superscript"/>
              </w:rPr>
              <w:t>c,d</w:t>
            </w:r>
            <w:proofErr w:type="spellEnd"/>
            <w:proofErr w:type="gramEnd"/>
            <w:r w:rsidRPr="007C026D">
              <w:rPr>
                <w:sz w:val="20"/>
                <w:szCs w:val="20"/>
              </w:rPr>
              <w:t xml:space="preserve"> </w:t>
            </w:r>
            <w:r>
              <w:rPr>
                <w:sz w:val="20"/>
                <w:szCs w:val="20"/>
              </w:rPr>
              <w:t xml:space="preserve">   p-</w:t>
            </w:r>
            <w:r w:rsidRPr="007C026D">
              <w:rPr>
                <w:sz w:val="20"/>
                <w:szCs w:val="20"/>
              </w:rPr>
              <w:t>value</w:t>
            </w:r>
          </w:p>
        </w:tc>
        <w:tc>
          <w:tcPr>
            <w:tcW w:w="1710" w:type="dxa"/>
            <w:gridSpan w:val="2"/>
            <w:tcBorders>
              <w:top w:val="single" w:sz="4" w:space="0" w:color="auto"/>
              <w:bottom w:val="single" w:sz="4" w:space="0" w:color="auto"/>
            </w:tcBorders>
            <w:shd w:val="clear" w:color="auto" w:fill="auto"/>
            <w:vAlign w:val="center"/>
          </w:tcPr>
          <w:p w14:paraId="78EF8622" w14:textId="77777777" w:rsidR="004718B6" w:rsidRPr="007C026D" w:rsidRDefault="004718B6" w:rsidP="00F37084">
            <w:pPr>
              <w:spacing w:before="60" w:after="60" w:line="240" w:lineRule="exact"/>
              <w:ind w:left="-72" w:right="-72"/>
              <w:jc w:val="center"/>
              <w:rPr>
                <w:sz w:val="20"/>
                <w:szCs w:val="20"/>
              </w:rPr>
            </w:pPr>
            <w:r w:rsidRPr="007C026D">
              <w:rPr>
                <w:sz w:val="20"/>
                <w:szCs w:val="20"/>
              </w:rPr>
              <w:t xml:space="preserve">Fixed </w:t>
            </w:r>
            <w:proofErr w:type="gramStart"/>
            <w:r w:rsidRPr="007C026D">
              <w:rPr>
                <w:sz w:val="20"/>
                <w:szCs w:val="20"/>
              </w:rPr>
              <w:t>Effect</w:t>
            </w:r>
            <w:proofErr w:type="spellStart"/>
            <w:r>
              <w:rPr>
                <w:position w:val="4"/>
                <w:sz w:val="20"/>
                <w:szCs w:val="22"/>
                <w:vertAlign w:val="superscript"/>
              </w:rPr>
              <w:t>b,d</w:t>
            </w:r>
            <w:proofErr w:type="spellEnd"/>
            <w:proofErr w:type="gramEnd"/>
          </w:p>
        </w:tc>
      </w:tr>
      <w:tr w:rsidR="004718B6" w:rsidRPr="007C026D" w14:paraId="341AE187" w14:textId="77777777" w:rsidTr="00F37084">
        <w:tc>
          <w:tcPr>
            <w:tcW w:w="1350" w:type="dxa"/>
            <w:vMerge w:val="restart"/>
            <w:tcBorders>
              <w:top w:val="single" w:sz="4" w:space="0" w:color="auto"/>
            </w:tcBorders>
            <w:shd w:val="clear" w:color="auto" w:fill="auto"/>
            <w:vAlign w:val="center"/>
          </w:tcPr>
          <w:p w14:paraId="64686593" w14:textId="77777777" w:rsidR="004718B6" w:rsidRPr="007C026D" w:rsidRDefault="004718B6" w:rsidP="00F37084">
            <w:pPr>
              <w:spacing w:before="120" w:after="60" w:line="240" w:lineRule="exact"/>
              <w:rPr>
                <w:rFonts w:eastAsia="SimSun"/>
                <w:sz w:val="20"/>
                <w:szCs w:val="20"/>
                <w:lang w:eastAsia="zh-CN"/>
              </w:rPr>
            </w:pPr>
            <w:r w:rsidRPr="007C026D">
              <w:rPr>
                <w:rFonts w:eastAsia="SimSun"/>
                <w:sz w:val="20"/>
                <w:szCs w:val="20"/>
                <w:lang w:eastAsia="zh-CN"/>
              </w:rPr>
              <w:t>Intercept</w:t>
            </w:r>
          </w:p>
        </w:tc>
        <w:tc>
          <w:tcPr>
            <w:tcW w:w="1080" w:type="dxa"/>
            <w:tcBorders>
              <w:top w:val="single" w:sz="4" w:space="0" w:color="auto"/>
            </w:tcBorders>
            <w:shd w:val="clear" w:color="auto" w:fill="auto"/>
          </w:tcPr>
          <w:p w14:paraId="140DA8F3" w14:textId="77777777" w:rsidR="004718B6" w:rsidRDefault="004718B6" w:rsidP="00F37084">
            <w:pPr>
              <w:spacing w:before="120" w:after="20" w:line="240" w:lineRule="exact"/>
              <w:ind w:left="-115" w:right="-101"/>
              <w:jc w:val="right"/>
              <w:rPr>
                <w:rFonts w:eastAsia="SimSun"/>
                <w:sz w:val="20"/>
                <w:szCs w:val="20"/>
                <w:lang w:eastAsia="zh-CN"/>
              </w:rPr>
            </w:pPr>
            <w:r w:rsidRPr="007C026D">
              <w:rPr>
                <w:rFonts w:eastAsia="SimSun"/>
                <w:sz w:val="20"/>
                <w:szCs w:val="20"/>
                <w:lang w:eastAsia="zh-CN"/>
              </w:rPr>
              <w:t>1.1572</w:t>
            </w:r>
          </w:p>
        </w:tc>
        <w:tc>
          <w:tcPr>
            <w:tcW w:w="630" w:type="dxa"/>
            <w:tcBorders>
              <w:top w:val="single" w:sz="4" w:space="0" w:color="auto"/>
            </w:tcBorders>
            <w:shd w:val="clear" w:color="auto" w:fill="auto"/>
          </w:tcPr>
          <w:p w14:paraId="6B171F02" w14:textId="77777777" w:rsidR="004718B6" w:rsidRPr="007C026D" w:rsidRDefault="004718B6" w:rsidP="00F37084">
            <w:pPr>
              <w:spacing w:before="120" w:after="20" w:line="240" w:lineRule="exact"/>
              <w:ind w:left="-115" w:right="-101"/>
              <w:rPr>
                <w:rFonts w:eastAsia="SimSun"/>
                <w:sz w:val="20"/>
                <w:szCs w:val="20"/>
              </w:rPr>
            </w:pPr>
            <w:r w:rsidRPr="00B0381A">
              <w:rPr>
                <w:rFonts w:eastAsia="SimSun"/>
                <w:sz w:val="18"/>
                <w:szCs w:val="20"/>
                <w:lang w:eastAsia="zh-CN"/>
              </w:rPr>
              <w:t>***</w:t>
            </w:r>
          </w:p>
        </w:tc>
        <w:tc>
          <w:tcPr>
            <w:tcW w:w="1080" w:type="dxa"/>
            <w:tcBorders>
              <w:top w:val="single" w:sz="4" w:space="0" w:color="auto"/>
            </w:tcBorders>
            <w:shd w:val="clear" w:color="auto" w:fill="auto"/>
          </w:tcPr>
          <w:p w14:paraId="710D7A6C" w14:textId="77777777" w:rsidR="004718B6" w:rsidRDefault="004718B6" w:rsidP="00F37084">
            <w:pPr>
              <w:spacing w:before="120" w:after="20" w:line="240" w:lineRule="exact"/>
              <w:ind w:left="-115" w:right="-101"/>
              <w:jc w:val="right"/>
              <w:rPr>
                <w:rFonts w:eastAsia="SimSun"/>
                <w:sz w:val="20"/>
                <w:szCs w:val="20"/>
                <w:lang w:eastAsia="zh-CN"/>
              </w:rPr>
            </w:pPr>
            <w:r w:rsidRPr="007C026D">
              <w:rPr>
                <w:rFonts w:eastAsia="SimSun"/>
                <w:sz w:val="20"/>
                <w:szCs w:val="20"/>
                <w:lang w:eastAsia="zh-CN"/>
              </w:rPr>
              <w:t>2.7890</w:t>
            </w:r>
          </w:p>
        </w:tc>
        <w:tc>
          <w:tcPr>
            <w:tcW w:w="630" w:type="dxa"/>
            <w:tcBorders>
              <w:top w:val="single" w:sz="4" w:space="0" w:color="auto"/>
            </w:tcBorders>
            <w:shd w:val="clear" w:color="auto" w:fill="auto"/>
          </w:tcPr>
          <w:p w14:paraId="2D1E7440" w14:textId="77777777" w:rsidR="004718B6" w:rsidRPr="007C026D" w:rsidRDefault="004718B6" w:rsidP="00F37084">
            <w:pPr>
              <w:spacing w:before="120" w:after="20" w:line="240" w:lineRule="exact"/>
              <w:ind w:left="-115" w:right="-101"/>
              <w:rPr>
                <w:rFonts w:eastAsia="SimSun"/>
                <w:sz w:val="20"/>
                <w:szCs w:val="20"/>
              </w:rPr>
            </w:pPr>
            <w:r w:rsidRPr="00B0381A">
              <w:rPr>
                <w:rFonts w:eastAsia="SimSun"/>
                <w:sz w:val="18"/>
                <w:szCs w:val="20"/>
                <w:lang w:eastAsia="zh-CN"/>
              </w:rPr>
              <w:t>***</w:t>
            </w:r>
          </w:p>
        </w:tc>
        <w:tc>
          <w:tcPr>
            <w:tcW w:w="990" w:type="dxa"/>
            <w:tcBorders>
              <w:top w:val="single" w:sz="4" w:space="0" w:color="auto"/>
            </w:tcBorders>
            <w:shd w:val="clear" w:color="auto" w:fill="auto"/>
          </w:tcPr>
          <w:p w14:paraId="045E8E33" w14:textId="77777777" w:rsidR="004718B6" w:rsidRPr="007C026D" w:rsidRDefault="004718B6" w:rsidP="00F37084">
            <w:pPr>
              <w:spacing w:before="120" w:after="20" w:line="240" w:lineRule="exact"/>
              <w:ind w:left="-115" w:right="-101"/>
              <w:jc w:val="right"/>
              <w:rPr>
                <w:rFonts w:eastAsia="SimSun"/>
                <w:sz w:val="20"/>
                <w:szCs w:val="20"/>
              </w:rPr>
            </w:pPr>
          </w:p>
        </w:tc>
        <w:tc>
          <w:tcPr>
            <w:tcW w:w="720" w:type="dxa"/>
            <w:tcBorders>
              <w:top w:val="single" w:sz="4" w:space="0" w:color="auto"/>
            </w:tcBorders>
            <w:shd w:val="clear" w:color="auto" w:fill="auto"/>
          </w:tcPr>
          <w:p w14:paraId="3A81F0ED" w14:textId="77777777" w:rsidR="004718B6" w:rsidRPr="007C026D" w:rsidRDefault="004718B6" w:rsidP="00F37084">
            <w:pPr>
              <w:spacing w:before="120" w:after="20" w:line="240" w:lineRule="exact"/>
              <w:ind w:left="-115" w:right="-101"/>
              <w:rPr>
                <w:rFonts w:eastAsia="SimSun"/>
                <w:sz w:val="20"/>
                <w:szCs w:val="20"/>
              </w:rPr>
            </w:pPr>
          </w:p>
        </w:tc>
        <w:tc>
          <w:tcPr>
            <w:tcW w:w="1080" w:type="dxa"/>
            <w:tcBorders>
              <w:top w:val="single" w:sz="4" w:space="0" w:color="auto"/>
            </w:tcBorders>
            <w:shd w:val="clear" w:color="auto" w:fill="auto"/>
          </w:tcPr>
          <w:p w14:paraId="260488FE" w14:textId="77777777" w:rsidR="004718B6" w:rsidRDefault="004718B6" w:rsidP="00F37084">
            <w:pPr>
              <w:spacing w:before="120" w:after="20" w:line="240" w:lineRule="exact"/>
              <w:ind w:left="-115" w:right="-101"/>
              <w:jc w:val="right"/>
              <w:rPr>
                <w:rFonts w:eastAsia="SimSun"/>
                <w:sz w:val="20"/>
                <w:szCs w:val="20"/>
                <w:lang w:eastAsia="zh-CN"/>
              </w:rPr>
            </w:pPr>
            <w:r w:rsidRPr="007C026D">
              <w:rPr>
                <w:rFonts w:eastAsia="SimSun"/>
                <w:sz w:val="20"/>
                <w:szCs w:val="20"/>
                <w:lang w:eastAsia="zh-CN"/>
              </w:rPr>
              <w:t>2.7269</w:t>
            </w:r>
          </w:p>
        </w:tc>
        <w:tc>
          <w:tcPr>
            <w:tcW w:w="630" w:type="dxa"/>
            <w:tcBorders>
              <w:top w:val="single" w:sz="4" w:space="0" w:color="auto"/>
            </w:tcBorders>
            <w:shd w:val="clear" w:color="auto" w:fill="auto"/>
          </w:tcPr>
          <w:p w14:paraId="17084A66" w14:textId="77777777" w:rsidR="004718B6" w:rsidRPr="007C026D" w:rsidRDefault="004718B6" w:rsidP="00F37084">
            <w:pPr>
              <w:spacing w:before="120" w:after="20" w:line="240" w:lineRule="exact"/>
              <w:ind w:left="-115" w:right="-101"/>
              <w:rPr>
                <w:rFonts w:eastAsia="SimSun"/>
                <w:sz w:val="20"/>
                <w:szCs w:val="20"/>
              </w:rPr>
            </w:pPr>
            <w:r w:rsidRPr="00B0381A">
              <w:rPr>
                <w:rFonts w:eastAsia="SimSun"/>
                <w:sz w:val="18"/>
                <w:szCs w:val="20"/>
                <w:lang w:eastAsia="zh-CN"/>
              </w:rPr>
              <w:t>***</w:t>
            </w:r>
          </w:p>
        </w:tc>
      </w:tr>
      <w:tr w:rsidR="004718B6" w:rsidRPr="007C026D" w14:paraId="38F5E112" w14:textId="77777777" w:rsidTr="00F37084">
        <w:tc>
          <w:tcPr>
            <w:tcW w:w="1350" w:type="dxa"/>
            <w:vMerge/>
            <w:tcBorders>
              <w:bottom w:val="dotted" w:sz="4" w:space="0" w:color="auto"/>
            </w:tcBorders>
            <w:shd w:val="clear" w:color="auto" w:fill="auto"/>
          </w:tcPr>
          <w:p w14:paraId="064AD3E9" w14:textId="77777777" w:rsidR="004718B6" w:rsidRPr="007C026D" w:rsidRDefault="004718B6" w:rsidP="00F37084">
            <w:pPr>
              <w:spacing w:before="60" w:after="60" w:line="240" w:lineRule="exact"/>
              <w:rPr>
                <w:rFonts w:eastAsia="SimSun"/>
                <w:sz w:val="20"/>
                <w:szCs w:val="20"/>
                <w:lang w:eastAsia="zh-CN"/>
              </w:rPr>
            </w:pPr>
          </w:p>
        </w:tc>
        <w:tc>
          <w:tcPr>
            <w:tcW w:w="1080" w:type="dxa"/>
            <w:tcBorders>
              <w:bottom w:val="dotted" w:sz="4" w:space="0" w:color="auto"/>
            </w:tcBorders>
            <w:shd w:val="clear" w:color="auto" w:fill="auto"/>
          </w:tcPr>
          <w:p w14:paraId="7FB03947" w14:textId="77777777" w:rsidR="004718B6" w:rsidRDefault="004718B6" w:rsidP="00F37084">
            <w:pPr>
              <w:spacing w:before="20" w:after="80" w:line="240" w:lineRule="exact"/>
              <w:ind w:left="-115" w:right="-101"/>
              <w:jc w:val="right"/>
              <w:rPr>
                <w:rFonts w:eastAsia="SimSun"/>
                <w:sz w:val="20"/>
                <w:szCs w:val="20"/>
                <w:lang w:eastAsia="zh-CN"/>
              </w:rPr>
            </w:pPr>
            <w:r w:rsidRPr="007C026D">
              <w:rPr>
                <w:rFonts w:eastAsia="SimSun"/>
                <w:sz w:val="20"/>
                <w:szCs w:val="20"/>
                <w:lang w:eastAsia="zh-CN"/>
              </w:rPr>
              <w:t>(0.2114</w:t>
            </w:r>
          </w:p>
        </w:tc>
        <w:tc>
          <w:tcPr>
            <w:tcW w:w="630" w:type="dxa"/>
            <w:tcBorders>
              <w:bottom w:val="dotted" w:sz="4" w:space="0" w:color="auto"/>
            </w:tcBorders>
            <w:shd w:val="clear" w:color="auto" w:fill="auto"/>
          </w:tcPr>
          <w:p w14:paraId="26925C5E" w14:textId="77777777" w:rsidR="004718B6" w:rsidRPr="007C026D" w:rsidRDefault="004718B6" w:rsidP="00F37084">
            <w:pPr>
              <w:spacing w:before="20" w:after="80" w:line="240" w:lineRule="exact"/>
              <w:ind w:left="-115" w:right="-101"/>
              <w:rPr>
                <w:rFonts w:eastAsia="SimSun"/>
                <w:sz w:val="20"/>
                <w:szCs w:val="20"/>
              </w:rPr>
            </w:pPr>
            <w:r w:rsidRPr="007C026D">
              <w:rPr>
                <w:rFonts w:eastAsia="SimSun"/>
                <w:sz w:val="20"/>
                <w:szCs w:val="20"/>
                <w:lang w:eastAsia="zh-CN"/>
              </w:rPr>
              <w:t>)</w:t>
            </w:r>
          </w:p>
        </w:tc>
        <w:tc>
          <w:tcPr>
            <w:tcW w:w="1080" w:type="dxa"/>
            <w:tcBorders>
              <w:bottom w:val="dotted" w:sz="4" w:space="0" w:color="auto"/>
            </w:tcBorders>
            <w:shd w:val="clear" w:color="auto" w:fill="auto"/>
          </w:tcPr>
          <w:p w14:paraId="57EE5A7D" w14:textId="77777777" w:rsidR="004718B6" w:rsidRDefault="004718B6" w:rsidP="00F37084">
            <w:pPr>
              <w:spacing w:before="20" w:after="80" w:line="240" w:lineRule="exact"/>
              <w:ind w:left="-115" w:right="-101"/>
              <w:jc w:val="right"/>
              <w:rPr>
                <w:rFonts w:eastAsia="SimSun"/>
                <w:sz w:val="20"/>
                <w:szCs w:val="20"/>
                <w:lang w:eastAsia="zh-CN"/>
              </w:rPr>
            </w:pPr>
            <w:r w:rsidRPr="007C026D">
              <w:rPr>
                <w:rFonts w:eastAsia="SimSun"/>
                <w:sz w:val="20"/>
                <w:szCs w:val="20"/>
                <w:lang w:eastAsia="zh-CN"/>
              </w:rPr>
              <w:t>(0.6582</w:t>
            </w:r>
          </w:p>
        </w:tc>
        <w:tc>
          <w:tcPr>
            <w:tcW w:w="630" w:type="dxa"/>
            <w:tcBorders>
              <w:bottom w:val="dotted" w:sz="4" w:space="0" w:color="auto"/>
            </w:tcBorders>
            <w:shd w:val="clear" w:color="auto" w:fill="auto"/>
          </w:tcPr>
          <w:p w14:paraId="6E124D2B" w14:textId="77777777" w:rsidR="004718B6" w:rsidRPr="007C026D" w:rsidRDefault="004718B6" w:rsidP="00F37084">
            <w:pPr>
              <w:spacing w:before="20" w:after="80" w:line="240" w:lineRule="exact"/>
              <w:ind w:left="-115" w:right="-101"/>
              <w:rPr>
                <w:rFonts w:eastAsia="SimSun"/>
                <w:sz w:val="20"/>
                <w:szCs w:val="20"/>
              </w:rPr>
            </w:pPr>
            <w:r w:rsidRPr="007C026D">
              <w:rPr>
                <w:rFonts w:eastAsia="SimSun"/>
                <w:sz w:val="20"/>
                <w:szCs w:val="20"/>
                <w:lang w:eastAsia="zh-CN"/>
              </w:rPr>
              <w:t>)</w:t>
            </w:r>
          </w:p>
        </w:tc>
        <w:tc>
          <w:tcPr>
            <w:tcW w:w="990" w:type="dxa"/>
            <w:tcBorders>
              <w:bottom w:val="dotted" w:sz="4" w:space="0" w:color="auto"/>
            </w:tcBorders>
            <w:shd w:val="clear" w:color="auto" w:fill="auto"/>
          </w:tcPr>
          <w:p w14:paraId="4F2749B4" w14:textId="77777777" w:rsidR="004718B6" w:rsidRPr="007C026D" w:rsidRDefault="004718B6" w:rsidP="00F37084">
            <w:pPr>
              <w:spacing w:before="20" w:after="80" w:line="240" w:lineRule="exact"/>
              <w:ind w:left="-115" w:right="-101"/>
              <w:jc w:val="right"/>
              <w:rPr>
                <w:rFonts w:eastAsia="SimSun"/>
                <w:sz w:val="20"/>
                <w:szCs w:val="20"/>
              </w:rPr>
            </w:pPr>
          </w:p>
        </w:tc>
        <w:tc>
          <w:tcPr>
            <w:tcW w:w="720" w:type="dxa"/>
            <w:tcBorders>
              <w:bottom w:val="dotted" w:sz="4" w:space="0" w:color="auto"/>
            </w:tcBorders>
            <w:shd w:val="clear" w:color="auto" w:fill="auto"/>
          </w:tcPr>
          <w:p w14:paraId="31436B90" w14:textId="77777777" w:rsidR="004718B6" w:rsidRPr="007C026D" w:rsidRDefault="004718B6" w:rsidP="00F37084">
            <w:pPr>
              <w:spacing w:before="20" w:after="80" w:line="240" w:lineRule="exact"/>
              <w:ind w:left="-115" w:right="-101"/>
              <w:rPr>
                <w:rFonts w:eastAsia="SimSun"/>
                <w:sz w:val="20"/>
                <w:szCs w:val="20"/>
              </w:rPr>
            </w:pPr>
          </w:p>
        </w:tc>
        <w:tc>
          <w:tcPr>
            <w:tcW w:w="1080" w:type="dxa"/>
            <w:tcBorders>
              <w:bottom w:val="dotted" w:sz="4" w:space="0" w:color="auto"/>
            </w:tcBorders>
            <w:shd w:val="clear" w:color="auto" w:fill="auto"/>
          </w:tcPr>
          <w:p w14:paraId="02823FBE" w14:textId="77777777" w:rsidR="004718B6" w:rsidRPr="007C026D" w:rsidRDefault="004718B6" w:rsidP="00F37084">
            <w:pPr>
              <w:spacing w:before="20" w:after="80" w:line="240" w:lineRule="exact"/>
              <w:ind w:left="-115" w:right="-101"/>
              <w:jc w:val="right"/>
              <w:rPr>
                <w:rFonts w:eastAsia="SimSun"/>
                <w:sz w:val="20"/>
                <w:szCs w:val="20"/>
                <w:lang w:eastAsia="zh-CN"/>
              </w:rPr>
            </w:pPr>
            <w:r w:rsidRPr="007C026D">
              <w:rPr>
                <w:rFonts w:eastAsia="SimSun"/>
                <w:sz w:val="20"/>
                <w:szCs w:val="20"/>
                <w:lang w:eastAsia="zh-CN"/>
              </w:rPr>
              <w:t>(0.4910</w:t>
            </w:r>
          </w:p>
        </w:tc>
        <w:tc>
          <w:tcPr>
            <w:tcW w:w="630" w:type="dxa"/>
            <w:tcBorders>
              <w:bottom w:val="dotted" w:sz="4" w:space="0" w:color="auto"/>
            </w:tcBorders>
            <w:shd w:val="clear" w:color="auto" w:fill="auto"/>
          </w:tcPr>
          <w:p w14:paraId="59D419FD" w14:textId="77777777" w:rsidR="004718B6" w:rsidRPr="007C026D" w:rsidRDefault="004718B6" w:rsidP="00F37084">
            <w:pPr>
              <w:spacing w:before="20" w:after="80" w:line="240" w:lineRule="exact"/>
              <w:ind w:left="-115" w:right="-101"/>
              <w:rPr>
                <w:sz w:val="20"/>
                <w:szCs w:val="20"/>
              </w:rPr>
            </w:pPr>
            <w:r>
              <w:rPr>
                <w:sz w:val="20"/>
                <w:szCs w:val="20"/>
              </w:rPr>
              <w:t>)</w:t>
            </w:r>
          </w:p>
        </w:tc>
      </w:tr>
      <w:tr w:rsidR="004718B6" w:rsidRPr="007C026D" w14:paraId="5B1BDDC8" w14:textId="77777777" w:rsidTr="00F37084">
        <w:tc>
          <w:tcPr>
            <w:tcW w:w="8190" w:type="dxa"/>
            <w:gridSpan w:val="9"/>
            <w:tcBorders>
              <w:top w:val="dotted" w:sz="4" w:space="0" w:color="auto"/>
            </w:tcBorders>
            <w:shd w:val="clear" w:color="auto" w:fill="auto"/>
          </w:tcPr>
          <w:p w14:paraId="4BC83812" w14:textId="77777777" w:rsidR="004718B6" w:rsidRPr="007C026D" w:rsidRDefault="004718B6" w:rsidP="00F37084">
            <w:pPr>
              <w:spacing w:before="100" w:after="60" w:line="240" w:lineRule="exact"/>
              <w:rPr>
                <w:rFonts w:eastAsia="SimSun"/>
                <w:sz w:val="20"/>
                <w:szCs w:val="20"/>
              </w:rPr>
            </w:pPr>
            <w:r w:rsidRPr="007C026D">
              <w:rPr>
                <w:rFonts w:eastAsia="SimSun"/>
                <w:sz w:val="20"/>
                <w:szCs w:val="20"/>
                <w:lang w:eastAsia="zh-CN"/>
              </w:rPr>
              <w:t>Error Correction Coefficient</w:t>
            </w:r>
            <w:r>
              <w:rPr>
                <w:rFonts w:eastAsia="SimSun"/>
                <w:sz w:val="20"/>
                <w:szCs w:val="20"/>
                <w:lang w:eastAsia="zh-CN"/>
              </w:rPr>
              <w:t>s</w:t>
            </w:r>
            <w:r w:rsidRPr="007C026D">
              <w:rPr>
                <w:rFonts w:eastAsia="SimSun"/>
                <w:sz w:val="20"/>
                <w:szCs w:val="20"/>
                <w:lang w:eastAsia="zh-CN"/>
              </w:rPr>
              <w:t xml:space="preserve"> </w:t>
            </w:r>
          </w:p>
        </w:tc>
      </w:tr>
      <w:tr w:rsidR="004718B6" w:rsidRPr="007C026D" w14:paraId="2BCD7115" w14:textId="77777777" w:rsidTr="00F37084">
        <w:tc>
          <w:tcPr>
            <w:tcW w:w="1350" w:type="dxa"/>
            <w:vMerge w:val="restart"/>
            <w:shd w:val="clear" w:color="auto" w:fill="auto"/>
            <w:vAlign w:val="center"/>
          </w:tcPr>
          <w:p w14:paraId="57183A4A" w14:textId="77777777" w:rsidR="004718B6" w:rsidRPr="00A87FEA" w:rsidRDefault="004718B6" w:rsidP="00F37084">
            <w:pPr>
              <w:spacing w:before="60" w:after="60" w:line="240" w:lineRule="exact"/>
              <w:ind w:left="288"/>
              <w:rPr>
                <w:rFonts w:eastAsia="SimSun"/>
                <w:i/>
                <w:sz w:val="20"/>
                <w:szCs w:val="20"/>
              </w:rPr>
            </w:pPr>
            <w:r w:rsidRPr="00A87FEA">
              <w:rPr>
                <w:rFonts w:eastAsia="SimSun"/>
                <w:i/>
                <w:sz w:val="22"/>
                <w:szCs w:val="20"/>
              </w:rPr>
              <w:t>ϕ</w:t>
            </w:r>
          </w:p>
        </w:tc>
        <w:tc>
          <w:tcPr>
            <w:tcW w:w="1080" w:type="dxa"/>
            <w:shd w:val="clear" w:color="auto" w:fill="auto"/>
          </w:tcPr>
          <w:p w14:paraId="578113A8" w14:textId="77777777" w:rsidR="004718B6" w:rsidRDefault="004718B6" w:rsidP="00F37084">
            <w:pPr>
              <w:spacing w:before="80" w:after="20" w:line="240" w:lineRule="exact"/>
              <w:ind w:left="-115" w:right="-101"/>
              <w:jc w:val="right"/>
              <w:rPr>
                <w:rFonts w:eastAsia="SimSun"/>
                <w:sz w:val="20"/>
                <w:szCs w:val="20"/>
              </w:rPr>
            </w:pPr>
            <w:r w:rsidRPr="00B0381A">
              <w:rPr>
                <w:rFonts w:eastAsia="SimSun"/>
                <w:position w:val="2"/>
                <w:sz w:val="14"/>
                <w:szCs w:val="20"/>
              </w:rPr>
              <w:t>–</w:t>
            </w:r>
            <w:r w:rsidRPr="007C026D">
              <w:rPr>
                <w:rFonts w:eastAsia="SimSun"/>
                <w:sz w:val="20"/>
                <w:szCs w:val="20"/>
              </w:rPr>
              <w:t>0.1281</w:t>
            </w:r>
          </w:p>
        </w:tc>
        <w:tc>
          <w:tcPr>
            <w:tcW w:w="630" w:type="dxa"/>
            <w:shd w:val="clear" w:color="auto" w:fill="auto"/>
          </w:tcPr>
          <w:p w14:paraId="0DDBE7A8" w14:textId="77777777" w:rsidR="004718B6" w:rsidRPr="007C026D" w:rsidRDefault="004718B6" w:rsidP="00F37084">
            <w:pPr>
              <w:tabs>
                <w:tab w:val="left" w:pos="720"/>
              </w:tabs>
              <w:spacing w:before="80" w:after="20" w:line="240" w:lineRule="exact"/>
              <w:ind w:left="-115" w:right="-101"/>
              <w:rPr>
                <w:rFonts w:eastAsia="SimSun"/>
                <w:sz w:val="20"/>
                <w:szCs w:val="20"/>
              </w:rPr>
            </w:pPr>
            <w:r w:rsidRPr="00B0381A">
              <w:rPr>
                <w:rFonts w:eastAsia="SimSun"/>
                <w:sz w:val="18"/>
                <w:szCs w:val="20"/>
              </w:rPr>
              <w:t>***</w:t>
            </w:r>
            <w:r>
              <w:rPr>
                <w:rFonts w:eastAsia="SimSun"/>
                <w:sz w:val="20"/>
                <w:szCs w:val="20"/>
              </w:rPr>
              <w:tab/>
            </w:r>
          </w:p>
        </w:tc>
        <w:tc>
          <w:tcPr>
            <w:tcW w:w="1080" w:type="dxa"/>
            <w:shd w:val="clear" w:color="auto" w:fill="auto"/>
          </w:tcPr>
          <w:p w14:paraId="4852C06B" w14:textId="77777777" w:rsidR="004718B6" w:rsidRDefault="004718B6" w:rsidP="00F37084">
            <w:pPr>
              <w:spacing w:before="80" w:after="20" w:line="240" w:lineRule="exact"/>
              <w:ind w:left="-115" w:right="-101"/>
              <w:jc w:val="right"/>
              <w:rPr>
                <w:rFonts w:eastAsia="SimSun"/>
                <w:sz w:val="20"/>
                <w:szCs w:val="20"/>
                <w:lang w:eastAsia="zh-CN"/>
              </w:rPr>
            </w:pPr>
            <w:r w:rsidRPr="00B0381A">
              <w:rPr>
                <w:rFonts w:eastAsia="SimSun"/>
                <w:position w:val="2"/>
                <w:sz w:val="14"/>
                <w:szCs w:val="20"/>
              </w:rPr>
              <w:t>–</w:t>
            </w:r>
            <w:r w:rsidRPr="007C026D">
              <w:rPr>
                <w:rFonts w:eastAsia="SimSun"/>
                <w:sz w:val="20"/>
                <w:szCs w:val="20"/>
                <w:lang w:eastAsia="zh-CN"/>
              </w:rPr>
              <w:t>0.1693</w:t>
            </w:r>
          </w:p>
        </w:tc>
        <w:tc>
          <w:tcPr>
            <w:tcW w:w="630" w:type="dxa"/>
            <w:shd w:val="clear" w:color="auto" w:fill="auto"/>
          </w:tcPr>
          <w:p w14:paraId="29AC9F0A" w14:textId="77777777" w:rsidR="004718B6" w:rsidRPr="007C026D" w:rsidRDefault="004718B6" w:rsidP="00F37084">
            <w:pPr>
              <w:spacing w:before="80" w:after="20" w:line="240" w:lineRule="exact"/>
              <w:ind w:left="-115" w:right="-101"/>
              <w:rPr>
                <w:rFonts w:eastAsia="SimSun"/>
                <w:sz w:val="20"/>
                <w:szCs w:val="20"/>
              </w:rPr>
            </w:pPr>
            <w:r w:rsidRPr="00B0381A">
              <w:rPr>
                <w:rFonts w:eastAsia="SimSun"/>
                <w:sz w:val="18"/>
                <w:szCs w:val="20"/>
                <w:lang w:eastAsia="zh-CN"/>
              </w:rPr>
              <w:t>***</w:t>
            </w:r>
          </w:p>
        </w:tc>
        <w:tc>
          <w:tcPr>
            <w:tcW w:w="990" w:type="dxa"/>
            <w:vMerge w:val="restart"/>
            <w:shd w:val="clear" w:color="auto" w:fill="auto"/>
            <w:vAlign w:val="center"/>
          </w:tcPr>
          <w:p w14:paraId="5E5E1820" w14:textId="77777777" w:rsidR="004718B6" w:rsidRDefault="004718B6" w:rsidP="00F37084">
            <w:pPr>
              <w:spacing w:before="60" w:after="60" w:line="240" w:lineRule="exact"/>
              <w:ind w:left="-115" w:right="-101"/>
              <w:jc w:val="right"/>
              <w:rPr>
                <w:rFonts w:eastAsia="SimSun"/>
                <w:sz w:val="20"/>
                <w:szCs w:val="20"/>
              </w:rPr>
            </w:pPr>
            <w:r w:rsidRPr="007C026D">
              <w:rPr>
                <w:rFonts w:eastAsia="SimSun"/>
                <w:sz w:val="20"/>
                <w:szCs w:val="20"/>
              </w:rPr>
              <w:t>0.001</w:t>
            </w:r>
            <w:r>
              <w:rPr>
                <w:rFonts w:eastAsia="SimSun"/>
                <w:sz w:val="20"/>
                <w:szCs w:val="20"/>
              </w:rPr>
              <w:t>0</w:t>
            </w:r>
          </w:p>
        </w:tc>
        <w:tc>
          <w:tcPr>
            <w:tcW w:w="720" w:type="dxa"/>
            <w:vMerge w:val="restart"/>
            <w:shd w:val="clear" w:color="auto" w:fill="auto"/>
            <w:vAlign w:val="center"/>
          </w:tcPr>
          <w:p w14:paraId="5AD06721" w14:textId="77777777" w:rsidR="004718B6" w:rsidRPr="007C026D" w:rsidRDefault="004718B6" w:rsidP="00F37084">
            <w:pPr>
              <w:spacing w:before="60" w:after="60" w:line="240" w:lineRule="exact"/>
              <w:ind w:left="-115" w:right="-101"/>
              <w:rPr>
                <w:rFonts w:eastAsia="SimSun"/>
                <w:sz w:val="20"/>
                <w:szCs w:val="20"/>
              </w:rPr>
            </w:pPr>
            <w:r w:rsidRPr="00B0381A">
              <w:rPr>
                <w:rFonts w:eastAsia="SimSun"/>
                <w:sz w:val="18"/>
                <w:szCs w:val="20"/>
              </w:rPr>
              <w:t>***</w:t>
            </w:r>
          </w:p>
        </w:tc>
        <w:tc>
          <w:tcPr>
            <w:tcW w:w="1080" w:type="dxa"/>
            <w:shd w:val="clear" w:color="auto" w:fill="auto"/>
          </w:tcPr>
          <w:p w14:paraId="08113F39" w14:textId="77777777" w:rsidR="004718B6" w:rsidRDefault="004718B6" w:rsidP="00F37084">
            <w:pPr>
              <w:spacing w:before="80" w:after="20" w:line="240" w:lineRule="exact"/>
              <w:ind w:left="-115" w:right="-101"/>
              <w:jc w:val="right"/>
              <w:rPr>
                <w:rFonts w:eastAsia="SimSun"/>
                <w:sz w:val="20"/>
                <w:szCs w:val="20"/>
                <w:lang w:eastAsia="zh-CN"/>
              </w:rPr>
            </w:pPr>
            <w:r w:rsidRPr="00D91EBC">
              <w:rPr>
                <w:rFonts w:eastAsia="SimSun"/>
                <w:position w:val="2"/>
                <w:sz w:val="14"/>
                <w:szCs w:val="20"/>
                <w:lang w:eastAsia="zh-CN"/>
              </w:rPr>
              <w:t>–</w:t>
            </w:r>
            <w:r w:rsidRPr="007C026D">
              <w:rPr>
                <w:rFonts w:eastAsia="SimSun"/>
                <w:sz w:val="20"/>
                <w:szCs w:val="20"/>
                <w:lang w:eastAsia="zh-CN"/>
              </w:rPr>
              <w:t>0.1610</w:t>
            </w:r>
          </w:p>
        </w:tc>
        <w:tc>
          <w:tcPr>
            <w:tcW w:w="630" w:type="dxa"/>
            <w:shd w:val="clear" w:color="auto" w:fill="auto"/>
          </w:tcPr>
          <w:p w14:paraId="18B32635" w14:textId="77777777" w:rsidR="004718B6" w:rsidRPr="007C026D" w:rsidRDefault="004718B6" w:rsidP="00F37084">
            <w:pPr>
              <w:spacing w:before="80" w:after="20" w:line="240" w:lineRule="exact"/>
              <w:ind w:left="-115" w:right="-101"/>
              <w:rPr>
                <w:rFonts w:eastAsia="SimSun"/>
                <w:sz w:val="20"/>
                <w:szCs w:val="20"/>
              </w:rPr>
            </w:pPr>
            <w:r w:rsidRPr="00B0381A">
              <w:rPr>
                <w:rFonts w:eastAsia="SimSun"/>
                <w:sz w:val="18"/>
                <w:szCs w:val="20"/>
                <w:lang w:eastAsia="zh-CN"/>
              </w:rPr>
              <w:t>***</w:t>
            </w:r>
          </w:p>
        </w:tc>
      </w:tr>
      <w:tr w:rsidR="004718B6" w:rsidRPr="007C026D" w14:paraId="21FA082F" w14:textId="77777777" w:rsidTr="00F37084">
        <w:tc>
          <w:tcPr>
            <w:tcW w:w="1350" w:type="dxa"/>
            <w:vMerge/>
            <w:tcBorders>
              <w:bottom w:val="dotted" w:sz="4" w:space="0" w:color="auto"/>
            </w:tcBorders>
            <w:shd w:val="clear" w:color="auto" w:fill="auto"/>
          </w:tcPr>
          <w:p w14:paraId="03780474" w14:textId="77777777" w:rsidR="004718B6" w:rsidRPr="007C026D" w:rsidRDefault="004718B6" w:rsidP="00F37084">
            <w:pPr>
              <w:spacing w:before="60" w:after="60" w:line="240" w:lineRule="exact"/>
              <w:rPr>
                <w:rFonts w:eastAsia="SimSun"/>
                <w:sz w:val="20"/>
                <w:szCs w:val="20"/>
              </w:rPr>
            </w:pPr>
          </w:p>
        </w:tc>
        <w:tc>
          <w:tcPr>
            <w:tcW w:w="1080" w:type="dxa"/>
            <w:tcBorders>
              <w:bottom w:val="dotted" w:sz="4" w:space="0" w:color="auto"/>
            </w:tcBorders>
            <w:shd w:val="clear" w:color="auto" w:fill="auto"/>
          </w:tcPr>
          <w:p w14:paraId="2E4F971B" w14:textId="77777777" w:rsidR="004718B6" w:rsidRDefault="004718B6" w:rsidP="00F37084">
            <w:pPr>
              <w:spacing w:before="20" w:after="80" w:line="240" w:lineRule="exact"/>
              <w:ind w:left="-115" w:right="-101"/>
              <w:jc w:val="right"/>
              <w:rPr>
                <w:rFonts w:eastAsia="SimSun"/>
                <w:sz w:val="20"/>
                <w:szCs w:val="20"/>
                <w:lang w:eastAsia="zh-CN"/>
              </w:rPr>
            </w:pPr>
            <w:r w:rsidRPr="007C026D">
              <w:rPr>
                <w:rFonts w:eastAsia="SimSun"/>
                <w:sz w:val="20"/>
                <w:szCs w:val="20"/>
                <w:lang w:eastAsia="zh-CN"/>
              </w:rPr>
              <w:t>(0.0226</w:t>
            </w:r>
          </w:p>
        </w:tc>
        <w:tc>
          <w:tcPr>
            <w:tcW w:w="630" w:type="dxa"/>
            <w:tcBorders>
              <w:bottom w:val="dotted" w:sz="4" w:space="0" w:color="auto"/>
            </w:tcBorders>
            <w:shd w:val="clear" w:color="auto" w:fill="auto"/>
          </w:tcPr>
          <w:p w14:paraId="3E64ACCB" w14:textId="77777777" w:rsidR="004718B6" w:rsidRPr="007C026D" w:rsidRDefault="004718B6" w:rsidP="00F37084">
            <w:pPr>
              <w:spacing w:before="20" w:after="80" w:line="240" w:lineRule="exact"/>
              <w:ind w:left="-115" w:right="-101"/>
              <w:rPr>
                <w:rFonts w:eastAsia="SimSun"/>
                <w:sz w:val="20"/>
                <w:szCs w:val="20"/>
              </w:rPr>
            </w:pPr>
            <w:r w:rsidRPr="007C026D">
              <w:rPr>
                <w:rFonts w:eastAsia="SimSun"/>
                <w:sz w:val="20"/>
                <w:szCs w:val="20"/>
                <w:lang w:eastAsia="zh-CN"/>
              </w:rPr>
              <w:t>)</w:t>
            </w:r>
          </w:p>
        </w:tc>
        <w:tc>
          <w:tcPr>
            <w:tcW w:w="1080" w:type="dxa"/>
            <w:tcBorders>
              <w:bottom w:val="dotted" w:sz="4" w:space="0" w:color="auto"/>
            </w:tcBorders>
            <w:shd w:val="clear" w:color="auto" w:fill="auto"/>
          </w:tcPr>
          <w:p w14:paraId="3745B440" w14:textId="77777777" w:rsidR="004718B6" w:rsidRDefault="004718B6" w:rsidP="00F37084">
            <w:pPr>
              <w:spacing w:before="20" w:after="80" w:line="240" w:lineRule="exact"/>
              <w:ind w:left="-115" w:right="-101"/>
              <w:jc w:val="right"/>
              <w:rPr>
                <w:rFonts w:eastAsia="SimSun"/>
                <w:sz w:val="20"/>
                <w:szCs w:val="20"/>
                <w:lang w:eastAsia="zh-CN"/>
              </w:rPr>
            </w:pPr>
            <w:r w:rsidRPr="007C026D">
              <w:rPr>
                <w:rFonts w:eastAsia="SimSun"/>
                <w:sz w:val="20"/>
                <w:szCs w:val="20"/>
                <w:lang w:eastAsia="zh-CN"/>
              </w:rPr>
              <w:t>(0.0264</w:t>
            </w:r>
          </w:p>
        </w:tc>
        <w:tc>
          <w:tcPr>
            <w:tcW w:w="630" w:type="dxa"/>
            <w:tcBorders>
              <w:bottom w:val="dotted" w:sz="4" w:space="0" w:color="auto"/>
            </w:tcBorders>
            <w:shd w:val="clear" w:color="auto" w:fill="auto"/>
          </w:tcPr>
          <w:p w14:paraId="0820C030" w14:textId="77777777" w:rsidR="004718B6" w:rsidRPr="007C026D" w:rsidRDefault="004718B6" w:rsidP="00F37084">
            <w:pPr>
              <w:spacing w:before="20" w:after="80" w:line="240" w:lineRule="exact"/>
              <w:ind w:left="-115" w:right="-101"/>
              <w:rPr>
                <w:rFonts w:eastAsia="SimSun"/>
                <w:sz w:val="20"/>
                <w:szCs w:val="20"/>
              </w:rPr>
            </w:pPr>
            <w:r w:rsidRPr="007C026D">
              <w:rPr>
                <w:rFonts w:eastAsia="SimSun"/>
                <w:sz w:val="20"/>
                <w:szCs w:val="20"/>
                <w:lang w:eastAsia="zh-CN"/>
              </w:rPr>
              <w:t>)</w:t>
            </w:r>
          </w:p>
        </w:tc>
        <w:tc>
          <w:tcPr>
            <w:tcW w:w="990" w:type="dxa"/>
            <w:vMerge/>
            <w:tcBorders>
              <w:bottom w:val="dotted" w:sz="4" w:space="0" w:color="auto"/>
            </w:tcBorders>
            <w:shd w:val="clear" w:color="auto" w:fill="auto"/>
          </w:tcPr>
          <w:p w14:paraId="6B79A91B" w14:textId="77777777" w:rsidR="004718B6" w:rsidRPr="007C026D" w:rsidRDefault="004718B6" w:rsidP="00F37084">
            <w:pPr>
              <w:spacing w:before="60" w:after="60" w:line="240" w:lineRule="exact"/>
              <w:ind w:left="-115" w:right="-101"/>
              <w:jc w:val="right"/>
              <w:rPr>
                <w:sz w:val="20"/>
                <w:szCs w:val="20"/>
              </w:rPr>
            </w:pPr>
          </w:p>
        </w:tc>
        <w:tc>
          <w:tcPr>
            <w:tcW w:w="720" w:type="dxa"/>
            <w:vMerge/>
            <w:tcBorders>
              <w:bottom w:val="dotted" w:sz="4" w:space="0" w:color="auto"/>
            </w:tcBorders>
            <w:shd w:val="clear" w:color="auto" w:fill="auto"/>
            <w:vAlign w:val="center"/>
          </w:tcPr>
          <w:p w14:paraId="35596F70" w14:textId="77777777" w:rsidR="004718B6" w:rsidRPr="007C026D" w:rsidRDefault="004718B6" w:rsidP="00F37084">
            <w:pPr>
              <w:spacing w:before="60" w:after="60" w:line="240" w:lineRule="exact"/>
              <w:ind w:left="-115" w:right="-101"/>
              <w:rPr>
                <w:sz w:val="20"/>
                <w:szCs w:val="20"/>
              </w:rPr>
            </w:pPr>
          </w:p>
        </w:tc>
        <w:tc>
          <w:tcPr>
            <w:tcW w:w="1080" w:type="dxa"/>
            <w:tcBorders>
              <w:bottom w:val="dotted" w:sz="4" w:space="0" w:color="auto"/>
            </w:tcBorders>
            <w:shd w:val="clear" w:color="auto" w:fill="auto"/>
          </w:tcPr>
          <w:p w14:paraId="4314F4A1" w14:textId="77777777" w:rsidR="004718B6" w:rsidRDefault="004718B6" w:rsidP="00F37084">
            <w:pPr>
              <w:spacing w:before="20" w:after="80" w:line="240" w:lineRule="exact"/>
              <w:ind w:left="-115" w:right="-101"/>
              <w:jc w:val="right"/>
              <w:rPr>
                <w:rFonts w:eastAsia="SimSun"/>
                <w:sz w:val="20"/>
                <w:szCs w:val="20"/>
                <w:lang w:eastAsia="zh-CN"/>
              </w:rPr>
            </w:pPr>
            <w:r w:rsidRPr="007C026D">
              <w:rPr>
                <w:rFonts w:eastAsia="SimSun"/>
                <w:sz w:val="20"/>
                <w:szCs w:val="20"/>
                <w:lang w:eastAsia="zh-CN"/>
              </w:rPr>
              <w:t>(0.0174</w:t>
            </w:r>
          </w:p>
        </w:tc>
        <w:tc>
          <w:tcPr>
            <w:tcW w:w="630" w:type="dxa"/>
            <w:tcBorders>
              <w:bottom w:val="dotted" w:sz="4" w:space="0" w:color="auto"/>
            </w:tcBorders>
            <w:shd w:val="clear" w:color="auto" w:fill="auto"/>
          </w:tcPr>
          <w:p w14:paraId="15F98F45" w14:textId="77777777" w:rsidR="004718B6" w:rsidRPr="007C026D" w:rsidRDefault="004718B6" w:rsidP="00F37084">
            <w:pPr>
              <w:spacing w:before="20" w:after="80" w:line="240" w:lineRule="exact"/>
              <w:ind w:left="-115" w:right="-101"/>
              <w:rPr>
                <w:rFonts w:eastAsia="SimSun"/>
                <w:sz w:val="20"/>
                <w:szCs w:val="20"/>
              </w:rPr>
            </w:pPr>
            <w:r w:rsidRPr="007C026D">
              <w:rPr>
                <w:rFonts w:eastAsia="SimSun"/>
                <w:sz w:val="20"/>
                <w:szCs w:val="20"/>
                <w:lang w:eastAsia="zh-CN"/>
              </w:rPr>
              <w:t>)</w:t>
            </w:r>
          </w:p>
        </w:tc>
      </w:tr>
      <w:tr w:rsidR="004718B6" w:rsidRPr="007C026D" w14:paraId="200FFA7D" w14:textId="77777777" w:rsidTr="00F37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90" w:type="dxa"/>
            <w:gridSpan w:val="9"/>
            <w:tcBorders>
              <w:top w:val="dotted" w:sz="4" w:space="0" w:color="auto"/>
              <w:left w:val="nil"/>
              <w:bottom w:val="nil"/>
              <w:right w:val="nil"/>
            </w:tcBorders>
            <w:shd w:val="clear" w:color="auto" w:fill="auto"/>
          </w:tcPr>
          <w:p w14:paraId="1018BCCF" w14:textId="77777777" w:rsidR="004718B6" w:rsidRPr="007C026D" w:rsidRDefault="004718B6" w:rsidP="00F37084">
            <w:pPr>
              <w:spacing w:before="100" w:after="60" w:line="240" w:lineRule="exact"/>
              <w:rPr>
                <w:rFonts w:eastAsia="SimSun"/>
                <w:sz w:val="20"/>
                <w:szCs w:val="20"/>
              </w:rPr>
            </w:pPr>
            <w:r w:rsidRPr="007C026D">
              <w:rPr>
                <w:rFonts w:eastAsia="SimSun"/>
                <w:sz w:val="20"/>
                <w:szCs w:val="20"/>
                <w:lang w:eastAsia="zh-CN"/>
              </w:rPr>
              <w:t>Long-Run Coefficient</w:t>
            </w:r>
            <w:r>
              <w:rPr>
                <w:rFonts w:eastAsia="SimSun"/>
                <w:sz w:val="20"/>
                <w:szCs w:val="20"/>
                <w:lang w:eastAsia="zh-CN"/>
              </w:rPr>
              <w:t>s</w:t>
            </w:r>
          </w:p>
        </w:tc>
      </w:tr>
      <w:tr w:rsidR="004718B6" w:rsidRPr="007C026D" w14:paraId="59627429" w14:textId="77777777" w:rsidTr="00F37084">
        <w:tc>
          <w:tcPr>
            <w:tcW w:w="1350" w:type="dxa"/>
            <w:shd w:val="clear" w:color="auto" w:fill="auto"/>
            <w:vAlign w:val="center"/>
          </w:tcPr>
          <w:p w14:paraId="2009441C" w14:textId="77777777" w:rsidR="004718B6" w:rsidRPr="00A87FEA" w:rsidRDefault="004718B6" w:rsidP="00F37084">
            <w:pPr>
              <w:spacing w:before="80" w:after="20" w:line="240" w:lineRule="exact"/>
              <w:ind w:left="288"/>
              <w:rPr>
                <w:i/>
                <w:sz w:val="20"/>
                <w:szCs w:val="20"/>
              </w:rPr>
            </w:pPr>
            <w:r w:rsidRPr="00A87FEA">
              <w:rPr>
                <w:i/>
                <w:sz w:val="20"/>
                <w:szCs w:val="20"/>
              </w:rPr>
              <w:t>HP</w:t>
            </w:r>
          </w:p>
        </w:tc>
        <w:tc>
          <w:tcPr>
            <w:tcW w:w="1080" w:type="dxa"/>
            <w:shd w:val="clear" w:color="auto" w:fill="auto"/>
          </w:tcPr>
          <w:p w14:paraId="1E86B094" w14:textId="77777777" w:rsidR="004718B6" w:rsidRDefault="004718B6" w:rsidP="00F37084">
            <w:pPr>
              <w:spacing w:before="80" w:after="20" w:line="240" w:lineRule="exact"/>
              <w:ind w:left="-115" w:right="-101"/>
              <w:jc w:val="right"/>
              <w:rPr>
                <w:rFonts w:eastAsia="SimSun"/>
                <w:sz w:val="20"/>
                <w:szCs w:val="20"/>
                <w:lang w:eastAsia="zh-CN"/>
              </w:rPr>
            </w:pPr>
            <w:r w:rsidRPr="00D91EBC">
              <w:rPr>
                <w:rFonts w:eastAsia="SimSun"/>
                <w:position w:val="2"/>
                <w:sz w:val="14"/>
                <w:szCs w:val="20"/>
                <w:lang w:eastAsia="zh-CN"/>
              </w:rPr>
              <w:t>–</w:t>
            </w:r>
            <w:r w:rsidRPr="007C026D">
              <w:rPr>
                <w:rFonts w:eastAsia="SimSun"/>
                <w:sz w:val="20"/>
                <w:szCs w:val="20"/>
                <w:lang w:eastAsia="zh-CN"/>
              </w:rPr>
              <w:t>1.7883</w:t>
            </w:r>
          </w:p>
        </w:tc>
        <w:tc>
          <w:tcPr>
            <w:tcW w:w="630" w:type="dxa"/>
            <w:shd w:val="clear" w:color="auto" w:fill="auto"/>
          </w:tcPr>
          <w:p w14:paraId="3030DF67" w14:textId="77777777" w:rsidR="004718B6" w:rsidRPr="007C026D" w:rsidRDefault="004718B6" w:rsidP="00F37084">
            <w:pPr>
              <w:spacing w:before="80" w:after="20" w:line="240" w:lineRule="exact"/>
              <w:ind w:left="-115" w:right="-101"/>
              <w:rPr>
                <w:rFonts w:eastAsia="SimSun"/>
                <w:sz w:val="20"/>
                <w:szCs w:val="20"/>
              </w:rPr>
            </w:pPr>
            <w:r w:rsidRPr="00B0381A">
              <w:rPr>
                <w:rFonts w:eastAsia="SimSun"/>
                <w:sz w:val="18"/>
                <w:szCs w:val="20"/>
                <w:lang w:eastAsia="zh-CN"/>
              </w:rPr>
              <w:t>***</w:t>
            </w:r>
          </w:p>
        </w:tc>
        <w:tc>
          <w:tcPr>
            <w:tcW w:w="1080" w:type="dxa"/>
            <w:shd w:val="clear" w:color="auto" w:fill="auto"/>
          </w:tcPr>
          <w:p w14:paraId="5DF750C0" w14:textId="77777777" w:rsidR="004718B6" w:rsidRDefault="004718B6" w:rsidP="00F37084">
            <w:pPr>
              <w:spacing w:before="80" w:after="20" w:line="240" w:lineRule="exact"/>
              <w:ind w:left="-115" w:right="-101"/>
              <w:jc w:val="right"/>
              <w:rPr>
                <w:rFonts w:eastAsia="SimSun"/>
                <w:sz w:val="20"/>
                <w:szCs w:val="20"/>
                <w:lang w:eastAsia="zh-CN"/>
              </w:rPr>
            </w:pPr>
            <w:r w:rsidRPr="00D91EBC">
              <w:rPr>
                <w:rFonts w:eastAsia="SimSun"/>
                <w:position w:val="2"/>
                <w:sz w:val="14"/>
                <w:szCs w:val="20"/>
                <w:lang w:eastAsia="zh-CN"/>
              </w:rPr>
              <w:t>–</w:t>
            </w:r>
            <w:r w:rsidRPr="007C026D">
              <w:rPr>
                <w:rFonts w:eastAsia="SimSun"/>
                <w:sz w:val="20"/>
                <w:szCs w:val="20"/>
                <w:lang w:eastAsia="zh-CN"/>
              </w:rPr>
              <w:t>4.3918</w:t>
            </w:r>
          </w:p>
        </w:tc>
        <w:tc>
          <w:tcPr>
            <w:tcW w:w="630" w:type="dxa"/>
            <w:shd w:val="clear" w:color="auto" w:fill="auto"/>
          </w:tcPr>
          <w:p w14:paraId="73E1C9E3" w14:textId="77777777" w:rsidR="004718B6" w:rsidRPr="007C026D" w:rsidRDefault="004718B6" w:rsidP="00F37084">
            <w:pPr>
              <w:spacing w:before="80" w:after="20" w:line="240" w:lineRule="exact"/>
              <w:ind w:left="-115" w:right="-101"/>
              <w:rPr>
                <w:rFonts w:eastAsia="SimSun"/>
                <w:sz w:val="20"/>
                <w:szCs w:val="20"/>
                <w:lang w:eastAsia="zh-CN"/>
              </w:rPr>
            </w:pPr>
            <w:r w:rsidRPr="00B0381A">
              <w:rPr>
                <w:rFonts w:eastAsia="SimSun"/>
                <w:sz w:val="18"/>
                <w:szCs w:val="20"/>
                <w:lang w:eastAsia="zh-CN"/>
              </w:rPr>
              <w:t>***</w:t>
            </w:r>
          </w:p>
        </w:tc>
        <w:tc>
          <w:tcPr>
            <w:tcW w:w="990" w:type="dxa"/>
            <w:shd w:val="clear" w:color="auto" w:fill="auto"/>
          </w:tcPr>
          <w:p w14:paraId="380AF822" w14:textId="77777777" w:rsidR="004718B6" w:rsidRPr="007C026D" w:rsidRDefault="004718B6" w:rsidP="00F37084">
            <w:pPr>
              <w:spacing w:before="80" w:after="20" w:line="240" w:lineRule="exact"/>
              <w:ind w:left="-115" w:right="-101"/>
              <w:jc w:val="right"/>
              <w:rPr>
                <w:rFonts w:eastAsia="SimSun"/>
                <w:sz w:val="20"/>
                <w:szCs w:val="20"/>
              </w:rPr>
            </w:pPr>
          </w:p>
        </w:tc>
        <w:tc>
          <w:tcPr>
            <w:tcW w:w="720" w:type="dxa"/>
            <w:shd w:val="clear" w:color="auto" w:fill="auto"/>
          </w:tcPr>
          <w:p w14:paraId="17DE1522" w14:textId="77777777" w:rsidR="004718B6" w:rsidRPr="007C026D" w:rsidRDefault="004718B6" w:rsidP="00F37084">
            <w:pPr>
              <w:spacing w:before="80" w:after="20" w:line="240" w:lineRule="exact"/>
              <w:ind w:left="-115" w:right="-101"/>
              <w:rPr>
                <w:rFonts w:eastAsia="SimSun"/>
                <w:sz w:val="20"/>
                <w:szCs w:val="20"/>
              </w:rPr>
            </w:pPr>
          </w:p>
        </w:tc>
        <w:tc>
          <w:tcPr>
            <w:tcW w:w="1080" w:type="dxa"/>
            <w:shd w:val="clear" w:color="auto" w:fill="auto"/>
          </w:tcPr>
          <w:p w14:paraId="3DDD7897" w14:textId="77777777" w:rsidR="004718B6" w:rsidRDefault="004718B6" w:rsidP="00F37084">
            <w:pPr>
              <w:spacing w:before="80" w:after="20" w:line="240" w:lineRule="exact"/>
              <w:ind w:left="-115" w:right="-101"/>
              <w:jc w:val="right"/>
              <w:rPr>
                <w:rFonts w:eastAsia="SimSun"/>
                <w:sz w:val="20"/>
                <w:szCs w:val="20"/>
                <w:lang w:eastAsia="zh-CN"/>
              </w:rPr>
            </w:pPr>
            <w:r w:rsidRPr="00D91EBC">
              <w:rPr>
                <w:rFonts w:eastAsia="SimSun"/>
                <w:position w:val="2"/>
                <w:sz w:val="14"/>
                <w:szCs w:val="20"/>
                <w:lang w:eastAsia="zh-CN"/>
              </w:rPr>
              <w:t>–</w:t>
            </w:r>
            <w:r w:rsidRPr="007C026D">
              <w:rPr>
                <w:rFonts w:eastAsia="SimSun"/>
                <w:sz w:val="20"/>
                <w:szCs w:val="20"/>
                <w:lang w:eastAsia="zh-CN"/>
              </w:rPr>
              <w:t>4.3838</w:t>
            </w:r>
          </w:p>
        </w:tc>
        <w:tc>
          <w:tcPr>
            <w:tcW w:w="630" w:type="dxa"/>
            <w:shd w:val="clear" w:color="auto" w:fill="auto"/>
          </w:tcPr>
          <w:p w14:paraId="74681E61" w14:textId="77777777" w:rsidR="004718B6" w:rsidRPr="007C026D" w:rsidRDefault="004718B6" w:rsidP="00F37084">
            <w:pPr>
              <w:spacing w:before="80" w:after="20" w:line="240" w:lineRule="exact"/>
              <w:ind w:left="-115" w:right="-101"/>
              <w:rPr>
                <w:rFonts w:eastAsia="SimSun"/>
                <w:sz w:val="20"/>
                <w:szCs w:val="20"/>
              </w:rPr>
            </w:pPr>
            <w:r w:rsidRPr="00B0381A">
              <w:rPr>
                <w:rFonts w:eastAsia="SimSun"/>
                <w:sz w:val="18"/>
                <w:szCs w:val="20"/>
                <w:lang w:eastAsia="zh-CN"/>
              </w:rPr>
              <w:t>***</w:t>
            </w:r>
          </w:p>
        </w:tc>
      </w:tr>
      <w:tr w:rsidR="004718B6" w:rsidRPr="007C026D" w14:paraId="553DC385" w14:textId="77777777" w:rsidTr="00F37084">
        <w:tc>
          <w:tcPr>
            <w:tcW w:w="1350" w:type="dxa"/>
            <w:tcBorders>
              <w:bottom w:val="dotted" w:sz="4" w:space="0" w:color="auto"/>
            </w:tcBorders>
            <w:shd w:val="clear" w:color="auto" w:fill="auto"/>
            <w:vAlign w:val="center"/>
          </w:tcPr>
          <w:p w14:paraId="310F2BBA" w14:textId="77777777" w:rsidR="004718B6" w:rsidRPr="00A87FEA" w:rsidRDefault="004718B6" w:rsidP="00F37084">
            <w:pPr>
              <w:spacing w:before="20" w:after="80" w:line="240" w:lineRule="exact"/>
              <w:ind w:left="288"/>
              <w:rPr>
                <w:i/>
                <w:sz w:val="20"/>
                <w:szCs w:val="20"/>
              </w:rPr>
            </w:pPr>
            <w:r w:rsidRPr="00A87FEA">
              <w:rPr>
                <w:rFonts w:eastAsia="SimSun"/>
                <w:i/>
                <w:sz w:val="22"/>
                <w:szCs w:val="20"/>
              </w:rPr>
              <w:t>θ</w:t>
            </w:r>
          </w:p>
        </w:tc>
        <w:tc>
          <w:tcPr>
            <w:tcW w:w="1080" w:type="dxa"/>
            <w:tcBorders>
              <w:bottom w:val="dotted" w:sz="4" w:space="0" w:color="auto"/>
            </w:tcBorders>
            <w:shd w:val="clear" w:color="auto" w:fill="auto"/>
          </w:tcPr>
          <w:p w14:paraId="2E0D4873" w14:textId="77777777" w:rsidR="004718B6" w:rsidRDefault="004718B6" w:rsidP="00F37084">
            <w:pPr>
              <w:spacing w:before="20" w:after="80" w:line="240" w:lineRule="exact"/>
              <w:ind w:left="-115" w:right="-101"/>
              <w:jc w:val="right"/>
              <w:rPr>
                <w:rFonts w:eastAsia="SimSun"/>
                <w:sz w:val="20"/>
                <w:szCs w:val="20"/>
                <w:lang w:eastAsia="zh-CN"/>
              </w:rPr>
            </w:pPr>
            <w:r w:rsidRPr="007C026D">
              <w:rPr>
                <w:rFonts w:eastAsia="SimSun"/>
                <w:sz w:val="20"/>
                <w:szCs w:val="20"/>
                <w:lang w:eastAsia="zh-CN"/>
              </w:rPr>
              <w:t>(0.1969</w:t>
            </w:r>
          </w:p>
        </w:tc>
        <w:tc>
          <w:tcPr>
            <w:tcW w:w="630" w:type="dxa"/>
            <w:tcBorders>
              <w:bottom w:val="dotted" w:sz="4" w:space="0" w:color="auto"/>
            </w:tcBorders>
            <w:shd w:val="clear" w:color="auto" w:fill="auto"/>
          </w:tcPr>
          <w:p w14:paraId="4EA1415D" w14:textId="77777777" w:rsidR="004718B6" w:rsidRPr="007C026D" w:rsidRDefault="004718B6" w:rsidP="00F37084">
            <w:pPr>
              <w:spacing w:before="20" w:after="80" w:line="240" w:lineRule="exact"/>
              <w:ind w:left="-115" w:right="-101"/>
              <w:rPr>
                <w:rFonts w:eastAsia="SimSun"/>
                <w:sz w:val="20"/>
                <w:szCs w:val="20"/>
              </w:rPr>
            </w:pPr>
            <w:r w:rsidRPr="007C026D">
              <w:rPr>
                <w:rFonts w:eastAsia="SimSun"/>
                <w:sz w:val="20"/>
                <w:szCs w:val="20"/>
                <w:lang w:eastAsia="zh-CN"/>
              </w:rPr>
              <w:t>)</w:t>
            </w:r>
          </w:p>
        </w:tc>
        <w:tc>
          <w:tcPr>
            <w:tcW w:w="1080" w:type="dxa"/>
            <w:tcBorders>
              <w:bottom w:val="dotted" w:sz="4" w:space="0" w:color="auto"/>
            </w:tcBorders>
            <w:shd w:val="clear" w:color="auto" w:fill="auto"/>
          </w:tcPr>
          <w:p w14:paraId="1B55619B" w14:textId="77777777" w:rsidR="004718B6" w:rsidRDefault="004718B6" w:rsidP="00F37084">
            <w:pPr>
              <w:spacing w:before="20" w:after="80" w:line="240" w:lineRule="exact"/>
              <w:ind w:left="-115" w:right="-101"/>
              <w:jc w:val="right"/>
              <w:rPr>
                <w:rFonts w:eastAsia="SimSun"/>
                <w:sz w:val="20"/>
                <w:szCs w:val="20"/>
                <w:lang w:eastAsia="zh-CN"/>
              </w:rPr>
            </w:pPr>
            <w:r w:rsidRPr="007C026D">
              <w:rPr>
                <w:rFonts w:eastAsia="SimSun"/>
                <w:sz w:val="20"/>
                <w:szCs w:val="20"/>
                <w:lang w:eastAsia="zh-CN"/>
              </w:rPr>
              <w:t>(0.7986</w:t>
            </w:r>
          </w:p>
        </w:tc>
        <w:tc>
          <w:tcPr>
            <w:tcW w:w="630" w:type="dxa"/>
            <w:tcBorders>
              <w:bottom w:val="dotted" w:sz="4" w:space="0" w:color="auto"/>
            </w:tcBorders>
            <w:shd w:val="clear" w:color="auto" w:fill="auto"/>
          </w:tcPr>
          <w:p w14:paraId="358E4276" w14:textId="77777777" w:rsidR="004718B6" w:rsidRPr="007C026D" w:rsidRDefault="004718B6" w:rsidP="00F37084">
            <w:pPr>
              <w:spacing w:before="20" w:after="80" w:line="240" w:lineRule="exact"/>
              <w:ind w:left="-115" w:right="-101"/>
              <w:rPr>
                <w:rFonts w:eastAsia="SimSun"/>
                <w:sz w:val="20"/>
                <w:szCs w:val="20"/>
                <w:lang w:eastAsia="zh-CN"/>
              </w:rPr>
            </w:pPr>
            <w:r w:rsidRPr="007C026D">
              <w:rPr>
                <w:rFonts w:eastAsia="SimSun"/>
                <w:sz w:val="20"/>
                <w:szCs w:val="20"/>
                <w:lang w:eastAsia="zh-CN"/>
              </w:rPr>
              <w:t>)</w:t>
            </w:r>
          </w:p>
        </w:tc>
        <w:tc>
          <w:tcPr>
            <w:tcW w:w="990" w:type="dxa"/>
            <w:tcBorders>
              <w:bottom w:val="dotted" w:sz="4" w:space="0" w:color="auto"/>
            </w:tcBorders>
            <w:shd w:val="clear" w:color="auto" w:fill="auto"/>
          </w:tcPr>
          <w:p w14:paraId="2D9889D3" w14:textId="77777777" w:rsidR="004718B6" w:rsidRPr="007C026D" w:rsidRDefault="004718B6" w:rsidP="00F37084">
            <w:pPr>
              <w:spacing w:before="20" w:after="80" w:line="240" w:lineRule="exact"/>
              <w:ind w:left="-115" w:right="-101"/>
              <w:jc w:val="right"/>
              <w:rPr>
                <w:rFonts w:eastAsia="SimSun"/>
                <w:sz w:val="20"/>
                <w:szCs w:val="20"/>
              </w:rPr>
            </w:pPr>
          </w:p>
        </w:tc>
        <w:tc>
          <w:tcPr>
            <w:tcW w:w="720" w:type="dxa"/>
            <w:tcBorders>
              <w:bottom w:val="dotted" w:sz="4" w:space="0" w:color="auto"/>
            </w:tcBorders>
            <w:shd w:val="clear" w:color="auto" w:fill="auto"/>
          </w:tcPr>
          <w:p w14:paraId="4FEC3F24" w14:textId="77777777" w:rsidR="004718B6" w:rsidRPr="007C026D" w:rsidRDefault="004718B6" w:rsidP="00F37084">
            <w:pPr>
              <w:spacing w:before="20" w:after="80" w:line="240" w:lineRule="exact"/>
              <w:ind w:left="-115" w:right="-101"/>
              <w:rPr>
                <w:rFonts w:eastAsia="SimSun"/>
                <w:sz w:val="20"/>
                <w:szCs w:val="20"/>
              </w:rPr>
            </w:pPr>
          </w:p>
        </w:tc>
        <w:tc>
          <w:tcPr>
            <w:tcW w:w="1080" w:type="dxa"/>
            <w:tcBorders>
              <w:bottom w:val="dotted" w:sz="4" w:space="0" w:color="auto"/>
            </w:tcBorders>
            <w:shd w:val="clear" w:color="auto" w:fill="auto"/>
          </w:tcPr>
          <w:p w14:paraId="353F199A" w14:textId="77777777" w:rsidR="004718B6" w:rsidRDefault="004718B6" w:rsidP="00F37084">
            <w:pPr>
              <w:spacing w:before="20" w:after="80" w:line="240" w:lineRule="exact"/>
              <w:ind w:left="-115" w:right="-101"/>
              <w:jc w:val="right"/>
              <w:rPr>
                <w:rFonts w:eastAsia="SimSun"/>
                <w:sz w:val="20"/>
                <w:szCs w:val="20"/>
                <w:lang w:eastAsia="zh-CN"/>
              </w:rPr>
            </w:pPr>
            <w:r w:rsidRPr="007C026D">
              <w:rPr>
                <w:rFonts w:eastAsia="SimSun"/>
                <w:sz w:val="20"/>
                <w:szCs w:val="20"/>
                <w:lang w:eastAsia="zh-CN"/>
              </w:rPr>
              <w:t>(.5047</w:t>
            </w:r>
          </w:p>
        </w:tc>
        <w:tc>
          <w:tcPr>
            <w:tcW w:w="630" w:type="dxa"/>
            <w:tcBorders>
              <w:bottom w:val="dotted" w:sz="4" w:space="0" w:color="auto"/>
            </w:tcBorders>
            <w:shd w:val="clear" w:color="auto" w:fill="auto"/>
          </w:tcPr>
          <w:p w14:paraId="50C5F466" w14:textId="77777777" w:rsidR="004718B6" w:rsidRPr="007C026D" w:rsidRDefault="004718B6" w:rsidP="00F37084">
            <w:pPr>
              <w:spacing w:before="20" w:after="80" w:line="240" w:lineRule="exact"/>
              <w:ind w:left="-115" w:right="-101"/>
              <w:rPr>
                <w:rFonts w:eastAsia="SimSun"/>
                <w:sz w:val="20"/>
                <w:szCs w:val="20"/>
              </w:rPr>
            </w:pPr>
            <w:r w:rsidRPr="007C026D">
              <w:rPr>
                <w:rFonts w:eastAsia="SimSun"/>
                <w:sz w:val="20"/>
                <w:szCs w:val="20"/>
                <w:lang w:eastAsia="zh-CN"/>
              </w:rPr>
              <w:t>)</w:t>
            </w:r>
          </w:p>
        </w:tc>
      </w:tr>
      <w:tr w:rsidR="004718B6" w:rsidRPr="007C026D" w14:paraId="5AA72A98" w14:textId="77777777" w:rsidTr="00F37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90" w:type="dxa"/>
            <w:gridSpan w:val="9"/>
            <w:tcBorders>
              <w:top w:val="dotted" w:sz="4" w:space="0" w:color="auto"/>
              <w:left w:val="nil"/>
              <w:bottom w:val="nil"/>
              <w:right w:val="nil"/>
            </w:tcBorders>
            <w:shd w:val="clear" w:color="auto" w:fill="auto"/>
          </w:tcPr>
          <w:p w14:paraId="3D82B6AF" w14:textId="77777777" w:rsidR="004718B6" w:rsidRPr="007C026D" w:rsidRDefault="004718B6" w:rsidP="00F37084">
            <w:pPr>
              <w:spacing w:before="100" w:after="60" w:line="240" w:lineRule="exact"/>
              <w:rPr>
                <w:rFonts w:eastAsia="SimSun"/>
                <w:sz w:val="20"/>
                <w:szCs w:val="20"/>
              </w:rPr>
            </w:pPr>
            <w:r w:rsidRPr="007C026D">
              <w:rPr>
                <w:rFonts w:eastAsia="SimSun"/>
                <w:sz w:val="20"/>
                <w:szCs w:val="20"/>
                <w:lang w:eastAsia="zh-CN"/>
              </w:rPr>
              <w:t>Short-Run Coefficient</w:t>
            </w:r>
            <w:r>
              <w:rPr>
                <w:rFonts w:eastAsia="SimSun"/>
                <w:sz w:val="20"/>
                <w:szCs w:val="20"/>
                <w:lang w:eastAsia="zh-CN"/>
              </w:rPr>
              <w:t>s (</w:t>
            </w:r>
            <w:r w:rsidRPr="007C026D">
              <w:rPr>
                <w:rFonts w:eastAsia="SimSun"/>
                <w:sz w:val="20"/>
                <w:szCs w:val="20"/>
                <w:lang w:eastAsia="zh-CN"/>
              </w:rPr>
              <w:t xml:space="preserve">Changes in </w:t>
            </w:r>
            <w:r w:rsidRPr="00A87FEA">
              <w:rPr>
                <w:rFonts w:eastAsia="SimSun"/>
                <w:i/>
                <w:sz w:val="20"/>
                <w:szCs w:val="20"/>
                <w:lang w:eastAsia="zh-CN"/>
              </w:rPr>
              <w:t>HP</w:t>
            </w:r>
            <w:r>
              <w:rPr>
                <w:rFonts w:eastAsia="SimSun"/>
                <w:sz w:val="20"/>
                <w:szCs w:val="20"/>
                <w:lang w:eastAsia="zh-CN"/>
              </w:rPr>
              <w:t>)</w:t>
            </w:r>
          </w:p>
        </w:tc>
      </w:tr>
      <w:tr w:rsidR="004718B6" w:rsidRPr="007C026D" w14:paraId="6CCD89C0" w14:textId="77777777" w:rsidTr="00F37084">
        <w:tc>
          <w:tcPr>
            <w:tcW w:w="1350" w:type="dxa"/>
            <w:vMerge w:val="restart"/>
            <w:shd w:val="clear" w:color="auto" w:fill="auto"/>
            <w:vAlign w:val="center"/>
          </w:tcPr>
          <w:p w14:paraId="5A19ECF2" w14:textId="77777777" w:rsidR="004718B6" w:rsidRPr="00A87FEA" w:rsidRDefault="004718B6" w:rsidP="00F37084">
            <w:pPr>
              <w:spacing w:before="60" w:after="60" w:line="240" w:lineRule="exact"/>
              <w:ind w:left="288"/>
              <w:rPr>
                <w:rFonts w:eastAsia="SimSun"/>
                <w:i/>
                <w:sz w:val="22"/>
                <w:szCs w:val="20"/>
              </w:rPr>
            </w:pPr>
            <w:r w:rsidRPr="00A87FEA">
              <w:rPr>
                <w:rFonts w:eastAsia="SimSun"/>
                <w:i/>
                <w:sz w:val="22"/>
                <w:szCs w:val="20"/>
              </w:rPr>
              <w:t>δ</w:t>
            </w:r>
          </w:p>
        </w:tc>
        <w:tc>
          <w:tcPr>
            <w:tcW w:w="1080" w:type="dxa"/>
            <w:shd w:val="clear" w:color="auto" w:fill="auto"/>
          </w:tcPr>
          <w:p w14:paraId="2FA3F70D" w14:textId="77777777" w:rsidR="004718B6" w:rsidRPr="007C026D" w:rsidRDefault="004718B6" w:rsidP="00F37084">
            <w:pPr>
              <w:spacing w:before="80" w:after="20" w:line="240" w:lineRule="exact"/>
              <w:ind w:left="-115" w:right="-101"/>
              <w:jc w:val="right"/>
              <w:rPr>
                <w:rFonts w:eastAsia="SimSun"/>
                <w:sz w:val="20"/>
                <w:szCs w:val="20"/>
              </w:rPr>
            </w:pPr>
            <w:r w:rsidRPr="007C026D">
              <w:rPr>
                <w:rFonts w:eastAsia="SimSun"/>
                <w:sz w:val="20"/>
                <w:szCs w:val="20"/>
                <w:lang w:eastAsia="zh-CN"/>
              </w:rPr>
              <w:t>0.5175</w:t>
            </w:r>
          </w:p>
        </w:tc>
        <w:tc>
          <w:tcPr>
            <w:tcW w:w="630" w:type="dxa"/>
            <w:shd w:val="clear" w:color="auto" w:fill="auto"/>
          </w:tcPr>
          <w:p w14:paraId="40498038" w14:textId="77777777" w:rsidR="004718B6" w:rsidRPr="007C026D" w:rsidRDefault="004718B6" w:rsidP="00F37084">
            <w:pPr>
              <w:spacing w:before="80" w:after="20" w:line="240" w:lineRule="exact"/>
              <w:ind w:left="-115" w:right="-101"/>
              <w:rPr>
                <w:rFonts w:eastAsia="SimSun"/>
                <w:sz w:val="20"/>
                <w:szCs w:val="20"/>
              </w:rPr>
            </w:pPr>
          </w:p>
        </w:tc>
        <w:tc>
          <w:tcPr>
            <w:tcW w:w="1080" w:type="dxa"/>
            <w:shd w:val="clear" w:color="auto" w:fill="auto"/>
          </w:tcPr>
          <w:p w14:paraId="5EC8BDA8" w14:textId="77777777" w:rsidR="004718B6" w:rsidRPr="007C026D" w:rsidRDefault="004718B6" w:rsidP="00F37084">
            <w:pPr>
              <w:spacing w:before="80" w:after="20" w:line="240" w:lineRule="exact"/>
              <w:ind w:left="-115" w:right="-101"/>
              <w:jc w:val="right"/>
              <w:rPr>
                <w:rFonts w:eastAsia="SimSun"/>
                <w:sz w:val="20"/>
                <w:szCs w:val="20"/>
              </w:rPr>
            </w:pPr>
            <w:r w:rsidRPr="007C026D">
              <w:rPr>
                <w:rFonts w:eastAsia="SimSun"/>
                <w:sz w:val="20"/>
                <w:szCs w:val="20"/>
                <w:lang w:eastAsia="zh-CN"/>
              </w:rPr>
              <w:t>0.5030</w:t>
            </w:r>
          </w:p>
        </w:tc>
        <w:tc>
          <w:tcPr>
            <w:tcW w:w="630" w:type="dxa"/>
            <w:shd w:val="clear" w:color="auto" w:fill="auto"/>
          </w:tcPr>
          <w:p w14:paraId="5620C3A6" w14:textId="77777777" w:rsidR="004718B6" w:rsidRPr="007C026D" w:rsidRDefault="004718B6" w:rsidP="00F37084">
            <w:pPr>
              <w:spacing w:before="80" w:after="20" w:line="240" w:lineRule="exact"/>
              <w:ind w:left="-115" w:right="-101"/>
              <w:rPr>
                <w:rFonts w:eastAsia="SimSun"/>
                <w:sz w:val="20"/>
                <w:szCs w:val="20"/>
              </w:rPr>
            </w:pPr>
          </w:p>
        </w:tc>
        <w:tc>
          <w:tcPr>
            <w:tcW w:w="990" w:type="dxa"/>
            <w:shd w:val="clear" w:color="auto" w:fill="auto"/>
          </w:tcPr>
          <w:p w14:paraId="41FEAD8B" w14:textId="77777777" w:rsidR="004718B6" w:rsidRPr="007C026D" w:rsidRDefault="004718B6" w:rsidP="00F37084">
            <w:pPr>
              <w:spacing w:before="80" w:after="20" w:line="240" w:lineRule="exact"/>
              <w:ind w:left="-115" w:right="-101"/>
              <w:jc w:val="right"/>
              <w:rPr>
                <w:rFonts w:eastAsia="SimSun"/>
                <w:sz w:val="20"/>
                <w:szCs w:val="20"/>
              </w:rPr>
            </w:pPr>
          </w:p>
        </w:tc>
        <w:tc>
          <w:tcPr>
            <w:tcW w:w="720" w:type="dxa"/>
            <w:shd w:val="clear" w:color="auto" w:fill="auto"/>
          </w:tcPr>
          <w:p w14:paraId="62547919" w14:textId="77777777" w:rsidR="004718B6" w:rsidRPr="007C026D" w:rsidRDefault="004718B6" w:rsidP="00F37084">
            <w:pPr>
              <w:spacing w:before="80" w:after="20" w:line="240" w:lineRule="exact"/>
              <w:ind w:left="-115" w:right="-101"/>
              <w:rPr>
                <w:rFonts w:eastAsia="SimSun"/>
                <w:sz w:val="20"/>
                <w:szCs w:val="20"/>
              </w:rPr>
            </w:pPr>
          </w:p>
        </w:tc>
        <w:tc>
          <w:tcPr>
            <w:tcW w:w="1080" w:type="dxa"/>
            <w:shd w:val="clear" w:color="auto" w:fill="auto"/>
          </w:tcPr>
          <w:p w14:paraId="5DB6987C" w14:textId="77777777" w:rsidR="004718B6" w:rsidRPr="007C026D" w:rsidRDefault="004718B6" w:rsidP="00F37084">
            <w:pPr>
              <w:spacing w:before="80" w:after="20" w:line="240" w:lineRule="exact"/>
              <w:ind w:left="-115" w:right="-101"/>
              <w:jc w:val="right"/>
              <w:rPr>
                <w:rFonts w:eastAsia="SimSun"/>
                <w:sz w:val="20"/>
                <w:szCs w:val="20"/>
              </w:rPr>
            </w:pPr>
            <w:r w:rsidRPr="007C026D">
              <w:rPr>
                <w:rFonts w:eastAsia="SimSun"/>
                <w:sz w:val="20"/>
                <w:szCs w:val="20"/>
                <w:lang w:eastAsia="zh-CN"/>
              </w:rPr>
              <w:t>0.5404</w:t>
            </w:r>
          </w:p>
        </w:tc>
        <w:tc>
          <w:tcPr>
            <w:tcW w:w="630" w:type="dxa"/>
            <w:shd w:val="clear" w:color="auto" w:fill="auto"/>
          </w:tcPr>
          <w:p w14:paraId="4104B62C" w14:textId="77777777" w:rsidR="004718B6" w:rsidRPr="007C026D" w:rsidRDefault="004718B6" w:rsidP="00F37084">
            <w:pPr>
              <w:spacing w:before="80" w:after="20" w:line="240" w:lineRule="exact"/>
              <w:ind w:left="-115" w:right="-101"/>
              <w:rPr>
                <w:rFonts w:eastAsia="SimSun"/>
                <w:sz w:val="20"/>
                <w:szCs w:val="20"/>
              </w:rPr>
            </w:pPr>
          </w:p>
        </w:tc>
      </w:tr>
      <w:tr w:rsidR="004718B6" w:rsidRPr="007C026D" w14:paraId="56DD30FE" w14:textId="77777777" w:rsidTr="00F37084">
        <w:tc>
          <w:tcPr>
            <w:tcW w:w="1350" w:type="dxa"/>
            <w:vMerge/>
            <w:tcBorders>
              <w:bottom w:val="dotted" w:sz="4" w:space="0" w:color="auto"/>
            </w:tcBorders>
            <w:shd w:val="clear" w:color="auto" w:fill="auto"/>
            <w:vAlign w:val="center"/>
          </w:tcPr>
          <w:p w14:paraId="242A8DCD" w14:textId="77777777" w:rsidR="004718B6" w:rsidRPr="007C026D" w:rsidRDefault="004718B6" w:rsidP="00F37084">
            <w:pPr>
              <w:spacing w:before="60" w:after="60" w:line="240" w:lineRule="exact"/>
              <w:rPr>
                <w:rFonts w:eastAsia="SimSun"/>
                <w:sz w:val="20"/>
                <w:szCs w:val="20"/>
              </w:rPr>
            </w:pPr>
          </w:p>
        </w:tc>
        <w:tc>
          <w:tcPr>
            <w:tcW w:w="1080" w:type="dxa"/>
            <w:tcBorders>
              <w:bottom w:val="dotted" w:sz="4" w:space="0" w:color="auto"/>
            </w:tcBorders>
            <w:shd w:val="clear" w:color="auto" w:fill="auto"/>
          </w:tcPr>
          <w:p w14:paraId="0F8EBF7A" w14:textId="77777777" w:rsidR="004718B6" w:rsidRDefault="004718B6" w:rsidP="00F37084">
            <w:pPr>
              <w:spacing w:before="20" w:after="80" w:line="240" w:lineRule="exact"/>
              <w:ind w:left="-115" w:right="-101"/>
              <w:jc w:val="right"/>
              <w:rPr>
                <w:rFonts w:eastAsia="SimSun"/>
                <w:sz w:val="20"/>
                <w:szCs w:val="20"/>
                <w:lang w:eastAsia="zh-CN"/>
              </w:rPr>
            </w:pPr>
            <w:r w:rsidRPr="007C026D">
              <w:rPr>
                <w:rFonts w:eastAsia="SimSun"/>
                <w:sz w:val="20"/>
                <w:szCs w:val="20"/>
                <w:lang w:eastAsia="zh-CN"/>
              </w:rPr>
              <w:t>(0.4047</w:t>
            </w:r>
          </w:p>
        </w:tc>
        <w:tc>
          <w:tcPr>
            <w:tcW w:w="630" w:type="dxa"/>
            <w:tcBorders>
              <w:bottom w:val="dotted" w:sz="4" w:space="0" w:color="auto"/>
            </w:tcBorders>
            <w:shd w:val="clear" w:color="auto" w:fill="auto"/>
          </w:tcPr>
          <w:p w14:paraId="7254622A" w14:textId="77777777" w:rsidR="004718B6" w:rsidRPr="007C026D" w:rsidRDefault="004718B6" w:rsidP="00F37084">
            <w:pPr>
              <w:spacing w:before="20" w:after="80" w:line="240" w:lineRule="exact"/>
              <w:ind w:left="-115" w:right="-101"/>
              <w:rPr>
                <w:rFonts w:eastAsia="SimSun"/>
                <w:sz w:val="20"/>
                <w:szCs w:val="20"/>
              </w:rPr>
            </w:pPr>
            <w:r w:rsidRPr="007C026D">
              <w:rPr>
                <w:rFonts w:eastAsia="SimSun"/>
                <w:sz w:val="20"/>
                <w:szCs w:val="20"/>
                <w:lang w:eastAsia="zh-CN"/>
              </w:rPr>
              <w:t>)</w:t>
            </w:r>
          </w:p>
        </w:tc>
        <w:tc>
          <w:tcPr>
            <w:tcW w:w="1080" w:type="dxa"/>
            <w:tcBorders>
              <w:bottom w:val="dotted" w:sz="4" w:space="0" w:color="auto"/>
            </w:tcBorders>
            <w:shd w:val="clear" w:color="auto" w:fill="auto"/>
          </w:tcPr>
          <w:p w14:paraId="2A46E3F7" w14:textId="77777777" w:rsidR="004718B6" w:rsidRDefault="004718B6" w:rsidP="00F37084">
            <w:pPr>
              <w:spacing w:before="20" w:after="80" w:line="240" w:lineRule="exact"/>
              <w:ind w:left="-115" w:right="-101"/>
              <w:jc w:val="right"/>
              <w:rPr>
                <w:rFonts w:eastAsia="SimSun"/>
                <w:sz w:val="20"/>
                <w:szCs w:val="20"/>
                <w:lang w:eastAsia="zh-CN"/>
              </w:rPr>
            </w:pPr>
            <w:r w:rsidRPr="007C026D">
              <w:rPr>
                <w:rFonts w:eastAsia="SimSun"/>
                <w:sz w:val="20"/>
                <w:szCs w:val="20"/>
                <w:lang w:eastAsia="zh-CN"/>
              </w:rPr>
              <w:t>(0.3625</w:t>
            </w:r>
          </w:p>
        </w:tc>
        <w:tc>
          <w:tcPr>
            <w:tcW w:w="630" w:type="dxa"/>
            <w:tcBorders>
              <w:bottom w:val="dotted" w:sz="4" w:space="0" w:color="auto"/>
            </w:tcBorders>
            <w:shd w:val="clear" w:color="auto" w:fill="auto"/>
          </w:tcPr>
          <w:p w14:paraId="7CA43432" w14:textId="77777777" w:rsidR="004718B6" w:rsidRPr="007C026D" w:rsidRDefault="004718B6" w:rsidP="00F37084">
            <w:pPr>
              <w:spacing w:before="20" w:after="80" w:line="240" w:lineRule="exact"/>
              <w:ind w:left="-115" w:right="-101"/>
              <w:rPr>
                <w:rFonts w:eastAsia="SimSun"/>
                <w:sz w:val="20"/>
                <w:szCs w:val="20"/>
              </w:rPr>
            </w:pPr>
            <w:r w:rsidRPr="007C026D">
              <w:rPr>
                <w:rFonts w:eastAsia="SimSun"/>
                <w:sz w:val="20"/>
                <w:szCs w:val="20"/>
                <w:lang w:eastAsia="zh-CN"/>
              </w:rPr>
              <w:t>)</w:t>
            </w:r>
          </w:p>
        </w:tc>
        <w:tc>
          <w:tcPr>
            <w:tcW w:w="990" w:type="dxa"/>
            <w:tcBorders>
              <w:bottom w:val="dotted" w:sz="4" w:space="0" w:color="auto"/>
            </w:tcBorders>
            <w:shd w:val="clear" w:color="auto" w:fill="auto"/>
          </w:tcPr>
          <w:p w14:paraId="42736E94" w14:textId="77777777" w:rsidR="004718B6" w:rsidRPr="007C026D" w:rsidRDefault="004718B6" w:rsidP="00F37084">
            <w:pPr>
              <w:spacing w:before="20" w:after="80" w:line="240" w:lineRule="exact"/>
              <w:ind w:left="-115" w:right="-101"/>
              <w:jc w:val="right"/>
              <w:rPr>
                <w:rFonts w:eastAsia="SimSun"/>
                <w:sz w:val="20"/>
                <w:szCs w:val="20"/>
              </w:rPr>
            </w:pPr>
          </w:p>
        </w:tc>
        <w:tc>
          <w:tcPr>
            <w:tcW w:w="720" w:type="dxa"/>
            <w:tcBorders>
              <w:bottom w:val="dotted" w:sz="4" w:space="0" w:color="auto"/>
            </w:tcBorders>
            <w:shd w:val="clear" w:color="auto" w:fill="auto"/>
          </w:tcPr>
          <w:p w14:paraId="61660CE3" w14:textId="77777777" w:rsidR="004718B6" w:rsidRPr="007C026D" w:rsidRDefault="004718B6" w:rsidP="00F37084">
            <w:pPr>
              <w:spacing w:before="20" w:after="80" w:line="240" w:lineRule="exact"/>
              <w:ind w:left="-115" w:right="-101"/>
              <w:rPr>
                <w:rFonts w:eastAsia="SimSun"/>
                <w:sz w:val="20"/>
                <w:szCs w:val="20"/>
              </w:rPr>
            </w:pPr>
          </w:p>
        </w:tc>
        <w:tc>
          <w:tcPr>
            <w:tcW w:w="1080" w:type="dxa"/>
            <w:tcBorders>
              <w:bottom w:val="dotted" w:sz="4" w:space="0" w:color="auto"/>
            </w:tcBorders>
            <w:shd w:val="clear" w:color="auto" w:fill="auto"/>
          </w:tcPr>
          <w:p w14:paraId="23095A9A" w14:textId="77777777" w:rsidR="004718B6" w:rsidRPr="007C026D" w:rsidRDefault="004718B6" w:rsidP="00F37084">
            <w:pPr>
              <w:spacing w:before="20" w:after="80" w:line="240" w:lineRule="exact"/>
              <w:ind w:left="-115" w:right="-101"/>
              <w:jc w:val="right"/>
              <w:rPr>
                <w:rFonts w:eastAsia="SimSun"/>
                <w:sz w:val="20"/>
                <w:szCs w:val="20"/>
                <w:lang w:eastAsia="zh-CN"/>
              </w:rPr>
            </w:pPr>
            <w:r w:rsidRPr="007C026D">
              <w:rPr>
                <w:rFonts w:eastAsia="SimSun"/>
                <w:sz w:val="20"/>
                <w:szCs w:val="20"/>
                <w:lang w:eastAsia="zh-CN"/>
              </w:rPr>
              <w:t>(0.3913</w:t>
            </w:r>
          </w:p>
        </w:tc>
        <w:tc>
          <w:tcPr>
            <w:tcW w:w="630" w:type="dxa"/>
            <w:tcBorders>
              <w:bottom w:val="dotted" w:sz="4" w:space="0" w:color="auto"/>
            </w:tcBorders>
            <w:shd w:val="clear" w:color="auto" w:fill="auto"/>
          </w:tcPr>
          <w:p w14:paraId="38E57C45" w14:textId="77777777" w:rsidR="004718B6" w:rsidRPr="007C026D" w:rsidRDefault="004718B6" w:rsidP="00F37084">
            <w:pPr>
              <w:spacing w:before="20" w:after="80" w:line="240" w:lineRule="exact"/>
              <w:ind w:left="-115" w:right="-101"/>
              <w:rPr>
                <w:rFonts w:eastAsia="SimSun"/>
                <w:sz w:val="20"/>
                <w:szCs w:val="20"/>
              </w:rPr>
            </w:pPr>
            <w:r>
              <w:rPr>
                <w:rFonts w:eastAsia="SimSun"/>
                <w:sz w:val="20"/>
                <w:szCs w:val="20"/>
              </w:rPr>
              <w:t>)</w:t>
            </w:r>
          </w:p>
        </w:tc>
      </w:tr>
      <w:tr w:rsidR="004718B6" w:rsidRPr="007C026D" w14:paraId="0227C2C1" w14:textId="77777777" w:rsidTr="00F37084">
        <w:tc>
          <w:tcPr>
            <w:tcW w:w="1350" w:type="dxa"/>
            <w:tcBorders>
              <w:top w:val="dotted" w:sz="4" w:space="0" w:color="auto"/>
            </w:tcBorders>
            <w:shd w:val="clear" w:color="auto" w:fill="auto"/>
          </w:tcPr>
          <w:p w14:paraId="7EAD5683" w14:textId="77777777" w:rsidR="004718B6" w:rsidRPr="007C026D" w:rsidRDefault="004718B6" w:rsidP="00F37084">
            <w:pPr>
              <w:spacing w:before="100" w:after="60" w:line="240" w:lineRule="exact"/>
              <w:rPr>
                <w:rFonts w:eastAsia="SimSun"/>
                <w:sz w:val="20"/>
                <w:szCs w:val="20"/>
                <w:lang w:eastAsia="zh-CN"/>
              </w:rPr>
            </w:pPr>
            <w:r w:rsidRPr="007C026D">
              <w:rPr>
                <w:rFonts w:eastAsia="SimSun"/>
                <w:sz w:val="20"/>
                <w:szCs w:val="20"/>
                <w:lang w:eastAsia="zh-CN"/>
              </w:rPr>
              <w:t>No.</w:t>
            </w:r>
            <w:r>
              <w:rPr>
                <w:rFonts w:eastAsia="SimSun"/>
                <w:sz w:val="20"/>
                <w:szCs w:val="20"/>
                <w:lang w:eastAsia="zh-CN"/>
              </w:rPr>
              <w:t xml:space="preserve"> of B</w:t>
            </w:r>
            <w:r w:rsidRPr="007C026D">
              <w:rPr>
                <w:rFonts w:eastAsia="SimSun"/>
                <w:sz w:val="20"/>
                <w:szCs w:val="20"/>
                <w:lang w:eastAsia="zh-CN"/>
              </w:rPr>
              <w:t>anks</w:t>
            </w:r>
          </w:p>
        </w:tc>
        <w:tc>
          <w:tcPr>
            <w:tcW w:w="1710" w:type="dxa"/>
            <w:gridSpan w:val="2"/>
            <w:tcBorders>
              <w:top w:val="dotted" w:sz="4" w:space="0" w:color="auto"/>
            </w:tcBorders>
            <w:shd w:val="clear" w:color="auto" w:fill="auto"/>
            <w:vAlign w:val="center"/>
          </w:tcPr>
          <w:p w14:paraId="5ADCE26A" w14:textId="77777777" w:rsidR="004718B6" w:rsidRPr="007C026D" w:rsidRDefault="004718B6" w:rsidP="00F37084">
            <w:pPr>
              <w:spacing w:before="100" w:after="60" w:line="240" w:lineRule="exact"/>
              <w:ind w:left="-144"/>
              <w:jc w:val="center"/>
              <w:rPr>
                <w:rFonts w:eastAsia="SimSun"/>
                <w:sz w:val="20"/>
                <w:szCs w:val="20"/>
                <w:lang w:eastAsia="zh-CN"/>
              </w:rPr>
            </w:pPr>
            <w:r w:rsidRPr="007C026D">
              <w:rPr>
                <w:sz w:val="20"/>
                <w:szCs w:val="20"/>
              </w:rPr>
              <w:t>29</w:t>
            </w:r>
          </w:p>
        </w:tc>
        <w:tc>
          <w:tcPr>
            <w:tcW w:w="1710" w:type="dxa"/>
            <w:gridSpan w:val="2"/>
            <w:tcBorders>
              <w:top w:val="dotted" w:sz="4" w:space="0" w:color="auto"/>
            </w:tcBorders>
            <w:shd w:val="clear" w:color="auto" w:fill="auto"/>
            <w:vAlign w:val="center"/>
          </w:tcPr>
          <w:p w14:paraId="66E6DC0A" w14:textId="77777777" w:rsidR="004718B6" w:rsidRPr="007C026D" w:rsidRDefault="004718B6" w:rsidP="00F37084">
            <w:pPr>
              <w:spacing w:before="100" w:after="60" w:line="240" w:lineRule="exact"/>
              <w:ind w:left="-144"/>
              <w:jc w:val="center"/>
              <w:rPr>
                <w:rFonts w:eastAsia="SimSun"/>
                <w:sz w:val="20"/>
                <w:szCs w:val="20"/>
                <w:lang w:eastAsia="zh-CN"/>
              </w:rPr>
            </w:pPr>
            <w:r w:rsidRPr="007C026D">
              <w:rPr>
                <w:rFonts w:eastAsia="SimSun"/>
                <w:sz w:val="20"/>
                <w:szCs w:val="20"/>
                <w:lang w:eastAsia="zh-CN"/>
              </w:rPr>
              <w:t>29</w:t>
            </w:r>
          </w:p>
        </w:tc>
        <w:tc>
          <w:tcPr>
            <w:tcW w:w="1710" w:type="dxa"/>
            <w:gridSpan w:val="2"/>
            <w:tcBorders>
              <w:top w:val="dotted" w:sz="4" w:space="0" w:color="auto"/>
            </w:tcBorders>
            <w:shd w:val="clear" w:color="auto" w:fill="auto"/>
            <w:vAlign w:val="center"/>
          </w:tcPr>
          <w:p w14:paraId="41945C2D" w14:textId="77777777" w:rsidR="004718B6" w:rsidRPr="007C026D" w:rsidRDefault="004718B6" w:rsidP="00F37084">
            <w:pPr>
              <w:spacing w:before="100" w:after="60" w:line="240" w:lineRule="exact"/>
              <w:ind w:left="-144"/>
              <w:jc w:val="center"/>
              <w:rPr>
                <w:rFonts w:eastAsia="SimSun"/>
                <w:sz w:val="20"/>
                <w:szCs w:val="20"/>
              </w:rPr>
            </w:pPr>
          </w:p>
        </w:tc>
        <w:tc>
          <w:tcPr>
            <w:tcW w:w="1710" w:type="dxa"/>
            <w:gridSpan w:val="2"/>
            <w:tcBorders>
              <w:top w:val="dotted" w:sz="4" w:space="0" w:color="auto"/>
            </w:tcBorders>
            <w:shd w:val="clear" w:color="auto" w:fill="auto"/>
            <w:vAlign w:val="center"/>
          </w:tcPr>
          <w:p w14:paraId="73A0FD71" w14:textId="77777777" w:rsidR="004718B6" w:rsidRPr="007C026D" w:rsidRDefault="004718B6" w:rsidP="00F37084">
            <w:pPr>
              <w:spacing w:before="100" w:after="60" w:line="240" w:lineRule="exact"/>
              <w:ind w:left="-144"/>
              <w:jc w:val="center"/>
              <w:rPr>
                <w:rFonts w:eastAsia="SimSun"/>
                <w:sz w:val="20"/>
                <w:szCs w:val="20"/>
                <w:lang w:eastAsia="zh-CN"/>
              </w:rPr>
            </w:pPr>
            <w:r w:rsidRPr="007C026D">
              <w:rPr>
                <w:sz w:val="20"/>
                <w:szCs w:val="20"/>
              </w:rPr>
              <w:t>29</w:t>
            </w:r>
          </w:p>
        </w:tc>
      </w:tr>
      <w:tr w:rsidR="004718B6" w:rsidRPr="007C026D" w14:paraId="5F71B883" w14:textId="77777777" w:rsidTr="00F37084">
        <w:tc>
          <w:tcPr>
            <w:tcW w:w="1350" w:type="dxa"/>
            <w:tcBorders>
              <w:bottom w:val="single" w:sz="4" w:space="0" w:color="auto"/>
            </w:tcBorders>
            <w:shd w:val="clear" w:color="auto" w:fill="auto"/>
          </w:tcPr>
          <w:p w14:paraId="4A670C67" w14:textId="77777777" w:rsidR="004718B6" w:rsidRPr="007C026D" w:rsidRDefault="004718B6" w:rsidP="00F37084">
            <w:pPr>
              <w:spacing w:before="60" w:after="120" w:line="240" w:lineRule="exact"/>
              <w:rPr>
                <w:rFonts w:eastAsia="SimSun"/>
                <w:sz w:val="20"/>
                <w:szCs w:val="20"/>
                <w:lang w:eastAsia="zh-CN"/>
              </w:rPr>
            </w:pPr>
            <w:r w:rsidRPr="007C026D">
              <w:rPr>
                <w:rFonts w:eastAsia="SimSun"/>
                <w:sz w:val="20"/>
                <w:szCs w:val="20"/>
                <w:lang w:eastAsia="zh-CN"/>
              </w:rPr>
              <w:t xml:space="preserve">No. </w:t>
            </w:r>
            <w:r>
              <w:rPr>
                <w:rFonts w:eastAsia="SimSun"/>
                <w:sz w:val="20"/>
                <w:szCs w:val="20"/>
                <w:lang w:eastAsia="zh-CN"/>
              </w:rPr>
              <w:t xml:space="preserve">of </w:t>
            </w:r>
            <w:r w:rsidRPr="007C026D">
              <w:rPr>
                <w:rFonts w:eastAsia="SimSun"/>
                <w:sz w:val="20"/>
                <w:szCs w:val="20"/>
                <w:lang w:eastAsia="zh-CN"/>
              </w:rPr>
              <w:t>Obs.</w:t>
            </w:r>
          </w:p>
        </w:tc>
        <w:tc>
          <w:tcPr>
            <w:tcW w:w="1710" w:type="dxa"/>
            <w:gridSpan w:val="2"/>
            <w:tcBorders>
              <w:bottom w:val="single" w:sz="4" w:space="0" w:color="auto"/>
            </w:tcBorders>
            <w:shd w:val="clear" w:color="auto" w:fill="auto"/>
            <w:vAlign w:val="center"/>
          </w:tcPr>
          <w:p w14:paraId="6E539E4A" w14:textId="77777777" w:rsidR="004718B6" w:rsidRPr="007C026D" w:rsidRDefault="004718B6" w:rsidP="00F37084">
            <w:pPr>
              <w:spacing w:before="60" w:after="120" w:line="240" w:lineRule="exact"/>
              <w:ind w:left="-144"/>
              <w:jc w:val="center"/>
              <w:rPr>
                <w:sz w:val="20"/>
                <w:szCs w:val="20"/>
              </w:rPr>
            </w:pPr>
            <w:r w:rsidRPr="007C026D">
              <w:rPr>
                <w:rFonts w:eastAsia="SimSun"/>
                <w:sz w:val="20"/>
                <w:szCs w:val="20"/>
                <w:lang w:eastAsia="zh-CN"/>
              </w:rPr>
              <w:t>1</w:t>
            </w:r>
            <w:r>
              <w:rPr>
                <w:rFonts w:eastAsia="SimSun"/>
                <w:sz w:val="20"/>
                <w:szCs w:val="20"/>
                <w:lang w:eastAsia="zh-CN"/>
              </w:rPr>
              <w:t>,</w:t>
            </w:r>
            <w:r w:rsidRPr="007C026D">
              <w:rPr>
                <w:rFonts w:eastAsia="SimSun"/>
                <w:sz w:val="20"/>
                <w:szCs w:val="20"/>
                <w:lang w:eastAsia="zh-CN"/>
              </w:rPr>
              <w:t>102</w:t>
            </w:r>
          </w:p>
        </w:tc>
        <w:tc>
          <w:tcPr>
            <w:tcW w:w="1710" w:type="dxa"/>
            <w:gridSpan w:val="2"/>
            <w:tcBorders>
              <w:bottom w:val="single" w:sz="4" w:space="0" w:color="auto"/>
            </w:tcBorders>
            <w:shd w:val="clear" w:color="auto" w:fill="auto"/>
            <w:vAlign w:val="center"/>
          </w:tcPr>
          <w:p w14:paraId="18EC69AE" w14:textId="77777777" w:rsidR="004718B6" w:rsidRPr="007C026D" w:rsidRDefault="004718B6" w:rsidP="00F37084">
            <w:pPr>
              <w:spacing w:before="60" w:after="120" w:line="240" w:lineRule="exact"/>
              <w:ind w:left="-144"/>
              <w:jc w:val="center"/>
              <w:rPr>
                <w:rFonts w:eastAsia="SimSun"/>
                <w:sz w:val="20"/>
                <w:szCs w:val="20"/>
              </w:rPr>
            </w:pPr>
            <w:r w:rsidRPr="007C026D">
              <w:rPr>
                <w:rFonts w:eastAsia="SimSun"/>
                <w:sz w:val="20"/>
                <w:szCs w:val="20"/>
                <w:lang w:eastAsia="zh-CN"/>
              </w:rPr>
              <w:t>1</w:t>
            </w:r>
            <w:r>
              <w:rPr>
                <w:rFonts w:eastAsia="SimSun"/>
                <w:sz w:val="20"/>
                <w:szCs w:val="20"/>
                <w:lang w:eastAsia="zh-CN"/>
              </w:rPr>
              <w:t>,</w:t>
            </w:r>
            <w:r w:rsidRPr="007C026D">
              <w:rPr>
                <w:rFonts w:eastAsia="SimSun"/>
                <w:sz w:val="20"/>
                <w:szCs w:val="20"/>
                <w:lang w:eastAsia="zh-CN"/>
              </w:rPr>
              <w:t>102</w:t>
            </w:r>
          </w:p>
        </w:tc>
        <w:tc>
          <w:tcPr>
            <w:tcW w:w="1710" w:type="dxa"/>
            <w:gridSpan w:val="2"/>
            <w:tcBorders>
              <w:bottom w:val="single" w:sz="4" w:space="0" w:color="auto"/>
            </w:tcBorders>
            <w:shd w:val="clear" w:color="auto" w:fill="auto"/>
            <w:vAlign w:val="center"/>
          </w:tcPr>
          <w:p w14:paraId="409F0829" w14:textId="77777777" w:rsidR="004718B6" w:rsidRPr="007C026D" w:rsidRDefault="004718B6" w:rsidP="00F37084">
            <w:pPr>
              <w:spacing w:before="60" w:after="120" w:line="240" w:lineRule="exact"/>
              <w:ind w:left="-144"/>
              <w:jc w:val="center"/>
              <w:rPr>
                <w:rFonts w:eastAsia="SimSun"/>
                <w:sz w:val="20"/>
                <w:szCs w:val="20"/>
              </w:rPr>
            </w:pPr>
          </w:p>
        </w:tc>
        <w:tc>
          <w:tcPr>
            <w:tcW w:w="1710" w:type="dxa"/>
            <w:gridSpan w:val="2"/>
            <w:tcBorders>
              <w:bottom w:val="single" w:sz="4" w:space="0" w:color="auto"/>
            </w:tcBorders>
            <w:shd w:val="clear" w:color="auto" w:fill="auto"/>
            <w:vAlign w:val="center"/>
          </w:tcPr>
          <w:p w14:paraId="3008DF78" w14:textId="77777777" w:rsidR="004718B6" w:rsidRPr="007C026D" w:rsidRDefault="004718B6" w:rsidP="00F37084">
            <w:pPr>
              <w:spacing w:before="60" w:after="120" w:line="240" w:lineRule="exact"/>
              <w:ind w:left="-144"/>
              <w:jc w:val="center"/>
              <w:rPr>
                <w:sz w:val="20"/>
                <w:szCs w:val="20"/>
              </w:rPr>
            </w:pPr>
            <w:r w:rsidRPr="007C026D">
              <w:rPr>
                <w:rFonts w:eastAsia="SimSun"/>
                <w:sz w:val="20"/>
                <w:szCs w:val="20"/>
                <w:lang w:eastAsia="zh-CN"/>
              </w:rPr>
              <w:t>1</w:t>
            </w:r>
            <w:r>
              <w:rPr>
                <w:rFonts w:eastAsia="SimSun"/>
                <w:sz w:val="20"/>
                <w:szCs w:val="20"/>
                <w:lang w:eastAsia="zh-CN"/>
              </w:rPr>
              <w:t>,</w:t>
            </w:r>
            <w:r w:rsidRPr="007C026D">
              <w:rPr>
                <w:rFonts w:eastAsia="SimSun"/>
                <w:sz w:val="20"/>
                <w:szCs w:val="20"/>
                <w:lang w:eastAsia="zh-CN"/>
              </w:rPr>
              <w:t>102</w:t>
            </w:r>
          </w:p>
        </w:tc>
      </w:tr>
    </w:tbl>
    <w:p w14:paraId="28C06317" w14:textId="5D36899C" w:rsidR="004718B6" w:rsidRDefault="004718B6" w:rsidP="004718B6">
      <w:pPr>
        <w:spacing w:line="220" w:lineRule="exact"/>
        <w:rPr>
          <w:sz w:val="18"/>
          <w:szCs w:val="20"/>
        </w:rPr>
      </w:pPr>
    </w:p>
    <w:p w14:paraId="01C734E3" w14:textId="77777777" w:rsidR="004718B6" w:rsidRPr="004718B6" w:rsidRDefault="004718B6" w:rsidP="004718B6">
      <w:pPr>
        <w:snapToGrid w:val="0"/>
        <w:spacing w:line="260" w:lineRule="exact"/>
        <w:rPr>
          <w:b/>
          <w:sz w:val="22"/>
          <w:szCs w:val="22"/>
          <w:vertAlign w:val="superscript"/>
        </w:rPr>
      </w:pPr>
      <w:r w:rsidRPr="004718B6">
        <w:rPr>
          <w:rFonts w:eastAsia="細明體" w:hint="eastAsia"/>
          <w:b/>
          <w:sz w:val="22"/>
          <w:szCs w:val="22"/>
        </w:rPr>
        <w:t xml:space="preserve">Table </w:t>
      </w:r>
      <w:proofErr w:type="gramStart"/>
      <w:r w:rsidRPr="004718B6">
        <w:rPr>
          <w:rFonts w:eastAsia="細明體" w:hint="eastAsia"/>
          <w:b/>
          <w:sz w:val="22"/>
          <w:szCs w:val="22"/>
        </w:rPr>
        <w:t>1</w:t>
      </w:r>
      <w:r w:rsidRPr="004718B6">
        <w:rPr>
          <w:rFonts w:eastAsia="細明體"/>
          <w:b/>
          <w:sz w:val="22"/>
          <w:szCs w:val="22"/>
        </w:rPr>
        <w:t xml:space="preserve"> </w:t>
      </w:r>
      <w:r w:rsidRPr="004718B6">
        <w:rPr>
          <w:rFonts w:eastAsia="細明體" w:hint="eastAsia"/>
          <w:b/>
          <w:sz w:val="22"/>
          <w:szCs w:val="22"/>
        </w:rPr>
        <w:t xml:space="preserve"> </w:t>
      </w:r>
      <w:r w:rsidRPr="004718B6">
        <w:rPr>
          <w:b/>
          <w:sz w:val="22"/>
          <w:szCs w:val="22"/>
        </w:rPr>
        <w:t>Panel</w:t>
      </w:r>
      <w:proofErr w:type="gramEnd"/>
      <w:r w:rsidRPr="004718B6">
        <w:rPr>
          <w:b/>
          <w:sz w:val="22"/>
          <w:szCs w:val="22"/>
        </w:rPr>
        <w:t xml:space="preserve"> data analysis results on NPLs and house prices</w:t>
      </w:r>
      <w:r w:rsidRPr="004718B6">
        <w:rPr>
          <w:b/>
          <w:position w:val="4"/>
          <w:sz w:val="20"/>
          <w:szCs w:val="22"/>
          <w:vertAlign w:val="superscript"/>
        </w:rPr>
        <w:t>a</w:t>
      </w:r>
    </w:p>
    <w:p w14:paraId="104A188A" w14:textId="059C2B12" w:rsidR="004718B6" w:rsidRPr="004718B6" w:rsidRDefault="004718B6" w:rsidP="004718B6">
      <w:pPr>
        <w:spacing w:line="220" w:lineRule="exact"/>
        <w:rPr>
          <w:sz w:val="18"/>
          <w:szCs w:val="20"/>
        </w:rPr>
      </w:pPr>
    </w:p>
    <w:p w14:paraId="532D0936" w14:textId="77777777" w:rsidR="004718B6" w:rsidRDefault="004718B6" w:rsidP="004718B6">
      <w:pPr>
        <w:spacing w:line="220" w:lineRule="exact"/>
        <w:rPr>
          <w:rFonts w:hint="eastAsia"/>
          <w:sz w:val="18"/>
          <w:szCs w:val="20"/>
        </w:rPr>
      </w:pPr>
    </w:p>
    <w:p w14:paraId="77A6399A" w14:textId="77777777" w:rsidR="004718B6" w:rsidRPr="00A87FEA" w:rsidRDefault="004718B6" w:rsidP="004718B6">
      <w:pPr>
        <w:spacing w:line="220" w:lineRule="exact"/>
        <w:rPr>
          <w:i/>
          <w:sz w:val="18"/>
          <w:szCs w:val="18"/>
        </w:rPr>
      </w:pPr>
      <w:r w:rsidRPr="00A87FEA">
        <w:rPr>
          <w:i/>
          <w:sz w:val="18"/>
          <w:szCs w:val="18"/>
        </w:rPr>
        <w:t>Notes:</w:t>
      </w:r>
    </w:p>
    <w:p w14:paraId="3EFCB764" w14:textId="77777777" w:rsidR="004718B6" w:rsidRDefault="004718B6" w:rsidP="004718B6">
      <w:pPr>
        <w:spacing w:line="220" w:lineRule="exact"/>
        <w:jc w:val="both"/>
        <w:rPr>
          <w:sz w:val="18"/>
          <w:szCs w:val="18"/>
        </w:rPr>
      </w:pPr>
      <w:proofErr w:type="spellStart"/>
      <w:r>
        <w:rPr>
          <w:sz w:val="18"/>
          <w:szCs w:val="18"/>
          <w:vertAlign w:val="superscript"/>
        </w:rPr>
        <w:t>a</w:t>
      </w:r>
      <w:proofErr w:type="spellEnd"/>
      <w:r>
        <w:rPr>
          <w:sz w:val="18"/>
          <w:szCs w:val="18"/>
          <w:vertAlign w:val="superscript"/>
        </w:rPr>
        <w:t xml:space="preserve">    </w:t>
      </w:r>
      <w:proofErr w:type="gramStart"/>
      <w:r w:rsidRPr="00A87FEA">
        <w:rPr>
          <w:sz w:val="18"/>
          <w:szCs w:val="18"/>
        </w:rPr>
        <w:t>The</w:t>
      </w:r>
      <w:proofErr w:type="gramEnd"/>
      <w:r w:rsidRPr="00A87FEA">
        <w:rPr>
          <w:sz w:val="18"/>
          <w:szCs w:val="18"/>
        </w:rPr>
        <w:t xml:space="preserve"> dependent variable is </w:t>
      </w:r>
      <w:r>
        <w:rPr>
          <w:sz w:val="18"/>
          <w:szCs w:val="18"/>
        </w:rPr>
        <w:t>“</w:t>
      </w:r>
      <w:r w:rsidRPr="00A87FEA">
        <w:rPr>
          <w:sz w:val="18"/>
          <w:szCs w:val="18"/>
        </w:rPr>
        <w:t>non-performing loans (NPLs)</w:t>
      </w:r>
      <w:r>
        <w:rPr>
          <w:sz w:val="18"/>
          <w:szCs w:val="18"/>
        </w:rPr>
        <w:t>.</w:t>
      </w:r>
    </w:p>
    <w:p w14:paraId="00144748" w14:textId="77777777" w:rsidR="004718B6" w:rsidRDefault="004718B6" w:rsidP="004718B6">
      <w:pPr>
        <w:spacing w:line="220" w:lineRule="exact"/>
        <w:jc w:val="both"/>
        <w:rPr>
          <w:rFonts w:eastAsia="SimSun"/>
          <w:sz w:val="18"/>
          <w:szCs w:val="18"/>
          <w:lang w:eastAsia="zh-CN"/>
        </w:rPr>
      </w:pPr>
      <w:r>
        <w:rPr>
          <w:rFonts w:eastAsia="SimSun"/>
          <w:sz w:val="18"/>
          <w:szCs w:val="18"/>
          <w:vertAlign w:val="superscript"/>
          <w:lang w:eastAsia="zh-CN"/>
        </w:rPr>
        <w:t xml:space="preserve">b    </w:t>
      </w:r>
      <w:r w:rsidRPr="00A87FEA">
        <w:rPr>
          <w:rFonts w:eastAsia="SimSun"/>
          <w:sz w:val="18"/>
          <w:szCs w:val="18"/>
          <w:lang w:eastAsia="zh-CN"/>
        </w:rPr>
        <w:t xml:space="preserve">PMG and MG respectively refer to </w:t>
      </w:r>
      <w:r>
        <w:rPr>
          <w:rFonts w:eastAsia="SimSun"/>
          <w:sz w:val="18"/>
          <w:szCs w:val="18"/>
          <w:lang w:eastAsia="zh-CN"/>
        </w:rPr>
        <w:t>“</w:t>
      </w:r>
      <w:r w:rsidRPr="00A87FEA">
        <w:rPr>
          <w:rFonts w:eastAsia="SimSun"/>
          <w:sz w:val="18"/>
          <w:szCs w:val="18"/>
          <w:lang w:eastAsia="zh-CN"/>
        </w:rPr>
        <w:t>pooled mean group</w:t>
      </w:r>
      <w:r>
        <w:rPr>
          <w:rFonts w:eastAsia="SimSun"/>
          <w:sz w:val="18"/>
          <w:szCs w:val="18"/>
          <w:lang w:eastAsia="zh-CN"/>
        </w:rPr>
        <w:t>”</w:t>
      </w:r>
      <w:r w:rsidRPr="00A87FEA">
        <w:rPr>
          <w:rFonts w:eastAsia="SimSun"/>
          <w:sz w:val="18"/>
          <w:szCs w:val="18"/>
          <w:lang w:eastAsia="zh-CN"/>
        </w:rPr>
        <w:t xml:space="preserve"> and </w:t>
      </w:r>
      <w:r>
        <w:rPr>
          <w:rFonts w:eastAsia="SimSun"/>
          <w:sz w:val="18"/>
          <w:szCs w:val="18"/>
          <w:lang w:eastAsia="zh-CN"/>
        </w:rPr>
        <w:t>“</w:t>
      </w:r>
      <w:r w:rsidRPr="00A87FEA">
        <w:rPr>
          <w:rFonts w:eastAsia="SimSun"/>
          <w:sz w:val="18"/>
          <w:szCs w:val="18"/>
          <w:lang w:eastAsia="zh-CN"/>
        </w:rPr>
        <w:t>mean group</w:t>
      </w:r>
      <w:r>
        <w:rPr>
          <w:rFonts w:eastAsia="SimSun"/>
          <w:sz w:val="18"/>
          <w:szCs w:val="18"/>
          <w:lang w:eastAsia="zh-CN"/>
        </w:rPr>
        <w:t>”</w:t>
      </w:r>
      <w:r w:rsidRPr="00A87FEA">
        <w:rPr>
          <w:rFonts w:eastAsia="SimSun"/>
          <w:sz w:val="18"/>
          <w:szCs w:val="18"/>
          <w:lang w:eastAsia="zh-CN"/>
        </w:rPr>
        <w:t xml:space="preserve"> estimations. </w:t>
      </w:r>
    </w:p>
    <w:p w14:paraId="24FF415E" w14:textId="77777777" w:rsidR="004718B6" w:rsidRPr="00A87FEA" w:rsidRDefault="004718B6" w:rsidP="004718B6">
      <w:pPr>
        <w:spacing w:line="220" w:lineRule="exact"/>
        <w:ind w:left="288" w:hanging="288"/>
        <w:jc w:val="both"/>
        <w:rPr>
          <w:sz w:val="18"/>
          <w:szCs w:val="18"/>
        </w:rPr>
      </w:pPr>
      <w:r>
        <w:rPr>
          <w:rFonts w:eastAsia="SimSun"/>
          <w:sz w:val="18"/>
          <w:szCs w:val="18"/>
          <w:vertAlign w:val="superscript"/>
          <w:lang w:eastAsia="zh-CN"/>
        </w:rPr>
        <w:t xml:space="preserve">c    </w:t>
      </w:r>
      <w:proofErr w:type="gramStart"/>
      <w:r w:rsidRPr="00A87FEA">
        <w:rPr>
          <w:rFonts w:eastAsia="SimSun"/>
          <w:sz w:val="18"/>
          <w:szCs w:val="18"/>
          <w:lang w:eastAsia="zh-CN"/>
        </w:rPr>
        <w:t>The</w:t>
      </w:r>
      <w:proofErr w:type="gramEnd"/>
      <w:r w:rsidRPr="00A87FEA">
        <w:rPr>
          <w:rFonts w:eastAsia="SimSun"/>
          <w:sz w:val="18"/>
          <w:szCs w:val="18"/>
          <w:lang w:eastAsia="zh-CN"/>
        </w:rPr>
        <w:t xml:space="preserve"> null hypothesis in the Hausman Test is that difference </w:t>
      </w:r>
      <w:r>
        <w:rPr>
          <w:rFonts w:eastAsia="SimSun"/>
          <w:sz w:val="18"/>
          <w:szCs w:val="18"/>
          <w:lang w:eastAsia="zh-CN"/>
        </w:rPr>
        <w:t>between</w:t>
      </w:r>
      <w:r w:rsidRPr="00A87FEA">
        <w:rPr>
          <w:rFonts w:eastAsia="SimSun"/>
          <w:sz w:val="18"/>
          <w:szCs w:val="18"/>
          <w:lang w:eastAsia="zh-CN"/>
        </w:rPr>
        <w:t xml:space="preserve"> </w:t>
      </w:r>
      <w:r>
        <w:rPr>
          <w:rFonts w:eastAsia="SimSun"/>
          <w:sz w:val="18"/>
          <w:szCs w:val="18"/>
          <w:lang w:eastAsia="zh-CN"/>
        </w:rPr>
        <w:t xml:space="preserve">the </w:t>
      </w:r>
      <w:r w:rsidRPr="00A87FEA">
        <w:rPr>
          <w:rFonts w:eastAsia="SimSun"/>
          <w:sz w:val="18"/>
          <w:szCs w:val="18"/>
          <w:lang w:eastAsia="zh-CN"/>
        </w:rPr>
        <w:t xml:space="preserve">coefficients </w:t>
      </w:r>
      <w:r>
        <w:rPr>
          <w:rFonts w:eastAsia="SimSun"/>
          <w:sz w:val="18"/>
          <w:szCs w:val="18"/>
          <w:lang w:eastAsia="zh-CN"/>
        </w:rPr>
        <w:t xml:space="preserve">is </w:t>
      </w:r>
      <w:r w:rsidRPr="00A87FEA">
        <w:rPr>
          <w:rFonts w:eastAsia="SimSun"/>
          <w:sz w:val="18"/>
          <w:szCs w:val="18"/>
          <w:lang w:eastAsia="zh-CN"/>
        </w:rPr>
        <w:t xml:space="preserve">not systematic and </w:t>
      </w:r>
      <w:r>
        <w:rPr>
          <w:rFonts w:eastAsia="SimSun"/>
          <w:sz w:val="18"/>
          <w:szCs w:val="18"/>
          <w:lang w:eastAsia="zh-CN"/>
        </w:rPr>
        <w:t xml:space="preserve">that the </w:t>
      </w:r>
      <w:r w:rsidRPr="00A87FEA">
        <w:rPr>
          <w:rFonts w:eastAsia="SimSun"/>
          <w:sz w:val="18"/>
          <w:szCs w:val="18"/>
          <w:lang w:eastAsia="zh-CN"/>
        </w:rPr>
        <w:t>Hausman test statistic</w:t>
      </w:r>
      <w:r>
        <w:rPr>
          <w:rFonts w:eastAsia="SimSun"/>
          <w:sz w:val="18"/>
          <w:szCs w:val="18"/>
          <w:lang w:eastAsia="zh-CN"/>
        </w:rPr>
        <w:t xml:space="preserve"> ha</w:t>
      </w:r>
      <w:r w:rsidRPr="00A87FEA">
        <w:rPr>
          <w:rFonts w:eastAsia="SimSun"/>
          <w:sz w:val="18"/>
          <w:szCs w:val="18"/>
          <w:lang w:eastAsia="zh-CN"/>
        </w:rPr>
        <w:t xml:space="preserve">s </w:t>
      </w:r>
      <w:r>
        <w:rPr>
          <w:rFonts w:eastAsia="SimSun"/>
          <w:sz w:val="18"/>
          <w:szCs w:val="18"/>
          <w:lang w:eastAsia="zh-CN"/>
        </w:rPr>
        <w:t>a</w:t>
      </w:r>
      <w:r w:rsidRPr="00A87FEA">
        <w:rPr>
          <w:rFonts w:eastAsia="SimSun"/>
          <w:sz w:val="18"/>
          <w:szCs w:val="18"/>
          <w:lang w:eastAsia="zh-CN"/>
        </w:rPr>
        <w:t xml:space="preserve"> probability greater than the </w:t>
      </w:r>
      <w:r w:rsidRPr="00460BA8">
        <w:rPr>
          <w:rFonts w:eastAsia="SimSun"/>
          <w:i/>
          <w:position w:val="2"/>
          <w:sz w:val="18"/>
          <w:szCs w:val="18"/>
          <w:lang w:eastAsia="zh-CN"/>
        </w:rPr>
        <w:t>χ</w:t>
      </w:r>
      <w:r w:rsidRPr="00460BA8">
        <w:rPr>
          <w:rFonts w:eastAsia="SimSun"/>
          <w:position w:val="2"/>
          <w:sz w:val="16"/>
          <w:szCs w:val="18"/>
          <w:vertAlign w:val="superscript"/>
          <w:lang w:eastAsia="zh-CN"/>
        </w:rPr>
        <w:t>2</w:t>
      </w:r>
      <w:r w:rsidRPr="00460BA8">
        <w:rPr>
          <w:rFonts w:eastAsia="SimSun"/>
          <w:sz w:val="18"/>
          <w:szCs w:val="18"/>
          <w:lang w:eastAsia="zh-CN"/>
        </w:rPr>
        <w:t xml:space="preserve"> </w:t>
      </w:r>
      <w:r w:rsidRPr="00A87FEA">
        <w:rPr>
          <w:rFonts w:eastAsia="SimSun"/>
          <w:sz w:val="18"/>
          <w:szCs w:val="18"/>
          <w:lang w:eastAsia="zh-CN"/>
        </w:rPr>
        <w:t>value.</w:t>
      </w:r>
    </w:p>
    <w:p w14:paraId="6F7B6D11" w14:textId="77777777" w:rsidR="004718B6" w:rsidRPr="00A87FEA" w:rsidRDefault="004718B6" w:rsidP="004718B6">
      <w:pPr>
        <w:spacing w:line="220" w:lineRule="exact"/>
        <w:jc w:val="both"/>
        <w:rPr>
          <w:rFonts w:eastAsia="SimSun"/>
          <w:sz w:val="18"/>
          <w:szCs w:val="18"/>
          <w:lang w:eastAsia="zh-CN"/>
        </w:rPr>
      </w:pPr>
      <w:r>
        <w:rPr>
          <w:rFonts w:eastAsia="SimSun"/>
          <w:sz w:val="18"/>
          <w:szCs w:val="18"/>
          <w:vertAlign w:val="superscript"/>
          <w:lang w:eastAsia="zh-CN"/>
        </w:rPr>
        <w:t xml:space="preserve">d   </w:t>
      </w:r>
      <w:r w:rsidRPr="00102F20">
        <w:rPr>
          <w:rFonts w:eastAsia="SimSun"/>
          <w:sz w:val="18"/>
          <w:szCs w:val="18"/>
          <w:vertAlign w:val="superscript"/>
          <w:lang w:eastAsia="zh-CN"/>
        </w:rPr>
        <w:t xml:space="preserve"> </w:t>
      </w:r>
      <w:r w:rsidRPr="00102F20">
        <w:rPr>
          <w:rFonts w:eastAsia="SimSun"/>
          <w:sz w:val="18"/>
          <w:szCs w:val="18"/>
          <w:lang w:eastAsia="zh-CN"/>
        </w:rPr>
        <w:t>*** indicates significance at the 1 per cent level</w:t>
      </w:r>
      <w:r>
        <w:rPr>
          <w:rFonts w:eastAsia="SimSun"/>
          <w:sz w:val="18"/>
          <w:szCs w:val="18"/>
          <w:lang w:eastAsia="zh-CN"/>
        </w:rPr>
        <w:t xml:space="preserve">; and figures </w:t>
      </w:r>
      <w:r w:rsidRPr="00A87FEA">
        <w:rPr>
          <w:rFonts w:eastAsia="SimSun"/>
          <w:sz w:val="18"/>
          <w:szCs w:val="18"/>
          <w:lang w:eastAsia="zh-CN"/>
        </w:rPr>
        <w:t>in parenthesis</w:t>
      </w:r>
      <w:r>
        <w:rPr>
          <w:rFonts w:eastAsia="SimSun"/>
          <w:sz w:val="18"/>
          <w:szCs w:val="18"/>
          <w:lang w:eastAsia="zh-CN"/>
        </w:rPr>
        <w:t xml:space="preserve"> are s</w:t>
      </w:r>
      <w:r w:rsidRPr="00A87FEA">
        <w:rPr>
          <w:rFonts w:eastAsia="SimSun"/>
          <w:sz w:val="18"/>
          <w:szCs w:val="18"/>
          <w:lang w:eastAsia="zh-CN"/>
        </w:rPr>
        <w:t>tandard errors.</w:t>
      </w:r>
    </w:p>
    <w:p w14:paraId="22F5A46D" w14:textId="3E4E0DFB" w:rsidR="003F71A8" w:rsidRDefault="00E6777A" w:rsidP="00E6777A">
      <w:pPr>
        <w:spacing w:line="480" w:lineRule="auto"/>
        <w:ind w:firstLine="475"/>
        <w:jc w:val="both"/>
      </w:pPr>
      <w:r>
        <w:t xml:space="preserve">In all three specifications, the long-run effects of house prices on the NPL ratios are found to have negative signs, with significance at the 1 per cent level, whilst the short-run effects of house prices on the NPL ratios are found to have positive signs, albeit with no significance. The intercepts in all three models are found to have positive signs, with significance at the 1 per cent level. </w:t>
      </w:r>
    </w:p>
    <w:p w14:paraId="3CCA7A47" w14:textId="2D7784F9" w:rsidR="00AB75D3" w:rsidRDefault="00E6777A" w:rsidP="003F71A8">
      <w:pPr>
        <w:spacing w:line="480" w:lineRule="auto"/>
        <w:ind w:firstLine="475"/>
        <w:jc w:val="both"/>
      </w:pPr>
      <w:r>
        <w:t>T</w:t>
      </w:r>
      <w:r w:rsidR="00AB75D3">
        <w:t xml:space="preserve">he </w:t>
      </w:r>
      <w:r w:rsidRPr="00E31898">
        <w:t>null hypothesis of long-run slope homogeneity in the coefficients</w:t>
      </w:r>
      <w:r>
        <w:t xml:space="preserve"> is rejected by the Hausman test </w:t>
      </w:r>
      <w:r w:rsidR="00AB75D3">
        <w:t>statistic</w:t>
      </w:r>
      <w:r w:rsidR="00AB75D3" w:rsidRPr="00E31898">
        <w:t xml:space="preserve">, </w:t>
      </w:r>
      <w:r w:rsidR="00AB75D3">
        <w:t xml:space="preserve">which implies that the </w:t>
      </w:r>
      <w:r w:rsidR="00AB75D3" w:rsidRPr="00E31898">
        <w:t>MG estimators are prefer</w:t>
      </w:r>
      <w:r>
        <w:t xml:space="preserve">able to the </w:t>
      </w:r>
      <w:r w:rsidR="00AB75D3">
        <w:t>PMG method. The</w:t>
      </w:r>
      <w:r w:rsidR="00AB75D3" w:rsidRPr="009E4713">
        <w:t xml:space="preserve"> </w:t>
      </w:r>
      <w:r w:rsidR="00AB75D3">
        <w:t xml:space="preserve">empirical </w:t>
      </w:r>
      <w:r w:rsidR="00AB75D3" w:rsidRPr="009E4713">
        <w:t xml:space="preserve">results confirm </w:t>
      </w:r>
      <w:r>
        <w:t xml:space="preserve">that </w:t>
      </w:r>
      <w:r w:rsidR="00AB75D3" w:rsidRPr="009E4713">
        <w:t>long-run equilibria are more likely in the housing market (Herring and Wachter, 1999)</w:t>
      </w:r>
      <w:r>
        <w:t>, with</w:t>
      </w:r>
      <w:r w:rsidR="00AB75D3">
        <w:t xml:space="preserve"> the</w:t>
      </w:r>
      <w:r w:rsidR="00AB75D3" w:rsidRPr="009E4713">
        <w:t xml:space="preserve"> results </w:t>
      </w:r>
      <w:r>
        <w:t xml:space="preserve">being </w:t>
      </w:r>
      <w:r w:rsidR="00AB75D3" w:rsidRPr="009E4713">
        <w:t>consis</w:t>
      </w:r>
      <w:r w:rsidR="00AB75D3">
        <w:t>tent with the view that hous</w:t>
      </w:r>
      <w:r>
        <w:t>e</w:t>
      </w:r>
      <w:r w:rsidR="00AB75D3">
        <w:t xml:space="preserve"> </w:t>
      </w:r>
      <w:r w:rsidR="00AB75D3" w:rsidRPr="009E4713">
        <w:t>price</w:t>
      </w:r>
      <w:r>
        <w:t>s</w:t>
      </w:r>
      <w:r w:rsidR="00AB75D3" w:rsidRPr="009E4713">
        <w:t xml:space="preserve"> </w:t>
      </w:r>
      <w:r w:rsidR="00AB75D3">
        <w:t>m</w:t>
      </w:r>
      <w:r w:rsidR="00AB75D3" w:rsidRPr="009E4713">
        <w:t xml:space="preserve">ay increase </w:t>
      </w:r>
      <w:r>
        <w:t xml:space="preserve">both </w:t>
      </w:r>
      <w:r w:rsidR="00AB75D3" w:rsidRPr="009E4713">
        <w:t>collateral value and bank stability</w:t>
      </w:r>
      <w:r>
        <w:t>; h</w:t>
      </w:r>
      <w:r w:rsidR="00AB75D3">
        <w:t>owever, the impacts of house price</w:t>
      </w:r>
      <w:r w:rsidR="00B13317">
        <w:t>s</w:t>
      </w:r>
      <w:r w:rsidR="00AB75D3">
        <w:t xml:space="preserve"> on the NPL ratios </w:t>
      </w:r>
      <w:r>
        <w:t xml:space="preserve">are found to </w:t>
      </w:r>
      <w:r w:rsidR="00AB75D3">
        <w:t>exist only in the long</w:t>
      </w:r>
      <w:r>
        <w:t xml:space="preserve"> </w:t>
      </w:r>
      <w:r w:rsidR="00AB75D3">
        <w:t>run, not in the short</w:t>
      </w:r>
      <w:r>
        <w:t xml:space="preserve"> </w:t>
      </w:r>
      <w:r w:rsidR="00AB75D3">
        <w:t xml:space="preserve">run.   </w:t>
      </w:r>
    </w:p>
    <w:p w14:paraId="6E4BDAF9" w14:textId="012F5912" w:rsidR="006945FF" w:rsidRDefault="00AB75D3" w:rsidP="003F71A8">
      <w:pPr>
        <w:spacing w:line="480" w:lineRule="auto"/>
        <w:ind w:firstLine="475"/>
        <w:jc w:val="both"/>
      </w:pPr>
      <w:r>
        <w:t xml:space="preserve">According to </w:t>
      </w:r>
      <w:r w:rsidR="009B5568">
        <w:t xml:space="preserve">various studies within </w:t>
      </w:r>
      <w:r w:rsidR="00E6777A">
        <w:t>the extant</w:t>
      </w:r>
      <w:r w:rsidRPr="00E847BF">
        <w:t xml:space="preserve"> literature, rising </w:t>
      </w:r>
      <w:r>
        <w:t xml:space="preserve">house </w:t>
      </w:r>
      <w:r w:rsidRPr="00E847BF">
        <w:t>price</w:t>
      </w:r>
      <w:r w:rsidR="00E6777A">
        <w:t>s</w:t>
      </w:r>
      <w:r w:rsidRPr="00E847BF">
        <w:t xml:space="preserve"> </w:t>
      </w:r>
      <w:r w:rsidR="00E6777A">
        <w:t>can potentially</w:t>
      </w:r>
      <w:r w:rsidRPr="00E847BF">
        <w:t xml:space="preserve"> have </w:t>
      </w:r>
      <w:r w:rsidR="00E6777A">
        <w:t xml:space="preserve">either </w:t>
      </w:r>
      <w:r w:rsidRPr="00E847BF">
        <w:t xml:space="preserve">positive or negative impacts on </w:t>
      </w:r>
      <w:r w:rsidR="00E6777A">
        <w:t xml:space="preserve">non-performing loan </w:t>
      </w:r>
      <w:r>
        <w:t xml:space="preserve">ratios. </w:t>
      </w:r>
      <w:r w:rsidR="009B5568">
        <w:t xml:space="preserve">In the present study, we empirically examine quarterly data on 29 Taiwanese banks covering the years 2006 </w:t>
      </w:r>
      <w:r w:rsidR="009B5568" w:rsidRPr="009B5568">
        <w:t>to 2015</w:t>
      </w:r>
      <w:r w:rsidR="009B5568">
        <w:t>, with our</w:t>
      </w:r>
      <w:r w:rsidRPr="009B5568">
        <w:t xml:space="preserve"> dynamic panel data analysis </w:t>
      </w:r>
      <w:r w:rsidR="009B5568">
        <w:t>revealing the</w:t>
      </w:r>
      <w:r w:rsidRPr="009B5568">
        <w:t xml:space="preserve"> </w:t>
      </w:r>
      <w:r w:rsidR="009B5568">
        <w:t xml:space="preserve">existence of </w:t>
      </w:r>
      <w:r w:rsidR="00FE25D1">
        <w:t xml:space="preserve">a </w:t>
      </w:r>
      <w:r w:rsidR="009B5568">
        <w:t xml:space="preserve">negative </w:t>
      </w:r>
      <w:r w:rsidR="00FE25D1" w:rsidRPr="009B5568">
        <w:t>long-run</w:t>
      </w:r>
      <w:r w:rsidR="00FE25D1">
        <w:t xml:space="preserve"> </w:t>
      </w:r>
      <w:r w:rsidR="009B5568">
        <w:t>relationship between the housing price index</w:t>
      </w:r>
      <w:r w:rsidR="009B5568" w:rsidRPr="009B5568">
        <w:t xml:space="preserve"> </w:t>
      </w:r>
      <w:r w:rsidR="009B5568">
        <w:t>and NPL ratios</w:t>
      </w:r>
      <w:r w:rsidR="00FE25D1">
        <w:t>. In contrast,</w:t>
      </w:r>
      <w:r w:rsidR="009B5568">
        <w:t xml:space="preserve"> t</w:t>
      </w:r>
      <w:r>
        <w:t xml:space="preserve">he </w:t>
      </w:r>
      <w:r w:rsidR="00FE25D1">
        <w:t xml:space="preserve">short-run </w:t>
      </w:r>
      <w:r>
        <w:t xml:space="preserve">relationship </w:t>
      </w:r>
      <w:r w:rsidR="009B5568">
        <w:t>appears to b</w:t>
      </w:r>
      <w:r>
        <w:t>e positive</w:t>
      </w:r>
      <w:r w:rsidR="00FE25D1">
        <w:t>,</w:t>
      </w:r>
      <w:r w:rsidR="009B5568">
        <w:t xml:space="preserve"> </w:t>
      </w:r>
      <w:r w:rsidR="00FE25D1">
        <w:t xml:space="preserve">although </w:t>
      </w:r>
      <w:r w:rsidR="009B5568">
        <w:t xml:space="preserve">the </w:t>
      </w:r>
      <w:r>
        <w:t xml:space="preserve">estimated coefficients </w:t>
      </w:r>
      <w:r w:rsidR="00FE25D1">
        <w:t>are found to be</w:t>
      </w:r>
      <w:r>
        <w:t xml:space="preserve"> insignificant</w:t>
      </w:r>
      <w:r w:rsidR="006945FF">
        <w:t>.</w:t>
      </w:r>
    </w:p>
    <w:bookmarkEnd w:id="2"/>
    <w:bookmarkEnd w:id="3"/>
    <w:p w14:paraId="41D41BA8" w14:textId="77777777" w:rsidR="00252761" w:rsidRPr="000A5756" w:rsidRDefault="00EF184A" w:rsidP="00252761">
      <w:pPr>
        <w:spacing w:before="120" w:line="480" w:lineRule="auto"/>
        <w:jc w:val="both"/>
        <w:rPr>
          <w:sz w:val="28"/>
          <w:szCs w:val="28"/>
        </w:rPr>
      </w:pPr>
      <w:r w:rsidRPr="000A5756">
        <w:rPr>
          <w:sz w:val="28"/>
          <w:szCs w:val="28"/>
        </w:rPr>
        <w:t>5</w:t>
      </w:r>
      <w:r w:rsidR="00252761" w:rsidRPr="000A5756">
        <w:rPr>
          <w:rFonts w:hint="eastAsia"/>
          <w:sz w:val="28"/>
          <w:szCs w:val="28"/>
        </w:rPr>
        <w:t xml:space="preserve">. </w:t>
      </w:r>
      <w:r w:rsidR="00252761" w:rsidRPr="000A5756">
        <w:rPr>
          <w:sz w:val="28"/>
          <w:szCs w:val="28"/>
        </w:rPr>
        <w:tab/>
        <w:t>CONCLUSIONS</w:t>
      </w:r>
    </w:p>
    <w:p w14:paraId="790FBF1F" w14:textId="759AE638" w:rsidR="00C9507E" w:rsidRDefault="00FE25D1" w:rsidP="00C9507E">
      <w:pPr>
        <w:spacing w:line="480" w:lineRule="auto"/>
        <w:jc w:val="both"/>
      </w:pPr>
      <w:r>
        <w:t>Ambiguous</w:t>
      </w:r>
      <w:r w:rsidRPr="004D514F">
        <w:t xml:space="preserve"> relationships </w:t>
      </w:r>
      <w:r>
        <w:t xml:space="preserve">have been reported </w:t>
      </w:r>
      <w:r w:rsidR="00B13317">
        <w:t>within the extant</w:t>
      </w:r>
      <w:r w:rsidR="00B13317" w:rsidRPr="004D514F">
        <w:t xml:space="preserve"> literature</w:t>
      </w:r>
      <w:r w:rsidR="00B13317">
        <w:t xml:space="preserve"> </w:t>
      </w:r>
      <w:r>
        <w:t>between</w:t>
      </w:r>
      <w:r w:rsidRPr="004D514F">
        <w:t xml:space="preserve"> </w:t>
      </w:r>
      <w:r>
        <w:t xml:space="preserve">residential property prices </w:t>
      </w:r>
      <w:r w:rsidRPr="004D514F">
        <w:t>and the quality of bank loan</w:t>
      </w:r>
      <w:r>
        <w:t xml:space="preserve"> </w:t>
      </w:r>
      <w:r w:rsidR="00C9507E">
        <w:t>performance</w:t>
      </w:r>
      <w:r w:rsidR="00AB75D3" w:rsidRPr="004D514F">
        <w:t xml:space="preserve">. </w:t>
      </w:r>
      <w:r>
        <w:t>Any i</w:t>
      </w:r>
      <w:r w:rsidR="00AB75D3" w:rsidRPr="004D514F">
        <w:t>ncreas</w:t>
      </w:r>
      <w:r>
        <w:t xml:space="preserve">e </w:t>
      </w:r>
      <w:r w:rsidR="00AB75D3" w:rsidRPr="004D514F">
        <w:t>in hous</w:t>
      </w:r>
      <w:r>
        <w:t>e</w:t>
      </w:r>
      <w:r w:rsidR="00AB75D3" w:rsidRPr="004D514F">
        <w:t xml:space="preserve"> price</w:t>
      </w:r>
      <w:r>
        <w:t>s</w:t>
      </w:r>
      <w:r w:rsidRPr="00FE25D1">
        <w:t xml:space="preserve"> </w:t>
      </w:r>
      <w:r>
        <w:t>can</w:t>
      </w:r>
      <w:r w:rsidR="00AB75D3" w:rsidRPr="004D514F">
        <w:t xml:space="preserve">, on the one hand, </w:t>
      </w:r>
      <w:r>
        <w:t xml:space="preserve">lead to an </w:t>
      </w:r>
      <w:r w:rsidR="00AB75D3" w:rsidRPr="004D514F">
        <w:t xml:space="preserve">increase </w:t>
      </w:r>
      <w:r>
        <w:t xml:space="preserve">in </w:t>
      </w:r>
      <w:r w:rsidR="00AB75D3" w:rsidRPr="004D514F">
        <w:t xml:space="preserve">the </w:t>
      </w:r>
      <w:r w:rsidRPr="004D514F">
        <w:t xml:space="preserve">collateral </w:t>
      </w:r>
      <w:r w:rsidR="00AB75D3" w:rsidRPr="004D514F">
        <w:t xml:space="preserve">value </w:t>
      </w:r>
      <w:r>
        <w:t>on the property,</w:t>
      </w:r>
      <w:r w:rsidR="00AB75D3" w:rsidRPr="004D514F">
        <w:t xml:space="preserve"> </w:t>
      </w:r>
      <w:r>
        <w:t>which would clearly help to</w:t>
      </w:r>
      <w:r w:rsidR="00AB75D3" w:rsidRPr="004D514F">
        <w:t xml:space="preserve"> </w:t>
      </w:r>
      <w:r>
        <w:t>enhance</w:t>
      </w:r>
      <w:r w:rsidR="00AB75D3" w:rsidRPr="004D514F">
        <w:t xml:space="preserve"> the quality of bank loans</w:t>
      </w:r>
      <w:r>
        <w:t>;</w:t>
      </w:r>
      <w:r w:rsidR="00AB75D3" w:rsidRPr="004D514F">
        <w:t xml:space="preserve"> on the other hand, </w:t>
      </w:r>
      <w:r>
        <w:t xml:space="preserve">however, any </w:t>
      </w:r>
      <w:r w:rsidR="00AB75D3" w:rsidRPr="004D514F">
        <w:t>increas</w:t>
      </w:r>
      <w:r>
        <w:t xml:space="preserve">e </w:t>
      </w:r>
      <w:r w:rsidR="00AB75D3" w:rsidRPr="004D514F">
        <w:t>in hous</w:t>
      </w:r>
      <w:r>
        <w:t>e</w:t>
      </w:r>
      <w:r w:rsidR="00AB75D3" w:rsidRPr="004D514F">
        <w:t xml:space="preserve"> price</w:t>
      </w:r>
      <w:r>
        <w:t>s</w:t>
      </w:r>
      <w:r w:rsidR="00AB75D3" w:rsidRPr="004D514F">
        <w:t xml:space="preserve"> </w:t>
      </w:r>
      <w:r w:rsidR="00B13317">
        <w:t>may</w:t>
      </w:r>
      <w:r>
        <w:t xml:space="preserve"> </w:t>
      </w:r>
      <w:r w:rsidR="00C9507E">
        <w:t xml:space="preserve">also </w:t>
      </w:r>
      <w:r>
        <w:t>tend to</w:t>
      </w:r>
      <w:r w:rsidR="00AB75D3" w:rsidRPr="004D514F">
        <w:t xml:space="preserve"> induce excess</w:t>
      </w:r>
      <w:r>
        <w:t>ive</w:t>
      </w:r>
      <w:r w:rsidR="00AB75D3" w:rsidRPr="004D514F">
        <w:t xml:space="preserve"> lending and attract </w:t>
      </w:r>
      <w:r w:rsidR="00C9507E">
        <w:t>greater attention by</w:t>
      </w:r>
      <w:r w:rsidR="00AB75D3" w:rsidRPr="004D514F">
        <w:t xml:space="preserve"> speculative investors</w:t>
      </w:r>
      <w:r w:rsidR="00C9507E">
        <w:t>, thereby lading to overall</w:t>
      </w:r>
      <w:r w:rsidR="00AB75D3" w:rsidRPr="004D514F">
        <w:t xml:space="preserve"> deteriorat</w:t>
      </w:r>
      <w:r w:rsidR="00C9507E">
        <w:t>ion in</w:t>
      </w:r>
      <w:r w:rsidR="00AB75D3" w:rsidRPr="004D514F">
        <w:t xml:space="preserve"> the quality of bank loan</w:t>
      </w:r>
      <w:r w:rsidR="00C9507E">
        <w:t xml:space="preserve"> performance</w:t>
      </w:r>
      <w:r w:rsidR="00AB75D3" w:rsidRPr="004D514F">
        <w:t>.</w:t>
      </w:r>
      <w:r w:rsidR="00AB75D3">
        <w:t xml:space="preserve"> </w:t>
      </w:r>
    </w:p>
    <w:p w14:paraId="24F9DC21" w14:textId="083ECE1F" w:rsidR="002944FE" w:rsidRDefault="00C9507E" w:rsidP="003F71A8">
      <w:pPr>
        <w:spacing w:line="480" w:lineRule="auto"/>
        <w:ind w:firstLine="475"/>
        <w:jc w:val="both"/>
      </w:pPr>
      <w:r>
        <w:t xml:space="preserve">Furthermore, </w:t>
      </w:r>
      <w:r w:rsidR="002944FE">
        <w:t>to the best of our knowledge, wit</w:t>
      </w:r>
      <w:r>
        <w:t>hin the majority</w:t>
      </w:r>
      <w:r w:rsidR="00AB75D3">
        <w:t xml:space="preserve"> of the </w:t>
      </w:r>
      <w:r>
        <w:t>prior related</w:t>
      </w:r>
      <w:r w:rsidR="00AB75D3">
        <w:t xml:space="preserve"> studies</w:t>
      </w:r>
      <w:r>
        <w:t>, there appears to have been very little</w:t>
      </w:r>
      <w:r w:rsidR="00AB75D3">
        <w:t xml:space="preserve"> discuss</w:t>
      </w:r>
      <w:r>
        <w:t>ion on the ways in which</w:t>
      </w:r>
      <w:r w:rsidR="00AB75D3">
        <w:t xml:space="preserve"> </w:t>
      </w:r>
      <w:r>
        <w:t>variations in the</w:t>
      </w:r>
      <w:r w:rsidR="00AB75D3">
        <w:t xml:space="preserve"> duration of</w:t>
      </w:r>
      <w:r>
        <w:t xml:space="preserve"> a</w:t>
      </w:r>
      <w:r w:rsidR="00AB75D3">
        <w:t xml:space="preserve"> housing boom or bust </w:t>
      </w:r>
      <w:r>
        <w:t>can affect</w:t>
      </w:r>
      <w:r w:rsidR="00AB75D3">
        <w:t xml:space="preserve"> bank stability.</w:t>
      </w:r>
      <w:r>
        <w:t xml:space="preserve"> In the present study, we </w:t>
      </w:r>
      <w:r w:rsidR="002944FE">
        <w:t xml:space="preserve">carry out </w:t>
      </w:r>
      <w:r w:rsidR="00AB75D3">
        <w:t>empirical</w:t>
      </w:r>
      <w:r w:rsidR="002944FE">
        <w:t xml:space="preserve"> examinations of</w:t>
      </w:r>
      <w:r w:rsidR="00AB75D3">
        <w:t xml:space="preserve"> the</w:t>
      </w:r>
      <w:r>
        <w:t>se</w:t>
      </w:r>
      <w:r w:rsidR="00AB75D3">
        <w:t xml:space="preserve"> relationships</w:t>
      </w:r>
      <w:r w:rsidR="00B13317">
        <w:t>,</w:t>
      </w:r>
      <w:r w:rsidR="00AB75D3">
        <w:t xml:space="preserve"> </w:t>
      </w:r>
      <w:r>
        <w:t>based upon</w:t>
      </w:r>
      <w:r w:rsidR="00AB75D3">
        <w:t xml:space="preserve"> selected data</w:t>
      </w:r>
      <w:r w:rsidR="00B13317">
        <w:t>,</w:t>
      </w:r>
      <w:r w:rsidR="00AB75D3">
        <w:t xml:space="preserve"> and </w:t>
      </w:r>
      <w:r>
        <w:t xml:space="preserve">attempt to </w:t>
      </w:r>
      <w:r w:rsidR="00AB75D3">
        <w:t>distinguish</w:t>
      </w:r>
      <w:r>
        <w:t xml:space="preserve"> between</w:t>
      </w:r>
      <w:r w:rsidR="00AB75D3">
        <w:t xml:space="preserve"> the </w:t>
      </w:r>
      <w:r>
        <w:t xml:space="preserve">short-run and long-run </w:t>
      </w:r>
      <w:r w:rsidR="00AB75D3">
        <w:t>impacts of residential property price</w:t>
      </w:r>
      <w:r>
        <w:t>s</w:t>
      </w:r>
      <w:r w:rsidR="00AB75D3">
        <w:t xml:space="preserve"> on </w:t>
      </w:r>
      <w:r>
        <w:t xml:space="preserve">NPL </w:t>
      </w:r>
      <w:r w:rsidR="00AB75D3">
        <w:t xml:space="preserve">ratios </w:t>
      </w:r>
      <w:r>
        <w:t>through the</w:t>
      </w:r>
      <w:r w:rsidR="00AB75D3">
        <w:t xml:space="preserve"> appl</w:t>
      </w:r>
      <w:r>
        <w:t>ication of</w:t>
      </w:r>
      <w:r w:rsidR="00AB75D3">
        <w:t xml:space="preserve"> </w:t>
      </w:r>
      <w:r w:rsidR="00B13317" w:rsidRPr="00C903A1">
        <w:rPr>
          <w:spacing w:val="-2"/>
        </w:rPr>
        <w:t>‘mean-group’ (MG) and ‘pooled mean group’</w:t>
      </w:r>
      <w:r w:rsidR="00AB75D3">
        <w:t xml:space="preserve"> PMG analys</w:t>
      </w:r>
      <w:r>
        <w:t>e</w:t>
      </w:r>
      <w:r w:rsidR="00AB75D3">
        <w:t xml:space="preserve">s. </w:t>
      </w:r>
      <w:r>
        <w:t xml:space="preserve">Our </w:t>
      </w:r>
      <w:r w:rsidR="002944FE">
        <w:t xml:space="preserve">empirical </w:t>
      </w:r>
      <w:r>
        <w:t>results provide</w:t>
      </w:r>
      <w:r w:rsidR="00AB75D3">
        <w:t xml:space="preserve"> evidence</w:t>
      </w:r>
      <w:r>
        <w:t xml:space="preserve"> in</w:t>
      </w:r>
      <w:r w:rsidR="00AB75D3">
        <w:t xml:space="preserve"> support</w:t>
      </w:r>
      <w:r>
        <w:t xml:space="preserve"> of</w:t>
      </w:r>
      <w:r w:rsidR="00AB75D3">
        <w:t xml:space="preserve"> the hypothesis that residential property price</w:t>
      </w:r>
      <w:r>
        <w:t>s</w:t>
      </w:r>
      <w:r w:rsidR="00AB75D3">
        <w:t xml:space="preserve"> </w:t>
      </w:r>
      <w:r>
        <w:t>can</w:t>
      </w:r>
      <w:r w:rsidR="00AB75D3">
        <w:t xml:space="preserve"> have </w:t>
      </w:r>
      <w:r>
        <w:t xml:space="preserve">direct </w:t>
      </w:r>
      <w:r w:rsidR="00AB75D3">
        <w:t>influences on the quality of bank loan</w:t>
      </w:r>
      <w:r>
        <w:t xml:space="preserve"> performance</w:t>
      </w:r>
      <w:r w:rsidR="002944FE">
        <w:t>, since they go some way towards</w:t>
      </w:r>
      <w:r w:rsidR="00AB75D3">
        <w:t xml:space="preserve"> explain</w:t>
      </w:r>
      <w:r w:rsidR="002944FE">
        <w:t>ing</w:t>
      </w:r>
      <w:r w:rsidR="00AB75D3">
        <w:t xml:space="preserve"> </w:t>
      </w:r>
      <w:r>
        <w:t>the reasons behind</w:t>
      </w:r>
      <w:r w:rsidR="00AB75D3">
        <w:t xml:space="preserve"> the low levels of NPLs in Taiwan under the </w:t>
      </w:r>
      <w:r w:rsidR="00AB75D3" w:rsidRPr="002D7B2B">
        <w:t xml:space="preserve">economic </w:t>
      </w:r>
      <w:r w:rsidR="00AB75D3">
        <w:t xml:space="preserve">recession </w:t>
      </w:r>
      <w:r>
        <w:t xml:space="preserve">attributable to the </w:t>
      </w:r>
      <w:r w:rsidR="00AB75D3" w:rsidRPr="002D7B2B">
        <w:t>sub</w:t>
      </w:r>
      <w:r w:rsidR="00B13317">
        <w:t>-</w:t>
      </w:r>
      <w:r w:rsidR="00AB75D3" w:rsidRPr="002D7B2B">
        <w:t>prime</w:t>
      </w:r>
      <w:r>
        <w:t xml:space="preserve"> mortgage</w:t>
      </w:r>
      <w:r w:rsidR="00AB75D3" w:rsidRPr="002D7B2B">
        <w:t xml:space="preserve"> crisis</w:t>
      </w:r>
      <w:r w:rsidR="002944FE">
        <w:t>.</w:t>
      </w:r>
    </w:p>
    <w:p w14:paraId="160166AB" w14:textId="0CA442C1" w:rsidR="007B7F62" w:rsidRPr="003F71A8" w:rsidRDefault="002944FE" w:rsidP="003F71A8">
      <w:pPr>
        <w:spacing w:line="480" w:lineRule="auto"/>
        <w:ind w:firstLine="475"/>
        <w:jc w:val="both"/>
      </w:pPr>
      <w:r w:rsidRPr="00B13317">
        <w:t>T</w:t>
      </w:r>
      <w:r w:rsidR="00AB75D3" w:rsidRPr="00B13317">
        <w:t xml:space="preserve">he </w:t>
      </w:r>
      <w:r w:rsidRPr="00B13317">
        <w:t xml:space="preserve">empirical </w:t>
      </w:r>
      <w:r w:rsidR="00AB75D3" w:rsidRPr="00B13317">
        <w:t xml:space="preserve">evidence </w:t>
      </w:r>
      <w:r w:rsidRPr="00B13317">
        <w:t>presented in this study suggests</w:t>
      </w:r>
      <w:r w:rsidR="00C9507E" w:rsidRPr="00B13317">
        <w:t xml:space="preserve"> that</w:t>
      </w:r>
      <w:r w:rsidR="00AB75D3" w:rsidRPr="00B13317">
        <w:t xml:space="preserve"> </w:t>
      </w:r>
      <w:r w:rsidRPr="00B13317">
        <w:t>the</w:t>
      </w:r>
      <w:r w:rsidR="00AB75D3" w:rsidRPr="00B13317">
        <w:t xml:space="preserve"> persistent</w:t>
      </w:r>
      <w:r w:rsidR="00AB75D3">
        <w:t xml:space="preserve"> increases </w:t>
      </w:r>
      <w:r w:rsidR="00C9507E">
        <w:t>in</w:t>
      </w:r>
      <w:r w:rsidR="00AB75D3">
        <w:t xml:space="preserve"> house price</w:t>
      </w:r>
      <w:r>
        <w:t>s</w:t>
      </w:r>
      <w:r w:rsidR="00AB75D3">
        <w:t xml:space="preserve"> </w:t>
      </w:r>
      <w:r>
        <w:t>following</w:t>
      </w:r>
      <w:r w:rsidR="00AB75D3">
        <w:t xml:space="preserve"> the sub-prime </w:t>
      </w:r>
      <w:r>
        <w:t>mortgage</w:t>
      </w:r>
      <w:r w:rsidR="00AB75D3">
        <w:t xml:space="preserve"> crisis </w:t>
      </w:r>
      <w:r>
        <w:t xml:space="preserve">can help to </w:t>
      </w:r>
      <w:r w:rsidR="00AB75D3">
        <w:t>explain the phenomenon of low NPL ratios</w:t>
      </w:r>
      <w:r w:rsidRPr="002944FE">
        <w:t xml:space="preserve"> </w:t>
      </w:r>
      <w:r>
        <w:t>in Taiwan, with our</w:t>
      </w:r>
      <w:r w:rsidR="00AB75D3">
        <w:t xml:space="preserve"> findings </w:t>
      </w:r>
      <w:r>
        <w:t>potentially</w:t>
      </w:r>
      <w:r w:rsidR="00AB75D3">
        <w:t xml:space="preserve"> offer</w:t>
      </w:r>
      <w:r>
        <w:t xml:space="preserve">ing </w:t>
      </w:r>
      <w:r w:rsidR="00AB75D3">
        <w:t xml:space="preserve">implications </w:t>
      </w:r>
      <w:r w:rsidR="00B13317">
        <w:t xml:space="preserve">for overall financial stability and </w:t>
      </w:r>
      <w:r w:rsidR="00AB75D3">
        <w:t xml:space="preserve">for </w:t>
      </w:r>
      <w:r>
        <w:t>policy makers in the emerging markets</w:t>
      </w:r>
      <w:r w:rsidR="00AB75D3">
        <w:t xml:space="preserve">. </w:t>
      </w:r>
      <w:r>
        <w:t>We find that the h</w:t>
      </w:r>
      <w:r w:rsidR="00AB75D3">
        <w:t>ousing market may</w:t>
      </w:r>
      <w:r>
        <w:t xml:space="preserve"> have</w:t>
      </w:r>
      <w:r w:rsidR="00AB75D3">
        <w:t xml:space="preserve"> </w:t>
      </w:r>
      <w:r>
        <w:t xml:space="preserve">a very important role to </w:t>
      </w:r>
      <w:r w:rsidR="00AB75D3">
        <w:t>pla</w:t>
      </w:r>
      <w:r>
        <w:t>y</w:t>
      </w:r>
      <w:r w:rsidR="00AB75D3">
        <w:t xml:space="preserve"> in </w:t>
      </w:r>
      <w:r>
        <w:t xml:space="preserve">ensuring </w:t>
      </w:r>
      <w:r w:rsidR="00AB75D3">
        <w:t>financial stability</w:t>
      </w:r>
      <w:r>
        <w:t>,</w:t>
      </w:r>
      <w:r w:rsidR="00AB75D3">
        <w:t xml:space="preserve"> </w:t>
      </w:r>
      <w:r>
        <w:t>since</w:t>
      </w:r>
      <w:r w:rsidR="00AB75D3">
        <w:t xml:space="preserve"> </w:t>
      </w:r>
      <w:r>
        <w:t xml:space="preserve">NPL </w:t>
      </w:r>
      <w:r w:rsidR="00AB75D3">
        <w:t xml:space="preserve">ratios </w:t>
      </w:r>
      <w:r>
        <w:t xml:space="preserve">can be reduced if any decline in house prices is made to </w:t>
      </w:r>
      <w:r w:rsidR="00B13317">
        <w:t>spread</w:t>
      </w:r>
      <w:r>
        <w:t xml:space="preserve"> over longer periods of time</w:t>
      </w:r>
      <w:r w:rsidR="00AB75D3">
        <w:t xml:space="preserve">. </w:t>
      </w:r>
      <w:r>
        <w:t>This further</w:t>
      </w:r>
      <w:r w:rsidR="00AB75D3">
        <w:t xml:space="preserve"> implies th</w:t>
      </w:r>
      <w:r>
        <w:t>at</w:t>
      </w:r>
      <w:r w:rsidR="00AB75D3">
        <w:t xml:space="preserve"> policies </w:t>
      </w:r>
      <w:r>
        <w:t>aimed at</w:t>
      </w:r>
      <w:r w:rsidR="00AB75D3">
        <w:t xml:space="preserve"> shorten</w:t>
      </w:r>
      <w:r w:rsidR="00B13317">
        <w:t>ing</w:t>
      </w:r>
      <w:r w:rsidR="00AB75D3">
        <w:t xml:space="preserve"> </w:t>
      </w:r>
      <w:r>
        <w:t>any</w:t>
      </w:r>
      <w:r w:rsidR="00AB75D3">
        <w:t xml:space="preserve"> housing market recession </w:t>
      </w:r>
      <w:r>
        <w:t>can help to</w:t>
      </w:r>
      <w:r w:rsidR="00AB75D3">
        <w:t xml:space="preserve"> improve bank stability. Our empirical results support the view that </w:t>
      </w:r>
      <w:r w:rsidR="00AB75D3" w:rsidRPr="00727773">
        <w:t xml:space="preserve">higher </w:t>
      </w:r>
      <w:r w:rsidRPr="00727773">
        <w:t xml:space="preserve">real estate </w:t>
      </w:r>
      <w:r w:rsidR="00AB75D3" w:rsidRPr="00727773">
        <w:t>price</w:t>
      </w:r>
      <w:r>
        <w:t>s</w:t>
      </w:r>
      <w:r w:rsidR="00AB75D3" w:rsidRPr="00727773">
        <w:t xml:space="preserve"> </w:t>
      </w:r>
      <w:r>
        <w:t>tend to</w:t>
      </w:r>
      <w:r w:rsidR="00AB75D3" w:rsidRPr="00727773">
        <w:t xml:space="preserve"> enhance bank stability, </w:t>
      </w:r>
      <w:r>
        <w:t>which also</w:t>
      </w:r>
      <w:r w:rsidR="00AB75D3" w:rsidRPr="00727773">
        <w:t xml:space="preserve"> implies </w:t>
      </w:r>
      <w:r>
        <w:t xml:space="preserve">a </w:t>
      </w:r>
      <w:r w:rsidR="00AB75D3">
        <w:t>negative</w:t>
      </w:r>
      <w:r w:rsidR="00AB75D3" w:rsidRPr="00727773">
        <w:t xml:space="preserve"> relationship between house price</w:t>
      </w:r>
      <w:r>
        <w:t>s</w:t>
      </w:r>
      <w:r w:rsidR="00AB75D3" w:rsidRPr="00727773">
        <w:t xml:space="preserve"> and </w:t>
      </w:r>
      <w:r>
        <w:t>non-perf</w:t>
      </w:r>
      <w:r w:rsidRPr="00727773">
        <w:t xml:space="preserve">orming loan </w:t>
      </w:r>
      <w:r w:rsidR="00AB75D3" w:rsidRPr="00727773">
        <w:t>ratio</w:t>
      </w:r>
      <w:r>
        <w:t>s</w:t>
      </w:r>
      <w:r w:rsidR="006945FF">
        <w:t>.</w:t>
      </w:r>
      <w:r w:rsidR="007B7F62">
        <w:rPr>
          <w:sz w:val="26"/>
          <w:szCs w:val="26"/>
        </w:rPr>
        <w:br w:type="page"/>
      </w:r>
    </w:p>
    <w:p w14:paraId="013C657A" w14:textId="4B53F7AB" w:rsidR="007B7F62" w:rsidRPr="00B877B5" w:rsidRDefault="007B7F62" w:rsidP="007B7F62">
      <w:pPr>
        <w:spacing w:line="360" w:lineRule="auto"/>
        <w:rPr>
          <w:sz w:val="28"/>
          <w:szCs w:val="28"/>
        </w:rPr>
      </w:pPr>
      <w:r w:rsidRPr="00B877B5">
        <w:rPr>
          <w:sz w:val="28"/>
          <w:szCs w:val="28"/>
        </w:rPr>
        <w:t>REFERENCES</w:t>
      </w:r>
    </w:p>
    <w:p w14:paraId="1AB7F1CF" w14:textId="1C649FC6" w:rsidR="00AB75D3" w:rsidRPr="00727773" w:rsidRDefault="00CD7CA6" w:rsidP="00BD74E1">
      <w:pPr>
        <w:spacing w:before="120" w:line="360" w:lineRule="auto"/>
        <w:ind w:left="475" w:hanging="475"/>
        <w:jc w:val="both"/>
      </w:pPr>
      <w:r>
        <w:t xml:space="preserve">[1] </w:t>
      </w:r>
      <w:r w:rsidR="00AB75D3" w:rsidRPr="00727773">
        <w:t xml:space="preserve">Bertus, M. and B. </w:t>
      </w:r>
      <w:proofErr w:type="spellStart"/>
      <w:r w:rsidR="00AB75D3" w:rsidRPr="00727773">
        <w:t>Stanhouse</w:t>
      </w:r>
      <w:proofErr w:type="spellEnd"/>
      <w:r w:rsidR="00AB75D3">
        <w:t xml:space="preserve">, </w:t>
      </w:r>
      <w:r w:rsidR="009C7D4C">
        <w:t>“</w:t>
      </w:r>
      <w:r w:rsidR="00AB75D3" w:rsidRPr="00727773">
        <w:t>Rational Speculative Bubbles in the Gold Futures Market: An Application of Dynamic Factor Analysis</w:t>
      </w:r>
      <w:r w:rsidR="009C7D4C">
        <w:t>”</w:t>
      </w:r>
      <w:r w:rsidR="00460BA8">
        <w:t>,</w:t>
      </w:r>
      <w:r w:rsidR="00AB75D3" w:rsidRPr="009C7D4C">
        <w:t xml:space="preserve"> Journal of Futures Markets</w:t>
      </w:r>
      <w:r w:rsidR="00AB75D3" w:rsidRPr="00727773">
        <w:t>,</w:t>
      </w:r>
      <w:r>
        <w:t xml:space="preserve"> </w:t>
      </w:r>
      <w:r w:rsidRPr="00727773">
        <w:t>2001</w:t>
      </w:r>
      <w:r>
        <w:t>,</w:t>
      </w:r>
      <w:r w:rsidRPr="00CD7CA6">
        <w:t xml:space="preserve"> </w:t>
      </w:r>
      <w:r w:rsidR="009C7D4C">
        <w:t xml:space="preserve">vol. </w:t>
      </w:r>
      <w:r w:rsidR="00AB75D3" w:rsidRPr="00CD7CA6">
        <w:t>21</w:t>
      </w:r>
      <w:r w:rsidR="009C7D4C">
        <w:t xml:space="preserve">, pp. </w:t>
      </w:r>
      <w:r w:rsidR="00AB75D3" w:rsidRPr="00727773">
        <w:t>79</w:t>
      </w:r>
      <w:r w:rsidR="00460BA8">
        <w:t>-</w:t>
      </w:r>
      <w:r w:rsidR="0063547B">
        <w:t>108</w:t>
      </w:r>
      <w:r w:rsidR="00AB75D3" w:rsidRPr="00727773">
        <w:t>.</w:t>
      </w:r>
    </w:p>
    <w:p w14:paraId="1DC4575C" w14:textId="7846C9BA" w:rsidR="00AB75D3" w:rsidRPr="00727773" w:rsidRDefault="009C7D4C" w:rsidP="00AB75D3">
      <w:pPr>
        <w:spacing w:before="240" w:line="360" w:lineRule="auto"/>
        <w:ind w:left="475" w:hanging="475"/>
        <w:jc w:val="both"/>
      </w:pPr>
      <w:r>
        <w:t xml:space="preserve">[2] </w:t>
      </w:r>
      <w:r w:rsidR="00AB75D3" w:rsidRPr="00727773">
        <w:t>Case, K.E and R.J Shiller</w:t>
      </w:r>
      <w:r w:rsidR="00AB75D3">
        <w:t xml:space="preserve">, </w:t>
      </w:r>
      <w:r>
        <w:t>“</w:t>
      </w:r>
      <w:r w:rsidR="00AB75D3" w:rsidRPr="00727773">
        <w:t>Is There a Bubble in the Housing Market?  Comments and Discussion</w:t>
      </w:r>
      <w:r>
        <w:t>”</w:t>
      </w:r>
      <w:r w:rsidR="00460BA8">
        <w:t>,</w:t>
      </w:r>
      <w:r w:rsidR="00AB75D3" w:rsidRPr="00727773">
        <w:t xml:space="preserve"> </w:t>
      </w:r>
      <w:r w:rsidR="00AB75D3" w:rsidRPr="009C7D4C">
        <w:t>Brookings Papers on Economic Activity</w:t>
      </w:r>
      <w:r w:rsidR="00460BA8">
        <w:t>,</w:t>
      </w:r>
      <w:r w:rsidRPr="009C7D4C">
        <w:t xml:space="preserve"> 2003</w:t>
      </w:r>
      <w:r>
        <w:t>, vol.</w:t>
      </w:r>
      <w:r w:rsidR="00460BA8">
        <w:t xml:space="preserve"> </w:t>
      </w:r>
      <w:r w:rsidR="00AB75D3" w:rsidRPr="009C7D4C">
        <w:t>2</w:t>
      </w:r>
      <w:r>
        <w:t>, pp.</w:t>
      </w:r>
      <w:r w:rsidR="00460BA8">
        <w:t xml:space="preserve"> 2</w:t>
      </w:r>
      <w:r w:rsidR="00AB75D3" w:rsidRPr="00727773">
        <w:t>99</w:t>
      </w:r>
      <w:r w:rsidR="00460BA8">
        <w:t>-</w:t>
      </w:r>
      <w:r w:rsidR="0063547B">
        <w:t>362</w:t>
      </w:r>
      <w:r w:rsidR="00AB75D3" w:rsidRPr="00727773">
        <w:t>.</w:t>
      </w:r>
    </w:p>
    <w:p w14:paraId="10583100" w14:textId="728FA348" w:rsidR="00AB75D3" w:rsidRPr="00727773" w:rsidRDefault="009C7D4C" w:rsidP="00AB75D3">
      <w:pPr>
        <w:spacing w:before="240" w:line="360" w:lineRule="auto"/>
        <w:ind w:left="475" w:hanging="475"/>
        <w:jc w:val="both"/>
      </w:pPr>
      <w:r>
        <w:t xml:space="preserve">[3] </w:t>
      </w:r>
      <w:proofErr w:type="spellStart"/>
      <w:r w:rsidR="00AB75D3" w:rsidRPr="00727773">
        <w:t>Daglish</w:t>
      </w:r>
      <w:proofErr w:type="spellEnd"/>
      <w:r w:rsidR="00AB75D3" w:rsidRPr="00727773">
        <w:t>, T.</w:t>
      </w:r>
      <w:r w:rsidR="00AB75D3">
        <w:t xml:space="preserve">, </w:t>
      </w:r>
      <w:r>
        <w:t>“</w:t>
      </w:r>
      <w:r w:rsidR="00AB75D3" w:rsidRPr="00727773">
        <w:t>What Motivates a Subprime Borrower to Default?</w:t>
      </w:r>
      <w:r>
        <w:t>”</w:t>
      </w:r>
      <w:r w:rsidR="00460BA8">
        <w:t>,</w:t>
      </w:r>
      <w:r w:rsidR="00AB75D3" w:rsidRPr="00727773">
        <w:t xml:space="preserve"> </w:t>
      </w:r>
      <w:r w:rsidR="00AB75D3" w:rsidRPr="009C7D4C">
        <w:t xml:space="preserve">Journal of Banking </w:t>
      </w:r>
      <w:r w:rsidR="00460BA8" w:rsidRPr="009C7D4C">
        <w:t>and</w:t>
      </w:r>
      <w:r w:rsidR="00AB75D3" w:rsidRPr="009C7D4C">
        <w:t xml:space="preserve"> Finance</w:t>
      </w:r>
      <w:r w:rsidR="00460BA8">
        <w:t xml:space="preserve">, </w:t>
      </w:r>
      <w:r w:rsidRPr="009C7D4C">
        <w:t>2009</w:t>
      </w:r>
      <w:r>
        <w:t>, vol.</w:t>
      </w:r>
      <w:r w:rsidRPr="009C7D4C">
        <w:t xml:space="preserve"> </w:t>
      </w:r>
      <w:r w:rsidR="00AB75D3" w:rsidRPr="009C7D4C">
        <w:t>33</w:t>
      </w:r>
      <w:r>
        <w:t xml:space="preserve">, no. </w:t>
      </w:r>
      <w:r w:rsidR="00AB75D3" w:rsidRPr="00727773">
        <w:t>4</w:t>
      </w:r>
      <w:r>
        <w:t>, pp.</w:t>
      </w:r>
      <w:r w:rsidR="00AB75D3" w:rsidRPr="00727773">
        <w:t xml:space="preserve"> 681-93.</w:t>
      </w:r>
    </w:p>
    <w:p w14:paraId="225C98E8" w14:textId="285212CD" w:rsidR="00AB75D3" w:rsidRDefault="009C7D4C" w:rsidP="00AB75D3">
      <w:pPr>
        <w:spacing w:before="240" w:line="360" w:lineRule="auto"/>
        <w:ind w:left="475" w:hanging="475"/>
        <w:jc w:val="both"/>
      </w:pPr>
      <w:r>
        <w:t xml:space="preserve">[4] </w:t>
      </w:r>
      <w:r w:rsidR="00AB75D3" w:rsidRPr="00727773">
        <w:t>Davis, E.P</w:t>
      </w:r>
      <w:r w:rsidR="00AB75D3">
        <w:t>.</w:t>
      </w:r>
      <w:r w:rsidR="00AB75D3" w:rsidRPr="00727773">
        <w:t xml:space="preserve"> and H. Zhu</w:t>
      </w:r>
      <w:r w:rsidR="00AB75D3">
        <w:t xml:space="preserve">, </w:t>
      </w:r>
      <w:r>
        <w:t>“</w:t>
      </w:r>
      <w:r w:rsidR="00AB75D3" w:rsidRPr="00727773">
        <w:t>Bank Lending and Commercial Property Cycles: Some Cross-country Evidence</w:t>
      </w:r>
      <w:r>
        <w:t>”</w:t>
      </w:r>
      <w:r w:rsidR="00460BA8">
        <w:t>,</w:t>
      </w:r>
      <w:r w:rsidR="00AB75D3" w:rsidRPr="00727773">
        <w:t xml:space="preserve"> </w:t>
      </w:r>
      <w:r w:rsidR="00AB75D3" w:rsidRPr="009C7D4C">
        <w:t>Journal of International Money and Finance</w:t>
      </w:r>
      <w:r w:rsidR="00AB75D3" w:rsidRPr="00727773">
        <w:t>,</w:t>
      </w:r>
      <w:r w:rsidRPr="009C7D4C">
        <w:t xml:space="preserve"> 2011</w:t>
      </w:r>
      <w:r>
        <w:t xml:space="preserve">, </w:t>
      </w:r>
      <w:r>
        <w:rPr>
          <w:rFonts w:hint="eastAsia"/>
        </w:rPr>
        <w:t>v</w:t>
      </w:r>
      <w:r>
        <w:t xml:space="preserve">ol. </w:t>
      </w:r>
      <w:r w:rsidR="00AB75D3" w:rsidRPr="00727773">
        <w:t xml:space="preserve"> </w:t>
      </w:r>
      <w:r w:rsidR="00AB75D3" w:rsidRPr="009C7D4C">
        <w:t>30</w:t>
      </w:r>
      <w:r>
        <w:t>, no.</w:t>
      </w:r>
      <w:r w:rsidR="00AB75D3" w:rsidRPr="00727773">
        <w:t>1</w:t>
      </w:r>
      <w:r>
        <w:t>, pp.</w:t>
      </w:r>
      <w:r w:rsidR="00AB75D3" w:rsidRPr="00727773">
        <w:t xml:space="preserve"> 1-21</w:t>
      </w:r>
      <w:r>
        <w:t>.</w:t>
      </w:r>
    </w:p>
    <w:p w14:paraId="7A3802FD" w14:textId="1741DA8E" w:rsidR="00113B35" w:rsidRPr="00727773" w:rsidRDefault="009C7D4C" w:rsidP="00AB75D3">
      <w:pPr>
        <w:spacing w:before="240" w:line="360" w:lineRule="auto"/>
        <w:ind w:left="475" w:hanging="475"/>
        <w:jc w:val="both"/>
      </w:pPr>
      <w:r>
        <w:t xml:space="preserve">[5] </w:t>
      </w:r>
      <w:proofErr w:type="spellStart"/>
      <w:proofErr w:type="gramStart"/>
      <w:r w:rsidR="00113B35" w:rsidRPr="00113B35">
        <w:t>D</w:t>
      </w:r>
      <w:r w:rsidR="00113B35">
        <w:t>ell</w:t>
      </w:r>
      <w:r>
        <w:t>”</w:t>
      </w:r>
      <w:r w:rsidR="00113B35">
        <w:t>ariccia</w:t>
      </w:r>
      <w:proofErr w:type="spellEnd"/>
      <w:proofErr w:type="gramEnd"/>
      <w:r w:rsidR="00113B35" w:rsidRPr="00113B35">
        <w:t>, G. and M</w:t>
      </w:r>
      <w:r w:rsidR="00113B35">
        <w:t>arquez</w:t>
      </w:r>
      <w:r w:rsidR="00113B35" w:rsidRPr="00113B35">
        <w:t xml:space="preserve">, R., </w:t>
      </w:r>
      <w:r>
        <w:t>“</w:t>
      </w:r>
      <w:r w:rsidR="00113B35" w:rsidRPr="00113B35">
        <w:t>Lending Booms and Lending Standards</w:t>
      </w:r>
      <w:r>
        <w:t>”</w:t>
      </w:r>
      <w:r w:rsidR="00113B35">
        <w:t xml:space="preserve">, </w:t>
      </w:r>
      <w:r w:rsidR="00113B35" w:rsidRPr="009C7D4C">
        <w:t>The Journal of Finance</w:t>
      </w:r>
      <w:r w:rsidR="00113B35" w:rsidRPr="00113B35">
        <w:t xml:space="preserve">, </w:t>
      </w:r>
      <w:r w:rsidRPr="009C7D4C">
        <w:t>2006</w:t>
      </w:r>
      <w:r>
        <w:t>, vol.61, pp.</w:t>
      </w:r>
      <w:r w:rsidR="00113B35" w:rsidRPr="00113B35">
        <w:t xml:space="preserve"> 2511–2546.</w:t>
      </w:r>
    </w:p>
    <w:p w14:paraId="5562AFD5" w14:textId="4689DED4" w:rsidR="00AB75D3" w:rsidRDefault="009C7D4C" w:rsidP="00AB75D3">
      <w:pPr>
        <w:spacing w:before="240" w:line="360" w:lineRule="auto"/>
        <w:ind w:left="475" w:hanging="475"/>
        <w:jc w:val="both"/>
        <w:rPr>
          <w:spacing w:val="-4"/>
        </w:rPr>
      </w:pPr>
      <w:r>
        <w:rPr>
          <w:spacing w:val="-4"/>
        </w:rPr>
        <w:t xml:space="preserve">[6] </w:t>
      </w:r>
      <w:proofErr w:type="spellStart"/>
      <w:r w:rsidR="00AB75D3" w:rsidRPr="00FA0841">
        <w:rPr>
          <w:spacing w:val="-4"/>
        </w:rPr>
        <w:t>Dimitrios</w:t>
      </w:r>
      <w:proofErr w:type="spellEnd"/>
      <w:r w:rsidR="00AB75D3" w:rsidRPr="00FA0841">
        <w:rPr>
          <w:spacing w:val="-4"/>
        </w:rPr>
        <w:t xml:space="preserve">, A., H. </w:t>
      </w:r>
      <w:proofErr w:type="spellStart"/>
      <w:r w:rsidR="00AB75D3" w:rsidRPr="00FA0841">
        <w:rPr>
          <w:spacing w:val="-4"/>
        </w:rPr>
        <w:t>Louri</w:t>
      </w:r>
      <w:proofErr w:type="spellEnd"/>
      <w:r w:rsidR="00AB75D3" w:rsidRPr="00FA0841">
        <w:rPr>
          <w:spacing w:val="-4"/>
        </w:rPr>
        <w:t xml:space="preserve"> and M. </w:t>
      </w:r>
      <w:proofErr w:type="spellStart"/>
      <w:r w:rsidR="00AB75D3" w:rsidRPr="00FA0841">
        <w:rPr>
          <w:spacing w:val="-4"/>
        </w:rPr>
        <w:t>Tsionas</w:t>
      </w:r>
      <w:proofErr w:type="spellEnd"/>
      <w:r w:rsidR="00AB75D3" w:rsidRPr="00FA0841">
        <w:rPr>
          <w:spacing w:val="-4"/>
        </w:rPr>
        <w:t xml:space="preserve">, </w:t>
      </w:r>
      <w:r>
        <w:rPr>
          <w:spacing w:val="-4"/>
        </w:rPr>
        <w:t>“</w:t>
      </w:r>
      <w:r w:rsidR="00AB75D3" w:rsidRPr="00FA0841">
        <w:rPr>
          <w:spacing w:val="-4"/>
        </w:rPr>
        <w:t xml:space="preserve">Determinants of </w:t>
      </w:r>
      <w:r w:rsidR="00460BA8" w:rsidRPr="00FA0841">
        <w:rPr>
          <w:spacing w:val="-4"/>
        </w:rPr>
        <w:t>N</w:t>
      </w:r>
      <w:r w:rsidR="00AB75D3" w:rsidRPr="00FA0841">
        <w:rPr>
          <w:spacing w:val="-4"/>
        </w:rPr>
        <w:t xml:space="preserve">on-performing </w:t>
      </w:r>
      <w:r w:rsidR="00460BA8" w:rsidRPr="00FA0841">
        <w:rPr>
          <w:spacing w:val="-4"/>
        </w:rPr>
        <w:t>L</w:t>
      </w:r>
      <w:r w:rsidR="00AB75D3" w:rsidRPr="00FA0841">
        <w:rPr>
          <w:spacing w:val="-4"/>
        </w:rPr>
        <w:t xml:space="preserve">oans: Evidence from Euro-area </w:t>
      </w:r>
      <w:r w:rsidR="00460BA8" w:rsidRPr="00FA0841">
        <w:rPr>
          <w:spacing w:val="-4"/>
        </w:rPr>
        <w:t>C</w:t>
      </w:r>
      <w:r w:rsidR="00AB75D3" w:rsidRPr="00FA0841">
        <w:rPr>
          <w:spacing w:val="-4"/>
        </w:rPr>
        <w:t>ountries</w:t>
      </w:r>
      <w:r>
        <w:rPr>
          <w:spacing w:val="-4"/>
        </w:rPr>
        <w:t>”</w:t>
      </w:r>
      <w:r w:rsidR="00AB75D3" w:rsidRPr="00FA0841">
        <w:rPr>
          <w:spacing w:val="-4"/>
        </w:rPr>
        <w:t xml:space="preserve">, </w:t>
      </w:r>
      <w:r w:rsidR="00AB75D3" w:rsidRPr="00CA68EA">
        <w:rPr>
          <w:spacing w:val="-4"/>
        </w:rPr>
        <w:t>Finance Research Letters</w:t>
      </w:r>
      <w:r w:rsidR="00AB75D3" w:rsidRPr="00FA0841">
        <w:rPr>
          <w:spacing w:val="-4"/>
        </w:rPr>
        <w:t>,</w:t>
      </w:r>
      <w:r w:rsidR="00CA68EA">
        <w:rPr>
          <w:spacing w:val="-4"/>
        </w:rPr>
        <w:t xml:space="preserve"> </w:t>
      </w:r>
      <w:r w:rsidR="00CA68EA" w:rsidRPr="00CA68EA">
        <w:rPr>
          <w:spacing w:val="-4"/>
        </w:rPr>
        <w:t xml:space="preserve">2016, </w:t>
      </w:r>
      <w:r w:rsidR="00CA68EA">
        <w:rPr>
          <w:spacing w:val="-4"/>
        </w:rPr>
        <w:t>vol. 18, pp.</w:t>
      </w:r>
      <w:r w:rsidR="00460BA8" w:rsidRPr="00FA0841">
        <w:rPr>
          <w:spacing w:val="-4"/>
        </w:rPr>
        <w:t xml:space="preserve"> 116-</w:t>
      </w:r>
      <w:r w:rsidR="00FA0841">
        <w:rPr>
          <w:spacing w:val="-4"/>
        </w:rPr>
        <w:t>1</w:t>
      </w:r>
      <w:r w:rsidR="00460BA8" w:rsidRPr="00FA0841">
        <w:rPr>
          <w:spacing w:val="-4"/>
        </w:rPr>
        <w:t>9</w:t>
      </w:r>
      <w:r w:rsidR="00AB75D3" w:rsidRPr="00FA0841">
        <w:rPr>
          <w:spacing w:val="-4"/>
        </w:rPr>
        <w:t>.</w:t>
      </w:r>
    </w:p>
    <w:p w14:paraId="6A6A3ED5" w14:textId="53845127" w:rsidR="000D7CAE" w:rsidRPr="00FA0841" w:rsidRDefault="00CA68EA" w:rsidP="00AB75D3">
      <w:pPr>
        <w:spacing w:before="240" w:line="360" w:lineRule="auto"/>
        <w:ind w:left="475" w:hanging="475"/>
        <w:jc w:val="both"/>
        <w:rPr>
          <w:spacing w:val="-4"/>
        </w:rPr>
      </w:pPr>
      <w:r>
        <w:rPr>
          <w:spacing w:val="-4"/>
        </w:rPr>
        <w:t xml:space="preserve">[7] </w:t>
      </w:r>
      <w:r w:rsidR="000D7CAE" w:rsidRPr="000D7CAE">
        <w:rPr>
          <w:spacing w:val="-4"/>
        </w:rPr>
        <w:t xml:space="preserve">Enoch, Charles </w:t>
      </w:r>
      <w:r w:rsidR="000D7CAE">
        <w:rPr>
          <w:spacing w:val="-4"/>
        </w:rPr>
        <w:t>and</w:t>
      </w:r>
      <w:r w:rsidR="000D7CAE" w:rsidRPr="000D7CAE">
        <w:rPr>
          <w:spacing w:val="-4"/>
        </w:rPr>
        <w:t xml:space="preserve"> J. H.</w:t>
      </w:r>
      <w:r w:rsidR="000D7CAE">
        <w:rPr>
          <w:spacing w:val="-4"/>
        </w:rPr>
        <w:t xml:space="preserve"> </w:t>
      </w:r>
      <w:r w:rsidR="000D7CAE" w:rsidRPr="000D7CAE">
        <w:rPr>
          <w:spacing w:val="-4"/>
        </w:rPr>
        <w:t>Green</w:t>
      </w:r>
      <w:r w:rsidR="000D7CAE">
        <w:rPr>
          <w:spacing w:val="-4"/>
        </w:rPr>
        <w:t>,</w:t>
      </w:r>
      <w:r w:rsidR="000D7CAE" w:rsidRPr="000D7CAE">
        <w:rPr>
          <w:i/>
          <w:spacing w:val="-4"/>
        </w:rPr>
        <w:t xml:space="preserve"> </w:t>
      </w:r>
      <w:r w:rsidR="000D7CAE" w:rsidRPr="00CA68EA">
        <w:rPr>
          <w:spacing w:val="-4"/>
        </w:rPr>
        <w:t>Banking Soundness and Monetary Policy</w:t>
      </w:r>
      <w:r w:rsidR="000D7CAE">
        <w:rPr>
          <w:spacing w:val="-4"/>
        </w:rPr>
        <w:t>, IMF</w:t>
      </w:r>
      <w:r>
        <w:rPr>
          <w:spacing w:val="-4"/>
        </w:rPr>
        <w:t xml:space="preserve">, </w:t>
      </w:r>
      <w:r w:rsidRPr="00CA68EA">
        <w:rPr>
          <w:spacing w:val="-4"/>
        </w:rPr>
        <w:t>1997</w:t>
      </w:r>
      <w:r w:rsidR="000D7CAE">
        <w:rPr>
          <w:spacing w:val="-4"/>
        </w:rPr>
        <w:t>.</w:t>
      </w:r>
    </w:p>
    <w:p w14:paraId="6A921152" w14:textId="65D02833" w:rsidR="005E3588" w:rsidRPr="00727773" w:rsidRDefault="00CA68EA" w:rsidP="005E3588">
      <w:pPr>
        <w:spacing w:before="240" w:line="360" w:lineRule="auto"/>
        <w:ind w:left="475" w:hanging="475"/>
        <w:jc w:val="both"/>
      </w:pPr>
      <w:r>
        <w:t xml:space="preserve">[8] </w:t>
      </w:r>
      <w:r w:rsidR="005E3588" w:rsidRPr="00727773">
        <w:t>Ev</w:t>
      </w:r>
      <w:r w:rsidR="005E3588" w:rsidRPr="0063547B">
        <w:t>a</w:t>
      </w:r>
      <w:r w:rsidR="005E3588">
        <w:t>ns</w:t>
      </w:r>
      <w:r w:rsidR="005E3588" w:rsidRPr="00727773">
        <w:t xml:space="preserve">, </w:t>
      </w:r>
      <w:r w:rsidR="005E3588">
        <w:t xml:space="preserve">O., </w:t>
      </w:r>
      <w:r w:rsidR="005E3588" w:rsidRPr="00727773">
        <w:t>A.M., Leone, M.S.</w:t>
      </w:r>
      <w:r w:rsidR="005E3588">
        <w:t xml:space="preserve"> </w:t>
      </w:r>
      <w:r w:rsidR="005E3588" w:rsidRPr="00727773">
        <w:t>Gill</w:t>
      </w:r>
      <w:r w:rsidR="005E3588">
        <w:t xml:space="preserve"> and </w:t>
      </w:r>
      <w:r w:rsidR="005E3588" w:rsidRPr="00727773">
        <w:t xml:space="preserve">P.L.C. </w:t>
      </w:r>
      <w:proofErr w:type="spellStart"/>
      <w:r w:rsidR="005E3588" w:rsidRPr="00727773">
        <w:t>Hilbers</w:t>
      </w:r>
      <w:proofErr w:type="spellEnd"/>
      <w:r w:rsidR="005E3588" w:rsidRPr="00727773">
        <w:t>,</w:t>
      </w:r>
      <w:r w:rsidR="005E3588">
        <w:t xml:space="preserve"> </w:t>
      </w:r>
      <w:r w:rsidR="009C7D4C">
        <w:t>“</w:t>
      </w:r>
      <w:r w:rsidR="005E3588" w:rsidRPr="00727773">
        <w:t>Macroprudential Indicators of Financial System Soundness</w:t>
      </w:r>
      <w:r w:rsidR="005E3588">
        <w:t xml:space="preserve">, </w:t>
      </w:r>
      <w:r w:rsidR="005E3588" w:rsidRPr="00CA68EA">
        <w:t>IMF Occasional Papers</w:t>
      </w:r>
      <w:r w:rsidR="005E3588" w:rsidRPr="00CA68EA">
        <w:rPr>
          <w:color w:val="31849B" w:themeColor="accent5" w:themeShade="BF"/>
        </w:rPr>
        <w:t xml:space="preserve"> </w:t>
      </w:r>
      <w:r w:rsidR="005E3588" w:rsidRPr="00CA68EA">
        <w:t>No.</w:t>
      </w:r>
      <w:r w:rsidR="005E3588" w:rsidRPr="00FA0841">
        <w:t>192</w:t>
      </w:r>
      <w:r w:rsidR="005E3588">
        <w:t xml:space="preserve">, </w:t>
      </w:r>
      <w:r w:rsidR="005E3588" w:rsidRPr="00727773">
        <w:t>International Monetary Fund</w:t>
      </w:r>
      <w:r>
        <w:t xml:space="preserve">, </w:t>
      </w:r>
      <w:r w:rsidRPr="00CA68EA">
        <w:t>2000</w:t>
      </w:r>
      <w:r w:rsidR="005E3588" w:rsidRPr="00727773">
        <w:t>.</w:t>
      </w:r>
      <w:r w:rsidR="005E3588" w:rsidRPr="009F4458">
        <w:rPr>
          <w:noProof/>
          <w:color w:val="365F91" w:themeColor="accent1" w:themeShade="BF"/>
          <w:spacing w:val="-2"/>
          <w:kern w:val="0"/>
          <w:lang w:eastAsia="en-US"/>
        </w:rPr>
        <w:t xml:space="preserve"> </w:t>
      </w:r>
    </w:p>
    <w:p w14:paraId="46005705" w14:textId="19E853CF" w:rsidR="00AB75D3" w:rsidRPr="00727773" w:rsidRDefault="00CA68EA" w:rsidP="00AB75D3">
      <w:pPr>
        <w:spacing w:before="240" w:line="360" w:lineRule="auto"/>
        <w:ind w:left="475" w:hanging="475"/>
        <w:jc w:val="both"/>
      </w:pPr>
      <w:r>
        <w:t xml:space="preserve">[9] </w:t>
      </w:r>
      <w:proofErr w:type="spellStart"/>
      <w:r w:rsidR="00AB75D3" w:rsidRPr="00727773">
        <w:t>Gambera</w:t>
      </w:r>
      <w:proofErr w:type="spellEnd"/>
      <w:r w:rsidR="00AB75D3" w:rsidRPr="00727773">
        <w:t>, M.</w:t>
      </w:r>
      <w:r w:rsidR="00AB75D3">
        <w:t>,</w:t>
      </w:r>
      <w:r w:rsidR="00AB75D3" w:rsidRPr="00727773">
        <w:t xml:space="preserve"> </w:t>
      </w:r>
      <w:r w:rsidR="009C7D4C">
        <w:t>“</w:t>
      </w:r>
      <w:r w:rsidR="00AB75D3" w:rsidRPr="00727773">
        <w:t xml:space="preserve">Simple Forecasts of Bank Loan </w:t>
      </w:r>
      <w:r w:rsidR="00BD74E1">
        <w:t>Quality in the Business Cycle</w:t>
      </w:r>
      <w:r w:rsidR="009C7D4C">
        <w:t>”</w:t>
      </w:r>
      <w:r w:rsidR="00460BA8">
        <w:t>,</w:t>
      </w:r>
      <w:r w:rsidR="00BD74E1">
        <w:t xml:space="preserve"> </w:t>
      </w:r>
      <w:r w:rsidR="00BD74E1" w:rsidRPr="00CA68EA">
        <w:t>E</w:t>
      </w:r>
      <w:r w:rsidR="00AB75D3" w:rsidRPr="00CA68EA">
        <w:t>merging Issues</w:t>
      </w:r>
      <w:r w:rsidR="00460BA8" w:rsidRPr="0063547B">
        <w:t xml:space="preserve">, </w:t>
      </w:r>
      <w:r w:rsidRPr="00CA68EA">
        <w:t>2000</w:t>
      </w:r>
      <w:r>
        <w:t xml:space="preserve">, </w:t>
      </w:r>
      <w:r w:rsidR="00460BA8" w:rsidRPr="0063547B">
        <w:t>Federal Bank of Chicago</w:t>
      </w:r>
      <w:r w:rsidR="00AB75D3" w:rsidRPr="0063547B">
        <w:t xml:space="preserve">. </w:t>
      </w:r>
    </w:p>
    <w:p w14:paraId="16173016" w14:textId="7DD753D1" w:rsidR="00AB75D3" w:rsidRPr="00727773" w:rsidRDefault="00CA68EA" w:rsidP="00AB75D3">
      <w:pPr>
        <w:spacing w:before="240" w:line="360" w:lineRule="auto"/>
        <w:ind w:left="475" w:hanging="475"/>
        <w:jc w:val="both"/>
      </w:pPr>
      <w:r>
        <w:t xml:space="preserve">[10] </w:t>
      </w:r>
      <w:r w:rsidR="00AB75D3" w:rsidRPr="00727773">
        <w:t>Goodhart,</w:t>
      </w:r>
      <w:r w:rsidR="00BD74E1">
        <w:t xml:space="preserve"> </w:t>
      </w:r>
      <w:r w:rsidR="00AB75D3" w:rsidRPr="00727773">
        <w:t>C.</w:t>
      </w:r>
      <w:r w:rsidR="00BD74E1">
        <w:t xml:space="preserve"> and</w:t>
      </w:r>
      <w:r w:rsidR="00AB75D3" w:rsidRPr="00727773">
        <w:t xml:space="preserve"> </w:t>
      </w:r>
      <w:r w:rsidR="00BD74E1" w:rsidRPr="00727773">
        <w:t xml:space="preserve">B. </w:t>
      </w:r>
      <w:r w:rsidR="00AB75D3" w:rsidRPr="00727773">
        <w:t>Hofmann</w:t>
      </w:r>
      <w:r w:rsidR="00AB75D3">
        <w:t xml:space="preserve">, </w:t>
      </w:r>
      <w:r w:rsidR="00AB75D3" w:rsidRPr="00CA68EA">
        <w:t>House Prices and the Macroeconomy: Implications for Banking and Price Stability</w:t>
      </w:r>
      <w:r w:rsidR="00FA0841">
        <w:t>,</w:t>
      </w:r>
      <w:r w:rsidR="00AB75D3" w:rsidRPr="00727773">
        <w:t xml:space="preserve"> </w:t>
      </w:r>
      <w:r w:rsidRPr="00CA68EA">
        <w:t>2007</w:t>
      </w:r>
      <w:r>
        <w:t xml:space="preserve">, </w:t>
      </w:r>
      <w:r w:rsidR="00FA0841">
        <w:t xml:space="preserve">Oxford, UK: </w:t>
      </w:r>
      <w:r w:rsidR="00AB75D3" w:rsidRPr="00727773">
        <w:t xml:space="preserve">Oxford University Press. </w:t>
      </w:r>
    </w:p>
    <w:p w14:paraId="129C8A98" w14:textId="406F48FB" w:rsidR="00AB75D3" w:rsidRDefault="00CA68EA" w:rsidP="00AB75D3">
      <w:pPr>
        <w:spacing w:before="240" w:line="360" w:lineRule="auto"/>
        <w:ind w:left="475" w:hanging="475"/>
        <w:jc w:val="both"/>
      </w:pPr>
      <w:r>
        <w:t xml:space="preserve">[11] </w:t>
      </w:r>
      <w:r w:rsidR="00AB75D3" w:rsidRPr="00727773">
        <w:t>Hansen L.P.</w:t>
      </w:r>
      <w:r w:rsidR="00BD74E1">
        <w:t xml:space="preserve"> and</w:t>
      </w:r>
      <w:r w:rsidR="00AB75D3" w:rsidRPr="00727773">
        <w:t xml:space="preserve"> </w:t>
      </w:r>
      <w:r w:rsidR="00BD74E1" w:rsidRPr="00727773">
        <w:t xml:space="preserve">T.J. </w:t>
      </w:r>
      <w:r w:rsidR="00AB75D3" w:rsidRPr="00727773">
        <w:t>Sargent</w:t>
      </w:r>
      <w:r w:rsidR="00AB75D3">
        <w:t xml:space="preserve">, </w:t>
      </w:r>
      <w:r w:rsidR="009C7D4C">
        <w:t>“</w:t>
      </w:r>
      <w:r w:rsidR="00AB75D3" w:rsidRPr="00727773">
        <w:t>Formulating and Estimating Dynamic Linear Rational Expectations Models</w:t>
      </w:r>
      <w:r w:rsidR="009C7D4C">
        <w:t>”</w:t>
      </w:r>
      <w:r w:rsidR="00AB75D3" w:rsidRPr="00727773">
        <w:t xml:space="preserve">, </w:t>
      </w:r>
      <w:r w:rsidR="00AB75D3" w:rsidRPr="00CA68EA">
        <w:t>Journal of Economic Dynamics and Control</w:t>
      </w:r>
      <w:r w:rsidR="00AB75D3" w:rsidRPr="00727773">
        <w:t xml:space="preserve">, </w:t>
      </w:r>
      <w:r w:rsidRPr="00CA68EA">
        <w:t>1980</w:t>
      </w:r>
      <w:r>
        <w:t>, vol.</w:t>
      </w:r>
      <w:r w:rsidR="00AB75D3" w:rsidRPr="00CA68EA">
        <w:t>2</w:t>
      </w:r>
      <w:r w:rsidRPr="00CA68EA">
        <w:t>,</w:t>
      </w:r>
      <w:r>
        <w:rPr>
          <w:b/>
        </w:rPr>
        <w:t xml:space="preserve"> </w:t>
      </w:r>
      <w:r w:rsidRPr="00CA68EA">
        <w:t>pp.</w:t>
      </w:r>
      <w:r w:rsidR="00FA0841">
        <w:t xml:space="preserve"> </w:t>
      </w:r>
      <w:r w:rsidR="00AB75D3" w:rsidRPr="00727773">
        <w:t>7-46.</w:t>
      </w:r>
    </w:p>
    <w:p w14:paraId="790B38EB" w14:textId="304A07EC" w:rsidR="00155545" w:rsidRDefault="00CA68EA" w:rsidP="000D7CAE">
      <w:pPr>
        <w:spacing w:before="240" w:line="360" w:lineRule="auto"/>
        <w:ind w:left="475" w:hanging="475"/>
        <w:jc w:val="both"/>
      </w:pPr>
      <w:r>
        <w:t>[12</w:t>
      </w:r>
      <w:r w:rsidR="009E4808">
        <w:t>]</w:t>
      </w:r>
      <w:r>
        <w:t xml:space="preserve"> </w:t>
      </w:r>
      <w:r w:rsidR="0086520C" w:rsidRPr="0086520C">
        <w:rPr>
          <w:rFonts w:hint="eastAsia"/>
        </w:rPr>
        <w:t>Herring</w:t>
      </w:r>
      <w:r w:rsidR="0086520C">
        <w:t xml:space="preserve">, </w:t>
      </w:r>
      <w:r w:rsidR="0086520C" w:rsidRPr="0086520C">
        <w:t>R</w:t>
      </w:r>
      <w:r w:rsidR="0086520C">
        <w:t xml:space="preserve">. and </w:t>
      </w:r>
      <w:r w:rsidR="0086520C" w:rsidRPr="0086520C">
        <w:rPr>
          <w:rFonts w:hint="eastAsia"/>
        </w:rPr>
        <w:t xml:space="preserve">Susan Wachter, </w:t>
      </w:r>
      <w:r w:rsidR="009C7D4C">
        <w:t>“</w:t>
      </w:r>
      <w:r w:rsidR="00155545" w:rsidRPr="00155545">
        <w:t>Real Estate Booms and Banking Busts: An International Perspective</w:t>
      </w:r>
      <w:r w:rsidR="009C7D4C">
        <w:t>”</w:t>
      </w:r>
      <w:r w:rsidR="00155545" w:rsidRPr="00155545">
        <w:t xml:space="preserve">, </w:t>
      </w:r>
      <w:r w:rsidR="00155545" w:rsidRPr="00CA68EA">
        <w:t>Center for Financial Institutions Working Papers</w:t>
      </w:r>
      <w:r w:rsidRPr="00CA68EA">
        <w:t>, 1999, pp.</w:t>
      </w:r>
      <w:r w:rsidR="00155545" w:rsidRPr="00CA68EA">
        <w:t xml:space="preserve"> 99-27</w:t>
      </w:r>
      <w:r w:rsidR="00155545" w:rsidRPr="00155545">
        <w:t xml:space="preserve">, Wharton School Center for Financial Institutions, University of Pennsylvania. </w:t>
      </w:r>
    </w:p>
    <w:p w14:paraId="05FAC7AD" w14:textId="6BBD17F4" w:rsidR="000D7CAE" w:rsidRPr="000D7CAE" w:rsidRDefault="009E4808" w:rsidP="000D7CAE">
      <w:pPr>
        <w:spacing w:before="240" w:line="360" w:lineRule="auto"/>
        <w:ind w:left="475" w:hanging="475"/>
        <w:jc w:val="both"/>
      </w:pPr>
      <w:r>
        <w:t xml:space="preserve">[13] </w:t>
      </w:r>
      <w:r w:rsidR="000D7CAE" w:rsidRPr="000D7CAE">
        <w:t>Kaminsky, Graciela L. and Carmen M. Reinhart</w:t>
      </w:r>
      <w:r w:rsidR="000D7CAE">
        <w:t xml:space="preserve">, </w:t>
      </w:r>
      <w:r w:rsidR="009C7D4C">
        <w:t>“</w:t>
      </w:r>
      <w:r w:rsidR="000D7CAE" w:rsidRPr="000D7CAE">
        <w:t>The Twin Crises: The Causes of Banking and Balance-of-Payments Problems</w:t>
      </w:r>
      <w:r w:rsidR="009C7D4C">
        <w:t>”</w:t>
      </w:r>
      <w:r w:rsidR="000D7CAE">
        <w:t xml:space="preserve">, </w:t>
      </w:r>
      <w:r w:rsidR="000D7CAE" w:rsidRPr="00CD0D0B">
        <w:t>American Economic Review</w:t>
      </w:r>
      <w:r w:rsidR="000D7CAE" w:rsidRPr="000D7CAE">
        <w:t xml:space="preserve">, </w:t>
      </w:r>
      <w:r w:rsidRPr="009E4808">
        <w:t>1999</w:t>
      </w:r>
      <w:r>
        <w:t xml:space="preserve">, vol. 89, no. </w:t>
      </w:r>
      <w:r w:rsidR="000D7CAE" w:rsidRPr="000D7CAE">
        <w:t>3</w:t>
      </w:r>
      <w:r>
        <w:t>, pp.</w:t>
      </w:r>
      <w:r w:rsidR="000D7CAE" w:rsidRPr="000D7CAE">
        <w:t xml:space="preserve"> 473-500.</w:t>
      </w:r>
    </w:p>
    <w:p w14:paraId="630D6683" w14:textId="5A4557A3" w:rsidR="00AB75D3" w:rsidRPr="00727773" w:rsidRDefault="00CD0D0B" w:rsidP="00AB75D3">
      <w:pPr>
        <w:spacing w:before="240" w:line="360" w:lineRule="auto"/>
        <w:ind w:left="475" w:hanging="475"/>
        <w:jc w:val="both"/>
      </w:pPr>
      <w:r>
        <w:t xml:space="preserve">[14] </w:t>
      </w:r>
      <w:proofErr w:type="spellStart"/>
      <w:r w:rsidR="00AB75D3" w:rsidRPr="00727773">
        <w:t>Kauko</w:t>
      </w:r>
      <w:proofErr w:type="spellEnd"/>
      <w:r w:rsidR="00AB75D3" w:rsidRPr="00727773">
        <w:t>, K.</w:t>
      </w:r>
      <w:r w:rsidR="00AB75D3">
        <w:t xml:space="preserve">, </w:t>
      </w:r>
      <w:r w:rsidR="009C7D4C">
        <w:t>“</w:t>
      </w:r>
      <w:r w:rsidR="00AB75D3" w:rsidRPr="00727773">
        <w:t>External Deficits and Non-</w:t>
      </w:r>
      <w:r w:rsidR="00FA0841">
        <w:t>p</w:t>
      </w:r>
      <w:r w:rsidR="00AB75D3" w:rsidRPr="00727773">
        <w:t xml:space="preserve">erforming Loans in </w:t>
      </w:r>
      <w:r w:rsidR="00FA0841">
        <w:t>t</w:t>
      </w:r>
      <w:r w:rsidR="00AB75D3" w:rsidRPr="00727773">
        <w:t>he Recent Financial Crisis</w:t>
      </w:r>
      <w:r w:rsidR="009C7D4C">
        <w:t>”</w:t>
      </w:r>
      <w:r w:rsidR="00FA0841">
        <w:t xml:space="preserve">, </w:t>
      </w:r>
      <w:r w:rsidR="00AB75D3" w:rsidRPr="00CD0D0B">
        <w:t>Economics Letters</w:t>
      </w:r>
      <w:r w:rsidR="00FA0841">
        <w:t>,</w:t>
      </w:r>
      <w:r w:rsidR="00AB75D3" w:rsidRPr="00727773">
        <w:t xml:space="preserve"> </w:t>
      </w:r>
      <w:r w:rsidRPr="00CD0D0B">
        <w:t>2012</w:t>
      </w:r>
      <w:r>
        <w:t xml:space="preserve">, vol. 115, no. 2, pp. </w:t>
      </w:r>
      <w:r w:rsidR="00AB75D3" w:rsidRPr="00727773">
        <w:t>196-99.</w:t>
      </w:r>
    </w:p>
    <w:p w14:paraId="14229259" w14:textId="7CF07B1A" w:rsidR="00AB75D3" w:rsidRPr="00727773" w:rsidRDefault="00CD0D0B" w:rsidP="00AB75D3">
      <w:pPr>
        <w:spacing w:before="240" w:line="360" w:lineRule="auto"/>
        <w:ind w:left="475" w:hanging="475"/>
        <w:jc w:val="both"/>
      </w:pPr>
      <w:r>
        <w:t xml:space="preserve">[15] </w:t>
      </w:r>
      <w:r w:rsidR="00AB75D3" w:rsidRPr="00727773">
        <w:t xml:space="preserve">Keeton, W. and </w:t>
      </w:r>
      <w:r w:rsidR="00BD74E1" w:rsidRPr="00727773">
        <w:t xml:space="preserve">C. </w:t>
      </w:r>
      <w:r w:rsidR="00AB75D3" w:rsidRPr="00727773">
        <w:t>Morris</w:t>
      </w:r>
      <w:r w:rsidR="00AB75D3">
        <w:t xml:space="preserve">, </w:t>
      </w:r>
      <w:r w:rsidR="009C7D4C">
        <w:t>“</w:t>
      </w:r>
      <w:r w:rsidR="00BD74E1">
        <w:t>W</w:t>
      </w:r>
      <w:r w:rsidR="00AB75D3" w:rsidRPr="00727773">
        <w:t>hy Do Banks</w:t>
      </w:r>
      <w:r w:rsidR="009C7D4C">
        <w:t>”</w:t>
      </w:r>
      <w:r w:rsidR="00FA0841">
        <w:t xml:space="preserve"> </w:t>
      </w:r>
      <w:r w:rsidR="00AB75D3" w:rsidRPr="00727773">
        <w:t>Loan Losses Differ?</w:t>
      </w:r>
      <w:r w:rsidR="009C7D4C">
        <w:t>”</w:t>
      </w:r>
      <w:r w:rsidR="00BD74E1">
        <w:t>,</w:t>
      </w:r>
      <w:r w:rsidR="00AB75D3" w:rsidRPr="00727773">
        <w:t xml:space="preserve"> </w:t>
      </w:r>
      <w:r w:rsidR="00AB75D3" w:rsidRPr="00CD0D0B">
        <w:t>Economic Review</w:t>
      </w:r>
      <w:r w:rsidR="00FA0841">
        <w:t>,</w:t>
      </w:r>
      <w:r w:rsidR="00AB75D3" w:rsidRPr="00727773">
        <w:t xml:space="preserve"> </w:t>
      </w:r>
      <w:proofErr w:type="gramStart"/>
      <w:r w:rsidR="00FA0841">
        <w:t>May,</w:t>
      </w:r>
      <w:proofErr w:type="gramEnd"/>
      <w:r w:rsidR="00FA0841">
        <w:t xml:space="preserve"> 1987</w:t>
      </w:r>
      <w:r>
        <w:t>, pp.</w:t>
      </w:r>
      <w:r w:rsidR="00FA0841">
        <w:t xml:space="preserve"> 3-21.</w:t>
      </w:r>
    </w:p>
    <w:p w14:paraId="0D55233F" w14:textId="3C3AE35D" w:rsidR="00AB75D3" w:rsidRPr="00727773" w:rsidRDefault="00CD0D0B" w:rsidP="00AB75D3">
      <w:pPr>
        <w:spacing w:before="240" w:line="360" w:lineRule="auto"/>
        <w:ind w:left="475" w:hanging="475"/>
        <w:jc w:val="both"/>
      </w:pPr>
      <w:r>
        <w:t xml:space="preserve">[16] </w:t>
      </w:r>
      <w:proofErr w:type="spellStart"/>
      <w:r w:rsidR="00AB75D3" w:rsidRPr="00727773">
        <w:t>Kiyotaki</w:t>
      </w:r>
      <w:proofErr w:type="spellEnd"/>
      <w:r w:rsidR="00AB75D3" w:rsidRPr="00727773">
        <w:t>, N.</w:t>
      </w:r>
      <w:r w:rsidR="00BD74E1">
        <w:t xml:space="preserve"> and J.</w:t>
      </w:r>
      <w:r w:rsidR="00AB75D3" w:rsidRPr="00727773">
        <w:t xml:space="preserve"> Moore</w:t>
      </w:r>
      <w:r w:rsidR="00AB75D3">
        <w:t xml:space="preserve">, </w:t>
      </w:r>
      <w:r w:rsidR="009C7D4C">
        <w:t>“</w:t>
      </w:r>
      <w:r w:rsidR="00AB75D3" w:rsidRPr="00727773">
        <w:t xml:space="preserve">Credit </w:t>
      </w:r>
      <w:r w:rsidR="00BD74E1">
        <w:t>C</w:t>
      </w:r>
      <w:r w:rsidR="00AB75D3" w:rsidRPr="00727773">
        <w:t>ycles</w:t>
      </w:r>
      <w:r w:rsidR="009C7D4C">
        <w:t>”</w:t>
      </w:r>
      <w:r w:rsidR="00AB75D3" w:rsidRPr="00727773">
        <w:t xml:space="preserve">, </w:t>
      </w:r>
      <w:r w:rsidR="00AB75D3" w:rsidRPr="00CD0D0B">
        <w:t>Journal of Political Economy</w:t>
      </w:r>
      <w:r w:rsidR="00AB75D3" w:rsidRPr="00727773">
        <w:t xml:space="preserve">, </w:t>
      </w:r>
      <w:r w:rsidRPr="00CD0D0B">
        <w:t>1997</w:t>
      </w:r>
      <w:r>
        <w:t>, vol 105, pp.</w:t>
      </w:r>
      <w:r w:rsidR="00FA0841">
        <w:t xml:space="preserve"> </w:t>
      </w:r>
      <w:r w:rsidR="00AB75D3" w:rsidRPr="00727773">
        <w:t>211</w:t>
      </w:r>
      <w:r w:rsidR="00FA0841">
        <w:t>-</w:t>
      </w:r>
      <w:r w:rsidR="00AB75D3" w:rsidRPr="00727773">
        <w:t>48.</w:t>
      </w:r>
    </w:p>
    <w:p w14:paraId="1635E33C" w14:textId="56575502" w:rsidR="00AB75D3" w:rsidRPr="00727773" w:rsidRDefault="00CD0D0B" w:rsidP="00AB75D3">
      <w:pPr>
        <w:spacing w:before="240" w:line="360" w:lineRule="auto"/>
        <w:ind w:left="475" w:hanging="475"/>
        <w:jc w:val="both"/>
      </w:pPr>
      <w:r>
        <w:t xml:space="preserve">[17] </w:t>
      </w:r>
      <w:proofErr w:type="spellStart"/>
      <w:r w:rsidR="00AB75D3" w:rsidRPr="00727773">
        <w:t>Koetter</w:t>
      </w:r>
      <w:proofErr w:type="spellEnd"/>
      <w:r w:rsidR="00AB75D3" w:rsidRPr="00727773">
        <w:t xml:space="preserve">, M. and T. </w:t>
      </w:r>
      <w:proofErr w:type="spellStart"/>
      <w:proofErr w:type="gramStart"/>
      <w:r w:rsidR="00AB75D3" w:rsidRPr="00727773">
        <w:t>Poghosyan</w:t>
      </w:r>
      <w:proofErr w:type="spellEnd"/>
      <w:r w:rsidR="00AB75D3" w:rsidRPr="00727773">
        <w:t xml:space="preserve"> </w:t>
      </w:r>
      <w:r w:rsidR="00AB75D3">
        <w:t>,</w:t>
      </w:r>
      <w:proofErr w:type="gramEnd"/>
      <w:r w:rsidR="00AB75D3">
        <w:t xml:space="preserve"> </w:t>
      </w:r>
      <w:r w:rsidR="009C7D4C">
        <w:t>“</w:t>
      </w:r>
      <w:r w:rsidR="00AB75D3" w:rsidRPr="00727773">
        <w:t>Real Estate Prices and Bank Stability</w:t>
      </w:r>
      <w:r w:rsidR="009C7D4C">
        <w:t>”</w:t>
      </w:r>
      <w:r w:rsidR="00AB75D3" w:rsidRPr="00727773">
        <w:t xml:space="preserve">, </w:t>
      </w:r>
      <w:r w:rsidR="00AB75D3" w:rsidRPr="00CD0D0B">
        <w:t xml:space="preserve">Journal of Banking </w:t>
      </w:r>
      <w:r w:rsidR="00FA0841" w:rsidRPr="00CD0D0B">
        <w:t>and</w:t>
      </w:r>
      <w:r w:rsidR="00AB75D3" w:rsidRPr="00CD0D0B">
        <w:t xml:space="preserve"> Finance</w:t>
      </w:r>
      <w:r w:rsidR="00FA0841">
        <w:t xml:space="preserve">, </w:t>
      </w:r>
      <w:r>
        <w:t>2010, vol. 34, no. 6, pp.</w:t>
      </w:r>
      <w:r w:rsidR="00AB75D3" w:rsidRPr="00727773">
        <w:t xml:space="preserve"> 1129-</w:t>
      </w:r>
      <w:r>
        <w:t>11</w:t>
      </w:r>
      <w:r w:rsidR="00AB75D3" w:rsidRPr="00727773">
        <w:t>38.</w:t>
      </w:r>
    </w:p>
    <w:p w14:paraId="2C5B22E1" w14:textId="31C5A4EB" w:rsidR="00AB75D3" w:rsidRDefault="00CD0D0B" w:rsidP="00AB75D3">
      <w:pPr>
        <w:spacing w:before="240" w:line="360" w:lineRule="auto"/>
        <w:ind w:left="475" w:hanging="475"/>
        <w:jc w:val="both"/>
      </w:pPr>
      <w:r>
        <w:t xml:space="preserve">[18] </w:t>
      </w:r>
      <w:r w:rsidR="00AB75D3" w:rsidRPr="00727773">
        <w:t xml:space="preserve">Lau, E.E.L., </w:t>
      </w:r>
      <w:r w:rsidR="00BD74E1" w:rsidRPr="00727773">
        <w:t xml:space="preserve">G.K.R. </w:t>
      </w:r>
      <w:r w:rsidR="00AB75D3" w:rsidRPr="00727773">
        <w:t>Tan and</w:t>
      </w:r>
      <w:r w:rsidR="00AB75D3" w:rsidRPr="0063547B">
        <w:t xml:space="preserve"> </w:t>
      </w:r>
      <w:r w:rsidR="00FA0841" w:rsidRPr="0063547B">
        <w:t>S.</w:t>
      </w:r>
      <w:r w:rsidR="00FA0841" w:rsidRPr="00CD0D0B">
        <w:t xml:space="preserve"> </w:t>
      </w:r>
      <w:r w:rsidR="00AB75D3" w:rsidRPr="00FA0841">
        <w:t>Rahman</w:t>
      </w:r>
      <w:r w:rsidR="00AB75D3">
        <w:t xml:space="preserve">, </w:t>
      </w:r>
      <w:r w:rsidR="009C7D4C">
        <w:t>“</w:t>
      </w:r>
      <w:r w:rsidR="00AB75D3" w:rsidRPr="00727773">
        <w:t>Assessing Pre-</w:t>
      </w:r>
      <w:r w:rsidR="00FA0841">
        <w:t>c</w:t>
      </w:r>
      <w:r w:rsidR="00AB75D3" w:rsidRPr="00727773">
        <w:t>risis Fundamentals in Selected Asian Stock Markets</w:t>
      </w:r>
      <w:r w:rsidR="009C7D4C">
        <w:t>”</w:t>
      </w:r>
      <w:r w:rsidR="00FA0841">
        <w:t>,</w:t>
      </w:r>
      <w:r w:rsidR="00AB75D3" w:rsidRPr="00727773">
        <w:t xml:space="preserve"> </w:t>
      </w:r>
      <w:r w:rsidR="00AB75D3" w:rsidRPr="00CD0D0B">
        <w:t>Singapore Economic Review</w:t>
      </w:r>
      <w:r w:rsidR="00AB75D3" w:rsidRPr="00727773">
        <w:t>,</w:t>
      </w:r>
      <w:r w:rsidR="00FA0841">
        <w:t xml:space="preserve"> </w:t>
      </w:r>
      <w:r>
        <w:t xml:space="preserve">2005, vol. </w:t>
      </w:r>
      <w:r w:rsidR="00AB75D3" w:rsidRPr="00CD0D0B">
        <w:t>50</w:t>
      </w:r>
      <w:r>
        <w:t>, pp.</w:t>
      </w:r>
      <w:r w:rsidR="00FA0841">
        <w:t xml:space="preserve"> </w:t>
      </w:r>
      <w:r w:rsidR="00AB75D3" w:rsidRPr="00727773">
        <w:t>175</w:t>
      </w:r>
      <w:r w:rsidR="00FA0841">
        <w:t>-</w:t>
      </w:r>
      <w:r w:rsidR="0063547B">
        <w:t>196</w:t>
      </w:r>
      <w:r w:rsidR="00AB75D3" w:rsidRPr="00727773">
        <w:t>.</w:t>
      </w:r>
    </w:p>
    <w:p w14:paraId="1EA9803F" w14:textId="1550511F" w:rsidR="00226DBA" w:rsidRPr="00727773" w:rsidRDefault="00CD0D0B" w:rsidP="00AB75D3">
      <w:pPr>
        <w:spacing w:before="240" w:line="360" w:lineRule="auto"/>
        <w:ind w:left="475" w:hanging="475"/>
        <w:jc w:val="both"/>
      </w:pPr>
      <w:r>
        <w:t xml:space="preserve">[19] </w:t>
      </w:r>
      <w:r w:rsidR="00226DBA" w:rsidRPr="00226DBA">
        <w:t>Lindgren, C</w:t>
      </w:r>
      <w:r w:rsidR="00226DBA">
        <w:t>.,</w:t>
      </w:r>
      <w:r w:rsidR="00226DBA" w:rsidRPr="00226DBA">
        <w:t xml:space="preserve"> Garcia, G. G.</w:t>
      </w:r>
      <w:r w:rsidR="00226DBA">
        <w:t xml:space="preserve"> and </w:t>
      </w:r>
      <w:r w:rsidR="00226DBA" w:rsidRPr="00226DBA">
        <w:t>Matthew I.</w:t>
      </w:r>
      <w:r w:rsidR="00226DBA">
        <w:t xml:space="preserve"> </w:t>
      </w:r>
      <w:r w:rsidR="00226DBA" w:rsidRPr="00226DBA">
        <w:t>Saal,</w:t>
      </w:r>
      <w:r w:rsidR="005F44F4" w:rsidRPr="005F44F4">
        <w:t xml:space="preserve"> </w:t>
      </w:r>
      <w:r w:rsidR="00226DBA" w:rsidRPr="005F44F4">
        <w:t>Bank Soundness and Macroeconomic Policy</w:t>
      </w:r>
      <w:r w:rsidR="00226DBA">
        <w:t xml:space="preserve">, </w:t>
      </w:r>
      <w:r>
        <w:t xml:space="preserve">1996, </w:t>
      </w:r>
      <w:r w:rsidR="00226DBA">
        <w:t xml:space="preserve">IMF. </w:t>
      </w:r>
      <w:r w:rsidR="00226DBA" w:rsidRPr="00226DBA">
        <w:t xml:space="preserve"> </w:t>
      </w:r>
    </w:p>
    <w:p w14:paraId="3F55E06A" w14:textId="5B7B8B03" w:rsidR="00AB75D3" w:rsidRDefault="005F44F4" w:rsidP="00AB75D3">
      <w:pPr>
        <w:spacing w:before="240" w:line="360" w:lineRule="auto"/>
        <w:ind w:left="475" w:hanging="475"/>
        <w:jc w:val="both"/>
      </w:pPr>
      <w:r>
        <w:t xml:space="preserve">[20] </w:t>
      </w:r>
      <w:proofErr w:type="spellStart"/>
      <w:r w:rsidR="00AB75D3" w:rsidRPr="00727773">
        <w:t>Louzis</w:t>
      </w:r>
      <w:proofErr w:type="spellEnd"/>
      <w:r w:rsidR="00AB75D3" w:rsidRPr="00727773">
        <w:t xml:space="preserve">, D.P., </w:t>
      </w:r>
      <w:r w:rsidR="00BF1E98" w:rsidRPr="00FE76F1">
        <w:t xml:space="preserve">A.T. </w:t>
      </w:r>
      <w:proofErr w:type="spellStart"/>
      <w:r w:rsidR="00BF1E98" w:rsidRPr="00FE76F1">
        <w:t>Vouldis</w:t>
      </w:r>
      <w:proofErr w:type="spellEnd"/>
      <w:r w:rsidR="00BF1E98" w:rsidRPr="00FE76F1">
        <w:t xml:space="preserve"> and V.L. Metaxas</w:t>
      </w:r>
      <w:r w:rsidR="00AB75D3">
        <w:t xml:space="preserve">, </w:t>
      </w:r>
      <w:r w:rsidR="009C7D4C">
        <w:t>“</w:t>
      </w:r>
      <w:r w:rsidR="00AB75D3" w:rsidRPr="00727773">
        <w:t>Macroeconomic and Bank-</w:t>
      </w:r>
      <w:r w:rsidR="00FA0841">
        <w:t xml:space="preserve"> </w:t>
      </w:r>
      <w:r w:rsidR="00AB75D3" w:rsidRPr="00727773">
        <w:t>specific Determinants of Non-performing Loans in Greece: A Comparative Study of Mortgage, Business and Consumer Loan Portfolios</w:t>
      </w:r>
      <w:r w:rsidR="009C7D4C">
        <w:t>”</w:t>
      </w:r>
      <w:r w:rsidR="00FA0841">
        <w:t>,</w:t>
      </w:r>
      <w:r w:rsidR="00AB75D3" w:rsidRPr="00727773">
        <w:t xml:space="preserve"> </w:t>
      </w:r>
      <w:r w:rsidR="00AB75D3" w:rsidRPr="005F44F4">
        <w:t xml:space="preserve">Journal of Banking </w:t>
      </w:r>
      <w:r w:rsidR="00FA0841" w:rsidRPr="005F44F4">
        <w:t>and</w:t>
      </w:r>
      <w:r w:rsidR="00AB75D3" w:rsidRPr="005F44F4">
        <w:t xml:space="preserve"> Finance</w:t>
      </w:r>
      <w:r w:rsidR="00FA0841">
        <w:t>,</w:t>
      </w:r>
      <w:r w:rsidR="00AB75D3" w:rsidRPr="00727773">
        <w:t xml:space="preserve"> </w:t>
      </w:r>
      <w:r w:rsidRPr="005F44F4">
        <w:t>2012</w:t>
      </w:r>
      <w:r>
        <w:t>, vol.36, no. 4, pp.</w:t>
      </w:r>
      <w:r w:rsidR="00AB75D3" w:rsidRPr="00727773">
        <w:t>1012-</w:t>
      </w:r>
      <w:r>
        <w:t>11</w:t>
      </w:r>
      <w:r w:rsidR="00AB75D3" w:rsidRPr="00727773">
        <w:t>27.</w:t>
      </w:r>
    </w:p>
    <w:p w14:paraId="77A7265D" w14:textId="059858D0" w:rsidR="00AB75D3" w:rsidRPr="00727773" w:rsidRDefault="005F44F4" w:rsidP="00AB75D3">
      <w:pPr>
        <w:spacing w:before="240" w:line="360" w:lineRule="auto"/>
        <w:ind w:left="475" w:hanging="475"/>
        <w:jc w:val="both"/>
      </w:pPr>
      <w:r>
        <w:t xml:space="preserve">[21] </w:t>
      </w:r>
      <w:r w:rsidR="00AB75D3" w:rsidRPr="00727773">
        <w:t xml:space="preserve">Moscone, F., </w:t>
      </w:r>
      <w:r w:rsidR="00BD74E1" w:rsidRPr="00727773">
        <w:t xml:space="preserve">E. </w:t>
      </w:r>
      <w:proofErr w:type="spellStart"/>
      <w:r w:rsidR="00AB75D3" w:rsidRPr="00727773">
        <w:t>Tosetti</w:t>
      </w:r>
      <w:proofErr w:type="spellEnd"/>
      <w:r w:rsidR="00AB75D3" w:rsidRPr="00727773">
        <w:t xml:space="preserve"> and </w:t>
      </w:r>
      <w:r w:rsidR="00BD74E1" w:rsidRPr="00727773">
        <w:t xml:space="preserve">A. </w:t>
      </w:r>
      <w:proofErr w:type="spellStart"/>
      <w:r w:rsidR="00AB75D3" w:rsidRPr="00727773">
        <w:t>Canepa</w:t>
      </w:r>
      <w:proofErr w:type="spellEnd"/>
      <w:r w:rsidR="00AB75D3">
        <w:t xml:space="preserve">, </w:t>
      </w:r>
      <w:r w:rsidR="009C7D4C">
        <w:t>“</w:t>
      </w:r>
      <w:r w:rsidR="00AB75D3" w:rsidRPr="00727773">
        <w:t xml:space="preserve">Real Estate Market and Financial Stability in US Metropolitan Areas: A Dynamic Model </w:t>
      </w:r>
      <w:r w:rsidR="006E4901">
        <w:t>w</w:t>
      </w:r>
      <w:r w:rsidR="00AB75D3" w:rsidRPr="00727773">
        <w:t>ith Spatial Effects</w:t>
      </w:r>
      <w:r w:rsidR="009C7D4C">
        <w:t>”</w:t>
      </w:r>
      <w:r w:rsidR="006E4901">
        <w:t>,</w:t>
      </w:r>
      <w:r w:rsidR="00AB75D3" w:rsidRPr="00727773">
        <w:t xml:space="preserve"> </w:t>
      </w:r>
      <w:r w:rsidR="00AB75D3" w:rsidRPr="005F44F4">
        <w:t>Regional Science and Urban Economics</w:t>
      </w:r>
      <w:r w:rsidR="00AB75D3" w:rsidRPr="00727773">
        <w:t xml:space="preserve">, </w:t>
      </w:r>
      <w:r w:rsidRPr="005F44F4">
        <w:t>2014</w:t>
      </w:r>
      <w:r>
        <w:t>, vol.49, pp.</w:t>
      </w:r>
      <w:r w:rsidR="00AB75D3" w:rsidRPr="00727773">
        <w:t xml:space="preserve"> 129-</w:t>
      </w:r>
      <w:r>
        <w:t>1</w:t>
      </w:r>
      <w:r w:rsidR="00AB75D3" w:rsidRPr="00727773">
        <w:t>46.</w:t>
      </w:r>
    </w:p>
    <w:p w14:paraId="6277C747" w14:textId="1E14DAB9" w:rsidR="00AB75D3" w:rsidRPr="00727773" w:rsidRDefault="005F44F4" w:rsidP="00AB75D3">
      <w:pPr>
        <w:spacing w:before="240" w:line="360" w:lineRule="auto"/>
        <w:ind w:left="475" w:hanging="475"/>
        <w:jc w:val="both"/>
      </w:pPr>
      <w:r>
        <w:t xml:space="preserve">[22] </w:t>
      </w:r>
      <w:proofErr w:type="spellStart"/>
      <w:r w:rsidR="00AB75D3" w:rsidRPr="00727773">
        <w:t>Niinimäki</w:t>
      </w:r>
      <w:proofErr w:type="spellEnd"/>
      <w:r w:rsidR="00AB75D3" w:rsidRPr="00727773">
        <w:t>, J.P.</w:t>
      </w:r>
      <w:r w:rsidR="00AB75D3">
        <w:t xml:space="preserve">, </w:t>
      </w:r>
      <w:r w:rsidR="009C7D4C">
        <w:t>“</w:t>
      </w:r>
      <w:r w:rsidR="00AB75D3" w:rsidRPr="00727773">
        <w:t>Does Collateral Fuel Moral Hazard in Banking?</w:t>
      </w:r>
      <w:r w:rsidR="009C7D4C">
        <w:t>”</w:t>
      </w:r>
      <w:r w:rsidR="006E4901">
        <w:t>,</w:t>
      </w:r>
      <w:r w:rsidR="00AB75D3" w:rsidRPr="00727773">
        <w:t xml:space="preserve"> </w:t>
      </w:r>
      <w:r w:rsidR="00AB75D3" w:rsidRPr="005F44F4">
        <w:t xml:space="preserve">Journal of Banking </w:t>
      </w:r>
      <w:r w:rsidR="006E4901" w:rsidRPr="005F44F4">
        <w:t>and</w:t>
      </w:r>
      <w:r w:rsidR="00AB75D3" w:rsidRPr="005F44F4">
        <w:t xml:space="preserve"> Finance</w:t>
      </w:r>
      <w:r w:rsidR="006E4901">
        <w:t>,</w:t>
      </w:r>
      <w:r w:rsidR="00AB75D3" w:rsidRPr="00727773">
        <w:t xml:space="preserve"> </w:t>
      </w:r>
      <w:r w:rsidRPr="005F44F4">
        <w:t>2009</w:t>
      </w:r>
      <w:r>
        <w:t>, vol. 33, no. 3, pp.</w:t>
      </w:r>
      <w:r w:rsidR="00AB75D3" w:rsidRPr="00727773">
        <w:t xml:space="preserve"> 514-</w:t>
      </w:r>
      <w:r>
        <w:t>5</w:t>
      </w:r>
      <w:r w:rsidR="00AB75D3" w:rsidRPr="00727773">
        <w:t>21.</w:t>
      </w:r>
    </w:p>
    <w:p w14:paraId="2824D49F" w14:textId="6C61A612" w:rsidR="00AB75D3" w:rsidRPr="00727773" w:rsidRDefault="005F44F4" w:rsidP="00AB75D3">
      <w:pPr>
        <w:spacing w:before="240" w:line="360" w:lineRule="auto"/>
        <w:ind w:left="475" w:hanging="475"/>
        <w:jc w:val="both"/>
      </w:pPr>
      <w:r>
        <w:t xml:space="preserve">[23] </w:t>
      </w:r>
      <w:proofErr w:type="spellStart"/>
      <w:r w:rsidR="00AB75D3" w:rsidRPr="00727773">
        <w:t>Nkusu</w:t>
      </w:r>
      <w:proofErr w:type="spellEnd"/>
      <w:r w:rsidR="00AB75D3" w:rsidRPr="00727773">
        <w:t>, M.</w:t>
      </w:r>
      <w:r w:rsidR="00BD74E1">
        <w:t>,</w:t>
      </w:r>
      <w:r w:rsidR="00AB75D3" w:rsidRPr="00727773">
        <w:t xml:space="preserve"> </w:t>
      </w:r>
      <w:r w:rsidR="009C7D4C">
        <w:t>“</w:t>
      </w:r>
      <w:r w:rsidR="00AB75D3" w:rsidRPr="00727773">
        <w:t>Non</w:t>
      </w:r>
      <w:r w:rsidR="006E4901">
        <w:t>-</w:t>
      </w:r>
      <w:r w:rsidR="00AB75D3" w:rsidRPr="00727773">
        <w:t>performing Loans and Macro</w:t>
      </w:r>
      <w:r w:rsidR="006E4901">
        <w:t>-</w:t>
      </w:r>
      <w:r w:rsidR="00AB75D3" w:rsidRPr="00727773">
        <w:t>financial Vulnerabilities in Advanced Economies</w:t>
      </w:r>
      <w:r w:rsidR="009C7D4C">
        <w:t>”</w:t>
      </w:r>
      <w:r w:rsidR="006E4901">
        <w:t>,</w:t>
      </w:r>
      <w:r w:rsidR="00AB75D3" w:rsidRPr="00727773">
        <w:t xml:space="preserve"> </w:t>
      </w:r>
      <w:r w:rsidR="00AB75D3" w:rsidRPr="005F44F4">
        <w:t xml:space="preserve">IMF Working Paper </w:t>
      </w:r>
      <w:r w:rsidR="006E4901" w:rsidRPr="005F44F4">
        <w:t xml:space="preserve">No. </w:t>
      </w:r>
      <w:r w:rsidR="00AB75D3" w:rsidRPr="005F44F4">
        <w:t>WP</w:t>
      </w:r>
      <w:r w:rsidR="00AB75D3" w:rsidRPr="00727773">
        <w:t>/11/161</w:t>
      </w:r>
      <w:r w:rsidR="006E4901">
        <w:t>,</w:t>
      </w:r>
      <w:r w:rsidRPr="005F44F4">
        <w:t xml:space="preserve"> 2011</w:t>
      </w:r>
      <w:r w:rsidR="006E4901">
        <w:t xml:space="preserve"> International Monetary Fund.</w:t>
      </w:r>
    </w:p>
    <w:p w14:paraId="27FDABD5" w14:textId="3023428B" w:rsidR="00AB75D3" w:rsidRPr="00727773" w:rsidRDefault="005F44F4" w:rsidP="00AB75D3">
      <w:pPr>
        <w:spacing w:before="240" w:line="360" w:lineRule="auto"/>
        <w:ind w:left="475" w:hanging="475"/>
        <w:jc w:val="both"/>
      </w:pPr>
      <w:r>
        <w:t xml:space="preserve">[24] </w:t>
      </w:r>
      <w:r w:rsidR="00AB75D3" w:rsidRPr="00727773">
        <w:t>Pan, H. and C. Wang</w:t>
      </w:r>
      <w:r w:rsidR="00AB75D3">
        <w:t xml:space="preserve">, </w:t>
      </w:r>
      <w:r w:rsidR="009C7D4C">
        <w:t>“</w:t>
      </w:r>
      <w:r w:rsidR="00AB75D3" w:rsidRPr="00727773">
        <w:t xml:space="preserve">House Prices, Bank Instability and Economic Growth: Evidence from </w:t>
      </w:r>
      <w:r w:rsidR="006E4901">
        <w:t>t</w:t>
      </w:r>
      <w:r w:rsidR="00AB75D3" w:rsidRPr="00727773">
        <w:t>he Threshold Model</w:t>
      </w:r>
      <w:r w:rsidR="009C7D4C">
        <w:t>”</w:t>
      </w:r>
      <w:r w:rsidR="006E4901">
        <w:t>,</w:t>
      </w:r>
      <w:r w:rsidR="00AB75D3" w:rsidRPr="00727773">
        <w:t xml:space="preserve"> </w:t>
      </w:r>
      <w:r w:rsidR="00AB75D3" w:rsidRPr="005F44F4">
        <w:t xml:space="preserve">Journal of Banking </w:t>
      </w:r>
      <w:r w:rsidR="006E4901" w:rsidRPr="005F44F4">
        <w:t>and</w:t>
      </w:r>
      <w:r w:rsidR="00AB75D3" w:rsidRPr="005F44F4">
        <w:t xml:space="preserve"> Finance</w:t>
      </w:r>
      <w:r w:rsidR="006E4901">
        <w:t>,</w:t>
      </w:r>
      <w:r w:rsidR="00AB75D3" w:rsidRPr="00727773">
        <w:t xml:space="preserve"> </w:t>
      </w:r>
      <w:r w:rsidRPr="005F44F4">
        <w:t>2013</w:t>
      </w:r>
      <w:r>
        <w:t>, vol.37, no.5, pp.</w:t>
      </w:r>
      <w:r w:rsidR="006E4901">
        <w:t xml:space="preserve"> 1720-</w:t>
      </w:r>
      <w:r>
        <w:t>17</w:t>
      </w:r>
      <w:r w:rsidR="00AB75D3" w:rsidRPr="00727773">
        <w:t>32.</w:t>
      </w:r>
    </w:p>
    <w:p w14:paraId="72670A56" w14:textId="3F1DD2C5" w:rsidR="00AB75D3" w:rsidRPr="00727773" w:rsidRDefault="005F44F4" w:rsidP="00AB75D3">
      <w:pPr>
        <w:spacing w:before="240" w:line="360" w:lineRule="auto"/>
        <w:ind w:left="475" w:hanging="475"/>
        <w:jc w:val="both"/>
      </w:pPr>
      <w:r>
        <w:t xml:space="preserve">[25] </w:t>
      </w:r>
      <w:proofErr w:type="spellStart"/>
      <w:r w:rsidR="00AB75D3" w:rsidRPr="00727773">
        <w:t>Pesaran</w:t>
      </w:r>
      <w:proofErr w:type="spellEnd"/>
      <w:r w:rsidR="00AB75D3" w:rsidRPr="00727773">
        <w:t>,</w:t>
      </w:r>
      <w:r w:rsidR="00AB75D3">
        <w:t xml:space="preserve"> </w:t>
      </w:r>
      <w:r w:rsidR="00AB75D3" w:rsidRPr="00727773">
        <w:t xml:space="preserve">S., </w:t>
      </w:r>
      <w:r w:rsidR="00BD74E1" w:rsidRPr="00727773">
        <w:t xml:space="preserve">Y. </w:t>
      </w:r>
      <w:r w:rsidR="00AB75D3" w:rsidRPr="00727773">
        <w:t>Shin</w:t>
      </w:r>
      <w:r w:rsidR="00BD74E1">
        <w:t xml:space="preserve"> and</w:t>
      </w:r>
      <w:r w:rsidR="00AB75D3" w:rsidRPr="00727773">
        <w:t xml:space="preserve"> </w:t>
      </w:r>
      <w:r w:rsidR="00BD74E1" w:rsidRPr="00727773">
        <w:t xml:space="preserve">R. </w:t>
      </w:r>
      <w:r w:rsidR="00AB75D3" w:rsidRPr="00727773">
        <w:t>Smith</w:t>
      </w:r>
      <w:r w:rsidR="00AB75D3">
        <w:t xml:space="preserve">, </w:t>
      </w:r>
      <w:r w:rsidR="009C7D4C">
        <w:t>“</w:t>
      </w:r>
      <w:r w:rsidR="00AB75D3" w:rsidRPr="00727773">
        <w:t>Pooled Mean Group Estimation of Dynamic Heterogen</w:t>
      </w:r>
      <w:r w:rsidR="00B13317">
        <w:t>e</w:t>
      </w:r>
      <w:r w:rsidR="00AB75D3" w:rsidRPr="00727773">
        <w:t>ous Panels</w:t>
      </w:r>
      <w:r w:rsidR="009C7D4C">
        <w:t>”</w:t>
      </w:r>
      <w:r w:rsidR="006E4901">
        <w:t>,</w:t>
      </w:r>
      <w:r w:rsidR="00AB75D3" w:rsidRPr="00727773">
        <w:t xml:space="preserve"> </w:t>
      </w:r>
      <w:r w:rsidR="00AB75D3" w:rsidRPr="005F44F4">
        <w:t>Journal of the American Statistical Association</w:t>
      </w:r>
      <w:r w:rsidR="00AB75D3" w:rsidRPr="00727773">
        <w:t xml:space="preserve">, </w:t>
      </w:r>
      <w:r w:rsidRPr="005F44F4">
        <w:t>1999</w:t>
      </w:r>
      <w:r>
        <w:t>, vol. 68, pp.</w:t>
      </w:r>
      <w:r w:rsidR="00AB75D3" w:rsidRPr="00727773">
        <w:t xml:space="preserve"> 621</w:t>
      </w:r>
      <w:r w:rsidR="006E4901">
        <w:t>-</w:t>
      </w:r>
      <w:r>
        <w:t>6</w:t>
      </w:r>
      <w:r w:rsidR="00AB75D3" w:rsidRPr="00727773">
        <w:t>34.</w:t>
      </w:r>
    </w:p>
    <w:p w14:paraId="4F34858C" w14:textId="071930D8" w:rsidR="00AB75D3" w:rsidRPr="00AB75D3" w:rsidRDefault="005F44F4" w:rsidP="00AB75D3">
      <w:pPr>
        <w:spacing w:before="120" w:line="360" w:lineRule="auto"/>
        <w:ind w:left="475" w:hanging="475"/>
        <w:jc w:val="both"/>
        <w:rPr>
          <w:spacing w:val="-2"/>
        </w:rPr>
      </w:pPr>
      <w:r>
        <w:t xml:space="preserve">[26] </w:t>
      </w:r>
      <w:proofErr w:type="spellStart"/>
      <w:r w:rsidR="00AB75D3" w:rsidRPr="00727773">
        <w:t>Piergiorgio</w:t>
      </w:r>
      <w:proofErr w:type="spellEnd"/>
      <w:r w:rsidR="00AB75D3" w:rsidRPr="00727773">
        <w:t xml:space="preserve"> A</w:t>
      </w:r>
      <w:r w:rsidR="00AB75D3">
        <w:t xml:space="preserve">., </w:t>
      </w:r>
      <w:r w:rsidR="009C7D4C">
        <w:t>“</w:t>
      </w:r>
      <w:r w:rsidR="00AB75D3" w:rsidRPr="00727773">
        <w:t xml:space="preserve">Bubbles and Fads in the Stock Market: </w:t>
      </w:r>
      <w:r w:rsidR="006E4901">
        <w:t>A</w:t>
      </w:r>
      <w:r w:rsidR="00AB75D3" w:rsidRPr="00727773">
        <w:t xml:space="preserve">nother </w:t>
      </w:r>
      <w:r w:rsidR="006E4901">
        <w:t>L</w:t>
      </w:r>
      <w:r w:rsidR="00AB75D3" w:rsidRPr="00727773">
        <w:t xml:space="preserve">ook at the </w:t>
      </w:r>
      <w:r w:rsidR="006E4901">
        <w:t>E</w:t>
      </w:r>
      <w:r w:rsidR="00AB75D3" w:rsidRPr="00727773">
        <w:t>xperience of the US</w:t>
      </w:r>
      <w:r w:rsidR="009C7D4C">
        <w:t>”</w:t>
      </w:r>
      <w:r w:rsidR="00AB75D3" w:rsidRPr="00727773">
        <w:t xml:space="preserve">, </w:t>
      </w:r>
      <w:r w:rsidR="00AB75D3" w:rsidRPr="005F44F4">
        <w:t xml:space="preserve">International Journal of Finance </w:t>
      </w:r>
      <w:r w:rsidR="006E4901" w:rsidRPr="005F44F4">
        <w:t>and</w:t>
      </w:r>
      <w:r w:rsidR="00AB75D3" w:rsidRPr="005F44F4">
        <w:t xml:space="preserve"> Economics</w:t>
      </w:r>
      <w:r w:rsidR="006E4901">
        <w:t xml:space="preserve">, </w:t>
      </w:r>
      <w:r w:rsidRPr="005F44F4">
        <w:t>2005</w:t>
      </w:r>
      <w:r>
        <w:t xml:space="preserve">, vol. 11, pp. </w:t>
      </w:r>
      <w:r w:rsidR="006E4901">
        <w:t>1</w:t>
      </w:r>
      <w:r w:rsidR="00AB75D3" w:rsidRPr="00727773">
        <w:t>95</w:t>
      </w:r>
      <w:r w:rsidR="006E4901">
        <w:t>-</w:t>
      </w:r>
      <w:r w:rsidR="00AB75D3" w:rsidRPr="00727773">
        <w:t>203.</w:t>
      </w:r>
    </w:p>
    <w:p w14:paraId="60DBD735" w14:textId="435B59CD" w:rsidR="00AB75D3" w:rsidRPr="00727773" w:rsidRDefault="005F44F4" w:rsidP="00AB75D3">
      <w:pPr>
        <w:spacing w:before="240" w:line="360" w:lineRule="auto"/>
        <w:ind w:left="475" w:hanging="475"/>
        <w:jc w:val="both"/>
      </w:pPr>
      <w:r>
        <w:t xml:space="preserve">[27] </w:t>
      </w:r>
      <w:r w:rsidR="00AB75D3" w:rsidRPr="00727773">
        <w:t>Poterba J.M.</w:t>
      </w:r>
      <w:r w:rsidR="00BD74E1">
        <w:t xml:space="preserve"> and</w:t>
      </w:r>
      <w:r w:rsidR="00AB75D3" w:rsidRPr="00727773">
        <w:t xml:space="preserve"> </w:t>
      </w:r>
      <w:r w:rsidR="00BD74E1" w:rsidRPr="00727773">
        <w:t xml:space="preserve">L.H. </w:t>
      </w:r>
      <w:r w:rsidR="00AB75D3" w:rsidRPr="00727773">
        <w:t>Summers</w:t>
      </w:r>
      <w:r w:rsidR="00AB75D3">
        <w:t xml:space="preserve">, </w:t>
      </w:r>
      <w:r w:rsidR="009C7D4C">
        <w:t>“</w:t>
      </w:r>
      <w:r w:rsidR="00AB75D3" w:rsidRPr="00727773">
        <w:t>The Persistence of Volatility and Stock Market Fluctuations</w:t>
      </w:r>
      <w:r w:rsidR="009C7D4C">
        <w:t>”</w:t>
      </w:r>
      <w:r w:rsidR="006E4901">
        <w:t xml:space="preserve">, </w:t>
      </w:r>
      <w:r w:rsidR="00AB75D3" w:rsidRPr="005F44F4">
        <w:t>American Economic Review</w:t>
      </w:r>
      <w:r w:rsidR="00AB75D3" w:rsidRPr="00727773">
        <w:t xml:space="preserve">, </w:t>
      </w:r>
      <w:r w:rsidRPr="005F44F4">
        <w:t>1986</w:t>
      </w:r>
      <w:r>
        <w:t xml:space="preserve">, vol. </w:t>
      </w:r>
      <w:r w:rsidR="00AB75D3" w:rsidRPr="005F44F4">
        <w:t>76</w:t>
      </w:r>
      <w:r w:rsidRPr="005F44F4">
        <w:t>, pp</w:t>
      </w:r>
      <w:r>
        <w:rPr>
          <w:b/>
        </w:rPr>
        <w:t xml:space="preserve">. </w:t>
      </w:r>
      <w:r w:rsidR="00AB75D3" w:rsidRPr="00727773">
        <w:t>1142-</w:t>
      </w:r>
      <w:r>
        <w:t>11</w:t>
      </w:r>
      <w:r w:rsidR="00AB75D3" w:rsidRPr="00727773">
        <w:t>51.</w:t>
      </w:r>
    </w:p>
    <w:p w14:paraId="6CDBE3FE" w14:textId="160D5F95" w:rsidR="00AB75D3" w:rsidRPr="001254D8" w:rsidRDefault="005F44F4" w:rsidP="00AB75D3">
      <w:pPr>
        <w:spacing w:before="240" w:line="360" w:lineRule="auto"/>
        <w:ind w:left="475" w:hanging="475"/>
        <w:jc w:val="both"/>
      </w:pPr>
      <w:r>
        <w:t xml:space="preserve">[28] </w:t>
      </w:r>
      <w:proofErr w:type="spellStart"/>
      <w:r w:rsidR="00AB75D3" w:rsidRPr="001254D8">
        <w:t>Škarica</w:t>
      </w:r>
      <w:proofErr w:type="spellEnd"/>
      <w:r w:rsidR="00AB75D3" w:rsidRPr="001254D8">
        <w:t>, B</w:t>
      </w:r>
      <w:r w:rsidR="00BD74E1">
        <w:t>.</w:t>
      </w:r>
      <w:r w:rsidR="00AB75D3">
        <w:t xml:space="preserve">, </w:t>
      </w:r>
      <w:r w:rsidR="009C7D4C">
        <w:t>“</w:t>
      </w:r>
      <w:r w:rsidR="00AB75D3" w:rsidRPr="001254D8">
        <w:t>Determinants of Non-performing Loans in Central and Eastern European countries</w:t>
      </w:r>
      <w:r w:rsidR="009C7D4C">
        <w:t>”</w:t>
      </w:r>
      <w:r w:rsidR="006E4901">
        <w:t xml:space="preserve">, </w:t>
      </w:r>
      <w:r w:rsidR="00AB75D3" w:rsidRPr="005F44F4">
        <w:t>Financial Theory and Practice</w:t>
      </w:r>
      <w:r w:rsidR="00AB75D3" w:rsidRPr="001254D8">
        <w:t xml:space="preserve">, </w:t>
      </w:r>
      <w:r w:rsidRPr="005F44F4">
        <w:t>2014</w:t>
      </w:r>
      <w:r>
        <w:t xml:space="preserve">, vol. 38, no. 1, pp. </w:t>
      </w:r>
      <w:r w:rsidR="00AB75D3" w:rsidRPr="001254D8">
        <w:t xml:space="preserve">37-59. </w:t>
      </w:r>
    </w:p>
    <w:p w14:paraId="781794C5" w14:textId="63BC6674" w:rsidR="00BD74E1" w:rsidRDefault="005F44F4" w:rsidP="00BD74E1">
      <w:pPr>
        <w:spacing w:before="240" w:line="360" w:lineRule="auto"/>
        <w:ind w:left="475" w:hanging="475"/>
        <w:jc w:val="both"/>
      </w:pPr>
      <w:r>
        <w:t xml:space="preserve">[29] </w:t>
      </w:r>
      <w:r w:rsidR="00BD74E1" w:rsidRPr="00727773">
        <w:t>Tajik, M</w:t>
      </w:r>
      <w:r w:rsidR="00BD74E1">
        <w:t>.,</w:t>
      </w:r>
      <w:r w:rsidR="00BD74E1" w:rsidRPr="00727773">
        <w:t xml:space="preserve"> S</w:t>
      </w:r>
      <w:r w:rsidR="00BD74E1">
        <w:t>.</w:t>
      </w:r>
      <w:r w:rsidR="00BD74E1" w:rsidRPr="00727773">
        <w:t xml:space="preserve"> </w:t>
      </w:r>
      <w:proofErr w:type="spellStart"/>
      <w:r w:rsidR="00BD74E1" w:rsidRPr="00727773">
        <w:t>Aliakbari</w:t>
      </w:r>
      <w:proofErr w:type="spellEnd"/>
      <w:r w:rsidR="00BD74E1" w:rsidRPr="00727773">
        <w:t>, T</w:t>
      </w:r>
      <w:r w:rsidR="00BD74E1">
        <w:t>.</w:t>
      </w:r>
      <w:r w:rsidR="00BD74E1" w:rsidRPr="00727773">
        <w:t xml:space="preserve"> </w:t>
      </w:r>
      <w:proofErr w:type="spellStart"/>
      <w:r w:rsidR="00BD74E1" w:rsidRPr="00727773">
        <w:t>Ghalia</w:t>
      </w:r>
      <w:proofErr w:type="spellEnd"/>
      <w:r w:rsidR="00BD74E1">
        <w:t xml:space="preserve"> and</w:t>
      </w:r>
      <w:r w:rsidR="00BD74E1" w:rsidRPr="00727773">
        <w:t xml:space="preserve"> S</w:t>
      </w:r>
      <w:r w:rsidR="00BD74E1">
        <w:t>.</w:t>
      </w:r>
      <w:r w:rsidR="00BD74E1" w:rsidRPr="00727773">
        <w:t xml:space="preserve"> </w:t>
      </w:r>
      <w:proofErr w:type="spellStart"/>
      <w:r w:rsidR="00BD74E1" w:rsidRPr="00727773">
        <w:t>Kaffash</w:t>
      </w:r>
      <w:proofErr w:type="spellEnd"/>
      <w:r w:rsidR="00BD74E1" w:rsidRPr="00727773">
        <w:t xml:space="preserve">, </w:t>
      </w:r>
      <w:r w:rsidR="009C7D4C">
        <w:t>“</w:t>
      </w:r>
      <w:r w:rsidR="00BD74E1" w:rsidRPr="00727773">
        <w:t xml:space="preserve">House </w:t>
      </w:r>
      <w:r w:rsidR="006E4901">
        <w:t>P</w:t>
      </w:r>
      <w:r w:rsidR="00BD74E1" w:rsidRPr="00727773">
        <w:t xml:space="preserve">rices and </w:t>
      </w:r>
      <w:r w:rsidR="006E4901">
        <w:t>C</w:t>
      </w:r>
      <w:r w:rsidR="00BD74E1" w:rsidRPr="00727773">
        <w:t xml:space="preserve">redit </w:t>
      </w:r>
      <w:r w:rsidR="006E4901">
        <w:t>R</w:t>
      </w:r>
      <w:r w:rsidR="00BD74E1" w:rsidRPr="00727773">
        <w:t>isk: Evidence from the United States</w:t>
      </w:r>
      <w:r w:rsidR="009C7D4C">
        <w:t>”</w:t>
      </w:r>
      <w:r w:rsidR="00BD74E1" w:rsidRPr="00727773">
        <w:t>,</w:t>
      </w:r>
      <w:r w:rsidR="00BD74E1" w:rsidRPr="005F44F4">
        <w:t xml:space="preserve"> Economic Modelling</w:t>
      </w:r>
      <w:r w:rsidR="00BD74E1" w:rsidRPr="00727773">
        <w:t xml:space="preserve">, </w:t>
      </w:r>
      <w:r w:rsidRPr="005F44F4">
        <w:t>2015</w:t>
      </w:r>
      <w:r>
        <w:t xml:space="preserve">, vol. 51, pp. </w:t>
      </w:r>
      <w:r w:rsidR="006E4901">
        <w:t>123-</w:t>
      </w:r>
      <w:r>
        <w:t>1</w:t>
      </w:r>
      <w:r w:rsidR="006E4901">
        <w:t>35</w:t>
      </w:r>
      <w:r w:rsidR="00BD74E1" w:rsidRPr="00727773">
        <w:t>.</w:t>
      </w:r>
    </w:p>
    <w:p w14:paraId="2F23037E" w14:textId="4BA43A48" w:rsidR="00E904CD" w:rsidRPr="00E904CD" w:rsidRDefault="005F44F4" w:rsidP="00B07DA1">
      <w:pPr>
        <w:spacing w:before="240" w:line="360" w:lineRule="auto"/>
        <w:ind w:left="475" w:hanging="475"/>
        <w:jc w:val="both"/>
      </w:pPr>
      <w:r>
        <w:t xml:space="preserve">[30] </w:t>
      </w:r>
      <w:proofErr w:type="spellStart"/>
      <w:r w:rsidR="00B07DA1">
        <w:t>Junmin</w:t>
      </w:r>
      <w:proofErr w:type="spellEnd"/>
      <w:r w:rsidR="00B07DA1">
        <w:t xml:space="preserve"> Wan</w:t>
      </w:r>
      <w:r w:rsidR="00B07DA1">
        <w:rPr>
          <w:rFonts w:hint="eastAsia"/>
        </w:rPr>
        <w:t>,</w:t>
      </w:r>
      <w:r w:rsidR="00B07DA1">
        <w:t xml:space="preserve"> </w:t>
      </w:r>
      <w:r w:rsidR="009C7D4C">
        <w:t>“</w:t>
      </w:r>
      <w:r w:rsidR="00B07DA1">
        <w:t>Non-performing loans and housing prices in China</w:t>
      </w:r>
      <w:r w:rsidR="009C7D4C">
        <w:t>”</w:t>
      </w:r>
      <w:r w:rsidR="00B07DA1">
        <w:t xml:space="preserve">, </w:t>
      </w:r>
      <w:r w:rsidR="00B07DA1" w:rsidRPr="004718B6">
        <w:t>International Review of Economics &amp; Finance</w:t>
      </w:r>
      <w:r w:rsidR="00B07DA1">
        <w:t xml:space="preserve">, </w:t>
      </w:r>
      <w:r w:rsidRPr="005F44F4">
        <w:t>2018</w:t>
      </w:r>
      <w:r>
        <w:t xml:space="preserve">, vol. 57, pp. </w:t>
      </w:r>
      <w:r w:rsidR="00B07DA1">
        <w:t>26-42</w:t>
      </w:r>
      <w:r w:rsidR="00B07DA1">
        <w:rPr>
          <w:rFonts w:hint="eastAsia"/>
        </w:rPr>
        <w:t>.</w:t>
      </w:r>
    </w:p>
    <w:p w14:paraId="0796A572" w14:textId="59E66674" w:rsidR="00804630" w:rsidRPr="00BD74E1" w:rsidRDefault="004718B6" w:rsidP="00BD74E1">
      <w:pPr>
        <w:spacing w:before="240" w:line="360" w:lineRule="auto"/>
        <w:ind w:left="475" w:hanging="475"/>
        <w:jc w:val="both"/>
      </w:pPr>
      <w:r>
        <w:t xml:space="preserve">[31] </w:t>
      </w:r>
      <w:r w:rsidR="00AB75D3" w:rsidRPr="00727773">
        <w:t>Xiao,</w:t>
      </w:r>
      <w:r w:rsidR="00BD74E1">
        <w:t xml:space="preserve"> </w:t>
      </w:r>
      <w:r w:rsidR="00AB75D3" w:rsidRPr="00727773">
        <w:t xml:space="preserve">Q. and </w:t>
      </w:r>
      <w:r w:rsidR="00BD74E1" w:rsidRPr="00727773">
        <w:t xml:space="preserve">G.K.R. </w:t>
      </w:r>
      <w:r w:rsidR="00AB75D3" w:rsidRPr="00727773">
        <w:t>Tan</w:t>
      </w:r>
      <w:r w:rsidR="00AB75D3">
        <w:t xml:space="preserve">, </w:t>
      </w:r>
      <w:r w:rsidR="009C7D4C">
        <w:t>“</w:t>
      </w:r>
      <w:r w:rsidR="00AB75D3" w:rsidRPr="00727773">
        <w:t>Signal Extraction with Kalman Filter: A Study of the Hong Kong Property Price Bubbles</w:t>
      </w:r>
      <w:r w:rsidR="009C7D4C">
        <w:t>”</w:t>
      </w:r>
      <w:r w:rsidR="006E4901">
        <w:t>,</w:t>
      </w:r>
      <w:r w:rsidR="00AB75D3" w:rsidRPr="00727773">
        <w:t xml:space="preserve"> </w:t>
      </w:r>
      <w:r w:rsidR="00AB75D3" w:rsidRPr="004718B6">
        <w:t>Urban Studies</w:t>
      </w:r>
      <w:r w:rsidR="00AB75D3">
        <w:t xml:space="preserve">, </w:t>
      </w:r>
      <w:r w:rsidRPr="004718B6">
        <w:t>2007</w:t>
      </w:r>
      <w:r>
        <w:t xml:space="preserve">, vol. 44, pp. </w:t>
      </w:r>
      <w:r w:rsidR="00AB75D3">
        <w:t>865-</w:t>
      </w:r>
      <w:r>
        <w:t>8</w:t>
      </w:r>
      <w:r w:rsidR="00AB75D3">
        <w:t>88</w:t>
      </w:r>
      <w:r w:rsidR="006945FF">
        <w:rPr>
          <w:spacing w:val="-2"/>
        </w:rPr>
        <w:t>.</w:t>
      </w:r>
    </w:p>
    <w:sectPr w:rsidR="00804630" w:rsidRPr="00BD74E1" w:rsidSect="006945FF">
      <w:footnotePr>
        <w:numRestart w:val="eachSect"/>
      </w:footnotePr>
      <w:pgSz w:w="11909" w:h="16834" w:code="9"/>
      <w:pgMar w:top="1584" w:right="1728" w:bottom="1440" w:left="1800" w:header="850" w:footer="878"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6CC64" w14:textId="77777777" w:rsidR="00CD0D0B" w:rsidRDefault="00CD0D0B">
      <w:r>
        <w:separator/>
      </w:r>
    </w:p>
  </w:endnote>
  <w:endnote w:type="continuationSeparator" w:id="0">
    <w:p w14:paraId="3ED40C04" w14:textId="77777777" w:rsidR="00CD0D0B" w:rsidRDefault="00CD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華康中楷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NNGMLO+TimesNewRoman">
    <w:altName w:val="Arial Unicode M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45168"/>
      <w:docPartObj>
        <w:docPartGallery w:val="Page Numbers (Bottom of Page)"/>
        <w:docPartUnique/>
      </w:docPartObj>
    </w:sdtPr>
    <w:sdtEndPr>
      <w:rPr>
        <w:noProof/>
        <w:sz w:val="18"/>
      </w:rPr>
    </w:sdtEndPr>
    <w:sdtContent>
      <w:p w14:paraId="2F223ADE" w14:textId="56FCB8E4" w:rsidR="00CD0D0B" w:rsidRPr="007C026D" w:rsidRDefault="00CD0D0B" w:rsidP="007C026D">
        <w:pPr>
          <w:pStyle w:val="a8"/>
          <w:jc w:val="center"/>
          <w:rPr>
            <w:sz w:val="18"/>
          </w:rPr>
        </w:pPr>
        <w:r w:rsidRPr="007C026D">
          <w:rPr>
            <w:sz w:val="18"/>
          </w:rPr>
          <w:fldChar w:fldCharType="begin"/>
        </w:r>
        <w:r w:rsidRPr="007C026D">
          <w:rPr>
            <w:sz w:val="18"/>
          </w:rPr>
          <w:instrText xml:space="preserve"> PAGE   \* MERGEFORMAT </w:instrText>
        </w:r>
        <w:r w:rsidRPr="007C026D">
          <w:rPr>
            <w:sz w:val="18"/>
          </w:rPr>
          <w:fldChar w:fldCharType="separate"/>
        </w:r>
        <w:r>
          <w:rPr>
            <w:noProof/>
            <w:sz w:val="18"/>
          </w:rPr>
          <w:t>19</w:t>
        </w:r>
        <w:r w:rsidRPr="007C026D">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DDC89" w14:textId="77777777" w:rsidR="00CD0D0B" w:rsidRDefault="00CD0D0B">
      <w:r>
        <w:separator/>
      </w:r>
    </w:p>
  </w:footnote>
  <w:footnote w:type="continuationSeparator" w:id="0">
    <w:p w14:paraId="7F6D791B" w14:textId="77777777" w:rsidR="00CD0D0B" w:rsidRDefault="00CD0D0B">
      <w:r>
        <w:continuationSeparator/>
      </w:r>
    </w:p>
  </w:footnote>
  <w:footnote w:id="1">
    <w:p w14:paraId="4730C798" w14:textId="6B2074B6" w:rsidR="00CD0D0B" w:rsidRPr="002114AF" w:rsidRDefault="00CD0D0B">
      <w:pPr>
        <w:pStyle w:val="a3"/>
        <w:rPr>
          <w:rFonts w:hint="eastAsia"/>
        </w:rPr>
      </w:pPr>
      <w:r>
        <w:rPr>
          <w:rStyle w:val="a5"/>
        </w:rPr>
        <w:footnoteRef/>
      </w:r>
      <w:r>
        <w:t xml:space="preserve">  Department of International Business, Shih </w:t>
      </w:r>
      <w:proofErr w:type="spellStart"/>
      <w:r>
        <w:t>Chien</w:t>
      </w:r>
      <w:proofErr w:type="spellEnd"/>
      <w:r>
        <w:t xml:space="preserve"> University, Taiwan</w:t>
      </w:r>
    </w:p>
  </w:footnote>
  <w:footnote w:id="2">
    <w:p w14:paraId="3A4CD851" w14:textId="672FEA5B" w:rsidR="00CD0D0B" w:rsidRPr="002114AF" w:rsidRDefault="00CD0D0B">
      <w:pPr>
        <w:pStyle w:val="a3"/>
        <w:rPr>
          <w:rFonts w:hint="eastAsia"/>
        </w:rPr>
      </w:pPr>
      <w:r w:rsidRPr="002114AF">
        <w:rPr>
          <w:rStyle w:val="a5"/>
          <w:rFonts w:hint="eastAsia"/>
        </w:rPr>
        <w:t>2</w:t>
      </w:r>
      <w:r>
        <w:t xml:space="preserve">  Department of Risk Management and Insurance, Shih </w:t>
      </w:r>
      <w:proofErr w:type="spellStart"/>
      <w:r>
        <w:t>Chien</w:t>
      </w:r>
      <w:proofErr w:type="spellEnd"/>
      <w:r>
        <w:t xml:space="preserve"> University, Taiwan</w:t>
      </w:r>
    </w:p>
  </w:footnote>
  <w:footnote w:id="3">
    <w:p w14:paraId="0A95DBC7" w14:textId="68822562" w:rsidR="00CD0D0B" w:rsidRPr="00775AB0" w:rsidRDefault="00CD0D0B" w:rsidP="00BF1E98">
      <w:pPr>
        <w:pStyle w:val="a3"/>
        <w:jc w:val="both"/>
      </w:pPr>
      <w:r>
        <w:rPr>
          <w:rStyle w:val="a5"/>
        </w:rPr>
        <w:footnoteRef/>
      </w:r>
      <w:r>
        <w:t xml:space="preserve">  Full details are available from the World Bank Database at: h</w:t>
      </w:r>
      <w:r w:rsidRPr="00BF1E98">
        <w:t>ttp://data.worldbank.org/indicator/</w:t>
      </w:r>
      <w:r>
        <w:t xml:space="preserve"> </w:t>
      </w:r>
      <w:proofErr w:type="gramStart"/>
      <w:r w:rsidRPr="00BF1E98">
        <w:t>FB.AST.NPER.ZS</w:t>
      </w:r>
      <w:proofErr w:type="gramEnd"/>
      <w:r w:rsidRPr="00BF1E98">
        <w:t>?contextual=aggregate&amp;end=2015&amp;start=2007&amp;view=chart</w:t>
      </w:r>
      <w:r>
        <w:t xml:space="preserve">. </w:t>
      </w:r>
    </w:p>
  </w:footnote>
  <w:footnote w:id="4">
    <w:p w14:paraId="21F2108D" w14:textId="26F42618" w:rsidR="00CD0D0B" w:rsidRPr="00F77F75" w:rsidRDefault="00CD0D0B" w:rsidP="00BF1E98">
      <w:pPr>
        <w:pStyle w:val="a3"/>
        <w:jc w:val="both"/>
      </w:pPr>
      <w:r>
        <w:rPr>
          <w:rStyle w:val="a5"/>
        </w:rPr>
        <w:footnoteRef/>
      </w:r>
      <w:r>
        <w:t xml:space="preserve">  These figures are obtained from the BIS Residential Property Price Statistics at: h</w:t>
      </w:r>
      <w:r w:rsidRPr="00BF1E98">
        <w:t>ttp://www.bis.</w:t>
      </w:r>
      <w:r>
        <w:t xml:space="preserve"> </w:t>
      </w:r>
      <w:r w:rsidRPr="00BF1E98">
        <w:t>org/statistics/</w:t>
      </w:r>
      <w:proofErr w:type="spellStart"/>
      <w:r w:rsidRPr="00BF1E98">
        <w:t>pp_detailed.htm?m</w:t>
      </w:r>
      <w:proofErr w:type="spellEnd"/>
      <w:r w:rsidRPr="00BF1E98">
        <w:t>=6%7C288%7C593</w:t>
      </w:r>
    </w:p>
  </w:footnote>
  <w:footnote w:id="5">
    <w:p w14:paraId="7FB27CAD" w14:textId="60DB0802" w:rsidR="00CD0D0B" w:rsidRDefault="00CD0D0B" w:rsidP="00B665F0">
      <w:pPr>
        <w:pStyle w:val="a3"/>
      </w:pPr>
      <w:r>
        <w:rPr>
          <w:rStyle w:val="a5"/>
        </w:rPr>
        <w:footnoteRef/>
      </w:r>
      <w:r>
        <w:t xml:space="preserve">  Examples include </w:t>
      </w:r>
      <w:r w:rsidRPr="00166BD4">
        <w:t>Keaton and Morris</w:t>
      </w:r>
      <w:r>
        <w:t xml:space="preserve"> (</w:t>
      </w:r>
      <w:r w:rsidRPr="00166BD4">
        <w:t>1987</w:t>
      </w:r>
      <w:r>
        <w:t>),</w:t>
      </w:r>
      <w:r w:rsidRPr="00166BD4">
        <w:t xml:space="preserve"> </w:t>
      </w:r>
      <w:proofErr w:type="spellStart"/>
      <w:r w:rsidRPr="00166BD4">
        <w:t>Gambera</w:t>
      </w:r>
      <w:proofErr w:type="spellEnd"/>
      <w:r>
        <w:t xml:space="preserve"> (</w:t>
      </w:r>
      <w:r w:rsidRPr="00166BD4">
        <w:t>2000</w:t>
      </w:r>
      <w:r>
        <w:t>),</w:t>
      </w:r>
      <w:r w:rsidRPr="00D562B1">
        <w:t xml:space="preserve"> </w:t>
      </w:r>
      <w:proofErr w:type="spellStart"/>
      <w:r w:rsidRPr="00D562B1">
        <w:t>Nkusu</w:t>
      </w:r>
      <w:proofErr w:type="spellEnd"/>
      <w:r>
        <w:t xml:space="preserve"> (</w:t>
      </w:r>
      <w:r w:rsidRPr="00D562B1">
        <w:t>2011</w:t>
      </w:r>
      <w:r>
        <w:t>),</w:t>
      </w:r>
      <w:r w:rsidRPr="00D562B1">
        <w:t xml:space="preserve"> </w:t>
      </w:r>
      <w:proofErr w:type="spellStart"/>
      <w:r w:rsidRPr="00FE76F1">
        <w:t>Louzis</w:t>
      </w:r>
      <w:proofErr w:type="spellEnd"/>
      <w:r w:rsidRPr="00FE76F1">
        <w:t xml:space="preserve">, </w:t>
      </w:r>
      <w:proofErr w:type="spellStart"/>
      <w:r w:rsidRPr="00FE76F1">
        <w:t>Vouldis</w:t>
      </w:r>
      <w:proofErr w:type="spellEnd"/>
      <w:r w:rsidRPr="00FE76F1">
        <w:t xml:space="preserve"> and Metaxas</w:t>
      </w:r>
      <w:r w:rsidRPr="00BD74E1">
        <w:rPr>
          <w:color w:val="FF0000"/>
        </w:rPr>
        <w:t xml:space="preserve"> </w:t>
      </w:r>
      <w:r w:rsidRPr="009F4458">
        <w:t>(</w:t>
      </w:r>
      <w:r w:rsidRPr="00D562B1">
        <w:t>2012</w:t>
      </w:r>
      <w:r>
        <w:t>)</w:t>
      </w:r>
      <w:r w:rsidRPr="00D562B1">
        <w:t xml:space="preserve">; </w:t>
      </w:r>
      <w:proofErr w:type="spellStart"/>
      <w:r w:rsidRPr="00D562B1">
        <w:t>Kauko</w:t>
      </w:r>
      <w:proofErr w:type="spellEnd"/>
      <w:r>
        <w:t xml:space="preserve"> (</w:t>
      </w:r>
      <w:r w:rsidRPr="00D562B1">
        <w:t>2012</w:t>
      </w:r>
      <w:r>
        <w:t>),</w:t>
      </w:r>
      <w:r w:rsidRPr="00D562B1">
        <w:t xml:space="preserve"> </w:t>
      </w:r>
      <w:proofErr w:type="spellStart"/>
      <w:r w:rsidRPr="00166BD4">
        <w:t>Škarica</w:t>
      </w:r>
      <w:proofErr w:type="spellEnd"/>
      <w:r>
        <w:t xml:space="preserve"> (</w:t>
      </w:r>
      <w:r w:rsidRPr="00166BD4">
        <w:t>2014</w:t>
      </w:r>
      <w:r>
        <w:t>) and</w:t>
      </w:r>
      <w:r w:rsidRPr="00FE76F1">
        <w:t xml:space="preserve"> </w:t>
      </w:r>
      <w:proofErr w:type="spellStart"/>
      <w:r w:rsidRPr="00FE76F1">
        <w:t>Dimitrios</w:t>
      </w:r>
      <w:proofErr w:type="spellEnd"/>
      <w:r w:rsidRPr="00FE76F1">
        <w:t xml:space="preserve">, </w:t>
      </w:r>
      <w:proofErr w:type="spellStart"/>
      <w:r w:rsidRPr="00FE76F1">
        <w:t>Louri</w:t>
      </w:r>
      <w:proofErr w:type="spellEnd"/>
      <w:r w:rsidRPr="00FE76F1">
        <w:t xml:space="preserve"> and </w:t>
      </w:r>
      <w:proofErr w:type="spellStart"/>
      <w:r w:rsidRPr="00FE76F1">
        <w:t>Tsionas</w:t>
      </w:r>
      <w:proofErr w:type="spellEnd"/>
      <w:r>
        <w:t xml:space="preserve"> (2016</w:t>
      </w:r>
      <w:r w:rsidRPr="00166BD4">
        <w:t>)</w:t>
      </w:r>
      <w:r>
        <w:t>.</w:t>
      </w:r>
    </w:p>
  </w:footnote>
  <w:footnote w:id="6">
    <w:p w14:paraId="2AFCEB78" w14:textId="77777777" w:rsidR="00CD0D0B" w:rsidRDefault="00CD0D0B" w:rsidP="009B3C72">
      <w:pPr>
        <w:pStyle w:val="a3"/>
        <w:jc w:val="both"/>
      </w:pPr>
      <w:r>
        <w:rPr>
          <w:rStyle w:val="a5"/>
        </w:rPr>
        <w:footnoteRef/>
      </w:r>
      <w:r>
        <w:t xml:space="preserve">  See, for example, </w:t>
      </w:r>
      <w:r w:rsidRPr="004801D9">
        <w:t xml:space="preserve">Evans, Leone, Gill and </w:t>
      </w:r>
      <w:proofErr w:type="spellStart"/>
      <w:r w:rsidRPr="004801D9">
        <w:t>Hilbers</w:t>
      </w:r>
      <w:proofErr w:type="spellEnd"/>
      <w:r w:rsidRPr="004801D9">
        <w:t xml:space="preserve"> (2000)</w:t>
      </w:r>
      <w:r>
        <w:t xml:space="preserve">, Reinhart and Rogoff (2008), Davis and Zhu (2011) and </w:t>
      </w:r>
      <w:r w:rsidRPr="004801D9">
        <w:t xml:space="preserve">Moscone, </w:t>
      </w:r>
      <w:proofErr w:type="spellStart"/>
      <w:r w:rsidRPr="004801D9">
        <w:t>Tosetti</w:t>
      </w:r>
      <w:proofErr w:type="spellEnd"/>
      <w:r w:rsidRPr="004801D9">
        <w:t xml:space="preserve"> and </w:t>
      </w:r>
      <w:proofErr w:type="spellStart"/>
      <w:r w:rsidRPr="004801D9">
        <w:t>Canepa</w:t>
      </w:r>
      <w:proofErr w:type="spellEnd"/>
      <w:r w:rsidRPr="004801D9">
        <w:t xml:space="preserve"> </w:t>
      </w:r>
      <w:r>
        <w:t>(</w:t>
      </w:r>
      <w:r w:rsidRPr="00CD5253">
        <w:t>2014</w:t>
      </w:r>
      <w:r>
        <w:t>).</w:t>
      </w:r>
    </w:p>
  </w:footnote>
  <w:footnote w:id="7">
    <w:p w14:paraId="78E89833" w14:textId="04C3B670" w:rsidR="00CD0D0B" w:rsidRDefault="00CD0D0B">
      <w:pPr>
        <w:pStyle w:val="a3"/>
      </w:pPr>
      <w:r>
        <w:rPr>
          <w:rStyle w:val="a5"/>
        </w:rPr>
        <w:footnoteRef/>
      </w:r>
      <w:r>
        <w:t xml:space="preserve">  Examples include </w:t>
      </w:r>
      <w:proofErr w:type="spellStart"/>
      <w:r>
        <w:t>Daglish</w:t>
      </w:r>
      <w:proofErr w:type="spellEnd"/>
      <w:r>
        <w:t xml:space="preserve"> (2009), </w:t>
      </w:r>
      <w:proofErr w:type="spellStart"/>
      <w:r>
        <w:t>Niimimaki</w:t>
      </w:r>
      <w:proofErr w:type="spellEnd"/>
      <w:r>
        <w:t xml:space="preserve"> (2009) and Moscone et al. (2014).</w:t>
      </w:r>
    </w:p>
  </w:footnote>
  <w:footnote w:id="8">
    <w:p w14:paraId="5A55B816" w14:textId="24733A0D" w:rsidR="00CD0D0B" w:rsidRDefault="00CD0D0B" w:rsidP="00F77CBB">
      <w:pPr>
        <w:pStyle w:val="a3"/>
        <w:jc w:val="both"/>
      </w:pPr>
      <w:r>
        <w:rPr>
          <w:rStyle w:val="a5"/>
        </w:rPr>
        <w:footnoteRef/>
      </w:r>
      <w:r>
        <w:t xml:space="preserve">  See, for example, </w:t>
      </w:r>
      <w:r w:rsidRPr="009B019D">
        <w:t>Lindgren, Garcia and Saal</w:t>
      </w:r>
      <w:r>
        <w:t xml:space="preserve"> </w:t>
      </w:r>
      <w:r w:rsidRPr="004801D9">
        <w:t>(1996),</w:t>
      </w:r>
      <w:r w:rsidRPr="009B019D">
        <w:t xml:space="preserve"> Enoch and Green</w:t>
      </w:r>
      <w:r w:rsidRPr="004801D9">
        <w:t xml:space="preserve"> (1997),</w:t>
      </w:r>
      <w:r>
        <w:t xml:space="preserve"> </w:t>
      </w:r>
      <w:r w:rsidRPr="009B019D">
        <w:t>Kaminsky and Reinhart</w:t>
      </w:r>
      <w:r>
        <w:t xml:space="preserve"> </w:t>
      </w:r>
      <w:r w:rsidRPr="004801D9">
        <w:t xml:space="preserve">(1999) </w:t>
      </w:r>
      <w:r>
        <w:t>and</w:t>
      </w:r>
      <w:r w:rsidRPr="009B019D">
        <w:t xml:space="preserve"> </w:t>
      </w:r>
      <w:r>
        <w:t>Evans</w:t>
      </w:r>
      <w:r w:rsidRPr="009B019D">
        <w:t xml:space="preserve"> et al.</w:t>
      </w:r>
      <w:r>
        <w:t xml:space="preserve"> </w:t>
      </w:r>
      <w:r w:rsidRPr="004801D9">
        <w:t>(2000)</w:t>
      </w:r>
      <w:r>
        <w:t>.</w:t>
      </w:r>
    </w:p>
  </w:footnote>
  <w:footnote w:id="9">
    <w:p w14:paraId="463967AE" w14:textId="6079401F" w:rsidR="00CD0D0B" w:rsidRDefault="00CD0D0B" w:rsidP="00AB75D3">
      <w:pPr>
        <w:pStyle w:val="a3"/>
      </w:pPr>
      <w:r>
        <w:rPr>
          <w:rStyle w:val="a5"/>
        </w:rPr>
        <w:footnoteRef/>
      </w:r>
      <w:r>
        <w:t xml:space="preserve">  Full details are available at: </w:t>
      </w:r>
      <w:r w:rsidRPr="005E05DD">
        <w:t>http://pip.moi.gov.tw/V2/E/SCRE0201.aspx</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703"/>
    <w:multiLevelType w:val="multilevel"/>
    <w:tmpl w:val="A240101A"/>
    <w:lvl w:ilvl="0">
      <w:start w:val="1"/>
      <w:numFmt w:val="decimal"/>
      <w:lvlText w:val="%1."/>
      <w:lvlJc w:val="left"/>
      <w:pPr>
        <w:ind w:left="360" w:hanging="360"/>
      </w:pPr>
      <w:rPr>
        <w:rFonts w:hint="eastAsia"/>
        <w:b w:val="0"/>
        <w:i w:val="0"/>
      </w:rPr>
    </w:lvl>
    <w:lvl w:ilvl="1">
      <w:start w:val="1"/>
      <w:numFmt w:val="decimal"/>
      <w:lvlRestart w:val="0"/>
      <w:isLgl/>
      <w:suff w:val="space"/>
      <w:lvlText w:val="%1.%2."/>
      <w:lvlJc w:val="left"/>
      <w:pPr>
        <w:ind w:left="720" w:hanging="72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 w15:restartNumberingAfterBreak="0">
    <w:nsid w:val="1E96208D"/>
    <w:multiLevelType w:val="multilevel"/>
    <w:tmpl w:val="B43E541C"/>
    <w:lvl w:ilvl="0">
      <w:start w:val="4"/>
      <w:numFmt w:val="upperRoman"/>
      <w:suff w:val="space"/>
      <w:lvlText w:val="%1."/>
      <w:lvlJc w:val="left"/>
      <w:pPr>
        <w:ind w:left="360" w:hanging="360"/>
      </w:pPr>
      <w:rPr>
        <w:rFonts w:hint="eastAsia"/>
      </w:rPr>
    </w:lvl>
    <w:lvl w:ilvl="1">
      <w:start w:val="1"/>
      <w:numFmt w:val="decimal"/>
      <w:lvlRestart w:val="0"/>
      <w:isLgl/>
      <w:suff w:val="space"/>
      <w:lvlText w:val="%1.%2."/>
      <w:lvlJc w:val="left"/>
      <w:pPr>
        <w:ind w:left="720" w:hanging="72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 w15:restartNumberingAfterBreak="0">
    <w:nsid w:val="5E5E7DD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60E152C3"/>
    <w:multiLevelType w:val="hybridMultilevel"/>
    <w:tmpl w:val="B5FE61FA"/>
    <w:lvl w:ilvl="0" w:tplc="5486F01A">
      <w:start w:val="1"/>
      <w:numFmt w:val="decimal"/>
      <w:lvlText w:val="H%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4E4385"/>
    <w:multiLevelType w:val="hybridMultilevel"/>
    <w:tmpl w:val="B8BA6614"/>
    <w:lvl w:ilvl="0" w:tplc="04090013">
      <w:start w:val="1"/>
      <w:numFmt w:val="upperRoman"/>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isplayHorizontalDrawingGridEvery w:val="0"/>
  <w:displayVerticalDrawingGridEvery w:val="2"/>
  <w:characterSpacingControl w:val="compressPunctuation"/>
  <w:savePreviewPicture/>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56"/>
    <w:rsid w:val="000106B6"/>
    <w:rsid w:val="00011DAF"/>
    <w:rsid w:val="00017670"/>
    <w:rsid w:val="00021451"/>
    <w:rsid w:val="000228F7"/>
    <w:rsid w:val="00022A33"/>
    <w:rsid w:val="00025775"/>
    <w:rsid w:val="000313DF"/>
    <w:rsid w:val="0003394F"/>
    <w:rsid w:val="00037300"/>
    <w:rsid w:val="00043C02"/>
    <w:rsid w:val="000455EF"/>
    <w:rsid w:val="0004657A"/>
    <w:rsid w:val="0004772E"/>
    <w:rsid w:val="000507FD"/>
    <w:rsid w:val="000517E2"/>
    <w:rsid w:val="0005434A"/>
    <w:rsid w:val="00061230"/>
    <w:rsid w:val="000612AB"/>
    <w:rsid w:val="00062BF0"/>
    <w:rsid w:val="00066AE6"/>
    <w:rsid w:val="00066D4B"/>
    <w:rsid w:val="00084009"/>
    <w:rsid w:val="00084A6F"/>
    <w:rsid w:val="00086B36"/>
    <w:rsid w:val="00090217"/>
    <w:rsid w:val="000926AB"/>
    <w:rsid w:val="000935D1"/>
    <w:rsid w:val="000A2AB1"/>
    <w:rsid w:val="000A55D3"/>
    <w:rsid w:val="000A5756"/>
    <w:rsid w:val="000A6A93"/>
    <w:rsid w:val="000A6C53"/>
    <w:rsid w:val="000B03EC"/>
    <w:rsid w:val="000B244D"/>
    <w:rsid w:val="000C490D"/>
    <w:rsid w:val="000C691D"/>
    <w:rsid w:val="000C6ED0"/>
    <w:rsid w:val="000D4B1B"/>
    <w:rsid w:val="000D53DF"/>
    <w:rsid w:val="000D5F73"/>
    <w:rsid w:val="000D6086"/>
    <w:rsid w:val="000D6964"/>
    <w:rsid w:val="000D6D62"/>
    <w:rsid w:val="000D7CAE"/>
    <w:rsid w:val="000E087A"/>
    <w:rsid w:val="000E2D89"/>
    <w:rsid w:val="000E5996"/>
    <w:rsid w:val="000E7038"/>
    <w:rsid w:val="000F5D2D"/>
    <w:rsid w:val="00102F20"/>
    <w:rsid w:val="0010562E"/>
    <w:rsid w:val="001108DF"/>
    <w:rsid w:val="00113B35"/>
    <w:rsid w:val="001156CC"/>
    <w:rsid w:val="0012233A"/>
    <w:rsid w:val="001235FD"/>
    <w:rsid w:val="00131C73"/>
    <w:rsid w:val="00132282"/>
    <w:rsid w:val="00140FEA"/>
    <w:rsid w:val="00145CFD"/>
    <w:rsid w:val="001512A6"/>
    <w:rsid w:val="00151DF6"/>
    <w:rsid w:val="00151F29"/>
    <w:rsid w:val="00155545"/>
    <w:rsid w:val="00162E00"/>
    <w:rsid w:val="001631C2"/>
    <w:rsid w:val="0016373F"/>
    <w:rsid w:val="001659F7"/>
    <w:rsid w:val="00165C39"/>
    <w:rsid w:val="00167A54"/>
    <w:rsid w:val="00167D1B"/>
    <w:rsid w:val="00173CC8"/>
    <w:rsid w:val="001747DE"/>
    <w:rsid w:val="0018187C"/>
    <w:rsid w:val="0018684E"/>
    <w:rsid w:val="00186C08"/>
    <w:rsid w:val="00190A80"/>
    <w:rsid w:val="00190EE4"/>
    <w:rsid w:val="0019211D"/>
    <w:rsid w:val="00193FB6"/>
    <w:rsid w:val="00195781"/>
    <w:rsid w:val="001A0971"/>
    <w:rsid w:val="001A7818"/>
    <w:rsid w:val="001A797E"/>
    <w:rsid w:val="001B166E"/>
    <w:rsid w:val="001C3F06"/>
    <w:rsid w:val="001C47E5"/>
    <w:rsid w:val="001D0760"/>
    <w:rsid w:val="001D3280"/>
    <w:rsid w:val="001D494E"/>
    <w:rsid w:val="001D73A2"/>
    <w:rsid w:val="001E231E"/>
    <w:rsid w:val="001E2AAE"/>
    <w:rsid w:val="001E4D39"/>
    <w:rsid w:val="001E75A2"/>
    <w:rsid w:val="001F3885"/>
    <w:rsid w:val="001F5D03"/>
    <w:rsid w:val="0020206E"/>
    <w:rsid w:val="002054A3"/>
    <w:rsid w:val="0021122E"/>
    <w:rsid w:val="002114AF"/>
    <w:rsid w:val="00212044"/>
    <w:rsid w:val="0021451C"/>
    <w:rsid w:val="00217956"/>
    <w:rsid w:val="00221376"/>
    <w:rsid w:val="00223E72"/>
    <w:rsid w:val="00224B1F"/>
    <w:rsid w:val="00225EFC"/>
    <w:rsid w:val="00226DBA"/>
    <w:rsid w:val="0023468F"/>
    <w:rsid w:val="00234FF6"/>
    <w:rsid w:val="002359CD"/>
    <w:rsid w:val="0023653F"/>
    <w:rsid w:val="002365D5"/>
    <w:rsid w:val="00237E04"/>
    <w:rsid w:val="002409E9"/>
    <w:rsid w:val="00243137"/>
    <w:rsid w:val="0024624D"/>
    <w:rsid w:val="00250D7D"/>
    <w:rsid w:val="00251010"/>
    <w:rsid w:val="00252761"/>
    <w:rsid w:val="0025659B"/>
    <w:rsid w:val="002602AA"/>
    <w:rsid w:val="00260AB0"/>
    <w:rsid w:val="002618EA"/>
    <w:rsid w:val="002743A3"/>
    <w:rsid w:val="002809E9"/>
    <w:rsid w:val="00282528"/>
    <w:rsid w:val="00283EE7"/>
    <w:rsid w:val="00285954"/>
    <w:rsid w:val="00285BC5"/>
    <w:rsid w:val="00290179"/>
    <w:rsid w:val="002944FE"/>
    <w:rsid w:val="002A007D"/>
    <w:rsid w:val="002A11D2"/>
    <w:rsid w:val="002A21CC"/>
    <w:rsid w:val="002B2029"/>
    <w:rsid w:val="002B35A3"/>
    <w:rsid w:val="002B4115"/>
    <w:rsid w:val="002B6128"/>
    <w:rsid w:val="002B6D0E"/>
    <w:rsid w:val="002C2A63"/>
    <w:rsid w:val="002C2D02"/>
    <w:rsid w:val="002C514F"/>
    <w:rsid w:val="002C5823"/>
    <w:rsid w:val="002E5108"/>
    <w:rsid w:val="002E723E"/>
    <w:rsid w:val="002F18BD"/>
    <w:rsid w:val="002F4465"/>
    <w:rsid w:val="00300E11"/>
    <w:rsid w:val="00305457"/>
    <w:rsid w:val="00311A9B"/>
    <w:rsid w:val="0031354D"/>
    <w:rsid w:val="00322439"/>
    <w:rsid w:val="00322F9B"/>
    <w:rsid w:val="003237E7"/>
    <w:rsid w:val="00323892"/>
    <w:rsid w:val="00323D4B"/>
    <w:rsid w:val="00330E2A"/>
    <w:rsid w:val="00331284"/>
    <w:rsid w:val="0033367F"/>
    <w:rsid w:val="0034137E"/>
    <w:rsid w:val="003419F2"/>
    <w:rsid w:val="00343E01"/>
    <w:rsid w:val="003446E6"/>
    <w:rsid w:val="003457B9"/>
    <w:rsid w:val="00347FC9"/>
    <w:rsid w:val="00350872"/>
    <w:rsid w:val="003532E5"/>
    <w:rsid w:val="003550FC"/>
    <w:rsid w:val="00360E1A"/>
    <w:rsid w:val="0036334C"/>
    <w:rsid w:val="00364761"/>
    <w:rsid w:val="003707FF"/>
    <w:rsid w:val="00373256"/>
    <w:rsid w:val="00373FF7"/>
    <w:rsid w:val="00377E1F"/>
    <w:rsid w:val="00381945"/>
    <w:rsid w:val="003846C5"/>
    <w:rsid w:val="0039496A"/>
    <w:rsid w:val="003977F2"/>
    <w:rsid w:val="003A31A5"/>
    <w:rsid w:val="003A4939"/>
    <w:rsid w:val="003A524E"/>
    <w:rsid w:val="003B1C0D"/>
    <w:rsid w:val="003B36CA"/>
    <w:rsid w:val="003C1C24"/>
    <w:rsid w:val="003C4C6D"/>
    <w:rsid w:val="003C5FF3"/>
    <w:rsid w:val="003D0AD0"/>
    <w:rsid w:val="003D34B1"/>
    <w:rsid w:val="003E0396"/>
    <w:rsid w:val="003E5D0B"/>
    <w:rsid w:val="003F226D"/>
    <w:rsid w:val="003F71A8"/>
    <w:rsid w:val="00401445"/>
    <w:rsid w:val="00405B45"/>
    <w:rsid w:val="00406579"/>
    <w:rsid w:val="004147D6"/>
    <w:rsid w:val="00417B3F"/>
    <w:rsid w:val="004214A3"/>
    <w:rsid w:val="00424298"/>
    <w:rsid w:val="00424D31"/>
    <w:rsid w:val="00425B9D"/>
    <w:rsid w:val="00426207"/>
    <w:rsid w:val="004309CF"/>
    <w:rsid w:val="004334C9"/>
    <w:rsid w:val="00433A08"/>
    <w:rsid w:val="004362B2"/>
    <w:rsid w:val="004425A3"/>
    <w:rsid w:val="00443129"/>
    <w:rsid w:val="00452C55"/>
    <w:rsid w:val="00452EB9"/>
    <w:rsid w:val="004545F5"/>
    <w:rsid w:val="00454F7C"/>
    <w:rsid w:val="00457E44"/>
    <w:rsid w:val="00460BA8"/>
    <w:rsid w:val="00462CF3"/>
    <w:rsid w:val="00464B25"/>
    <w:rsid w:val="00466BAD"/>
    <w:rsid w:val="00470087"/>
    <w:rsid w:val="004718B6"/>
    <w:rsid w:val="004725FA"/>
    <w:rsid w:val="004746BC"/>
    <w:rsid w:val="0047600A"/>
    <w:rsid w:val="004801D9"/>
    <w:rsid w:val="00490184"/>
    <w:rsid w:val="00491E7E"/>
    <w:rsid w:val="0049387D"/>
    <w:rsid w:val="004A0D8E"/>
    <w:rsid w:val="004A33C5"/>
    <w:rsid w:val="004A5EB0"/>
    <w:rsid w:val="004B1059"/>
    <w:rsid w:val="004B3AB5"/>
    <w:rsid w:val="004B70BA"/>
    <w:rsid w:val="004C291F"/>
    <w:rsid w:val="004C4CC1"/>
    <w:rsid w:val="004C53A4"/>
    <w:rsid w:val="004C6B26"/>
    <w:rsid w:val="004D796D"/>
    <w:rsid w:val="004E1560"/>
    <w:rsid w:val="004E48C9"/>
    <w:rsid w:val="004F560D"/>
    <w:rsid w:val="00505E3E"/>
    <w:rsid w:val="005172FA"/>
    <w:rsid w:val="00520D88"/>
    <w:rsid w:val="005246A7"/>
    <w:rsid w:val="00537421"/>
    <w:rsid w:val="00542F19"/>
    <w:rsid w:val="00550FD0"/>
    <w:rsid w:val="00561369"/>
    <w:rsid w:val="00561E29"/>
    <w:rsid w:val="0057360C"/>
    <w:rsid w:val="005763D0"/>
    <w:rsid w:val="00591C45"/>
    <w:rsid w:val="005A3D5F"/>
    <w:rsid w:val="005A40A4"/>
    <w:rsid w:val="005A4723"/>
    <w:rsid w:val="005A64B1"/>
    <w:rsid w:val="005A7D89"/>
    <w:rsid w:val="005B11AD"/>
    <w:rsid w:val="005B2F7F"/>
    <w:rsid w:val="005C03C8"/>
    <w:rsid w:val="005C0FC7"/>
    <w:rsid w:val="005C16DA"/>
    <w:rsid w:val="005D1CFE"/>
    <w:rsid w:val="005D3299"/>
    <w:rsid w:val="005D3788"/>
    <w:rsid w:val="005E00A9"/>
    <w:rsid w:val="005E257E"/>
    <w:rsid w:val="005E337B"/>
    <w:rsid w:val="005E3588"/>
    <w:rsid w:val="005E41A9"/>
    <w:rsid w:val="005E785E"/>
    <w:rsid w:val="005F2BDB"/>
    <w:rsid w:val="005F44F4"/>
    <w:rsid w:val="005F7E62"/>
    <w:rsid w:val="00613560"/>
    <w:rsid w:val="00614828"/>
    <w:rsid w:val="006223BF"/>
    <w:rsid w:val="006236D9"/>
    <w:rsid w:val="00623C18"/>
    <w:rsid w:val="006243F5"/>
    <w:rsid w:val="0063405C"/>
    <w:rsid w:val="0063547B"/>
    <w:rsid w:val="0063794A"/>
    <w:rsid w:val="006443CB"/>
    <w:rsid w:val="00652915"/>
    <w:rsid w:val="00653C68"/>
    <w:rsid w:val="00654CAB"/>
    <w:rsid w:val="00655498"/>
    <w:rsid w:val="0065571D"/>
    <w:rsid w:val="00655B75"/>
    <w:rsid w:val="0066592D"/>
    <w:rsid w:val="00666B8E"/>
    <w:rsid w:val="00671817"/>
    <w:rsid w:val="006725BF"/>
    <w:rsid w:val="00680E2A"/>
    <w:rsid w:val="006832B0"/>
    <w:rsid w:val="00684669"/>
    <w:rsid w:val="00686347"/>
    <w:rsid w:val="0068781A"/>
    <w:rsid w:val="00691C47"/>
    <w:rsid w:val="006945FF"/>
    <w:rsid w:val="00696739"/>
    <w:rsid w:val="00696802"/>
    <w:rsid w:val="006A040C"/>
    <w:rsid w:val="006A0CA8"/>
    <w:rsid w:val="006A762B"/>
    <w:rsid w:val="006B34F8"/>
    <w:rsid w:val="006B483F"/>
    <w:rsid w:val="006B705C"/>
    <w:rsid w:val="006C0316"/>
    <w:rsid w:val="006C4928"/>
    <w:rsid w:val="006C5B01"/>
    <w:rsid w:val="006C7252"/>
    <w:rsid w:val="006D14EB"/>
    <w:rsid w:val="006D3103"/>
    <w:rsid w:val="006D409A"/>
    <w:rsid w:val="006D40F4"/>
    <w:rsid w:val="006E1281"/>
    <w:rsid w:val="006E1627"/>
    <w:rsid w:val="006E35F3"/>
    <w:rsid w:val="006E36B1"/>
    <w:rsid w:val="006E4901"/>
    <w:rsid w:val="006E4E43"/>
    <w:rsid w:val="006E6BC4"/>
    <w:rsid w:val="006F462E"/>
    <w:rsid w:val="006F674C"/>
    <w:rsid w:val="006F6D99"/>
    <w:rsid w:val="00701364"/>
    <w:rsid w:val="00701548"/>
    <w:rsid w:val="007023A4"/>
    <w:rsid w:val="007029B1"/>
    <w:rsid w:val="00703DA8"/>
    <w:rsid w:val="00707BB9"/>
    <w:rsid w:val="0071010D"/>
    <w:rsid w:val="00713B0D"/>
    <w:rsid w:val="00716B27"/>
    <w:rsid w:val="007232ED"/>
    <w:rsid w:val="007241B5"/>
    <w:rsid w:val="00724BDA"/>
    <w:rsid w:val="00725D0A"/>
    <w:rsid w:val="007268CD"/>
    <w:rsid w:val="00733966"/>
    <w:rsid w:val="00735F98"/>
    <w:rsid w:val="007363A0"/>
    <w:rsid w:val="00742D22"/>
    <w:rsid w:val="00750AC0"/>
    <w:rsid w:val="0075757E"/>
    <w:rsid w:val="00763F0F"/>
    <w:rsid w:val="0076770F"/>
    <w:rsid w:val="00767A33"/>
    <w:rsid w:val="00771819"/>
    <w:rsid w:val="00773561"/>
    <w:rsid w:val="00774C72"/>
    <w:rsid w:val="0078319F"/>
    <w:rsid w:val="00790DC8"/>
    <w:rsid w:val="00791070"/>
    <w:rsid w:val="00792DE9"/>
    <w:rsid w:val="00796074"/>
    <w:rsid w:val="007976A6"/>
    <w:rsid w:val="007A234A"/>
    <w:rsid w:val="007A6016"/>
    <w:rsid w:val="007A6472"/>
    <w:rsid w:val="007A6C2C"/>
    <w:rsid w:val="007B1CDD"/>
    <w:rsid w:val="007B2A2A"/>
    <w:rsid w:val="007B3180"/>
    <w:rsid w:val="007B5394"/>
    <w:rsid w:val="007B7F62"/>
    <w:rsid w:val="007C026D"/>
    <w:rsid w:val="007C5C69"/>
    <w:rsid w:val="007D0219"/>
    <w:rsid w:val="007D18FB"/>
    <w:rsid w:val="007D35F1"/>
    <w:rsid w:val="007D424A"/>
    <w:rsid w:val="007D4DA0"/>
    <w:rsid w:val="007D560A"/>
    <w:rsid w:val="007D6C1A"/>
    <w:rsid w:val="007E6FDB"/>
    <w:rsid w:val="007E79C6"/>
    <w:rsid w:val="007F48E6"/>
    <w:rsid w:val="007F50BC"/>
    <w:rsid w:val="007F7180"/>
    <w:rsid w:val="0080244D"/>
    <w:rsid w:val="008037C8"/>
    <w:rsid w:val="00804630"/>
    <w:rsid w:val="0080479D"/>
    <w:rsid w:val="00805E7C"/>
    <w:rsid w:val="0081480C"/>
    <w:rsid w:val="00816831"/>
    <w:rsid w:val="00821D18"/>
    <w:rsid w:val="00823057"/>
    <w:rsid w:val="008249A8"/>
    <w:rsid w:val="00825BFD"/>
    <w:rsid w:val="00826D3B"/>
    <w:rsid w:val="008322E8"/>
    <w:rsid w:val="008345C5"/>
    <w:rsid w:val="00835725"/>
    <w:rsid w:val="008371E8"/>
    <w:rsid w:val="0085294A"/>
    <w:rsid w:val="00855066"/>
    <w:rsid w:val="00856FC6"/>
    <w:rsid w:val="0086068E"/>
    <w:rsid w:val="008650AA"/>
    <w:rsid w:val="0086520C"/>
    <w:rsid w:val="008652F5"/>
    <w:rsid w:val="00867B87"/>
    <w:rsid w:val="008711E4"/>
    <w:rsid w:val="00876552"/>
    <w:rsid w:val="008767F6"/>
    <w:rsid w:val="00877E08"/>
    <w:rsid w:val="00881E0C"/>
    <w:rsid w:val="0088279A"/>
    <w:rsid w:val="00883BAC"/>
    <w:rsid w:val="00884381"/>
    <w:rsid w:val="00884D4B"/>
    <w:rsid w:val="00887695"/>
    <w:rsid w:val="00894799"/>
    <w:rsid w:val="008A6679"/>
    <w:rsid w:val="008A70C0"/>
    <w:rsid w:val="008A76BA"/>
    <w:rsid w:val="008A7FBE"/>
    <w:rsid w:val="008B5431"/>
    <w:rsid w:val="008B7F6F"/>
    <w:rsid w:val="008C24ED"/>
    <w:rsid w:val="008C7398"/>
    <w:rsid w:val="008D0D2F"/>
    <w:rsid w:val="008D0F62"/>
    <w:rsid w:val="008D0FF6"/>
    <w:rsid w:val="008D24B2"/>
    <w:rsid w:val="008D27DB"/>
    <w:rsid w:val="008D361E"/>
    <w:rsid w:val="008E062F"/>
    <w:rsid w:val="008E2D9F"/>
    <w:rsid w:val="008E2EC7"/>
    <w:rsid w:val="008E586F"/>
    <w:rsid w:val="008F0F34"/>
    <w:rsid w:val="008F6342"/>
    <w:rsid w:val="008F747B"/>
    <w:rsid w:val="00903365"/>
    <w:rsid w:val="00911C00"/>
    <w:rsid w:val="009142AB"/>
    <w:rsid w:val="00917A84"/>
    <w:rsid w:val="00921231"/>
    <w:rsid w:val="0092322A"/>
    <w:rsid w:val="00924264"/>
    <w:rsid w:val="00924727"/>
    <w:rsid w:val="009268F4"/>
    <w:rsid w:val="00927038"/>
    <w:rsid w:val="00931661"/>
    <w:rsid w:val="00934514"/>
    <w:rsid w:val="00936046"/>
    <w:rsid w:val="00941869"/>
    <w:rsid w:val="0094453A"/>
    <w:rsid w:val="00946B30"/>
    <w:rsid w:val="009476DF"/>
    <w:rsid w:val="0095070C"/>
    <w:rsid w:val="00950F36"/>
    <w:rsid w:val="00953045"/>
    <w:rsid w:val="00957EDF"/>
    <w:rsid w:val="00961F1D"/>
    <w:rsid w:val="009640E6"/>
    <w:rsid w:val="00966BEC"/>
    <w:rsid w:val="009713AE"/>
    <w:rsid w:val="0097196A"/>
    <w:rsid w:val="00980A2E"/>
    <w:rsid w:val="009853CB"/>
    <w:rsid w:val="00987139"/>
    <w:rsid w:val="0099665D"/>
    <w:rsid w:val="00997A41"/>
    <w:rsid w:val="009A13D0"/>
    <w:rsid w:val="009A1638"/>
    <w:rsid w:val="009A1EC9"/>
    <w:rsid w:val="009B0B2F"/>
    <w:rsid w:val="009B0BD6"/>
    <w:rsid w:val="009B3C72"/>
    <w:rsid w:val="009B5568"/>
    <w:rsid w:val="009B55D0"/>
    <w:rsid w:val="009B62FD"/>
    <w:rsid w:val="009B70E2"/>
    <w:rsid w:val="009B7156"/>
    <w:rsid w:val="009C00CF"/>
    <w:rsid w:val="009C3E05"/>
    <w:rsid w:val="009C6C2D"/>
    <w:rsid w:val="009C7D4C"/>
    <w:rsid w:val="009D3BE0"/>
    <w:rsid w:val="009E112A"/>
    <w:rsid w:val="009E1BC4"/>
    <w:rsid w:val="009E4808"/>
    <w:rsid w:val="009E4875"/>
    <w:rsid w:val="009E50B9"/>
    <w:rsid w:val="009E573A"/>
    <w:rsid w:val="009F4458"/>
    <w:rsid w:val="00A012EC"/>
    <w:rsid w:val="00A017CF"/>
    <w:rsid w:val="00A0221D"/>
    <w:rsid w:val="00A04C93"/>
    <w:rsid w:val="00A11A60"/>
    <w:rsid w:val="00A176C0"/>
    <w:rsid w:val="00A20008"/>
    <w:rsid w:val="00A233E8"/>
    <w:rsid w:val="00A25367"/>
    <w:rsid w:val="00A31CC2"/>
    <w:rsid w:val="00A337D5"/>
    <w:rsid w:val="00A44F8B"/>
    <w:rsid w:val="00A51DD3"/>
    <w:rsid w:val="00A52F17"/>
    <w:rsid w:val="00A54728"/>
    <w:rsid w:val="00A55054"/>
    <w:rsid w:val="00A550A5"/>
    <w:rsid w:val="00A5514C"/>
    <w:rsid w:val="00A640F7"/>
    <w:rsid w:val="00A64EBE"/>
    <w:rsid w:val="00A66641"/>
    <w:rsid w:val="00A676A4"/>
    <w:rsid w:val="00A7097A"/>
    <w:rsid w:val="00A73CE9"/>
    <w:rsid w:val="00A74810"/>
    <w:rsid w:val="00A75EFF"/>
    <w:rsid w:val="00A75F6E"/>
    <w:rsid w:val="00A8018B"/>
    <w:rsid w:val="00A8038E"/>
    <w:rsid w:val="00A84478"/>
    <w:rsid w:val="00A861E9"/>
    <w:rsid w:val="00A87FEA"/>
    <w:rsid w:val="00A96522"/>
    <w:rsid w:val="00AA147F"/>
    <w:rsid w:val="00AB05EE"/>
    <w:rsid w:val="00AB22D3"/>
    <w:rsid w:val="00AB3012"/>
    <w:rsid w:val="00AB62B5"/>
    <w:rsid w:val="00AB71A0"/>
    <w:rsid w:val="00AB7222"/>
    <w:rsid w:val="00AB72F7"/>
    <w:rsid w:val="00AB75D3"/>
    <w:rsid w:val="00AB768A"/>
    <w:rsid w:val="00AC49F7"/>
    <w:rsid w:val="00AC4B96"/>
    <w:rsid w:val="00AC6A57"/>
    <w:rsid w:val="00AC7170"/>
    <w:rsid w:val="00AD5B67"/>
    <w:rsid w:val="00AF1367"/>
    <w:rsid w:val="00AF3866"/>
    <w:rsid w:val="00AF483B"/>
    <w:rsid w:val="00B0125C"/>
    <w:rsid w:val="00B0381A"/>
    <w:rsid w:val="00B07CEB"/>
    <w:rsid w:val="00B07DA1"/>
    <w:rsid w:val="00B105C8"/>
    <w:rsid w:val="00B11611"/>
    <w:rsid w:val="00B1210A"/>
    <w:rsid w:val="00B12D49"/>
    <w:rsid w:val="00B13317"/>
    <w:rsid w:val="00B14C45"/>
    <w:rsid w:val="00B1579E"/>
    <w:rsid w:val="00B15C0A"/>
    <w:rsid w:val="00B17139"/>
    <w:rsid w:val="00B26317"/>
    <w:rsid w:val="00B405C1"/>
    <w:rsid w:val="00B4783E"/>
    <w:rsid w:val="00B5149A"/>
    <w:rsid w:val="00B525F8"/>
    <w:rsid w:val="00B574DA"/>
    <w:rsid w:val="00B57F12"/>
    <w:rsid w:val="00B60D54"/>
    <w:rsid w:val="00B61217"/>
    <w:rsid w:val="00B62899"/>
    <w:rsid w:val="00B63279"/>
    <w:rsid w:val="00B64D8D"/>
    <w:rsid w:val="00B66166"/>
    <w:rsid w:val="00B665F0"/>
    <w:rsid w:val="00B708A4"/>
    <w:rsid w:val="00B748CD"/>
    <w:rsid w:val="00B756B4"/>
    <w:rsid w:val="00B757D9"/>
    <w:rsid w:val="00B769AB"/>
    <w:rsid w:val="00B81616"/>
    <w:rsid w:val="00B86D36"/>
    <w:rsid w:val="00B951A3"/>
    <w:rsid w:val="00B97854"/>
    <w:rsid w:val="00BA3277"/>
    <w:rsid w:val="00BA60B7"/>
    <w:rsid w:val="00BA77A7"/>
    <w:rsid w:val="00BB052E"/>
    <w:rsid w:val="00BB0667"/>
    <w:rsid w:val="00BC36A1"/>
    <w:rsid w:val="00BC50B1"/>
    <w:rsid w:val="00BD19A2"/>
    <w:rsid w:val="00BD3F58"/>
    <w:rsid w:val="00BD74E1"/>
    <w:rsid w:val="00BE3E5C"/>
    <w:rsid w:val="00BE7B7C"/>
    <w:rsid w:val="00BF16D0"/>
    <w:rsid w:val="00BF1E98"/>
    <w:rsid w:val="00BF6A44"/>
    <w:rsid w:val="00C014AF"/>
    <w:rsid w:val="00C02534"/>
    <w:rsid w:val="00C05948"/>
    <w:rsid w:val="00C05CFE"/>
    <w:rsid w:val="00C12A54"/>
    <w:rsid w:val="00C14ABB"/>
    <w:rsid w:val="00C17C68"/>
    <w:rsid w:val="00C2062C"/>
    <w:rsid w:val="00C30E34"/>
    <w:rsid w:val="00C32259"/>
    <w:rsid w:val="00C4463E"/>
    <w:rsid w:val="00C44828"/>
    <w:rsid w:val="00C45050"/>
    <w:rsid w:val="00C51751"/>
    <w:rsid w:val="00C519D4"/>
    <w:rsid w:val="00C6034D"/>
    <w:rsid w:val="00C617E2"/>
    <w:rsid w:val="00C6590A"/>
    <w:rsid w:val="00C72B71"/>
    <w:rsid w:val="00C73616"/>
    <w:rsid w:val="00C73990"/>
    <w:rsid w:val="00C75D78"/>
    <w:rsid w:val="00C766CE"/>
    <w:rsid w:val="00C80C6C"/>
    <w:rsid w:val="00C80DFC"/>
    <w:rsid w:val="00C8357D"/>
    <w:rsid w:val="00C903A1"/>
    <w:rsid w:val="00C91366"/>
    <w:rsid w:val="00C919F0"/>
    <w:rsid w:val="00C94D47"/>
    <w:rsid w:val="00C9507E"/>
    <w:rsid w:val="00C958E3"/>
    <w:rsid w:val="00C9599F"/>
    <w:rsid w:val="00CA3567"/>
    <w:rsid w:val="00CA4C29"/>
    <w:rsid w:val="00CA68EA"/>
    <w:rsid w:val="00CB4FE1"/>
    <w:rsid w:val="00CB7F1A"/>
    <w:rsid w:val="00CD0A27"/>
    <w:rsid w:val="00CD0D0B"/>
    <w:rsid w:val="00CD0E2D"/>
    <w:rsid w:val="00CD7CA6"/>
    <w:rsid w:val="00CD7E89"/>
    <w:rsid w:val="00CE3FF5"/>
    <w:rsid w:val="00CE4ED9"/>
    <w:rsid w:val="00CE542B"/>
    <w:rsid w:val="00CE6B3C"/>
    <w:rsid w:val="00CE75FB"/>
    <w:rsid w:val="00CF07B7"/>
    <w:rsid w:val="00CF24CA"/>
    <w:rsid w:val="00CF270F"/>
    <w:rsid w:val="00CF3C39"/>
    <w:rsid w:val="00CF5447"/>
    <w:rsid w:val="00CF5BB6"/>
    <w:rsid w:val="00D03C70"/>
    <w:rsid w:val="00D07716"/>
    <w:rsid w:val="00D11A9F"/>
    <w:rsid w:val="00D124E8"/>
    <w:rsid w:val="00D15221"/>
    <w:rsid w:val="00D15553"/>
    <w:rsid w:val="00D203EF"/>
    <w:rsid w:val="00D23779"/>
    <w:rsid w:val="00D23E81"/>
    <w:rsid w:val="00D240E7"/>
    <w:rsid w:val="00D318CF"/>
    <w:rsid w:val="00D3797C"/>
    <w:rsid w:val="00D41AD2"/>
    <w:rsid w:val="00D5517D"/>
    <w:rsid w:val="00D559A3"/>
    <w:rsid w:val="00D564B6"/>
    <w:rsid w:val="00D610AA"/>
    <w:rsid w:val="00D645B1"/>
    <w:rsid w:val="00D70B2D"/>
    <w:rsid w:val="00D725B4"/>
    <w:rsid w:val="00D733FB"/>
    <w:rsid w:val="00D76787"/>
    <w:rsid w:val="00D76C9E"/>
    <w:rsid w:val="00D823DB"/>
    <w:rsid w:val="00D82672"/>
    <w:rsid w:val="00D86D27"/>
    <w:rsid w:val="00D872B3"/>
    <w:rsid w:val="00D91EBC"/>
    <w:rsid w:val="00D9274D"/>
    <w:rsid w:val="00D9579A"/>
    <w:rsid w:val="00D95994"/>
    <w:rsid w:val="00D972D1"/>
    <w:rsid w:val="00DA3540"/>
    <w:rsid w:val="00DA6081"/>
    <w:rsid w:val="00DB070C"/>
    <w:rsid w:val="00DB2DF3"/>
    <w:rsid w:val="00DB4648"/>
    <w:rsid w:val="00DB5C7A"/>
    <w:rsid w:val="00DB71D0"/>
    <w:rsid w:val="00DC2F33"/>
    <w:rsid w:val="00DD1933"/>
    <w:rsid w:val="00DD6790"/>
    <w:rsid w:val="00DD7DA7"/>
    <w:rsid w:val="00DE3098"/>
    <w:rsid w:val="00DF04E0"/>
    <w:rsid w:val="00DF0765"/>
    <w:rsid w:val="00DF0CCB"/>
    <w:rsid w:val="00DF369E"/>
    <w:rsid w:val="00DF6656"/>
    <w:rsid w:val="00DF74FE"/>
    <w:rsid w:val="00DF7636"/>
    <w:rsid w:val="00E000A0"/>
    <w:rsid w:val="00E02DA7"/>
    <w:rsid w:val="00E13089"/>
    <w:rsid w:val="00E13204"/>
    <w:rsid w:val="00E16F96"/>
    <w:rsid w:val="00E1751E"/>
    <w:rsid w:val="00E17FA7"/>
    <w:rsid w:val="00E22750"/>
    <w:rsid w:val="00E27E5D"/>
    <w:rsid w:val="00E34753"/>
    <w:rsid w:val="00E42406"/>
    <w:rsid w:val="00E4538C"/>
    <w:rsid w:val="00E504C9"/>
    <w:rsid w:val="00E557AC"/>
    <w:rsid w:val="00E56777"/>
    <w:rsid w:val="00E60269"/>
    <w:rsid w:val="00E61208"/>
    <w:rsid w:val="00E617A2"/>
    <w:rsid w:val="00E6777A"/>
    <w:rsid w:val="00E806B5"/>
    <w:rsid w:val="00E82211"/>
    <w:rsid w:val="00E84E53"/>
    <w:rsid w:val="00E904CD"/>
    <w:rsid w:val="00EA0A31"/>
    <w:rsid w:val="00EA4896"/>
    <w:rsid w:val="00EA7BB9"/>
    <w:rsid w:val="00EA7D2F"/>
    <w:rsid w:val="00EB1731"/>
    <w:rsid w:val="00EB1851"/>
    <w:rsid w:val="00EB4E09"/>
    <w:rsid w:val="00EB51DD"/>
    <w:rsid w:val="00EB56B7"/>
    <w:rsid w:val="00EB5964"/>
    <w:rsid w:val="00EB5D1E"/>
    <w:rsid w:val="00EB7879"/>
    <w:rsid w:val="00EC01DD"/>
    <w:rsid w:val="00EC3BD8"/>
    <w:rsid w:val="00EC6290"/>
    <w:rsid w:val="00ED2902"/>
    <w:rsid w:val="00ED47CD"/>
    <w:rsid w:val="00EE42C3"/>
    <w:rsid w:val="00EE48E4"/>
    <w:rsid w:val="00EE4C4A"/>
    <w:rsid w:val="00EF184A"/>
    <w:rsid w:val="00EF64E2"/>
    <w:rsid w:val="00EF6A91"/>
    <w:rsid w:val="00F06C30"/>
    <w:rsid w:val="00F06E3A"/>
    <w:rsid w:val="00F07242"/>
    <w:rsid w:val="00F138E5"/>
    <w:rsid w:val="00F2358B"/>
    <w:rsid w:val="00F24FF8"/>
    <w:rsid w:val="00F26004"/>
    <w:rsid w:val="00F26932"/>
    <w:rsid w:val="00F308DB"/>
    <w:rsid w:val="00F31FA0"/>
    <w:rsid w:val="00F32ECB"/>
    <w:rsid w:val="00F36421"/>
    <w:rsid w:val="00F36D8C"/>
    <w:rsid w:val="00F42913"/>
    <w:rsid w:val="00F462A4"/>
    <w:rsid w:val="00F5011C"/>
    <w:rsid w:val="00F524FA"/>
    <w:rsid w:val="00F54756"/>
    <w:rsid w:val="00F54AAA"/>
    <w:rsid w:val="00F64EF8"/>
    <w:rsid w:val="00F657A9"/>
    <w:rsid w:val="00F65BE1"/>
    <w:rsid w:val="00F67CBD"/>
    <w:rsid w:val="00F72118"/>
    <w:rsid w:val="00F732AF"/>
    <w:rsid w:val="00F73994"/>
    <w:rsid w:val="00F73AF2"/>
    <w:rsid w:val="00F74A9A"/>
    <w:rsid w:val="00F7608E"/>
    <w:rsid w:val="00F77CBB"/>
    <w:rsid w:val="00F803AA"/>
    <w:rsid w:val="00F8049B"/>
    <w:rsid w:val="00F81554"/>
    <w:rsid w:val="00F840A4"/>
    <w:rsid w:val="00F85E96"/>
    <w:rsid w:val="00F87A90"/>
    <w:rsid w:val="00F918E7"/>
    <w:rsid w:val="00F934BC"/>
    <w:rsid w:val="00F94102"/>
    <w:rsid w:val="00F94E70"/>
    <w:rsid w:val="00F96E25"/>
    <w:rsid w:val="00F974D5"/>
    <w:rsid w:val="00F97F8C"/>
    <w:rsid w:val="00FA0841"/>
    <w:rsid w:val="00FA420E"/>
    <w:rsid w:val="00FC2BD5"/>
    <w:rsid w:val="00FC5063"/>
    <w:rsid w:val="00FC5FC4"/>
    <w:rsid w:val="00FD29B4"/>
    <w:rsid w:val="00FD57E5"/>
    <w:rsid w:val="00FD5919"/>
    <w:rsid w:val="00FD766B"/>
    <w:rsid w:val="00FE25D1"/>
    <w:rsid w:val="00FE2BF6"/>
    <w:rsid w:val="00FE3D49"/>
    <w:rsid w:val="00FE41E2"/>
    <w:rsid w:val="00FE76F1"/>
    <w:rsid w:val="00FF3DAA"/>
    <w:rsid w:val="00FF74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01D240"/>
  <w15:docId w15:val="{5374A085-6DB8-41D4-88A0-689BA78A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7B87"/>
    <w:pPr>
      <w:widowControl w:val="0"/>
    </w:pPr>
    <w:rPr>
      <w:kern w:val="2"/>
      <w:sz w:val="24"/>
      <w:szCs w:val="24"/>
      <w:lang w:val="en-US" w:eastAsia="zh-TW"/>
    </w:rPr>
  </w:style>
  <w:style w:type="paragraph" w:styleId="1">
    <w:name w:val="heading 1"/>
    <w:basedOn w:val="a"/>
    <w:link w:val="10"/>
    <w:uiPriority w:val="9"/>
    <w:qFormat/>
    <w:rsid w:val="00CF5447"/>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qFormat/>
    <w:rsid w:val="00CF5447"/>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qFormat/>
    <w:rsid w:val="00CF5447"/>
    <w:pPr>
      <w:widowControl/>
      <w:spacing w:before="100" w:beforeAutospacing="1" w:after="100" w:afterAutospacing="1"/>
      <w:outlineLvl w:val="2"/>
    </w:pPr>
    <w:rPr>
      <w:rFonts w:ascii="新細明體" w:hAnsi="新細明體" w:cs="新細明體"/>
      <w:b/>
      <w:bCs/>
      <w:kern w:val="0"/>
    </w:rPr>
  </w:style>
  <w:style w:type="paragraph" w:styleId="4">
    <w:name w:val="heading 4"/>
    <w:basedOn w:val="a"/>
    <w:next w:val="a"/>
    <w:qFormat/>
    <w:rsid w:val="00750A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F0765"/>
    <w:pPr>
      <w:snapToGrid w:val="0"/>
    </w:pPr>
    <w:rPr>
      <w:sz w:val="20"/>
      <w:szCs w:val="20"/>
    </w:rPr>
  </w:style>
  <w:style w:type="character" w:styleId="a5">
    <w:name w:val="footnote reference"/>
    <w:basedOn w:val="a0"/>
    <w:semiHidden/>
    <w:rsid w:val="00DF0765"/>
    <w:rPr>
      <w:vertAlign w:val="superscript"/>
    </w:rPr>
  </w:style>
  <w:style w:type="character" w:styleId="a6">
    <w:name w:val="Strong"/>
    <w:basedOn w:val="a0"/>
    <w:qFormat/>
    <w:rsid w:val="004A33C5"/>
    <w:rPr>
      <w:b/>
      <w:bCs/>
    </w:rPr>
  </w:style>
  <w:style w:type="character" w:styleId="a7">
    <w:name w:val="Hyperlink"/>
    <w:basedOn w:val="a0"/>
    <w:uiPriority w:val="99"/>
    <w:rsid w:val="00A66641"/>
    <w:rPr>
      <w:color w:val="0000FF"/>
      <w:u w:val="single"/>
    </w:rPr>
  </w:style>
  <w:style w:type="paragraph" w:styleId="a8">
    <w:name w:val="footer"/>
    <w:basedOn w:val="a"/>
    <w:link w:val="a9"/>
    <w:uiPriority w:val="99"/>
    <w:rsid w:val="00DB5C7A"/>
    <w:pPr>
      <w:tabs>
        <w:tab w:val="center" w:pos="4153"/>
        <w:tab w:val="right" w:pos="8306"/>
      </w:tabs>
      <w:snapToGrid w:val="0"/>
    </w:pPr>
    <w:rPr>
      <w:sz w:val="20"/>
      <w:szCs w:val="20"/>
    </w:rPr>
  </w:style>
  <w:style w:type="character" w:styleId="aa">
    <w:name w:val="page number"/>
    <w:basedOn w:val="a0"/>
    <w:rsid w:val="00DB5C7A"/>
  </w:style>
  <w:style w:type="paragraph" w:styleId="ab">
    <w:name w:val="header"/>
    <w:basedOn w:val="a"/>
    <w:link w:val="ac"/>
    <w:uiPriority w:val="99"/>
    <w:rsid w:val="00DB5C7A"/>
    <w:pPr>
      <w:tabs>
        <w:tab w:val="center" w:pos="4153"/>
        <w:tab w:val="right" w:pos="8306"/>
      </w:tabs>
      <w:snapToGrid w:val="0"/>
    </w:pPr>
    <w:rPr>
      <w:sz w:val="20"/>
      <w:szCs w:val="20"/>
    </w:rPr>
  </w:style>
  <w:style w:type="character" w:customStyle="1" w:styleId="body131">
    <w:name w:val="body131"/>
    <w:basedOn w:val="a0"/>
    <w:rsid w:val="00CF5447"/>
    <w:rPr>
      <w:rFonts w:ascii="Verdana" w:hAnsi="Verdana" w:hint="default"/>
      <w:sz w:val="20"/>
      <w:szCs w:val="20"/>
    </w:rPr>
  </w:style>
  <w:style w:type="paragraph" w:customStyle="1" w:styleId="xl24">
    <w:name w:val="xl24"/>
    <w:basedOn w:val="a"/>
    <w:rsid w:val="00CF5447"/>
    <w:pPr>
      <w:widowControl/>
      <w:spacing w:before="100" w:beforeAutospacing="1" w:after="100" w:afterAutospacing="1"/>
      <w:jc w:val="center"/>
    </w:pPr>
    <w:rPr>
      <w:rFonts w:eastAsia="Arial Unicode MS"/>
      <w:b/>
      <w:bCs/>
      <w:kern w:val="0"/>
      <w:sz w:val="20"/>
      <w:szCs w:val="20"/>
    </w:rPr>
  </w:style>
  <w:style w:type="paragraph" w:customStyle="1" w:styleId="xl25">
    <w:name w:val="xl25"/>
    <w:basedOn w:val="a"/>
    <w:rsid w:val="00CF5447"/>
    <w:pPr>
      <w:widowControl/>
      <w:spacing w:before="100" w:beforeAutospacing="1" w:after="100" w:afterAutospacing="1"/>
    </w:pPr>
    <w:rPr>
      <w:rFonts w:ascii="新細明體" w:hAnsi="Arial Unicode MS" w:cs="Arial Unicode MS" w:hint="eastAsia"/>
      <w:kern w:val="0"/>
      <w:sz w:val="20"/>
      <w:szCs w:val="20"/>
    </w:rPr>
  </w:style>
  <w:style w:type="paragraph" w:customStyle="1" w:styleId="xl49">
    <w:name w:val="xl49"/>
    <w:basedOn w:val="a"/>
    <w:rsid w:val="00CF5447"/>
    <w:pPr>
      <w:widowControl/>
      <w:spacing w:before="100" w:beforeAutospacing="1" w:after="100" w:afterAutospacing="1"/>
      <w:jc w:val="center"/>
    </w:pPr>
    <w:rPr>
      <w:rFonts w:eastAsia="Arial Unicode MS"/>
      <w:b/>
      <w:bCs/>
      <w:kern w:val="0"/>
    </w:rPr>
  </w:style>
  <w:style w:type="paragraph" w:styleId="ad">
    <w:name w:val="Title"/>
    <w:basedOn w:val="a"/>
    <w:qFormat/>
    <w:rsid w:val="00CF5447"/>
    <w:pPr>
      <w:spacing w:line="360" w:lineRule="auto"/>
      <w:ind w:firstLine="480"/>
      <w:jc w:val="center"/>
    </w:pPr>
    <w:rPr>
      <w:rFonts w:ascii="華康中楷體" w:eastAsia="華康中楷體"/>
      <w:b/>
      <w:bCs/>
    </w:rPr>
  </w:style>
  <w:style w:type="paragraph" w:styleId="ae">
    <w:name w:val="Block Text"/>
    <w:basedOn w:val="a"/>
    <w:rsid w:val="00CF5447"/>
    <w:pPr>
      <w:spacing w:line="240" w:lineRule="exact"/>
      <w:ind w:leftChars="-375" w:left="-900" w:rightChars="-300" w:right="-720"/>
      <w:jc w:val="both"/>
    </w:pPr>
    <w:rPr>
      <w:color w:val="FF0000"/>
      <w:sz w:val="20"/>
    </w:rPr>
  </w:style>
  <w:style w:type="paragraph" w:styleId="30">
    <w:name w:val="Body Text 3"/>
    <w:basedOn w:val="a"/>
    <w:rsid w:val="00CF5447"/>
    <w:pPr>
      <w:spacing w:line="360" w:lineRule="auto"/>
      <w:jc w:val="both"/>
    </w:pPr>
  </w:style>
  <w:style w:type="paragraph" w:styleId="af">
    <w:name w:val="Balloon Text"/>
    <w:basedOn w:val="a"/>
    <w:link w:val="af0"/>
    <w:uiPriority w:val="99"/>
    <w:semiHidden/>
    <w:rsid w:val="00CF5447"/>
    <w:rPr>
      <w:rFonts w:ascii="Arial" w:hAnsi="Arial"/>
      <w:sz w:val="18"/>
      <w:szCs w:val="18"/>
    </w:rPr>
  </w:style>
  <w:style w:type="character" w:customStyle="1" w:styleId="name">
    <w:name w:val="name"/>
    <w:basedOn w:val="a0"/>
    <w:rsid w:val="00CF5447"/>
  </w:style>
  <w:style w:type="character" w:customStyle="1" w:styleId="forenames">
    <w:name w:val="forenames"/>
    <w:basedOn w:val="a0"/>
    <w:rsid w:val="00CF5447"/>
  </w:style>
  <w:style w:type="character" w:customStyle="1" w:styleId="surname">
    <w:name w:val="surname"/>
    <w:basedOn w:val="a0"/>
    <w:rsid w:val="00CF5447"/>
  </w:style>
  <w:style w:type="paragraph" w:styleId="Web">
    <w:name w:val="Normal (Web)"/>
    <w:basedOn w:val="a"/>
    <w:uiPriority w:val="99"/>
    <w:rsid w:val="00CF5447"/>
    <w:pPr>
      <w:widowControl/>
      <w:spacing w:before="100" w:beforeAutospacing="1" w:after="100" w:afterAutospacing="1" w:line="360" w:lineRule="auto"/>
    </w:pPr>
    <w:rPr>
      <w:rFonts w:ascii="新細明體" w:hAnsi="新細明體" w:cs="新細明體"/>
      <w:color w:val="000000"/>
      <w:kern w:val="0"/>
    </w:rPr>
  </w:style>
  <w:style w:type="character" w:customStyle="1" w:styleId="searchword">
    <w:name w:val="searchword"/>
    <w:basedOn w:val="a0"/>
    <w:rsid w:val="00CF5447"/>
    <w:rPr>
      <w:shd w:val="clear" w:color="auto" w:fill="FFFF00"/>
    </w:rPr>
  </w:style>
  <w:style w:type="paragraph" w:customStyle="1" w:styleId="inline">
    <w:name w:val="inline"/>
    <w:basedOn w:val="a"/>
    <w:rsid w:val="00CF5447"/>
    <w:pPr>
      <w:widowControl/>
      <w:spacing w:before="100" w:beforeAutospacing="1" w:after="100" w:afterAutospacing="1"/>
    </w:pPr>
    <w:rPr>
      <w:rFonts w:ascii="新細明體" w:hAnsi="新細明體" w:cs="新細明體"/>
      <w:kern w:val="0"/>
    </w:rPr>
  </w:style>
  <w:style w:type="character" w:customStyle="1" w:styleId="pubtitlejb1">
    <w:name w:val="pubtitle_jb1"/>
    <w:basedOn w:val="a0"/>
    <w:rsid w:val="00CF5447"/>
    <w:rPr>
      <w:i/>
      <w:iCs/>
    </w:rPr>
  </w:style>
  <w:style w:type="paragraph" w:customStyle="1" w:styleId="Default">
    <w:name w:val="Default"/>
    <w:rsid w:val="00CF5447"/>
    <w:pPr>
      <w:widowControl w:val="0"/>
      <w:autoSpaceDE w:val="0"/>
      <w:autoSpaceDN w:val="0"/>
      <w:adjustRightInd w:val="0"/>
    </w:pPr>
    <w:rPr>
      <w:rFonts w:ascii="NNGMLO+TimesNewRoman" w:eastAsia="NNGMLO+TimesNewRoman" w:cs="NNGMLO+TimesNewRoman"/>
      <w:color w:val="000000"/>
      <w:sz w:val="24"/>
      <w:szCs w:val="24"/>
      <w:lang w:val="en-US" w:eastAsia="zh-TW"/>
    </w:rPr>
  </w:style>
  <w:style w:type="character" w:styleId="af1">
    <w:name w:val="Emphasis"/>
    <w:basedOn w:val="a0"/>
    <w:qFormat/>
    <w:rsid w:val="00CF5447"/>
    <w:rPr>
      <w:b w:val="0"/>
      <w:bCs w:val="0"/>
      <w:i w:val="0"/>
      <w:iCs w:val="0"/>
      <w:color w:val="CC0033"/>
    </w:rPr>
  </w:style>
  <w:style w:type="table" w:styleId="af2">
    <w:name w:val="Table Grid"/>
    <w:basedOn w:val="a1"/>
    <w:uiPriority w:val="39"/>
    <w:rsid w:val="00CF544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1">
    <w:name w:val="style121"/>
    <w:basedOn w:val="a0"/>
    <w:rsid w:val="00CF5447"/>
    <w:rPr>
      <w:b/>
      <w:bCs/>
      <w:color w:val="FF0000"/>
    </w:rPr>
  </w:style>
  <w:style w:type="character" w:customStyle="1" w:styleId="smallcapitals3">
    <w:name w:val="smallcapitals3"/>
    <w:basedOn w:val="a0"/>
    <w:rsid w:val="00CF5447"/>
    <w:rPr>
      <w:smallCaps/>
    </w:rPr>
  </w:style>
  <w:style w:type="paragraph" w:customStyle="1" w:styleId="para3">
    <w:name w:val="para3"/>
    <w:basedOn w:val="a"/>
    <w:rsid w:val="00CF5447"/>
    <w:pPr>
      <w:widowControl/>
      <w:spacing w:after="100" w:afterAutospacing="1"/>
    </w:pPr>
    <w:rPr>
      <w:rFonts w:ascii="新細明體" w:hAnsi="新細明體" w:cs="新細明體"/>
      <w:color w:val="333333"/>
      <w:kern w:val="0"/>
      <w:sz w:val="14"/>
      <w:szCs w:val="14"/>
    </w:rPr>
  </w:style>
  <w:style w:type="character" w:customStyle="1" w:styleId="bodycopyblacklargespaced1">
    <w:name w:val="bodycopyblacklargespaced1"/>
    <w:basedOn w:val="a0"/>
    <w:rsid w:val="00CF5447"/>
    <w:rPr>
      <w:rFonts w:ascii="Arial" w:hAnsi="Arial" w:cs="Arial" w:hint="default"/>
      <w:color w:val="000000"/>
      <w:sz w:val="17"/>
      <w:szCs w:val="17"/>
    </w:rPr>
  </w:style>
  <w:style w:type="character" w:styleId="HTML">
    <w:name w:val="HTML Cite"/>
    <w:basedOn w:val="a0"/>
    <w:rsid w:val="00CF5447"/>
    <w:rPr>
      <w:i/>
      <w:iCs/>
    </w:rPr>
  </w:style>
  <w:style w:type="paragraph" w:customStyle="1" w:styleId="stylehenrik">
    <w:name w:val="stylehenrik"/>
    <w:basedOn w:val="a"/>
    <w:rsid w:val="00CF5447"/>
    <w:pPr>
      <w:widowControl/>
      <w:spacing w:before="100" w:beforeAutospacing="1" w:after="100" w:afterAutospacing="1"/>
    </w:pPr>
    <w:rPr>
      <w:rFonts w:ascii="新細明體" w:hAnsi="新細明體" w:cs="新細明體"/>
      <w:kern w:val="0"/>
    </w:rPr>
  </w:style>
  <w:style w:type="character" w:customStyle="1" w:styleId="byline">
    <w:name w:val="byline"/>
    <w:basedOn w:val="a0"/>
    <w:rsid w:val="00CF5447"/>
  </w:style>
  <w:style w:type="character" w:customStyle="1" w:styleId="bighed1">
    <w:name w:val="bighed1"/>
    <w:basedOn w:val="a0"/>
    <w:rsid w:val="00CF5447"/>
    <w:rPr>
      <w:rFonts w:ascii="Arial" w:hAnsi="Arial" w:cs="Arial" w:hint="default"/>
      <w:b/>
      <w:bCs/>
      <w:sz w:val="35"/>
      <w:szCs w:val="35"/>
    </w:rPr>
  </w:style>
  <w:style w:type="character" w:customStyle="1" w:styleId="smalltextcaps1">
    <w:name w:val="smalltextcaps1"/>
    <w:basedOn w:val="a0"/>
    <w:rsid w:val="00CF5447"/>
    <w:rPr>
      <w:rFonts w:ascii="Arial" w:hAnsi="Arial" w:cs="Arial" w:hint="default"/>
      <w:caps/>
      <w:sz w:val="14"/>
      <w:szCs w:val="14"/>
    </w:rPr>
  </w:style>
  <w:style w:type="character" w:customStyle="1" w:styleId="author1">
    <w:name w:val="author1"/>
    <w:basedOn w:val="a0"/>
    <w:rsid w:val="00CF5447"/>
    <w:rPr>
      <w:b/>
      <w:bCs/>
    </w:rPr>
  </w:style>
  <w:style w:type="character" w:customStyle="1" w:styleId="txt1">
    <w:name w:val="txt1"/>
    <w:basedOn w:val="a0"/>
    <w:rsid w:val="00CF5447"/>
    <w:rPr>
      <w:rFonts w:ascii="Arial" w:hAnsi="Arial" w:cs="Arial" w:hint="default"/>
      <w:color w:val="666666"/>
      <w:sz w:val="18"/>
      <w:szCs w:val="18"/>
    </w:rPr>
  </w:style>
  <w:style w:type="character" w:customStyle="1" w:styleId="yellowfadeinnerspan">
    <w:name w:val="yellowfadeinnerspan"/>
    <w:basedOn w:val="a0"/>
    <w:rsid w:val="00CF5447"/>
  </w:style>
  <w:style w:type="character" w:customStyle="1" w:styleId="af3">
    <w:name w:val="a"/>
    <w:basedOn w:val="a0"/>
    <w:rsid w:val="00CF5447"/>
  </w:style>
  <w:style w:type="paragraph" w:customStyle="1" w:styleId="af4">
    <w:name w:val="項本文"/>
    <w:basedOn w:val="a"/>
    <w:rsid w:val="00CF5447"/>
    <w:pPr>
      <w:snapToGrid w:val="0"/>
      <w:ind w:left="540" w:firstLine="540"/>
      <w:jc w:val="both"/>
    </w:pPr>
    <w:rPr>
      <w:rFonts w:eastAsia="標楷體"/>
      <w:szCs w:val="20"/>
    </w:rPr>
  </w:style>
  <w:style w:type="character" w:customStyle="1" w:styleId="heading1">
    <w:name w:val="heading1"/>
    <w:basedOn w:val="a0"/>
    <w:rsid w:val="00CF5447"/>
    <w:rPr>
      <w:rFonts w:ascii="Arial" w:hAnsi="Arial" w:cs="Arial" w:hint="default"/>
      <w:b/>
      <w:bCs/>
      <w:i w:val="0"/>
      <w:iCs w:val="0"/>
      <w:color w:val="000066"/>
      <w:sz w:val="24"/>
      <w:szCs w:val="24"/>
    </w:rPr>
  </w:style>
  <w:style w:type="paragraph" w:customStyle="1" w:styleId="EC-">
    <w:name w:val="EC-內文"/>
    <w:basedOn w:val="a"/>
    <w:rsid w:val="00CF5447"/>
    <w:pPr>
      <w:snapToGrid w:val="0"/>
      <w:spacing w:afterLines="50" w:line="300" w:lineRule="auto"/>
      <w:ind w:firstLineChars="200" w:firstLine="480"/>
    </w:pPr>
  </w:style>
  <w:style w:type="paragraph" w:customStyle="1" w:styleId="MTDisplayEquation">
    <w:name w:val="MTDisplayEquation"/>
    <w:basedOn w:val="a"/>
    <w:next w:val="a"/>
    <w:rsid w:val="00A11A60"/>
    <w:pPr>
      <w:autoSpaceDE w:val="0"/>
      <w:autoSpaceDN w:val="0"/>
      <w:adjustRightInd w:val="0"/>
    </w:pPr>
    <w:rPr>
      <w:kern w:val="0"/>
      <w:sz w:val="20"/>
      <w:szCs w:val="20"/>
    </w:rPr>
  </w:style>
  <w:style w:type="paragraph" w:customStyle="1" w:styleId="20">
    <w:name w:val="標題2"/>
    <w:basedOn w:val="2"/>
    <w:rsid w:val="00750AC0"/>
    <w:pPr>
      <w:keepNext/>
      <w:widowControl w:val="0"/>
      <w:spacing w:before="0" w:beforeAutospacing="0" w:afterLines="50" w:afterAutospacing="0" w:line="360" w:lineRule="auto"/>
      <w:jc w:val="both"/>
    </w:pPr>
    <w:rPr>
      <w:rFonts w:ascii="Arial" w:eastAsia="Times New Roman" w:hAnsi="Arial" w:cs="Times New Roman"/>
      <w:i/>
      <w:iCs/>
      <w:kern w:val="2"/>
      <w:sz w:val="24"/>
      <w:szCs w:val="48"/>
    </w:rPr>
  </w:style>
  <w:style w:type="paragraph" w:customStyle="1" w:styleId="40">
    <w:name w:val="標題4"/>
    <w:basedOn w:val="4"/>
    <w:rsid w:val="00750AC0"/>
    <w:pPr>
      <w:spacing w:before="120" w:after="120" w:line="360" w:lineRule="auto"/>
    </w:pPr>
    <w:rPr>
      <w:rFonts w:ascii="Arial" w:eastAsia="Times New Roman" w:hAnsi="Arial"/>
      <w:b w:val="0"/>
      <w:bCs w:val="0"/>
      <w:sz w:val="24"/>
      <w:szCs w:val="36"/>
    </w:rPr>
  </w:style>
  <w:style w:type="paragraph" w:customStyle="1" w:styleId="af5">
    <w:name w:val="內文 + 左右對齊"/>
    <w:aliases w:val="套用前:  9 pt,行距:  1.5 倍行高,內文 + (中文) 標楷體,粗體,左右對齊"/>
    <w:basedOn w:val="af6"/>
    <w:link w:val="af7"/>
    <w:rsid w:val="00B60D54"/>
    <w:pPr>
      <w:spacing w:after="0" w:line="360" w:lineRule="auto"/>
      <w:jc w:val="center"/>
    </w:pPr>
    <w:rPr>
      <w:b/>
      <w:bCs/>
      <w:kern w:val="0"/>
      <w:sz w:val="28"/>
    </w:rPr>
  </w:style>
  <w:style w:type="character" w:customStyle="1" w:styleId="af7">
    <w:name w:val="內文 + 左右對齊 字元"/>
    <w:aliases w:val="套用前:  9 pt 字元,行距:  1.5 倍行高 字元 字元1"/>
    <w:basedOn w:val="a0"/>
    <w:link w:val="af5"/>
    <w:rsid w:val="00B60D54"/>
    <w:rPr>
      <w:rFonts w:eastAsia="新細明體"/>
      <w:b/>
      <w:bCs/>
      <w:sz w:val="28"/>
      <w:szCs w:val="24"/>
      <w:lang w:val="en-US" w:eastAsia="zh-TW" w:bidi="ar-SA"/>
    </w:rPr>
  </w:style>
  <w:style w:type="character" w:customStyle="1" w:styleId="af8">
    <w:name w:val="內文 + (中文) 標楷體 字元"/>
    <w:aliases w:val="粗體 字元,行距:  1.5 倍行高 + 12 點 字元,靠左 字元 字元,左右對齊 字元,行距:  1.5 倍行高 字元 字元"/>
    <w:basedOn w:val="a0"/>
    <w:rsid w:val="00B60D54"/>
    <w:rPr>
      <w:rFonts w:eastAsia="新細明體"/>
      <w:color w:val="000000"/>
      <w:sz w:val="36"/>
      <w:szCs w:val="36"/>
      <w:lang w:val="en-US" w:eastAsia="zh-TW" w:bidi="ar-SA"/>
    </w:rPr>
  </w:style>
  <w:style w:type="paragraph" w:styleId="af6">
    <w:name w:val="Body Text"/>
    <w:basedOn w:val="a"/>
    <w:rsid w:val="00B60D54"/>
    <w:pPr>
      <w:spacing w:after="120"/>
    </w:pPr>
  </w:style>
  <w:style w:type="character" w:customStyle="1" w:styleId="dct-tt">
    <w:name w:val="dct-tt"/>
    <w:basedOn w:val="a0"/>
    <w:rsid w:val="00D76C9E"/>
    <w:rPr>
      <w:rFonts w:ascii="Arial" w:hAnsi="Arial" w:cs="Arial" w:hint="default"/>
    </w:rPr>
  </w:style>
  <w:style w:type="paragraph" w:styleId="af9">
    <w:name w:val="Body Text Indent"/>
    <w:basedOn w:val="a"/>
    <w:rsid w:val="00D645B1"/>
    <w:pPr>
      <w:spacing w:line="320" w:lineRule="exact"/>
      <w:ind w:leftChars="-150" w:left="720" w:hangingChars="450" w:hanging="1080"/>
      <w:jc w:val="both"/>
    </w:pPr>
    <w:rPr>
      <w:rFonts w:eastAsia="標楷體"/>
    </w:rPr>
  </w:style>
  <w:style w:type="paragraph" w:customStyle="1" w:styleId="PostEq">
    <w:name w:val="PostEq"/>
    <w:basedOn w:val="a"/>
    <w:next w:val="a"/>
    <w:rsid w:val="00D645B1"/>
  </w:style>
  <w:style w:type="paragraph" w:styleId="afa">
    <w:name w:val="Date"/>
    <w:basedOn w:val="a"/>
    <w:next w:val="a"/>
    <w:rsid w:val="00D645B1"/>
    <w:pPr>
      <w:jc w:val="right"/>
    </w:pPr>
    <w:rPr>
      <w:rFonts w:eastAsia="標楷體"/>
      <w:sz w:val="28"/>
      <w:szCs w:val="20"/>
    </w:rPr>
  </w:style>
  <w:style w:type="character" w:customStyle="1" w:styleId="a4">
    <w:name w:val="註腳文字 字元"/>
    <w:link w:val="a3"/>
    <w:uiPriority w:val="99"/>
    <w:rsid w:val="0004772E"/>
    <w:rPr>
      <w:rFonts w:eastAsia="新細明體"/>
      <w:kern w:val="2"/>
      <w:lang w:val="en-US" w:eastAsia="zh-TW" w:bidi="ar-SA"/>
    </w:rPr>
  </w:style>
  <w:style w:type="paragraph" w:styleId="afb">
    <w:name w:val="List Paragraph"/>
    <w:basedOn w:val="a"/>
    <w:uiPriority w:val="34"/>
    <w:qFormat/>
    <w:rsid w:val="00300E11"/>
    <w:pPr>
      <w:ind w:leftChars="200" w:left="480"/>
    </w:pPr>
    <w:rPr>
      <w:rFonts w:ascii="Calibri" w:hAnsi="Calibri"/>
      <w:szCs w:val="22"/>
    </w:rPr>
  </w:style>
  <w:style w:type="character" w:customStyle="1" w:styleId="longtext">
    <w:name w:val="long_text"/>
    <w:basedOn w:val="a0"/>
    <w:rsid w:val="00DF0CCB"/>
  </w:style>
  <w:style w:type="character" w:customStyle="1" w:styleId="shorttext">
    <w:name w:val="short_text"/>
    <w:basedOn w:val="a0"/>
    <w:rsid w:val="00DF0CCB"/>
  </w:style>
  <w:style w:type="paragraph" w:styleId="afc">
    <w:name w:val="annotation text"/>
    <w:basedOn w:val="a"/>
    <w:link w:val="afd"/>
    <w:uiPriority w:val="99"/>
    <w:unhideWhenUsed/>
    <w:rsid w:val="00DF0CCB"/>
    <w:pPr>
      <w:spacing w:line="480" w:lineRule="auto"/>
      <w:jc w:val="both"/>
    </w:pPr>
    <w:rPr>
      <w:rFonts w:ascii="Calibri" w:hAnsi="Calibri"/>
      <w:szCs w:val="22"/>
    </w:rPr>
  </w:style>
  <w:style w:type="character" w:customStyle="1" w:styleId="afd">
    <w:name w:val="註解文字 字元"/>
    <w:basedOn w:val="a0"/>
    <w:link w:val="afc"/>
    <w:uiPriority w:val="99"/>
    <w:rsid w:val="00DF0CCB"/>
    <w:rPr>
      <w:rFonts w:ascii="Calibri" w:hAnsi="Calibri"/>
      <w:kern w:val="2"/>
      <w:sz w:val="24"/>
      <w:szCs w:val="22"/>
      <w:lang w:val="en-US" w:eastAsia="zh-TW"/>
    </w:rPr>
  </w:style>
  <w:style w:type="character" w:styleId="afe">
    <w:name w:val="annotation reference"/>
    <w:basedOn w:val="a0"/>
    <w:uiPriority w:val="99"/>
    <w:rsid w:val="00DF0CCB"/>
    <w:rPr>
      <w:sz w:val="18"/>
      <w:szCs w:val="18"/>
    </w:rPr>
  </w:style>
  <w:style w:type="paragraph" w:customStyle="1" w:styleId="interpret1">
    <w:name w:val="interpret1"/>
    <w:basedOn w:val="a"/>
    <w:rsid w:val="00DF0CCB"/>
    <w:pPr>
      <w:widowControl/>
      <w:spacing w:before="100" w:beforeAutospacing="1" w:after="100" w:afterAutospacing="1" w:line="480" w:lineRule="auto"/>
      <w:jc w:val="both"/>
    </w:pPr>
    <w:rPr>
      <w:rFonts w:ascii="新細明體" w:hAnsi="新細明體" w:cs="新細明體"/>
      <w:color w:val="000000"/>
      <w:kern w:val="0"/>
      <w:sz w:val="28"/>
      <w:szCs w:val="28"/>
    </w:rPr>
  </w:style>
  <w:style w:type="character" w:customStyle="1" w:styleId="gt-icon-text1">
    <w:name w:val="gt-icon-text1"/>
    <w:basedOn w:val="a0"/>
    <w:rsid w:val="00DF0CCB"/>
  </w:style>
  <w:style w:type="paragraph" w:styleId="aff">
    <w:name w:val="endnote text"/>
    <w:basedOn w:val="a"/>
    <w:link w:val="aff0"/>
    <w:rsid w:val="00DF0CCB"/>
    <w:pPr>
      <w:jc w:val="both"/>
    </w:pPr>
    <w:rPr>
      <w:sz w:val="20"/>
      <w:szCs w:val="20"/>
    </w:rPr>
  </w:style>
  <w:style w:type="character" w:customStyle="1" w:styleId="aff0">
    <w:name w:val="章節附註文字 字元"/>
    <w:basedOn w:val="a0"/>
    <w:link w:val="aff"/>
    <w:rsid w:val="00DF0CCB"/>
    <w:rPr>
      <w:kern w:val="2"/>
      <w:lang w:val="en-US" w:eastAsia="zh-TW"/>
    </w:rPr>
  </w:style>
  <w:style w:type="character" w:styleId="aff1">
    <w:name w:val="endnote reference"/>
    <w:basedOn w:val="a0"/>
    <w:rsid w:val="00DF0CCB"/>
    <w:rPr>
      <w:vertAlign w:val="superscript"/>
    </w:rPr>
  </w:style>
  <w:style w:type="character" w:customStyle="1" w:styleId="st">
    <w:name w:val="st"/>
    <w:basedOn w:val="a0"/>
    <w:rsid w:val="00FE41E2"/>
  </w:style>
  <w:style w:type="paragraph" w:styleId="aff2">
    <w:name w:val="caption"/>
    <w:basedOn w:val="a"/>
    <w:next w:val="a"/>
    <w:uiPriority w:val="35"/>
    <w:unhideWhenUsed/>
    <w:qFormat/>
    <w:rsid w:val="00DD1933"/>
    <w:rPr>
      <w:rFonts w:asciiTheme="minorHAnsi" w:eastAsiaTheme="minorEastAsia" w:hAnsiTheme="minorHAnsi" w:cstheme="minorBidi"/>
      <w:sz w:val="20"/>
      <w:szCs w:val="20"/>
    </w:rPr>
  </w:style>
  <w:style w:type="character" w:customStyle="1" w:styleId="ac">
    <w:name w:val="頁首 字元"/>
    <w:basedOn w:val="a0"/>
    <w:link w:val="ab"/>
    <w:uiPriority w:val="99"/>
    <w:rsid w:val="00F36D8C"/>
    <w:rPr>
      <w:kern w:val="2"/>
      <w:lang w:val="en-US" w:eastAsia="zh-TW"/>
    </w:rPr>
  </w:style>
  <w:style w:type="character" w:customStyle="1" w:styleId="a9">
    <w:name w:val="頁尾 字元"/>
    <w:basedOn w:val="a0"/>
    <w:link w:val="a8"/>
    <w:uiPriority w:val="99"/>
    <w:rsid w:val="00F36D8C"/>
    <w:rPr>
      <w:kern w:val="2"/>
      <w:lang w:val="en-US" w:eastAsia="zh-TW"/>
    </w:rPr>
  </w:style>
  <w:style w:type="character" w:customStyle="1" w:styleId="af0">
    <w:name w:val="註解方塊文字 字元"/>
    <w:basedOn w:val="a0"/>
    <w:link w:val="af"/>
    <w:uiPriority w:val="99"/>
    <w:semiHidden/>
    <w:rsid w:val="00F36D8C"/>
    <w:rPr>
      <w:rFonts w:ascii="Arial" w:hAnsi="Arial"/>
      <w:kern w:val="2"/>
      <w:sz w:val="18"/>
      <w:szCs w:val="18"/>
      <w:lang w:val="en-US" w:eastAsia="zh-TW"/>
    </w:rPr>
  </w:style>
  <w:style w:type="paragraph" w:styleId="11">
    <w:name w:val="toc 1"/>
    <w:basedOn w:val="a"/>
    <w:next w:val="a"/>
    <w:autoRedefine/>
    <w:uiPriority w:val="39"/>
    <w:unhideWhenUsed/>
    <w:qFormat/>
    <w:rsid w:val="00F36D8C"/>
    <w:pPr>
      <w:tabs>
        <w:tab w:val="right" w:leader="dot" w:pos="8777"/>
      </w:tabs>
      <w:spacing w:line="360" w:lineRule="auto"/>
    </w:pPr>
    <w:rPr>
      <w:rFonts w:eastAsiaTheme="minorEastAsia"/>
      <w:noProof/>
      <w:sz w:val="26"/>
      <w:szCs w:val="26"/>
    </w:rPr>
  </w:style>
  <w:style w:type="character" w:customStyle="1" w:styleId="10">
    <w:name w:val="標題 1 字元"/>
    <w:basedOn w:val="a0"/>
    <w:link w:val="1"/>
    <w:uiPriority w:val="9"/>
    <w:rsid w:val="00F36D8C"/>
    <w:rPr>
      <w:rFonts w:ascii="新細明體" w:hAnsi="新細明體" w:cs="新細明體"/>
      <w:b/>
      <w:bCs/>
      <w:kern w:val="36"/>
      <w:sz w:val="48"/>
      <w:szCs w:val="48"/>
      <w:lang w:val="en-US" w:eastAsia="zh-TW"/>
    </w:rPr>
  </w:style>
  <w:style w:type="paragraph" w:styleId="aff3">
    <w:name w:val="TOC Heading"/>
    <w:basedOn w:val="1"/>
    <w:next w:val="a"/>
    <w:uiPriority w:val="39"/>
    <w:unhideWhenUsed/>
    <w:qFormat/>
    <w:rsid w:val="00F36D8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F36D8C"/>
    <w:pPr>
      <w:widowControl/>
      <w:spacing w:after="100" w:line="276" w:lineRule="auto"/>
      <w:ind w:left="220"/>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F36D8C"/>
    <w:pPr>
      <w:widowControl/>
      <w:spacing w:after="100" w:line="276" w:lineRule="auto"/>
      <w:ind w:left="440"/>
    </w:pPr>
    <w:rPr>
      <w:rFonts w:asciiTheme="minorHAnsi" w:eastAsiaTheme="minorEastAsia" w:hAnsiTheme="minorHAnsi" w:cstheme="minorBidi"/>
      <w:kern w:val="0"/>
      <w:sz w:val="22"/>
      <w:szCs w:val="22"/>
    </w:rPr>
  </w:style>
  <w:style w:type="character" w:styleId="aff4">
    <w:name w:val="FollowedHyperlink"/>
    <w:basedOn w:val="a0"/>
    <w:uiPriority w:val="99"/>
    <w:unhideWhenUsed/>
    <w:rsid w:val="00F36D8C"/>
    <w:rPr>
      <w:color w:val="800080" w:themeColor="followedHyperlink"/>
      <w:u w:val="single"/>
    </w:rPr>
  </w:style>
  <w:style w:type="paragraph" w:styleId="aff5">
    <w:name w:val="table of figures"/>
    <w:basedOn w:val="a"/>
    <w:next w:val="a"/>
    <w:uiPriority w:val="99"/>
    <w:unhideWhenUsed/>
    <w:rsid w:val="00F36D8C"/>
    <w:pPr>
      <w:ind w:leftChars="400" w:left="400" w:hangingChars="200" w:hanging="200"/>
    </w:pPr>
    <w:rPr>
      <w:rFonts w:asciiTheme="minorHAnsi" w:eastAsiaTheme="minorEastAsia" w:hAnsiTheme="minorHAnsi" w:cstheme="minorBidi"/>
      <w:szCs w:val="22"/>
    </w:rPr>
  </w:style>
  <w:style w:type="character" w:styleId="aff6">
    <w:name w:val="Placeholder Text"/>
    <w:basedOn w:val="a0"/>
    <w:uiPriority w:val="99"/>
    <w:semiHidden/>
    <w:rsid w:val="00F36D8C"/>
    <w:rPr>
      <w:color w:val="808080"/>
    </w:rPr>
  </w:style>
  <w:style w:type="paragraph" w:styleId="aff7">
    <w:name w:val="No Spacing"/>
    <w:link w:val="aff8"/>
    <w:uiPriority w:val="1"/>
    <w:qFormat/>
    <w:rsid w:val="00F36D8C"/>
    <w:rPr>
      <w:rFonts w:asciiTheme="minorHAnsi" w:eastAsiaTheme="minorEastAsia" w:hAnsiTheme="minorHAnsi" w:cstheme="minorBidi"/>
      <w:sz w:val="22"/>
      <w:szCs w:val="22"/>
      <w:lang w:val="en-US" w:eastAsia="zh-TW"/>
    </w:rPr>
  </w:style>
  <w:style w:type="character" w:customStyle="1" w:styleId="aff8">
    <w:name w:val="無間距 字元"/>
    <w:basedOn w:val="a0"/>
    <w:link w:val="aff7"/>
    <w:uiPriority w:val="1"/>
    <w:rsid w:val="00F36D8C"/>
    <w:rPr>
      <w:rFonts w:asciiTheme="minorHAnsi" w:eastAsiaTheme="minorEastAsia" w:hAnsiTheme="minorHAnsi" w:cstheme="minorBidi"/>
      <w:sz w:val="22"/>
      <w:szCs w:val="22"/>
      <w:lang w:val="en-US" w:eastAsia="zh-TW"/>
    </w:rPr>
  </w:style>
  <w:style w:type="character" w:customStyle="1" w:styleId="FootnoteTextChar1">
    <w:name w:val="Footnote Text Char1"/>
    <w:rsid w:val="001156CC"/>
    <w:rPr>
      <w:rFonts w:ascii="Calibri" w:eastAsia="新細明體" w:hAnsi="Calibri"/>
      <w:lang w:val="x-none" w:eastAsia="x-none" w:bidi="ar-SA"/>
    </w:rPr>
  </w:style>
  <w:style w:type="character" w:customStyle="1" w:styleId="aff9">
    <w:name w:val="註解主旨 字元"/>
    <w:basedOn w:val="afd"/>
    <w:link w:val="affa"/>
    <w:uiPriority w:val="99"/>
    <w:semiHidden/>
    <w:rsid w:val="007B7F62"/>
    <w:rPr>
      <w:rFonts w:ascii="Calibri" w:hAnsi="Calibri"/>
      <w:b/>
      <w:bCs/>
      <w:kern w:val="2"/>
      <w:sz w:val="24"/>
      <w:szCs w:val="22"/>
      <w:lang w:val="en-US" w:eastAsia="zh-TW"/>
    </w:rPr>
  </w:style>
  <w:style w:type="paragraph" w:styleId="affa">
    <w:name w:val="annotation subject"/>
    <w:basedOn w:val="afc"/>
    <w:next w:val="afc"/>
    <w:link w:val="aff9"/>
    <w:uiPriority w:val="99"/>
    <w:semiHidden/>
    <w:unhideWhenUsed/>
    <w:rsid w:val="007B7F62"/>
    <w:pPr>
      <w:spacing w:line="240" w:lineRule="auto"/>
      <w:jc w:val="left"/>
    </w:pPr>
    <w:rPr>
      <w:b/>
      <w:bCs/>
    </w:rPr>
  </w:style>
  <w:style w:type="character" w:customStyle="1" w:styleId="CommentSubjectChar1">
    <w:name w:val="Comment Subject Char1"/>
    <w:basedOn w:val="afd"/>
    <w:semiHidden/>
    <w:rsid w:val="007B7F62"/>
    <w:rPr>
      <w:rFonts w:ascii="Calibri" w:hAnsi="Calibri"/>
      <w:b/>
      <w:bCs/>
      <w:kern w:val="2"/>
      <w:sz w:val="24"/>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8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DC997-10B6-49EB-BEF9-4F3B96D7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3776</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1</vt:lpstr>
    </vt:vector>
  </TitlesOfParts>
  <Company>CHU</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Willy</dc:creator>
  <cp:lastModifiedBy>朝斌 陳</cp:lastModifiedBy>
  <cp:revision>6</cp:revision>
  <cp:lastPrinted>2008-04-20T10:37:00Z</cp:lastPrinted>
  <dcterms:created xsi:type="dcterms:W3CDTF">2019-04-28T20:30:00Z</dcterms:created>
  <dcterms:modified xsi:type="dcterms:W3CDTF">2019-04-28T21:56:00Z</dcterms:modified>
</cp:coreProperties>
</file>