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1D5BA" w14:textId="10203820" w:rsidR="00124092" w:rsidRPr="00F53FC6" w:rsidRDefault="00124092" w:rsidP="00CE1893">
      <w:pPr>
        <w:spacing w:after="0" w:line="360" w:lineRule="auto"/>
        <w:contextualSpacing/>
        <w:mirrorIndents/>
        <w:jc w:val="center"/>
        <w:rPr>
          <w:rFonts w:ascii="Times New Roman" w:hAnsi="Times New Roman" w:cs="Times New Roman"/>
          <w:b/>
          <w:lang w:val="en-US"/>
        </w:rPr>
      </w:pPr>
      <w:r w:rsidRPr="00F53FC6">
        <w:rPr>
          <w:rFonts w:ascii="Times New Roman" w:hAnsi="Times New Roman" w:cs="Times New Roman"/>
          <w:b/>
          <w:lang w:val="en-US"/>
        </w:rPr>
        <w:t xml:space="preserve">Impact of </w:t>
      </w:r>
      <w:r w:rsidR="0078336C">
        <w:rPr>
          <w:rFonts w:ascii="Times New Roman" w:hAnsi="Times New Roman" w:cs="Times New Roman"/>
          <w:b/>
          <w:lang w:val="en-US"/>
        </w:rPr>
        <w:t>F</w:t>
      </w:r>
      <w:r w:rsidR="00E77A46" w:rsidRPr="00F53FC6">
        <w:rPr>
          <w:rFonts w:ascii="Times New Roman" w:hAnsi="Times New Roman" w:cs="Times New Roman"/>
          <w:b/>
          <w:lang w:val="en-US"/>
        </w:rPr>
        <w:t xml:space="preserve">inancial </w:t>
      </w:r>
      <w:r w:rsidR="0078336C">
        <w:rPr>
          <w:rFonts w:ascii="Times New Roman" w:hAnsi="Times New Roman" w:cs="Times New Roman"/>
          <w:b/>
          <w:lang w:val="en-US"/>
        </w:rPr>
        <w:t>T</w:t>
      </w:r>
      <w:r w:rsidR="00E77A46" w:rsidRPr="00F53FC6">
        <w:rPr>
          <w:rFonts w:ascii="Times New Roman" w:hAnsi="Times New Roman" w:cs="Times New Roman"/>
          <w:b/>
          <w:lang w:val="en-US"/>
        </w:rPr>
        <w:t xml:space="preserve">ransparency </w:t>
      </w:r>
      <w:r w:rsidRPr="00F53FC6">
        <w:rPr>
          <w:rFonts w:ascii="Times New Roman" w:hAnsi="Times New Roman" w:cs="Times New Roman"/>
          <w:b/>
          <w:lang w:val="en-US"/>
        </w:rPr>
        <w:t>on SME</w:t>
      </w:r>
      <w:r w:rsidR="00C00754" w:rsidRPr="00F53FC6">
        <w:rPr>
          <w:rFonts w:ascii="Times New Roman" w:hAnsi="Times New Roman" w:cs="Times New Roman"/>
          <w:b/>
          <w:lang w:val="en-US"/>
        </w:rPr>
        <w:t>s’</w:t>
      </w:r>
      <w:r w:rsidRPr="00F53FC6">
        <w:rPr>
          <w:rFonts w:ascii="Times New Roman" w:hAnsi="Times New Roman" w:cs="Times New Roman"/>
          <w:b/>
          <w:lang w:val="en-US"/>
        </w:rPr>
        <w:t xml:space="preserve"> </w:t>
      </w:r>
      <w:r w:rsidR="0078336C">
        <w:rPr>
          <w:rFonts w:ascii="Times New Roman" w:hAnsi="Times New Roman" w:cs="Times New Roman"/>
          <w:b/>
          <w:lang w:val="en-US"/>
        </w:rPr>
        <w:t>V</w:t>
      </w:r>
      <w:r w:rsidRPr="00F53FC6">
        <w:rPr>
          <w:rFonts w:ascii="Times New Roman" w:hAnsi="Times New Roman" w:cs="Times New Roman"/>
          <w:b/>
          <w:lang w:val="en-US"/>
        </w:rPr>
        <w:t>alue</w:t>
      </w:r>
    </w:p>
    <w:p w14:paraId="47BF2EFD" w14:textId="77777777" w:rsidR="00CE1893" w:rsidRPr="00F53FC6" w:rsidRDefault="00CE1893" w:rsidP="00CE1893">
      <w:pPr>
        <w:spacing w:after="0" w:line="360" w:lineRule="auto"/>
        <w:contextualSpacing/>
        <w:mirrorIndents/>
        <w:jc w:val="center"/>
        <w:rPr>
          <w:rFonts w:ascii="Times New Roman" w:hAnsi="Times New Roman" w:cs="Times New Roman"/>
          <w:lang w:val="en-US"/>
        </w:rPr>
      </w:pPr>
    </w:p>
    <w:p w14:paraId="21DA6450" w14:textId="7FDC769C" w:rsidR="000872FC" w:rsidRPr="00F53FC6" w:rsidRDefault="00A229AE" w:rsidP="00CE1893">
      <w:pPr>
        <w:spacing w:after="0" w:line="360" w:lineRule="auto"/>
        <w:contextualSpacing/>
        <w:mirrorIndents/>
        <w:jc w:val="center"/>
        <w:rPr>
          <w:rFonts w:ascii="Times New Roman" w:hAnsi="Times New Roman" w:cs="Times New Roman"/>
          <w:lang w:val="en-US"/>
        </w:rPr>
      </w:pPr>
      <w:r w:rsidRPr="00F53FC6">
        <w:rPr>
          <w:rFonts w:ascii="Times New Roman" w:hAnsi="Times New Roman" w:cs="Times New Roman"/>
          <w:lang w:val="en-US"/>
        </w:rPr>
        <w:t>Andrea Quintiliani</w:t>
      </w:r>
    </w:p>
    <w:p w14:paraId="52471BC4" w14:textId="77777777" w:rsidR="000872FC" w:rsidRPr="00F53FC6" w:rsidRDefault="001A5663" w:rsidP="00CE1893">
      <w:pPr>
        <w:spacing w:after="0" w:line="360" w:lineRule="auto"/>
        <w:contextualSpacing/>
        <w:mirrorIndents/>
        <w:jc w:val="center"/>
        <w:rPr>
          <w:rFonts w:ascii="Times New Roman" w:hAnsi="Times New Roman" w:cs="Times New Roman"/>
          <w:i/>
          <w:lang w:val="en-US"/>
        </w:rPr>
      </w:pPr>
      <w:r w:rsidRPr="00F53FC6">
        <w:rPr>
          <w:rFonts w:ascii="Times New Roman" w:hAnsi="Times New Roman" w:cs="Times New Roman"/>
          <w:i/>
          <w:lang w:val="en-US"/>
        </w:rPr>
        <w:t>Department of Law and Economic Sciences</w:t>
      </w:r>
      <w:r w:rsidR="00A3691C" w:rsidRPr="00F53FC6">
        <w:rPr>
          <w:rFonts w:ascii="Times New Roman" w:hAnsi="Times New Roman" w:cs="Times New Roman"/>
          <w:i/>
          <w:lang w:val="en-US"/>
        </w:rPr>
        <w:t xml:space="preserve">, </w:t>
      </w:r>
      <w:proofErr w:type="spellStart"/>
      <w:r w:rsidR="000872FC" w:rsidRPr="00F53FC6">
        <w:rPr>
          <w:rFonts w:ascii="Times New Roman" w:hAnsi="Times New Roman" w:cs="Times New Roman"/>
          <w:i/>
          <w:lang w:val="en-US"/>
        </w:rPr>
        <w:t>Pegaso</w:t>
      </w:r>
      <w:proofErr w:type="spellEnd"/>
      <w:r w:rsidRPr="00F53FC6">
        <w:rPr>
          <w:rFonts w:ascii="Times New Roman" w:hAnsi="Times New Roman" w:cs="Times New Roman"/>
          <w:i/>
          <w:lang w:val="en-US"/>
        </w:rPr>
        <w:t xml:space="preserve"> Telematic University, Naples, Italy</w:t>
      </w:r>
    </w:p>
    <w:p w14:paraId="0D010BB8" w14:textId="77777777" w:rsidR="00E811EC" w:rsidRPr="00F53FC6" w:rsidRDefault="00E811EC" w:rsidP="00CE1893">
      <w:pPr>
        <w:spacing w:after="0" w:line="360" w:lineRule="auto"/>
        <w:contextualSpacing/>
        <w:mirrorIndents/>
        <w:jc w:val="center"/>
        <w:rPr>
          <w:rFonts w:ascii="Times New Roman" w:hAnsi="Times New Roman" w:cs="Times New Roman"/>
        </w:rPr>
      </w:pPr>
      <w:r w:rsidRPr="00F53FC6">
        <w:rPr>
          <w:rFonts w:ascii="Times New Roman" w:hAnsi="Times New Roman" w:cs="Times New Roman"/>
        </w:rPr>
        <w:t xml:space="preserve">E-mail: </w:t>
      </w:r>
      <w:r w:rsidR="000872FC" w:rsidRPr="00F53FC6">
        <w:rPr>
          <w:rFonts w:ascii="Times New Roman" w:hAnsi="Times New Roman" w:cs="Times New Roman"/>
        </w:rPr>
        <w:t>andrea.quintiliani@unipegaso.it</w:t>
      </w:r>
    </w:p>
    <w:p w14:paraId="6DD122BC" w14:textId="5B9A4097" w:rsidR="00E37BF0" w:rsidRPr="00F53FC6" w:rsidRDefault="00E37BF0" w:rsidP="00CE1893">
      <w:pPr>
        <w:spacing w:after="0" w:line="360" w:lineRule="auto"/>
        <w:contextualSpacing/>
        <w:mirrorIndents/>
        <w:jc w:val="both"/>
        <w:rPr>
          <w:rFonts w:ascii="Times New Roman" w:hAnsi="Times New Roman" w:cs="Times New Roman"/>
          <w:lang w:val="en-US"/>
        </w:rPr>
      </w:pPr>
    </w:p>
    <w:p w14:paraId="47ACC602" w14:textId="77777777" w:rsidR="002C119B" w:rsidRPr="00F53FC6" w:rsidRDefault="002C119B" w:rsidP="00CE1893">
      <w:pPr>
        <w:spacing w:after="0" w:line="360" w:lineRule="auto"/>
        <w:contextualSpacing/>
        <w:mirrorIndents/>
        <w:jc w:val="both"/>
        <w:rPr>
          <w:rFonts w:ascii="Times New Roman" w:hAnsi="Times New Roman" w:cs="Times New Roman"/>
          <w:lang w:val="en-US"/>
        </w:rPr>
      </w:pPr>
    </w:p>
    <w:p w14:paraId="70741502" w14:textId="17A5A1C7" w:rsidR="00F256B8" w:rsidRPr="00F53FC6" w:rsidRDefault="00E332BD" w:rsidP="00CE1893">
      <w:pPr>
        <w:spacing w:after="0" w:line="360" w:lineRule="auto"/>
        <w:contextualSpacing/>
        <w:mirrorIndents/>
        <w:jc w:val="both"/>
        <w:rPr>
          <w:rFonts w:ascii="Times New Roman" w:hAnsi="Times New Roman" w:cs="Times New Roman"/>
          <w:b/>
          <w:lang w:val="en-US"/>
        </w:rPr>
      </w:pPr>
      <w:r w:rsidRPr="00F53FC6">
        <w:rPr>
          <w:rFonts w:ascii="Times New Roman" w:hAnsi="Times New Roman" w:cs="Times New Roman"/>
          <w:b/>
          <w:lang w:val="en-US"/>
        </w:rPr>
        <w:t>Abstract</w:t>
      </w:r>
    </w:p>
    <w:p w14:paraId="2CE7EF78" w14:textId="6FBA875B" w:rsidR="00AA47EB" w:rsidRPr="00F53FC6" w:rsidRDefault="00D11B60" w:rsidP="00CE1893">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b/>
          <w:lang w:val="en-US"/>
        </w:rPr>
        <w:t>Objectives</w:t>
      </w:r>
      <w:r w:rsidR="00E37BF0" w:rsidRPr="00F53FC6">
        <w:rPr>
          <w:rFonts w:ascii="Times New Roman" w:hAnsi="Times New Roman" w:cs="Times New Roman"/>
          <w:lang w:val="en-US"/>
        </w:rPr>
        <w:t xml:space="preserve"> - </w:t>
      </w:r>
      <w:r w:rsidR="00AA47EB" w:rsidRPr="00F53FC6">
        <w:rPr>
          <w:rFonts w:ascii="Times New Roman" w:hAnsi="Times New Roman" w:cs="Times New Roman"/>
          <w:lang w:val="en-US"/>
        </w:rPr>
        <w:t xml:space="preserve">This article aims to determine the influence of </w:t>
      </w:r>
      <w:r w:rsidR="00245D2D" w:rsidRPr="00F53FC6">
        <w:rPr>
          <w:rFonts w:ascii="Times New Roman" w:hAnsi="Times New Roman" w:cs="Times New Roman"/>
          <w:lang w:val="en-US"/>
        </w:rPr>
        <w:t>f</w:t>
      </w:r>
      <w:r w:rsidR="006D280B" w:rsidRPr="00F53FC6">
        <w:rPr>
          <w:rFonts w:ascii="Times New Roman" w:hAnsi="Times New Roman" w:cs="Times New Roman"/>
          <w:lang w:val="en-US"/>
        </w:rPr>
        <w:t xml:space="preserve">inancial </w:t>
      </w:r>
      <w:r w:rsidR="00245D2D" w:rsidRPr="00F53FC6">
        <w:rPr>
          <w:rFonts w:ascii="Times New Roman" w:hAnsi="Times New Roman" w:cs="Times New Roman"/>
          <w:lang w:val="en-US"/>
        </w:rPr>
        <w:t>t</w:t>
      </w:r>
      <w:r w:rsidR="006D280B" w:rsidRPr="00F53FC6">
        <w:rPr>
          <w:rFonts w:ascii="Times New Roman" w:hAnsi="Times New Roman" w:cs="Times New Roman"/>
          <w:lang w:val="en-US"/>
        </w:rPr>
        <w:t>ransparency</w:t>
      </w:r>
      <w:r w:rsidR="00AA47EB" w:rsidRPr="00F53FC6">
        <w:rPr>
          <w:rFonts w:ascii="Times New Roman" w:hAnsi="Times New Roman" w:cs="Times New Roman"/>
          <w:lang w:val="en-US"/>
        </w:rPr>
        <w:t xml:space="preserve"> on SME</w:t>
      </w:r>
      <w:r w:rsidR="00682F2C" w:rsidRPr="00F53FC6">
        <w:rPr>
          <w:rFonts w:ascii="Times New Roman" w:hAnsi="Times New Roman" w:cs="Times New Roman"/>
          <w:lang w:val="en-US"/>
        </w:rPr>
        <w:t xml:space="preserve"> performance</w:t>
      </w:r>
      <w:r w:rsidR="00AA47EB" w:rsidRPr="00F53FC6">
        <w:rPr>
          <w:rFonts w:ascii="Times New Roman" w:hAnsi="Times New Roman" w:cs="Times New Roman"/>
          <w:lang w:val="en-US"/>
        </w:rPr>
        <w:t>.</w:t>
      </w:r>
      <w:r w:rsidR="00C42A0B" w:rsidRPr="00F53FC6">
        <w:rPr>
          <w:rFonts w:ascii="Times New Roman" w:hAnsi="Times New Roman" w:cs="Times New Roman"/>
          <w:lang w:val="en-US"/>
        </w:rPr>
        <w:t xml:space="preserve"> The paper </w:t>
      </w:r>
      <w:r w:rsidR="00C00754" w:rsidRPr="00F53FC6">
        <w:rPr>
          <w:rFonts w:ascii="Times New Roman" w:hAnsi="Times New Roman" w:cs="Times New Roman"/>
          <w:lang w:val="en-US"/>
        </w:rPr>
        <w:t>tests</w:t>
      </w:r>
      <w:r w:rsidR="00C42A0B" w:rsidRPr="00F53FC6">
        <w:rPr>
          <w:rFonts w:ascii="Times New Roman" w:hAnsi="Times New Roman" w:cs="Times New Roman"/>
          <w:lang w:val="en-US"/>
        </w:rPr>
        <w:t xml:space="preserve"> the hypothesis that there is no significant relationship between </w:t>
      </w:r>
      <w:r w:rsidR="00245D2D" w:rsidRPr="00F53FC6">
        <w:rPr>
          <w:rFonts w:ascii="Times New Roman" w:hAnsi="Times New Roman" w:cs="Times New Roman"/>
          <w:lang w:val="en-US"/>
        </w:rPr>
        <w:t>f</w:t>
      </w:r>
      <w:r w:rsidR="006D280B" w:rsidRPr="00F53FC6">
        <w:rPr>
          <w:rFonts w:ascii="Times New Roman" w:hAnsi="Times New Roman" w:cs="Times New Roman"/>
          <w:lang w:val="en-US"/>
        </w:rPr>
        <w:t xml:space="preserve">inancial </w:t>
      </w:r>
      <w:r w:rsidR="00245D2D" w:rsidRPr="00F53FC6">
        <w:rPr>
          <w:rFonts w:ascii="Times New Roman" w:hAnsi="Times New Roman" w:cs="Times New Roman"/>
          <w:lang w:val="en-US"/>
        </w:rPr>
        <w:t>t</w:t>
      </w:r>
      <w:r w:rsidR="006D280B" w:rsidRPr="00F53FC6">
        <w:rPr>
          <w:rFonts w:ascii="Times New Roman" w:hAnsi="Times New Roman" w:cs="Times New Roman"/>
          <w:lang w:val="en-US"/>
        </w:rPr>
        <w:t xml:space="preserve">ransparency </w:t>
      </w:r>
      <w:r w:rsidR="00C42A0B" w:rsidRPr="00F53FC6">
        <w:rPr>
          <w:rFonts w:ascii="Times New Roman" w:hAnsi="Times New Roman" w:cs="Times New Roman"/>
          <w:lang w:val="en-US"/>
        </w:rPr>
        <w:t xml:space="preserve">and SME value improvement as indicated by </w:t>
      </w:r>
      <w:r w:rsidR="0088688C" w:rsidRPr="00F53FC6">
        <w:rPr>
          <w:rFonts w:ascii="Times New Roman" w:hAnsi="Times New Roman" w:cs="Times New Roman"/>
          <w:lang w:val="en-US"/>
        </w:rPr>
        <w:t>i</w:t>
      </w:r>
      <w:r w:rsidR="005F36FD" w:rsidRPr="00F53FC6">
        <w:rPr>
          <w:rFonts w:ascii="Times New Roman" w:hAnsi="Times New Roman" w:cs="Times New Roman"/>
          <w:lang w:val="en-US"/>
        </w:rPr>
        <w:t xml:space="preserve">nterest </w:t>
      </w:r>
      <w:r w:rsidR="0088688C" w:rsidRPr="00F53FC6">
        <w:rPr>
          <w:rFonts w:ascii="Times New Roman" w:hAnsi="Times New Roman" w:cs="Times New Roman"/>
          <w:lang w:val="en-US"/>
        </w:rPr>
        <w:t>c</w:t>
      </w:r>
      <w:r w:rsidR="005F36FD" w:rsidRPr="00F53FC6">
        <w:rPr>
          <w:rFonts w:ascii="Times New Roman" w:hAnsi="Times New Roman" w:cs="Times New Roman"/>
          <w:lang w:val="en-US"/>
        </w:rPr>
        <w:t xml:space="preserve">overage </w:t>
      </w:r>
      <w:r w:rsidR="0088688C" w:rsidRPr="00F53FC6">
        <w:rPr>
          <w:rFonts w:ascii="Times New Roman" w:hAnsi="Times New Roman" w:cs="Times New Roman"/>
          <w:lang w:val="en-US"/>
        </w:rPr>
        <w:t>r</w:t>
      </w:r>
      <w:r w:rsidR="005F36FD" w:rsidRPr="00F53FC6">
        <w:rPr>
          <w:rFonts w:ascii="Times New Roman" w:hAnsi="Times New Roman" w:cs="Times New Roman"/>
          <w:lang w:val="en-US"/>
        </w:rPr>
        <w:t>atio</w:t>
      </w:r>
      <w:r w:rsidR="00C42A0B" w:rsidRPr="00F53FC6">
        <w:rPr>
          <w:rFonts w:ascii="Times New Roman" w:hAnsi="Times New Roman" w:cs="Times New Roman"/>
          <w:lang w:val="en-US"/>
        </w:rPr>
        <w:t xml:space="preserve"> and </w:t>
      </w:r>
      <w:bookmarkStart w:id="0" w:name="_Hlk23270880"/>
      <w:r w:rsidR="00C42A0B" w:rsidRPr="00F53FC6">
        <w:rPr>
          <w:rFonts w:ascii="Times New Roman" w:hAnsi="Times New Roman" w:cs="Times New Roman"/>
          <w:lang w:val="en-US"/>
        </w:rPr>
        <w:t>Tobin Q</w:t>
      </w:r>
      <w:bookmarkEnd w:id="0"/>
      <w:r w:rsidR="00C42A0B" w:rsidRPr="00F53FC6">
        <w:rPr>
          <w:rFonts w:ascii="Times New Roman" w:hAnsi="Times New Roman" w:cs="Times New Roman"/>
          <w:lang w:val="en-US"/>
        </w:rPr>
        <w:t xml:space="preserve">. </w:t>
      </w:r>
      <w:r w:rsidR="00682F2C" w:rsidRPr="00F53FC6">
        <w:rPr>
          <w:rFonts w:ascii="Times New Roman" w:hAnsi="Times New Roman" w:cs="Times New Roman"/>
          <w:lang w:val="en-US"/>
        </w:rPr>
        <w:t>Agency theory is a useful framework for designing financial transparency tools</w:t>
      </w:r>
      <w:r w:rsidR="00C42A0B" w:rsidRPr="00F53FC6">
        <w:rPr>
          <w:rFonts w:ascii="Times New Roman" w:hAnsi="Times New Roman" w:cs="Times New Roman"/>
          <w:lang w:val="en-US"/>
        </w:rPr>
        <w:t>.</w:t>
      </w:r>
    </w:p>
    <w:p w14:paraId="546E51FD" w14:textId="634BFD4A" w:rsidR="00503FA5" w:rsidRPr="00F53FC6" w:rsidRDefault="00D11B60" w:rsidP="00CE1893">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b/>
          <w:lang w:val="en-US"/>
        </w:rPr>
        <w:t>M</w:t>
      </w:r>
      <w:r w:rsidR="0043381C" w:rsidRPr="00F53FC6">
        <w:rPr>
          <w:rFonts w:ascii="Times New Roman" w:hAnsi="Times New Roman" w:cs="Times New Roman"/>
          <w:b/>
          <w:lang w:val="en-US"/>
        </w:rPr>
        <w:t>ethodology</w:t>
      </w:r>
      <w:r w:rsidR="00E86C03" w:rsidRPr="00F53FC6">
        <w:rPr>
          <w:rFonts w:ascii="Times New Roman" w:hAnsi="Times New Roman" w:cs="Times New Roman"/>
          <w:b/>
          <w:lang w:val="en-US"/>
        </w:rPr>
        <w:t xml:space="preserve"> -</w:t>
      </w:r>
      <w:r w:rsidR="00E37BF0" w:rsidRPr="00F53FC6">
        <w:rPr>
          <w:rFonts w:ascii="Times New Roman" w:hAnsi="Times New Roman" w:cs="Times New Roman"/>
          <w:lang w:val="en-US"/>
        </w:rPr>
        <w:t xml:space="preserve"> </w:t>
      </w:r>
      <w:r w:rsidR="00E86C03" w:rsidRPr="00F53FC6">
        <w:rPr>
          <w:rFonts w:ascii="Times New Roman" w:hAnsi="Times New Roman" w:cs="Times New Roman"/>
          <w:lang w:val="en-US"/>
        </w:rPr>
        <w:t xml:space="preserve">The study applied census survey for one hundred twenty-eight SMEs listed in AIM Italia. The time under study was from 2014 to 2018. Out of the 128 listed SMEs targeted, </w:t>
      </w:r>
      <w:r w:rsidR="003E5086" w:rsidRPr="00F53FC6">
        <w:rPr>
          <w:rFonts w:ascii="Times New Roman" w:hAnsi="Times New Roman" w:cs="Times New Roman"/>
          <w:lang w:val="en-US"/>
        </w:rPr>
        <w:t>115</w:t>
      </w:r>
      <w:r w:rsidR="00E86C03" w:rsidRPr="00F53FC6">
        <w:rPr>
          <w:rFonts w:ascii="Times New Roman" w:hAnsi="Times New Roman" w:cs="Times New Roman"/>
          <w:lang w:val="en-US"/>
        </w:rPr>
        <w:t xml:space="preserve"> were analyzed forming </w:t>
      </w:r>
      <w:r w:rsidR="003E5086" w:rsidRPr="00F53FC6">
        <w:rPr>
          <w:rFonts w:ascii="Times New Roman" w:hAnsi="Times New Roman" w:cs="Times New Roman"/>
          <w:lang w:val="en-US"/>
        </w:rPr>
        <w:t>9</w:t>
      </w:r>
      <w:r w:rsidR="00E86C03" w:rsidRPr="00F53FC6">
        <w:rPr>
          <w:rFonts w:ascii="Times New Roman" w:hAnsi="Times New Roman" w:cs="Times New Roman"/>
          <w:lang w:val="en-US"/>
        </w:rPr>
        <w:t>0% of the population.</w:t>
      </w:r>
      <w:r w:rsidR="00AA05BD" w:rsidRPr="00F53FC6">
        <w:rPr>
          <w:rFonts w:ascii="Times New Roman" w:hAnsi="Times New Roman" w:cs="Times New Roman"/>
          <w:lang w:val="en-US"/>
        </w:rPr>
        <w:t xml:space="preserve"> </w:t>
      </w:r>
      <w:r w:rsidR="00F75518" w:rsidRPr="00F53FC6">
        <w:rPr>
          <w:rFonts w:ascii="Times New Roman" w:hAnsi="Times New Roman" w:cs="Times New Roman"/>
          <w:lang w:val="en-US"/>
        </w:rPr>
        <w:t xml:space="preserve">Financial </w:t>
      </w:r>
      <w:r w:rsidR="00245D2D" w:rsidRPr="00F53FC6">
        <w:rPr>
          <w:rFonts w:ascii="Times New Roman" w:hAnsi="Times New Roman" w:cs="Times New Roman"/>
          <w:lang w:val="en-US"/>
        </w:rPr>
        <w:t>t</w:t>
      </w:r>
      <w:r w:rsidR="00F75518" w:rsidRPr="00F53FC6">
        <w:rPr>
          <w:rFonts w:ascii="Times New Roman" w:hAnsi="Times New Roman" w:cs="Times New Roman"/>
          <w:lang w:val="en-US"/>
        </w:rPr>
        <w:t xml:space="preserve">ransparency </w:t>
      </w:r>
      <w:r w:rsidR="00245D2D" w:rsidRPr="00F53FC6">
        <w:rPr>
          <w:rFonts w:ascii="Times New Roman" w:hAnsi="Times New Roman" w:cs="Times New Roman"/>
          <w:lang w:val="en-US"/>
        </w:rPr>
        <w:t>in</w:t>
      </w:r>
      <w:r w:rsidR="00AA05BD" w:rsidRPr="00F53FC6">
        <w:rPr>
          <w:rFonts w:ascii="Times New Roman" w:hAnsi="Times New Roman" w:cs="Times New Roman"/>
          <w:lang w:val="en-US"/>
        </w:rPr>
        <w:t xml:space="preserve">dex </w:t>
      </w:r>
      <w:r w:rsidR="00595EC2" w:rsidRPr="00F53FC6">
        <w:rPr>
          <w:rFonts w:ascii="Times New Roman" w:hAnsi="Times New Roman" w:cs="Times New Roman"/>
          <w:lang w:val="en-US"/>
        </w:rPr>
        <w:t xml:space="preserve">(FTI) </w:t>
      </w:r>
      <w:r w:rsidR="00AA05BD" w:rsidRPr="00F53FC6">
        <w:rPr>
          <w:rFonts w:ascii="Times New Roman" w:hAnsi="Times New Roman" w:cs="Times New Roman"/>
          <w:lang w:val="en-US"/>
        </w:rPr>
        <w:t xml:space="preserve">was developed as proxy measures of variables. </w:t>
      </w:r>
      <w:r w:rsidR="00D354E1" w:rsidRPr="00F53FC6">
        <w:rPr>
          <w:rFonts w:ascii="Times New Roman" w:hAnsi="Times New Roman" w:cs="Times New Roman"/>
          <w:lang w:val="en-US"/>
        </w:rPr>
        <w:t>Regression analysis and correlation analysis have been applied to test the hypothes</w:t>
      </w:r>
      <w:r w:rsidR="00646CEB" w:rsidRPr="00F53FC6">
        <w:rPr>
          <w:rFonts w:ascii="Times New Roman" w:hAnsi="Times New Roman" w:cs="Times New Roman"/>
          <w:lang w:val="en-US"/>
        </w:rPr>
        <w:t>e</w:t>
      </w:r>
      <w:r w:rsidR="00D354E1" w:rsidRPr="00F53FC6">
        <w:rPr>
          <w:rFonts w:ascii="Times New Roman" w:hAnsi="Times New Roman" w:cs="Times New Roman"/>
          <w:lang w:val="en-US"/>
        </w:rPr>
        <w:t xml:space="preserve">s. Key study variables of SMEs are subject to descriptive statistics. </w:t>
      </w:r>
    </w:p>
    <w:p w14:paraId="33DA135A" w14:textId="19212549" w:rsidR="00F75518" w:rsidRPr="00F53FC6" w:rsidRDefault="00BB4B27" w:rsidP="000E6AEA">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b/>
          <w:lang w:val="en-US"/>
        </w:rPr>
        <w:t>Findings</w:t>
      </w:r>
      <w:r w:rsidRPr="00F53FC6">
        <w:rPr>
          <w:rFonts w:ascii="Times New Roman" w:hAnsi="Times New Roman" w:cs="Times New Roman"/>
          <w:lang w:val="en-US"/>
        </w:rPr>
        <w:t xml:space="preserve"> -</w:t>
      </w:r>
      <w:r w:rsidR="00F75518" w:rsidRPr="00F53FC6">
        <w:rPr>
          <w:rFonts w:ascii="Times New Roman" w:hAnsi="Times New Roman" w:cs="Times New Roman"/>
          <w:lang w:val="en-US"/>
        </w:rPr>
        <w:t xml:space="preserve"> </w:t>
      </w:r>
      <w:r w:rsidR="000E6AEA" w:rsidRPr="00F53FC6">
        <w:rPr>
          <w:rFonts w:ascii="Times New Roman" w:hAnsi="Times New Roman" w:cs="Times New Roman"/>
          <w:lang w:val="en-US"/>
        </w:rPr>
        <w:t xml:space="preserve">The results suggest a positive and significant relationship between the variables. Greater </w:t>
      </w:r>
      <w:r w:rsidR="00245D2D" w:rsidRPr="00F53FC6">
        <w:rPr>
          <w:rFonts w:ascii="Times New Roman" w:hAnsi="Times New Roman" w:cs="Times New Roman"/>
          <w:lang w:val="en-US"/>
        </w:rPr>
        <w:t>f</w:t>
      </w:r>
      <w:r w:rsidR="000E6AEA" w:rsidRPr="00F53FC6">
        <w:rPr>
          <w:rFonts w:ascii="Times New Roman" w:hAnsi="Times New Roman" w:cs="Times New Roman"/>
          <w:lang w:val="en-US"/>
        </w:rPr>
        <w:t xml:space="preserve">inancial </w:t>
      </w:r>
      <w:r w:rsidR="00245D2D" w:rsidRPr="00F53FC6">
        <w:rPr>
          <w:rFonts w:ascii="Times New Roman" w:hAnsi="Times New Roman" w:cs="Times New Roman"/>
          <w:lang w:val="en-US"/>
        </w:rPr>
        <w:t>t</w:t>
      </w:r>
      <w:r w:rsidR="000E6AEA" w:rsidRPr="00F53FC6">
        <w:rPr>
          <w:rFonts w:ascii="Times New Roman" w:hAnsi="Times New Roman" w:cs="Times New Roman"/>
          <w:lang w:val="en-US"/>
        </w:rPr>
        <w:t>ransparency allows SMEs to reduce information asymmetries and optimize their capital structure</w:t>
      </w:r>
      <w:r w:rsidR="00F75518" w:rsidRPr="00F53FC6">
        <w:rPr>
          <w:rFonts w:ascii="Times New Roman" w:hAnsi="Times New Roman" w:cs="Times New Roman"/>
          <w:lang w:val="en-US"/>
        </w:rPr>
        <w:t xml:space="preserve">. </w:t>
      </w:r>
    </w:p>
    <w:p w14:paraId="5F3B8CAA" w14:textId="6F6F0CEA" w:rsidR="009C6172" w:rsidRPr="00F53FC6" w:rsidRDefault="00CE1893" w:rsidP="00CE1893">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b/>
          <w:lang w:val="en-US"/>
        </w:rPr>
        <w:t xml:space="preserve">Research </w:t>
      </w:r>
      <w:r w:rsidR="00D11B60" w:rsidRPr="00F53FC6">
        <w:rPr>
          <w:rFonts w:ascii="Times New Roman" w:hAnsi="Times New Roman" w:cs="Times New Roman"/>
          <w:b/>
          <w:lang w:val="en-US"/>
        </w:rPr>
        <w:t>limits</w:t>
      </w:r>
      <w:r w:rsidR="0043381C" w:rsidRPr="00F53FC6">
        <w:rPr>
          <w:rFonts w:ascii="Times New Roman" w:hAnsi="Times New Roman" w:cs="Times New Roman"/>
          <w:i/>
          <w:lang w:val="en-US"/>
        </w:rPr>
        <w:t xml:space="preserve"> </w:t>
      </w:r>
      <w:r w:rsidR="00E332BD" w:rsidRPr="00F53FC6">
        <w:rPr>
          <w:rFonts w:ascii="Times New Roman" w:hAnsi="Times New Roman" w:cs="Times New Roman"/>
          <w:lang w:val="en-US"/>
        </w:rPr>
        <w:t>-</w:t>
      </w:r>
      <w:r w:rsidR="00E37BF0" w:rsidRPr="00F53FC6">
        <w:rPr>
          <w:rFonts w:ascii="Times New Roman" w:hAnsi="Times New Roman" w:cs="Times New Roman"/>
          <w:lang w:val="en-US"/>
        </w:rPr>
        <w:t xml:space="preserve"> </w:t>
      </w:r>
      <w:r w:rsidR="009C6172" w:rsidRPr="00F53FC6">
        <w:rPr>
          <w:rFonts w:ascii="Times New Roman" w:hAnsi="Times New Roman" w:cs="Times New Roman"/>
          <w:lang w:val="en-US"/>
        </w:rPr>
        <w:t xml:space="preserve">Data used for this study need to be subjected to more statistical tests in order to establish a more robust validity and reliability. It is necessary to acquire further strengthened data and assume a variety of conditional situations. It is expected that subsequent studies can use larger samples, a broader geographic base (extended at </w:t>
      </w:r>
      <w:proofErr w:type="spellStart"/>
      <w:r w:rsidR="007305FD" w:rsidRPr="00F53FC6">
        <w:rPr>
          <w:rFonts w:ascii="Times New Roman" w:hAnsi="Times New Roman" w:cs="Times New Roman"/>
          <w:lang w:val="en-US"/>
        </w:rPr>
        <w:t>e</w:t>
      </w:r>
      <w:r w:rsidR="009C6172" w:rsidRPr="00F53FC6">
        <w:rPr>
          <w:rFonts w:ascii="Times New Roman" w:hAnsi="Times New Roman" w:cs="Times New Roman"/>
          <w:lang w:val="en-US"/>
        </w:rPr>
        <w:t>uropean</w:t>
      </w:r>
      <w:proofErr w:type="spellEnd"/>
      <w:r w:rsidR="009C6172" w:rsidRPr="00F53FC6">
        <w:rPr>
          <w:rFonts w:ascii="Times New Roman" w:hAnsi="Times New Roman" w:cs="Times New Roman"/>
          <w:lang w:val="en-US"/>
        </w:rPr>
        <w:t xml:space="preserve"> level) and a multi-faceted analysis.</w:t>
      </w:r>
    </w:p>
    <w:p w14:paraId="570F75CB" w14:textId="34318754" w:rsidR="00595EC2" w:rsidRPr="00F53FC6" w:rsidRDefault="00E37BF0" w:rsidP="00CE1893">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b/>
          <w:lang w:val="en-US"/>
        </w:rPr>
        <w:t>Practical implications</w:t>
      </w:r>
      <w:r w:rsidRPr="00F53FC6">
        <w:rPr>
          <w:rFonts w:ascii="Times New Roman" w:hAnsi="Times New Roman" w:cs="Times New Roman"/>
          <w:lang w:val="en-US"/>
        </w:rPr>
        <w:t xml:space="preserve"> - </w:t>
      </w:r>
      <w:r w:rsidR="00A56A90" w:rsidRPr="00F53FC6">
        <w:rPr>
          <w:rFonts w:ascii="Times New Roman" w:hAnsi="Times New Roman" w:cs="Times New Roman"/>
          <w:lang w:val="en-US"/>
        </w:rPr>
        <w:t xml:space="preserve">Analyst and investors may apply findings to identify crucial </w:t>
      </w:r>
      <w:r w:rsidR="00245D2D" w:rsidRPr="00F53FC6">
        <w:rPr>
          <w:rFonts w:ascii="Times New Roman" w:hAnsi="Times New Roman" w:cs="Times New Roman"/>
          <w:lang w:val="en-US"/>
        </w:rPr>
        <w:t>f</w:t>
      </w:r>
      <w:r w:rsidR="00A56A90" w:rsidRPr="00F53FC6">
        <w:rPr>
          <w:rFonts w:ascii="Times New Roman" w:hAnsi="Times New Roman" w:cs="Times New Roman"/>
          <w:lang w:val="en-US"/>
        </w:rPr>
        <w:t xml:space="preserve">inancial </w:t>
      </w:r>
      <w:r w:rsidR="00245D2D" w:rsidRPr="00F53FC6">
        <w:rPr>
          <w:rFonts w:ascii="Times New Roman" w:hAnsi="Times New Roman" w:cs="Times New Roman"/>
          <w:lang w:val="en-US"/>
        </w:rPr>
        <w:t>t</w:t>
      </w:r>
      <w:r w:rsidR="00A56A90" w:rsidRPr="00F53FC6">
        <w:rPr>
          <w:rFonts w:ascii="Times New Roman" w:hAnsi="Times New Roman" w:cs="Times New Roman"/>
          <w:lang w:val="en-US"/>
        </w:rPr>
        <w:t xml:space="preserve">ransparency tools in financial markets. The findings can also be useful to stimulate debate on the role of </w:t>
      </w:r>
      <w:r w:rsidR="00245D2D" w:rsidRPr="00F53FC6">
        <w:rPr>
          <w:rFonts w:ascii="Times New Roman" w:hAnsi="Times New Roman" w:cs="Times New Roman"/>
          <w:lang w:val="en-US"/>
        </w:rPr>
        <w:t>f</w:t>
      </w:r>
      <w:r w:rsidR="00A56A90" w:rsidRPr="00F53FC6">
        <w:rPr>
          <w:rFonts w:ascii="Times New Roman" w:hAnsi="Times New Roman" w:cs="Times New Roman"/>
          <w:lang w:val="en-US"/>
        </w:rPr>
        <w:t xml:space="preserve">inancial </w:t>
      </w:r>
      <w:proofErr w:type="spellStart"/>
      <w:r w:rsidR="00245D2D" w:rsidRPr="00F53FC6">
        <w:rPr>
          <w:rFonts w:ascii="Times New Roman" w:hAnsi="Times New Roman" w:cs="Times New Roman"/>
          <w:lang w:val="en-US"/>
        </w:rPr>
        <w:t>t</w:t>
      </w:r>
      <w:r w:rsidR="00A56A90" w:rsidRPr="00F53FC6">
        <w:rPr>
          <w:rFonts w:ascii="Times New Roman" w:hAnsi="Times New Roman" w:cs="Times New Roman"/>
          <w:lang w:val="en-US"/>
        </w:rPr>
        <w:t>ansparency</w:t>
      </w:r>
      <w:proofErr w:type="spellEnd"/>
      <w:r w:rsidR="00A56A90" w:rsidRPr="00F53FC6">
        <w:rPr>
          <w:rFonts w:ascii="Times New Roman" w:hAnsi="Times New Roman" w:cs="Times New Roman"/>
          <w:lang w:val="en-US"/>
        </w:rPr>
        <w:t xml:space="preserve"> policies in mitigating the difficulties of small and medium entrepreneurs in achieving value creation goals.</w:t>
      </w:r>
    </w:p>
    <w:p w14:paraId="03442FB4" w14:textId="52B02906" w:rsidR="005C1382" w:rsidRPr="00F53FC6" w:rsidRDefault="0043381C" w:rsidP="00CE1893">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b/>
          <w:lang w:val="en-US"/>
        </w:rPr>
        <w:t>Originality</w:t>
      </w:r>
      <w:r w:rsidR="00D11B60" w:rsidRPr="00F53FC6">
        <w:rPr>
          <w:rFonts w:ascii="Times New Roman" w:hAnsi="Times New Roman" w:cs="Times New Roman"/>
          <w:b/>
          <w:lang w:val="en-US"/>
        </w:rPr>
        <w:t xml:space="preserve"> of the study</w:t>
      </w:r>
      <w:r w:rsidR="00E37BF0" w:rsidRPr="00F53FC6">
        <w:rPr>
          <w:rFonts w:ascii="Times New Roman" w:hAnsi="Times New Roman" w:cs="Times New Roman"/>
          <w:lang w:val="en-US"/>
        </w:rPr>
        <w:t xml:space="preserve"> </w:t>
      </w:r>
      <w:r w:rsidR="008224AE" w:rsidRPr="00F53FC6">
        <w:rPr>
          <w:rFonts w:ascii="Times New Roman" w:hAnsi="Times New Roman" w:cs="Times New Roman"/>
          <w:lang w:val="en-US"/>
        </w:rPr>
        <w:t>-</w:t>
      </w:r>
      <w:r w:rsidR="00E37BF0" w:rsidRPr="00F53FC6">
        <w:rPr>
          <w:rFonts w:ascii="Times New Roman" w:hAnsi="Times New Roman" w:cs="Times New Roman"/>
          <w:lang w:val="en-US"/>
        </w:rPr>
        <w:t xml:space="preserve"> </w:t>
      </w:r>
      <w:r w:rsidR="008224AE" w:rsidRPr="00F53FC6">
        <w:rPr>
          <w:rFonts w:ascii="Times New Roman" w:hAnsi="Times New Roman" w:cs="Times New Roman"/>
          <w:lang w:val="en-US"/>
        </w:rPr>
        <w:t xml:space="preserve">The study has applied important mechanism in </w:t>
      </w:r>
      <w:r w:rsidR="00595EC2" w:rsidRPr="00F53FC6">
        <w:rPr>
          <w:rFonts w:ascii="Times New Roman" w:hAnsi="Times New Roman" w:cs="Times New Roman"/>
          <w:lang w:val="en-US"/>
        </w:rPr>
        <w:t>FT</w:t>
      </w:r>
      <w:r w:rsidR="008224AE" w:rsidRPr="00F53FC6">
        <w:rPr>
          <w:rFonts w:ascii="Times New Roman" w:hAnsi="Times New Roman" w:cs="Times New Roman"/>
          <w:lang w:val="en-US"/>
        </w:rPr>
        <w:t xml:space="preserve">I to examine the effect of </w:t>
      </w:r>
      <w:r w:rsidR="00245D2D" w:rsidRPr="00F53FC6">
        <w:rPr>
          <w:rFonts w:ascii="Times New Roman" w:hAnsi="Times New Roman" w:cs="Times New Roman"/>
          <w:lang w:val="en-US"/>
        </w:rPr>
        <w:t>f</w:t>
      </w:r>
      <w:r w:rsidR="00595EC2" w:rsidRPr="00F53FC6">
        <w:rPr>
          <w:rFonts w:ascii="Times New Roman" w:hAnsi="Times New Roman" w:cs="Times New Roman"/>
          <w:lang w:val="en-US"/>
        </w:rPr>
        <w:t xml:space="preserve">inancial </w:t>
      </w:r>
      <w:r w:rsidR="00245D2D" w:rsidRPr="00F53FC6">
        <w:rPr>
          <w:rFonts w:ascii="Times New Roman" w:hAnsi="Times New Roman" w:cs="Times New Roman"/>
          <w:lang w:val="en-US"/>
        </w:rPr>
        <w:t>t</w:t>
      </w:r>
      <w:r w:rsidR="00595EC2" w:rsidRPr="00F53FC6">
        <w:rPr>
          <w:rFonts w:ascii="Times New Roman" w:hAnsi="Times New Roman" w:cs="Times New Roman"/>
          <w:lang w:val="en-US"/>
        </w:rPr>
        <w:t xml:space="preserve">ransparency </w:t>
      </w:r>
      <w:r w:rsidR="008224AE" w:rsidRPr="00F53FC6">
        <w:rPr>
          <w:rFonts w:ascii="Times New Roman" w:hAnsi="Times New Roman" w:cs="Times New Roman"/>
          <w:lang w:val="en-US"/>
        </w:rPr>
        <w:t xml:space="preserve">on SME value which has provided new insight on the relationship thereby enriching the </w:t>
      </w:r>
      <w:r w:rsidR="00A56A90" w:rsidRPr="00F53FC6">
        <w:rPr>
          <w:rFonts w:ascii="Times New Roman" w:hAnsi="Times New Roman" w:cs="Times New Roman"/>
          <w:lang w:val="en-US"/>
        </w:rPr>
        <w:t>finding</w:t>
      </w:r>
      <w:r w:rsidR="008224AE" w:rsidRPr="00F53FC6">
        <w:rPr>
          <w:rFonts w:ascii="Times New Roman" w:hAnsi="Times New Roman" w:cs="Times New Roman"/>
          <w:lang w:val="en-US"/>
        </w:rPr>
        <w:t>.</w:t>
      </w:r>
    </w:p>
    <w:p w14:paraId="673BD659" w14:textId="53B71CE5" w:rsidR="0043381C" w:rsidRDefault="00E37BF0" w:rsidP="00CE1893">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b/>
          <w:lang w:val="en-US"/>
        </w:rPr>
        <w:t>Keywords</w:t>
      </w:r>
      <w:r w:rsidR="00CF24EF" w:rsidRPr="00F53FC6">
        <w:rPr>
          <w:rFonts w:ascii="Times New Roman" w:hAnsi="Times New Roman" w:cs="Times New Roman"/>
          <w:b/>
          <w:lang w:val="en-US"/>
        </w:rPr>
        <w:t xml:space="preserve"> -</w:t>
      </w:r>
      <w:r w:rsidRPr="00F53FC6">
        <w:rPr>
          <w:rFonts w:ascii="Times New Roman" w:hAnsi="Times New Roman" w:cs="Times New Roman"/>
          <w:lang w:val="en-US"/>
        </w:rPr>
        <w:t xml:space="preserve"> </w:t>
      </w:r>
      <w:r w:rsidR="00D778B8" w:rsidRPr="00F53FC6">
        <w:rPr>
          <w:rFonts w:ascii="Times New Roman" w:hAnsi="Times New Roman" w:cs="Times New Roman"/>
          <w:lang w:val="en-US"/>
        </w:rPr>
        <w:t xml:space="preserve">Financial </w:t>
      </w:r>
      <w:r w:rsidR="00A56A90" w:rsidRPr="00F53FC6">
        <w:rPr>
          <w:rFonts w:ascii="Times New Roman" w:hAnsi="Times New Roman" w:cs="Times New Roman"/>
          <w:lang w:val="en-US"/>
        </w:rPr>
        <w:t>t</w:t>
      </w:r>
      <w:r w:rsidR="00D778B8" w:rsidRPr="00F53FC6">
        <w:rPr>
          <w:rFonts w:ascii="Times New Roman" w:hAnsi="Times New Roman" w:cs="Times New Roman"/>
          <w:lang w:val="en-US"/>
        </w:rPr>
        <w:t>ransparency</w:t>
      </w:r>
      <w:r w:rsidRPr="00F53FC6">
        <w:rPr>
          <w:rFonts w:ascii="Times New Roman" w:hAnsi="Times New Roman" w:cs="Times New Roman"/>
          <w:lang w:val="en-US"/>
        </w:rPr>
        <w:t xml:space="preserve">, </w:t>
      </w:r>
      <w:r w:rsidR="00E332BD" w:rsidRPr="00F53FC6">
        <w:rPr>
          <w:rFonts w:ascii="Times New Roman" w:hAnsi="Times New Roman" w:cs="Times New Roman"/>
          <w:lang w:val="en-US"/>
        </w:rPr>
        <w:t>SME</w:t>
      </w:r>
      <w:r w:rsidR="008224AE" w:rsidRPr="00F53FC6">
        <w:rPr>
          <w:rFonts w:ascii="Times New Roman" w:hAnsi="Times New Roman" w:cs="Times New Roman"/>
          <w:lang w:val="en-US"/>
        </w:rPr>
        <w:t xml:space="preserve"> value</w:t>
      </w:r>
      <w:r w:rsidR="008C7F21" w:rsidRPr="00F53FC6">
        <w:rPr>
          <w:rFonts w:ascii="Times New Roman" w:hAnsi="Times New Roman" w:cs="Times New Roman"/>
          <w:lang w:val="en-US"/>
        </w:rPr>
        <w:t xml:space="preserve">, </w:t>
      </w:r>
      <w:r w:rsidR="008224AE" w:rsidRPr="00F53FC6">
        <w:rPr>
          <w:rFonts w:ascii="Times New Roman" w:hAnsi="Times New Roman" w:cs="Times New Roman"/>
          <w:lang w:val="en-US"/>
        </w:rPr>
        <w:t>Agency theory</w:t>
      </w:r>
      <w:r w:rsidR="00A56A90" w:rsidRPr="00F53FC6">
        <w:rPr>
          <w:rFonts w:ascii="Times New Roman" w:hAnsi="Times New Roman" w:cs="Times New Roman"/>
          <w:lang w:val="en-US"/>
        </w:rPr>
        <w:t>, Information asymmetries</w:t>
      </w:r>
    </w:p>
    <w:p w14:paraId="32DC62C7" w14:textId="1D445EFE" w:rsidR="00BC4D45" w:rsidRPr="00F53FC6" w:rsidRDefault="00BC4D45" w:rsidP="00CE1893">
      <w:pPr>
        <w:spacing w:after="0" w:line="360" w:lineRule="auto"/>
        <w:contextualSpacing/>
        <w:mirrorIndents/>
        <w:jc w:val="both"/>
        <w:rPr>
          <w:rFonts w:ascii="Times New Roman" w:hAnsi="Times New Roman" w:cs="Times New Roman"/>
          <w:lang w:val="en-US"/>
        </w:rPr>
      </w:pPr>
      <w:r w:rsidRPr="00BC4D45">
        <w:rPr>
          <w:rFonts w:ascii="Times New Roman" w:hAnsi="Times New Roman" w:cs="Times New Roman"/>
          <w:b/>
          <w:bCs/>
          <w:lang w:val="en-US"/>
        </w:rPr>
        <w:t>JEL Classification</w:t>
      </w:r>
      <w:r w:rsidRPr="00BC4D45">
        <w:rPr>
          <w:rFonts w:ascii="Times New Roman" w:hAnsi="Times New Roman" w:cs="Times New Roman"/>
          <w:lang w:val="en-US"/>
        </w:rPr>
        <w:t xml:space="preserve">: </w:t>
      </w:r>
      <w:r w:rsidR="00542B8C">
        <w:rPr>
          <w:rFonts w:ascii="Times New Roman" w:hAnsi="Times New Roman" w:cs="Times New Roman"/>
          <w:lang w:val="en-US"/>
        </w:rPr>
        <w:t xml:space="preserve">C30, G20, </w:t>
      </w:r>
      <w:r w:rsidR="00542B8C" w:rsidRPr="00542B8C">
        <w:rPr>
          <w:rFonts w:ascii="Times New Roman" w:hAnsi="Times New Roman" w:cs="Times New Roman"/>
          <w:lang w:val="en-US"/>
        </w:rPr>
        <w:t>G3</w:t>
      </w:r>
      <w:r w:rsidR="00542B8C">
        <w:rPr>
          <w:rFonts w:ascii="Times New Roman" w:hAnsi="Times New Roman" w:cs="Times New Roman"/>
          <w:lang w:val="en-US"/>
        </w:rPr>
        <w:t>0, G39</w:t>
      </w:r>
      <w:bookmarkStart w:id="1" w:name="_GoBack"/>
      <w:bookmarkEnd w:id="1"/>
    </w:p>
    <w:p w14:paraId="0BD69A58" w14:textId="77777777" w:rsidR="00245D2D" w:rsidRPr="00F53FC6" w:rsidRDefault="00245D2D" w:rsidP="00CE1893">
      <w:pPr>
        <w:spacing w:after="0" w:line="360" w:lineRule="auto"/>
        <w:contextualSpacing/>
        <w:mirrorIndents/>
        <w:jc w:val="both"/>
        <w:rPr>
          <w:rFonts w:ascii="Times New Roman" w:hAnsi="Times New Roman" w:cs="Times New Roman"/>
          <w:lang w:val="en-US"/>
        </w:rPr>
      </w:pPr>
    </w:p>
    <w:p w14:paraId="3FBD90F8" w14:textId="3983C119" w:rsidR="00A229AE" w:rsidRPr="00F53FC6" w:rsidRDefault="002945B0" w:rsidP="00CE1893">
      <w:pPr>
        <w:pStyle w:val="Paragrafoelenco"/>
        <w:numPr>
          <w:ilvl w:val="0"/>
          <w:numId w:val="7"/>
        </w:numPr>
        <w:spacing w:after="0" w:line="360" w:lineRule="auto"/>
        <w:ind w:left="284" w:hanging="284"/>
        <w:mirrorIndents/>
        <w:jc w:val="both"/>
        <w:rPr>
          <w:rFonts w:ascii="Times New Roman" w:hAnsi="Times New Roman" w:cs="Times New Roman"/>
          <w:b/>
        </w:rPr>
      </w:pPr>
      <w:bookmarkStart w:id="2" w:name="_Hlk22649766"/>
      <w:proofErr w:type="spellStart"/>
      <w:r w:rsidRPr="00F53FC6">
        <w:rPr>
          <w:rFonts w:ascii="Times New Roman" w:hAnsi="Times New Roman" w:cs="Times New Roman"/>
          <w:b/>
        </w:rPr>
        <w:t>Introduction</w:t>
      </w:r>
      <w:bookmarkEnd w:id="2"/>
      <w:proofErr w:type="spellEnd"/>
    </w:p>
    <w:p w14:paraId="1EADCFC6" w14:textId="78F4657C" w:rsidR="00245D2D" w:rsidRPr="00F53FC6" w:rsidRDefault="00245D2D" w:rsidP="00E71B48">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lang w:val="en-US"/>
        </w:rPr>
        <w:t xml:space="preserve">This paper investigates the role of </w:t>
      </w:r>
      <w:r w:rsidR="00BC078F" w:rsidRPr="00F53FC6">
        <w:rPr>
          <w:rFonts w:ascii="Times New Roman" w:hAnsi="Times New Roman" w:cs="Times New Roman"/>
          <w:lang w:val="en-US"/>
        </w:rPr>
        <w:t>f</w:t>
      </w:r>
      <w:r w:rsidRPr="00F53FC6">
        <w:rPr>
          <w:rFonts w:ascii="Times New Roman" w:hAnsi="Times New Roman" w:cs="Times New Roman"/>
          <w:lang w:val="en-US"/>
        </w:rPr>
        <w:t xml:space="preserve">inancial </w:t>
      </w:r>
      <w:r w:rsidR="00BC078F" w:rsidRPr="00F53FC6">
        <w:rPr>
          <w:rFonts w:ascii="Times New Roman" w:hAnsi="Times New Roman" w:cs="Times New Roman"/>
          <w:lang w:val="en-US"/>
        </w:rPr>
        <w:t>t</w:t>
      </w:r>
      <w:r w:rsidRPr="00F53FC6">
        <w:rPr>
          <w:rFonts w:ascii="Times New Roman" w:hAnsi="Times New Roman" w:cs="Times New Roman"/>
          <w:lang w:val="en-US"/>
        </w:rPr>
        <w:t xml:space="preserve">ransparency on Small Medium Enterprises (SMEs). Because </w:t>
      </w:r>
      <w:r w:rsidR="00BC078F" w:rsidRPr="00F53FC6">
        <w:rPr>
          <w:rFonts w:ascii="Times New Roman" w:hAnsi="Times New Roman" w:cs="Times New Roman"/>
          <w:lang w:val="en-US"/>
        </w:rPr>
        <w:t>f</w:t>
      </w:r>
      <w:r w:rsidRPr="00F53FC6">
        <w:rPr>
          <w:rFonts w:ascii="Times New Roman" w:hAnsi="Times New Roman" w:cs="Times New Roman"/>
          <w:lang w:val="en-US"/>
        </w:rPr>
        <w:t xml:space="preserve">inancial </w:t>
      </w:r>
      <w:r w:rsidR="00BC078F" w:rsidRPr="00F53FC6">
        <w:rPr>
          <w:rFonts w:ascii="Times New Roman" w:hAnsi="Times New Roman" w:cs="Times New Roman"/>
          <w:lang w:val="en-US"/>
        </w:rPr>
        <w:t>t</w:t>
      </w:r>
      <w:r w:rsidRPr="00F53FC6">
        <w:rPr>
          <w:rFonts w:ascii="Times New Roman" w:hAnsi="Times New Roman" w:cs="Times New Roman"/>
          <w:lang w:val="en-US"/>
        </w:rPr>
        <w:t xml:space="preserve">ransparency plays an important role on SME development, the aim of this study is to </w:t>
      </w:r>
      <w:r w:rsidR="00082C4C" w:rsidRPr="00F53FC6">
        <w:rPr>
          <w:rFonts w:ascii="Times New Roman" w:hAnsi="Times New Roman" w:cs="Times New Roman"/>
          <w:lang w:val="en-US"/>
        </w:rPr>
        <w:t xml:space="preserve">analyze </w:t>
      </w:r>
      <w:r w:rsidRPr="00F53FC6">
        <w:rPr>
          <w:rFonts w:ascii="Times New Roman" w:hAnsi="Times New Roman" w:cs="Times New Roman"/>
          <w:lang w:val="en-US"/>
        </w:rPr>
        <w:t>the relationship between transparency</w:t>
      </w:r>
      <w:r w:rsidR="00082C4C" w:rsidRPr="00F53FC6">
        <w:rPr>
          <w:rFonts w:ascii="Times New Roman" w:hAnsi="Times New Roman" w:cs="Times New Roman"/>
          <w:lang w:val="en-US"/>
        </w:rPr>
        <w:t xml:space="preserve"> and SME value</w:t>
      </w:r>
      <w:r w:rsidRPr="00F53FC6">
        <w:rPr>
          <w:rFonts w:ascii="Times New Roman" w:hAnsi="Times New Roman" w:cs="Times New Roman"/>
          <w:lang w:val="en-US"/>
        </w:rPr>
        <w:t>.</w:t>
      </w:r>
    </w:p>
    <w:p w14:paraId="5B62A16A" w14:textId="0DA594AB" w:rsidR="00C3712A" w:rsidRPr="00F53FC6" w:rsidRDefault="00850E6F" w:rsidP="00850E6F">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lang w:val="en-US"/>
        </w:rPr>
        <w:lastRenderedPageBreak/>
        <w:t xml:space="preserve">Financial </w:t>
      </w:r>
      <w:r w:rsidR="00121F87" w:rsidRPr="00F53FC6">
        <w:rPr>
          <w:rFonts w:ascii="Times New Roman" w:hAnsi="Times New Roman" w:cs="Times New Roman"/>
          <w:lang w:val="en-US"/>
        </w:rPr>
        <w:t>t</w:t>
      </w:r>
      <w:r w:rsidRPr="00F53FC6">
        <w:rPr>
          <w:rFonts w:ascii="Times New Roman" w:hAnsi="Times New Roman" w:cs="Times New Roman"/>
          <w:lang w:val="en-US"/>
        </w:rPr>
        <w:t xml:space="preserve">ransparency can be defined as </w:t>
      </w:r>
      <w:r w:rsidR="00441E3E" w:rsidRPr="00F53FC6">
        <w:rPr>
          <w:rFonts w:ascii="Times New Roman" w:hAnsi="Times New Roman" w:cs="Times New Roman"/>
          <w:lang w:val="en-US"/>
        </w:rPr>
        <w:t>an</w:t>
      </w:r>
      <w:r w:rsidRPr="00F53FC6">
        <w:rPr>
          <w:rFonts w:ascii="Times New Roman" w:hAnsi="Times New Roman" w:cs="Times New Roman"/>
          <w:lang w:val="en-US"/>
        </w:rPr>
        <w:t xml:space="preserve"> information disclosure system </w:t>
      </w:r>
      <w:r w:rsidR="00C3712A" w:rsidRPr="00F53FC6">
        <w:rPr>
          <w:rFonts w:ascii="Times New Roman" w:hAnsi="Times New Roman" w:cs="Times New Roman"/>
          <w:lang w:val="en-US"/>
        </w:rPr>
        <w:t xml:space="preserve">that solves information asymmetry problems among firm’s stakeholders. </w:t>
      </w:r>
    </w:p>
    <w:p w14:paraId="456D9DF7" w14:textId="6E0C1B49" w:rsidR="008F7F35" w:rsidRPr="00D25427" w:rsidRDefault="00850E6F" w:rsidP="00850E6F">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lang w:val="en-US"/>
        </w:rPr>
        <w:t xml:space="preserve">The academic debate towards transparency has recently flared up in the </w:t>
      </w:r>
      <w:r w:rsidR="00F03747" w:rsidRPr="00F03747">
        <w:rPr>
          <w:rFonts w:ascii="Times New Roman" w:hAnsi="Times New Roman" w:cs="Times New Roman"/>
          <w:lang w:val="en-US"/>
        </w:rPr>
        <w:t>corporate finance studies</w:t>
      </w:r>
      <w:r w:rsidRPr="00F53FC6">
        <w:rPr>
          <w:rFonts w:ascii="Times New Roman" w:hAnsi="Times New Roman" w:cs="Times New Roman"/>
          <w:lang w:val="en-US"/>
        </w:rPr>
        <w:t xml:space="preserve">. This is partly due to the </w:t>
      </w:r>
      <w:r w:rsidRPr="00792BFA">
        <w:rPr>
          <w:rFonts w:ascii="Times New Roman" w:hAnsi="Times New Roman" w:cs="Times New Roman"/>
          <w:lang w:val="en-US"/>
        </w:rPr>
        <w:t>works to Healy and Palepu (</w:t>
      </w:r>
      <w:r w:rsidRPr="00BD6EC2">
        <w:rPr>
          <w:rFonts w:ascii="Times New Roman" w:hAnsi="Times New Roman" w:cs="Times New Roman"/>
          <w:lang w:val="en-US"/>
        </w:rPr>
        <w:t xml:space="preserve">2001), Bushman </w:t>
      </w:r>
      <w:r w:rsidRPr="00BD6EC2">
        <w:rPr>
          <w:rFonts w:ascii="Times New Roman" w:hAnsi="Times New Roman" w:cs="Times New Roman"/>
          <w:i/>
          <w:iCs/>
          <w:lang w:val="en-US"/>
        </w:rPr>
        <w:t>et al</w:t>
      </w:r>
      <w:r w:rsidRPr="00BD6EC2">
        <w:rPr>
          <w:rFonts w:ascii="Times New Roman" w:hAnsi="Times New Roman" w:cs="Times New Roman"/>
          <w:lang w:val="en-US"/>
        </w:rPr>
        <w:t>. (2004),</w:t>
      </w:r>
      <w:r w:rsidRPr="00BD6EC2">
        <w:rPr>
          <w:rFonts w:ascii="Times New Roman" w:hAnsi="Times New Roman" w:cs="Times New Roman"/>
          <w:b/>
          <w:bCs/>
          <w:lang w:val="en-US"/>
        </w:rPr>
        <w:t xml:space="preserve"> </w:t>
      </w:r>
      <w:r w:rsidRPr="00F20CAE">
        <w:rPr>
          <w:rFonts w:ascii="Times New Roman" w:hAnsi="Times New Roman" w:cs="Times New Roman"/>
          <w:lang w:val="en-US"/>
        </w:rPr>
        <w:t>and</w:t>
      </w:r>
      <w:r w:rsidRPr="00F53FC6">
        <w:rPr>
          <w:rFonts w:ascii="Times New Roman" w:hAnsi="Times New Roman" w:cs="Times New Roman"/>
          <w:b/>
          <w:bCs/>
          <w:color w:val="C00000"/>
          <w:lang w:val="en-US"/>
        </w:rPr>
        <w:t xml:space="preserve"> </w:t>
      </w:r>
      <w:r w:rsidRPr="00D25427">
        <w:rPr>
          <w:rFonts w:ascii="Times New Roman" w:hAnsi="Times New Roman" w:cs="Times New Roman"/>
          <w:lang w:val="en-US"/>
        </w:rPr>
        <w:t xml:space="preserve">Lang and </w:t>
      </w:r>
      <w:proofErr w:type="spellStart"/>
      <w:r w:rsidRPr="00D25427">
        <w:rPr>
          <w:rFonts w:ascii="Times New Roman" w:hAnsi="Times New Roman" w:cs="Times New Roman"/>
          <w:lang w:val="en-US"/>
        </w:rPr>
        <w:t>Maffet</w:t>
      </w:r>
      <w:proofErr w:type="spellEnd"/>
      <w:r w:rsidRPr="00D25427">
        <w:rPr>
          <w:rFonts w:ascii="Times New Roman" w:hAnsi="Times New Roman" w:cs="Times New Roman"/>
          <w:lang w:val="en-US"/>
        </w:rPr>
        <w:t xml:space="preserve"> (2011).</w:t>
      </w:r>
    </w:p>
    <w:p w14:paraId="6DB24370" w14:textId="66016D2D" w:rsidR="00E71B48" w:rsidRPr="00F53FC6" w:rsidRDefault="00441E3E" w:rsidP="00E71B48">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lang w:val="en-US"/>
        </w:rPr>
        <w:t>On the other hand,</w:t>
      </w:r>
      <w:r w:rsidR="00121F87" w:rsidRPr="00F53FC6">
        <w:rPr>
          <w:rFonts w:ascii="Times New Roman" w:hAnsi="Times New Roman" w:cs="Times New Roman"/>
          <w:lang w:val="en-US"/>
        </w:rPr>
        <w:t xml:space="preserve"> a</w:t>
      </w:r>
      <w:r w:rsidR="00E71B48" w:rsidRPr="00F53FC6">
        <w:rPr>
          <w:rFonts w:ascii="Times New Roman" w:hAnsi="Times New Roman" w:cs="Times New Roman"/>
          <w:lang w:val="en-US"/>
        </w:rPr>
        <w:t xml:space="preserve"> well-structured </w:t>
      </w:r>
      <w:r w:rsidR="00121F87" w:rsidRPr="00F53FC6">
        <w:rPr>
          <w:rFonts w:ascii="Times New Roman" w:hAnsi="Times New Roman" w:cs="Times New Roman"/>
          <w:lang w:val="en-US"/>
        </w:rPr>
        <w:t>f</w:t>
      </w:r>
      <w:r w:rsidR="00E71B48" w:rsidRPr="00F53FC6">
        <w:rPr>
          <w:rFonts w:ascii="Times New Roman" w:hAnsi="Times New Roman" w:cs="Times New Roman"/>
          <w:lang w:val="en-US"/>
        </w:rPr>
        <w:t xml:space="preserve">inancial </w:t>
      </w:r>
      <w:r w:rsidR="00121F87" w:rsidRPr="00F53FC6">
        <w:rPr>
          <w:rFonts w:ascii="Times New Roman" w:hAnsi="Times New Roman" w:cs="Times New Roman"/>
          <w:lang w:val="en-US"/>
        </w:rPr>
        <w:t>t</w:t>
      </w:r>
      <w:r w:rsidR="00E71B48" w:rsidRPr="00F53FC6">
        <w:rPr>
          <w:rFonts w:ascii="Times New Roman" w:hAnsi="Times New Roman" w:cs="Times New Roman"/>
          <w:lang w:val="en-US"/>
        </w:rPr>
        <w:t>ransparency system allows owner-manager of a small</w:t>
      </w:r>
      <w:r w:rsidR="00121F87" w:rsidRPr="00F53FC6">
        <w:rPr>
          <w:rFonts w:ascii="Times New Roman" w:hAnsi="Times New Roman" w:cs="Times New Roman"/>
          <w:lang w:val="en-US"/>
        </w:rPr>
        <w:t xml:space="preserve"> </w:t>
      </w:r>
      <w:r w:rsidR="00E71B48" w:rsidRPr="00F53FC6">
        <w:rPr>
          <w:rFonts w:ascii="Times New Roman" w:hAnsi="Times New Roman" w:cs="Times New Roman"/>
          <w:lang w:val="en-US"/>
        </w:rPr>
        <w:t>or medium</w:t>
      </w:r>
      <w:r w:rsidR="00E71B48" w:rsidRPr="004006D5">
        <w:rPr>
          <w:rFonts w:ascii="Times New Roman" w:hAnsi="Times New Roman" w:cs="Times New Roman"/>
          <w:lang w:val="en-US"/>
        </w:rPr>
        <w:t>-sized entity govern the structure of lending contracts and to keep degree of financial leverage under control</w:t>
      </w:r>
      <w:r w:rsidR="00121F87" w:rsidRPr="004006D5">
        <w:rPr>
          <w:rFonts w:ascii="Times New Roman" w:hAnsi="Times New Roman" w:cs="Times New Roman"/>
        </w:rPr>
        <w:t xml:space="preserve"> (</w:t>
      </w:r>
      <w:r w:rsidR="004006D5" w:rsidRPr="004006D5">
        <w:rPr>
          <w:rFonts w:ascii="Times New Roman" w:hAnsi="Times New Roman" w:cs="Times New Roman"/>
          <w:lang w:val="en-US"/>
        </w:rPr>
        <w:t xml:space="preserve">Thorsten and </w:t>
      </w:r>
      <w:proofErr w:type="spellStart"/>
      <w:r w:rsidR="004006D5" w:rsidRPr="004006D5">
        <w:rPr>
          <w:rFonts w:ascii="Times New Roman" w:hAnsi="Times New Roman" w:cs="Times New Roman"/>
          <w:lang w:val="en-US"/>
        </w:rPr>
        <w:t>Demirgüç-Kunt</w:t>
      </w:r>
      <w:proofErr w:type="spellEnd"/>
      <w:r w:rsidR="004006D5" w:rsidRPr="004006D5">
        <w:rPr>
          <w:rFonts w:ascii="Times New Roman" w:hAnsi="Times New Roman" w:cs="Times New Roman"/>
          <w:lang w:val="en-US"/>
        </w:rPr>
        <w:t>, 2006</w:t>
      </w:r>
      <w:r w:rsidR="00121F87" w:rsidRPr="004006D5">
        <w:rPr>
          <w:rFonts w:ascii="Times New Roman" w:hAnsi="Times New Roman" w:cs="Times New Roman"/>
          <w:lang w:val="en-US"/>
        </w:rPr>
        <w:t xml:space="preserve">). </w:t>
      </w:r>
      <w:r w:rsidR="00121F87" w:rsidRPr="00646D3C">
        <w:rPr>
          <w:rFonts w:ascii="Times New Roman" w:hAnsi="Times New Roman" w:cs="Times New Roman"/>
          <w:lang w:val="en-US"/>
        </w:rPr>
        <w:t>Similarly,</w:t>
      </w:r>
      <w:r w:rsidR="00121F87" w:rsidRPr="00646D3C">
        <w:rPr>
          <w:rFonts w:ascii="Times New Roman" w:hAnsi="Times New Roman" w:cs="Times New Roman"/>
        </w:rPr>
        <w:t xml:space="preserve"> </w:t>
      </w:r>
      <w:proofErr w:type="spellStart"/>
      <w:r w:rsidR="00121F87" w:rsidRPr="00646D3C">
        <w:rPr>
          <w:rFonts w:ascii="Times New Roman" w:hAnsi="Times New Roman" w:cs="Times New Roman"/>
          <w:lang w:val="en-US"/>
        </w:rPr>
        <w:t>Mazani</w:t>
      </w:r>
      <w:proofErr w:type="spellEnd"/>
      <w:r w:rsidR="00121F87" w:rsidRPr="00646D3C">
        <w:rPr>
          <w:rFonts w:ascii="Times New Roman" w:hAnsi="Times New Roman" w:cs="Times New Roman"/>
          <w:lang w:val="en-US"/>
        </w:rPr>
        <w:t xml:space="preserve"> and </w:t>
      </w:r>
      <w:proofErr w:type="spellStart"/>
      <w:r w:rsidR="00121F87" w:rsidRPr="00646D3C">
        <w:rPr>
          <w:rFonts w:ascii="Times New Roman" w:hAnsi="Times New Roman" w:cs="Times New Roman"/>
          <w:lang w:val="en-US"/>
        </w:rPr>
        <w:t>Fatoki</w:t>
      </w:r>
      <w:proofErr w:type="spellEnd"/>
      <w:r w:rsidR="00121F87" w:rsidRPr="00646D3C">
        <w:rPr>
          <w:rFonts w:ascii="Times New Roman" w:hAnsi="Times New Roman" w:cs="Times New Roman"/>
          <w:lang w:val="en-US"/>
        </w:rPr>
        <w:t xml:space="preserve"> (2012) show </w:t>
      </w:r>
      <w:r w:rsidR="00121F87" w:rsidRPr="00F53FC6">
        <w:rPr>
          <w:rFonts w:ascii="Times New Roman" w:hAnsi="Times New Roman" w:cs="Times New Roman"/>
          <w:lang w:val="en-US"/>
        </w:rPr>
        <w:t>empirically that the f</w:t>
      </w:r>
      <w:r w:rsidR="00E71B48" w:rsidRPr="00F53FC6">
        <w:rPr>
          <w:rFonts w:ascii="Times New Roman" w:hAnsi="Times New Roman" w:cs="Times New Roman"/>
          <w:lang w:val="en-US"/>
        </w:rPr>
        <w:t xml:space="preserve">irms with higher financial transparency benefit significantly from higher loan amounts, longer maturities, and significant smaller interest cost. </w:t>
      </w:r>
    </w:p>
    <w:p w14:paraId="0C814C72" w14:textId="0787A069" w:rsidR="00E91C34" w:rsidRPr="00F53FC6" w:rsidRDefault="00E91C34" w:rsidP="00E91C34">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lang w:val="en-US"/>
        </w:rPr>
        <w:t>Put more simply, transparency affects the market mechanisms having to do with the sources of financing, since different lenders (domestic and foreign) have different information-gathering and processing abilities</w:t>
      </w:r>
      <w:r w:rsidR="000B33ED" w:rsidRPr="000B33ED">
        <w:rPr>
          <w:rFonts w:ascii="Times New Roman" w:hAnsi="Times New Roman" w:cs="Times New Roman"/>
          <w:lang w:val="en-US"/>
        </w:rPr>
        <w:t xml:space="preserve"> </w:t>
      </w:r>
      <w:r w:rsidR="000B33ED">
        <w:rPr>
          <w:rFonts w:ascii="Times New Roman" w:hAnsi="Times New Roman" w:cs="Times New Roman"/>
          <w:lang w:val="en-US"/>
        </w:rPr>
        <w:t>(</w:t>
      </w:r>
      <w:r w:rsidR="000B33ED" w:rsidRPr="006A445D">
        <w:rPr>
          <w:rFonts w:ascii="Times New Roman" w:hAnsi="Times New Roman" w:cs="Times New Roman"/>
          <w:lang w:val="en-US"/>
        </w:rPr>
        <w:t xml:space="preserve">Blackburn </w:t>
      </w:r>
      <w:r w:rsidR="000B33ED" w:rsidRPr="006A445D">
        <w:rPr>
          <w:rFonts w:ascii="Times New Roman" w:hAnsi="Times New Roman" w:cs="Times New Roman"/>
          <w:i/>
          <w:iCs/>
          <w:lang w:val="en-US"/>
        </w:rPr>
        <w:t>et al</w:t>
      </w:r>
      <w:r w:rsidR="000B33ED" w:rsidRPr="006A445D">
        <w:rPr>
          <w:rFonts w:ascii="Times New Roman" w:hAnsi="Times New Roman" w:cs="Times New Roman"/>
          <w:lang w:val="en-US"/>
        </w:rPr>
        <w:t>.</w:t>
      </w:r>
      <w:r w:rsidR="000B33ED">
        <w:rPr>
          <w:rFonts w:ascii="Times New Roman" w:hAnsi="Times New Roman" w:cs="Times New Roman"/>
          <w:lang w:val="en-US"/>
        </w:rPr>
        <w:t xml:space="preserve">, </w:t>
      </w:r>
      <w:r w:rsidR="000B33ED" w:rsidRPr="006A445D">
        <w:rPr>
          <w:rFonts w:ascii="Times New Roman" w:hAnsi="Times New Roman" w:cs="Times New Roman"/>
          <w:lang w:val="en-US"/>
        </w:rPr>
        <w:t>2013)</w:t>
      </w:r>
      <w:r w:rsidRPr="00F53FC6">
        <w:rPr>
          <w:rFonts w:ascii="Times New Roman" w:hAnsi="Times New Roman" w:cs="Times New Roman"/>
          <w:lang w:val="en-US"/>
        </w:rPr>
        <w:t xml:space="preserve">. </w:t>
      </w:r>
    </w:p>
    <w:p w14:paraId="06779344" w14:textId="343CACBA" w:rsidR="000B33ED" w:rsidRDefault="00E91C34" w:rsidP="00BB6FBB">
      <w:pPr>
        <w:spacing w:after="0" w:line="360" w:lineRule="auto"/>
        <w:contextualSpacing/>
        <w:mirrorIndents/>
        <w:jc w:val="both"/>
        <w:rPr>
          <w:rFonts w:ascii="Times New Roman" w:hAnsi="Times New Roman" w:cs="Times New Roman"/>
          <w:lang w:val="en-US"/>
        </w:rPr>
      </w:pPr>
      <w:r w:rsidRPr="006A445D">
        <w:rPr>
          <w:rFonts w:ascii="Times New Roman" w:hAnsi="Times New Roman" w:cs="Times New Roman"/>
          <w:lang w:val="en-US"/>
        </w:rPr>
        <w:t xml:space="preserve">As described </w:t>
      </w:r>
      <w:r w:rsidR="000B33ED" w:rsidRPr="000B33ED">
        <w:rPr>
          <w:rFonts w:ascii="Times New Roman" w:hAnsi="Times New Roman" w:cs="Times New Roman"/>
          <w:lang w:val="en-US"/>
        </w:rPr>
        <w:t xml:space="preserve">by Ricardo Julio </w:t>
      </w:r>
      <w:proofErr w:type="spellStart"/>
      <w:r w:rsidR="000B33ED" w:rsidRPr="000B33ED">
        <w:rPr>
          <w:rFonts w:ascii="Times New Roman" w:hAnsi="Times New Roman" w:cs="Times New Roman"/>
          <w:lang w:val="en-US"/>
        </w:rPr>
        <w:t>Rodil</w:t>
      </w:r>
      <w:proofErr w:type="spellEnd"/>
      <w:r w:rsidR="000B33ED" w:rsidRPr="000B33ED">
        <w:rPr>
          <w:rFonts w:ascii="Times New Roman" w:hAnsi="Times New Roman" w:cs="Times New Roman"/>
          <w:lang w:val="en-US"/>
        </w:rPr>
        <w:t xml:space="preserve"> (2015):</w:t>
      </w:r>
      <w:r w:rsidR="00D6446B">
        <w:rPr>
          <w:rFonts w:ascii="Times New Roman" w:hAnsi="Times New Roman" w:cs="Times New Roman"/>
          <w:lang w:val="en-US"/>
        </w:rPr>
        <w:t xml:space="preserve"> </w:t>
      </w:r>
      <w:r w:rsidR="000B33ED">
        <w:rPr>
          <w:rFonts w:ascii="Times New Roman" w:hAnsi="Times New Roman" w:cs="Times New Roman"/>
          <w:lang w:val="en-US"/>
        </w:rPr>
        <w:t>«T</w:t>
      </w:r>
      <w:r w:rsidR="000B33ED" w:rsidRPr="000B33ED">
        <w:rPr>
          <w:rFonts w:ascii="Times New Roman" w:hAnsi="Times New Roman" w:cs="Times New Roman"/>
          <w:lang w:val="en-US"/>
        </w:rPr>
        <w:t>here are a variety of reasons the owner-manager of a SME might pursue a policy of financial transparency. For example, it seems reasonable to expect investors to be more inclined to risk their venture capital in entities that have sound and relevant information on their operations and financial health</w:t>
      </w:r>
      <w:r w:rsidR="000B33ED">
        <w:rPr>
          <w:rFonts w:ascii="Times New Roman" w:hAnsi="Times New Roman" w:cs="Times New Roman"/>
          <w:lang w:val="en-US"/>
        </w:rPr>
        <w:t>»</w:t>
      </w:r>
      <w:r w:rsidR="000B33ED" w:rsidRPr="000B33ED">
        <w:rPr>
          <w:rFonts w:ascii="Times New Roman" w:hAnsi="Times New Roman" w:cs="Times New Roman"/>
          <w:lang w:val="en-US"/>
        </w:rPr>
        <w:t>.</w:t>
      </w:r>
    </w:p>
    <w:p w14:paraId="6A0F58FA" w14:textId="1E7A44E4" w:rsidR="00CB7B8C" w:rsidRPr="00F53FC6" w:rsidRDefault="00CB7B8C" w:rsidP="00BB6FBB">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lang w:val="en-US"/>
        </w:rPr>
        <w:t xml:space="preserve">Studies attempting to relate financial performance to </w:t>
      </w:r>
      <w:bookmarkStart w:id="3" w:name="_Hlk23512138"/>
      <w:r w:rsidR="00BE0031" w:rsidRPr="00F53FC6">
        <w:rPr>
          <w:rFonts w:ascii="Times New Roman" w:hAnsi="Times New Roman" w:cs="Times New Roman"/>
          <w:lang w:val="en-US"/>
        </w:rPr>
        <w:t>financial transparency</w:t>
      </w:r>
      <w:r w:rsidRPr="00F53FC6">
        <w:rPr>
          <w:rFonts w:ascii="Times New Roman" w:hAnsi="Times New Roman" w:cs="Times New Roman"/>
          <w:lang w:val="en-US"/>
        </w:rPr>
        <w:t xml:space="preserve"> </w:t>
      </w:r>
      <w:bookmarkEnd w:id="3"/>
      <w:r w:rsidRPr="00F53FC6">
        <w:rPr>
          <w:rFonts w:ascii="Times New Roman" w:hAnsi="Times New Roman" w:cs="Times New Roman"/>
          <w:lang w:val="en-US"/>
        </w:rPr>
        <w:t>are still indecisive</w:t>
      </w:r>
      <w:r w:rsidRPr="00792BFA">
        <w:rPr>
          <w:rFonts w:ascii="Times New Roman" w:hAnsi="Times New Roman" w:cs="Times New Roman"/>
          <w:lang w:val="en-US"/>
        </w:rPr>
        <w:t xml:space="preserve">. Bushman and </w:t>
      </w:r>
      <w:r w:rsidRPr="00AC51DC">
        <w:rPr>
          <w:rFonts w:ascii="Times New Roman" w:hAnsi="Times New Roman" w:cs="Times New Roman"/>
          <w:lang w:val="en-US"/>
        </w:rPr>
        <w:t xml:space="preserve">Smith (2001) and </w:t>
      </w:r>
      <w:proofErr w:type="spellStart"/>
      <w:r w:rsidRPr="00AC51DC">
        <w:rPr>
          <w:rFonts w:ascii="Times New Roman" w:hAnsi="Times New Roman" w:cs="Times New Roman"/>
          <w:lang w:val="en-US"/>
        </w:rPr>
        <w:t>Ojeka</w:t>
      </w:r>
      <w:proofErr w:type="spellEnd"/>
      <w:r w:rsidRPr="00AC51DC">
        <w:rPr>
          <w:rFonts w:ascii="Times New Roman" w:hAnsi="Times New Roman" w:cs="Times New Roman"/>
          <w:lang w:val="en-US"/>
        </w:rPr>
        <w:t xml:space="preserve"> </w:t>
      </w:r>
      <w:r w:rsidRPr="00AC51DC">
        <w:rPr>
          <w:rFonts w:ascii="Times New Roman" w:hAnsi="Times New Roman" w:cs="Times New Roman"/>
          <w:i/>
          <w:iCs/>
          <w:lang w:val="en-US"/>
        </w:rPr>
        <w:t>et al</w:t>
      </w:r>
      <w:r w:rsidRPr="00AC51DC">
        <w:rPr>
          <w:rFonts w:ascii="Times New Roman" w:hAnsi="Times New Roman" w:cs="Times New Roman"/>
          <w:lang w:val="en-US"/>
        </w:rPr>
        <w:t xml:space="preserve">. (2015) found a significant </w:t>
      </w:r>
      <w:r w:rsidRPr="00F53FC6">
        <w:rPr>
          <w:rFonts w:ascii="Times New Roman" w:hAnsi="Times New Roman" w:cs="Times New Roman"/>
          <w:lang w:val="en-US"/>
        </w:rPr>
        <w:t xml:space="preserve">association between </w:t>
      </w:r>
      <w:r w:rsidR="00BE0031" w:rsidRPr="00F53FC6">
        <w:rPr>
          <w:rFonts w:ascii="Times New Roman" w:hAnsi="Times New Roman" w:cs="Times New Roman"/>
          <w:lang w:val="en-US"/>
        </w:rPr>
        <w:t xml:space="preserve">financial transparency </w:t>
      </w:r>
      <w:r w:rsidRPr="00F53FC6">
        <w:rPr>
          <w:rFonts w:ascii="Times New Roman" w:hAnsi="Times New Roman" w:cs="Times New Roman"/>
          <w:lang w:val="en-US"/>
        </w:rPr>
        <w:t xml:space="preserve">and a firm’s financial performance despite the limited evidence of a long-term relationship. Conversely, </w:t>
      </w:r>
      <w:r w:rsidRPr="00AC51DC">
        <w:rPr>
          <w:rFonts w:ascii="Times New Roman" w:hAnsi="Times New Roman" w:cs="Times New Roman"/>
          <w:lang w:val="en-US"/>
        </w:rPr>
        <w:t xml:space="preserve">researchers such as Prat (2005), and </w:t>
      </w:r>
      <w:proofErr w:type="spellStart"/>
      <w:r w:rsidRPr="00AC51DC">
        <w:rPr>
          <w:rFonts w:ascii="Times New Roman" w:hAnsi="Times New Roman" w:cs="Times New Roman"/>
          <w:lang w:val="en-US"/>
        </w:rPr>
        <w:t>Sahore</w:t>
      </w:r>
      <w:proofErr w:type="spellEnd"/>
      <w:r w:rsidRPr="00AC51DC">
        <w:rPr>
          <w:rFonts w:ascii="Times New Roman" w:hAnsi="Times New Roman" w:cs="Times New Roman"/>
          <w:lang w:val="en-US"/>
        </w:rPr>
        <w:t xml:space="preserve"> and Verma (2017) did </w:t>
      </w:r>
      <w:r w:rsidRPr="00F53FC6">
        <w:rPr>
          <w:rFonts w:ascii="Times New Roman" w:hAnsi="Times New Roman" w:cs="Times New Roman"/>
          <w:lang w:val="en-US"/>
        </w:rPr>
        <w:t xml:space="preserve">not find a significant relationship between profitability and </w:t>
      </w:r>
      <w:r w:rsidR="00BE0031" w:rsidRPr="00F53FC6">
        <w:rPr>
          <w:rFonts w:ascii="Times New Roman" w:hAnsi="Times New Roman" w:cs="Times New Roman"/>
          <w:lang w:val="en-US"/>
        </w:rPr>
        <w:t>financial transparency</w:t>
      </w:r>
      <w:r w:rsidRPr="00F53FC6">
        <w:rPr>
          <w:rFonts w:ascii="Times New Roman" w:hAnsi="Times New Roman" w:cs="Times New Roman"/>
          <w:lang w:val="en-US"/>
        </w:rPr>
        <w:t>.</w:t>
      </w:r>
    </w:p>
    <w:p w14:paraId="5A4BB270" w14:textId="55DC9C10" w:rsidR="004E7AA8" w:rsidRPr="00F53FC6" w:rsidRDefault="0006172A" w:rsidP="00BB6FBB">
      <w:pPr>
        <w:spacing w:after="0" w:line="360" w:lineRule="auto"/>
        <w:contextualSpacing/>
        <w:mirrorIndents/>
        <w:jc w:val="both"/>
        <w:rPr>
          <w:rFonts w:ascii="Times New Roman" w:hAnsi="Times New Roman" w:cs="Times New Roman"/>
          <w:lang w:val="en-US"/>
        </w:rPr>
      </w:pPr>
      <w:r w:rsidRPr="00DE5D65">
        <w:rPr>
          <w:rFonts w:ascii="Times New Roman" w:hAnsi="Times New Roman" w:cs="Times New Roman"/>
          <w:lang w:val="en-US"/>
        </w:rPr>
        <w:t xml:space="preserve">Chau and Gray (2002) define </w:t>
      </w:r>
      <w:r w:rsidR="00B708B2" w:rsidRPr="00DE5D65">
        <w:rPr>
          <w:rFonts w:ascii="Times New Roman" w:hAnsi="Times New Roman" w:cs="Times New Roman"/>
          <w:lang w:val="en-US"/>
        </w:rPr>
        <w:t>f</w:t>
      </w:r>
      <w:r w:rsidRPr="00DE5D65">
        <w:rPr>
          <w:rFonts w:ascii="Times New Roman" w:hAnsi="Times New Roman" w:cs="Times New Roman"/>
          <w:lang w:val="en-US"/>
        </w:rPr>
        <w:t xml:space="preserve">inancial </w:t>
      </w:r>
      <w:r w:rsidR="00B708B2" w:rsidRPr="00F53FC6">
        <w:rPr>
          <w:rFonts w:ascii="Times New Roman" w:hAnsi="Times New Roman" w:cs="Times New Roman"/>
          <w:lang w:val="en-US"/>
        </w:rPr>
        <w:t>t</w:t>
      </w:r>
      <w:r w:rsidRPr="00F53FC6">
        <w:rPr>
          <w:rFonts w:ascii="Times New Roman" w:hAnsi="Times New Roman" w:cs="Times New Roman"/>
          <w:lang w:val="en-US"/>
        </w:rPr>
        <w:t>ransparency as a set of rules and policies established by the management to regulate its affair and have efficient management of financial resources to improve the value of the company and achieve maximum shareholders returns.</w:t>
      </w:r>
      <w:r w:rsidR="00B708B2" w:rsidRPr="00F53FC6">
        <w:rPr>
          <w:rFonts w:ascii="Times New Roman" w:hAnsi="Times New Roman" w:cs="Times New Roman"/>
          <w:lang w:val="en-US"/>
        </w:rPr>
        <w:t xml:space="preserve"> </w:t>
      </w:r>
      <w:r w:rsidR="00E141DC" w:rsidRPr="00F53FC6">
        <w:rPr>
          <w:rFonts w:ascii="Times New Roman" w:hAnsi="Times New Roman" w:cs="Times New Roman"/>
          <w:lang w:val="en-US"/>
        </w:rPr>
        <w:t>Likewise, an adequate financial transparency system allows the owner-manager to optimize financial structure and increase the bargaining power towards the lenders and investors.</w:t>
      </w:r>
      <w:r w:rsidR="004E7AA8" w:rsidRPr="00F53FC6">
        <w:rPr>
          <w:rFonts w:ascii="Times New Roman" w:hAnsi="Times New Roman" w:cs="Times New Roman"/>
          <w:lang w:val="en-US"/>
        </w:rPr>
        <w:t xml:space="preserve"> Emphasize transparency, publish reliable financial information for any potential interested party, are useful practices for achieving the value objectives of the firm. </w:t>
      </w:r>
      <w:r w:rsidR="00BE0031" w:rsidRPr="00F53FC6">
        <w:rPr>
          <w:rFonts w:ascii="Times New Roman" w:hAnsi="Times New Roman" w:cs="Times New Roman"/>
          <w:lang w:val="en-US"/>
        </w:rPr>
        <w:t xml:space="preserve"> </w:t>
      </w:r>
    </w:p>
    <w:p w14:paraId="4511CBB1" w14:textId="65300AD7" w:rsidR="00D07C88" w:rsidRPr="00F53FC6" w:rsidRDefault="00B708B2" w:rsidP="00BB6FBB">
      <w:pPr>
        <w:spacing w:after="0" w:line="360" w:lineRule="auto"/>
        <w:contextualSpacing/>
        <w:mirrorIndents/>
        <w:jc w:val="both"/>
        <w:rPr>
          <w:rFonts w:ascii="Times New Roman" w:hAnsi="Times New Roman" w:cs="Times New Roman"/>
          <w:lang w:val="en-US"/>
        </w:rPr>
      </w:pPr>
      <w:r w:rsidRPr="006A445D">
        <w:rPr>
          <w:rFonts w:ascii="Times New Roman" w:hAnsi="Times New Roman" w:cs="Times New Roman"/>
          <w:lang w:val="en-US"/>
        </w:rPr>
        <w:t xml:space="preserve">For </w:t>
      </w:r>
      <w:proofErr w:type="spellStart"/>
      <w:r w:rsidRPr="006A445D">
        <w:rPr>
          <w:rFonts w:ascii="Times New Roman" w:hAnsi="Times New Roman" w:cs="Times New Roman"/>
          <w:lang w:val="en-US"/>
        </w:rPr>
        <w:t>Degryse</w:t>
      </w:r>
      <w:proofErr w:type="spellEnd"/>
      <w:r w:rsidRPr="006A445D">
        <w:rPr>
          <w:rFonts w:ascii="Times New Roman" w:hAnsi="Times New Roman" w:cs="Times New Roman"/>
          <w:lang w:val="en-US"/>
        </w:rPr>
        <w:t xml:space="preserve"> </w:t>
      </w:r>
      <w:r w:rsidR="006A445D" w:rsidRPr="006A445D">
        <w:rPr>
          <w:rFonts w:ascii="Times New Roman" w:hAnsi="Times New Roman" w:cs="Times New Roman"/>
          <w:i/>
          <w:iCs/>
          <w:lang w:val="en-US"/>
        </w:rPr>
        <w:t>et al</w:t>
      </w:r>
      <w:r w:rsidR="006A445D" w:rsidRPr="006A445D">
        <w:rPr>
          <w:rFonts w:ascii="Times New Roman" w:hAnsi="Times New Roman" w:cs="Times New Roman"/>
          <w:lang w:val="en-US"/>
        </w:rPr>
        <w:t>.</w:t>
      </w:r>
      <w:r w:rsidRPr="006A445D">
        <w:rPr>
          <w:rFonts w:ascii="Times New Roman" w:hAnsi="Times New Roman" w:cs="Times New Roman"/>
          <w:lang w:val="en-US"/>
        </w:rPr>
        <w:t xml:space="preserve"> (20</w:t>
      </w:r>
      <w:r w:rsidR="006A445D" w:rsidRPr="006A445D">
        <w:rPr>
          <w:rFonts w:ascii="Times New Roman" w:hAnsi="Times New Roman" w:cs="Times New Roman"/>
          <w:lang w:val="en-US"/>
        </w:rPr>
        <w:t>10</w:t>
      </w:r>
      <w:r w:rsidRPr="006A445D">
        <w:rPr>
          <w:rFonts w:ascii="Times New Roman" w:hAnsi="Times New Roman" w:cs="Times New Roman"/>
          <w:lang w:val="en-US"/>
        </w:rPr>
        <w:t>), f</w:t>
      </w:r>
      <w:r w:rsidR="00D64C84" w:rsidRPr="006A445D">
        <w:rPr>
          <w:rFonts w:ascii="Times New Roman" w:hAnsi="Times New Roman" w:cs="Times New Roman"/>
          <w:lang w:val="en-US"/>
        </w:rPr>
        <w:t xml:space="preserve">irms </w:t>
      </w:r>
      <w:r w:rsidR="00D64C84" w:rsidRPr="00F53FC6">
        <w:rPr>
          <w:rFonts w:ascii="Times New Roman" w:hAnsi="Times New Roman" w:cs="Times New Roman"/>
          <w:lang w:val="en-US"/>
        </w:rPr>
        <w:t xml:space="preserve">with good </w:t>
      </w:r>
      <w:r w:rsidRPr="00F53FC6">
        <w:rPr>
          <w:rFonts w:ascii="Times New Roman" w:hAnsi="Times New Roman" w:cs="Times New Roman"/>
          <w:lang w:val="en-US"/>
        </w:rPr>
        <w:t>f</w:t>
      </w:r>
      <w:r w:rsidR="00D64C84" w:rsidRPr="00F53FC6">
        <w:rPr>
          <w:rFonts w:ascii="Times New Roman" w:hAnsi="Times New Roman" w:cs="Times New Roman"/>
          <w:lang w:val="en-US"/>
        </w:rPr>
        <w:t xml:space="preserve">inancial </w:t>
      </w:r>
      <w:r w:rsidRPr="00F53FC6">
        <w:rPr>
          <w:rFonts w:ascii="Times New Roman" w:hAnsi="Times New Roman" w:cs="Times New Roman"/>
          <w:lang w:val="en-US"/>
        </w:rPr>
        <w:t>t</w:t>
      </w:r>
      <w:r w:rsidR="00D64C84" w:rsidRPr="00F53FC6">
        <w:rPr>
          <w:rFonts w:ascii="Times New Roman" w:hAnsi="Times New Roman" w:cs="Times New Roman"/>
          <w:lang w:val="en-US"/>
        </w:rPr>
        <w:t>ransparency practices are investor friendly, which enable them to optimize their capital structure by attracting cheaper funding thereby maximizing returns to shareholders.</w:t>
      </w:r>
    </w:p>
    <w:p w14:paraId="066D7979" w14:textId="6768D57A" w:rsidR="0005034C" w:rsidRPr="009A29FC" w:rsidRDefault="0005034C" w:rsidP="0005034C">
      <w:pPr>
        <w:spacing w:after="0" w:line="360" w:lineRule="auto"/>
        <w:contextualSpacing/>
        <w:mirrorIndents/>
        <w:jc w:val="both"/>
        <w:rPr>
          <w:rFonts w:ascii="Times New Roman" w:hAnsi="Times New Roman" w:cs="Times New Roman"/>
          <w:lang w:val="en-US"/>
        </w:rPr>
      </w:pPr>
      <w:r w:rsidRPr="006A445D">
        <w:rPr>
          <w:rFonts w:ascii="Times New Roman" w:hAnsi="Times New Roman" w:cs="Times New Roman"/>
          <w:lang w:val="en-US"/>
        </w:rPr>
        <w:t>Damodaran (199</w:t>
      </w:r>
      <w:r w:rsidR="005632BC" w:rsidRPr="006A445D">
        <w:rPr>
          <w:rFonts w:ascii="Times New Roman" w:hAnsi="Times New Roman" w:cs="Times New Roman"/>
          <w:lang w:val="en-US"/>
        </w:rPr>
        <w:t>6</w:t>
      </w:r>
      <w:r w:rsidRPr="006A445D">
        <w:rPr>
          <w:rFonts w:ascii="Times New Roman" w:hAnsi="Times New Roman" w:cs="Times New Roman"/>
          <w:lang w:val="en-US"/>
        </w:rPr>
        <w:t xml:space="preserve">) states that SMEs suffer agency conflicts between shareholders and outside lenders. In SMEs the main agency costs </w:t>
      </w:r>
      <w:r w:rsidRPr="00F53FC6">
        <w:rPr>
          <w:rFonts w:ascii="Times New Roman" w:hAnsi="Times New Roman" w:cs="Times New Roman"/>
          <w:lang w:val="en-US"/>
        </w:rPr>
        <w:t xml:space="preserve">do not derive from the relationship between shareholders and management but from the relationship between inside and outside lenders. In particular, shareholders have an interest in carrying </w:t>
      </w:r>
      <w:r w:rsidRPr="009A29FC">
        <w:rPr>
          <w:rFonts w:ascii="Times New Roman" w:hAnsi="Times New Roman" w:cs="Times New Roman"/>
          <w:lang w:val="en-US"/>
        </w:rPr>
        <w:t>out high-risk, high-return transactions, while loan-holders can protect their interests (reduce agency costs) through a series of loan instruments and techniques based on the presence of adequate guarantees.</w:t>
      </w:r>
    </w:p>
    <w:p w14:paraId="30D9C856" w14:textId="0A769B0F" w:rsidR="0005034C" w:rsidRPr="00F53FC6" w:rsidRDefault="0005034C" w:rsidP="0005034C">
      <w:pPr>
        <w:spacing w:after="0" w:line="360" w:lineRule="auto"/>
        <w:contextualSpacing/>
        <w:mirrorIndents/>
        <w:jc w:val="both"/>
        <w:rPr>
          <w:rFonts w:ascii="Times New Roman" w:hAnsi="Times New Roman" w:cs="Times New Roman"/>
          <w:lang w:val="en-US"/>
        </w:rPr>
      </w:pPr>
      <w:r w:rsidRPr="009A29FC">
        <w:rPr>
          <w:rFonts w:ascii="Times New Roman" w:hAnsi="Times New Roman" w:cs="Times New Roman"/>
          <w:lang w:val="en-US"/>
        </w:rPr>
        <w:t>According to Samuels</w:t>
      </w:r>
      <w:r w:rsidR="009A29FC" w:rsidRPr="009A29FC">
        <w:rPr>
          <w:rFonts w:ascii="Times New Roman" w:hAnsi="Times New Roman" w:cs="Times New Roman"/>
          <w:lang w:val="en-US"/>
        </w:rPr>
        <w:t xml:space="preserve"> </w:t>
      </w:r>
      <w:r w:rsidR="009A29FC" w:rsidRPr="009A29FC">
        <w:rPr>
          <w:rFonts w:ascii="Times New Roman" w:hAnsi="Times New Roman" w:cs="Times New Roman"/>
          <w:i/>
          <w:iCs/>
          <w:lang w:val="en-US"/>
        </w:rPr>
        <w:t>et al</w:t>
      </w:r>
      <w:r w:rsidR="009A29FC" w:rsidRPr="009A29FC">
        <w:rPr>
          <w:rFonts w:ascii="Times New Roman" w:hAnsi="Times New Roman" w:cs="Times New Roman"/>
          <w:lang w:val="en-US"/>
        </w:rPr>
        <w:t xml:space="preserve">. </w:t>
      </w:r>
      <w:r w:rsidRPr="009A29FC">
        <w:rPr>
          <w:rFonts w:ascii="Times New Roman" w:hAnsi="Times New Roman" w:cs="Times New Roman"/>
          <w:lang w:val="en-US"/>
        </w:rPr>
        <w:t xml:space="preserve">(1995) information opacity is the primary factor affecting the relationship financing as it generates the </w:t>
      </w:r>
      <w:r w:rsidRPr="00F53FC6">
        <w:rPr>
          <w:rFonts w:ascii="Times New Roman" w:hAnsi="Times New Roman" w:cs="Times New Roman"/>
          <w:lang w:val="en-US"/>
        </w:rPr>
        <w:t>agency costs attributable to situations of hidden action and hidden information.</w:t>
      </w:r>
    </w:p>
    <w:p w14:paraId="2DC612DD" w14:textId="62E89062" w:rsidR="0005034C" w:rsidRPr="00F53FC6" w:rsidRDefault="0005034C" w:rsidP="00762897">
      <w:pPr>
        <w:spacing w:after="0" w:line="360" w:lineRule="auto"/>
        <w:contextualSpacing/>
        <w:mirrorIndents/>
        <w:jc w:val="both"/>
        <w:rPr>
          <w:rFonts w:ascii="Times New Roman" w:hAnsi="Times New Roman" w:cs="Times New Roman"/>
          <w:lang w:val="en-US"/>
        </w:rPr>
      </w:pPr>
      <w:r w:rsidRPr="000167EF">
        <w:rPr>
          <w:rFonts w:ascii="Times New Roman" w:hAnsi="Times New Roman" w:cs="Times New Roman"/>
          <w:lang w:val="en-US"/>
        </w:rPr>
        <w:lastRenderedPageBreak/>
        <w:t xml:space="preserve">Murphy (1985) argues that financial transparency practices improve the efficiency and effectiveness of the company through adequate </w:t>
      </w:r>
      <w:r w:rsidRPr="00F53FC6">
        <w:rPr>
          <w:rFonts w:ascii="Times New Roman" w:hAnsi="Times New Roman" w:cs="Times New Roman"/>
          <w:lang w:val="en-US"/>
        </w:rPr>
        <w:t>supervision and governance, thus minimizing conflicts between agencies and putting the interest of outside lender with that of shareholders in optimizing the corporate value.</w:t>
      </w:r>
    </w:p>
    <w:p w14:paraId="0E827522" w14:textId="0363FBF8" w:rsidR="00762897" w:rsidRPr="00F53FC6" w:rsidRDefault="00762897" w:rsidP="00762897">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lang w:val="en-US"/>
        </w:rPr>
        <w:t xml:space="preserve">This paper aims to determine the influence of </w:t>
      </w:r>
      <w:r w:rsidR="00295BE1" w:rsidRPr="00F53FC6">
        <w:rPr>
          <w:rFonts w:ascii="Times New Roman" w:hAnsi="Times New Roman" w:cs="Times New Roman"/>
          <w:lang w:val="en-US"/>
        </w:rPr>
        <w:t>f</w:t>
      </w:r>
      <w:r w:rsidR="00BA78A4" w:rsidRPr="00F53FC6">
        <w:rPr>
          <w:rFonts w:ascii="Times New Roman" w:hAnsi="Times New Roman" w:cs="Times New Roman"/>
          <w:lang w:val="en-US"/>
        </w:rPr>
        <w:t xml:space="preserve">inancial </w:t>
      </w:r>
      <w:r w:rsidR="00295BE1" w:rsidRPr="00F53FC6">
        <w:rPr>
          <w:rFonts w:ascii="Times New Roman" w:hAnsi="Times New Roman" w:cs="Times New Roman"/>
          <w:lang w:val="en-US"/>
        </w:rPr>
        <w:t>t</w:t>
      </w:r>
      <w:r w:rsidR="00BA78A4" w:rsidRPr="00F53FC6">
        <w:rPr>
          <w:rFonts w:ascii="Times New Roman" w:hAnsi="Times New Roman" w:cs="Times New Roman"/>
          <w:lang w:val="en-US"/>
        </w:rPr>
        <w:t xml:space="preserve">ransparency </w:t>
      </w:r>
      <w:r w:rsidR="00E11F35" w:rsidRPr="00F53FC6">
        <w:rPr>
          <w:rFonts w:ascii="Times New Roman" w:hAnsi="Times New Roman" w:cs="Times New Roman"/>
          <w:lang w:val="en-US"/>
        </w:rPr>
        <w:t>s</w:t>
      </w:r>
      <w:r w:rsidRPr="00F53FC6">
        <w:rPr>
          <w:rFonts w:ascii="Times New Roman" w:hAnsi="Times New Roman" w:cs="Times New Roman"/>
          <w:lang w:val="en-US"/>
        </w:rPr>
        <w:t xml:space="preserve">ystem for the growth of SME value. Analyzing SMEs listed in AIM Italia, the results confirm the positive relationship between </w:t>
      </w:r>
      <w:r w:rsidR="00295BE1" w:rsidRPr="00F53FC6">
        <w:rPr>
          <w:rFonts w:ascii="Times New Roman" w:hAnsi="Times New Roman" w:cs="Times New Roman"/>
          <w:lang w:val="en-US"/>
        </w:rPr>
        <w:t>f</w:t>
      </w:r>
      <w:r w:rsidR="00E05800" w:rsidRPr="00F53FC6">
        <w:rPr>
          <w:rFonts w:ascii="Times New Roman" w:hAnsi="Times New Roman" w:cs="Times New Roman"/>
          <w:lang w:val="en-US"/>
        </w:rPr>
        <w:t xml:space="preserve">inancial </w:t>
      </w:r>
      <w:r w:rsidR="00295BE1" w:rsidRPr="00F53FC6">
        <w:rPr>
          <w:rFonts w:ascii="Times New Roman" w:hAnsi="Times New Roman" w:cs="Times New Roman"/>
          <w:lang w:val="en-US"/>
        </w:rPr>
        <w:t>t</w:t>
      </w:r>
      <w:r w:rsidR="00E05800" w:rsidRPr="00F53FC6">
        <w:rPr>
          <w:rFonts w:ascii="Times New Roman" w:hAnsi="Times New Roman" w:cs="Times New Roman"/>
          <w:lang w:val="en-US"/>
        </w:rPr>
        <w:t xml:space="preserve">ransparency </w:t>
      </w:r>
      <w:r w:rsidRPr="00F53FC6">
        <w:rPr>
          <w:rFonts w:ascii="Times New Roman" w:hAnsi="Times New Roman" w:cs="Times New Roman"/>
          <w:lang w:val="en-US"/>
        </w:rPr>
        <w:t xml:space="preserve">and variables that generate value creation. </w:t>
      </w:r>
    </w:p>
    <w:p w14:paraId="4AE5E005" w14:textId="12B189C5" w:rsidR="00E11F35" w:rsidRPr="00F53FC6" w:rsidRDefault="00E11F35" w:rsidP="00762897">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lang w:val="en-US"/>
        </w:rPr>
        <w:t xml:space="preserve">An adequate </w:t>
      </w:r>
      <w:r w:rsidR="00295BE1" w:rsidRPr="00F53FC6">
        <w:rPr>
          <w:rFonts w:ascii="Times New Roman" w:hAnsi="Times New Roman" w:cs="Times New Roman"/>
          <w:lang w:val="en-US"/>
        </w:rPr>
        <w:t>f</w:t>
      </w:r>
      <w:r w:rsidRPr="00F53FC6">
        <w:rPr>
          <w:rFonts w:ascii="Times New Roman" w:hAnsi="Times New Roman" w:cs="Times New Roman"/>
          <w:lang w:val="en-US"/>
        </w:rPr>
        <w:t xml:space="preserve">inancial </w:t>
      </w:r>
      <w:r w:rsidR="00295BE1" w:rsidRPr="00F53FC6">
        <w:rPr>
          <w:rFonts w:ascii="Times New Roman" w:hAnsi="Times New Roman" w:cs="Times New Roman"/>
          <w:lang w:val="en-US"/>
        </w:rPr>
        <w:t>t</w:t>
      </w:r>
      <w:r w:rsidRPr="00F53FC6">
        <w:rPr>
          <w:rFonts w:ascii="Times New Roman" w:hAnsi="Times New Roman" w:cs="Times New Roman"/>
          <w:lang w:val="en-US"/>
        </w:rPr>
        <w:t xml:space="preserve">ransparency system allows SMEs owners to improve financial policy with positive impacts on </w:t>
      </w:r>
      <w:r w:rsidR="0088688C" w:rsidRPr="00F53FC6">
        <w:rPr>
          <w:rFonts w:ascii="Times New Roman" w:hAnsi="Times New Roman" w:cs="Times New Roman"/>
          <w:lang w:val="en-US"/>
        </w:rPr>
        <w:t>i</w:t>
      </w:r>
      <w:r w:rsidRPr="00F53FC6">
        <w:rPr>
          <w:rFonts w:ascii="Times New Roman" w:hAnsi="Times New Roman" w:cs="Times New Roman"/>
          <w:lang w:val="en-US"/>
        </w:rPr>
        <w:t xml:space="preserve">nterest </w:t>
      </w:r>
      <w:r w:rsidR="0088688C" w:rsidRPr="00F53FC6">
        <w:rPr>
          <w:rFonts w:ascii="Times New Roman" w:hAnsi="Times New Roman" w:cs="Times New Roman"/>
          <w:lang w:val="en-US"/>
        </w:rPr>
        <w:t>c</w:t>
      </w:r>
      <w:r w:rsidRPr="00F53FC6">
        <w:rPr>
          <w:rFonts w:ascii="Times New Roman" w:hAnsi="Times New Roman" w:cs="Times New Roman"/>
          <w:lang w:val="en-US"/>
        </w:rPr>
        <w:t>overage</w:t>
      </w:r>
      <w:r w:rsidR="0088688C" w:rsidRPr="00F53FC6">
        <w:rPr>
          <w:rFonts w:ascii="Times New Roman" w:hAnsi="Times New Roman" w:cs="Times New Roman"/>
          <w:lang w:val="en-US"/>
        </w:rPr>
        <w:t xml:space="preserve"> r</w:t>
      </w:r>
      <w:r w:rsidRPr="00F53FC6">
        <w:rPr>
          <w:rFonts w:ascii="Times New Roman" w:hAnsi="Times New Roman" w:cs="Times New Roman"/>
          <w:lang w:val="en-US"/>
        </w:rPr>
        <w:t>atio</w:t>
      </w:r>
      <w:r w:rsidR="00DD6BA4" w:rsidRPr="00F53FC6">
        <w:rPr>
          <w:rFonts w:ascii="Times New Roman" w:hAnsi="Times New Roman" w:cs="Times New Roman"/>
          <w:lang w:val="en-US"/>
        </w:rPr>
        <w:t xml:space="preserve"> (ICR)</w:t>
      </w:r>
      <w:r w:rsidRPr="00F53FC6">
        <w:rPr>
          <w:rFonts w:ascii="Times New Roman" w:hAnsi="Times New Roman" w:cs="Times New Roman"/>
          <w:lang w:val="en-US"/>
        </w:rPr>
        <w:t>, one of the best-known metrics to capture a company’s ability to create value.</w:t>
      </w:r>
      <w:r w:rsidR="00DD6BA4" w:rsidRPr="00F53FC6">
        <w:rPr>
          <w:rFonts w:ascii="Times New Roman" w:hAnsi="Times New Roman" w:cs="Times New Roman"/>
        </w:rPr>
        <w:t xml:space="preserve"> In </w:t>
      </w:r>
      <w:proofErr w:type="spellStart"/>
      <w:r w:rsidR="00DD6BA4" w:rsidRPr="00F53FC6">
        <w:rPr>
          <w:rFonts w:ascii="Times New Roman" w:hAnsi="Times New Roman" w:cs="Times New Roman"/>
        </w:rPr>
        <w:t>fact</w:t>
      </w:r>
      <w:proofErr w:type="spellEnd"/>
      <w:r w:rsidR="00DD6BA4" w:rsidRPr="00F53FC6">
        <w:rPr>
          <w:rFonts w:ascii="Times New Roman" w:hAnsi="Times New Roman" w:cs="Times New Roman"/>
        </w:rPr>
        <w:t xml:space="preserve"> ICR</w:t>
      </w:r>
      <w:r w:rsidR="00DD6BA4" w:rsidRPr="00F53FC6">
        <w:rPr>
          <w:rFonts w:ascii="Times New Roman" w:hAnsi="Times New Roman" w:cs="Times New Roman"/>
          <w:lang w:val="en-US"/>
        </w:rPr>
        <w:t xml:space="preserve"> emphasizes the company’s ability to pay off the interest with the profits earned.</w:t>
      </w:r>
    </w:p>
    <w:p w14:paraId="797DED65" w14:textId="6940D2F2" w:rsidR="00762897" w:rsidRPr="00F53FC6" w:rsidRDefault="00762897" w:rsidP="00762897">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lang w:val="en-US"/>
        </w:rPr>
        <w:t>The paper is structured as follows. Section 2 examines the related literature, while Section 3 illustrates the research hypothes</w:t>
      </w:r>
      <w:r w:rsidR="00646CEB" w:rsidRPr="00F53FC6">
        <w:rPr>
          <w:rFonts w:ascii="Times New Roman" w:hAnsi="Times New Roman" w:cs="Times New Roman"/>
          <w:lang w:val="en-US"/>
        </w:rPr>
        <w:t>e</w:t>
      </w:r>
      <w:r w:rsidRPr="00F53FC6">
        <w:rPr>
          <w:rFonts w:ascii="Times New Roman" w:hAnsi="Times New Roman" w:cs="Times New Roman"/>
          <w:lang w:val="en-US"/>
        </w:rPr>
        <w:t>s, data sources and empirical model. Section 4 presents the main results of which their implications are discussed in Section 5. The final section contains the concluding remarks.</w:t>
      </w:r>
    </w:p>
    <w:p w14:paraId="4ED02302" w14:textId="21DBEB0E" w:rsidR="00762897" w:rsidRPr="00F53FC6" w:rsidRDefault="00762897" w:rsidP="00BB6FBB">
      <w:pPr>
        <w:spacing w:after="0" w:line="360" w:lineRule="auto"/>
        <w:contextualSpacing/>
        <w:mirrorIndents/>
        <w:jc w:val="both"/>
        <w:rPr>
          <w:rFonts w:ascii="Times New Roman" w:hAnsi="Times New Roman" w:cs="Times New Roman"/>
          <w:lang w:val="en-US"/>
        </w:rPr>
      </w:pPr>
    </w:p>
    <w:p w14:paraId="0CD53E13" w14:textId="349A8CCC" w:rsidR="00762897" w:rsidRPr="00F53FC6" w:rsidRDefault="00762897" w:rsidP="00762897">
      <w:pPr>
        <w:pStyle w:val="Paragrafoelenco"/>
        <w:numPr>
          <w:ilvl w:val="0"/>
          <w:numId w:val="7"/>
        </w:numPr>
        <w:spacing w:after="0" w:line="360" w:lineRule="auto"/>
        <w:ind w:left="284" w:hanging="284"/>
        <w:mirrorIndents/>
        <w:jc w:val="both"/>
        <w:rPr>
          <w:rFonts w:ascii="Times New Roman" w:hAnsi="Times New Roman" w:cs="Times New Roman"/>
          <w:b/>
        </w:rPr>
      </w:pPr>
      <w:proofErr w:type="spellStart"/>
      <w:r w:rsidRPr="00F53FC6">
        <w:rPr>
          <w:rFonts w:ascii="Times New Roman" w:hAnsi="Times New Roman" w:cs="Times New Roman"/>
          <w:b/>
        </w:rPr>
        <w:t>Theoretical</w:t>
      </w:r>
      <w:proofErr w:type="spellEnd"/>
      <w:r w:rsidRPr="00F53FC6">
        <w:rPr>
          <w:rFonts w:ascii="Times New Roman" w:hAnsi="Times New Roman" w:cs="Times New Roman"/>
          <w:b/>
        </w:rPr>
        <w:t xml:space="preserve"> Background</w:t>
      </w:r>
    </w:p>
    <w:p w14:paraId="121C6635" w14:textId="77777777" w:rsidR="00846155" w:rsidRPr="00F53FC6" w:rsidRDefault="00846155" w:rsidP="00846155">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lang w:val="en-US"/>
        </w:rPr>
        <w:t xml:space="preserve">A frequently used definition of transparency is </w:t>
      </w:r>
      <w:r w:rsidRPr="00BD6EC2">
        <w:rPr>
          <w:rFonts w:ascii="Times New Roman" w:hAnsi="Times New Roman" w:cs="Times New Roman"/>
          <w:lang w:val="en-US"/>
        </w:rPr>
        <w:t xml:space="preserve">submitted by Bushman </w:t>
      </w:r>
      <w:r w:rsidRPr="00BD6EC2">
        <w:rPr>
          <w:rFonts w:ascii="Times New Roman" w:hAnsi="Times New Roman" w:cs="Times New Roman"/>
          <w:i/>
          <w:iCs/>
          <w:lang w:val="en-US"/>
        </w:rPr>
        <w:t>et al</w:t>
      </w:r>
      <w:r w:rsidRPr="00BD6EC2">
        <w:rPr>
          <w:rFonts w:ascii="Times New Roman" w:hAnsi="Times New Roman" w:cs="Times New Roman"/>
          <w:lang w:val="en-US"/>
        </w:rPr>
        <w:t xml:space="preserve">. (2004) as </w:t>
      </w:r>
      <w:r w:rsidRPr="00F53FC6">
        <w:rPr>
          <w:rFonts w:ascii="Times New Roman" w:hAnsi="Times New Roman" w:cs="Times New Roman"/>
          <w:lang w:val="en-US"/>
        </w:rPr>
        <w:t xml:space="preserve">the widespread availability of firm-specific information concerning publicly listed firms in the economy to those outside the firm. The broad nature of this definition implies that the availability of such information may be important to a wide range of stakeholders, including equity holders, debt holders, government agencies and labor unions </w:t>
      </w:r>
      <w:r w:rsidRPr="00D25427">
        <w:rPr>
          <w:rFonts w:ascii="Times New Roman" w:hAnsi="Times New Roman" w:cs="Times New Roman"/>
          <w:lang w:val="en-US"/>
        </w:rPr>
        <w:t xml:space="preserve">(Lang and </w:t>
      </w:r>
      <w:proofErr w:type="spellStart"/>
      <w:r w:rsidRPr="00D25427">
        <w:rPr>
          <w:rFonts w:ascii="Times New Roman" w:hAnsi="Times New Roman" w:cs="Times New Roman"/>
          <w:lang w:val="en-US"/>
        </w:rPr>
        <w:t>Maffet</w:t>
      </w:r>
      <w:proofErr w:type="spellEnd"/>
      <w:r w:rsidRPr="00D25427">
        <w:rPr>
          <w:rFonts w:ascii="Times New Roman" w:hAnsi="Times New Roman" w:cs="Times New Roman"/>
          <w:lang w:val="en-US"/>
        </w:rPr>
        <w:t>, 2011).</w:t>
      </w:r>
    </w:p>
    <w:p w14:paraId="0B1D6FB2" w14:textId="6381A879" w:rsidR="00230D91" w:rsidRPr="00F53FC6" w:rsidRDefault="00846155" w:rsidP="00846155">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lang w:val="en-US"/>
        </w:rPr>
        <w:t xml:space="preserve">Put more simply, transparency can be a remedy to overcome information asymmetry problems between two or more related </w:t>
      </w:r>
      <w:r w:rsidRPr="00314E76">
        <w:rPr>
          <w:rFonts w:ascii="Times New Roman" w:hAnsi="Times New Roman" w:cs="Times New Roman"/>
          <w:lang w:val="en-US"/>
        </w:rPr>
        <w:t xml:space="preserve">parties. In general, </w:t>
      </w:r>
      <w:r w:rsidR="00230D91" w:rsidRPr="00314E76">
        <w:rPr>
          <w:rFonts w:ascii="Times New Roman" w:hAnsi="Times New Roman" w:cs="Times New Roman"/>
          <w:lang w:val="en-US"/>
        </w:rPr>
        <w:t xml:space="preserve">Stiglitz and Weiss (1981) argue </w:t>
      </w:r>
      <w:r w:rsidR="00230D91" w:rsidRPr="00F53FC6">
        <w:rPr>
          <w:rFonts w:ascii="Times New Roman" w:hAnsi="Times New Roman" w:cs="Times New Roman"/>
          <w:lang w:val="en-US"/>
        </w:rPr>
        <w:t>that agency conflicts such as asymmetry of information and moral hazard may impact on the ability to obtain the external sources of funds.</w:t>
      </w:r>
    </w:p>
    <w:p w14:paraId="4BAEC727" w14:textId="77777777" w:rsidR="00985A3F" w:rsidRDefault="00985A3F" w:rsidP="00846155">
      <w:pPr>
        <w:spacing w:after="0" w:line="360" w:lineRule="auto"/>
        <w:contextualSpacing/>
        <w:mirrorIndents/>
        <w:jc w:val="both"/>
        <w:rPr>
          <w:rFonts w:ascii="Times New Roman" w:hAnsi="Times New Roman" w:cs="Times New Roman"/>
          <w:lang w:val="en-US"/>
        </w:rPr>
      </w:pPr>
      <w:r w:rsidRPr="00985A3F">
        <w:rPr>
          <w:rFonts w:ascii="Times New Roman" w:hAnsi="Times New Roman" w:cs="Times New Roman"/>
          <w:lang w:val="en-US"/>
        </w:rPr>
        <w:t xml:space="preserve">Financial transparency reduces informational asymmetries and the phenomena of moral hazard and adverse selection in the credit market. Therefore, a high financial transparency mitigates the danger of moral hazard (Diamond, 1991) and reduces agency costs (Jensen and </w:t>
      </w:r>
      <w:proofErr w:type="spellStart"/>
      <w:r w:rsidRPr="00985A3F">
        <w:rPr>
          <w:rFonts w:ascii="Times New Roman" w:hAnsi="Times New Roman" w:cs="Times New Roman"/>
          <w:lang w:val="en-US"/>
        </w:rPr>
        <w:t>Meckling</w:t>
      </w:r>
      <w:proofErr w:type="spellEnd"/>
      <w:r w:rsidRPr="00985A3F">
        <w:rPr>
          <w:rFonts w:ascii="Times New Roman" w:hAnsi="Times New Roman" w:cs="Times New Roman"/>
          <w:lang w:val="en-US"/>
        </w:rPr>
        <w:t xml:space="preserve">, 1976). </w:t>
      </w:r>
    </w:p>
    <w:p w14:paraId="552FC1BF" w14:textId="6D1EA50D" w:rsidR="00230D91" w:rsidRPr="00F53FC6" w:rsidRDefault="00230D91" w:rsidP="00846155">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lang w:val="en-US"/>
        </w:rPr>
        <w:t xml:space="preserve">In line </w:t>
      </w:r>
      <w:r w:rsidRPr="00CD32BF">
        <w:rPr>
          <w:rFonts w:ascii="Times New Roman" w:hAnsi="Times New Roman" w:cs="Times New Roman"/>
          <w:lang w:val="en-US"/>
        </w:rPr>
        <w:t>with previous studies, Shinozaki (201</w:t>
      </w:r>
      <w:r w:rsidR="00CD32BF" w:rsidRPr="00CD32BF">
        <w:rPr>
          <w:rFonts w:ascii="Times New Roman" w:hAnsi="Times New Roman" w:cs="Times New Roman"/>
          <w:lang w:val="en-US"/>
        </w:rPr>
        <w:t>4</w:t>
      </w:r>
      <w:r w:rsidRPr="00CD32BF">
        <w:rPr>
          <w:rFonts w:ascii="Times New Roman" w:hAnsi="Times New Roman" w:cs="Times New Roman"/>
          <w:lang w:val="en-US"/>
        </w:rPr>
        <w:t>) argue</w:t>
      </w:r>
      <w:r w:rsidR="00361F65" w:rsidRPr="00CD32BF">
        <w:rPr>
          <w:rFonts w:ascii="Times New Roman" w:hAnsi="Times New Roman" w:cs="Times New Roman"/>
          <w:lang w:val="en-US"/>
        </w:rPr>
        <w:t>s</w:t>
      </w:r>
      <w:r w:rsidRPr="00CD32BF">
        <w:rPr>
          <w:rFonts w:ascii="Times New Roman" w:hAnsi="Times New Roman" w:cs="Times New Roman"/>
          <w:lang w:val="en-US"/>
        </w:rPr>
        <w:t xml:space="preserve"> that </w:t>
      </w:r>
      <w:r w:rsidRPr="00F53FC6">
        <w:rPr>
          <w:rFonts w:ascii="Times New Roman" w:hAnsi="Times New Roman" w:cs="Times New Roman"/>
          <w:lang w:val="en-US"/>
        </w:rPr>
        <w:t>information asymmetry</w:t>
      </w:r>
      <w:r w:rsidR="00361F65" w:rsidRPr="00F53FC6">
        <w:rPr>
          <w:rFonts w:ascii="Times New Roman" w:hAnsi="Times New Roman" w:cs="Times New Roman"/>
          <w:lang w:val="en-US"/>
        </w:rPr>
        <w:t xml:space="preserve"> </w:t>
      </w:r>
      <w:r w:rsidRPr="00F53FC6">
        <w:rPr>
          <w:rFonts w:ascii="Times New Roman" w:hAnsi="Times New Roman" w:cs="Times New Roman"/>
          <w:lang w:val="en-US"/>
        </w:rPr>
        <w:t>between borrowers and lenders increases the adverse selection and moral hazard risks for</w:t>
      </w:r>
      <w:r w:rsidR="00361F65" w:rsidRPr="00F53FC6">
        <w:rPr>
          <w:rFonts w:ascii="Times New Roman" w:hAnsi="Times New Roman" w:cs="Times New Roman"/>
          <w:lang w:val="en-US"/>
        </w:rPr>
        <w:t xml:space="preserve"> </w:t>
      </w:r>
      <w:r w:rsidRPr="00F53FC6">
        <w:rPr>
          <w:rFonts w:ascii="Times New Roman" w:hAnsi="Times New Roman" w:cs="Times New Roman"/>
          <w:lang w:val="en-US"/>
        </w:rPr>
        <w:t>financial institutions.</w:t>
      </w:r>
    </w:p>
    <w:p w14:paraId="639E3640" w14:textId="52A9B640" w:rsidR="006C0DDE" w:rsidRPr="00F53FC6" w:rsidRDefault="006C0DDE" w:rsidP="00846155">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lang w:val="en-US"/>
        </w:rPr>
        <w:t xml:space="preserve">The research conduct by </w:t>
      </w:r>
      <w:r w:rsidRPr="00567904">
        <w:rPr>
          <w:rFonts w:ascii="Times New Roman" w:hAnsi="Times New Roman" w:cs="Times New Roman"/>
          <w:lang w:val="en-US"/>
        </w:rPr>
        <w:t xml:space="preserve">Zulfikar </w:t>
      </w:r>
      <w:r w:rsidRPr="00567904">
        <w:rPr>
          <w:rFonts w:ascii="Times New Roman" w:hAnsi="Times New Roman" w:cs="Times New Roman"/>
          <w:i/>
          <w:iCs/>
          <w:lang w:val="en-US"/>
        </w:rPr>
        <w:t>et al</w:t>
      </w:r>
      <w:r w:rsidRPr="00567904">
        <w:rPr>
          <w:rFonts w:ascii="Times New Roman" w:hAnsi="Times New Roman" w:cs="Times New Roman"/>
          <w:lang w:val="en-US"/>
        </w:rPr>
        <w:t xml:space="preserve">. (2017) </w:t>
      </w:r>
      <w:r w:rsidRPr="00F53FC6">
        <w:rPr>
          <w:rFonts w:ascii="Times New Roman" w:hAnsi="Times New Roman" w:cs="Times New Roman"/>
          <w:lang w:val="en-US"/>
        </w:rPr>
        <w:t>has shown that financial transparency is related with better financial outcomes, leading indirectly to higher credit ratings.</w:t>
      </w:r>
    </w:p>
    <w:p w14:paraId="7C561CED" w14:textId="1722AB27" w:rsidR="00846155" w:rsidRPr="00F53FC6" w:rsidRDefault="00846155" w:rsidP="00846155">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lang w:val="en-US"/>
        </w:rPr>
        <w:t xml:space="preserve">The information environment plays a central role both in determining the extent of these conflicts and in designing the mechanisms to mitigate them. Specifically, the fact that certain contracting parties possess </w:t>
      </w:r>
      <w:r w:rsidRPr="00881F40">
        <w:rPr>
          <w:rFonts w:ascii="Times New Roman" w:hAnsi="Times New Roman" w:cs="Times New Roman"/>
          <w:lang w:val="en-US"/>
        </w:rPr>
        <w:t xml:space="preserve">superior firm-specific information at various times before and/or during the contracting relationship either create or exacerbate a wide range of agency conflicts (Armstrong </w:t>
      </w:r>
      <w:r w:rsidRPr="00881F40">
        <w:rPr>
          <w:rFonts w:ascii="Times New Roman" w:hAnsi="Times New Roman" w:cs="Times New Roman"/>
          <w:i/>
          <w:iCs/>
          <w:lang w:val="en-US"/>
        </w:rPr>
        <w:t>et al</w:t>
      </w:r>
      <w:r w:rsidRPr="00881F40">
        <w:rPr>
          <w:rFonts w:ascii="Times New Roman" w:hAnsi="Times New Roman" w:cs="Times New Roman"/>
          <w:lang w:val="en-US"/>
        </w:rPr>
        <w:t>., 2010).</w:t>
      </w:r>
    </w:p>
    <w:p w14:paraId="752FC48E" w14:textId="4E179F64" w:rsidR="00361F65" w:rsidRPr="00F53FC6" w:rsidRDefault="00361F65" w:rsidP="00254CDE">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lang w:val="en-US"/>
        </w:rPr>
        <w:t xml:space="preserve">In </w:t>
      </w:r>
      <w:r w:rsidRPr="00646D3C">
        <w:rPr>
          <w:rFonts w:ascii="Times New Roman" w:hAnsi="Times New Roman" w:cs="Times New Roman"/>
          <w:lang w:val="en-US"/>
        </w:rPr>
        <w:t xml:space="preserve">the search conducted by </w:t>
      </w:r>
      <w:proofErr w:type="spellStart"/>
      <w:r w:rsidRPr="00646D3C">
        <w:rPr>
          <w:rFonts w:ascii="Times New Roman" w:hAnsi="Times New Roman" w:cs="Times New Roman"/>
          <w:lang w:val="en-US"/>
        </w:rPr>
        <w:t>Mazani</w:t>
      </w:r>
      <w:proofErr w:type="spellEnd"/>
      <w:r w:rsidRPr="00646D3C">
        <w:rPr>
          <w:rFonts w:ascii="Times New Roman" w:hAnsi="Times New Roman" w:cs="Times New Roman"/>
          <w:lang w:val="en-US"/>
        </w:rPr>
        <w:t xml:space="preserve"> and </w:t>
      </w:r>
      <w:proofErr w:type="spellStart"/>
      <w:r w:rsidRPr="00646D3C">
        <w:rPr>
          <w:rFonts w:ascii="Times New Roman" w:hAnsi="Times New Roman" w:cs="Times New Roman"/>
          <w:lang w:val="en-US"/>
        </w:rPr>
        <w:t>Fatoki</w:t>
      </w:r>
      <w:proofErr w:type="spellEnd"/>
      <w:r w:rsidRPr="00646D3C">
        <w:rPr>
          <w:rFonts w:ascii="Times New Roman" w:hAnsi="Times New Roman" w:cs="Times New Roman"/>
          <w:lang w:val="en-US"/>
        </w:rPr>
        <w:t xml:space="preserve"> (2012), asymmetry of information </w:t>
      </w:r>
      <w:r w:rsidRPr="00F53FC6">
        <w:rPr>
          <w:rFonts w:ascii="Times New Roman" w:hAnsi="Times New Roman" w:cs="Times New Roman"/>
          <w:lang w:val="en-US"/>
        </w:rPr>
        <w:t xml:space="preserve">has become a major issue for lenders in credit rationing. </w:t>
      </w:r>
      <w:r w:rsidRPr="007568E2">
        <w:rPr>
          <w:rFonts w:ascii="Times New Roman" w:hAnsi="Times New Roman" w:cs="Times New Roman"/>
          <w:lang w:val="en-US"/>
        </w:rPr>
        <w:t xml:space="preserve">Hong and Gu (2014) studies </w:t>
      </w:r>
      <w:r w:rsidRPr="00F53FC6">
        <w:rPr>
          <w:rFonts w:ascii="Times New Roman" w:hAnsi="Times New Roman" w:cs="Times New Roman"/>
          <w:lang w:val="en-US"/>
        </w:rPr>
        <w:t>add that asymmetry of information has made severe impacts on accessing external financial resources from formal financial industry.</w:t>
      </w:r>
    </w:p>
    <w:p w14:paraId="7B4AA022" w14:textId="0ED50AB4" w:rsidR="009D3CDE" w:rsidRPr="00F53FC6" w:rsidRDefault="009D3CDE" w:rsidP="00254CDE">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lang w:val="en-US"/>
        </w:rPr>
        <w:lastRenderedPageBreak/>
        <w:t xml:space="preserve">Some authors associate the phenomenon of financial transparency with the disclosure of accounting </w:t>
      </w:r>
      <w:r w:rsidRPr="00792BFA">
        <w:rPr>
          <w:rFonts w:ascii="Times New Roman" w:hAnsi="Times New Roman" w:cs="Times New Roman"/>
          <w:lang w:val="en-US"/>
        </w:rPr>
        <w:t>information. Healy and Palepu (2001) argues</w:t>
      </w:r>
      <w:r w:rsidRPr="00F53FC6">
        <w:rPr>
          <w:rFonts w:ascii="Times New Roman" w:hAnsi="Times New Roman" w:cs="Times New Roman"/>
          <w:lang w:val="en-US"/>
        </w:rPr>
        <w:t xml:space="preserve"> that organizations disclose accounting information that is useful for </w:t>
      </w:r>
      <w:r w:rsidRPr="00A02549">
        <w:rPr>
          <w:rFonts w:ascii="Times New Roman" w:hAnsi="Times New Roman" w:cs="Times New Roman"/>
          <w:lang w:val="en-US"/>
        </w:rPr>
        <w:t xml:space="preserve">investment decisions. Buskirk (2012) and </w:t>
      </w:r>
      <w:r w:rsidRPr="00314E76">
        <w:rPr>
          <w:rFonts w:ascii="Times New Roman" w:hAnsi="Times New Roman" w:cs="Times New Roman"/>
          <w:lang w:val="en-US"/>
        </w:rPr>
        <w:t xml:space="preserve">Quintiliani (2018) points </w:t>
      </w:r>
      <w:r w:rsidRPr="00F53FC6">
        <w:rPr>
          <w:rFonts w:ascii="Times New Roman" w:hAnsi="Times New Roman" w:cs="Times New Roman"/>
          <w:lang w:val="en-US"/>
        </w:rPr>
        <w:t>to the fact that financial disclosure is useful to minimize agency costs.</w:t>
      </w:r>
    </w:p>
    <w:p w14:paraId="19D01DFD" w14:textId="41A03A4A" w:rsidR="00A22131" w:rsidRPr="00881F40" w:rsidRDefault="00A22131" w:rsidP="00254CDE">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lang w:val="en-US"/>
        </w:rPr>
        <w:t xml:space="preserve">Other studies highlight that financial transparency systems are designed to help an organization adapt to the environment in which it is set and to deliver the key results desired by </w:t>
      </w:r>
      <w:r w:rsidRPr="00881F40">
        <w:rPr>
          <w:rFonts w:ascii="Times New Roman" w:hAnsi="Times New Roman" w:cs="Times New Roman"/>
          <w:lang w:val="en-US"/>
        </w:rPr>
        <w:t xml:space="preserve">stakeholders (Petersen and </w:t>
      </w:r>
      <w:proofErr w:type="spellStart"/>
      <w:r w:rsidRPr="00881F40">
        <w:rPr>
          <w:rFonts w:ascii="Times New Roman" w:hAnsi="Times New Roman" w:cs="Times New Roman"/>
          <w:lang w:val="en-US"/>
        </w:rPr>
        <w:t>Rajan</w:t>
      </w:r>
      <w:proofErr w:type="spellEnd"/>
      <w:r w:rsidRPr="00881F40">
        <w:rPr>
          <w:rFonts w:ascii="Times New Roman" w:hAnsi="Times New Roman" w:cs="Times New Roman"/>
          <w:lang w:val="en-US"/>
        </w:rPr>
        <w:t>, 2002).</w:t>
      </w:r>
    </w:p>
    <w:p w14:paraId="068C2391" w14:textId="74207579" w:rsidR="00A22131" w:rsidRPr="008377FB" w:rsidRDefault="002C103F" w:rsidP="002C103F">
      <w:pPr>
        <w:spacing w:after="0" w:line="360" w:lineRule="auto"/>
        <w:contextualSpacing/>
        <w:mirrorIndents/>
        <w:jc w:val="both"/>
        <w:rPr>
          <w:rFonts w:ascii="Times New Roman" w:hAnsi="Times New Roman" w:cs="Times New Roman"/>
          <w:lang w:val="en-US"/>
        </w:rPr>
      </w:pPr>
      <w:r w:rsidRPr="008377FB">
        <w:rPr>
          <w:rFonts w:ascii="Times New Roman" w:hAnsi="Times New Roman" w:cs="Times New Roman"/>
          <w:lang w:val="en-US"/>
        </w:rPr>
        <w:t xml:space="preserve">As can be seen from the study </w:t>
      </w:r>
      <w:bookmarkStart w:id="4" w:name="_Hlk23599885"/>
      <w:r w:rsidRPr="008377FB">
        <w:rPr>
          <w:rFonts w:ascii="Times New Roman" w:hAnsi="Times New Roman" w:cs="Times New Roman"/>
          <w:lang w:val="en-US"/>
        </w:rPr>
        <w:t xml:space="preserve">by </w:t>
      </w:r>
      <w:proofErr w:type="spellStart"/>
      <w:r w:rsidR="003C6065" w:rsidRPr="008377FB">
        <w:rPr>
          <w:rFonts w:ascii="Times New Roman" w:hAnsi="Times New Roman" w:cs="Times New Roman"/>
          <w:lang w:val="en-US"/>
        </w:rPr>
        <w:t>Cucculelli</w:t>
      </w:r>
      <w:proofErr w:type="spellEnd"/>
      <w:r w:rsidR="003C6065" w:rsidRPr="008377FB">
        <w:rPr>
          <w:rFonts w:ascii="Times New Roman" w:hAnsi="Times New Roman" w:cs="Times New Roman"/>
          <w:lang w:val="en-US"/>
        </w:rPr>
        <w:t xml:space="preserve"> and Bettinelli </w:t>
      </w:r>
      <w:r w:rsidRPr="008377FB">
        <w:rPr>
          <w:rFonts w:ascii="Times New Roman" w:hAnsi="Times New Roman" w:cs="Times New Roman"/>
          <w:lang w:val="en-US"/>
        </w:rPr>
        <w:t>(201</w:t>
      </w:r>
      <w:r w:rsidR="003C6065" w:rsidRPr="008377FB">
        <w:rPr>
          <w:rFonts w:ascii="Times New Roman" w:hAnsi="Times New Roman" w:cs="Times New Roman"/>
          <w:lang w:val="en-US"/>
        </w:rPr>
        <w:t>5</w:t>
      </w:r>
      <w:r w:rsidRPr="008377FB">
        <w:rPr>
          <w:rFonts w:ascii="Times New Roman" w:hAnsi="Times New Roman" w:cs="Times New Roman"/>
          <w:lang w:val="en-US"/>
        </w:rPr>
        <w:t xml:space="preserve">), </w:t>
      </w:r>
      <w:bookmarkEnd w:id="4"/>
      <w:r w:rsidRPr="008377FB">
        <w:rPr>
          <w:rFonts w:ascii="Times New Roman" w:hAnsi="Times New Roman" w:cs="Times New Roman"/>
          <w:lang w:val="en-US"/>
        </w:rPr>
        <w:t>SMEs should adopt tools to enhance transparency and provide proactively to banks all relevant information necessary to assess their risk profile. The tools to improve financial transparency are: planning system, quality standard, management control system, auditor, and the presence of a CFO.</w:t>
      </w:r>
      <w:r w:rsidR="00EA7115" w:rsidRPr="008377FB">
        <w:rPr>
          <w:rFonts w:ascii="Times New Roman" w:hAnsi="Times New Roman" w:cs="Times New Roman"/>
          <w:lang w:val="en-US"/>
        </w:rPr>
        <w:t xml:space="preserve"> These tools improve the dialogue between and SMEs and banks and prove to be a good way to reduce information asymmetry and create stronger relationships.</w:t>
      </w:r>
    </w:p>
    <w:p w14:paraId="62B3B6D1" w14:textId="16D2BB9C" w:rsidR="009F38D6" w:rsidRPr="00F53FC6" w:rsidRDefault="00FF002A" w:rsidP="00074A60">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lang w:val="en-US"/>
        </w:rPr>
        <w:t>This study uses the tools above mentioned for the construction of the financial transparency index.</w:t>
      </w:r>
    </w:p>
    <w:p w14:paraId="3CC7E3B5" w14:textId="75711B7C" w:rsidR="00493613" w:rsidRPr="00F53FC6" w:rsidRDefault="000947A2" w:rsidP="00493613">
      <w:pPr>
        <w:spacing w:after="0" w:line="360" w:lineRule="auto"/>
        <w:contextualSpacing/>
        <w:mirrorIndents/>
        <w:jc w:val="both"/>
        <w:rPr>
          <w:rFonts w:ascii="Times New Roman" w:hAnsi="Times New Roman" w:cs="Times New Roman"/>
          <w:lang w:val="en-US"/>
        </w:rPr>
      </w:pPr>
      <w:r w:rsidRPr="000947A2">
        <w:rPr>
          <w:rFonts w:ascii="Times New Roman" w:hAnsi="Times New Roman" w:cs="Times New Roman"/>
          <w:lang w:val="en-US"/>
        </w:rPr>
        <w:t xml:space="preserve">As can be seen by </w:t>
      </w:r>
      <w:proofErr w:type="spellStart"/>
      <w:r w:rsidRPr="000947A2">
        <w:rPr>
          <w:rFonts w:ascii="Times New Roman" w:hAnsi="Times New Roman" w:cs="Times New Roman"/>
          <w:lang w:val="en-US"/>
        </w:rPr>
        <w:t>Hirdinis</w:t>
      </w:r>
      <w:proofErr w:type="spellEnd"/>
      <w:r w:rsidRPr="000947A2">
        <w:rPr>
          <w:rFonts w:ascii="Times New Roman" w:hAnsi="Times New Roman" w:cs="Times New Roman"/>
          <w:lang w:val="en-US"/>
        </w:rPr>
        <w:t xml:space="preserve"> (2019):</w:t>
      </w:r>
      <w:r>
        <w:rPr>
          <w:rFonts w:ascii="Times New Roman" w:hAnsi="Times New Roman" w:cs="Times New Roman"/>
          <w:lang w:val="en-US"/>
        </w:rPr>
        <w:t xml:space="preserve"> «</w:t>
      </w:r>
      <w:r w:rsidR="00493613" w:rsidRPr="00F53FC6">
        <w:rPr>
          <w:rFonts w:ascii="Times New Roman" w:hAnsi="Times New Roman" w:cs="Times New Roman"/>
          <w:lang w:val="en-US"/>
        </w:rPr>
        <w:t>SME value is the result of the work management does in several dimensions, including net cash flow from investment decisions, growth and capital cost of the company. For investors, corporate value is an important concept because corporate value is an indicator of how the market perceives the company. High corporate values lead to good company performance. Creditors view company value closely.</w:t>
      </w:r>
      <w:r>
        <w:rPr>
          <w:rFonts w:ascii="Times New Roman" w:hAnsi="Times New Roman" w:cs="Times New Roman"/>
          <w:lang w:val="en-US"/>
        </w:rPr>
        <w:t xml:space="preserve"> </w:t>
      </w:r>
      <w:r w:rsidR="00493613" w:rsidRPr="00F53FC6">
        <w:rPr>
          <w:rFonts w:ascii="Times New Roman" w:hAnsi="Times New Roman" w:cs="Times New Roman"/>
          <w:lang w:val="en-US"/>
        </w:rPr>
        <w:t xml:space="preserve">For the creditor, the value of the company is related to the liquidity of the company, i.e. if the company is considered capable or not to return the loan provided by the creditor. If the implied value of the company is not good, then the investor will rate the company as having a low </w:t>
      </w:r>
      <w:r w:rsidR="00493613" w:rsidRPr="00207CDB">
        <w:rPr>
          <w:rFonts w:ascii="Times New Roman" w:hAnsi="Times New Roman" w:cs="Times New Roman"/>
          <w:lang w:val="en-US"/>
        </w:rPr>
        <w:t>value</w:t>
      </w:r>
      <w:r>
        <w:rPr>
          <w:rFonts w:ascii="Times New Roman" w:hAnsi="Times New Roman" w:cs="Times New Roman"/>
          <w:lang w:val="en-US"/>
        </w:rPr>
        <w:t>»</w:t>
      </w:r>
      <w:r w:rsidR="00493613" w:rsidRPr="00207CDB">
        <w:rPr>
          <w:rFonts w:ascii="Times New Roman" w:hAnsi="Times New Roman" w:cs="Times New Roman"/>
          <w:lang w:val="en-US"/>
        </w:rPr>
        <w:t>.</w:t>
      </w:r>
    </w:p>
    <w:p w14:paraId="7986175B" w14:textId="56E03C04" w:rsidR="00074A60" w:rsidRPr="00F53FC6" w:rsidRDefault="00074A60" w:rsidP="00074A60">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lang w:val="en-US"/>
        </w:rPr>
        <w:t xml:space="preserve">Value creation can also be defined as the attainment of predetermined targets, objectives, and goals within a given </w:t>
      </w:r>
      <w:r w:rsidRPr="006B7C5B">
        <w:rPr>
          <w:rFonts w:ascii="Times New Roman" w:hAnsi="Times New Roman" w:cs="Times New Roman"/>
          <w:lang w:val="en-US"/>
        </w:rPr>
        <w:t>timeframe (</w:t>
      </w:r>
      <w:r w:rsidR="004315B2" w:rsidRPr="006B7C5B">
        <w:rPr>
          <w:rFonts w:ascii="Times New Roman" w:hAnsi="Times New Roman" w:cs="Times New Roman"/>
          <w:lang w:val="en-US"/>
        </w:rPr>
        <w:t>Casey and O’Toole, 2014</w:t>
      </w:r>
      <w:r w:rsidR="000947A2">
        <w:rPr>
          <w:rFonts w:ascii="Times New Roman" w:hAnsi="Times New Roman" w:cs="Times New Roman"/>
          <w:lang w:val="en-US"/>
        </w:rPr>
        <w:t xml:space="preserve">; </w:t>
      </w:r>
      <w:r w:rsidR="000947A2" w:rsidRPr="000947A2">
        <w:rPr>
          <w:rFonts w:ascii="Times New Roman" w:hAnsi="Times New Roman" w:cs="Times New Roman"/>
          <w:lang w:val="en-US"/>
        </w:rPr>
        <w:t>Rahman, 2014</w:t>
      </w:r>
      <w:r w:rsidRPr="006B7C5B">
        <w:rPr>
          <w:rFonts w:ascii="Times New Roman" w:hAnsi="Times New Roman" w:cs="Times New Roman"/>
          <w:lang w:val="en-US"/>
        </w:rPr>
        <w:t>).</w:t>
      </w:r>
    </w:p>
    <w:p w14:paraId="088A37CF" w14:textId="56F34D47" w:rsidR="00074A60" w:rsidRPr="00F53FC6" w:rsidRDefault="00074A60" w:rsidP="00074A60">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lang w:val="en-US"/>
        </w:rPr>
        <w:t xml:space="preserve">Management control effects company’s value because of minimized </w:t>
      </w:r>
      <w:r w:rsidRPr="00E8278E">
        <w:rPr>
          <w:rFonts w:ascii="Times New Roman" w:hAnsi="Times New Roman" w:cs="Times New Roman"/>
          <w:lang w:val="en-US"/>
        </w:rPr>
        <w:t>expropriation by management, increased effectiveness in investments and improvement in available cash flows for owners (</w:t>
      </w:r>
      <w:r w:rsidR="00E8278E" w:rsidRPr="00E8278E">
        <w:rPr>
          <w:rFonts w:ascii="Times New Roman" w:hAnsi="Times New Roman" w:cs="Times New Roman"/>
          <w:lang w:val="en-US"/>
        </w:rPr>
        <w:t>Jensen,</w:t>
      </w:r>
      <w:r w:rsidRPr="00E8278E">
        <w:rPr>
          <w:rFonts w:ascii="Times New Roman" w:hAnsi="Times New Roman" w:cs="Times New Roman"/>
          <w:lang w:val="en-US"/>
        </w:rPr>
        <w:t xml:space="preserve"> </w:t>
      </w:r>
      <w:r w:rsidR="00E8278E" w:rsidRPr="00E8278E">
        <w:rPr>
          <w:rFonts w:ascii="Times New Roman" w:hAnsi="Times New Roman" w:cs="Times New Roman"/>
          <w:lang w:val="en-US"/>
        </w:rPr>
        <w:t>1991</w:t>
      </w:r>
      <w:r w:rsidRPr="00E8278E">
        <w:rPr>
          <w:rFonts w:ascii="Times New Roman" w:hAnsi="Times New Roman" w:cs="Times New Roman"/>
          <w:lang w:val="en-US"/>
        </w:rPr>
        <w:t>).</w:t>
      </w:r>
    </w:p>
    <w:p w14:paraId="5C62B2A9" w14:textId="77777777" w:rsidR="00CF37AB" w:rsidRDefault="00074A60" w:rsidP="00074A60">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lang w:val="en-US"/>
        </w:rPr>
        <w:t xml:space="preserve">A good performance indicator should be measurable, applicable and important to the </w:t>
      </w:r>
      <w:r w:rsidRPr="00881F40">
        <w:rPr>
          <w:rFonts w:ascii="Times New Roman" w:hAnsi="Times New Roman" w:cs="Times New Roman"/>
          <w:lang w:val="en-US"/>
        </w:rPr>
        <w:t>company (</w:t>
      </w:r>
      <w:r w:rsidR="004315B2" w:rsidRPr="00881F40">
        <w:rPr>
          <w:rFonts w:ascii="Times New Roman" w:hAnsi="Times New Roman" w:cs="Times New Roman"/>
          <w:lang w:val="en-US"/>
        </w:rPr>
        <w:t>Carpenter and Petersen, 2002)</w:t>
      </w:r>
      <w:r w:rsidRPr="00881F40">
        <w:rPr>
          <w:rFonts w:ascii="Times New Roman" w:hAnsi="Times New Roman" w:cs="Times New Roman"/>
          <w:lang w:val="en-US"/>
        </w:rPr>
        <w:t xml:space="preserve">. </w:t>
      </w:r>
    </w:p>
    <w:p w14:paraId="6AECA1D9" w14:textId="4B2B6F89" w:rsidR="00074A60" w:rsidRPr="00F53FC6" w:rsidRDefault="00074A60" w:rsidP="00074A60">
      <w:pPr>
        <w:spacing w:after="0" w:line="360" w:lineRule="auto"/>
        <w:contextualSpacing/>
        <w:mirrorIndents/>
        <w:jc w:val="both"/>
        <w:rPr>
          <w:rFonts w:ascii="Times New Roman" w:hAnsi="Times New Roman" w:cs="Times New Roman"/>
          <w:lang w:val="en-US"/>
        </w:rPr>
      </w:pPr>
      <w:r w:rsidRPr="00881F40">
        <w:rPr>
          <w:rFonts w:ascii="Times New Roman" w:hAnsi="Times New Roman" w:cs="Times New Roman"/>
          <w:lang w:val="en-US"/>
        </w:rPr>
        <w:t xml:space="preserve">Performance measures used in empirical research can be classified </w:t>
      </w:r>
      <w:r w:rsidRPr="00F53FC6">
        <w:rPr>
          <w:rFonts w:ascii="Times New Roman" w:hAnsi="Times New Roman" w:cs="Times New Roman"/>
          <w:lang w:val="en-US"/>
        </w:rPr>
        <w:t>as accounting-based means or market-oriented means. Firm performance was measured by market price of resources acquired and market price growth by Tobin’s Q calculation which measure share</w:t>
      </w:r>
      <w:r w:rsidR="004315B2" w:rsidRPr="00F53FC6">
        <w:rPr>
          <w:rFonts w:ascii="Times New Roman" w:hAnsi="Times New Roman" w:cs="Times New Roman"/>
          <w:lang w:val="en-US"/>
        </w:rPr>
        <w:t xml:space="preserve"> </w:t>
      </w:r>
      <w:r w:rsidRPr="00F53FC6">
        <w:rPr>
          <w:rFonts w:ascii="Times New Roman" w:hAnsi="Times New Roman" w:cs="Times New Roman"/>
          <w:lang w:val="en-US"/>
        </w:rPr>
        <w:t>value growth.</w:t>
      </w:r>
    </w:p>
    <w:p w14:paraId="15C440C6" w14:textId="77777777" w:rsidR="00CF37AB" w:rsidRDefault="00074A60" w:rsidP="00FE3685">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lang w:val="en-US"/>
        </w:rPr>
        <w:t xml:space="preserve">This study uses </w:t>
      </w:r>
      <w:bookmarkStart w:id="5" w:name="_Hlk23000098"/>
      <w:r w:rsidR="00DD6BA4" w:rsidRPr="00F53FC6">
        <w:rPr>
          <w:rFonts w:ascii="Times New Roman" w:hAnsi="Times New Roman" w:cs="Times New Roman"/>
          <w:lang w:val="en-US"/>
        </w:rPr>
        <w:t>ICR</w:t>
      </w:r>
      <w:r w:rsidRPr="00F53FC6">
        <w:rPr>
          <w:rFonts w:ascii="Times New Roman" w:hAnsi="Times New Roman" w:cs="Times New Roman"/>
          <w:lang w:val="en-US"/>
        </w:rPr>
        <w:t xml:space="preserve"> </w:t>
      </w:r>
      <w:bookmarkEnd w:id="5"/>
      <w:r w:rsidRPr="00F53FC6">
        <w:rPr>
          <w:rFonts w:ascii="Times New Roman" w:hAnsi="Times New Roman" w:cs="Times New Roman"/>
          <w:lang w:val="en-US"/>
        </w:rPr>
        <w:t xml:space="preserve">as the measurement of financial performance for the selected companies. </w:t>
      </w:r>
      <w:bookmarkStart w:id="6" w:name="_Hlk22926436"/>
    </w:p>
    <w:p w14:paraId="7F6119E5" w14:textId="77777777" w:rsidR="00CF37AB" w:rsidRDefault="00FE3685" w:rsidP="00FE3685">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lang w:val="en-US"/>
        </w:rPr>
        <w:t xml:space="preserve">Tobin’s q measures the wealth generated by a firm for its shareholders. It compares how much more a company is worth when compared to the book value of its assets. </w:t>
      </w:r>
    </w:p>
    <w:p w14:paraId="56AAD0F1" w14:textId="24F5A900" w:rsidR="00B84307" w:rsidRDefault="00FE3685" w:rsidP="00FE3685">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lang w:val="en-US"/>
        </w:rPr>
        <w:t>Any excess of market value of assets over their book value results from intangible assets, goodwill, future growth potential, and competitive position. Tobin’s Q can be affected by both the internal and external factors. Tobin’s Q is a company’s performances indicator, so it is important for an organization to manage its effectively.</w:t>
      </w:r>
    </w:p>
    <w:p w14:paraId="1B05913B" w14:textId="77777777" w:rsidR="000947A2" w:rsidRPr="00F53FC6" w:rsidRDefault="000947A2" w:rsidP="00FE3685">
      <w:pPr>
        <w:spacing w:after="0" w:line="360" w:lineRule="auto"/>
        <w:contextualSpacing/>
        <w:mirrorIndents/>
        <w:jc w:val="both"/>
        <w:rPr>
          <w:rFonts w:ascii="Times New Roman" w:hAnsi="Times New Roman" w:cs="Times New Roman"/>
          <w:lang w:val="en-US"/>
        </w:rPr>
      </w:pPr>
    </w:p>
    <w:p w14:paraId="721E965F" w14:textId="651D1D25" w:rsidR="00B84307" w:rsidRPr="00F53FC6" w:rsidRDefault="00B84307" w:rsidP="00207CDB">
      <w:pPr>
        <w:pStyle w:val="Paragrafoelenco"/>
        <w:numPr>
          <w:ilvl w:val="0"/>
          <w:numId w:val="7"/>
        </w:numPr>
        <w:spacing w:after="0" w:line="360" w:lineRule="auto"/>
        <w:ind w:left="284" w:hanging="284"/>
        <w:mirrorIndents/>
        <w:jc w:val="both"/>
        <w:rPr>
          <w:rFonts w:ascii="Times New Roman" w:hAnsi="Times New Roman" w:cs="Times New Roman"/>
          <w:b/>
        </w:rPr>
      </w:pPr>
      <w:proofErr w:type="spellStart"/>
      <w:r w:rsidRPr="00F53FC6">
        <w:rPr>
          <w:rFonts w:ascii="Times New Roman" w:hAnsi="Times New Roman" w:cs="Times New Roman"/>
          <w:b/>
        </w:rPr>
        <w:lastRenderedPageBreak/>
        <w:t>Hypothesis</w:t>
      </w:r>
      <w:proofErr w:type="spellEnd"/>
      <w:r w:rsidRPr="00F53FC6">
        <w:rPr>
          <w:rFonts w:ascii="Times New Roman" w:hAnsi="Times New Roman" w:cs="Times New Roman"/>
          <w:b/>
        </w:rPr>
        <w:t xml:space="preserve">, Data and </w:t>
      </w:r>
      <w:proofErr w:type="spellStart"/>
      <w:r w:rsidRPr="00F53FC6">
        <w:rPr>
          <w:rFonts w:ascii="Times New Roman" w:hAnsi="Times New Roman" w:cs="Times New Roman"/>
          <w:b/>
        </w:rPr>
        <w:t>Empirical</w:t>
      </w:r>
      <w:proofErr w:type="spellEnd"/>
      <w:r w:rsidRPr="00F53FC6">
        <w:rPr>
          <w:rFonts w:ascii="Times New Roman" w:hAnsi="Times New Roman" w:cs="Times New Roman"/>
          <w:b/>
        </w:rPr>
        <w:t xml:space="preserve"> Model</w:t>
      </w:r>
      <w:r w:rsidR="00F62FCD" w:rsidRPr="00207CDB">
        <w:rPr>
          <w:rFonts w:ascii="Times New Roman" w:hAnsi="Times New Roman" w:cs="Times New Roman"/>
          <w:b/>
        </w:rPr>
        <w:t xml:space="preserve"> </w:t>
      </w:r>
    </w:p>
    <w:p w14:paraId="4F679929" w14:textId="15E5C781" w:rsidR="003F6AC5" w:rsidRPr="00F53FC6" w:rsidRDefault="003F6AC5" w:rsidP="00CE1893">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lang w:val="en-US"/>
        </w:rPr>
        <w:t>The aim of this study is to test</w:t>
      </w:r>
      <w:r w:rsidR="00031E83" w:rsidRPr="00F53FC6">
        <w:rPr>
          <w:rFonts w:ascii="Times New Roman" w:hAnsi="Times New Roman" w:cs="Times New Roman"/>
          <w:lang w:val="en-US"/>
        </w:rPr>
        <w:t>s</w:t>
      </w:r>
      <w:r w:rsidRPr="00F53FC6">
        <w:rPr>
          <w:rFonts w:ascii="Times New Roman" w:hAnsi="Times New Roman" w:cs="Times New Roman"/>
          <w:lang w:val="en-US"/>
        </w:rPr>
        <w:t xml:space="preserve"> the relationships between research variables concerning </w:t>
      </w:r>
      <w:r w:rsidR="008C7B1E" w:rsidRPr="00F53FC6">
        <w:rPr>
          <w:rFonts w:ascii="Times New Roman" w:hAnsi="Times New Roman" w:cs="Times New Roman"/>
          <w:lang w:val="en-US"/>
        </w:rPr>
        <w:t>f</w:t>
      </w:r>
      <w:r w:rsidR="00F51B69" w:rsidRPr="00F53FC6">
        <w:rPr>
          <w:rFonts w:ascii="Times New Roman" w:hAnsi="Times New Roman" w:cs="Times New Roman"/>
          <w:lang w:val="en-US"/>
        </w:rPr>
        <w:t xml:space="preserve">inancial </w:t>
      </w:r>
      <w:r w:rsidR="008C7B1E" w:rsidRPr="00F53FC6">
        <w:rPr>
          <w:rFonts w:ascii="Times New Roman" w:hAnsi="Times New Roman" w:cs="Times New Roman"/>
          <w:lang w:val="en-US"/>
        </w:rPr>
        <w:t>t</w:t>
      </w:r>
      <w:r w:rsidR="00F51B69" w:rsidRPr="00F53FC6">
        <w:rPr>
          <w:rFonts w:ascii="Times New Roman" w:hAnsi="Times New Roman" w:cs="Times New Roman"/>
          <w:lang w:val="en-US"/>
        </w:rPr>
        <w:t xml:space="preserve">ransparency </w:t>
      </w:r>
      <w:r w:rsidR="008C7B1E" w:rsidRPr="00F53FC6">
        <w:rPr>
          <w:rFonts w:ascii="Times New Roman" w:hAnsi="Times New Roman" w:cs="Times New Roman"/>
          <w:lang w:val="en-US"/>
        </w:rPr>
        <w:t>s</w:t>
      </w:r>
      <w:r w:rsidRPr="00F53FC6">
        <w:rPr>
          <w:rFonts w:ascii="Times New Roman" w:hAnsi="Times New Roman" w:cs="Times New Roman"/>
          <w:lang w:val="en-US"/>
        </w:rPr>
        <w:t xml:space="preserve">ystem and financial performance. </w:t>
      </w:r>
    </w:p>
    <w:bookmarkEnd w:id="6"/>
    <w:p w14:paraId="70EFDD4E" w14:textId="47110EF2" w:rsidR="005A7CCD" w:rsidRPr="00F53FC6" w:rsidRDefault="003F6AC5" w:rsidP="00CE1893">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lang w:val="en-US"/>
        </w:rPr>
        <w:t xml:space="preserve">The population of the study comprised of all the </w:t>
      </w:r>
      <w:bookmarkStart w:id="7" w:name="_Hlk23270418"/>
      <w:r w:rsidRPr="00F53FC6">
        <w:rPr>
          <w:rFonts w:ascii="Times New Roman" w:hAnsi="Times New Roman" w:cs="Times New Roman"/>
          <w:lang w:val="en-US"/>
        </w:rPr>
        <w:t>128 companies listed at the AIM Italia</w:t>
      </w:r>
      <w:bookmarkEnd w:id="7"/>
      <w:r w:rsidRPr="00F53FC6">
        <w:rPr>
          <w:rFonts w:ascii="Times New Roman" w:hAnsi="Times New Roman" w:cs="Times New Roman"/>
          <w:lang w:val="en-US"/>
        </w:rPr>
        <w:t xml:space="preserve"> </w:t>
      </w:r>
      <w:r w:rsidR="005A7CCD" w:rsidRPr="00F53FC6">
        <w:rPr>
          <w:rFonts w:ascii="Times New Roman" w:hAnsi="Times New Roman" w:cs="Times New Roman"/>
          <w:lang w:val="en-US"/>
        </w:rPr>
        <w:t xml:space="preserve">(the market of </w:t>
      </w:r>
      <w:proofErr w:type="spellStart"/>
      <w:r w:rsidR="005A7CCD" w:rsidRPr="00F53FC6">
        <w:rPr>
          <w:rFonts w:ascii="Times New Roman" w:hAnsi="Times New Roman" w:cs="Times New Roman"/>
          <w:lang w:val="en-US"/>
        </w:rPr>
        <w:t>Borsa</w:t>
      </w:r>
      <w:proofErr w:type="spellEnd"/>
      <w:r w:rsidR="005A7CCD" w:rsidRPr="00F53FC6">
        <w:rPr>
          <w:rFonts w:ascii="Times New Roman" w:hAnsi="Times New Roman" w:cs="Times New Roman"/>
          <w:lang w:val="en-US"/>
        </w:rPr>
        <w:t xml:space="preserve"> </w:t>
      </w:r>
      <w:proofErr w:type="spellStart"/>
      <w:r w:rsidR="005A7CCD" w:rsidRPr="00F53FC6">
        <w:rPr>
          <w:rFonts w:ascii="Times New Roman" w:hAnsi="Times New Roman" w:cs="Times New Roman"/>
          <w:lang w:val="en-US"/>
        </w:rPr>
        <w:t>Italiana</w:t>
      </w:r>
      <w:proofErr w:type="spellEnd"/>
      <w:r w:rsidR="005A7CCD" w:rsidRPr="00F53FC6">
        <w:rPr>
          <w:rFonts w:ascii="Times New Roman" w:hAnsi="Times New Roman" w:cs="Times New Roman"/>
          <w:lang w:val="en-US"/>
        </w:rPr>
        <w:t xml:space="preserve"> devoted to the Italian small and medium enterprises, which wish to invest in their growth) </w:t>
      </w:r>
      <w:r w:rsidRPr="00F53FC6">
        <w:rPr>
          <w:rFonts w:ascii="Times New Roman" w:hAnsi="Times New Roman" w:cs="Times New Roman"/>
          <w:lang w:val="en-US"/>
        </w:rPr>
        <w:t xml:space="preserve">as at 31st December 2018. </w:t>
      </w:r>
      <w:r w:rsidR="00A915ED" w:rsidRPr="00F53FC6">
        <w:rPr>
          <w:rFonts w:ascii="Times New Roman" w:hAnsi="Times New Roman" w:cs="Times New Roman"/>
          <w:lang w:val="en-US"/>
        </w:rPr>
        <w:t xml:space="preserve"> </w:t>
      </w:r>
    </w:p>
    <w:p w14:paraId="523804DE" w14:textId="0A0AFEA3" w:rsidR="006C58D6" w:rsidRPr="00F53FC6" w:rsidRDefault="003F6AC5" w:rsidP="00CE1893">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lang w:val="en-US"/>
        </w:rPr>
        <w:t xml:space="preserve">The quoted SMEs are preferred as they have a defined structure, a legal mandate to operate, are likely to exhibit elaborate linkages between research variables and provide a basis for determining the market value and performance in an objective manner. The SMEs were obtained from AIM listings. </w:t>
      </w:r>
      <w:r w:rsidR="006C58D6" w:rsidRPr="00F53FC6">
        <w:rPr>
          <w:rFonts w:ascii="Times New Roman" w:hAnsi="Times New Roman" w:cs="Times New Roman"/>
          <w:lang w:val="en-US"/>
        </w:rPr>
        <w:t xml:space="preserve">Statistical sampling is conducted with systematic elimination method. The sampled SMEs must meet the following criteria: </w:t>
      </w:r>
      <w:proofErr w:type="spellStart"/>
      <w:r w:rsidR="006C58D6" w:rsidRPr="00F53FC6">
        <w:rPr>
          <w:rFonts w:ascii="Times New Roman" w:hAnsi="Times New Roman" w:cs="Times New Roman"/>
          <w:lang w:val="en-US"/>
        </w:rPr>
        <w:t>i</w:t>
      </w:r>
      <w:proofErr w:type="spellEnd"/>
      <w:r w:rsidR="006C58D6" w:rsidRPr="00F53FC6">
        <w:rPr>
          <w:rFonts w:ascii="Times New Roman" w:hAnsi="Times New Roman" w:cs="Times New Roman"/>
          <w:lang w:val="en-US"/>
        </w:rPr>
        <w:t>) presence of homogeneous data over the past five years; ii) availability of useful data to test research hypothes</w:t>
      </w:r>
      <w:r w:rsidR="00646CEB" w:rsidRPr="00F53FC6">
        <w:rPr>
          <w:rFonts w:ascii="Times New Roman" w:hAnsi="Times New Roman" w:cs="Times New Roman"/>
          <w:lang w:val="en-US"/>
        </w:rPr>
        <w:t>e</w:t>
      </w:r>
      <w:r w:rsidR="006C58D6" w:rsidRPr="00F53FC6">
        <w:rPr>
          <w:rFonts w:ascii="Times New Roman" w:hAnsi="Times New Roman" w:cs="Times New Roman"/>
          <w:lang w:val="en-US"/>
        </w:rPr>
        <w:t>s.</w:t>
      </w:r>
      <w:r w:rsidR="006C58D6" w:rsidRPr="00F53FC6">
        <w:rPr>
          <w:rFonts w:ascii="Times New Roman" w:hAnsi="Times New Roman" w:cs="Times New Roman"/>
        </w:rPr>
        <w:t xml:space="preserve"> </w:t>
      </w:r>
      <w:r w:rsidR="006C58D6" w:rsidRPr="00F53FC6">
        <w:rPr>
          <w:rFonts w:ascii="Times New Roman" w:hAnsi="Times New Roman" w:cs="Times New Roman"/>
          <w:lang w:val="en-US"/>
        </w:rPr>
        <w:t xml:space="preserve">As a result of these conditions, a sample of </w:t>
      </w:r>
      <w:r w:rsidR="003E5086" w:rsidRPr="00F53FC6">
        <w:rPr>
          <w:rFonts w:ascii="Times New Roman" w:hAnsi="Times New Roman" w:cs="Times New Roman"/>
          <w:lang w:val="en-US"/>
        </w:rPr>
        <w:t>115</w:t>
      </w:r>
      <w:r w:rsidR="006C58D6" w:rsidRPr="00F53FC6">
        <w:rPr>
          <w:rFonts w:ascii="Times New Roman" w:hAnsi="Times New Roman" w:cs="Times New Roman"/>
          <w:lang w:val="en-US"/>
        </w:rPr>
        <w:t xml:space="preserve"> firms was obtained. </w:t>
      </w:r>
    </w:p>
    <w:p w14:paraId="43E765C1" w14:textId="77777777" w:rsidR="00F44296" w:rsidRDefault="003F6AC5" w:rsidP="003F6AC5">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lang w:val="en-US"/>
        </w:rPr>
        <w:t>The research adopted a census method due to the small number of qualifying companies at the AIM Italia.</w:t>
      </w:r>
      <w:r w:rsidR="008C7B1E" w:rsidRPr="00F53FC6">
        <w:rPr>
          <w:rFonts w:ascii="Times New Roman" w:hAnsi="Times New Roman" w:cs="Times New Roman"/>
          <w:lang w:val="en-US"/>
        </w:rPr>
        <w:t xml:space="preserve"> </w:t>
      </w:r>
      <w:r w:rsidRPr="00F53FC6">
        <w:rPr>
          <w:rFonts w:ascii="Times New Roman" w:hAnsi="Times New Roman" w:cs="Times New Roman"/>
          <w:lang w:val="en-US"/>
        </w:rPr>
        <w:t xml:space="preserve">Secondary data were acquired through questionnaires, financial statements and financial reports of the AIM listed companies. An index was formed for </w:t>
      </w:r>
      <w:r w:rsidR="008C7B1E" w:rsidRPr="00F53FC6">
        <w:rPr>
          <w:rFonts w:ascii="Times New Roman" w:hAnsi="Times New Roman" w:cs="Times New Roman"/>
          <w:lang w:val="en-US"/>
        </w:rPr>
        <w:t>f</w:t>
      </w:r>
      <w:r w:rsidR="00A915ED" w:rsidRPr="00F53FC6">
        <w:rPr>
          <w:rFonts w:ascii="Times New Roman" w:hAnsi="Times New Roman" w:cs="Times New Roman"/>
          <w:lang w:val="en-US"/>
        </w:rPr>
        <w:t xml:space="preserve">inancial </w:t>
      </w:r>
      <w:r w:rsidR="008C7B1E" w:rsidRPr="00F53FC6">
        <w:rPr>
          <w:rFonts w:ascii="Times New Roman" w:hAnsi="Times New Roman" w:cs="Times New Roman"/>
          <w:lang w:val="en-US"/>
        </w:rPr>
        <w:t>t</w:t>
      </w:r>
      <w:r w:rsidR="00A915ED" w:rsidRPr="00F53FC6">
        <w:rPr>
          <w:rFonts w:ascii="Times New Roman" w:hAnsi="Times New Roman" w:cs="Times New Roman"/>
          <w:lang w:val="en-US"/>
        </w:rPr>
        <w:t>ransparency</w:t>
      </w:r>
      <w:r w:rsidRPr="00F53FC6">
        <w:rPr>
          <w:rFonts w:ascii="Times New Roman" w:hAnsi="Times New Roman" w:cs="Times New Roman"/>
          <w:lang w:val="en-US"/>
        </w:rPr>
        <w:t>.</w:t>
      </w:r>
    </w:p>
    <w:p w14:paraId="33BF2109" w14:textId="6AE08F53" w:rsidR="006C58D6" w:rsidRPr="00F53FC6" w:rsidRDefault="003F6AC5" w:rsidP="003F6AC5">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lang w:val="en-US"/>
        </w:rPr>
        <w:t xml:space="preserve">For SME value, financial statements and financial reports was analyzed to find </w:t>
      </w:r>
      <w:r w:rsidR="00DD6BA4" w:rsidRPr="00F53FC6">
        <w:rPr>
          <w:rFonts w:ascii="Times New Roman" w:hAnsi="Times New Roman" w:cs="Times New Roman"/>
          <w:lang w:val="en-US"/>
        </w:rPr>
        <w:t>ICR</w:t>
      </w:r>
      <w:r w:rsidR="00A915ED" w:rsidRPr="00F53FC6">
        <w:rPr>
          <w:rFonts w:ascii="Times New Roman" w:hAnsi="Times New Roman" w:cs="Times New Roman"/>
          <w:lang w:val="en-US"/>
        </w:rPr>
        <w:t xml:space="preserve"> </w:t>
      </w:r>
      <w:r w:rsidRPr="00F53FC6">
        <w:rPr>
          <w:rFonts w:ascii="Times New Roman" w:hAnsi="Times New Roman" w:cs="Times New Roman"/>
          <w:lang w:val="en-US"/>
        </w:rPr>
        <w:t xml:space="preserve">and Tobin Q. </w:t>
      </w:r>
      <w:r w:rsidR="006C58D6" w:rsidRPr="00F53FC6">
        <w:rPr>
          <w:rFonts w:ascii="Times New Roman" w:hAnsi="Times New Roman" w:cs="Times New Roman"/>
          <w:lang w:val="en-US"/>
        </w:rPr>
        <w:t xml:space="preserve">We used </w:t>
      </w:r>
      <w:proofErr w:type="spellStart"/>
      <w:r w:rsidR="006C58D6" w:rsidRPr="00F53FC6">
        <w:rPr>
          <w:rFonts w:ascii="Times New Roman" w:hAnsi="Times New Roman" w:cs="Times New Roman"/>
          <w:lang w:val="en-US"/>
        </w:rPr>
        <w:t>Rahavard</w:t>
      </w:r>
      <w:proofErr w:type="spellEnd"/>
      <w:r w:rsidR="006C58D6" w:rsidRPr="00F53FC6">
        <w:rPr>
          <w:rFonts w:ascii="Times New Roman" w:hAnsi="Times New Roman" w:cs="Times New Roman"/>
          <w:lang w:val="en-US"/>
        </w:rPr>
        <w:t xml:space="preserve"> </w:t>
      </w:r>
      <w:proofErr w:type="spellStart"/>
      <w:r w:rsidR="006C58D6" w:rsidRPr="00F53FC6">
        <w:rPr>
          <w:rFonts w:ascii="Times New Roman" w:hAnsi="Times New Roman" w:cs="Times New Roman"/>
          <w:lang w:val="en-US"/>
        </w:rPr>
        <w:t>Novin</w:t>
      </w:r>
      <w:proofErr w:type="spellEnd"/>
      <w:r w:rsidR="006C58D6" w:rsidRPr="00F53FC6">
        <w:rPr>
          <w:rFonts w:ascii="Times New Roman" w:hAnsi="Times New Roman" w:cs="Times New Roman"/>
          <w:lang w:val="en-US"/>
        </w:rPr>
        <w:t xml:space="preserve"> software for data collection and SPSS 20.0 for data analysis.</w:t>
      </w:r>
    </w:p>
    <w:p w14:paraId="3F40CAEF" w14:textId="6A3952D8" w:rsidR="003F6AC5" w:rsidRPr="00F53FC6" w:rsidRDefault="003F6AC5" w:rsidP="003F6AC5">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lang w:val="en-US"/>
        </w:rPr>
        <w:t xml:space="preserve">Where necessary data were not obtained, the same were requested directly from the company’s management. </w:t>
      </w:r>
      <w:bookmarkStart w:id="8" w:name="_Hlk23270511"/>
      <w:r w:rsidRPr="00F53FC6">
        <w:rPr>
          <w:rFonts w:ascii="Times New Roman" w:hAnsi="Times New Roman" w:cs="Times New Roman"/>
          <w:lang w:val="en-US"/>
        </w:rPr>
        <w:t xml:space="preserve">The period of research covered 2014 to 2018. </w:t>
      </w:r>
    </w:p>
    <w:bookmarkEnd w:id="8"/>
    <w:p w14:paraId="7F7803D2" w14:textId="64D689D1" w:rsidR="00542AC6" w:rsidRPr="00F53FC6" w:rsidRDefault="00542AC6" w:rsidP="00542AC6">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lang w:val="en-US"/>
        </w:rPr>
        <w:t xml:space="preserve">Financial </w:t>
      </w:r>
      <w:r w:rsidR="004F1021" w:rsidRPr="00F53FC6">
        <w:rPr>
          <w:rFonts w:ascii="Times New Roman" w:hAnsi="Times New Roman" w:cs="Times New Roman"/>
          <w:lang w:val="en-US"/>
        </w:rPr>
        <w:t>t</w:t>
      </w:r>
      <w:r w:rsidRPr="00F53FC6">
        <w:rPr>
          <w:rFonts w:ascii="Times New Roman" w:hAnsi="Times New Roman" w:cs="Times New Roman"/>
          <w:lang w:val="en-US"/>
        </w:rPr>
        <w:t xml:space="preserve">ransparency is measured by assessing the level of implementation of related 5 transparency variables (i.e., planning system, high quality standard, management control system, auditor, </w:t>
      </w:r>
      <w:r w:rsidR="00E81180" w:rsidRPr="00F53FC6">
        <w:rPr>
          <w:rFonts w:ascii="Times New Roman" w:hAnsi="Times New Roman" w:cs="Times New Roman"/>
          <w:lang w:val="en-US"/>
        </w:rPr>
        <w:t>and whether the borrower has a CFO in the organizational structure or not</w:t>
      </w:r>
      <w:r w:rsidRPr="00F53FC6">
        <w:rPr>
          <w:rFonts w:ascii="Times New Roman" w:hAnsi="Times New Roman" w:cs="Times New Roman"/>
          <w:lang w:val="en-US"/>
        </w:rPr>
        <w:t xml:space="preserve">) used as questions in the questionnaire. </w:t>
      </w:r>
    </w:p>
    <w:p w14:paraId="4D1CEE84" w14:textId="415B353A" w:rsidR="00BE20EC" w:rsidRPr="00F53FC6" w:rsidRDefault="00BE20EC" w:rsidP="00BE20EC">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lang w:val="en-US"/>
        </w:rPr>
        <w:t>Transparency variables are described below:</w:t>
      </w:r>
    </w:p>
    <w:p w14:paraId="69F713F8" w14:textId="647F9842" w:rsidR="00BE20EC" w:rsidRPr="00F53FC6" w:rsidRDefault="00BE20EC" w:rsidP="00AE7784">
      <w:pPr>
        <w:pStyle w:val="Paragrafoelenco"/>
        <w:numPr>
          <w:ilvl w:val="0"/>
          <w:numId w:val="17"/>
        </w:numPr>
        <w:spacing w:after="0" w:line="360" w:lineRule="auto"/>
        <w:ind w:left="426" w:hanging="284"/>
        <w:mirrorIndents/>
        <w:jc w:val="both"/>
        <w:rPr>
          <w:rFonts w:ascii="Times New Roman" w:hAnsi="Times New Roman" w:cs="Times New Roman"/>
          <w:lang w:val="en-US"/>
        </w:rPr>
      </w:pPr>
      <w:r w:rsidRPr="00F53FC6">
        <w:rPr>
          <w:rFonts w:ascii="Times New Roman" w:hAnsi="Times New Roman" w:cs="Times New Roman"/>
          <w:i/>
          <w:iCs/>
          <w:lang w:val="en-US"/>
        </w:rPr>
        <w:t>Auditor</w:t>
      </w:r>
      <w:r w:rsidRPr="00F53FC6">
        <w:rPr>
          <w:rFonts w:ascii="Times New Roman" w:hAnsi="Times New Roman" w:cs="Times New Roman"/>
          <w:lang w:val="en-US"/>
        </w:rPr>
        <w:t xml:space="preserve">. According </w:t>
      </w:r>
      <w:r w:rsidRPr="00D25427">
        <w:rPr>
          <w:rFonts w:ascii="Times New Roman" w:hAnsi="Times New Roman" w:cs="Times New Roman"/>
          <w:lang w:val="en-US"/>
        </w:rPr>
        <w:t xml:space="preserve">to Lang </w:t>
      </w:r>
      <w:r w:rsidRPr="00D25427">
        <w:rPr>
          <w:rFonts w:ascii="Times New Roman" w:hAnsi="Times New Roman" w:cs="Times New Roman"/>
          <w:i/>
          <w:iCs/>
          <w:lang w:val="en-US"/>
        </w:rPr>
        <w:t>et al</w:t>
      </w:r>
      <w:r w:rsidRPr="00D25427">
        <w:rPr>
          <w:rFonts w:ascii="Times New Roman" w:hAnsi="Times New Roman" w:cs="Times New Roman"/>
          <w:lang w:val="en-US"/>
        </w:rPr>
        <w:t>. (201</w:t>
      </w:r>
      <w:r w:rsidR="00D25427" w:rsidRPr="00D25427">
        <w:rPr>
          <w:rFonts w:ascii="Times New Roman" w:hAnsi="Times New Roman" w:cs="Times New Roman"/>
          <w:lang w:val="en-US"/>
        </w:rPr>
        <w:t>2</w:t>
      </w:r>
      <w:r w:rsidRPr="00D25427">
        <w:rPr>
          <w:rFonts w:ascii="Times New Roman" w:hAnsi="Times New Roman" w:cs="Times New Roman"/>
          <w:lang w:val="en-US"/>
        </w:rPr>
        <w:t xml:space="preserve">) auditor </w:t>
      </w:r>
      <w:r w:rsidRPr="00F53FC6">
        <w:rPr>
          <w:rFonts w:ascii="Times New Roman" w:hAnsi="Times New Roman" w:cs="Times New Roman"/>
          <w:lang w:val="en-US"/>
        </w:rPr>
        <w:t xml:space="preserve">and accounting standard choices likely affect transparency through their effect on earnings management. They probably also affect transparency more generally through their effect on overall accounting quality and the supporting disclosures provided with the financial statements. </w:t>
      </w:r>
      <w:r w:rsidR="00016D10" w:rsidRPr="00F53FC6">
        <w:rPr>
          <w:rFonts w:ascii="Times New Roman" w:hAnsi="Times New Roman" w:cs="Times New Roman"/>
          <w:lang w:val="en-US"/>
        </w:rPr>
        <w:t>The</w:t>
      </w:r>
      <w:r w:rsidR="008A0A49" w:rsidRPr="00F53FC6">
        <w:rPr>
          <w:rFonts w:ascii="Times New Roman" w:hAnsi="Times New Roman" w:cs="Times New Roman"/>
          <w:lang w:val="en-US"/>
        </w:rPr>
        <w:t xml:space="preserve"> relationship between</w:t>
      </w:r>
      <w:r w:rsidR="00016D10" w:rsidRPr="00F53FC6">
        <w:rPr>
          <w:rFonts w:ascii="Times New Roman" w:hAnsi="Times New Roman" w:cs="Times New Roman"/>
          <w:lang w:val="en-US"/>
        </w:rPr>
        <w:t xml:space="preserve"> </w:t>
      </w:r>
      <w:r w:rsidR="008A0A49" w:rsidRPr="00F53FC6">
        <w:rPr>
          <w:rFonts w:ascii="Times New Roman" w:hAnsi="Times New Roman" w:cs="Times New Roman"/>
          <w:lang w:val="en-US"/>
        </w:rPr>
        <w:t xml:space="preserve">auditor </w:t>
      </w:r>
      <w:r w:rsidR="008A0A49" w:rsidRPr="005632BC">
        <w:rPr>
          <w:rFonts w:ascii="Times New Roman" w:hAnsi="Times New Roman" w:cs="Times New Roman"/>
          <w:lang w:val="en-US"/>
        </w:rPr>
        <w:t xml:space="preserve">and financial transparency is still inconclusive. </w:t>
      </w:r>
      <w:r w:rsidR="001D2850" w:rsidRPr="005632BC">
        <w:rPr>
          <w:rFonts w:ascii="Times New Roman" w:hAnsi="Times New Roman" w:cs="Times New Roman"/>
          <w:lang w:val="en-US"/>
        </w:rPr>
        <w:t xml:space="preserve">Krishnan (2003) </w:t>
      </w:r>
      <w:r w:rsidR="008A0A49" w:rsidRPr="005632BC">
        <w:rPr>
          <w:rFonts w:ascii="Times New Roman" w:hAnsi="Times New Roman" w:cs="Times New Roman"/>
          <w:lang w:val="en-US"/>
        </w:rPr>
        <w:t xml:space="preserve">reported a feeble relationship; conversely, </w:t>
      </w:r>
      <w:r w:rsidR="001D2850" w:rsidRPr="005632BC">
        <w:rPr>
          <w:rFonts w:ascii="Times New Roman" w:hAnsi="Times New Roman" w:cs="Times New Roman"/>
          <w:lang w:val="en-US"/>
        </w:rPr>
        <w:t xml:space="preserve">Han </w:t>
      </w:r>
      <w:r w:rsidR="001D2850" w:rsidRPr="005632BC">
        <w:rPr>
          <w:rFonts w:ascii="Times New Roman" w:hAnsi="Times New Roman" w:cs="Times New Roman"/>
          <w:i/>
          <w:iCs/>
          <w:lang w:val="en-US"/>
        </w:rPr>
        <w:t>et al</w:t>
      </w:r>
      <w:r w:rsidR="001D2850" w:rsidRPr="005632BC">
        <w:rPr>
          <w:rFonts w:ascii="Times New Roman" w:hAnsi="Times New Roman" w:cs="Times New Roman"/>
          <w:lang w:val="en-US"/>
        </w:rPr>
        <w:t>. (2011)</w:t>
      </w:r>
      <w:r w:rsidR="001D2850" w:rsidRPr="005632BC">
        <w:rPr>
          <w:rFonts w:ascii="Times New Roman" w:hAnsi="Times New Roman" w:cs="Times New Roman"/>
          <w:b/>
          <w:bCs/>
          <w:lang w:val="en-US"/>
        </w:rPr>
        <w:t xml:space="preserve"> </w:t>
      </w:r>
      <w:r w:rsidR="008A0A49" w:rsidRPr="00F53FC6">
        <w:rPr>
          <w:rFonts w:ascii="Times New Roman" w:hAnsi="Times New Roman" w:cs="Times New Roman"/>
          <w:lang w:val="en-US"/>
        </w:rPr>
        <w:t xml:space="preserve">noted a significant association. </w:t>
      </w:r>
      <w:r w:rsidRPr="00F53FC6">
        <w:rPr>
          <w:rFonts w:ascii="Times New Roman" w:hAnsi="Times New Roman" w:cs="Times New Roman"/>
          <w:lang w:val="en-US"/>
        </w:rPr>
        <w:t xml:space="preserve">Therefore, this research </w:t>
      </w:r>
      <w:r w:rsidR="00016D10" w:rsidRPr="00F53FC6">
        <w:rPr>
          <w:rFonts w:ascii="Times New Roman" w:hAnsi="Times New Roman" w:cs="Times New Roman"/>
          <w:lang w:val="en-US"/>
        </w:rPr>
        <w:t>includes</w:t>
      </w:r>
      <w:r w:rsidRPr="00F53FC6">
        <w:rPr>
          <w:rFonts w:ascii="Times New Roman" w:hAnsi="Times New Roman" w:cs="Times New Roman"/>
          <w:lang w:val="en-US"/>
        </w:rPr>
        <w:t xml:space="preserve"> an indicator variable if a SME adopts international standards on balance sheet and auditing.</w:t>
      </w:r>
    </w:p>
    <w:p w14:paraId="1ED46242" w14:textId="3818038D" w:rsidR="00BE20EC" w:rsidRPr="00F53FC6" w:rsidRDefault="00401EC8" w:rsidP="00AE7784">
      <w:pPr>
        <w:pStyle w:val="Paragrafoelenco"/>
        <w:numPr>
          <w:ilvl w:val="0"/>
          <w:numId w:val="17"/>
        </w:numPr>
        <w:spacing w:after="0" w:line="360" w:lineRule="auto"/>
        <w:ind w:left="426" w:hanging="284"/>
        <w:mirrorIndents/>
        <w:jc w:val="both"/>
        <w:rPr>
          <w:rFonts w:ascii="Times New Roman" w:hAnsi="Times New Roman" w:cs="Times New Roman"/>
          <w:lang w:val="en-US"/>
        </w:rPr>
      </w:pPr>
      <w:r w:rsidRPr="00F53FC6">
        <w:rPr>
          <w:rFonts w:ascii="Times New Roman" w:hAnsi="Times New Roman" w:cs="Times New Roman"/>
          <w:i/>
          <w:iCs/>
          <w:lang w:val="en-US"/>
        </w:rPr>
        <w:t>High quality standard</w:t>
      </w:r>
      <w:r w:rsidRPr="00F53FC6">
        <w:rPr>
          <w:rFonts w:ascii="Times New Roman" w:hAnsi="Times New Roman" w:cs="Times New Roman"/>
          <w:lang w:val="en-US"/>
        </w:rPr>
        <w:t xml:space="preserve">. </w:t>
      </w:r>
      <w:r w:rsidR="00BE20EC" w:rsidRPr="00A86F41">
        <w:rPr>
          <w:rFonts w:ascii="Times New Roman" w:hAnsi="Times New Roman" w:cs="Times New Roman"/>
          <w:lang w:val="en-US"/>
        </w:rPr>
        <w:t xml:space="preserve">Research such as Barth </w:t>
      </w:r>
      <w:r w:rsidR="00BE20EC" w:rsidRPr="00A86F41">
        <w:rPr>
          <w:rFonts w:ascii="Times New Roman" w:hAnsi="Times New Roman" w:cs="Times New Roman"/>
          <w:i/>
          <w:iCs/>
          <w:lang w:val="en-US"/>
        </w:rPr>
        <w:t>et al</w:t>
      </w:r>
      <w:r w:rsidR="00BE20EC" w:rsidRPr="00A86F41">
        <w:rPr>
          <w:rFonts w:ascii="Times New Roman" w:hAnsi="Times New Roman" w:cs="Times New Roman"/>
          <w:lang w:val="en-US"/>
        </w:rPr>
        <w:t>. (2008) suggests th</w:t>
      </w:r>
      <w:r w:rsidR="00BE20EC" w:rsidRPr="00F53FC6">
        <w:rPr>
          <w:rFonts w:ascii="Times New Roman" w:hAnsi="Times New Roman" w:cs="Times New Roman"/>
          <w:lang w:val="en-US"/>
        </w:rPr>
        <w:t xml:space="preserve">at global accounting standards facilitate more transparent reporting. </w:t>
      </w:r>
      <w:r w:rsidR="00BE20EC" w:rsidRPr="00061D2E">
        <w:rPr>
          <w:rFonts w:ascii="Times New Roman" w:hAnsi="Times New Roman" w:cs="Times New Roman"/>
          <w:lang w:val="en-US"/>
        </w:rPr>
        <w:t xml:space="preserve">However, </w:t>
      </w:r>
      <w:proofErr w:type="spellStart"/>
      <w:r w:rsidR="00BE20EC" w:rsidRPr="00061D2E">
        <w:rPr>
          <w:rFonts w:ascii="Times New Roman" w:hAnsi="Times New Roman" w:cs="Times New Roman"/>
          <w:lang w:val="en-US"/>
        </w:rPr>
        <w:t>Daske</w:t>
      </w:r>
      <w:proofErr w:type="spellEnd"/>
      <w:r w:rsidR="00061D2E" w:rsidRPr="00061D2E">
        <w:rPr>
          <w:rFonts w:ascii="Times New Roman" w:hAnsi="Times New Roman" w:cs="Times New Roman"/>
          <w:lang w:val="en-US"/>
        </w:rPr>
        <w:t xml:space="preserve"> </w:t>
      </w:r>
      <w:r w:rsidR="00061D2E" w:rsidRPr="00061D2E">
        <w:rPr>
          <w:rFonts w:ascii="Times New Roman" w:hAnsi="Times New Roman" w:cs="Times New Roman"/>
          <w:i/>
          <w:iCs/>
          <w:lang w:val="en-US"/>
        </w:rPr>
        <w:t>et al</w:t>
      </w:r>
      <w:r w:rsidR="00061D2E" w:rsidRPr="00061D2E">
        <w:rPr>
          <w:rFonts w:ascii="Times New Roman" w:hAnsi="Times New Roman" w:cs="Times New Roman"/>
          <w:lang w:val="en-US"/>
        </w:rPr>
        <w:t xml:space="preserve">. </w:t>
      </w:r>
      <w:r w:rsidR="00BE20EC" w:rsidRPr="00061D2E">
        <w:rPr>
          <w:rFonts w:ascii="Times New Roman" w:hAnsi="Times New Roman" w:cs="Times New Roman"/>
          <w:lang w:val="en-US"/>
        </w:rPr>
        <w:t>(200</w:t>
      </w:r>
      <w:r w:rsidR="00061D2E">
        <w:rPr>
          <w:rFonts w:ascii="Times New Roman" w:hAnsi="Times New Roman" w:cs="Times New Roman"/>
          <w:lang w:val="en-US"/>
        </w:rPr>
        <w:t>8</w:t>
      </w:r>
      <w:r w:rsidR="00BE20EC" w:rsidRPr="00061D2E">
        <w:rPr>
          <w:rFonts w:ascii="Times New Roman" w:hAnsi="Times New Roman" w:cs="Times New Roman"/>
          <w:lang w:val="en-US"/>
        </w:rPr>
        <w:t xml:space="preserve">) suggest </w:t>
      </w:r>
      <w:r w:rsidR="00BE20EC" w:rsidRPr="00F53FC6">
        <w:rPr>
          <w:rFonts w:ascii="Times New Roman" w:hAnsi="Times New Roman" w:cs="Times New Roman"/>
          <w:lang w:val="en-US"/>
        </w:rPr>
        <w:t xml:space="preserve">that, when the adoption of international standards is made on a voluntary basis, some firms may simply </w:t>
      </w:r>
      <w:r w:rsidRPr="00F53FC6">
        <w:rPr>
          <w:rFonts w:ascii="Times New Roman" w:hAnsi="Times New Roman" w:cs="Times New Roman"/>
          <w:lang w:val="en-US"/>
        </w:rPr>
        <w:t>“</w:t>
      </w:r>
      <w:r w:rsidR="00BE20EC" w:rsidRPr="00F53FC6">
        <w:rPr>
          <w:rFonts w:ascii="Times New Roman" w:hAnsi="Times New Roman" w:cs="Times New Roman"/>
          <w:lang w:val="en-US"/>
        </w:rPr>
        <w:t>adopt a label</w:t>
      </w:r>
      <w:r w:rsidRPr="00F53FC6">
        <w:rPr>
          <w:rFonts w:ascii="Times New Roman" w:hAnsi="Times New Roman" w:cs="Times New Roman"/>
          <w:lang w:val="en-US"/>
        </w:rPr>
        <w:t>”</w:t>
      </w:r>
      <w:r w:rsidR="00BE20EC" w:rsidRPr="00F53FC6">
        <w:rPr>
          <w:rFonts w:ascii="Times New Roman" w:hAnsi="Times New Roman" w:cs="Times New Roman"/>
          <w:lang w:val="en-US"/>
        </w:rPr>
        <w:t xml:space="preserve"> while other firms actually </w:t>
      </w:r>
      <w:r w:rsidR="00BE20EC" w:rsidRPr="00061D2E">
        <w:rPr>
          <w:rFonts w:ascii="Times New Roman" w:hAnsi="Times New Roman" w:cs="Times New Roman"/>
          <w:lang w:val="en-US"/>
        </w:rPr>
        <w:t xml:space="preserve">make a serious commitment to increased transparency. </w:t>
      </w:r>
      <w:proofErr w:type="spellStart"/>
      <w:r w:rsidR="00BE20EC" w:rsidRPr="00061D2E">
        <w:rPr>
          <w:rFonts w:ascii="Times New Roman" w:hAnsi="Times New Roman" w:cs="Times New Roman"/>
          <w:lang w:val="en-US"/>
        </w:rPr>
        <w:t>Daske</w:t>
      </w:r>
      <w:proofErr w:type="spellEnd"/>
      <w:r w:rsidR="00BE20EC" w:rsidRPr="00061D2E">
        <w:rPr>
          <w:rFonts w:ascii="Times New Roman" w:hAnsi="Times New Roman" w:cs="Times New Roman"/>
          <w:lang w:val="en-US"/>
        </w:rPr>
        <w:t xml:space="preserve"> </w:t>
      </w:r>
      <w:r w:rsidR="00BE20EC" w:rsidRPr="00061D2E">
        <w:rPr>
          <w:rFonts w:ascii="Times New Roman" w:hAnsi="Times New Roman" w:cs="Times New Roman"/>
          <w:i/>
          <w:iCs/>
          <w:lang w:val="en-US"/>
        </w:rPr>
        <w:t>et al</w:t>
      </w:r>
      <w:r w:rsidR="00BE20EC" w:rsidRPr="00061D2E">
        <w:rPr>
          <w:rFonts w:ascii="Times New Roman" w:hAnsi="Times New Roman" w:cs="Times New Roman"/>
          <w:lang w:val="en-US"/>
        </w:rPr>
        <w:t>. (200</w:t>
      </w:r>
      <w:r w:rsidR="00061D2E">
        <w:rPr>
          <w:rFonts w:ascii="Times New Roman" w:hAnsi="Times New Roman" w:cs="Times New Roman"/>
          <w:lang w:val="en-US"/>
        </w:rPr>
        <w:t>8</w:t>
      </w:r>
      <w:r w:rsidR="00BE20EC" w:rsidRPr="00061D2E">
        <w:rPr>
          <w:rFonts w:ascii="Times New Roman" w:hAnsi="Times New Roman" w:cs="Times New Roman"/>
          <w:lang w:val="en-US"/>
        </w:rPr>
        <w:t xml:space="preserve">) argue that high quality accounting </w:t>
      </w:r>
      <w:r w:rsidR="00BE20EC" w:rsidRPr="00F53FC6">
        <w:rPr>
          <w:rFonts w:ascii="Times New Roman" w:hAnsi="Times New Roman" w:cs="Times New Roman"/>
          <w:lang w:val="en-US"/>
        </w:rPr>
        <w:t>standards are likely to be most important in environments in which strong regulatory oversight ensures that</w:t>
      </w:r>
      <w:r w:rsidRPr="00F53FC6">
        <w:rPr>
          <w:rFonts w:ascii="Times New Roman" w:hAnsi="Times New Roman" w:cs="Times New Roman"/>
          <w:lang w:val="en-US"/>
        </w:rPr>
        <w:t xml:space="preserve"> </w:t>
      </w:r>
      <w:r w:rsidR="00BE20EC" w:rsidRPr="00F53FC6">
        <w:rPr>
          <w:rFonts w:ascii="Times New Roman" w:hAnsi="Times New Roman" w:cs="Times New Roman"/>
          <w:lang w:val="en-US"/>
        </w:rPr>
        <w:t xml:space="preserve">the standards are applied substantively rather than simply asserted. Similarly, research such as </w:t>
      </w:r>
      <w:r w:rsidR="00BE20EC" w:rsidRPr="00586F90">
        <w:rPr>
          <w:rFonts w:ascii="Times New Roman" w:hAnsi="Times New Roman" w:cs="Times New Roman"/>
          <w:lang w:val="en-US"/>
        </w:rPr>
        <w:t>Francis (200</w:t>
      </w:r>
      <w:r w:rsidR="00586F90" w:rsidRPr="00586F90">
        <w:rPr>
          <w:rFonts w:ascii="Times New Roman" w:hAnsi="Times New Roman" w:cs="Times New Roman"/>
          <w:lang w:val="en-US"/>
        </w:rPr>
        <w:t>4</w:t>
      </w:r>
      <w:r w:rsidR="00BE20EC" w:rsidRPr="00586F90">
        <w:rPr>
          <w:rFonts w:ascii="Times New Roman" w:hAnsi="Times New Roman" w:cs="Times New Roman"/>
          <w:lang w:val="en-US"/>
        </w:rPr>
        <w:t>)</w:t>
      </w:r>
      <w:r w:rsidR="00586F90">
        <w:rPr>
          <w:rFonts w:ascii="Times New Roman" w:hAnsi="Times New Roman" w:cs="Times New Roman"/>
          <w:lang w:val="en-US"/>
        </w:rPr>
        <w:t xml:space="preserve"> </w:t>
      </w:r>
      <w:r w:rsidR="00BE20EC" w:rsidRPr="00586F90">
        <w:rPr>
          <w:rFonts w:ascii="Times New Roman" w:hAnsi="Times New Roman" w:cs="Times New Roman"/>
          <w:lang w:val="en-US"/>
        </w:rPr>
        <w:t>and</w:t>
      </w:r>
      <w:r w:rsidR="00586F90" w:rsidRPr="00586F90">
        <w:rPr>
          <w:rFonts w:ascii="Times New Roman" w:hAnsi="Times New Roman" w:cs="Times New Roman"/>
          <w:lang w:val="en-US"/>
        </w:rPr>
        <w:t>,</w:t>
      </w:r>
      <w:r w:rsidR="00BE20EC" w:rsidRPr="00586F90">
        <w:rPr>
          <w:rFonts w:ascii="Times New Roman" w:hAnsi="Times New Roman" w:cs="Times New Roman"/>
          <w:lang w:val="en-US"/>
        </w:rPr>
        <w:t xml:space="preserve"> Hope </w:t>
      </w:r>
      <w:r w:rsidR="00586F90" w:rsidRPr="00586F90">
        <w:rPr>
          <w:rFonts w:ascii="Times New Roman" w:hAnsi="Times New Roman" w:cs="Times New Roman"/>
          <w:lang w:val="en-US"/>
        </w:rPr>
        <w:t xml:space="preserve">and </w:t>
      </w:r>
      <w:proofErr w:type="spellStart"/>
      <w:r w:rsidR="00586F90" w:rsidRPr="00586F90">
        <w:rPr>
          <w:rFonts w:ascii="Times New Roman" w:hAnsi="Times New Roman" w:cs="Times New Roman"/>
          <w:lang w:val="en-US"/>
        </w:rPr>
        <w:t>Langly</w:t>
      </w:r>
      <w:proofErr w:type="spellEnd"/>
      <w:r w:rsidR="00BE20EC" w:rsidRPr="00586F90">
        <w:rPr>
          <w:rFonts w:ascii="Times New Roman" w:hAnsi="Times New Roman" w:cs="Times New Roman"/>
          <w:lang w:val="en-US"/>
        </w:rPr>
        <w:t xml:space="preserve"> (20</w:t>
      </w:r>
      <w:r w:rsidR="00586F90" w:rsidRPr="00586F90">
        <w:rPr>
          <w:rFonts w:ascii="Times New Roman" w:hAnsi="Times New Roman" w:cs="Times New Roman"/>
          <w:lang w:val="en-US"/>
        </w:rPr>
        <w:t>10</w:t>
      </w:r>
      <w:r w:rsidR="00BE20EC" w:rsidRPr="00586F90">
        <w:rPr>
          <w:rFonts w:ascii="Times New Roman" w:hAnsi="Times New Roman" w:cs="Times New Roman"/>
          <w:lang w:val="en-US"/>
        </w:rPr>
        <w:t xml:space="preserve">), </w:t>
      </w:r>
      <w:r w:rsidR="00BE20EC" w:rsidRPr="00F53FC6">
        <w:rPr>
          <w:rFonts w:ascii="Times New Roman" w:hAnsi="Times New Roman" w:cs="Times New Roman"/>
          <w:lang w:val="en-US"/>
        </w:rPr>
        <w:t xml:space="preserve">argues that reliance on high quality </w:t>
      </w:r>
      <w:r w:rsidR="00BE20EC" w:rsidRPr="00F53FC6">
        <w:rPr>
          <w:rFonts w:ascii="Times New Roman" w:hAnsi="Times New Roman" w:cs="Times New Roman"/>
          <w:lang w:val="en-US"/>
        </w:rPr>
        <w:lastRenderedPageBreak/>
        <w:t xml:space="preserve">auditors is likely to be more important in contexts in which the underlying oversight and litigation environments increase the bonding role of auditor choice. In other words, the extant research suggests that the use of international accounting standards and </w:t>
      </w:r>
      <w:r w:rsidRPr="00F53FC6">
        <w:rPr>
          <w:rFonts w:ascii="Times New Roman" w:hAnsi="Times New Roman" w:cs="Times New Roman"/>
          <w:lang w:val="en-US"/>
        </w:rPr>
        <w:t>high-quality</w:t>
      </w:r>
      <w:r w:rsidR="00BE20EC" w:rsidRPr="00F53FC6">
        <w:rPr>
          <w:rFonts w:ascii="Times New Roman" w:hAnsi="Times New Roman" w:cs="Times New Roman"/>
          <w:lang w:val="en-US"/>
        </w:rPr>
        <w:t xml:space="preserve"> auditors is likely to be most beneficial in environments in which there is substantial local oversight and litigation exposure and, hence, firm-level accounting standard and auditor choice complement strong local institutions.</w:t>
      </w:r>
    </w:p>
    <w:p w14:paraId="3F2D6ADC" w14:textId="72392573" w:rsidR="006C3583" w:rsidRPr="00F53FC6" w:rsidRDefault="006C3583" w:rsidP="00AE7784">
      <w:pPr>
        <w:pStyle w:val="Paragrafoelenco"/>
        <w:numPr>
          <w:ilvl w:val="0"/>
          <w:numId w:val="17"/>
        </w:numPr>
        <w:spacing w:after="0" w:line="360" w:lineRule="auto"/>
        <w:ind w:left="426" w:hanging="284"/>
        <w:mirrorIndents/>
        <w:jc w:val="both"/>
        <w:rPr>
          <w:rFonts w:ascii="Times New Roman" w:hAnsi="Times New Roman" w:cs="Times New Roman"/>
          <w:lang w:val="en-US"/>
        </w:rPr>
      </w:pPr>
      <w:r w:rsidRPr="00F53FC6">
        <w:rPr>
          <w:rFonts w:ascii="Times New Roman" w:hAnsi="Times New Roman" w:cs="Times New Roman"/>
          <w:i/>
          <w:iCs/>
          <w:lang w:val="en-US"/>
        </w:rPr>
        <w:t>Management Control System</w:t>
      </w:r>
      <w:r w:rsidRPr="00F53FC6">
        <w:rPr>
          <w:rFonts w:ascii="Times New Roman" w:hAnsi="Times New Roman" w:cs="Times New Roman"/>
          <w:lang w:val="en-US"/>
        </w:rPr>
        <w:t xml:space="preserve">. </w:t>
      </w:r>
      <w:r w:rsidRPr="007758CD">
        <w:rPr>
          <w:rFonts w:ascii="Times New Roman" w:hAnsi="Times New Roman" w:cs="Times New Roman"/>
          <w:lang w:val="en-US"/>
        </w:rPr>
        <w:t xml:space="preserve">Merchant (2007), maintains </w:t>
      </w:r>
      <w:r w:rsidRPr="00F53FC6">
        <w:rPr>
          <w:rFonts w:ascii="Times New Roman" w:hAnsi="Times New Roman" w:cs="Times New Roman"/>
          <w:lang w:val="en-US"/>
        </w:rPr>
        <w:t xml:space="preserve">that management control systems </w:t>
      </w:r>
      <w:r w:rsidR="000947A2" w:rsidRPr="000947A2">
        <w:rPr>
          <w:rFonts w:ascii="Times New Roman" w:hAnsi="Times New Roman" w:cs="Times New Roman"/>
          <w:lang w:val="en-US"/>
        </w:rPr>
        <w:t>aim to support decision-making processes and to monitor resources in order to achieve effectiveness and efficiency objectives.</w:t>
      </w:r>
      <w:r w:rsidRPr="00F53FC6">
        <w:rPr>
          <w:rFonts w:ascii="Times New Roman" w:hAnsi="Times New Roman" w:cs="Times New Roman"/>
          <w:lang w:val="en-US"/>
        </w:rPr>
        <w:t xml:space="preserve"> </w:t>
      </w:r>
      <w:r w:rsidRPr="00DE05AD">
        <w:rPr>
          <w:rFonts w:ascii="Times New Roman" w:hAnsi="Times New Roman" w:cs="Times New Roman"/>
          <w:lang w:val="en-US"/>
        </w:rPr>
        <w:t xml:space="preserve">According to </w:t>
      </w:r>
      <w:bookmarkStart w:id="9" w:name="_Hlk23601671"/>
      <w:r w:rsidRPr="00DE05AD">
        <w:rPr>
          <w:rFonts w:ascii="Times New Roman" w:hAnsi="Times New Roman" w:cs="Times New Roman"/>
          <w:lang w:val="en-US"/>
        </w:rPr>
        <w:t>Sh</w:t>
      </w:r>
      <w:r w:rsidR="00DE05AD" w:rsidRPr="00DE05AD">
        <w:rPr>
          <w:rFonts w:ascii="Times New Roman" w:hAnsi="Times New Roman" w:cs="Times New Roman"/>
          <w:lang w:val="en-US"/>
        </w:rPr>
        <w:t>l</w:t>
      </w:r>
      <w:r w:rsidRPr="00DE05AD">
        <w:rPr>
          <w:rFonts w:ascii="Times New Roman" w:hAnsi="Times New Roman" w:cs="Times New Roman"/>
          <w:lang w:val="en-US"/>
        </w:rPr>
        <w:t xml:space="preserve">eifer and </w:t>
      </w:r>
      <w:proofErr w:type="spellStart"/>
      <w:r w:rsidRPr="00DE05AD">
        <w:rPr>
          <w:rFonts w:ascii="Times New Roman" w:hAnsi="Times New Roman" w:cs="Times New Roman"/>
          <w:lang w:val="en-US"/>
        </w:rPr>
        <w:t>Vishny</w:t>
      </w:r>
      <w:proofErr w:type="spellEnd"/>
      <w:r w:rsidRPr="00DE05AD">
        <w:rPr>
          <w:rFonts w:ascii="Times New Roman" w:hAnsi="Times New Roman" w:cs="Times New Roman"/>
          <w:lang w:val="en-US"/>
        </w:rPr>
        <w:t xml:space="preserve"> (1997), </w:t>
      </w:r>
      <w:bookmarkEnd w:id="9"/>
      <w:r w:rsidRPr="00DE05AD">
        <w:rPr>
          <w:rFonts w:ascii="Times New Roman" w:hAnsi="Times New Roman" w:cs="Times New Roman"/>
          <w:lang w:val="en-US"/>
        </w:rPr>
        <w:t xml:space="preserve">management </w:t>
      </w:r>
      <w:r w:rsidRPr="00F53FC6">
        <w:rPr>
          <w:rFonts w:ascii="Times New Roman" w:hAnsi="Times New Roman" w:cs="Times New Roman"/>
          <w:lang w:val="en-US"/>
        </w:rPr>
        <w:t>control entails a governance mechanism that assures investors that they will get return at the end. The prime problem stemming from ownership and lenders is difference in interests that leads to huge agency cost. The chief objective of management control is determined that appropriate check systems, controls, management structure and governance have been established to optimize returns and minimize losses the best interest of the shareholders with the aim of enhancing accountability, governance and transparency in such a way as to reduce agency costs through increased productivity and efficiency.</w:t>
      </w:r>
    </w:p>
    <w:p w14:paraId="6F342A8D" w14:textId="6B9CCF54" w:rsidR="00BE20EC" w:rsidRPr="006B7C5B" w:rsidRDefault="00E81180" w:rsidP="00AE7784">
      <w:pPr>
        <w:pStyle w:val="Paragrafoelenco"/>
        <w:numPr>
          <w:ilvl w:val="0"/>
          <w:numId w:val="17"/>
        </w:numPr>
        <w:spacing w:after="0" w:line="360" w:lineRule="auto"/>
        <w:ind w:left="426" w:hanging="284"/>
        <w:mirrorIndents/>
        <w:jc w:val="both"/>
        <w:rPr>
          <w:rFonts w:ascii="Times New Roman" w:hAnsi="Times New Roman" w:cs="Times New Roman"/>
          <w:lang w:val="en-US"/>
        </w:rPr>
      </w:pPr>
      <w:r w:rsidRPr="00F53FC6">
        <w:rPr>
          <w:rFonts w:ascii="Times New Roman" w:hAnsi="Times New Roman" w:cs="Times New Roman"/>
          <w:i/>
          <w:iCs/>
          <w:lang w:val="en-US"/>
        </w:rPr>
        <w:t>Chief Financial Officer</w:t>
      </w:r>
      <w:r w:rsidR="00DF59BB" w:rsidRPr="00F53FC6">
        <w:rPr>
          <w:rFonts w:ascii="Times New Roman" w:hAnsi="Times New Roman" w:cs="Times New Roman"/>
          <w:i/>
          <w:iCs/>
          <w:lang w:val="en-US"/>
        </w:rPr>
        <w:t xml:space="preserve"> (CFO)</w:t>
      </w:r>
      <w:r w:rsidR="008E51C3" w:rsidRPr="00F53FC6">
        <w:rPr>
          <w:rFonts w:ascii="Times New Roman" w:hAnsi="Times New Roman" w:cs="Times New Roman"/>
          <w:lang w:val="en-US"/>
        </w:rPr>
        <w:t xml:space="preserve">. </w:t>
      </w:r>
      <w:r w:rsidRPr="00F53FC6">
        <w:rPr>
          <w:rFonts w:ascii="Times New Roman" w:hAnsi="Times New Roman" w:cs="Times New Roman"/>
          <w:lang w:val="en-US"/>
        </w:rPr>
        <w:t>This research assumes that SMEs with a CFO are more transparent</w:t>
      </w:r>
      <w:r w:rsidR="002E35E0" w:rsidRPr="00F53FC6">
        <w:rPr>
          <w:rFonts w:ascii="Times New Roman" w:hAnsi="Times New Roman" w:cs="Times New Roman"/>
          <w:lang w:val="en-US"/>
        </w:rPr>
        <w:t xml:space="preserve"> </w:t>
      </w:r>
      <w:r w:rsidR="002E35E0" w:rsidRPr="00314E76">
        <w:rPr>
          <w:rFonts w:ascii="Times New Roman" w:hAnsi="Times New Roman" w:cs="Times New Roman"/>
          <w:lang w:val="en-US"/>
        </w:rPr>
        <w:t>(Quintiliani, 2017)</w:t>
      </w:r>
      <w:r w:rsidRPr="00314E76">
        <w:rPr>
          <w:rFonts w:ascii="Times New Roman" w:hAnsi="Times New Roman" w:cs="Times New Roman"/>
          <w:lang w:val="en-US"/>
        </w:rPr>
        <w:t>.</w:t>
      </w:r>
      <w:r w:rsidR="00DF59BB" w:rsidRPr="00314E76">
        <w:rPr>
          <w:rFonts w:ascii="Times New Roman" w:hAnsi="Times New Roman" w:cs="Times New Roman"/>
          <w:lang w:val="en-US"/>
        </w:rPr>
        <w:t xml:space="preserve"> </w:t>
      </w:r>
      <w:r w:rsidRPr="00314E76">
        <w:rPr>
          <w:rFonts w:ascii="Times New Roman" w:hAnsi="Times New Roman" w:cs="Times New Roman"/>
          <w:lang w:val="en-US"/>
        </w:rPr>
        <w:t xml:space="preserve">In the </w:t>
      </w:r>
      <w:r w:rsidRPr="00F53FC6">
        <w:rPr>
          <w:rFonts w:ascii="Times New Roman" w:hAnsi="Times New Roman" w:cs="Times New Roman"/>
          <w:lang w:val="en-US"/>
        </w:rPr>
        <w:t>context of SMEs, CFO takes strategic and critical role to dissolving information</w:t>
      </w:r>
      <w:r w:rsidR="00DF59BB" w:rsidRPr="00F53FC6">
        <w:rPr>
          <w:rFonts w:ascii="Times New Roman" w:hAnsi="Times New Roman" w:cs="Times New Roman"/>
          <w:lang w:val="en-US"/>
        </w:rPr>
        <w:t xml:space="preserve"> </w:t>
      </w:r>
      <w:r w:rsidRPr="00F53FC6">
        <w:rPr>
          <w:rFonts w:ascii="Times New Roman" w:hAnsi="Times New Roman" w:cs="Times New Roman"/>
          <w:lang w:val="en-US"/>
        </w:rPr>
        <w:t xml:space="preserve">asymmetries between </w:t>
      </w:r>
      <w:r w:rsidRPr="00F42FD8">
        <w:rPr>
          <w:rFonts w:ascii="Times New Roman" w:hAnsi="Times New Roman" w:cs="Times New Roman"/>
          <w:lang w:val="en-US"/>
        </w:rPr>
        <w:t>SME and its lenders. Information asymmetries and the resulting credit</w:t>
      </w:r>
      <w:r w:rsidR="00DF59BB" w:rsidRPr="00F42FD8">
        <w:rPr>
          <w:rFonts w:ascii="Times New Roman" w:hAnsi="Times New Roman" w:cs="Times New Roman"/>
          <w:lang w:val="en-US"/>
        </w:rPr>
        <w:t xml:space="preserve"> </w:t>
      </w:r>
      <w:r w:rsidRPr="00F42FD8">
        <w:rPr>
          <w:rFonts w:ascii="Times New Roman" w:hAnsi="Times New Roman" w:cs="Times New Roman"/>
          <w:lang w:val="en-US"/>
        </w:rPr>
        <w:t>constraints are consequence of business opacity (</w:t>
      </w:r>
      <w:proofErr w:type="spellStart"/>
      <w:r w:rsidRPr="00F42FD8">
        <w:rPr>
          <w:rFonts w:ascii="Times New Roman" w:hAnsi="Times New Roman" w:cs="Times New Roman"/>
          <w:lang w:val="en-US"/>
        </w:rPr>
        <w:t>Ackert</w:t>
      </w:r>
      <w:proofErr w:type="spellEnd"/>
      <w:r w:rsidRPr="00F42FD8">
        <w:rPr>
          <w:rFonts w:ascii="Times New Roman" w:hAnsi="Times New Roman" w:cs="Times New Roman"/>
          <w:lang w:val="en-US"/>
        </w:rPr>
        <w:t xml:space="preserve"> </w:t>
      </w:r>
      <w:r w:rsidRPr="00F42FD8">
        <w:rPr>
          <w:rFonts w:ascii="Times New Roman" w:hAnsi="Times New Roman" w:cs="Times New Roman"/>
          <w:i/>
          <w:iCs/>
          <w:lang w:val="en-US"/>
        </w:rPr>
        <w:t>et al</w:t>
      </w:r>
      <w:r w:rsidRPr="00F42FD8">
        <w:rPr>
          <w:rFonts w:ascii="Times New Roman" w:hAnsi="Times New Roman" w:cs="Times New Roman"/>
          <w:lang w:val="en-US"/>
        </w:rPr>
        <w:t>, 2007). An unsatisfactory and incomplete</w:t>
      </w:r>
      <w:r w:rsidR="00DF59BB" w:rsidRPr="00F42FD8">
        <w:rPr>
          <w:rFonts w:ascii="Times New Roman" w:hAnsi="Times New Roman" w:cs="Times New Roman"/>
          <w:lang w:val="en-US"/>
        </w:rPr>
        <w:t xml:space="preserve"> </w:t>
      </w:r>
      <w:r w:rsidRPr="00F42FD8">
        <w:rPr>
          <w:rFonts w:ascii="Times New Roman" w:hAnsi="Times New Roman" w:cs="Times New Roman"/>
          <w:lang w:val="en-US"/>
        </w:rPr>
        <w:t xml:space="preserve">piece of information has negative effects (so-called, adverse-selection </w:t>
      </w:r>
      <w:r w:rsidRPr="00F53FC6">
        <w:rPr>
          <w:rFonts w:ascii="Times New Roman" w:hAnsi="Times New Roman" w:cs="Times New Roman"/>
          <w:lang w:val="en-US"/>
        </w:rPr>
        <w:t>problems): rationing of financial</w:t>
      </w:r>
      <w:r w:rsidR="00DF59BB" w:rsidRPr="00F53FC6">
        <w:rPr>
          <w:rFonts w:ascii="Times New Roman" w:hAnsi="Times New Roman" w:cs="Times New Roman"/>
          <w:lang w:val="en-US"/>
        </w:rPr>
        <w:t xml:space="preserve"> </w:t>
      </w:r>
      <w:r w:rsidRPr="00F53FC6">
        <w:rPr>
          <w:rFonts w:ascii="Times New Roman" w:hAnsi="Times New Roman" w:cs="Times New Roman"/>
          <w:lang w:val="en-US"/>
        </w:rPr>
        <w:t xml:space="preserve">resources for the </w:t>
      </w:r>
      <w:r w:rsidRPr="00F42FD8">
        <w:rPr>
          <w:rFonts w:ascii="Times New Roman" w:hAnsi="Times New Roman" w:cs="Times New Roman"/>
          <w:lang w:val="en-US"/>
        </w:rPr>
        <w:t>firms having valid business fundamentals, wrong pricing of loans, increase in nonperforming loans, suboptimal allocation of risk-based resources (Stiglitz and Weiss, 1981; Farmer,</w:t>
      </w:r>
      <w:r w:rsidR="00DF59BB" w:rsidRPr="00F42FD8">
        <w:rPr>
          <w:rFonts w:ascii="Times New Roman" w:hAnsi="Times New Roman" w:cs="Times New Roman"/>
          <w:lang w:val="en-US"/>
        </w:rPr>
        <w:t xml:space="preserve"> </w:t>
      </w:r>
      <w:r w:rsidRPr="00F42FD8">
        <w:rPr>
          <w:rFonts w:ascii="Times New Roman" w:hAnsi="Times New Roman" w:cs="Times New Roman"/>
          <w:lang w:val="en-US"/>
        </w:rPr>
        <w:t>1985; Bester, 1985; Williamson, 198</w:t>
      </w:r>
      <w:r w:rsidR="00F42FD8" w:rsidRPr="00F42FD8">
        <w:rPr>
          <w:rFonts w:ascii="Times New Roman" w:hAnsi="Times New Roman" w:cs="Times New Roman"/>
          <w:lang w:val="en-US"/>
        </w:rPr>
        <w:t>7</w:t>
      </w:r>
      <w:r w:rsidRPr="00F42FD8">
        <w:rPr>
          <w:rFonts w:ascii="Times New Roman" w:hAnsi="Times New Roman" w:cs="Times New Roman"/>
          <w:lang w:val="en-US"/>
        </w:rPr>
        <w:t>; Cressy and Toivanen, 2001).</w:t>
      </w:r>
      <w:r w:rsidR="00DF59BB" w:rsidRPr="00F42FD8">
        <w:rPr>
          <w:rFonts w:ascii="Times New Roman" w:hAnsi="Times New Roman" w:cs="Times New Roman"/>
          <w:lang w:val="en-US"/>
        </w:rPr>
        <w:t xml:space="preserve"> </w:t>
      </w:r>
      <w:r w:rsidRPr="00F42FD8">
        <w:rPr>
          <w:rFonts w:ascii="Times New Roman" w:hAnsi="Times New Roman" w:cs="Times New Roman"/>
          <w:lang w:val="en-US"/>
        </w:rPr>
        <w:t>The CFO more than ever has become a reference point in the interlocutory processes with the</w:t>
      </w:r>
      <w:r w:rsidR="00DF59BB" w:rsidRPr="00F42FD8">
        <w:rPr>
          <w:rFonts w:ascii="Times New Roman" w:hAnsi="Times New Roman" w:cs="Times New Roman"/>
          <w:lang w:val="en-US"/>
        </w:rPr>
        <w:t xml:space="preserve"> </w:t>
      </w:r>
      <w:r w:rsidRPr="00F42FD8">
        <w:rPr>
          <w:rFonts w:ascii="Times New Roman" w:hAnsi="Times New Roman" w:cs="Times New Roman"/>
          <w:lang w:val="en-US"/>
        </w:rPr>
        <w:t>managers and corporate managers of the banks with whom the company works. On this way, the</w:t>
      </w:r>
      <w:r w:rsidR="00DF59BB" w:rsidRPr="00F42FD8">
        <w:rPr>
          <w:rFonts w:ascii="Times New Roman" w:hAnsi="Times New Roman" w:cs="Times New Roman"/>
          <w:lang w:val="en-US"/>
        </w:rPr>
        <w:t xml:space="preserve"> </w:t>
      </w:r>
      <w:r w:rsidRPr="00F42FD8">
        <w:rPr>
          <w:rFonts w:ascii="Times New Roman" w:hAnsi="Times New Roman" w:cs="Times New Roman"/>
          <w:lang w:val="en-US"/>
        </w:rPr>
        <w:t>relationship of mutual knowledge has gone into deepening also thanks to the need of the banking</w:t>
      </w:r>
      <w:r w:rsidR="00DF59BB" w:rsidRPr="00F42FD8">
        <w:rPr>
          <w:rFonts w:ascii="Times New Roman" w:hAnsi="Times New Roman" w:cs="Times New Roman"/>
          <w:lang w:val="en-US"/>
        </w:rPr>
        <w:t xml:space="preserve"> </w:t>
      </w:r>
      <w:r w:rsidRPr="00F53FC6">
        <w:rPr>
          <w:rFonts w:ascii="Times New Roman" w:hAnsi="Times New Roman" w:cs="Times New Roman"/>
          <w:lang w:val="en-US"/>
        </w:rPr>
        <w:t>system to increase information transparency by the side of the firms.</w:t>
      </w:r>
      <w:r w:rsidR="00DF59BB" w:rsidRPr="00F53FC6">
        <w:rPr>
          <w:rFonts w:ascii="Times New Roman" w:hAnsi="Times New Roman" w:cs="Times New Roman"/>
          <w:lang w:val="en-US"/>
        </w:rPr>
        <w:t xml:space="preserve"> </w:t>
      </w:r>
      <w:r w:rsidR="00AE7784">
        <w:rPr>
          <w:rFonts w:ascii="Times New Roman" w:hAnsi="Times New Roman" w:cs="Times New Roman"/>
          <w:lang w:val="en-US"/>
        </w:rPr>
        <w:t>G</w:t>
      </w:r>
      <w:r w:rsidRPr="00F53FC6">
        <w:rPr>
          <w:rFonts w:ascii="Times New Roman" w:hAnsi="Times New Roman" w:cs="Times New Roman"/>
          <w:lang w:val="en-US"/>
        </w:rPr>
        <w:t>ood bank-firm relationship is often influenced</w:t>
      </w:r>
      <w:r w:rsidR="00DF59BB" w:rsidRPr="00F53FC6">
        <w:rPr>
          <w:rFonts w:ascii="Times New Roman" w:hAnsi="Times New Roman" w:cs="Times New Roman"/>
          <w:lang w:val="en-US"/>
        </w:rPr>
        <w:t xml:space="preserve"> </w:t>
      </w:r>
      <w:r w:rsidRPr="00F53FC6">
        <w:rPr>
          <w:rFonts w:ascii="Times New Roman" w:hAnsi="Times New Roman" w:cs="Times New Roman"/>
          <w:lang w:val="en-US"/>
        </w:rPr>
        <w:t xml:space="preserve">significantly </w:t>
      </w:r>
      <w:r w:rsidRPr="006B7C5B">
        <w:rPr>
          <w:rFonts w:ascii="Times New Roman" w:hAnsi="Times New Roman" w:cs="Times New Roman"/>
          <w:lang w:val="en-US"/>
        </w:rPr>
        <w:t xml:space="preserve">by CFO’s capacity. Jiang </w:t>
      </w:r>
      <w:r w:rsidRPr="006B7C5B">
        <w:rPr>
          <w:rFonts w:ascii="Times New Roman" w:hAnsi="Times New Roman" w:cs="Times New Roman"/>
          <w:i/>
          <w:iCs/>
          <w:lang w:val="en-US"/>
        </w:rPr>
        <w:t>et al</w:t>
      </w:r>
      <w:r w:rsidR="00DF59BB" w:rsidRPr="006B7C5B">
        <w:rPr>
          <w:rFonts w:ascii="Times New Roman" w:hAnsi="Times New Roman" w:cs="Times New Roman"/>
          <w:lang w:val="en-US"/>
        </w:rPr>
        <w:t>.</w:t>
      </w:r>
      <w:r w:rsidRPr="006B7C5B">
        <w:rPr>
          <w:rFonts w:ascii="Times New Roman" w:hAnsi="Times New Roman" w:cs="Times New Roman"/>
          <w:lang w:val="en-US"/>
        </w:rPr>
        <w:t xml:space="preserve"> (</w:t>
      </w:r>
      <w:r w:rsidR="006B7C5B" w:rsidRPr="006B7C5B">
        <w:rPr>
          <w:rFonts w:ascii="Times New Roman" w:hAnsi="Times New Roman" w:cs="Times New Roman"/>
          <w:lang w:val="en-US"/>
        </w:rPr>
        <w:t>2010</w:t>
      </w:r>
      <w:r w:rsidRPr="006B7C5B">
        <w:rPr>
          <w:rFonts w:ascii="Times New Roman" w:hAnsi="Times New Roman" w:cs="Times New Roman"/>
          <w:lang w:val="en-US"/>
        </w:rPr>
        <w:t>) group the segment of CFO’s ability into relationship</w:t>
      </w:r>
      <w:r w:rsidR="00DF59BB" w:rsidRPr="006B7C5B">
        <w:rPr>
          <w:rFonts w:ascii="Times New Roman" w:hAnsi="Times New Roman" w:cs="Times New Roman"/>
          <w:lang w:val="en-US"/>
        </w:rPr>
        <w:t xml:space="preserve"> </w:t>
      </w:r>
      <w:r w:rsidRPr="006B7C5B">
        <w:rPr>
          <w:rFonts w:ascii="Times New Roman" w:hAnsi="Times New Roman" w:cs="Times New Roman"/>
          <w:lang w:val="en-US"/>
        </w:rPr>
        <w:t>ability with banks and technical ability to analyze invisible business assets.</w:t>
      </w:r>
    </w:p>
    <w:p w14:paraId="464F4181" w14:textId="7AC87DBB" w:rsidR="00DF59BB" w:rsidRPr="00F53FC6" w:rsidRDefault="00DF59BB" w:rsidP="00AE7784">
      <w:pPr>
        <w:pStyle w:val="Paragrafoelenco"/>
        <w:numPr>
          <w:ilvl w:val="0"/>
          <w:numId w:val="17"/>
        </w:numPr>
        <w:spacing w:after="0" w:line="360" w:lineRule="auto"/>
        <w:ind w:left="426" w:hanging="284"/>
        <w:mirrorIndents/>
        <w:jc w:val="both"/>
        <w:rPr>
          <w:rFonts w:ascii="Times New Roman" w:hAnsi="Times New Roman" w:cs="Times New Roman"/>
          <w:lang w:val="en-US"/>
        </w:rPr>
      </w:pPr>
      <w:r w:rsidRPr="00F53FC6">
        <w:rPr>
          <w:rFonts w:ascii="Times New Roman" w:hAnsi="Times New Roman" w:cs="Times New Roman"/>
          <w:i/>
          <w:iCs/>
          <w:lang w:val="en-US"/>
        </w:rPr>
        <w:t>Planning system</w:t>
      </w:r>
      <w:r w:rsidRPr="00F53FC6">
        <w:rPr>
          <w:rFonts w:ascii="Times New Roman" w:hAnsi="Times New Roman" w:cs="Times New Roman"/>
          <w:lang w:val="en-US"/>
        </w:rPr>
        <w:t xml:space="preserve">. </w:t>
      </w:r>
      <w:r w:rsidR="005F7305" w:rsidRPr="00F53FC6">
        <w:rPr>
          <w:rFonts w:ascii="Times New Roman" w:hAnsi="Times New Roman" w:cs="Times New Roman"/>
          <w:lang w:val="en-US"/>
        </w:rPr>
        <w:t xml:space="preserve">The presence of a planning system facilitates and makes communication between company and financial markets more transparent. Long-term financial planning and forward-looking rating are necessary to sit at the table of lenders in a transparent way, with real and certain data, and with the possibility of creating alternative scenarios. It is essential that SME is able to produce data quickly (financial simulation scenarios, forecast rating, budget), also with a view to improving the relationship between bank and firm. </w:t>
      </w:r>
      <w:r w:rsidR="006E1C0B" w:rsidRPr="00F53FC6">
        <w:rPr>
          <w:rFonts w:ascii="Times New Roman" w:hAnsi="Times New Roman" w:cs="Times New Roman"/>
          <w:lang w:val="en-US"/>
        </w:rPr>
        <w:t xml:space="preserve">The study </w:t>
      </w:r>
      <w:r w:rsidR="006E1C0B" w:rsidRPr="00A203F5">
        <w:rPr>
          <w:rFonts w:ascii="Times New Roman" w:hAnsi="Times New Roman" w:cs="Times New Roman"/>
          <w:lang w:val="en-US"/>
        </w:rPr>
        <w:t xml:space="preserve">by Ali </w:t>
      </w:r>
      <w:r w:rsidR="006E1C0B" w:rsidRPr="00A203F5">
        <w:rPr>
          <w:rFonts w:ascii="Times New Roman" w:hAnsi="Times New Roman" w:cs="Times New Roman"/>
          <w:i/>
          <w:iCs/>
          <w:lang w:val="en-US"/>
        </w:rPr>
        <w:t>et al</w:t>
      </w:r>
      <w:r w:rsidR="006E1C0B" w:rsidRPr="00A203F5">
        <w:rPr>
          <w:rFonts w:ascii="Times New Roman" w:hAnsi="Times New Roman" w:cs="Times New Roman"/>
          <w:lang w:val="en-US"/>
        </w:rPr>
        <w:t xml:space="preserve">. (2007) indicate </w:t>
      </w:r>
      <w:r w:rsidR="006E1C0B" w:rsidRPr="00F53FC6">
        <w:rPr>
          <w:rFonts w:ascii="Times New Roman" w:hAnsi="Times New Roman" w:cs="Times New Roman"/>
          <w:lang w:val="en-US"/>
        </w:rPr>
        <w:t xml:space="preserve">that SMEs equipped with financial planning systems have larger analyst following, lower dispersion in analysts' earnings forecasts, smaller forecast errors, less volatile forecast revisions, and smaller bid-ask spreads. </w:t>
      </w:r>
      <w:r w:rsidR="005F7305" w:rsidRPr="00F53FC6">
        <w:rPr>
          <w:rFonts w:ascii="Times New Roman" w:hAnsi="Times New Roman" w:cs="Times New Roman"/>
          <w:lang w:val="en-US"/>
        </w:rPr>
        <w:t>The presence of a planning system is closely related to the presence of CFO.</w:t>
      </w:r>
    </w:p>
    <w:p w14:paraId="249328EB" w14:textId="77777777" w:rsidR="0011721F" w:rsidRDefault="00542AC6" w:rsidP="00542AC6">
      <w:pPr>
        <w:spacing w:after="0" w:line="360" w:lineRule="auto"/>
        <w:contextualSpacing/>
        <w:mirrorIndents/>
        <w:jc w:val="both"/>
        <w:rPr>
          <w:rFonts w:ascii="Times New Roman" w:hAnsi="Times New Roman" w:cs="Times New Roman"/>
          <w:lang w:val="en-US"/>
        </w:rPr>
      </w:pPr>
      <w:bookmarkStart w:id="10" w:name="_Hlk23001613"/>
      <w:r w:rsidRPr="00F53FC6">
        <w:rPr>
          <w:rFonts w:ascii="Times New Roman" w:hAnsi="Times New Roman" w:cs="Times New Roman"/>
          <w:lang w:val="en-US"/>
        </w:rPr>
        <w:lastRenderedPageBreak/>
        <w:t xml:space="preserve">Financial Transparency </w:t>
      </w:r>
      <w:bookmarkEnd w:id="10"/>
      <w:r w:rsidRPr="00F53FC6">
        <w:rPr>
          <w:rFonts w:ascii="Times New Roman" w:hAnsi="Times New Roman" w:cs="Times New Roman"/>
          <w:lang w:val="en-US"/>
        </w:rPr>
        <w:t xml:space="preserve">Index (FTI) were formulated as a standard proxy and based on forty-three binary objective study queries obtained from secondary data. </w:t>
      </w:r>
    </w:p>
    <w:p w14:paraId="6BE1C490" w14:textId="27E5A051" w:rsidR="003F6AC5" w:rsidRPr="00F53FC6" w:rsidRDefault="00542AC6" w:rsidP="003F6AC5">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lang w:val="en-US"/>
        </w:rPr>
        <w:t>FTI has a value of 0 to 100, the assumption is that it is expected that companies with poorer financial transparency (opaque borrower) may perform sub-standard.</w:t>
      </w:r>
      <w:r w:rsidR="00AE7784">
        <w:rPr>
          <w:rFonts w:ascii="Times New Roman" w:hAnsi="Times New Roman" w:cs="Times New Roman"/>
          <w:lang w:val="en-US"/>
        </w:rPr>
        <w:t xml:space="preserve"> </w:t>
      </w:r>
      <w:r w:rsidR="003F6AC5" w:rsidRPr="00F53FC6">
        <w:rPr>
          <w:rFonts w:ascii="Times New Roman" w:hAnsi="Times New Roman" w:cs="Times New Roman"/>
          <w:lang w:val="en-US"/>
        </w:rPr>
        <w:t xml:space="preserve">Our quantitative research approach is descriptive and correlational. A multivariate regression model was applied to establish the relationship between </w:t>
      </w:r>
      <w:bookmarkStart w:id="11" w:name="_Hlk23001712"/>
      <w:r w:rsidR="00111554" w:rsidRPr="00F53FC6">
        <w:rPr>
          <w:rFonts w:ascii="Times New Roman" w:hAnsi="Times New Roman" w:cs="Times New Roman"/>
          <w:lang w:val="en-US"/>
        </w:rPr>
        <w:t>f</w:t>
      </w:r>
      <w:r w:rsidRPr="00F53FC6">
        <w:rPr>
          <w:rFonts w:ascii="Times New Roman" w:hAnsi="Times New Roman" w:cs="Times New Roman"/>
          <w:lang w:val="en-US"/>
        </w:rPr>
        <w:t xml:space="preserve">inancial </w:t>
      </w:r>
      <w:r w:rsidR="00111554" w:rsidRPr="00F53FC6">
        <w:rPr>
          <w:rFonts w:ascii="Times New Roman" w:hAnsi="Times New Roman" w:cs="Times New Roman"/>
          <w:lang w:val="en-US"/>
        </w:rPr>
        <w:t>t</w:t>
      </w:r>
      <w:r w:rsidRPr="00F53FC6">
        <w:rPr>
          <w:rFonts w:ascii="Times New Roman" w:hAnsi="Times New Roman" w:cs="Times New Roman"/>
          <w:lang w:val="en-US"/>
        </w:rPr>
        <w:t xml:space="preserve">ransparency </w:t>
      </w:r>
      <w:bookmarkEnd w:id="11"/>
      <w:r w:rsidR="003F6AC5" w:rsidRPr="00F53FC6">
        <w:rPr>
          <w:rFonts w:ascii="Times New Roman" w:hAnsi="Times New Roman" w:cs="Times New Roman"/>
          <w:lang w:val="en-US"/>
        </w:rPr>
        <w:t xml:space="preserve">and company’s value. The model to test hypothesis is shown in formula (1): </w:t>
      </w:r>
    </w:p>
    <w:p w14:paraId="73B19897" w14:textId="020B467A" w:rsidR="003F6AC5" w:rsidRPr="00F53FC6" w:rsidRDefault="003F6AC5" w:rsidP="00306CEC">
      <w:pPr>
        <w:spacing w:after="0" w:line="360" w:lineRule="auto"/>
        <w:contextualSpacing/>
        <w:mirrorIndents/>
        <w:jc w:val="center"/>
        <w:rPr>
          <w:rFonts w:ascii="Times New Roman" w:hAnsi="Times New Roman" w:cs="Times New Roman"/>
          <w:lang w:val="en-US"/>
        </w:rPr>
      </w:pPr>
      <w:bookmarkStart w:id="12" w:name="_Hlk23021574"/>
      <w:proofErr w:type="spellStart"/>
      <w:r w:rsidRPr="00F53FC6">
        <w:rPr>
          <w:rFonts w:ascii="Times New Roman" w:hAnsi="Times New Roman" w:cs="Times New Roman"/>
          <w:lang w:val="en-US"/>
        </w:rPr>
        <w:t>Yit</w:t>
      </w:r>
      <w:proofErr w:type="spellEnd"/>
      <w:r w:rsidRPr="00F53FC6">
        <w:rPr>
          <w:rFonts w:ascii="Times New Roman" w:hAnsi="Times New Roman" w:cs="Times New Roman"/>
          <w:lang w:val="en-US"/>
        </w:rPr>
        <w:t xml:space="preserve"> = α + β</w:t>
      </w:r>
      <w:r w:rsidRPr="00F53FC6">
        <w:rPr>
          <w:rFonts w:ascii="Times New Roman" w:hAnsi="Times New Roman" w:cs="Times New Roman"/>
          <w:vertAlign w:val="subscript"/>
          <w:lang w:val="en-US"/>
        </w:rPr>
        <w:t>1</w:t>
      </w:r>
      <w:r w:rsidR="00542AC6" w:rsidRPr="00F53FC6">
        <w:rPr>
          <w:rFonts w:ascii="Times New Roman" w:hAnsi="Times New Roman" w:cs="Times New Roman"/>
          <w:lang w:val="en-US"/>
        </w:rPr>
        <w:t>FT</w:t>
      </w:r>
      <w:r w:rsidRPr="00F53FC6">
        <w:rPr>
          <w:rFonts w:ascii="Times New Roman" w:hAnsi="Times New Roman" w:cs="Times New Roman"/>
          <w:lang w:val="en-US"/>
        </w:rPr>
        <w:t xml:space="preserve">it + </w:t>
      </w:r>
      <w:proofErr w:type="spellStart"/>
      <w:r w:rsidRPr="00F53FC6">
        <w:rPr>
          <w:rFonts w:ascii="Times New Roman" w:hAnsi="Times New Roman" w:cs="Times New Roman"/>
          <w:lang w:val="en-US"/>
        </w:rPr>
        <w:t>ε</w:t>
      </w:r>
      <w:r w:rsidRPr="00F53FC6">
        <w:rPr>
          <w:rFonts w:ascii="Times New Roman" w:hAnsi="Times New Roman" w:cs="Times New Roman"/>
          <w:vertAlign w:val="subscript"/>
          <w:lang w:val="en-US"/>
        </w:rPr>
        <w:t>it</w:t>
      </w:r>
      <w:proofErr w:type="spellEnd"/>
      <w:r w:rsidRPr="00F53FC6">
        <w:rPr>
          <w:rFonts w:ascii="Times New Roman" w:hAnsi="Times New Roman" w:cs="Times New Roman"/>
          <w:lang w:val="en-US"/>
        </w:rPr>
        <w:tab/>
        <w:t xml:space="preserve"> [1]</w:t>
      </w:r>
      <w:bookmarkEnd w:id="12"/>
    </w:p>
    <w:p w14:paraId="7C93ACAC" w14:textId="7208A565" w:rsidR="00306CEC" w:rsidRPr="00F53FC6" w:rsidRDefault="003F6AC5" w:rsidP="003F6AC5">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lang w:val="en-US"/>
        </w:rPr>
        <w:t>where “Y” represents corporate value parameter (</w:t>
      </w:r>
      <w:r w:rsidR="00DD6BA4" w:rsidRPr="00F53FC6">
        <w:rPr>
          <w:rFonts w:ascii="Times New Roman" w:hAnsi="Times New Roman" w:cs="Times New Roman"/>
          <w:lang w:val="en-US"/>
        </w:rPr>
        <w:t>ICR</w:t>
      </w:r>
      <w:r w:rsidRPr="00F53FC6">
        <w:rPr>
          <w:rFonts w:ascii="Times New Roman" w:hAnsi="Times New Roman" w:cs="Times New Roman"/>
          <w:lang w:val="en-US"/>
        </w:rPr>
        <w:t xml:space="preserve"> and Tobin</w:t>
      </w:r>
      <w:r w:rsidR="00DD6BA4" w:rsidRPr="00F53FC6">
        <w:rPr>
          <w:rFonts w:ascii="Times New Roman" w:hAnsi="Times New Roman" w:cs="Times New Roman"/>
          <w:lang w:val="en-US"/>
        </w:rPr>
        <w:t xml:space="preserve"> </w:t>
      </w:r>
      <w:r w:rsidRPr="00F53FC6">
        <w:rPr>
          <w:rFonts w:ascii="Times New Roman" w:hAnsi="Times New Roman" w:cs="Times New Roman"/>
          <w:lang w:val="en-US"/>
        </w:rPr>
        <w:t>Q), “α” is the intercept or constant, “β</w:t>
      </w:r>
      <w:r w:rsidRPr="00F53FC6">
        <w:rPr>
          <w:rFonts w:ascii="Times New Roman" w:hAnsi="Times New Roman" w:cs="Times New Roman"/>
          <w:vertAlign w:val="subscript"/>
          <w:lang w:val="en-US"/>
        </w:rPr>
        <w:t>1</w:t>
      </w:r>
      <w:r w:rsidRPr="00F53FC6">
        <w:rPr>
          <w:rFonts w:ascii="Times New Roman" w:hAnsi="Times New Roman" w:cs="Times New Roman"/>
          <w:lang w:val="en-US"/>
        </w:rPr>
        <w:t>” is regression coefficient, “</w:t>
      </w:r>
      <w:r w:rsidR="00542AC6" w:rsidRPr="00F53FC6">
        <w:rPr>
          <w:rFonts w:ascii="Times New Roman" w:hAnsi="Times New Roman" w:cs="Times New Roman"/>
          <w:lang w:val="en-US"/>
        </w:rPr>
        <w:t>FT</w:t>
      </w:r>
      <w:r w:rsidRPr="00F53FC6">
        <w:rPr>
          <w:rFonts w:ascii="Times New Roman" w:hAnsi="Times New Roman" w:cs="Times New Roman"/>
          <w:lang w:val="en-US"/>
        </w:rPr>
        <w:t xml:space="preserve">” is the </w:t>
      </w:r>
      <w:proofErr w:type="spellStart"/>
      <w:r w:rsidRPr="00F53FC6">
        <w:rPr>
          <w:rFonts w:ascii="Times New Roman" w:hAnsi="Times New Roman" w:cs="Times New Roman"/>
          <w:lang w:val="en-US"/>
        </w:rPr>
        <w:t>composit</w:t>
      </w:r>
      <w:proofErr w:type="spellEnd"/>
      <w:r w:rsidRPr="00F53FC6">
        <w:rPr>
          <w:rFonts w:ascii="Times New Roman" w:hAnsi="Times New Roman" w:cs="Times New Roman"/>
          <w:lang w:val="en-US"/>
        </w:rPr>
        <w:t xml:space="preserve"> of </w:t>
      </w:r>
      <w:r w:rsidR="00111554" w:rsidRPr="00F53FC6">
        <w:rPr>
          <w:rFonts w:ascii="Times New Roman" w:hAnsi="Times New Roman" w:cs="Times New Roman"/>
          <w:lang w:val="en-US"/>
        </w:rPr>
        <w:t>f</w:t>
      </w:r>
      <w:r w:rsidR="00542AC6" w:rsidRPr="00F53FC6">
        <w:rPr>
          <w:rFonts w:ascii="Times New Roman" w:hAnsi="Times New Roman" w:cs="Times New Roman"/>
          <w:lang w:val="en-US"/>
        </w:rPr>
        <w:t xml:space="preserve">inancial </w:t>
      </w:r>
      <w:r w:rsidR="00111554" w:rsidRPr="00F53FC6">
        <w:rPr>
          <w:rFonts w:ascii="Times New Roman" w:hAnsi="Times New Roman" w:cs="Times New Roman"/>
          <w:lang w:val="en-US"/>
        </w:rPr>
        <w:t>t</w:t>
      </w:r>
      <w:r w:rsidR="00542AC6" w:rsidRPr="00F53FC6">
        <w:rPr>
          <w:rFonts w:ascii="Times New Roman" w:hAnsi="Times New Roman" w:cs="Times New Roman"/>
          <w:lang w:val="en-US"/>
        </w:rPr>
        <w:t xml:space="preserve">ransparency </w:t>
      </w:r>
      <w:r w:rsidRPr="00F53FC6">
        <w:rPr>
          <w:rFonts w:ascii="Times New Roman" w:hAnsi="Times New Roman" w:cs="Times New Roman"/>
          <w:lang w:val="en-US"/>
        </w:rPr>
        <w:t xml:space="preserve">(measured by </w:t>
      </w:r>
      <w:r w:rsidR="00111554" w:rsidRPr="00F53FC6">
        <w:rPr>
          <w:rFonts w:ascii="Times New Roman" w:hAnsi="Times New Roman" w:cs="Times New Roman"/>
          <w:lang w:val="en-US"/>
        </w:rPr>
        <w:t>f</w:t>
      </w:r>
      <w:r w:rsidR="00542AC6" w:rsidRPr="00F53FC6">
        <w:rPr>
          <w:rFonts w:ascii="Times New Roman" w:hAnsi="Times New Roman" w:cs="Times New Roman"/>
          <w:lang w:val="en-US"/>
        </w:rPr>
        <w:t xml:space="preserve">inancial </w:t>
      </w:r>
      <w:r w:rsidR="00111554" w:rsidRPr="00F53FC6">
        <w:rPr>
          <w:rFonts w:ascii="Times New Roman" w:hAnsi="Times New Roman" w:cs="Times New Roman"/>
          <w:lang w:val="en-US"/>
        </w:rPr>
        <w:t>t</w:t>
      </w:r>
      <w:r w:rsidR="00542AC6" w:rsidRPr="00F53FC6">
        <w:rPr>
          <w:rFonts w:ascii="Times New Roman" w:hAnsi="Times New Roman" w:cs="Times New Roman"/>
          <w:lang w:val="en-US"/>
        </w:rPr>
        <w:t xml:space="preserve">ransparency </w:t>
      </w:r>
      <w:r w:rsidR="00111554" w:rsidRPr="00F53FC6">
        <w:rPr>
          <w:rFonts w:ascii="Times New Roman" w:hAnsi="Times New Roman" w:cs="Times New Roman"/>
          <w:lang w:val="en-US"/>
        </w:rPr>
        <w:t>i</w:t>
      </w:r>
      <w:r w:rsidRPr="00F53FC6">
        <w:rPr>
          <w:rFonts w:ascii="Times New Roman" w:hAnsi="Times New Roman" w:cs="Times New Roman"/>
          <w:lang w:val="en-US"/>
        </w:rPr>
        <w:t xml:space="preserve">ndex – </w:t>
      </w:r>
      <w:r w:rsidR="00542AC6" w:rsidRPr="00F53FC6">
        <w:rPr>
          <w:rFonts w:ascii="Times New Roman" w:hAnsi="Times New Roman" w:cs="Times New Roman"/>
          <w:lang w:val="en-US"/>
        </w:rPr>
        <w:t>FT</w:t>
      </w:r>
      <w:r w:rsidRPr="00F53FC6">
        <w:rPr>
          <w:rFonts w:ascii="Times New Roman" w:hAnsi="Times New Roman" w:cs="Times New Roman"/>
          <w:lang w:val="en-US"/>
        </w:rPr>
        <w:t>I), “ε” is a random error term, “</w:t>
      </w:r>
      <w:proofErr w:type="spellStart"/>
      <w:r w:rsidRPr="00F53FC6">
        <w:rPr>
          <w:rFonts w:ascii="Times New Roman" w:hAnsi="Times New Roman" w:cs="Times New Roman"/>
          <w:lang w:val="en-US"/>
        </w:rPr>
        <w:t>i</w:t>
      </w:r>
      <w:proofErr w:type="spellEnd"/>
      <w:r w:rsidRPr="00F53FC6">
        <w:rPr>
          <w:rFonts w:ascii="Times New Roman" w:hAnsi="Times New Roman" w:cs="Times New Roman"/>
          <w:lang w:val="en-US"/>
        </w:rPr>
        <w:t>” is a number of SMEs used in the sample and “t” is the duration of the research.</w:t>
      </w:r>
      <w:r w:rsidR="00AE7784">
        <w:rPr>
          <w:rFonts w:ascii="Times New Roman" w:hAnsi="Times New Roman" w:cs="Times New Roman"/>
          <w:lang w:val="en-US"/>
        </w:rPr>
        <w:t xml:space="preserve"> </w:t>
      </w:r>
      <w:r w:rsidRPr="00F53FC6">
        <w:rPr>
          <w:rFonts w:ascii="Times New Roman" w:hAnsi="Times New Roman" w:cs="Times New Roman"/>
          <w:lang w:val="en-US"/>
        </w:rPr>
        <w:t xml:space="preserve">The research purpose is to see if there is a significant relationship between the creation of value as captured by </w:t>
      </w:r>
      <w:r w:rsidR="00DD6BA4" w:rsidRPr="00F53FC6">
        <w:rPr>
          <w:rFonts w:ascii="Times New Roman" w:hAnsi="Times New Roman" w:cs="Times New Roman"/>
          <w:lang w:val="en-US"/>
        </w:rPr>
        <w:t>ICR</w:t>
      </w:r>
      <w:r w:rsidRPr="00F53FC6">
        <w:rPr>
          <w:rFonts w:ascii="Times New Roman" w:hAnsi="Times New Roman" w:cs="Times New Roman"/>
          <w:lang w:val="en-US"/>
        </w:rPr>
        <w:t xml:space="preserve"> and Tobin</w:t>
      </w:r>
      <w:r w:rsidR="00306CEC" w:rsidRPr="00F53FC6">
        <w:rPr>
          <w:rFonts w:ascii="Times New Roman" w:hAnsi="Times New Roman" w:cs="Times New Roman"/>
          <w:lang w:val="en-US"/>
        </w:rPr>
        <w:t xml:space="preserve"> </w:t>
      </w:r>
      <w:r w:rsidRPr="00F53FC6">
        <w:rPr>
          <w:rFonts w:ascii="Times New Roman" w:hAnsi="Times New Roman" w:cs="Times New Roman"/>
          <w:lang w:val="en-US"/>
        </w:rPr>
        <w:t xml:space="preserve">Q and </w:t>
      </w:r>
      <w:r w:rsidR="00111554" w:rsidRPr="00F53FC6">
        <w:rPr>
          <w:rFonts w:ascii="Times New Roman" w:hAnsi="Times New Roman" w:cs="Times New Roman"/>
          <w:lang w:val="en-US"/>
        </w:rPr>
        <w:t>f</w:t>
      </w:r>
      <w:r w:rsidR="00542AC6" w:rsidRPr="00F53FC6">
        <w:rPr>
          <w:rFonts w:ascii="Times New Roman" w:hAnsi="Times New Roman" w:cs="Times New Roman"/>
          <w:lang w:val="en-US"/>
        </w:rPr>
        <w:t xml:space="preserve">inancial </w:t>
      </w:r>
      <w:r w:rsidR="00111554" w:rsidRPr="00F53FC6">
        <w:rPr>
          <w:rFonts w:ascii="Times New Roman" w:hAnsi="Times New Roman" w:cs="Times New Roman"/>
          <w:lang w:val="en-US"/>
        </w:rPr>
        <w:t>t</w:t>
      </w:r>
      <w:r w:rsidR="00542AC6" w:rsidRPr="00F53FC6">
        <w:rPr>
          <w:rFonts w:ascii="Times New Roman" w:hAnsi="Times New Roman" w:cs="Times New Roman"/>
          <w:lang w:val="en-US"/>
        </w:rPr>
        <w:t>ransparency attributes</w:t>
      </w:r>
      <w:r w:rsidRPr="00F53FC6">
        <w:rPr>
          <w:rFonts w:ascii="Times New Roman" w:hAnsi="Times New Roman" w:cs="Times New Roman"/>
          <w:lang w:val="en-US"/>
        </w:rPr>
        <w:t xml:space="preserve"> (</w:t>
      </w:r>
      <w:r w:rsidR="00542AC6" w:rsidRPr="00F53FC6">
        <w:rPr>
          <w:rFonts w:ascii="Times New Roman" w:hAnsi="Times New Roman" w:cs="Times New Roman"/>
          <w:lang w:val="en-US"/>
        </w:rPr>
        <w:t xml:space="preserve">planning system, high quality standard, management control system, auditor, and </w:t>
      </w:r>
      <w:r w:rsidR="00E81180" w:rsidRPr="00F53FC6">
        <w:rPr>
          <w:rFonts w:ascii="Times New Roman" w:hAnsi="Times New Roman" w:cs="Times New Roman"/>
          <w:lang w:val="en-US"/>
        </w:rPr>
        <w:t>CFO</w:t>
      </w:r>
      <w:r w:rsidRPr="00F53FC6">
        <w:rPr>
          <w:rFonts w:ascii="Times New Roman" w:hAnsi="Times New Roman" w:cs="Times New Roman"/>
          <w:lang w:val="en-US"/>
        </w:rPr>
        <w:t xml:space="preserve">). </w:t>
      </w:r>
    </w:p>
    <w:p w14:paraId="659D3417" w14:textId="4B8D2577" w:rsidR="00306CEC" w:rsidRPr="00F53FC6" w:rsidRDefault="003F6AC5" w:rsidP="003F6AC5">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lang w:val="en-US"/>
        </w:rPr>
        <w:t xml:space="preserve">The objective is twofold: first, to assess the impact of the level of </w:t>
      </w:r>
      <w:r w:rsidR="00111554" w:rsidRPr="00F53FC6">
        <w:rPr>
          <w:rFonts w:ascii="Times New Roman" w:hAnsi="Times New Roman" w:cs="Times New Roman"/>
          <w:lang w:val="en-US"/>
        </w:rPr>
        <w:t>f</w:t>
      </w:r>
      <w:r w:rsidR="00542AC6" w:rsidRPr="00F53FC6">
        <w:rPr>
          <w:rFonts w:ascii="Times New Roman" w:hAnsi="Times New Roman" w:cs="Times New Roman"/>
          <w:lang w:val="en-US"/>
        </w:rPr>
        <w:t xml:space="preserve">inancial </w:t>
      </w:r>
      <w:r w:rsidR="00111554" w:rsidRPr="00F53FC6">
        <w:rPr>
          <w:rFonts w:ascii="Times New Roman" w:hAnsi="Times New Roman" w:cs="Times New Roman"/>
          <w:lang w:val="en-US"/>
        </w:rPr>
        <w:t>t</w:t>
      </w:r>
      <w:r w:rsidR="00542AC6" w:rsidRPr="00F53FC6">
        <w:rPr>
          <w:rFonts w:ascii="Times New Roman" w:hAnsi="Times New Roman" w:cs="Times New Roman"/>
          <w:lang w:val="en-US"/>
        </w:rPr>
        <w:t>ransparency</w:t>
      </w:r>
      <w:r w:rsidR="00BF5B8B" w:rsidRPr="00F53FC6">
        <w:rPr>
          <w:rFonts w:ascii="Times New Roman" w:hAnsi="Times New Roman" w:cs="Times New Roman"/>
          <w:lang w:val="en-US"/>
        </w:rPr>
        <w:t xml:space="preserve"> </w:t>
      </w:r>
      <w:r w:rsidRPr="00F53FC6">
        <w:rPr>
          <w:rFonts w:ascii="Times New Roman" w:hAnsi="Times New Roman" w:cs="Times New Roman"/>
          <w:lang w:val="en-US"/>
        </w:rPr>
        <w:t xml:space="preserve">on the ability of the </w:t>
      </w:r>
      <w:r w:rsidR="00BF5B8B" w:rsidRPr="00F53FC6">
        <w:rPr>
          <w:rFonts w:ascii="Times New Roman" w:hAnsi="Times New Roman" w:cs="Times New Roman"/>
          <w:lang w:val="en-US"/>
        </w:rPr>
        <w:t>SME</w:t>
      </w:r>
      <w:r w:rsidRPr="00F53FC6">
        <w:rPr>
          <w:rFonts w:ascii="Times New Roman" w:hAnsi="Times New Roman" w:cs="Times New Roman"/>
          <w:lang w:val="en-US"/>
        </w:rPr>
        <w:t xml:space="preserve"> to create value; second, to understand if the relationship is linear. </w:t>
      </w:r>
    </w:p>
    <w:p w14:paraId="3308D0A9" w14:textId="2ED71FB8" w:rsidR="003F6AC5" w:rsidRPr="00F53FC6" w:rsidRDefault="003F6AC5" w:rsidP="003F6AC5">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lang w:val="en-US"/>
        </w:rPr>
        <w:t xml:space="preserve">The </w:t>
      </w:r>
      <w:r w:rsidR="00613AAC" w:rsidRPr="00F53FC6">
        <w:rPr>
          <w:rFonts w:ascii="Times New Roman" w:hAnsi="Times New Roman" w:cs="Times New Roman"/>
          <w:lang w:val="en-US"/>
        </w:rPr>
        <w:t>null</w:t>
      </w:r>
      <w:r w:rsidRPr="00F53FC6">
        <w:rPr>
          <w:rFonts w:ascii="Times New Roman" w:hAnsi="Times New Roman" w:cs="Times New Roman"/>
          <w:lang w:val="en-US"/>
        </w:rPr>
        <w:t xml:space="preserve"> hypothes</w:t>
      </w:r>
      <w:r w:rsidR="00613AAC" w:rsidRPr="00F53FC6">
        <w:rPr>
          <w:rFonts w:ascii="Times New Roman" w:hAnsi="Times New Roman" w:cs="Times New Roman"/>
          <w:lang w:val="en-US"/>
        </w:rPr>
        <w:t xml:space="preserve">es of the study </w:t>
      </w:r>
      <w:r w:rsidR="00111554" w:rsidRPr="00F53FC6">
        <w:rPr>
          <w:rFonts w:ascii="Times New Roman" w:hAnsi="Times New Roman" w:cs="Times New Roman"/>
          <w:lang w:val="en-US"/>
        </w:rPr>
        <w:t xml:space="preserve">are </w:t>
      </w:r>
      <w:r w:rsidRPr="00F53FC6">
        <w:rPr>
          <w:rFonts w:ascii="Times New Roman" w:hAnsi="Times New Roman" w:cs="Times New Roman"/>
          <w:lang w:val="en-US"/>
        </w:rPr>
        <w:t xml:space="preserve">proposed as follows: </w:t>
      </w:r>
    </w:p>
    <w:p w14:paraId="4D84600D" w14:textId="226EB566" w:rsidR="003F6AC5" w:rsidRPr="00F53FC6" w:rsidRDefault="003F6AC5" w:rsidP="00BF5B8B">
      <w:pPr>
        <w:spacing w:after="0" w:line="360" w:lineRule="auto"/>
        <w:contextualSpacing/>
        <w:mirrorIndents/>
        <w:jc w:val="both"/>
        <w:rPr>
          <w:rFonts w:ascii="Times New Roman" w:hAnsi="Times New Roman" w:cs="Times New Roman"/>
          <w:i/>
          <w:iCs/>
          <w:lang w:val="en-US"/>
        </w:rPr>
      </w:pPr>
      <w:r w:rsidRPr="00F53FC6">
        <w:rPr>
          <w:rFonts w:ascii="Times New Roman" w:hAnsi="Times New Roman" w:cs="Times New Roman"/>
          <w:i/>
          <w:iCs/>
          <w:lang w:val="en-US"/>
        </w:rPr>
        <w:t>RH</w:t>
      </w:r>
      <w:r w:rsidR="00BF5B8B" w:rsidRPr="00F53FC6">
        <w:rPr>
          <w:rFonts w:ascii="Times New Roman" w:hAnsi="Times New Roman" w:cs="Times New Roman"/>
          <w:i/>
          <w:iCs/>
          <w:vertAlign w:val="subscript"/>
          <w:lang w:val="en-US"/>
        </w:rPr>
        <w:t>1</w:t>
      </w:r>
      <w:r w:rsidRPr="00F53FC6">
        <w:rPr>
          <w:rFonts w:ascii="Times New Roman" w:hAnsi="Times New Roman" w:cs="Times New Roman"/>
          <w:i/>
          <w:iCs/>
          <w:lang w:val="en-US"/>
        </w:rPr>
        <w:t xml:space="preserve"> </w:t>
      </w:r>
      <w:r w:rsidR="00BF5B8B" w:rsidRPr="00F53FC6">
        <w:rPr>
          <w:rFonts w:ascii="Times New Roman" w:hAnsi="Times New Roman" w:cs="Times New Roman"/>
          <w:i/>
          <w:iCs/>
          <w:lang w:val="en-US"/>
        </w:rPr>
        <w:t xml:space="preserve">- There is no significant relationship between </w:t>
      </w:r>
      <w:bookmarkStart w:id="13" w:name="_Hlk23001985"/>
      <w:r w:rsidR="0088688C" w:rsidRPr="00F53FC6">
        <w:rPr>
          <w:rFonts w:ascii="Times New Roman" w:hAnsi="Times New Roman" w:cs="Times New Roman"/>
          <w:i/>
          <w:iCs/>
          <w:lang w:val="en-US"/>
        </w:rPr>
        <w:t>f</w:t>
      </w:r>
      <w:r w:rsidR="004A7A43" w:rsidRPr="00F53FC6">
        <w:rPr>
          <w:rFonts w:ascii="Times New Roman" w:hAnsi="Times New Roman" w:cs="Times New Roman"/>
          <w:i/>
          <w:iCs/>
          <w:lang w:val="en-US"/>
        </w:rPr>
        <w:t xml:space="preserve">inancial </w:t>
      </w:r>
      <w:r w:rsidR="0088688C" w:rsidRPr="00F53FC6">
        <w:rPr>
          <w:rFonts w:ascii="Times New Roman" w:hAnsi="Times New Roman" w:cs="Times New Roman"/>
          <w:i/>
          <w:iCs/>
          <w:lang w:val="en-US"/>
        </w:rPr>
        <w:t>t</w:t>
      </w:r>
      <w:r w:rsidR="004A7A43" w:rsidRPr="00F53FC6">
        <w:rPr>
          <w:rFonts w:ascii="Times New Roman" w:hAnsi="Times New Roman" w:cs="Times New Roman"/>
          <w:i/>
          <w:iCs/>
          <w:lang w:val="en-US"/>
        </w:rPr>
        <w:t xml:space="preserve">ransparency </w:t>
      </w:r>
      <w:bookmarkEnd w:id="13"/>
      <w:r w:rsidR="00BF5B8B" w:rsidRPr="00F53FC6">
        <w:rPr>
          <w:rFonts w:ascii="Times New Roman" w:hAnsi="Times New Roman" w:cs="Times New Roman"/>
          <w:i/>
          <w:iCs/>
          <w:lang w:val="en-US"/>
        </w:rPr>
        <w:t xml:space="preserve">and </w:t>
      </w:r>
      <w:r w:rsidR="0088688C" w:rsidRPr="00F53FC6">
        <w:rPr>
          <w:rFonts w:ascii="Times New Roman" w:hAnsi="Times New Roman" w:cs="Times New Roman"/>
          <w:i/>
          <w:iCs/>
          <w:lang w:val="en-US"/>
        </w:rPr>
        <w:t>i</w:t>
      </w:r>
      <w:r w:rsidR="004A7A43" w:rsidRPr="00F53FC6">
        <w:rPr>
          <w:rFonts w:ascii="Times New Roman" w:hAnsi="Times New Roman" w:cs="Times New Roman"/>
          <w:i/>
          <w:iCs/>
          <w:lang w:val="en-US"/>
        </w:rPr>
        <w:t xml:space="preserve">nterest </w:t>
      </w:r>
      <w:r w:rsidR="0088688C" w:rsidRPr="00F53FC6">
        <w:rPr>
          <w:rFonts w:ascii="Times New Roman" w:hAnsi="Times New Roman" w:cs="Times New Roman"/>
          <w:i/>
          <w:iCs/>
          <w:lang w:val="en-US"/>
        </w:rPr>
        <w:t>c</w:t>
      </w:r>
      <w:r w:rsidR="004A7A43" w:rsidRPr="00F53FC6">
        <w:rPr>
          <w:rFonts w:ascii="Times New Roman" w:hAnsi="Times New Roman" w:cs="Times New Roman"/>
          <w:i/>
          <w:iCs/>
          <w:lang w:val="en-US"/>
        </w:rPr>
        <w:t xml:space="preserve">overage </w:t>
      </w:r>
      <w:r w:rsidR="0088688C" w:rsidRPr="00F53FC6">
        <w:rPr>
          <w:rFonts w:ascii="Times New Roman" w:hAnsi="Times New Roman" w:cs="Times New Roman"/>
          <w:i/>
          <w:iCs/>
          <w:lang w:val="en-US"/>
        </w:rPr>
        <w:t>r</w:t>
      </w:r>
      <w:r w:rsidR="004A7A43" w:rsidRPr="00F53FC6">
        <w:rPr>
          <w:rFonts w:ascii="Times New Roman" w:hAnsi="Times New Roman" w:cs="Times New Roman"/>
          <w:i/>
          <w:iCs/>
          <w:lang w:val="en-US"/>
        </w:rPr>
        <w:t>atio</w:t>
      </w:r>
      <w:r w:rsidR="00BF5B8B" w:rsidRPr="00F53FC6">
        <w:rPr>
          <w:rFonts w:ascii="Times New Roman" w:hAnsi="Times New Roman" w:cs="Times New Roman"/>
          <w:i/>
          <w:iCs/>
          <w:lang w:val="en-US"/>
        </w:rPr>
        <w:t xml:space="preserve"> for AIM Italia listed SMEs.</w:t>
      </w:r>
    </w:p>
    <w:p w14:paraId="75D64CD6" w14:textId="5C5A1B42" w:rsidR="00BF5B8B" w:rsidRPr="00F53FC6" w:rsidRDefault="00BF5B8B" w:rsidP="00BF5B8B">
      <w:pPr>
        <w:spacing w:after="0" w:line="360" w:lineRule="auto"/>
        <w:contextualSpacing/>
        <w:mirrorIndents/>
        <w:jc w:val="both"/>
        <w:rPr>
          <w:rFonts w:ascii="Times New Roman" w:hAnsi="Times New Roman" w:cs="Times New Roman"/>
          <w:i/>
          <w:iCs/>
          <w:lang w:val="en-US"/>
        </w:rPr>
      </w:pPr>
      <w:r w:rsidRPr="00F53FC6">
        <w:rPr>
          <w:rFonts w:ascii="Times New Roman" w:hAnsi="Times New Roman" w:cs="Times New Roman"/>
          <w:i/>
          <w:iCs/>
          <w:lang w:val="en-US"/>
        </w:rPr>
        <w:t>RH</w:t>
      </w:r>
      <w:r w:rsidRPr="00F53FC6">
        <w:rPr>
          <w:rFonts w:ascii="Times New Roman" w:hAnsi="Times New Roman" w:cs="Times New Roman"/>
          <w:i/>
          <w:iCs/>
          <w:vertAlign w:val="subscript"/>
          <w:lang w:val="en-US"/>
        </w:rPr>
        <w:t>2</w:t>
      </w:r>
      <w:r w:rsidRPr="00F53FC6">
        <w:rPr>
          <w:rFonts w:ascii="Times New Roman" w:hAnsi="Times New Roman" w:cs="Times New Roman"/>
          <w:i/>
          <w:iCs/>
          <w:lang w:val="en-US"/>
        </w:rPr>
        <w:t xml:space="preserve"> - There is no significant relationship between </w:t>
      </w:r>
      <w:r w:rsidR="0088688C" w:rsidRPr="00F53FC6">
        <w:rPr>
          <w:rFonts w:ascii="Times New Roman" w:hAnsi="Times New Roman" w:cs="Times New Roman"/>
          <w:i/>
          <w:iCs/>
          <w:lang w:val="en-US"/>
        </w:rPr>
        <w:t>f</w:t>
      </w:r>
      <w:r w:rsidR="004A7A43" w:rsidRPr="00F53FC6">
        <w:rPr>
          <w:rFonts w:ascii="Times New Roman" w:hAnsi="Times New Roman" w:cs="Times New Roman"/>
          <w:i/>
          <w:iCs/>
          <w:lang w:val="en-US"/>
        </w:rPr>
        <w:t xml:space="preserve">inancial </w:t>
      </w:r>
      <w:r w:rsidR="0088688C" w:rsidRPr="00F53FC6">
        <w:rPr>
          <w:rFonts w:ascii="Times New Roman" w:hAnsi="Times New Roman" w:cs="Times New Roman"/>
          <w:i/>
          <w:iCs/>
          <w:lang w:val="en-US"/>
        </w:rPr>
        <w:t>t</w:t>
      </w:r>
      <w:r w:rsidR="004A7A43" w:rsidRPr="00F53FC6">
        <w:rPr>
          <w:rFonts w:ascii="Times New Roman" w:hAnsi="Times New Roman" w:cs="Times New Roman"/>
          <w:i/>
          <w:iCs/>
          <w:lang w:val="en-US"/>
        </w:rPr>
        <w:t xml:space="preserve">ransparency </w:t>
      </w:r>
      <w:r w:rsidRPr="00F53FC6">
        <w:rPr>
          <w:rFonts w:ascii="Times New Roman" w:hAnsi="Times New Roman" w:cs="Times New Roman"/>
          <w:i/>
          <w:iCs/>
          <w:lang w:val="en-US"/>
        </w:rPr>
        <w:t>and Tobin Q for AIM Italia listed SMEs.</w:t>
      </w:r>
    </w:p>
    <w:p w14:paraId="0ECFB5BF" w14:textId="77777777" w:rsidR="00A76208" w:rsidRPr="00F53FC6" w:rsidRDefault="00A76208" w:rsidP="00A76208">
      <w:pPr>
        <w:spacing w:after="0" w:line="360" w:lineRule="auto"/>
        <w:contextualSpacing/>
        <w:mirrorIndents/>
        <w:jc w:val="both"/>
        <w:rPr>
          <w:rFonts w:ascii="Times New Roman" w:hAnsi="Times New Roman" w:cs="Times New Roman"/>
          <w:lang w:val="en-US"/>
        </w:rPr>
      </w:pPr>
    </w:p>
    <w:p w14:paraId="517C1031" w14:textId="342E0907" w:rsidR="00A76208" w:rsidRPr="00F53FC6" w:rsidRDefault="00F62FCD" w:rsidP="00A76208">
      <w:pPr>
        <w:pStyle w:val="Paragrafoelenco"/>
        <w:numPr>
          <w:ilvl w:val="0"/>
          <w:numId w:val="7"/>
        </w:numPr>
        <w:spacing w:after="0" w:line="360" w:lineRule="auto"/>
        <w:mirrorIndents/>
        <w:jc w:val="both"/>
        <w:rPr>
          <w:rFonts w:ascii="Times New Roman" w:hAnsi="Times New Roman" w:cs="Times New Roman"/>
          <w:b/>
        </w:rPr>
      </w:pPr>
      <w:proofErr w:type="spellStart"/>
      <w:r w:rsidRPr="00F53FC6">
        <w:rPr>
          <w:rFonts w:ascii="Times New Roman" w:hAnsi="Times New Roman" w:cs="Times New Roman"/>
          <w:b/>
        </w:rPr>
        <w:t>Research</w:t>
      </w:r>
      <w:proofErr w:type="spellEnd"/>
      <w:r w:rsidRPr="00F53FC6">
        <w:rPr>
          <w:rFonts w:ascii="Times New Roman" w:hAnsi="Times New Roman" w:cs="Times New Roman"/>
          <w:b/>
        </w:rPr>
        <w:t xml:space="preserve"> </w:t>
      </w:r>
      <w:proofErr w:type="spellStart"/>
      <w:r w:rsidRPr="00F53FC6">
        <w:rPr>
          <w:rFonts w:ascii="Times New Roman" w:hAnsi="Times New Roman" w:cs="Times New Roman"/>
          <w:b/>
        </w:rPr>
        <w:t>Findings</w:t>
      </w:r>
      <w:proofErr w:type="spellEnd"/>
    </w:p>
    <w:p w14:paraId="721E6D09" w14:textId="3425D764" w:rsidR="0081739D" w:rsidRPr="00F53FC6" w:rsidRDefault="00A76208" w:rsidP="0081739D">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lang w:val="en-US"/>
        </w:rPr>
        <w:t xml:space="preserve">The aim of this study is to test the relationships between research variables concerning </w:t>
      </w:r>
      <w:r w:rsidR="00B85F96" w:rsidRPr="00F53FC6">
        <w:rPr>
          <w:rFonts w:ascii="Times New Roman" w:hAnsi="Times New Roman" w:cs="Times New Roman"/>
          <w:lang w:val="en-US"/>
        </w:rPr>
        <w:t>f</w:t>
      </w:r>
      <w:r w:rsidR="009B4EE2" w:rsidRPr="00F53FC6">
        <w:rPr>
          <w:rFonts w:ascii="Times New Roman" w:hAnsi="Times New Roman" w:cs="Times New Roman"/>
          <w:lang w:val="en-US"/>
        </w:rPr>
        <w:t xml:space="preserve">inancial </w:t>
      </w:r>
      <w:r w:rsidR="00B85F96" w:rsidRPr="00F53FC6">
        <w:rPr>
          <w:rFonts w:ascii="Times New Roman" w:hAnsi="Times New Roman" w:cs="Times New Roman"/>
          <w:lang w:val="en-US"/>
        </w:rPr>
        <w:t>t</w:t>
      </w:r>
      <w:r w:rsidR="009B4EE2" w:rsidRPr="00F53FC6">
        <w:rPr>
          <w:rFonts w:ascii="Times New Roman" w:hAnsi="Times New Roman" w:cs="Times New Roman"/>
          <w:lang w:val="en-US"/>
        </w:rPr>
        <w:t>ransparency s</w:t>
      </w:r>
      <w:r w:rsidRPr="00F53FC6">
        <w:rPr>
          <w:rFonts w:ascii="Times New Roman" w:hAnsi="Times New Roman" w:cs="Times New Roman"/>
          <w:lang w:val="en-US"/>
        </w:rPr>
        <w:t xml:space="preserve">ystem and financial performance. </w:t>
      </w:r>
      <w:r w:rsidR="0081739D" w:rsidRPr="00F53FC6">
        <w:rPr>
          <w:rFonts w:ascii="Times New Roman" w:hAnsi="Times New Roman" w:cs="Times New Roman"/>
          <w:lang w:val="en-US"/>
        </w:rPr>
        <w:t xml:space="preserve">Variables of interest are </w:t>
      </w:r>
      <w:r w:rsidR="00DA3467" w:rsidRPr="00F53FC6">
        <w:rPr>
          <w:rFonts w:ascii="Times New Roman" w:hAnsi="Times New Roman" w:cs="Times New Roman"/>
          <w:lang w:val="en-US"/>
        </w:rPr>
        <w:t>planning system</w:t>
      </w:r>
      <w:r w:rsidR="0081739D" w:rsidRPr="00F53FC6">
        <w:rPr>
          <w:rFonts w:ascii="Times New Roman" w:hAnsi="Times New Roman" w:cs="Times New Roman"/>
          <w:lang w:val="en-US"/>
        </w:rPr>
        <w:t xml:space="preserve">, </w:t>
      </w:r>
      <w:r w:rsidR="00DA3467" w:rsidRPr="00F53FC6">
        <w:rPr>
          <w:rFonts w:ascii="Times New Roman" w:hAnsi="Times New Roman" w:cs="Times New Roman"/>
          <w:lang w:val="en-US"/>
        </w:rPr>
        <w:t>quality standard</w:t>
      </w:r>
      <w:r w:rsidR="0081739D" w:rsidRPr="00F53FC6">
        <w:rPr>
          <w:rFonts w:ascii="Times New Roman" w:hAnsi="Times New Roman" w:cs="Times New Roman"/>
          <w:lang w:val="en-US"/>
        </w:rPr>
        <w:t xml:space="preserve">, </w:t>
      </w:r>
      <w:r w:rsidR="00DA3467" w:rsidRPr="00F53FC6">
        <w:rPr>
          <w:rFonts w:ascii="Times New Roman" w:hAnsi="Times New Roman" w:cs="Times New Roman"/>
          <w:lang w:val="en-US"/>
        </w:rPr>
        <w:t>management control system</w:t>
      </w:r>
      <w:r w:rsidR="0081739D" w:rsidRPr="00F53FC6">
        <w:rPr>
          <w:rFonts w:ascii="Times New Roman" w:hAnsi="Times New Roman" w:cs="Times New Roman"/>
          <w:lang w:val="en-US"/>
        </w:rPr>
        <w:t xml:space="preserve">, </w:t>
      </w:r>
      <w:r w:rsidR="00DA3467" w:rsidRPr="00F53FC6">
        <w:rPr>
          <w:rFonts w:ascii="Times New Roman" w:hAnsi="Times New Roman" w:cs="Times New Roman"/>
          <w:lang w:val="en-US"/>
        </w:rPr>
        <w:t>auditor</w:t>
      </w:r>
      <w:r w:rsidR="0081739D" w:rsidRPr="00F53FC6">
        <w:rPr>
          <w:rFonts w:ascii="Times New Roman" w:hAnsi="Times New Roman" w:cs="Times New Roman"/>
          <w:lang w:val="en-US"/>
        </w:rPr>
        <w:t>, and</w:t>
      </w:r>
      <w:r w:rsidR="00DA3467" w:rsidRPr="00F53FC6">
        <w:rPr>
          <w:rFonts w:ascii="Times New Roman" w:hAnsi="Times New Roman" w:cs="Times New Roman"/>
          <w:lang w:val="en-US"/>
        </w:rPr>
        <w:t xml:space="preserve"> CFO</w:t>
      </w:r>
      <w:r w:rsidR="0081739D" w:rsidRPr="00F53FC6">
        <w:rPr>
          <w:rFonts w:ascii="Times New Roman" w:hAnsi="Times New Roman" w:cs="Times New Roman"/>
          <w:lang w:val="en-US"/>
        </w:rPr>
        <w:t>.</w:t>
      </w:r>
    </w:p>
    <w:p w14:paraId="0D55128C" w14:textId="4AC7CB2B" w:rsidR="00626C1B" w:rsidRPr="00F53FC6" w:rsidRDefault="00626C1B" w:rsidP="00A76208">
      <w:pPr>
        <w:spacing w:after="0" w:line="360" w:lineRule="auto"/>
        <w:contextualSpacing/>
        <w:mirrorIndents/>
        <w:jc w:val="both"/>
        <w:rPr>
          <w:rFonts w:ascii="Times New Roman" w:hAnsi="Times New Roman" w:cs="Times New Roman"/>
          <w:lang w:val="en-US"/>
        </w:rPr>
      </w:pPr>
    </w:p>
    <w:p w14:paraId="6DCA1A0B" w14:textId="724B28E8" w:rsidR="004936DB" w:rsidRPr="00F53FC6" w:rsidRDefault="004936DB" w:rsidP="00072EDA">
      <w:pPr>
        <w:spacing w:after="0" w:line="360" w:lineRule="auto"/>
        <w:contextualSpacing/>
        <w:mirrorIndents/>
        <w:jc w:val="both"/>
        <w:rPr>
          <w:rFonts w:ascii="Times New Roman" w:hAnsi="Times New Roman" w:cs="Times New Roman"/>
          <w:sz w:val="20"/>
          <w:szCs w:val="20"/>
          <w:lang w:val="en-US"/>
        </w:rPr>
      </w:pPr>
      <w:r w:rsidRPr="00F53FC6">
        <w:rPr>
          <w:rFonts w:ascii="Times New Roman" w:hAnsi="Times New Roman" w:cs="Times New Roman"/>
          <w:b/>
          <w:bCs/>
          <w:sz w:val="20"/>
          <w:szCs w:val="20"/>
          <w:lang w:val="en-US"/>
        </w:rPr>
        <w:t>Table. 1</w:t>
      </w:r>
      <w:r w:rsidRPr="00F53FC6">
        <w:rPr>
          <w:rFonts w:ascii="Times New Roman" w:hAnsi="Times New Roman" w:cs="Times New Roman"/>
          <w:sz w:val="20"/>
          <w:szCs w:val="20"/>
          <w:lang w:val="en-US"/>
        </w:rPr>
        <w:t xml:space="preserve">. </w:t>
      </w:r>
      <w:r w:rsidR="009B1A46" w:rsidRPr="00F53FC6">
        <w:rPr>
          <w:rFonts w:ascii="Times New Roman" w:hAnsi="Times New Roman" w:cs="Times New Roman"/>
          <w:sz w:val="20"/>
          <w:szCs w:val="20"/>
          <w:lang w:val="en-US"/>
        </w:rPr>
        <w:t xml:space="preserve">Financial </w:t>
      </w:r>
      <w:r w:rsidR="00BA6E3D" w:rsidRPr="00F53FC6">
        <w:rPr>
          <w:rFonts w:ascii="Times New Roman" w:hAnsi="Times New Roman" w:cs="Times New Roman"/>
          <w:sz w:val="20"/>
          <w:szCs w:val="20"/>
          <w:lang w:val="en-US"/>
        </w:rPr>
        <w:t>t</w:t>
      </w:r>
      <w:r w:rsidR="009B1A46" w:rsidRPr="00F53FC6">
        <w:rPr>
          <w:rFonts w:ascii="Times New Roman" w:hAnsi="Times New Roman" w:cs="Times New Roman"/>
          <w:sz w:val="20"/>
          <w:szCs w:val="20"/>
          <w:lang w:val="en-US"/>
        </w:rPr>
        <w:t xml:space="preserve">ransparency </w:t>
      </w:r>
      <w:r w:rsidR="00072EDA" w:rsidRPr="00F53FC6">
        <w:rPr>
          <w:rFonts w:ascii="Times New Roman" w:hAnsi="Times New Roman" w:cs="Times New Roman"/>
          <w:sz w:val="20"/>
          <w:szCs w:val="20"/>
          <w:lang w:val="en-US"/>
        </w:rPr>
        <w:t xml:space="preserve">- Average scores of </w:t>
      </w:r>
      <w:r w:rsidR="009B1A46" w:rsidRPr="00F53FC6">
        <w:rPr>
          <w:rFonts w:ascii="Times New Roman" w:hAnsi="Times New Roman" w:cs="Times New Roman"/>
          <w:sz w:val="20"/>
          <w:szCs w:val="20"/>
          <w:lang w:val="en-US"/>
        </w:rPr>
        <w:t xml:space="preserve">planning system, high quality standard, management control system, auditor, and </w:t>
      </w:r>
      <w:r w:rsidR="00E81180" w:rsidRPr="00F53FC6">
        <w:rPr>
          <w:rFonts w:ascii="Times New Roman" w:hAnsi="Times New Roman" w:cs="Times New Roman"/>
          <w:sz w:val="20"/>
          <w:szCs w:val="20"/>
          <w:lang w:val="en-US"/>
        </w:rPr>
        <w:t>CFO</w:t>
      </w:r>
    </w:p>
    <w:tbl>
      <w:tblPr>
        <w:tblW w:w="5000" w:type="pct"/>
        <w:tblLook w:val="04A0" w:firstRow="1" w:lastRow="0" w:firstColumn="1" w:lastColumn="0" w:noHBand="0" w:noVBand="1"/>
      </w:tblPr>
      <w:tblGrid>
        <w:gridCol w:w="1952"/>
        <w:gridCol w:w="709"/>
        <w:gridCol w:w="991"/>
        <w:gridCol w:w="1443"/>
        <w:gridCol w:w="1110"/>
        <w:gridCol w:w="1257"/>
        <w:gridCol w:w="1068"/>
        <w:gridCol w:w="1324"/>
      </w:tblGrid>
      <w:tr w:rsidR="005C7A05" w:rsidRPr="00F53FC6" w14:paraId="71E9CFB7" w14:textId="77777777" w:rsidTr="00F44296">
        <w:trPr>
          <w:trHeight w:val="20"/>
        </w:trPr>
        <w:tc>
          <w:tcPr>
            <w:tcW w:w="990" w:type="pct"/>
            <w:tcBorders>
              <w:top w:val="single" w:sz="24" w:space="0" w:color="auto"/>
              <w:bottom w:val="single" w:sz="12" w:space="0" w:color="auto"/>
            </w:tcBorders>
            <w:shd w:val="clear" w:color="auto" w:fill="auto"/>
            <w:vAlign w:val="center"/>
            <w:hideMark/>
          </w:tcPr>
          <w:p w14:paraId="2E3049D6" w14:textId="77777777" w:rsidR="005C7A05" w:rsidRPr="00F53FC6" w:rsidRDefault="005C7A05" w:rsidP="00665379">
            <w:pPr>
              <w:jc w:val="center"/>
              <w:rPr>
                <w:rFonts w:ascii="Times New Roman" w:eastAsia="Batang" w:hAnsi="Times New Roman" w:cs="Times New Roman"/>
                <w:b/>
                <w:bCs/>
                <w:sz w:val="20"/>
                <w:szCs w:val="20"/>
                <w:lang w:val="en-US" w:eastAsia="ko-KR"/>
              </w:rPr>
            </w:pPr>
            <w:r w:rsidRPr="00F53FC6">
              <w:rPr>
                <w:rFonts w:ascii="Times New Roman" w:eastAsia="Batang" w:hAnsi="Times New Roman" w:cs="Times New Roman"/>
                <w:b/>
                <w:bCs/>
                <w:sz w:val="20"/>
                <w:szCs w:val="20"/>
                <w:lang w:val="en-US" w:eastAsia="ko-KR"/>
              </w:rPr>
              <w:t>Variable</w:t>
            </w:r>
          </w:p>
        </w:tc>
        <w:tc>
          <w:tcPr>
            <w:tcW w:w="360" w:type="pct"/>
            <w:tcBorders>
              <w:top w:val="single" w:sz="24" w:space="0" w:color="auto"/>
              <w:bottom w:val="single" w:sz="12" w:space="0" w:color="auto"/>
            </w:tcBorders>
            <w:shd w:val="clear" w:color="auto" w:fill="auto"/>
            <w:vAlign w:val="center"/>
            <w:hideMark/>
          </w:tcPr>
          <w:p w14:paraId="0D8D5C6E" w14:textId="677FDF9F" w:rsidR="005C7A05" w:rsidRPr="00F53FC6" w:rsidRDefault="005C7A05" w:rsidP="00665379">
            <w:pPr>
              <w:jc w:val="center"/>
              <w:rPr>
                <w:rFonts w:ascii="Times New Roman" w:eastAsia="Batang" w:hAnsi="Times New Roman" w:cs="Times New Roman"/>
                <w:b/>
                <w:bCs/>
                <w:sz w:val="20"/>
                <w:szCs w:val="20"/>
                <w:lang w:val="en-US" w:eastAsia="ko-KR"/>
              </w:rPr>
            </w:pPr>
            <w:r w:rsidRPr="00F53FC6">
              <w:rPr>
                <w:rFonts w:ascii="Times New Roman" w:eastAsia="Batang" w:hAnsi="Times New Roman" w:cs="Times New Roman"/>
                <w:b/>
                <w:bCs/>
                <w:sz w:val="20"/>
                <w:szCs w:val="20"/>
                <w:lang w:val="en-US" w:eastAsia="ko-KR"/>
              </w:rPr>
              <w:t>N.</w:t>
            </w:r>
          </w:p>
        </w:tc>
        <w:tc>
          <w:tcPr>
            <w:tcW w:w="503" w:type="pct"/>
            <w:tcBorders>
              <w:top w:val="single" w:sz="24" w:space="0" w:color="auto"/>
              <w:bottom w:val="single" w:sz="12" w:space="0" w:color="auto"/>
            </w:tcBorders>
            <w:shd w:val="clear" w:color="auto" w:fill="auto"/>
            <w:vAlign w:val="center"/>
            <w:hideMark/>
          </w:tcPr>
          <w:p w14:paraId="031F9898" w14:textId="5372C684" w:rsidR="005C7A05" w:rsidRPr="00F53FC6" w:rsidRDefault="005C7A05" w:rsidP="00665379">
            <w:pPr>
              <w:jc w:val="center"/>
              <w:rPr>
                <w:rFonts w:ascii="Times New Roman" w:eastAsia="Batang" w:hAnsi="Times New Roman" w:cs="Times New Roman"/>
                <w:b/>
                <w:bCs/>
                <w:sz w:val="20"/>
                <w:szCs w:val="20"/>
                <w:lang w:val="en-US" w:eastAsia="ko-KR"/>
              </w:rPr>
            </w:pPr>
            <w:r w:rsidRPr="00F53FC6">
              <w:rPr>
                <w:rFonts w:ascii="Times New Roman" w:eastAsia="Batang" w:hAnsi="Times New Roman" w:cs="Times New Roman"/>
                <w:b/>
                <w:bCs/>
                <w:sz w:val="20"/>
                <w:szCs w:val="20"/>
                <w:lang w:val="en-US" w:eastAsia="ko-KR"/>
              </w:rPr>
              <w:t>Mean</w:t>
            </w:r>
          </w:p>
        </w:tc>
        <w:tc>
          <w:tcPr>
            <w:tcW w:w="732" w:type="pct"/>
            <w:tcBorders>
              <w:top w:val="single" w:sz="24" w:space="0" w:color="auto"/>
              <w:bottom w:val="single" w:sz="12" w:space="0" w:color="auto"/>
            </w:tcBorders>
            <w:shd w:val="clear" w:color="auto" w:fill="auto"/>
            <w:vAlign w:val="center"/>
            <w:hideMark/>
          </w:tcPr>
          <w:p w14:paraId="6E2DAE45" w14:textId="7B653A42" w:rsidR="005C7A05" w:rsidRPr="00F53FC6" w:rsidRDefault="005C7A05" w:rsidP="00665379">
            <w:pPr>
              <w:jc w:val="center"/>
              <w:rPr>
                <w:rFonts w:ascii="Times New Roman" w:eastAsia="Batang" w:hAnsi="Times New Roman" w:cs="Times New Roman"/>
                <w:b/>
                <w:bCs/>
                <w:sz w:val="20"/>
                <w:szCs w:val="20"/>
                <w:lang w:val="en-US" w:eastAsia="ko-KR"/>
              </w:rPr>
            </w:pPr>
            <w:r w:rsidRPr="00F53FC6">
              <w:rPr>
                <w:rFonts w:ascii="Times New Roman" w:eastAsia="Batang" w:hAnsi="Times New Roman" w:cs="Times New Roman"/>
                <w:b/>
                <w:bCs/>
                <w:sz w:val="20"/>
                <w:szCs w:val="20"/>
                <w:lang w:val="en-US" w:eastAsia="ko-KR"/>
              </w:rPr>
              <w:t>Maximum</w:t>
            </w:r>
          </w:p>
        </w:tc>
        <w:tc>
          <w:tcPr>
            <w:tcW w:w="563" w:type="pct"/>
            <w:tcBorders>
              <w:top w:val="single" w:sz="24" w:space="0" w:color="auto"/>
              <w:bottom w:val="single" w:sz="12" w:space="0" w:color="auto"/>
            </w:tcBorders>
            <w:shd w:val="clear" w:color="auto" w:fill="auto"/>
            <w:vAlign w:val="center"/>
            <w:hideMark/>
          </w:tcPr>
          <w:p w14:paraId="69838FF7" w14:textId="7CD75533" w:rsidR="005C7A05" w:rsidRPr="00F53FC6" w:rsidRDefault="005C7A05" w:rsidP="00665379">
            <w:pPr>
              <w:jc w:val="center"/>
              <w:rPr>
                <w:rFonts w:ascii="Times New Roman" w:eastAsia="Batang" w:hAnsi="Times New Roman" w:cs="Times New Roman"/>
                <w:b/>
                <w:bCs/>
                <w:sz w:val="20"/>
                <w:szCs w:val="20"/>
                <w:lang w:val="en-US" w:eastAsia="ko-KR"/>
              </w:rPr>
            </w:pPr>
            <w:r w:rsidRPr="00F53FC6">
              <w:rPr>
                <w:rFonts w:ascii="Times New Roman" w:eastAsia="Batang" w:hAnsi="Times New Roman" w:cs="Times New Roman"/>
                <w:b/>
                <w:bCs/>
                <w:sz w:val="20"/>
                <w:szCs w:val="20"/>
                <w:lang w:val="en-US" w:eastAsia="ko-KR"/>
              </w:rPr>
              <w:t>Minimum</w:t>
            </w:r>
          </w:p>
        </w:tc>
        <w:tc>
          <w:tcPr>
            <w:tcW w:w="638" w:type="pct"/>
            <w:tcBorders>
              <w:top w:val="single" w:sz="24" w:space="0" w:color="auto"/>
              <w:bottom w:val="single" w:sz="12" w:space="0" w:color="auto"/>
            </w:tcBorders>
            <w:shd w:val="clear" w:color="auto" w:fill="auto"/>
            <w:vAlign w:val="center"/>
            <w:hideMark/>
          </w:tcPr>
          <w:p w14:paraId="7736F415" w14:textId="7171C522" w:rsidR="005C7A05" w:rsidRPr="00F53FC6" w:rsidRDefault="00F44296" w:rsidP="00665379">
            <w:pPr>
              <w:jc w:val="center"/>
              <w:rPr>
                <w:rFonts w:ascii="Times New Roman" w:eastAsia="Batang" w:hAnsi="Times New Roman" w:cs="Times New Roman"/>
                <w:b/>
                <w:bCs/>
                <w:sz w:val="20"/>
                <w:szCs w:val="20"/>
                <w:lang w:val="en-US" w:eastAsia="ko-KR"/>
              </w:rPr>
            </w:pPr>
            <w:r>
              <w:rPr>
                <w:rFonts w:ascii="Times New Roman" w:eastAsia="Batang" w:hAnsi="Times New Roman" w:cs="Times New Roman"/>
                <w:b/>
                <w:bCs/>
                <w:sz w:val="20"/>
                <w:szCs w:val="20"/>
                <w:lang w:val="en-US" w:eastAsia="ko-KR"/>
              </w:rPr>
              <w:t>S.D.</w:t>
            </w:r>
          </w:p>
        </w:tc>
        <w:tc>
          <w:tcPr>
            <w:tcW w:w="542" w:type="pct"/>
            <w:tcBorders>
              <w:top w:val="single" w:sz="24" w:space="0" w:color="auto"/>
              <w:bottom w:val="single" w:sz="12" w:space="0" w:color="auto"/>
            </w:tcBorders>
            <w:shd w:val="clear" w:color="auto" w:fill="auto"/>
            <w:vAlign w:val="center"/>
            <w:hideMark/>
          </w:tcPr>
          <w:p w14:paraId="0D2829AF" w14:textId="1C91E54F" w:rsidR="005C7A05" w:rsidRPr="00F53FC6" w:rsidRDefault="005C7A05" w:rsidP="00665379">
            <w:pPr>
              <w:jc w:val="center"/>
              <w:rPr>
                <w:rFonts w:ascii="Times New Roman" w:eastAsia="Batang" w:hAnsi="Times New Roman" w:cs="Times New Roman"/>
                <w:b/>
                <w:bCs/>
                <w:sz w:val="20"/>
                <w:szCs w:val="20"/>
                <w:lang w:val="en-US" w:eastAsia="ko-KR"/>
              </w:rPr>
            </w:pPr>
            <w:r w:rsidRPr="00F53FC6">
              <w:rPr>
                <w:rFonts w:ascii="Times New Roman" w:eastAsia="Batang" w:hAnsi="Times New Roman" w:cs="Times New Roman"/>
                <w:b/>
                <w:bCs/>
                <w:sz w:val="20"/>
                <w:szCs w:val="20"/>
                <w:lang w:val="en-US" w:eastAsia="ko-KR"/>
              </w:rPr>
              <w:t>Kurtosis</w:t>
            </w:r>
          </w:p>
        </w:tc>
        <w:tc>
          <w:tcPr>
            <w:tcW w:w="672" w:type="pct"/>
            <w:tcBorders>
              <w:top w:val="single" w:sz="24" w:space="0" w:color="auto"/>
              <w:bottom w:val="single" w:sz="12" w:space="0" w:color="auto"/>
            </w:tcBorders>
            <w:shd w:val="clear" w:color="auto" w:fill="auto"/>
            <w:vAlign w:val="center"/>
            <w:hideMark/>
          </w:tcPr>
          <w:p w14:paraId="530E18CC" w14:textId="78DB31AF" w:rsidR="005C7A05" w:rsidRPr="00F53FC6" w:rsidRDefault="005C7A05" w:rsidP="00665379">
            <w:pPr>
              <w:jc w:val="center"/>
              <w:rPr>
                <w:rFonts w:ascii="Times New Roman" w:eastAsia="Batang" w:hAnsi="Times New Roman" w:cs="Times New Roman"/>
                <w:b/>
                <w:bCs/>
                <w:sz w:val="20"/>
                <w:szCs w:val="20"/>
                <w:lang w:val="en-US" w:eastAsia="ko-KR"/>
              </w:rPr>
            </w:pPr>
            <w:r w:rsidRPr="00F53FC6">
              <w:rPr>
                <w:rFonts w:ascii="Times New Roman" w:eastAsia="Batang" w:hAnsi="Times New Roman" w:cs="Times New Roman"/>
                <w:b/>
                <w:bCs/>
                <w:sz w:val="20"/>
                <w:szCs w:val="20"/>
                <w:lang w:val="en-US" w:eastAsia="ko-KR"/>
              </w:rPr>
              <w:t>Probability</w:t>
            </w:r>
          </w:p>
        </w:tc>
      </w:tr>
      <w:tr w:rsidR="005C7A05" w:rsidRPr="00F53FC6" w14:paraId="627F1882" w14:textId="77777777" w:rsidTr="00F44296">
        <w:trPr>
          <w:trHeight w:val="20"/>
        </w:trPr>
        <w:tc>
          <w:tcPr>
            <w:tcW w:w="990" w:type="pct"/>
            <w:tcBorders>
              <w:top w:val="single" w:sz="12" w:space="0" w:color="auto"/>
            </w:tcBorders>
            <w:shd w:val="clear" w:color="auto" w:fill="auto"/>
            <w:vAlign w:val="center"/>
            <w:hideMark/>
          </w:tcPr>
          <w:p w14:paraId="31D284EF" w14:textId="79B2F979" w:rsidR="005C7A05" w:rsidRPr="00F53FC6" w:rsidRDefault="005C7A05" w:rsidP="00665379">
            <w:pPr>
              <w:jc w:val="right"/>
              <w:rPr>
                <w:rFonts w:ascii="Times New Roman" w:eastAsia="Batang" w:hAnsi="Times New Roman" w:cs="Times New Roman"/>
                <w:sz w:val="20"/>
                <w:szCs w:val="20"/>
                <w:lang w:val="en-US" w:eastAsia="ko-KR"/>
              </w:rPr>
            </w:pPr>
            <w:r w:rsidRPr="00F53FC6">
              <w:rPr>
                <w:rFonts w:ascii="Times New Roman" w:eastAsia="Batang" w:hAnsi="Times New Roman" w:cs="Times New Roman"/>
                <w:sz w:val="20"/>
                <w:szCs w:val="20"/>
                <w:lang w:val="en-US" w:eastAsia="ko-KR"/>
              </w:rPr>
              <w:t>Planning system</w:t>
            </w:r>
          </w:p>
        </w:tc>
        <w:tc>
          <w:tcPr>
            <w:tcW w:w="360" w:type="pct"/>
            <w:tcBorders>
              <w:top w:val="single" w:sz="12" w:space="0" w:color="auto"/>
            </w:tcBorders>
            <w:shd w:val="clear" w:color="auto" w:fill="auto"/>
            <w:vAlign w:val="center"/>
            <w:hideMark/>
          </w:tcPr>
          <w:p w14:paraId="74429C90" w14:textId="688A6B40" w:rsidR="005C7A05" w:rsidRPr="00F53FC6" w:rsidRDefault="005C7A05" w:rsidP="00665379">
            <w:pPr>
              <w:jc w:val="right"/>
              <w:rPr>
                <w:rFonts w:ascii="Times New Roman" w:eastAsia="Batang" w:hAnsi="Times New Roman" w:cs="Times New Roman"/>
                <w:sz w:val="20"/>
                <w:szCs w:val="20"/>
                <w:lang w:val="en-US" w:eastAsia="ko-KR"/>
              </w:rPr>
            </w:pPr>
            <w:r w:rsidRPr="00F53FC6">
              <w:rPr>
                <w:rFonts w:ascii="Times New Roman" w:eastAsia="Batang" w:hAnsi="Times New Roman" w:cs="Times New Roman"/>
                <w:sz w:val="20"/>
                <w:szCs w:val="20"/>
                <w:lang w:val="en-US" w:eastAsia="ko-KR"/>
              </w:rPr>
              <w:t>115</w:t>
            </w:r>
          </w:p>
        </w:tc>
        <w:tc>
          <w:tcPr>
            <w:tcW w:w="503" w:type="pct"/>
            <w:tcBorders>
              <w:top w:val="single" w:sz="12" w:space="0" w:color="auto"/>
            </w:tcBorders>
            <w:shd w:val="clear" w:color="auto" w:fill="auto"/>
            <w:vAlign w:val="center"/>
          </w:tcPr>
          <w:p w14:paraId="3A7D350D" w14:textId="79B2F33D" w:rsidR="005C7A05" w:rsidRPr="00F53FC6" w:rsidRDefault="005C7A05" w:rsidP="00665379">
            <w:pPr>
              <w:jc w:val="right"/>
              <w:rPr>
                <w:rFonts w:ascii="Times New Roman" w:eastAsia="Batang" w:hAnsi="Times New Roman" w:cs="Times New Roman"/>
                <w:sz w:val="20"/>
                <w:szCs w:val="20"/>
                <w:lang w:val="en-US" w:eastAsia="ko-KR"/>
              </w:rPr>
            </w:pPr>
            <w:r w:rsidRPr="00F53FC6">
              <w:rPr>
                <w:rFonts w:ascii="Times New Roman" w:eastAsia="Batang" w:hAnsi="Times New Roman" w:cs="Times New Roman"/>
                <w:sz w:val="20"/>
                <w:szCs w:val="20"/>
                <w:lang w:val="en-US" w:eastAsia="ko-KR"/>
              </w:rPr>
              <w:t>0.80</w:t>
            </w:r>
            <w:r w:rsidR="008232E8" w:rsidRPr="00F53FC6">
              <w:rPr>
                <w:rFonts w:ascii="Times New Roman" w:eastAsia="Batang" w:hAnsi="Times New Roman" w:cs="Times New Roman"/>
                <w:sz w:val="20"/>
                <w:szCs w:val="20"/>
                <w:lang w:val="en-US" w:eastAsia="ko-KR"/>
              </w:rPr>
              <w:t>12</w:t>
            </w:r>
          </w:p>
        </w:tc>
        <w:tc>
          <w:tcPr>
            <w:tcW w:w="732" w:type="pct"/>
            <w:tcBorders>
              <w:top w:val="single" w:sz="12" w:space="0" w:color="auto"/>
            </w:tcBorders>
            <w:shd w:val="clear" w:color="auto" w:fill="auto"/>
            <w:vAlign w:val="center"/>
          </w:tcPr>
          <w:p w14:paraId="70690D8F" w14:textId="5E7F03AD" w:rsidR="005C7A05" w:rsidRPr="00F53FC6" w:rsidRDefault="005C7A05" w:rsidP="00665379">
            <w:pPr>
              <w:jc w:val="right"/>
              <w:rPr>
                <w:rFonts w:ascii="Times New Roman" w:eastAsia="Batang" w:hAnsi="Times New Roman" w:cs="Times New Roman"/>
                <w:sz w:val="20"/>
                <w:szCs w:val="20"/>
                <w:lang w:val="en-US" w:eastAsia="ko-KR"/>
              </w:rPr>
            </w:pPr>
            <w:r w:rsidRPr="00F53FC6">
              <w:rPr>
                <w:rFonts w:ascii="Times New Roman" w:eastAsia="Batang" w:hAnsi="Times New Roman" w:cs="Times New Roman"/>
                <w:sz w:val="20"/>
                <w:szCs w:val="20"/>
                <w:lang w:val="en-US" w:eastAsia="ko-KR"/>
              </w:rPr>
              <w:t>0.8</w:t>
            </w:r>
            <w:r w:rsidR="00490E2A" w:rsidRPr="00F53FC6">
              <w:rPr>
                <w:rFonts w:ascii="Times New Roman" w:eastAsia="Batang" w:hAnsi="Times New Roman" w:cs="Times New Roman"/>
                <w:sz w:val="20"/>
                <w:szCs w:val="20"/>
                <w:lang w:val="en-US" w:eastAsia="ko-KR"/>
              </w:rPr>
              <w:t>212</w:t>
            </w:r>
          </w:p>
        </w:tc>
        <w:tc>
          <w:tcPr>
            <w:tcW w:w="563" w:type="pct"/>
            <w:tcBorders>
              <w:top w:val="single" w:sz="12" w:space="0" w:color="auto"/>
            </w:tcBorders>
            <w:shd w:val="clear" w:color="auto" w:fill="auto"/>
            <w:vAlign w:val="center"/>
          </w:tcPr>
          <w:p w14:paraId="093A1EFD" w14:textId="4B4349B9" w:rsidR="005C7A05" w:rsidRPr="00F53FC6" w:rsidRDefault="005C7A05" w:rsidP="00665379">
            <w:pPr>
              <w:jc w:val="right"/>
              <w:rPr>
                <w:rFonts w:ascii="Times New Roman" w:eastAsia="Batang" w:hAnsi="Times New Roman" w:cs="Times New Roman"/>
                <w:sz w:val="20"/>
                <w:szCs w:val="20"/>
                <w:lang w:val="en-US" w:eastAsia="ko-KR"/>
              </w:rPr>
            </w:pPr>
            <w:r w:rsidRPr="00F53FC6">
              <w:rPr>
                <w:rFonts w:ascii="Times New Roman" w:eastAsia="Batang" w:hAnsi="Times New Roman" w:cs="Times New Roman"/>
                <w:sz w:val="20"/>
                <w:szCs w:val="20"/>
                <w:lang w:val="en-US" w:eastAsia="ko-KR"/>
              </w:rPr>
              <w:t>0.4</w:t>
            </w:r>
            <w:r w:rsidR="00490E2A" w:rsidRPr="00F53FC6">
              <w:rPr>
                <w:rFonts w:ascii="Times New Roman" w:eastAsia="Batang" w:hAnsi="Times New Roman" w:cs="Times New Roman"/>
                <w:sz w:val="20"/>
                <w:szCs w:val="20"/>
                <w:lang w:val="en-US" w:eastAsia="ko-KR"/>
              </w:rPr>
              <w:t>010</w:t>
            </w:r>
          </w:p>
        </w:tc>
        <w:tc>
          <w:tcPr>
            <w:tcW w:w="638" w:type="pct"/>
            <w:tcBorders>
              <w:top w:val="single" w:sz="12" w:space="0" w:color="auto"/>
            </w:tcBorders>
            <w:shd w:val="clear" w:color="auto" w:fill="auto"/>
            <w:vAlign w:val="center"/>
          </w:tcPr>
          <w:p w14:paraId="15C38317" w14:textId="23225E46" w:rsidR="005C7A05" w:rsidRPr="00F53FC6" w:rsidRDefault="005C7A05" w:rsidP="00665379">
            <w:pPr>
              <w:jc w:val="right"/>
              <w:rPr>
                <w:rFonts w:ascii="Times New Roman" w:eastAsia="Batang" w:hAnsi="Times New Roman" w:cs="Times New Roman"/>
                <w:sz w:val="20"/>
                <w:szCs w:val="20"/>
                <w:lang w:val="en-US" w:eastAsia="ko-KR"/>
              </w:rPr>
            </w:pPr>
            <w:r w:rsidRPr="00F53FC6">
              <w:rPr>
                <w:rFonts w:ascii="Times New Roman" w:eastAsia="Batang" w:hAnsi="Times New Roman" w:cs="Times New Roman"/>
                <w:sz w:val="20"/>
                <w:szCs w:val="20"/>
                <w:lang w:val="en-US" w:eastAsia="ko-KR"/>
              </w:rPr>
              <w:t>0.4</w:t>
            </w:r>
            <w:r w:rsidR="00490E2A" w:rsidRPr="00F53FC6">
              <w:rPr>
                <w:rFonts w:ascii="Times New Roman" w:eastAsia="Batang" w:hAnsi="Times New Roman" w:cs="Times New Roman"/>
                <w:sz w:val="20"/>
                <w:szCs w:val="20"/>
                <w:lang w:val="en-US" w:eastAsia="ko-KR"/>
              </w:rPr>
              <w:t>511</w:t>
            </w:r>
          </w:p>
        </w:tc>
        <w:tc>
          <w:tcPr>
            <w:tcW w:w="542" w:type="pct"/>
            <w:tcBorders>
              <w:top w:val="single" w:sz="12" w:space="0" w:color="auto"/>
            </w:tcBorders>
            <w:shd w:val="clear" w:color="auto" w:fill="auto"/>
            <w:vAlign w:val="center"/>
          </w:tcPr>
          <w:p w14:paraId="011A250C" w14:textId="7487361E" w:rsidR="005C7A05" w:rsidRPr="00F53FC6" w:rsidRDefault="005C7A05" w:rsidP="00665379">
            <w:pPr>
              <w:jc w:val="right"/>
              <w:rPr>
                <w:rFonts w:ascii="Times New Roman" w:eastAsia="Batang" w:hAnsi="Times New Roman" w:cs="Times New Roman"/>
                <w:sz w:val="20"/>
                <w:szCs w:val="20"/>
                <w:lang w:val="en-US" w:eastAsia="ko-KR"/>
              </w:rPr>
            </w:pPr>
            <w:r w:rsidRPr="00F53FC6">
              <w:rPr>
                <w:rFonts w:ascii="Times New Roman" w:eastAsia="Batang" w:hAnsi="Times New Roman" w:cs="Times New Roman"/>
                <w:sz w:val="20"/>
                <w:szCs w:val="20"/>
                <w:lang w:val="en-US" w:eastAsia="ko-KR"/>
              </w:rPr>
              <w:t>3.1</w:t>
            </w:r>
            <w:r w:rsidR="00490E2A" w:rsidRPr="00F53FC6">
              <w:rPr>
                <w:rFonts w:ascii="Times New Roman" w:eastAsia="Batang" w:hAnsi="Times New Roman" w:cs="Times New Roman"/>
                <w:sz w:val="20"/>
                <w:szCs w:val="20"/>
                <w:lang w:val="en-US" w:eastAsia="ko-KR"/>
              </w:rPr>
              <w:t>27</w:t>
            </w:r>
            <w:r w:rsidRPr="00F53FC6">
              <w:rPr>
                <w:rFonts w:ascii="Times New Roman" w:eastAsia="Batang" w:hAnsi="Times New Roman" w:cs="Times New Roman"/>
                <w:sz w:val="20"/>
                <w:szCs w:val="20"/>
                <w:lang w:val="en-US" w:eastAsia="ko-KR"/>
              </w:rPr>
              <w:t>6</w:t>
            </w:r>
          </w:p>
        </w:tc>
        <w:tc>
          <w:tcPr>
            <w:tcW w:w="672" w:type="pct"/>
            <w:tcBorders>
              <w:top w:val="single" w:sz="12" w:space="0" w:color="auto"/>
            </w:tcBorders>
            <w:shd w:val="clear" w:color="auto" w:fill="auto"/>
            <w:vAlign w:val="center"/>
          </w:tcPr>
          <w:p w14:paraId="5A2C0A0C" w14:textId="04EB622B" w:rsidR="005C7A05" w:rsidRPr="00F53FC6" w:rsidRDefault="005C7A05" w:rsidP="00665379">
            <w:pPr>
              <w:jc w:val="right"/>
              <w:rPr>
                <w:rFonts w:ascii="Times New Roman" w:eastAsia="Batang" w:hAnsi="Times New Roman" w:cs="Times New Roman"/>
                <w:sz w:val="20"/>
                <w:szCs w:val="20"/>
                <w:lang w:val="en-US" w:eastAsia="ko-KR"/>
              </w:rPr>
            </w:pPr>
            <w:r w:rsidRPr="00F53FC6">
              <w:rPr>
                <w:rFonts w:ascii="Times New Roman" w:eastAsia="Batang" w:hAnsi="Times New Roman" w:cs="Times New Roman"/>
                <w:sz w:val="20"/>
                <w:szCs w:val="20"/>
                <w:lang w:val="en-US" w:eastAsia="ko-KR"/>
              </w:rPr>
              <w:t>0.3</w:t>
            </w:r>
            <w:r w:rsidR="00490E2A" w:rsidRPr="00F53FC6">
              <w:rPr>
                <w:rFonts w:ascii="Times New Roman" w:eastAsia="Batang" w:hAnsi="Times New Roman" w:cs="Times New Roman"/>
                <w:sz w:val="20"/>
                <w:szCs w:val="20"/>
                <w:lang w:val="en-US" w:eastAsia="ko-KR"/>
              </w:rPr>
              <w:t>821</w:t>
            </w:r>
          </w:p>
        </w:tc>
      </w:tr>
      <w:tr w:rsidR="005C7A05" w:rsidRPr="00F53FC6" w14:paraId="6B3BFA65" w14:textId="77777777" w:rsidTr="00F44296">
        <w:trPr>
          <w:trHeight w:val="20"/>
        </w:trPr>
        <w:tc>
          <w:tcPr>
            <w:tcW w:w="990" w:type="pct"/>
            <w:shd w:val="clear" w:color="auto" w:fill="auto"/>
            <w:vAlign w:val="center"/>
            <w:hideMark/>
          </w:tcPr>
          <w:p w14:paraId="40DC171B" w14:textId="7269A6D6" w:rsidR="005C7A05" w:rsidRPr="00F53FC6" w:rsidRDefault="005C7A05" w:rsidP="003E5086">
            <w:pPr>
              <w:jc w:val="right"/>
              <w:rPr>
                <w:rFonts w:ascii="Times New Roman" w:eastAsia="Batang" w:hAnsi="Times New Roman" w:cs="Times New Roman"/>
                <w:sz w:val="20"/>
                <w:szCs w:val="20"/>
                <w:lang w:val="en-US" w:eastAsia="ko-KR"/>
              </w:rPr>
            </w:pPr>
            <w:r w:rsidRPr="00F53FC6">
              <w:rPr>
                <w:rFonts w:ascii="Times New Roman" w:eastAsia="Batang" w:hAnsi="Times New Roman" w:cs="Times New Roman"/>
                <w:sz w:val="20"/>
                <w:szCs w:val="20"/>
                <w:lang w:val="en-US" w:eastAsia="ko-KR"/>
              </w:rPr>
              <w:t>Quality standard</w:t>
            </w:r>
          </w:p>
        </w:tc>
        <w:tc>
          <w:tcPr>
            <w:tcW w:w="360" w:type="pct"/>
            <w:shd w:val="clear" w:color="auto" w:fill="auto"/>
            <w:hideMark/>
          </w:tcPr>
          <w:p w14:paraId="566F4584" w14:textId="73934437" w:rsidR="005C7A05" w:rsidRPr="00F53FC6" w:rsidRDefault="005C7A05" w:rsidP="003E5086">
            <w:pPr>
              <w:jc w:val="right"/>
              <w:rPr>
                <w:rFonts w:ascii="Times New Roman" w:eastAsia="Batang" w:hAnsi="Times New Roman" w:cs="Times New Roman"/>
                <w:sz w:val="20"/>
                <w:szCs w:val="20"/>
                <w:lang w:val="en-US" w:eastAsia="ko-KR"/>
              </w:rPr>
            </w:pPr>
            <w:r w:rsidRPr="00F53FC6">
              <w:rPr>
                <w:rFonts w:ascii="Times New Roman" w:eastAsia="Batang" w:hAnsi="Times New Roman" w:cs="Times New Roman"/>
                <w:sz w:val="20"/>
                <w:szCs w:val="20"/>
                <w:lang w:val="en-US" w:eastAsia="ko-KR"/>
              </w:rPr>
              <w:t>115</w:t>
            </w:r>
          </w:p>
        </w:tc>
        <w:tc>
          <w:tcPr>
            <w:tcW w:w="503" w:type="pct"/>
            <w:shd w:val="clear" w:color="auto" w:fill="auto"/>
            <w:vAlign w:val="center"/>
          </w:tcPr>
          <w:p w14:paraId="05CAC993" w14:textId="29C8426B" w:rsidR="005C7A05" w:rsidRPr="00F53FC6" w:rsidRDefault="005C7A05" w:rsidP="003E5086">
            <w:pPr>
              <w:jc w:val="right"/>
              <w:rPr>
                <w:rFonts w:ascii="Times New Roman" w:eastAsia="Batang" w:hAnsi="Times New Roman" w:cs="Times New Roman"/>
                <w:sz w:val="20"/>
                <w:szCs w:val="20"/>
                <w:lang w:val="en-US" w:eastAsia="ko-KR"/>
              </w:rPr>
            </w:pPr>
            <w:r w:rsidRPr="00F53FC6">
              <w:rPr>
                <w:rFonts w:ascii="Times New Roman" w:eastAsia="Batang" w:hAnsi="Times New Roman" w:cs="Times New Roman"/>
                <w:sz w:val="20"/>
                <w:szCs w:val="20"/>
                <w:lang w:val="en-US" w:eastAsia="ko-KR"/>
              </w:rPr>
              <w:t>0.56</w:t>
            </w:r>
            <w:r w:rsidR="008232E8" w:rsidRPr="00F53FC6">
              <w:rPr>
                <w:rFonts w:ascii="Times New Roman" w:eastAsia="Batang" w:hAnsi="Times New Roman" w:cs="Times New Roman"/>
                <w:sz w:val="20"/>
                <w:szCs w:val="20"/>
                <w:lang w:val="en-US" w:eastAsia="ko-KR"/>
              </w:rPr>
              <w:t>421</w:t>
            </w:r>
          </w:p>
        </w:tc>
        <w:tc>
          <w:tcPr>
            <w:tcW w:w="732" w:type="pct"/>
            <w:shd w:val="clear" w:color="auto" w:fill="auto"/>
            <w:vAlign w:val="center"/>
          </w:tcPr>
          <w:p w14:paraId="4FA3C01A" w14:textId="2A94D71C" w:rsidR="005C7A05" w:rsidRPr="00F53FC6" w:rsidRDefault="005C7A05" w:rsidP="003E5086">
            <w:pPr>
              <w:jc w:val="right"/>
              <w:rPr>
                <w:rFonts w:ascii="Times New Roman" w:eastAsia="Batang" w:hAnsi="Times New Roman" w:cs="Times New Roman"/>
                <w:sz w:val="20"/>
                <w:szCs w:val="20"/>
                <w:lang w:val="en-US" w:eastAsia="ko-KR"/>
              </w:rPr>
            </w:pPr>
            <w:r w:rsidRPr="00F53FC6">
              <w:rPr>
                <w:rFonts w:ascii="Times New Roman" w:eastAsia="Batang" w:hAnsi="Times New Roman" w:cs="Times New Roman"/>
                <w:sz w:val="20"/>
                <w:szCs w:val="20"/>
                <w:lang w:val="en-US" w:eastAsia="ko-KR"/>
              </w:rPr>
              <w:t>0.6</w:t>
            </w:r>
            <w:r w:rsidR="00490E2A" w:rsidRPr="00F53FC6">
              <w:rPr>
                <w:rFonts w:ascii="Times New Roman" w:eastAsia="Batang" w:hAnsi="Times New Roman" w:cs="Times New Roman"/>
                <w:sz w:val="20"/>
                <w:szCs w:val="20"/>
                <w:lang w:val="en-US" w:eastAsia="ko-KR"/>
              </w:rPr>
              <w:t>5321</w:t>
            </w:r>
          </w:p>
        </w:tc>
        <w:tc>
          <w:tcPr>
            <w:tcW w:w="563" w:type="pct"/>
            <w:shd w:val="clear" w:color="auto" w:fill="auto"/>
            <w:vAlign w:val="center"/>
          </w:tcPr>
          <w:p w14:paraId="580D8C05" w14:textId="779B90CA" w:rsidR="005C7A05" w:rsidRPr="00F53FC6" w:rsidRDefault="005C7A05" w:rsidP="003E5086">
            <w:pPr>
              <w:jc w:val="right"/>
              <w:rPr>
                <w:rFonts w:ascii="Times New Roman" w:eastAsia="Batang" w:hAnsi="Times New Roman" w:cs="Times New Roman"/>
                <w:sz w:val="20"/>
                <w:szCs w:val="20"/>
                <w:lang w:val="en-US" w:eastAsia="ko-KR"/>
              </w:rPr>
            </w:pPr>
            <w:r w:rsidRPr="00F53FC6">
              <w:rPr>
                <w:rFonts w:ascii="Times New Roman" w:eastAsia="Batang" w:hAnsi="Times New Roman" w:cs="Times New Roman"/>
                <w:sz w:val="20"/>
                <w:szCs w:val="20"/>
                <w:lang w:val="en-US" w:eastAsia="ko-KR"/>
              </w:rPr>
              <w:t>0.4</w:t>
            </w:r>
            <w:r w:rsidR="00490E2A" w:rsidRPr="00F53FC6">
              <w:rPr>
                <w:rFonts w:ascii="Times New Roman" w:eastAsia="Batang" w:hAnsi="Times New Roman" w:cs="Times New Roman"/>
                <w:sz w:val="20"/>
                <w:szCs w:val="20"/>
                <w:lang w:val="en-US" w:eastAsia="ko-KR"/>
              </w:rPr>
              <w:t>2833</w:t>
            </w:r>
          </w:p>
        </w:tc>
        <w:tc>
          <w:tcPr>
            <w:tcW w:w="638" w:type="pct"/>
            <w:shd w:val="clear" w:color="auto" w:fill="auto"/>
            <w:vAlign w:val="center"/>
          </w:tcPr>
          <w:p w14:paraId="1AC18F35" w14:textId="00DA6348" w:rsidR="005C7A05" w:rsidRPr="00F53FC6" w:rsidRDefault="005C7A05" w:rsidP="003E5086">
            <w:pPr>
              <w:jc w:val="right"/>
              <w:rPr>
                <w:rFonts w:ascii="Times New Roman" w:eastAsia="Batang" w:hAnsi="Times New Roman" w:cs="Times New Roman"/>
                <w:sz w:val="20"/>
                <w:szCs w:val="20"/>
                <w:lang w:val="en-US" w:eastAsia="ko-KR"/>
              </w:rPr>
            </w:pPr>
            <w:r w:rsidRPr="00F53FC6">
              <w:rPr>
                <w:rFonts w:ascii="Times New Roman" w:eastAsia="Batang" w:hAnsi="Times New Roman" w:cs="Times New Roman"/>
                <w:sz w:val="20"/>
                <w:szCs w:val="20"/>
                <w:lang w:val="en-US" w:eastAsia="ko-KR"/>
              </w:rPr>
              <w:t>0.4</w:t>
            </w:r>
            <w:r w:rsidR="00490E2A" w:rsidRPr="00F53FC6">
              <w:rPr>
                <w:rFonts w:ascii="Times New Roman" w:eastAsia="Batang" w:hAnsi="Times New Roman" w:cs="Times New Roman"/>
                <w:sz w:val="20"/>
                <w:szCs w:val="20"/>
                <w:lang w:val="en-US" w:eastAsia="ko-KR"/>
              </w:rPr>
              <w:t>1211</w:t>
            </w:r>
          </w:p>
        </w:tc>
        <w:tc>
          <w:tcPr>
            <w:tcW w:w="542" w:type="pct"/>
            <w:shd w:val="clear" w:color="auto" w:fill="auto"/>
            <w:vAlign w:val="center"/>
          </w:tcPr>
          <w:p w14:paraId="1FBA0280" w14:textId="242CA47E" w:rsidR="005C7A05" w:rsidRPr="00F53FC6" w:rsidRDefault="005C7A05" w:rsidP="003E5086">
            <w:pPr>
              <w:jc w:val="right"/>
              <w:rPr>
                <w:rFonts w:ascii="Times New Roman" w:eastAsia="Batang" w:hAnsi="Times New Roman" w:cs="Times New Roman"/>
                <w:sz w:val="20"/>
                <w:szCs w:val="20"/>
                <w:lang w:val="en-US" w:eastAsia="ko-KR"/>
              </w:rPr>
            </w:pPr>
            <w:r w:rsidRPr="00F53FC6">
              <w:rPr>
                <w:rFonts w:ascii="Times New Roman" w:eastAsia="Batang" w:hAnsi="Times New Roman" w:cs="Times New Roman"/>
                <w:sz w:val="20"/>
                <w:szCs w:val="20"/>
                <w:lang w:val="en-US" w:eastAsia="ko-KR"/>
              </w:rPr>
              <w:t>3.1</w:t>
            </w:r>
            <w:r w:rsidR="00490E2A" w:rsidRPr="00F53FC6">
              <w:rPr>
                <w:rFonts w:ascii="Times New Roman" w:eastAsia="Batang" w:hAnsi="Times New Roman" w:cs="Times New Roman"/>
                <w:sz w:val="20"/>
                <w:szCs w:val="20"/>
                <w:lang w:val="en-US" w:eastAsia="ko-KR"/>
              </w:rPr>
              <w:t>312</w:t>
            </w:r>
            <w:r w:rsidRPr="00F53FC6">
              <w:rPr>
                <w:rFonts w:ascii="Times New Roman" w:eastAsia="Batang" w:hAnsi="Times New Roman" w:cs="Times New Roman"/>
                <w:sz w:val="20"/>
                <w:szCs w:val="20"/>
                <w:lang w:val="en-US" w:eastAsia="ko-KR"/>
              </w:rPr>
              <w:t>5</w:t>
            </w:r>
          </w:p>
        </w:tc>
        <w:tc>
          <w:tcPr>
            <w:tcW w:w="672" w:type="pct"/>
            <w:shd w:val="clear" w:color="auto" w:fill="auto"/>
            <w:vAlign w:val="center"/>
          </w:tcPr>
          <w:p w14:paraId="6BDAD5AE" w14:textId="69FC1881" w:rsidR="005C7A05" w:rsidRPr="00F53FC6" w:rsidRDefault="005C7A05" w:rsidP="003E5086">
            <w:pPr>
              <w:jc w:val="right"/>
              <w:rPr>
                <w:rFonts w:ascii="Times New Roman" w:eastAsia="Batang" w:hAnsi="Times New Roman" w:cs="Times New Roman"/>
                <w:sz w:val="20"/>
                <w:szCs w:val="20"/>
                <w:lang w:val="en-US" w:eastAsia="ko-KR"/>
              </w:rPr>
            </w:pPr>
            <w:r w:rsidRPr="00F53FC6">
              <w:rPr>
                <w:rFonts w:ascii="Times New Roman" w:eastAsia="Batang" w:hAnsi="Times New Roman" w:cs="Times New Roman"/>
                <w:sz w:val="20"/>
                <w:szCs w:val="20"/>
                <w:lang w:val="en-US" w:eastAsia="ko-KR"/>
              </w:rPr>
              <w:t>0.01</w:t>
            </w:r>
            <w:r w:rsidR="00490E2A" w:rsidRPr="00F53FC6">
              <w:rPr>
                <w:rFonts w:ascii="Times New Roman" w:eastAsia="Batang" w:hAnsi="Times New Roman" w:cs="Times New Roman"/>
                <w:sz w:val="20"/>
                <w:szCs w:val="20"/>
                <w:lang w:val="en-US" w:eastAsia="ko-KR"/>
              </w:rPr>
              <w:t>001</w:t>
            </w:r>
          </w:p>
        </w:tc>
      </w:tr>
      <w:tr w:rsidR="005C7A05" w:rsidRPr="00F53FC6" w14:paraId="26B9237F" w14:textId="77777777" w:rsidTr="00F44296">
        <w:trPr>
          <w:trHeight w:val="20"/>
        </w:trPr>
        <w:tc>
          <w:tcPr>
            <w:tcW w:w="990" w:type="pct"/>
            <w:shd w:val="clear" w:color="auto" w:fill="auto"/>
            <w:vAlign w:val="center"/>
            <w:hideMark/>
          </w:tcPr>
          <w:p w14:paraId="7701E2D5" w14:textId="0D785DA8" w:rsidR="005C7A05" w:rsidRPr="00F53FC6" w:rsidRDefault="005C7A05" w:rsidP="003E5086">
            <w:pPr>
              <w:jc w:val="right"/>
              <w:rPr>
                <w:rFonts w:ascii="Times New Roman" w:eastAsia="Batang" w:hAnsi="Times New Roman" w:cs="Times New Roman"/>
                <w:sz w:val="20"/>
                <w:szCs w:val="20"/>
                <w:lang w:val="en-US" w:eastAsia="ko-KR"/>
              </w:rPr>
            </w:pPr>
            <w:r w:rsidRPr="00F53FC6">
              <w:rPr>
                <w:rFonts w:ascii="Times New Roman" w:eastAsia="Batang" w:hAnsi="Times New Roman" w:cs="Times New Roman"/>
                <w:sz w:val="20"/>
                <w:szCs w:val="20"/>
                <w:lang w:val="en-US" w:eastAsia="ko-KR"/>
              </w:rPr>
              <w:t>Management control system</w:t>
            </w:r>
          </w:p>
        </w:tc>
        <w:tc>
          <w:tcPr>
            <w:tcW w:w="360" w:type="pct"/>
            <w:shd w:val="clear" w:color="auto" w:fill="auto"/>
            <w:hideMark/>
          </w:tcPr>
          <w:p w14:paraId="1E68062F" w14:textId="4A2A858C" w:rsidR="005C7A05" w:rsidRPr="00F53FC6" w:rsidRDefault="005C7A05" w:rsidP="003E5086">
            <w:pPr>
              <w:jc w:val="right"/>
              <w:rPr>
                <w:rFonts w:ascii="Times New Roman" w:eastAsia="Batang" w:hAnsi="Times New Roman" w:cs="Times New Roman"/>
                <w:sz w:val="20"/>
                <w:szCs w:val="20"/>
                <w:lang w:val="en-US" w:eastAsia="ko-KR"/>
              </w:rPr>
            </w:pPr>
            <w:r w:rsidRPr="00F53FC6">
              <w:rPr>
                <w:rFonts w:ascii="Times New Roman" w:eastAsia="Batang" w:hAnsi="Times New Roman" w:cs="Times New Roman"/>
                <w:sz w:val="20"/>
                <w:szCs w:val="20"/>
                <w:lang w:val="en-US" w:eastAsia="ko-KR"/>
              </w:rPr>
              <w:t>115</w:t>
            </w:r>
          </w:p>
        </w:tc>
        <w:tc>
          <w:tcPr>
            <w:tcW w:w="503" w:type="pct"/>
            <w:shd w:val="clear" w:color="auto" w:fill="auto"/>
            <w:vAlign w:val="center"/>
          </w:tcPr>
          <w:p w14:paraId="17C1F5D8" w14:textId="4CABEFC1" w:rsidR="005C7A05" w:rsidRPr="00F53FC6" w:rsidRDefault="005C7A05" w:rsidP="003E5086">
            <w:pPr>
              <w:jc w:val="right"/>
              <w:rPr>
                <w:rFonts w:ascii="Times New Roman" w:eastAsia="Batang" w:hAnsi="Times New Roman" w:cs="Times New Roman"/>
                <w:sz w:val="20"/>
                <w:szCs w:val="20"/>
                <w:lang w:val="en-US" w:eastAsia="ko-KR"/>
              </w:rPr>
            </w:pPr>
            <w:r w:rsidRPr="00F53FC6">
              <w:rPr>
                <w:rFonts w:ascii="Times New Roman" w:eastAsia="Batang" w:hAnsi="Times New Roman" w:cs="Times New Roman"/>
                <w:sz w:val="20"/>
                <w:szCs w:val="20"/>
                <w:lang w:val="en-US" w:eastAsia="ko-KR"/>
              </w:rPr>
              <w:t>0.8</w:t>
            </w:r>
            <w:r w:rsidR="008232E8" w:rsidRPr="00F53FC6">
              <w:rPr>
                <w:rFonts w:ascii="Times New Roman" w:eastAsia="Batang" w:hAnsi="Times New Roman" w:cs="Times New Roman"/>
                <w:sz w:val="20"/>
                <w:szCs w:val="20"/>
                <w:lang w:val="en-US" w:eastAsia="ko-KR"/>
              </w:rPr>
              <w:t>001</w:t>
            </w:r>
          </w:p>
        </w:tc>
        <w:tc>
          <w:tcPr>
            <w:tcW w:w="732" w:type="pct"/>
            <w:shd w:val="clear" w:color="auto" w:fill="auto"/>
            <w:vAlign w:val="center"/>
          </w:tcPr>
          <w:p w14:paraId="07011EDD" w14:textId="6956171C" w:rsidR="005C7A05" w:rsidRPr="00F53FC6" w:rsidRDefault="005C7A05" w:rsidP="003E5086">
            <w:pPr>
              <w:jc w:val="right"/>
              <w:rPr>
                <w:rFonts w:ascii="Times New Roman" w:eastAsia="Batang" w:hAnsi="Times New Roman" w:cs="Times New Roman"/>
                <w:sz w:val="20"/>
                <w:szCs w:val="20"/>
                <w:lang w:val="en-US" w:eastAsia="ko-KR"/>
              </w:rPr>
            </w:pPr>
            <w:r w:rsidRPr="00F53FC6">
              <w:rPr>
                <w:rFonts w:ascii="Times New Roman" w:eastAsia="Batang" w:hAnsi="Times New Roman" w:cs="Times New Roman"/>
                <w:sz w:val="20"/>
                <w:szCs w:val="20"/>
                <w:lang w:val="en-US" w:eastAsia="ko-KR"/>
              </w:rPr>
              <w:t>0.</w:t>
            </w:r>
            <w:r w:rsidR="00490E2A" w:rsidRPr="00F53FC6">
              <w:rPr>
                <w:rFonts w:ascii="Times New Roman" w:eastAsia="Batang" w:hAnsi="Times New Roman" w:cs="Times New Roman"/>
                <w:sz w:val="20"/>
                <w:szCs w:val="20"/>
                <w:lang w:val="en-US" w:eastAsia="ko-KR"/>
              </w:rPr>
              <w:t>8112</w:t>
            </w:r>
          </w:p>
        </w:tc>
        <w:tc>
          <w:tcPr>
            <w:tcW w:w="563" w:type="pct"/>
            <w:shd w:val="clear" w:color="auto" w:fill="auto"/>
            <w:vAlign w:val="center"/>
          </w:tcPr>
          <w:p w14:paraId="5109AB06" w14:textId="79ACBB1F" w:rsidR="005C7A05" w:rsidRPr="00F53FC6" w:rsidRDefault="005C7A05" w:rsidP="003E5086">
            <w:pPr>
              <w:jc w:val="right"/>
              <w:rPr>
                <w:rFonts w:ascii="Times New Roman" w:eastAsia="Batang" w:hAnsi="Times New Roman" w:cs="Times New Roman"/>
                <w:sz w:val="20"/>
                <w:szCs w:val="20"/>
                <w:lang w:val="en-US" w:eastAsia="ko-KR"/>
              </w:rPr>
            </w:pPr>
            <w:r w:rsidRPr="00F53FC6">
              <w:rPr>
                <w:rFonts w:ascii="Times New Roman" w:eastAsia="Batang" w:hAnsi="Times New Roman" w:cs="Times New Roman"/>
                <w:sz w:val="20"/>
                <w:szCs w:val="20"/>
                <w:lang w:val="en-US" w:eastAsia="ko-KR"/>
              </w:rPr>
              <w:t>0.4</w:t>
            </w:r>
            <w:r w:rsidR="00490E2A" w:rsidRPr="00F53FC6">
              <w:rPr>
                <w:rFonts w:ascii="Times New Roman" w:eastAsia="Batang" w:hAnsi="Times New Roman" w:cs="Times New Roman"/>
                <w:sz w:val="20"/>
                <w:szCs w:val="20"/>
                <w:lang w:val="en-US" w:eastAsia="ko-KR"/>
              </w:rPr>
              <w:t>618</w:t>
            </w:r>
          </w:p>
        </w:tc>
        <w:tc>
          <w:tcPr>
            <w:tcW w:w="638" w:type="pct"/>
            <w:shd w:val="clear" w:color="auto" w:fill="auto"/>
            <w:vAlign w:val="center"/>
          </w:tcPr>
          <w:p w14:paraId="7AF2DB7E" w14:textId="1B98F4C9" w:rsidR="005C7A05" w:rsidRPr="00F53FC6" w:rsidRDefault="005C7A05" w:rsidP="003E5086">
            <w:pPr>
              <w:jc w:val="right"/>
              <w:rPr>
                <w:rFonts w:ascii="Times New Roman" w:eastAsia="Batang" w:hAnsi="Times New Roman" w:cs="Times New Roman"/>
                <w:sz w:val="20"/>
                <w:szCs w:val="20"/>
                <w:lang w:val="en-US" w:eastAsia="ko-KR"/>
              </w:rPr>
            </w:pPr>
            <w:r w:rsidRPr="00F53FC6">
              <w:rPr>
                <w:rFonts w:ascii="Times New Roman" w:eastAsia="Batang" w:hAnsi="Times New Roman" w:cs="Times New Roman"/>
                <w:sz w:val="20"/>
                <w:szCs w:val="20"/>
                <w:lang w:val="en-US" w:eastAsia="ko-KR"/>
              </w:rPr>
              <w:t>0.3</w:t>
            </w:r>
            <w:r w:rsidR="00490E2A" w:rsidRPr="00F53FC6">
              <w:rPr>
                <w:rFonts w:ascii="Times New Roman" w:eastAsia="Batang" w:hAnsi="Times New Roman" w:cs="Times New Roman"/>
                <w:sz w:val="20"/>
                <w:szCs w:val="20"/>
                <w:lang w:val="en-US" w:eastAsia="ko-KR"/>
              </w:rPr>
              <w:t>145</w:t>
            </w:r>
          </w:p>
        </w:tc>
        <w:tc>
          <w:tcPr>
            <w:tcW w:w="542" w:type="pct"/>
            <w:shd w:val="clear" w:color="auto" w:fill="auto"/>
            <w:vAlign w:val="center"/>
          </w:tcPr>
          <w:p w14:paraId="6BF9E803" w14:textId="241E3A84" w:rsidR="005C7A05" w:rsidRPr="00F53FC6" w:rsidRDefault="005C7A05" w:rsidP="003E5086">
            <w:pPr>
              <w:jc w:val="right"/>
              <w:rPr>
                <w:rFonts w:ascii="Times New Roman" w:eastAsia="Batang" w:hAnsi="Times New Roman" w:cs="Times New Roman"/>
                <w:sz w:val="20"/>
                <w:szCs w:val="20"/>
                <w:lang w:val="en-US" w:eastAsia="ko-KR"/>
              </w:rPr>
            </w:pPr>
            <w:r w:rsidRPr="00F53FC6">
              <w:rPr>
                <w:rFonts w:ascii="Times New Roman" w:eastAsia="Batang" w:hAnsi="Times New Roman" w:cs="Times New Roman"/>
                <w:sz w:val="20"/>
                <w:szCs w:val="20"/>
                <w:lang w:val="en-US" w:eastAsia="ko-KR"/>
              </w:rPr>
              <w:t>2.</w:t>
            </w:r>
            <w:r w:rsidR="00490E2A" w:rsidRPr="00F53FC6">
              <w:rPr>
                <w:rFonts w:ascii="Times New Roman" w:eastAsia="Batang" w:hAnsi="Times New Roman" w:cs="Times New Roman"/>
                <w:sz w:val="20"/>
                <w:szCs w:val="20"/>
                <w:lang w:val="en-US" w:eastAsia="ko-KR"/>
              </w:rPr>
              <w:t>145</w:t>
            </w:r>
            <w:r w:rsidRPr="00F53FC6">
              <w:rPr>
                <w:rFonts w:ascii="Times New Roman" w:eastAsia="Batang" w:hAnsi="Times New Roman" w:cs="Times New Roman"/>
                <w:sz w:val="20"/>
                <w:szCs w:val="20"/>
                <w:lang w:val="en-US" w:eastAsia="ko-KR"/>
              </w:rPr>
              <w:t>9</w:t>
            </w:r>
          </w:p>
        </w:tc>
        <w:tc>
          <w:tcPr>
            <w:tcW w:w="672" w:type="pct"/>
            <w:shd w:val="clear" w:color="auto" w:fill="auto"/>
            <w:vAlign w:val="center"/>
          </w:tcPr>
          <w:p w14:paraId="4A36447A" w14:textId="61069C6A" w:rsidR="005C7A05" w:rsidRPr="00F53FC6" w:rsidRDefault="005C7A05" w:rsidP="003E5086">
            <w:pPr>
              <w:jc w:val="right"/>
              <w:rPr>
                <w:rFonts w:ascii="Times New Roman" w:eastAsia="Batang" w:hAnsi="Times New Roman" w:cs="Times New Roman"/>
                <w:sz w:val="20"/>
                <w:szCs w:val="20"/>
                <w:lang w:val="en-US" w:eastAsia="ko-KR"/>
              </w:rPr>
            </w:pPr>
            <w:r w:rsidRPr="00F53FC6">
              <w:rPr>
                <w:rFonts w:ascii="Times New Roman" w:eastAsia="Batang" w:hAnsi="Times New Roman" w:cs="Times New Roman"/>
                <w:sz w:val="20"/>
                <w:szCs w:val="20"/>
                <w:lang w:val="en-US" w:eastAsia="ko-KR"/>
              </w:rPr>
              <w:t>0.0</w:t>
            </w:r>
            <w:r w:rsidR="00490E2A" w:rsidRPr="00F53FC6">
              <w:rPr>
                <w:rFonts w:ascii="Times New Roman" w:eastAsia="Batang" w:hAnsi="Times New Roman" w:cs="Times New Roman"/>
                <w:sz w:val="20"/>
                <w:szCs w:val="20"/>
                <w:lang w:val="en-US" w:eastAsia="ko-KR"/>
              </w:rPr>
              <w:t>098</w:t>
            </w:r>
          </w:p>
        </w:tc>
      </w:tr>
      <w:tr w:rsidR="005C7A05" w:rsidRPr="00F53FC6" w14:paraId="5AB4DC6A" w14:textId="77777777" w:rsidTr="00F44296">
        <w:trPr>
          <w:trHeight w:val="20"/>
        </w:trPr>
        <w:tc>
          <w:tcPr>
            <w:tcW w:w="990" w:type="pct"/>
            <w:shd w:val="clear" w:color="auto" w:fill="auto"/>
            <w:vAlign w:val="center"/>
            <w:hideMark/>
          </w:tcPr>
          <w:p w14:paraId="279391A2" w14:textId="4374472D" w:rsidR="005C7A05" w:rsidRPr="00F53FC6" w:rsidRDefault="005C7A05" w:rsidP="003E5086">
            <w:pPr>
              <w:jc w:val="right"/>
              <w:rPr>
                <w:rFonts w:ascii="Times New Roman" w:eastAsia="Batang" w:hAnsi="Times New Roman" w:cs="Times New Roman"/>
                <w:sz w:val="20"/>
                <w:szCs w:val="20"/>
                <w:lang w:val="en-US" w:eastAsia="ko-KR"/>
              </w:rPr>
            </w:pPr>
            <w:r w:rsidRPr="00F53FC6">
              <w:rPr>
                <w:rFonts w:ascii="Times New Roman" w:eastAsia="Batang" w:hAnsi="Times New Roman" w:cs="Times New Roman"/>
                <w:sz w:val="20"/>
                <w:szCs w:val="20"/>
                <w:lang w:val="en-US" w:eastAsia="ko-KR"/>
              </w:rPr>
              <w:t>Auditor</w:t>
            </w:r>
          </w:p>
        </w:tc>
        <w:tc>
          <w:tcPr>
            <w:tcW w:w="360" w:type="pct"/>
            <w:shd w:val="clear" w:color="auto" w:fill="auto"/>
            <w:hideMark/>
          </w:tcPr>
          <w:p w14:paraId="6346CD2A" w14:textId="5569221D" w:rsidR="005C7A05" w:rsidRPr="00F53FC6" w:rsidRDefault="005C7A05" w:rsidP="003E5086">
            <w:pPr>
              <w:jc w:val="right"/>
              <w:rPr>
                <w:rFonts w:ascii="Times New Roman" w:eastAsia="Batang" w:hAnsi="Times New Roman" w:cs="Times New Roman"/>
                <w:sz w:val="20"/>
                <w:szCs w:val="20"/>
                <w:lang w:val="en-US" w:eastAsia="ko-KR"/>
              </w:rPr>
            </w:pPr>
            <w:r w:rsidRPr="00F53FC6">
              <w:rPr>
                <w:rFonts w:ascii="Times New Roman" w:eastAsia="Batang" w:hAnsi="Times New Roman" w:cs="Times New Roman"/>
                <w:sz w:val="20"/>
                <w:szCs w:val="20"/>
                <w:lang w:val="en-US" w:eastAsia="ko-KR"/>
              </w:rPr>
              <w:t>115</w:t>
            </w:r>
          </w:p>
        </w:tc>
        <w:tc>
          <w:tcPr>
            <w:tcW w:w="503" w:type="pct"/>
            <w:shd w:val="clear" w:color="auto" w:fill="auto"/>
            <w:vAlign w:val="center"/>
          </w:tcPr>
          <w:p w14:paraId="2E39B1E1" w14:textId="319C0151" w:rsidR="005C7A05" w:rsidRPr="00F53FC6" w:rsidRDefault="005C7A05" w:rsidP="003E5086">
            <w:pPr>
              <w:jc w:val="right"/>
              <w:rPr>
                <w:rFonts w:ascii="Times New Roman" w:eastAsia="Batang" w:hAnsi="Times New Roman" w:cs="Times New Roman"/>
                <w:sz w:val="20"/>
                <w:szCs w:val="20"/>
                <w:lang w:val="en-US" w:eastAsia="ko-KR"/>
              </w:rPr>
            </w:pPr>
            <w:r w:rsidRPr="00F53FC6">
              <w:rPr>
                <w:rFonts w:ascii="Times New Roman" w:eastAsia="Batang" w:hAnsi="Times New Roman" w:cs="Times New Roman"/>
                <w:sz w:val="20"/>
                <w:szCs w:val="20"/>
                <w:lang w:val="en-US" w:eastAsia="ko-KR"/>
              </w:rPr>
              <w:t>0.7</w:t>
            </w:r>
            <w:r w:rsidR="008232E8" w:rsidRPr="00F53FC6">
              <w:rPr>
                <w:rFonts w:ascii="Times New Roman" w:eastAsia="Batang" w:hAnsi="Times New Roman" w:cs="Times New Roman"/>
                <w:sz w:val="20"/>
                <w:szCs w:val="20"/>
                <w:lang w:val="en-US" w:eastAsia="ko-KR"/>
              </w:rPr>
              <w:t>133</w:t>
            </w:r>
          </w:p>
        </w:tc>
        <w:tc>
          <w:tcPr>
            <w:tcW w:w="732" w:type="pct"/>
            <w:shd w:val="clear" w:color="auto" w:fill="auto"/>
            <w:vAlign w:val="center"/>
          </w:tcPr>
          <w:p w14:paraId="7669D49C" w14:textId="4EBACEA4" w:rsidR="005C7A05" w:rsidRPr="00F53FC6" w:rsidRDefault="005C7A05" w:rsidP="003E5086">
            <w:pPr>
              <w:jc w:val="right"/>
              <w:rPr>
                <w:rFonts w:ascii="Times New Roman" w:eastAsia="Batang" w:hAnsi="Times New Roman" w:cs="Times New Roman"/>
                <w:sz w:val="20"/>
                <w:szCs w:val="20"/>
                <w:lang w:val="en-US" w:eastAsia="ko-KR"/>
              </w:rPr>
            </w:pPr>
            <w:r w:rsidRPr="00F53FC6">
              <w:rPr>
                <w:rFonts w:ascii="Times New Roman" w:eastAsia="Batang" w:hAnsi="Times New Roman" w:cs="Times New Roman"/>
                <w:sz w:val="20"/>
                <w:szCs w:val="20"/>
                <w:lang w:val="en-US" w:eastAsia="ko-KR"/>
              </w:rPr>
              <w:t>0.8</w:t>
            </w:r>
            <w:r w:rsidR="00490E2A" w:rsidRPr="00F53FC6">
              <w:rPr>
                <w:rFonts w:ascii="Times New Roman" w:eastAsia="Batang" w:hAnsi="Times New Roman" w:cs="Times New Roman"/>
                <w:sz w:val="20"/>
                <w:szCs w:val="20"/>
                <w:lang w:val="en-US" w:eastAsia="ko-KR"/>
              </w:rPr>
              <w:t>028</w:t>
            </w:r>
          </w:p>
        </w:tc>
        <w:tc>
          <w:tcPr>
            <w:tcW w:w="563" w:type="pct"/>
            <w:shd w:val="clear" w:color="auto" w:fill="auto"/>
            <w:vAlign w:val="center"/>
          </w:tcPr>
          <w:p w14:paraId="550E56A3" w14:textId="13E5AE6D" w:rsidR="005C7A05" w:rsidRPr="00F53FC6" w:rsidRDefault="005C7A05" w:rsidP="003E5086">
            <w:pPr>
              <w:jc w:val="right"/>
              <w:rPr>
                <w:rFonts w:ascii="Times New Roman" w:eastAsia="Batang" w:hAnsi="Times New Roman" w:cs="Times New Roman"/>
                <w:sz w:val="20"/>
                <w:szCs w:val="20"/>
                <w:lang w:val="en-US" w:eastAsia="ko-KR"/>
              </w:rPr>
            </w:pPr>
            <w:r w:rsidRPr="00F53FC6">
              <w:rPr>
                <w:rFonts w:ascii="Times New Roman" w:eastAsia="Batang" w:hAnsi="Times New Roman" w:cs="Times New Roman"/>
                <w:sz w:val="20"/>
                <w:szCs w:val="20"/>
                <w:lang w:val="en-US" w:eastAsia="ko-KR"/>
              </w:rPr>
              <w:t>0.3</w:t>
            </w:r>
            <w:r w:rsidR="00490E2A" w:rsidRPr="00F53FC6">
              <w:rPr>
                <w:rFonts w:ascii="Times New Roman" w:eastAsia="Batang" w:hAnsi="Times New Roman" w:cs="Times New Roman"/>
                <w:sz w:val="20"/>
                <w:szCs w:val="20"/>
                <w:lang w:val="en-US" w:eastAsia="ko-KR"/>
              </w:rPr>
              <w:t>345</w:t>
            </w:r>
          </w:p>
        </w:tc>
        <w:tc>
          <w:tcPr>
            <w:tcW w:w="638" w:type="pct"/>
            <w:shd w:val="clear" w:color="auto" w:fill="auto"/>
            <w:vAlign w:val="center"/>
          </w:tcPr>
          <w:p w14:paraId="221E8FB2" w14:textId="72A67CED" w:rsidR="005C7A05" w:rsidRPr="00F53FC6" w:rsidRDefault="005C7A05" w:rsidP="003E5086">
            <w:pPr>
              <w:jc w:val="right"/>
              <w:rPr>
                <w:rFonts w:ascii="Times New Roman" w:eastAsia="Batang" w:hAnsi="Times New Roman" w:cs="Times New Roman"/>
                <w:sz w:val="20"/>
                <w:szCs w:val="20"/>
                <w:lang w:val="en-US" w:eastAsia="ko-KR"/>
              </w:rPr>
            </w:pPr>
            <w:r w:rsidRPr="00F53FC6">
              <w:rPr>
                <w:rFonts w:ascii="Times New Roman" w:eastAsia="Batang" w:hAnsi="Times New Roman" w:cs="Times New Roman"/>
                <w:sz w:val="20"/>
                <w:szCs w:val="20"/>
                <w:lang w:val="en-US" w:eastAsia="ko-KR"/>
              </w:rPr>
              <w:t>0.3</w:t>
            </w:r>
            <w:r w:rsidR="00490E2A" w:rsidRPr="00F53FC6">
              <w:rPr>
                <w:rFonts w:ascii="Times New Roman" w:eastAsia="Batang" w:hAnsi="Times New Roman" w:cs="Times New Roman"/>
                <w:sz w:val="20"/>
                <w:szCs w:val="20"/>
                <w:lang w:val="en-US" w:eastAsia="ko-KR"/>
              </w:rPr>
              <w:t>213</w:t>
            </w:r>
          </w:p>
        </w:tc>
        <w:tc>
          <w:tcPr>
            <w:tcW w:w="542" w:type="pct"/>
            <w:shd w:val="clear" w:color="auto" w:fill="auto"/>
            <w:vAlign w:val="center"/>
          </w:tcPr>
          <w:p w14:paraId="5E871757" w14:textId="7FBB6D32" w:rsidR="005C7A05" w:rsidRPr="00F53FC6" w:rsidRDefault="005C7A05" w:rsidP="003E5086">
            <w:pPr>
              <w:jc w:val="right"/>
              <w:rPr>
                <w:rFonts w:ascii="Times New Roman" w:eastAsia="Batang" w:hAnsi="Times New Roman" w:cs="Times New Roman"/>
                <w:sz w:val="20"/>
                <w:szCs w:val="20"/>
                <w:lang w:val="en-US" w:eastAsia="ko-KR"/>
              </w:rPr>
            </w:pPr>
            <w:r w:rsidRPr="00F53FC6">
              <w:rPr>
                <w:rFonts w:ascii="Times New Roman" w:eastAsia="Batang" w:hAnsi="Times New Roman" w:cs="Times New Roman"/>
                <w:sz w:val="20"/>
                <w:szCs w:val="20"/>
                <w:lang w:val="en-US" w:eastAsia="ko-KR"/>
              </w:rPr>
              <w:t>1.</w:t>
            </w:r>
            <w:r w:rsidR="00490E2A" w:rsidRPr="00F53FC6">
              <w:rPr>
                <w:rFonts w:ascii="Times New Roman" w:eastAsia="Batang" w:hAnsi="Times New Roman" w:cs="Times New Roman"/>
                <w:sz w:val="20"/>
                <w:szCs w:val="20"/>
                <w:lang w:val="en-US" w:eastAsia="ko-KR"/>
              </w:rPr>
              <w:t>789</w:t>
            </w:r>
            <w:r w:rsidRPr="00F53FC6">
              <w:rPr>
                <w:rFonts w:ascii="Times New Roman" w:eastAsia="Batang" w:hAnsi="Times New Roman" w:cs="Times New Roman"/>
                <w:sz w:val="20"/>
                <w:szCs w:val="20"/>
                <w:lang w:val="en-US" w:eastAsia="ko-KR"/>
              </w:rPr>
              <w:t>3</w:t>
            </w:r>
          </w:p>
        </w:tc>
        <w:tc>
          <w:tcPr>
            <w:tcW w:w="672" w:type="pct"/>
            <w:shd w:val="clear" w:color="auto" w:fill="auto"/>
            <w:vAlign w:val="center"/>
          </w:tcPr>
          <w:p w14:paraId="68BF0786" w14:textId="11D783B4" w:rsidR="005C7A05" w:rsidRPr="00F53FC6" w:rsidRDefault="005C7A05" w:rsidP="003E5086">
            <w:pPr>
              <w:jc w:val="right"/>
              <w:rPr>
                <w:rFonts w:ascii="Times New Roman" w:eastAsia="Batang" w:hAnsi="Times New Roman" w:cs="Times New Roman"/>
                <w:sz w:val="20"/>
                <w:szCs w:val="20"/>
                <w:lang w:val="en-US" w:eastAsia="ko-KR"/>
              </w:rPr>
            </w:pPr>
            <w:r w:rsidRPr="00F53FC6">
              <w:rPr>
                <w:rFonts w:ascii="Times New Roman" w:eastAsia="Batang" w:hAnsi="Times New Roman" w:cs="Times New Roman"/>
                <w:sz w:val="20"/>
                <w:szCs w:val="20"/>
                <w:lang w:val="en-US" w:eastAsia="ko-KR"/>
              </w:rPr>
              <w:t>0.0</w:t>
            </w:r>
            <w:r w:rsidR="00490E2A" w:rsidRPr="00F53FC6">
              <w:rPr>
                <w:rFonts w:ascii="Times New Roman" w:eastAsia="Batang" w:hAnsi="Times New Roman" w:cs="Times New Roman"/>
                <w:sz w:val="20"/>
                <w:szCs w:val="20"/>
                <w:lang w:val="en-US" w:eastAsia="ko-KR"/>
              </w:rPr>
              <w:t>134</w:t>
            </w:r>
          </w:p>
        </w:tc>
      </w:tr>
      <w:tr w:rsidR="005C7A05" w:rsidRPr="00F53FC6" w14:paraId="0C6F4828" w14:textId="77777777" w:rsidTr="00F44296">
        <w:trPr>
          <w:trHeight w:val="20"/>
        </w:trPr>
        <w:tc>
          <w:tcPr>
            <w:tcW w:w="990" w:type="pct"/>
            <w:shd w:val="clear" w:color="auto" w:fill="auto"/>
            <w:vAlign w:val="center"/>
            <w:hideMark/>
          </w:tcPr>
          <w:p w14:paraId="21148BEC" w14:textId="08CEE5C7" w:rsidR="005C7A05" w:rsidRPr="00F53FC6" w:rsidRDefault="005C7A05" w:rsidP="003E5086">
            <w:pPr>
              <w:jc w:val="right"/>
              <w:rPr>
                <w:rFonts w:ascii="Times New Roman" w:eastAsia="Batang" w:hAnsi="Times New Roman" w:cs="Times New Roman"/>
                <w:sz w:val="20"/>
                <w:szCs w:val="20"/>
                <w:lang w:val="en-US" w:eastAsia="ko-KR"/>
              </w:rPr>
            </w:pPr>
            <w:r w:rsidRPr="00F53FC6">
              <w:rPr>
                <w:rFonts w:ascii="Times New Roman" w:eastAsia="Batang" w:hAnsi="Times New Roman" w:cs="Times New Roman"/>
                <w:sz w:val="20"/>
                <w:szCs w:val="20"/>
                <w:lang w:val="en-US" w:eastAsia="ko-KR"/>
              </w:rPr>
              <w:t>CFO</w:t>
            </w:r>
          </w:p>
        </w:tc>
        <w:tc>
          <w:tcPr>
            <w:tcW w:w="360" w:type="pct"/>
            <w:shd w:val="clear" w:color="auto" w:fill="auto"/>
            <w:hideMark/>
          </w:tcPr>
          <w:p w14:paraId="2C489335" w14:textId="0B26BCA2" w:rsidR="005C7A05" w:rsidRPr="00F53FC6" w:rsidRDefault="005C7A05" w:rsidP="003E5086">
            <w:pPr>
              <w:jc w:val="right"/>
              <w:rPr>
                <w:rFonts w:ascii="Times New Roman" w:eastAsia="Batang" w:hAnsi="Times New Roman" w:cs="Times New Roman"/>
                <w:sz w:val="20"/>
                <w:szCs w:val="20"/>
                <w:lang w:val="en-US" w:eastAsia="ko-KR"/>
              </w:rPr>
            </w:pPr>
            <w:r w:rsidRPr="00F53FC6">
              <w:rPr>
                <w:rFonts w:ascii="Times New Roman" w:eastAsia="Batang" w:hAnsi="Times New Roman" w:cs="Times New Roman"/>
                <w:sz w:val="20"/>
                <w:szCs w:val="20"/>
                <w:lang w:val="en-US" w:eastAsia="ko-KR"/>
              </w:rPr>
              <w:t>115</w:t>
            </w:r>
          </w:p>
        </w:tc>
        <w:tc>
          <w:tcPr>
            <w:tcW w:w="503" w:type="pct"/>
            <w:shd w:val="clear" w:color="auto" w:fill="auto"/>
            <w:vAlign w:val="center"/>
          </w:tcPr>
          <w:p w14:paraId="7744341D" w14:textId="03AD2307" w:rsidR="005C7A05" w:rsidRPr="00F53FC6" w:rsidRDefault="005C7A05" w:rsidP="003E5086">
            <w:pPr>
              <w:jc w:val="right"/>
              <w:rPr>
                <w:rFonts w:ascii="Times New Roman" w:eastAsia="Batang" w:hAnsi="Times New Roman" w:cs="Times New Roman"/>
                <w:sz w:val="20"/>
                <w:szCs w:val="20"/>
                <w:lang w:val="en-US" w:eastAsia="ko-KR"/>
              </w:rPr>
            </w:pPr>
            <w:r w:rsidRPr="00F53FC6">
              <w:rPr>
                <w:rFonts w:ascii="Times New Roman" w:eastAsia="Batang" w:hAnsi="Times New Roman" w:cs="Times New Roman"/>
                <w:sz w:val="20"/>
                <w:szCs w:val="20"/>
                <w:lang w:val="en-US" w:eastAsia="ko-KR"/>
              </w:rPr>
              <w:t>0.8</w:t>
            </w:r>
            <w:r w:rsidR="008232E8" w:rsidRPr="00F53FC6">
              <w:rPr>
                <w:rFonts w:ascii="Times New Roman" w:eastAsia="Batang" w:hAnsi="Times New Roman" w:cs="Times New Roman"/>
                <w:sz w:val="20"/>
                <w:szCs w:val="20"/>
                <w:lang w:val="en-US" w:eastAsia="ko-KR"/>
              </w:rPr>
              <w:t>45</w:t>
            </w:r>
            <w:r w:rsidRPr="00F53FC6">
              <w:rPr>
                <w:rFonts w:ascii="Times New Roman" w:eastAsia="Batang" w:hAnsi="Times New Roman" w:cs="Times New Roman"/>
                <w:sz w:val="20"/>
                <w:szCs w:val="20"/>
                <w:lang w:val="en-US" w:eastAsia="ko-KR"/>
              </w:rPr>
              <w:t>0</w:t>
            </w:r>
            <w:r w:rsidR="008232E8" w:rsidRPr="00F53FC6">
              <w:rPr>
                <w:rFonts w:ascii="Times New Roman" w:eastAsia="Batang" w:hAnsi="Times New Roman" w:cs="Times New Roman"/>
                <w:sz w:val="20"/>
                <w:szCs w:val="20"/>
                <w:lang w:val="en-US" w:eastAsia="ko-KR"/>
              </w:rPr>
              <w:t>1</w:t>
            </w:r>
          </w:p>
        </w:tc>
        <w:tc>
          <w:tcPr>
            <w:tcW w:w="732" w:type="pct"/>
            <w:shd w:val="clear" w:color="auto" w:fill="auto"/>
            <w:vAlign w:val="center"/>
          </w:tcPr>
          <w:p w14:paraId="0E9030E7" w14:textId="60BE094D" w:rsidR="005C7A05" w:rsidRPr="00F53FC6" w:rsidRDefault="005C7A05" w:rsidP="003E5086">
            <w:pPr>
              <w:jc w:val="right"/>
              <w:rPr>
                <w:rFonts w:ascii="Times New Roman" w:eastAsia="Batang" w:hAnsi="Times New Roman" w:cs="Times New Roman"/>
                <w:sz w:val="20"/>
                <w:szCs w:val="20"/>
                <w:lang w:val="en-US" w:eastAsia="ko-KR"/>
              </w:rPr>
            </w:pPr>
            <w:r w:rsidRPr="00F53FC6">
              <w:rPr>
                <w:rFonts w:ascii="Times New Roman" w:eastAsia="Batang" w:hAnsi="Times New Roman" w:cs="Times New Roman"/>
                <w:sz w:val="20"/>
                <w:szCs w:val="20"/>
                <w:lang w:val="en-US" w:eastAsia="ko-KR"/>
              </w:rPr>
              <w:t>0.8</w:t>
            </w:r>
            <w:r w:rsidR="00490E2A" w:rsidRPr="00F53FC6">
              <w:rPr>
                <w:rFonts w:ascii="Times New Roman" w:eastAsia="Batang" w:hAnsi="Times New Roman" w:cs="Times New Roman"/>
                <w:sz w:val="20"/>
                <w:szCs w:val="20"/>
                <w:lang w:val="en-US" w:eastAsia="ko-KR"/>
              </w:rPr>
              <w:t>8234</w:t>
            </w:r>
          </w:p>
        </w:tc>
        <w:tc>
          <w:tcPr>
            <w:tcW w:w="563" w:type="pct"/>
            <w:shd w:val="clear" w:color="auto" w:fill="auto"/>
            <w:vAlign w:val="center"/>
          </w:tcPr>
          <w:p w14:paraId="4CB0C4D7" w14:textId="487E2674" w:rsidR="005C7A05" w:rsidRPr="00F53FC6" w:rsidRDefault="005C7A05" w:rsidP="003E5086">
            <w:pPr>
              <w:jc w:val="right"/>
              <w:rPr>
                <w:rFonts w:ascii="Times New Roman" w:eastAsia="Batang" w:hAnsi="Times New Roman" w:cs="Times New Roman"/>
                <w:sz w:val="20"/>
                <w:szCs w:val="20"/>
                <w:lang w:val="en-US" w:eastAsia="ko-KR"/>
              </w:rPr>
            </w:pPr>
            <w:r w:rsidRPr="00F53FC6">
              <w:rPr>
                <w:rFonts w:ascii="Times New Roman" w:eastAsia="Batang" w:hAnsi="Times New Roman" w:cs="Times New Roman"/>
                <w:sz w:val="20"/>
                <w:szCs w:val="20"/>
                <w:lang w:val="en-US" w:eastAsia="ko-KR"/>
              </w:rPr>
              <w:t>0.4</w:t>
            </w:r>
            <w:r w:rsidR="00490E2A" w:rsidRPr="00F53FC6">
              <w:rPr>
                <w:rFonts w:ascii="Times New Roman" w:eastAsia="Batang" w:hAnsi="Times New Roman" w:cs="Times New Roman"/>
                <w:sz w:val="20"/>
                <w:szCs w:val="20"/>
                <w:lang w:val="en-US" w:eastAsia="ko-KR"/>
              </w:rPr>
              <w:t>212</w:t>
            </w:r>
          </w:p>
        </w:tc>
        <w:tc>
          <w:tcPr>
            <w:tcW w:w="638" w:type="pct"/>
            <w:shd w:val="clear" w:color="auto" w:fill="auto"/>
            <w:vAlign w:val="center"/>
          </w:tcPr>
          <w:p w14:paraId="347C4B6A" w14:textId="5792767C" w:rsidR="005C7A05" w:rsidRPr="00F53FC6" w:rsidRDefault="005C7A05" w:rsidP="003E5086">
            <w:pPr>
              <w:jc w:val="right"/>
              <w:rPr>
                <w:rFonts w:ascii="Times New Roman" w:eastAsia="Batang" w:hAnsi="Times New Roman" w:cs="Times New Roman"/>
                <w:sz w:val="20"/>
                <w:szCs w:val="20"/>
                <w:lang w:val="en-US" w:eastAsia="ko-KR"/>
              </w:rPr>
            </w:pPr>
            <w:r w:rsidRPr="00F53FC6">
              <w:rPr>
                <w:rFonts w:ascii="Times New Roman" w:eastAsia="Batang" w:hAnsi="Times New Roman" w:cs="Times New Roman"/>
                <w:sz w:val="20"/>
                <w:szCs w:val="20"/>
                <w:lang w:val="en-US" w:eastAsia="ko-KR"/>
              </w:rPr>
              <w:t>0.</w:t>
            </w:r>
            <w:r w:rsidR="00490E2A" w:rsidRPr="00F53FC6">
              <w:rPr>
                <w:rFonts w:ascii="Times New Roman" w:eastAsia="Batang" w:hAnsi="Times New Roman" w:cs="Times New Roman"/>
                <w:sz w:val="20"/>
                <w:szCs w:val="20"/>
                <w:lang w:val="en-US" w:eastAsia="ko-KR"/>
              </w:rPr>
              <w:t>1980</w:t>
            </w:r>
          </w:p>
        </w:tc>
        <w:tc>
          <w:tcPr>
            <w:tcW w:w="542" w:type="pct"/>
            <w:shd w:val="clear" w:color="auto" w:fill="auto"/>
            <w:vAlign w:val="center"/>
          </w:tcPr>
          <w:p w14:paraId="26AD53E7" w14:textId="07241048" w:rsidR="005C7A05" w:rsidRPr="00F53FC6" w:rsidRDefault="005C7A05" w:rsidP="003E5086">
            <w:pPr>
              <w:jc w:val="right"/>
              <w:rPr>
                <w:rFonts w:ascii="Times New Roman" w:eastAsia="Batang" w:hAnsi="Times New Roman" w:cs="Times New Roman"/>
                <w:sz w:val="20"/>
                <w:szCs w:val="20"/>
                <w:lang w:val="en-US" w:eastAsia="ko-KR"/>
              </w:rPr>
            </w:pPr>
            <w:r w:rsidRPr="00F53FC6">
              <w:rPr>
                <w:rFonts w:ascii="Times New Roman" w:eastAsia="Batang" w:hAnsi="Times New Roman" w:cs="Times New Roman"/>
                <w:sz w:val="20"/>
                <w:szCs w:val="20"/>
                <w:lang w:val="en-US" w:eastAsia="ko-KR"/>
              </w:rPr>
              <w:t>2.</w:t>
            </w:r>
            <w:r w:rsidR="00490E2A" w:rsidRPr="00F53FC6">
              <w:rPr>
                <w:rFonts w:ascii="Times New Roman" w:eastAsia="Batang" w:hAnsi="Times New Roman" w:cs="Times New Roman"/>
                <w:sz w:val="20"/>
                <w:szCs w:val="20"/>
                <w:lang w:val="en-US" w:eastAsia="ko-KR"/>
              </w:rPr>
              <w:t>11</w:t>
            </w:r>
            <w:r w:rsidRPr="00F53FC6">
              <w:rPr>
                <w:rFonts w:ascii="Times New Roman" w:eastAsia="Batang" w:hAnsi="Times New Roman" w:cs="Times New Roman"/>
                <w:sz w:val="20"/>
                <w:szCs w:val="20"/>
                <w:lang w:val="en-US" w:eastAsia="ko-KR"/>
              </w:rPr>
              <w:t>9</w:t>
            </w:r>
            <w:r w:rsidR="00490E2A" w:rsidRPr="00F53FC6">
              <w:rPr>
                <w:rFonts w:ascii="Times New Roman" w:eastAsia="Batang" w:hAnsi="Times New Roman" w:cs="Times New Roman"/>
                <w:sz w:val="20"/>
                <w:szCs w:val="20"/>
                <w:lang w:val="en-US" w:eastAsia="ko-KR"/>
              </w:rPr>
              <w:t>1</w:t>
            </w:r>
          </w:p>
        </w:tc>
        <w:tc>
          <w:tcPr>
            <w:tcW w:w="672" w:type="pct"/>
            <w:shd w:val="clear" w:color="auto" w:fill="auto"/>
            <w:vAlign w:val="center"/>
          </w:tcPr>
          <w:p w14:paraId="450B3134" w14:textId="71F29805" w:rsidR="005C7A05" w:rsidRPr="00F53FC6" w:rsidRDefault="005C7A05" w:rsidP="003E5086">
            <w:pPr>
              <w:jc w:val="right"/>
              <w:rPr>
                <w:rFonts w:ascii="Times New Roman" w:eastAsia="Batang" w:hAnsi="Times New Roman" w:cs="Times New Roman"/>
                <w:sz w:val="20"/>
                <w:szCs w:val="20"/>
                <w:lang w:val="en-US" w:eastAsia="ko-KR"/>
              </w:rPr>
            </w:pPr>
            <w:r w:rsidRPr="00F53FC6">
              <w:rPr>
                <w:rFonts w:ascii="Times New Roman" w:eastAsia="Batang" w:hAnsi="Times New Roman" w:cs="Times New Roman"/>
                <w:sz w:val="20"/>
                <w:szCs w:val="20"/>
                <w:lang w:val="en-US" w:eastAsia="ko-KR"/>
              </w:rPr>
              <w:t>0.0</w:t>
            </w:r>
            <w:r w:rsidR="00490E2A" w:rsidRPr="00F53FC6">
              <w:rPr>
                <w:rFonts w:ascii="Times New Roman" w:eastAsia="Batang" w:hAnsi="Times New Roman" w:cs="Times New Roman"/>
                <w:sz w:val="20"/>
                <w:szCs w:val="20"/>
                <w:lang w:val="en-US" w:eastAsia="ko-KR"/>
              </w:rPr>
              <w:t>178</w:t>
            </w:r>
          </w:p>
        </w:tc>
      </w:tr>
      <w:tr w:rsidR="005C7A05" w:rsidRPr="00F53FC6" w14:paraId="4F146936" w14:textId="77777777" w:rsidTr="00F44296">
        <w:trPr>
          <w:trHeight w:val="20"/>
        </w:trPr>
        <w:tc>
          <w:tcPr>
            <w:tcW w:w="990" w:type="pct"/>
            <w:tcBorders>
              <w:bottom w:val="single" w:sz="24" w:space="0" w:color="auto"/>
            </w:tcBorders>
            <w:shd w:val="clear" w:color="auto" w:fill="auto"/>
            <w:vAlign w:val="center"/>
          </w:tcPr>
          <w:p w14:paraId="4B75FFC5" w14:textId="12884833" w:rsidR="005C7A05" w:rsidRPr="00F53FC6" w:rsidRDefault="005C7A05" w:rsidP="003E5086">
            <w:pPr>
              <w:jc w:val="right"/>
              <w:rPr>
                <w:rFonts w:ascii="Times New Roman" w:eastAsia="Batang" w:hAnsi="Times New Roman" w:cs="Times New Roman"/>
                <w:b/>
                <w:bCs/>
                <w:sz w:val="20"/>
                <w:szCs w:val="20"/>
                <w:lang w:val="en-US" w:eastAsia="ko-KR"/>
              </w:rPr>
            </w:pPr>
            <w:r w:rsidRPr="00F53FC6">
              <w:rPr>
                <w:rFonts w:ascii="Times New Roman" w:eastAsia="Batang" w:hAnsi="Times New Roman" w:cs="Times New Roman"/>
                <w:b/>
                <w:bCs/>
                <w:sz w:val="20"/>
                <w:szCs w:val="20"/>
                <w:lang w:val="en-US" w:eastAsia="ko-KR"/>
              </w:rPr>
              <w:t>Average Score</w:t>
            </w:r>
          </w:p>
        </w:tc>
        <w:tc>
          <w:tcPr>
            <w:tcW w:w="360" w:type="pct"/>
            <w:tcBorders>
              <w:bottom w:val="single" w:sz="24" w:space="0" w:color="auto"/>
            </w:tcBorders>
            <w:shd w:val="clear" w:color="auto" w:fill="auto"/>
          </w:tcPr>
          <w:p w14:paraId="08E210DF" w14:textId="156938B4" w:rsidR="005C7A05" w:rsidRPr="00F53FC6" w:rsidRDefault="005C7A05" w:rsidP="003E5086">
            <w:pPr>
              <w:jc w:val="right"/>
              <w:rPr>
                <w:rFonts w:ascii="Times New Roman" w:eastAsia="Batang" w:hAnsi="Times New Roman" w:cs="Times New Roman"/>
                <w:b/>
                <w:bCs/>
                <w:sz w:val="20"/>
                <w:szCs w:val="20"/>
                <w:lang w:val="en-US" w:eastAsia="ko-KR"/>
              </w:rPr>
            </w:pPr>
            <w:r w:rsidRPr="00F53FC6">
              <w:rPr>
                <w:rFonts w:ascii="Times New Roman" w:eastAsia="Batang" w:hAnsi="Times New Roman" w:cs="Times New Roman"/>
                <w:b/>
                <w:bCs/>
                <w:sz w:val="20"/>
                <w:szCs w:val="20"/>
                <w:lang w:val="en-US" w:eastAsia="ko-KR"/>
              </w:rPr>
              <w:t>115</w:t>
            </w:r>
          </w:p>
        </w:tc>
        <w:tc>
          <w:tcPr>
            <w:tcW w:w="503" w:type="pct"/>
            <w:tcBorders>
              <w:bottom w:val="single" w:sz="24" w:space="0" w:color="auto"/>
            </w:tcBorders>
            <w:shd w:val="clear" w:color="auto" w:fill="auto"/>
            <w:vAlign w:val="center"/>
          </w:tcPr>
          <w:p w14:paraId="63ADE87E" w14:textId="3A4964D0" w:rsidR="005C7A05" w:rsidRPr="00F53FC6" w:rsidRDefault="005C7A05" w:rsidP="003E5086">
            <w:pPr>
              <w:jc w:val="right"/>
              <w:rPr>
                <w:rFonts w:ascii="Times New Roman" w:eastAsia="Batang" w:hAnsi="Times New Roman" w:cs="Times New Roman"/>
                <w:b/>
                <w:bCs/>
                <w:sz w:val="20"/>
                <w:szCs w:val="20"/>
                <w:lang w:val="en-US" w:eastAsia="ko-KR"/>
              </w:rPr>
            </w:pPr>
            <w:r w:rsidRPr="00F53FC6">
              <w:rPr>
                <w:rFonts w:ascii="Times New Roman" w:eastAsia="Batang" w:hAnsi="Times New Roman" w:cs="Times New Roman"/>
                <w:b/>
                <w:bCs/>
                <w:sz w:val="20"/>
                <w:szCs w:val="20"/>
                <w:lang w:val="en-US" w:eastAsia="ko-KR"/>
              </w:rPr>
              <w:t>0.</w:t>
            </w:r>
            <w:r w:rsidR="008232E8" w:rsidRPr="00F53FC6">
              <w:rPr>
                <w:rFonts w:ascii="Times New Roman" w:eastAsia="Batang" w:hAnsi="Times New Roman" w:cs="Times New Roman"/>
                <w:b/>
                <w:bCs/>
                <w:sz w:val="20"/>
                <w:szCs w:val="20"/>
                <w:lang w:val="en-US" w:eastAsia="ko-KR"/>
              </w:rPr>
              <w:t>6</w:t>
            </w:r>
            <w:r w:rsidR="00490E2A" w:rsidRPr="00F53FC6">
              <w:rPr>
                <w:rFonts w:ascii="Times New Roman" w:eastAsia="Batang" w:hAnsi="Times New Roman" w:cs="Times New Roman"/>
                <w:b/>
                <w:bCs/>
                <w:sz w:val="20"/>
                <w:szCs w:val="20"/>
                <w:lang w:val="en-US" w:eastAsia="ko-KR"/>
              </w:rPr>
              <w:t>8</w:t>
            </w:r>
            <w:r w:rsidR="008232E8" w:rsidRPr="00F53FC6">
              <w:rPr>
                <w:rFonts w:ascii="Times New Roman" w:eastAsia="Batang" w:hAnsi="Times New Roman" w:cs="Times New Roman"/>
                <w:b/>
                <w:bCs/>
                <w:sz w:val="20"/>
                <w:szCs w:val="20"/>
                <w:lang w:val="en-US" w:eastAsia="ko-KR"/>
              </w:rPr>
              <w:t>48</w:t>
            </w:r>
          </w:p>
        </w:tc>
        <w:tc>
          <w:tcPr>
            <w:tcW w:w="732" w:type="pct"/>
            <w:tcBorders>
              <w:bottom w:val="single" w:sz="24" w:space="0" w:color="auto"/>
            </w:tcBorders>
            <w:shd w:val="clear" w:color="auto" w:fill="auto"/>
            <w:vAlign w:val="center"/>
          </w:tcPr>
          <w:p w14:paraId="21BD0D6E" w14:textId="3D79DADF" w:rsidR="005C7A05" w:rsidRPr="00F53FC6" w:rsidRDefault="005C7A05" w:rsidP="003E5086">
            <w:pPr>
              <w:jc w:val="right"/>
              <w:rPr>
                <w:rFonts w:ascii="Times New Roman" w:eastAsia="Batang" w:hAnsi="Times New Roman" w:cs="Times New Roman"/>
                <w:b/>
                <w:bCs/>
                <w:sz w:val="20"/>
                <w:szCs w:val="20"/>
                <w:lang w:val="en-US" w:eastAsia="ko-KR"/>
              </w:rPr>
            </w:pPr>
            <w:r w:rsidRPr="00F53FC6">
              <w:rPr>
                <w:rFonts w:ascii="Times New Roman" w:eastAsia="Batang" w:hAnsi="Times New Roman" w:cs="Times New Roman"/>
                <w:b/>
                <w:bCs/>
                <w:sz w:val="20"/>
                <w:szCs w:val="20"/>
                <w:lang w:val="en-US" w:eastAsia="ko-KR"/>
              </w:rPr>
              <w:t>0.8</w:t>
            </w:r>
            <w:r w:rsidR="00490E2A" w:rsidRPr="00F53FC6">
              <w:rPr>
                <w:rFonts w:ascii="Times New Roman" w:eastAsia="Batang" w:hAnsi="Times New Roman" w:cs="Times New Roman"/>
                <w:b/>
                <w:bCs/>
                <w:sz w:val="20"/>
                <w:szCs w:val="20"/>
                <w:lang w:val="en-US" w:eastAsia="ko-KR"/>
              </w:rPr>
              <w:t>001</w:t>
            </w:r>
          </w:p>
        </w:tc>
        <w:tc>
          <w:tcPr>
            <w:tcW w:w="563" w:type="pct"/>
            <w:tcBorders>
              <w:bottom w:val="single" w:sz="24" w:space="0" w:color="auto"/>
            </w:tcBorders>
            <w:shd w:val="clear" w:color="auto" w:fill="auto"/>
            <w:vAlign w:val="center"/>
          </w:tcPr>
          <w:p w14:paraId="6CB8FEC3" w14:textId="194ED832" w:rsidR="005C7A05" w:rsidRPr="00F53FC6" w:rsidRDefault="005C7A05" w:rsidP="003E5086">
            <w:pPr>
              <w:jc w:val="right"/>
              <w:rPr>
                <w:rFonts w:ascii="Times New Roman" w:eastAsia="Batang" w:hAnsi="Times New Roman" w:cs="Times New Roman"/>
                <w:b/>
                <w:bCs/>
                <w:sz w:val="20"/>
                <w:szCs w:val="20"/>
                <w:lang w:val="en-US" w:eastAsia="ko-KR"/>
              </w:rPr>
            </w:pPr>
            <w:r w:rsidRPr="00F53FC6">
              <w:rPr>
                <w:rFonts w:ascii="Times New Roman" w:eastAsia="Batang" w:hAnsi="Times New Roman" w:cs="Times New Roman"/>
                <w:b/>
                <w:bCs/>
                <w:sz w:val="20"/>
                <w:szCs w:val="20"/>
                <w:lang w:val="en-US" w:eastAsia="ko-KR"/>
              </w:rPr>
              <w:t>0.4</w:t>
            </w:r>
            <w:r w:rsidR="00490E2A" w:rsidRPr="00F53FC6">
              <w:rPr>
                <w:rFonts w:ascii="Times New Roman" w:eastAsia="Batang" w:hAnsi="Times New Roman" w:cs="Times New Roman"/>
                <w:b/>
                <w:bCs/>
                <w:sz w:val="20"/>
                <w:szCs w:val="20"/>
                <w:lang w:val="en-US" w:eastAsia="ko-KR"/>
              </w:rPr>
              <w:t>304</w:t>
            </w:r>
          </w:p>
        </w:tc>
        <w:tc>
          <w:tcPr>
            <w:tcW w:w="638" w:type="pct"/>
            <w:tcBorders>
              <w:bottom w:val="single" w:sz="24" w:space="0" w:color="auto"/>
            </w:tcBorders>
            <w:shd w:val="clear" w:color="auto" w:fill="auto"/>
            <w:vAlign w:val="center"/>
          </w:tcPr>
          <w:p w14:paraId="10127BD3" w14:textId="3BF304B8" w:rsidR="005C7A05" w:rsidRPr="00F53FC6" w:rsidRDefault="005C7A05" w:rsidP="003E5086">
            <w:pPr>
              <w:jc w:val="right"/>
              <w:rPr>
                <w:rFonts w:ascii="Times New Roman" w:eastAsia="Batang" w:hAnsi="Times New Roman" w:cs="Times New Roman"/>
                <w:b/>
                <w:bCs/>
                <w:sz w:val="20"/>
                <w:szCs w:val="20"/>
                <w:lang w:val="en-US" w:eastAsia="ko-KR"/>
              </w:rPr>
            </w:pPr>
            <w:r w:rsidRPr="00F53FC6">
              <w:rPr>
                <w:rFonts w:ascii="Times New Roman" w:eastAsia="Batang" w:hAnsi="Times New Roman" w:cs="Times New Roman"/>
                <w:b/>
                <w:bCs/>
                <w:sz w:val="20"/>
                <w:szCs w:val="20"/>
                <w:lang w:val="en-US" w:eastAsia="ko-KR"/>
              </w:rPr>
              <w:t>0.3</w:t>
            </w:r>
            <w:r w:rsidR="00490E2A" w:rsidRPr="00F53FC6">
              <w:rPr>
                <w:rFonts w:ascii="Times New Roman" w:eastAsia="Batang" w:hAnsi="Times New Roman" w:cs="Times New Roman"/>
                <w:b/>
                <w:bCs/>
                <w:sz w:val="20"/>
                <w:szCs w:val="20"/>
                <w:lang w:val="en-US" w:eastAsia="ko-KR"/>
              </w:rPr>
              <w:t>101</w:t>
            </w:r>
          </w:p>
        </w:tc>
        <w:tc>
          <w:tcPr>
            <w:tcW w:w="542" w:type="pct"/>
            <w:tcBorders>
              <w:bottom w:val="single" w:sz="24" w:space="0" w:color="auto"/>
            </w:tcBorders>
            <w:shd w:val="clear" w:color="auto" w:fill="auto"/>
            <w:vAlign w:val="center"/>
          </w:tcPr>
          <w:p w14:paraId="1686A237" w14:textId="46236DC1" w:rsidR="005C7A05" w:rsidRPr="00F53FC6" w:rsidRDefault="005C7A05" w:rsidP="003E5086">
            <w:pPr>
              <w:jc w:val="right"/>
              <w:rPr>
                <w:rFonts w:ascii="Times New Roman" w:eastAsia="Batang" w:hAnsi="Times New Roman" w:cs="Times New Roman"/>
                <w:b/>
                <w:bCs/>
                <w:sz w:val="20"/>
                <w:szCs w:val="20"/>
                <w:lang w:val="en-US" w:eastAsia="ko-KR"/>
              </w:rPr>
            </w:pPr>
            <w:r w:rsidRPr="00F53FC6">
              <w:rPr>
                <w:rFonts w:ascii="Times New Roman" w:eastAsia="Batang" w:hAnsi="Times New Roman" w:cs="Times New Roman"/>
                <w:b/>
                <w:bCs/>
                <w:sz w:val="20"/>
                <w:szCs w:val="20"/>
                <w:lang w:val="en-US" w:eastAsia="ko-KR"/>
              </w:rPr>
              <w:t>2.</w:t>
            </w:r>
            <w:r w:rsidR="00490E2A" w:rsidRPr="00F53FC6">
              <w:rPr>
                <w:rFonts w:ascii="Times New Roman" w:eastAsia="Batang" w:hAnsi="Times New Roman" w:cs="Times New Roman"/>
                <w:b/>
                <w:bCs/>
                <w:sz w:val="20"/>
                <w:szCs w:val="20"/>
                <w:lang w:val="en-US" w:eastAsia="ko-KR"/>
              </w:rPr>
              <w:t>6233</w:t>
            </w:r>
          </w:p>
        </w:tc>
        <w:tc>
          <w:tcPr>
            <w:tcW w:w="672" w:type="pct"/>
            <w:tcBorders>
              <w:bottom w:val="single" w:sz="24" w:space="0" w:color="auto"/>
            </w:tcBorders>
            <w:shd w:val="clear" w:color="auto" w:fill="auto"/>
            <w:vAlign w:val="center"/>
          </w:tcPr>
          <w:p w14:paraId="026746D1" w14:textId="243CD72B" w:rsidR="005C7A05" w:rsidRPr="00F53FC6" w:rsidRDefault="005C7A05" w:rsidP="003E5086">
            <w:pPr>
              <w:jc w:val="right"/>
              <w:rPr>
                <w:rFonts w:ascii="Times New Roman" w:eastAsia="Batang" w:hAnsi="Times New Roman" w:cs="Times New Roman"/>
                <w:b/>
                <w:bCs/>
                <w:sz w:val="20"/>
                <w:szCs w:val="20"/>
                <w:lang w:val="en-US" w:eastAsia="ko-KR"/>
              </w:rPr>
            </w:pPr>
            <w:r w:rsidRPr="00F53FC6">
              <w:rPr>
                <w:rFonts w:ascii="Times New Roman" w:eastAsia="Batang" w:hAnsi="Times New Roman" w:cs="Times New Roman"/>
                <w:b/>
                <w:bCs/>
                <w:sz w:val="20"/>
                <w:szCs w:val="20"/>
                <w:lang w:val="en-US" w:eastAsia="ko-KR"/>
              </w:rPr>
              <w:t>0.0</w:t>
            </w:r>
            <w:r w:rsidR="00490E2A" w:rsidRPr="00F53FC6">
              <w:rPr>
                <w:rFonts w:ascii="Times New Roman" w:eastAsia="Batang" w:hAnsi="Times New Roman" w:cs="Times New Roman"/>
                <w:b/>
                <w:bCs/>
                <w:sz w:val="20"/>
                <w:szCs w:val="20"/>
                <w:lang w:val="en-US" w:eastAsia="ko-KR"/>
              </w:rPr>
              <w:t>156</w:t>
            </w:r>
          </w:p>
        </w:tc>
      </w:tr>
    </w:tbl>
    <w:p w14:paraId="5794D91F" w14:textId="03AEA528" w:rsidR="00A76208" w:rsidRPr="00F53FC6" w:rsidRDefault="00A76208" w:rsidP="00BF5B8B">
      <w:pPr>
        <w:spacing w:after="0" w:line="360" w:lineRule="auto"/>
        <w:contextualSpacing/>
        <w:mirrorIndents/>
        <w:jc w:val="both"/>
        <w:rPr>
          <w:rFonts w:ascii="Times New Roman" w:hAnsi="Times New Roman" w:cs="Times New Roman"/>
          <w:i/>
          <w:iCs/>
          <w:lang w:val="en-US"/>
        </w:rPr>
      </w:pPr>
    </w:p>
    <w:p w14:paraId="08412E36" w14:textId="22638D36" w:rsidR="005F41E1" w:rsidRPr="00F53FC6" w:rsidRDefault="003555C0" w:rsidP="008D5877">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lang w:val="en-US"/>
        </w:rPr>
        <w:lastRenderedPageBreak/>
        <w:t>From the table, the average mean of variables is 0.</w:t>
      </w:r>
      <w:r w:rsidR="008232E8" w:rsidRPr="00F53FC6">
        <w:rPr>
          <w:rFonts w:ascii="Times New Roman" w:hAnsi="Times New Roman" w:cs="Times New Roman"/>
          <w:lang w:val="en-US"/>
        </w:rPr>
        <w:t>6648</w:t>
      </w:r>
      <w:r w:rsidRPr="00F53FC6">
        <w:rPr>
          <w:rFonts w:ascii="Times New Roman" w:hAnsi="Times New Roman" w:cs="Times New Roman"/>
          <w:lang w:val="en-US"/>
        </w:rPr>
        <w:t xml:space="preserve"> and planning is practiced by an average of 0.</w:t>
      </w:r>
      <w:r w:rsidR="00927FDF" w:rsidRPr="00F53FC6">
        <w:rPr>
          <w:rFonts w:ascii="Times New Roman" w:hAnsi="Times New Roman" w:cs="Times New Roman"/>
          <w:lang w:val="en-US"/>
        </w:rPr>
        <w:t>80</w:t>
      </w:r>
      <w:r w:rsidR="008232E8" w:rsidRPr="00F53FC6">
        <w:rPr>
          <w:rFonts w:ascii="Times New Roman" w:hAnsi="Times New Roman" w:cs="Times New Roman"/>
          <w:lang w:val="en-US"/>
        </w:rPr>
        <w:t>12</w:t>
      </w:r>
      <w:r w:rsidRPr="00F53FC6">
        <w:rPr>
          <w:rFonts w:ascii="Times New Roman" w:hAnsi="Times New Roman" w:cs="Times New Roman"/>
          <w:lang w:val="en-US"/>
        </w:rPr>
        <w:t xml:space="preserve"> of the </w:t>
      </w:r>
      <w:r w:rsidR="003E5086" w:rsidRPr="00F53FC6">
        <w:rPr>
          <w:rFonts w:ascii="Times New Roman" w:hAnsi="Times New Roman" w:cs="Times New Roman"/>
          <w:lang w:val="en-US"/>
        </w:rPr>
        <w:t>115</w:t>
      </w:r>
      <w:r w:rsidRPr="00F53FC6">
        <w:rPr>
          <w:rFonts w:ascii="Times New Roman" w:hAnsi="Times New Roman" w:cs="Times New Roman"/>
          <w:lang w:val="en-US"/>
        </w:rPr>
        <w:t xml:space="preserve"> listed SMEs at the AIM Italia - which is a reasonable number. Analysis of </w:t>
      </w:r>
      <w:r w:rsidR="00927FDF" w:rsidRPr="00F53FC6">
        <w:rPr>
          <w:rFonts w:ascii="Times New Roman" w:hAnsi="Times New Roman" w:cs="Times New Roman"/>
          <w:lang w:val="en-US"/>
        </w:rPr>
        <w:t>quality standard</w:t>
      </w:r>
      <w:r w:rsidRPr="00F53FC6">
        <w:rPr>
          <w:rFonts w:ascii="Times New Roman" w:hAnsi="Times New Roman" w:cs="Times New Roman"/>
          <w:lang w:val="en-US"/>
        </w:rPr>
        <w:t xml:space="preserve"> gives an overall mean score of 0.56</w:t>
      </w:r>
      <w:r w:rsidR="008232E8" w:rsidRPr="00F53FC6">
        <w:rPr>
          <w:rFonts w:ascii="Times New Roman" w:hAnsi="Times New Roman" w:cs="Times New Roman"/>
          <w:lang w:val="en-US"/>
        </w:rPr>
        <w:t>421</w:t>
      </w:r>
      <w:r w:rsidRPr="00F53FC6">
        <w:rPr>
          <w:rFonts w:ascii="Times New Roman" w:hAnsi="Times New Roman" w:cs="Times New Roman"/>
          <w:lang w:val="en-US"/>
        </w:rPr>
        <w:t xml:space="preserve"> which is comparatively very low given the high observed scores of the other </w:t>
      </w:r>
      <w:r w:rsidR="00B85F96" w:rsidRPr="00F53FC6">
        <w:rPr>
          <w:rFonts w:ascii="Times New Roman" w:hAnsi="Times New Roman" w:cs="Times New Roman"/>
          <w:lang w:val="en-US"/>
        </w:rPr>
        <w:t>f</w:t>
      </w:r>
      <w:r w:rsidR="00927FDF" w:rsidRPr="00F53FC6">
        <w:rPr>
          <w:rFonts w:ascii="Times New Roman" w:hAnsi="Times New Roman" w:cs="Times New Roman"/>
          <w:lang w:val="en-US"/>
        </w:rPr>
        <w:t xml:space="preserve">inancial </w:t>
      </w:r>
      <w:r w:rsidR="00B85F96" w:rsidRPr="00F53FC6">
        <w:rPr>
          <w:rFonts w:ascii="Times New Roman" w:hAnsi="Times New Roman" w:cs="Times New Roman"/>
          <w:lang w:val="en-US"/>
        </w:rPr>
        <w:t>t</w:t>
      </w:r>
      <w:r w:rsidR="00927FDF" w:rsidRPr="00F53FC6">
        <w:rPr>
          <w:rFonts w:ascii="Times New Roman" w:hAnsi="Times New Roman" w:cs="Times New Roman"/>
          <w:lang w:val="en-US"/>
        </w:rPr>
        <w:t xml:space="preserve">ransparency </w:t>
      </w:r>
      <w:r w:rsidRPr="00F53FC6">
        <w:rPr>
          <w:rFonts w:ascii="Times New Roman" w:hAnsi="Times New Roman" w:cs="Times New Roman"/>
          <w:lang w:val="en-US"/>
        </w:rPr>
        <w:t xml:space="preserve">measures. The results disclosed in the above table 1 indicate that the overall mean score for </w:t>
      </w:r>
      <w:r w:rsidR="00927FDF" w:rsidRPr="00F53FC6">
        <w:rPr>
          <w:rFonts w:ascii="Times New Roman" w:hAnsi="Times New Roman" w:cs="Times New Roman"/>
          <w:lang w:val="en-US"/>
        </w:rPr>
        <w:t>Auditor</w:t>
      </w:r>
      <w:r w:rsidRPr="00F53FC6">
        <w:rPr>
          <w:rFonts w:ascii="Times New Roman" w:hAnsi="Times New Roman" w:cs="Times New Roman"/>
          <w:lang w:val="en-US"/>
        </w:rPr>
        <w:t xml:space="preserve"> is 0.7</w:t>
      </w:r>
      <w:r w:rsidR="008232E8" w:rsidRPr="00F53FC6">
        <w:rPr>
          <w:rFonts w:ascii="Times New Roman" w:hAnsi="Times New Roman" w:cs="Times New Roman"/>
          <w:lang w:val="en-US"/>
        </w:rPr>
        <w:t>133</w:t>
      </w:r>
      <w:r w:rsidRPr="00F53FC6">
        <w:rPr>
          <w:rFonts w:ascii="Times New Roman" w:hAnsi="Times New Roman" w:cs="Times New Roman"/>
          <w:lang w:val="en-US"/>
        </w:rPr>
        <w:t xml:space="preserve">. The results on </w:t>
      </w:r>
      <w:r w:rsidR="00927FDF" w:rsidRPr="00F53FC6">
        <w:rPr>
          <w:rFonts w:ascii="Times New Roman" w:hAnsi="Times New Roman" w:cs="Times New Roman"/>
          <w:lang w:val="en-US"/>
        </w:rPr>
        <w:t xml:space="preserve">Management control </w:t>
      </w:r>
      <w:r w:rsidRPr="00F53FC6">
        <w:rPr>
          <w:rFonts w:ascii="Times New Roman" w:hAnsi="Times New Roman" w:cs="Times New Roman"/>
          <w:lang w:val="en-US"/>
        </w:rPr>
        <w:t>constructs give an overall mean average of 0.8</w:t>
      </w:r>
      <w:r w:rsidR="008232E8" w:rsidRPr="00F53FC6">
        <w:rPr>
          <w:rFonts w:ascii="Times New Roman" w:hAnsi="Times New Roman" w:cs="Times New Roman"/>
          <w:lang w:val="en-US"/>
        </w:rPr>
        <w:t>001</w:t>
      </w:r>
      <w:r w:rsidRPr="00F53FC6">
        <w:rPr>
          <w:rFonts w:ascii="Times New Roman" w:hAnsi="Times New Roman" w:cs="Times New Roman"/>
          <w:lang w:val="en-US"/>
        </w:rPr>
        <w:t xml:space="preserve">. </w:t>
      </w:r>
      <w:r w:rsidR="00795D3B" w:rsidRPr="00F53FC6">
        <w:rPr>
          <w:rFonts w:ascii="Times New Roman" w:hAnsi="Times New Roman" w:cs="Times New Roman"/>
          <w:lang w:val="en-US"/>
        </w:rPr>
        <w:t xml:space="preserve">Kurtosis analysis shows that </w:t>
      </w:r>
      <w:proofErr w:type="spellStart"/>
      <w:r w:rsidR="00795D3B" w:rsidRPr="00F53FC6">
        <w:rPr>
          <w:rFonts w:ascii="Times New Roman" w:hAnsi="Times New Roman" w:cs="Times New Roman"/>
          <w:lang w:val="en-US"/>
        </w:rPr>
        <w:t>peakedness</w:t>
      </w:r>
      <w:proofErr w:type="spellEnd"/>
      <w:r w:rsidR="00795D3B" w:rsidRPr="00F53FC6">
        <w:rPr>
          <w:rFonts w:ascii="Times New Roman" w:hAnsi="Times New Roman" w:cs="Times New Roman"/>
          <w:lang w:val="en-US"/>
        </w:rPr>
        <w:t xml:space="preserve"> of the distribution of the variables is 2.</w:t>
      </w:r>
      <w:r w:rsidR="008232E8" w:rsidRPr="00F53FC6">
        <w:rPr>
          <w:rFonts w:ascii="Times New Roman" w:hAnsi="Times New Roman" w:cs="Times New Roman"/>
          <w:lang w:val="en-US"/>
        </w:rPr>
        <w:t>3701</w:t>
      </w:r>
      <w:r w:rsidR="00795D3B" w:rsidRPr="00F53FC6">
        <w:rPr>
          <w:rFonts w:ascii="Times New Roman" w:hAnsi="Times New Roman" w:cs="Times New Roman"/>
          <w:lang w:val="en-US"/>
        </w:rPr>
        <w:t xml:space="preserve"> which is less than k factor of 3 which indicates a platy-</w:t>
      </w:r>
      <w:proofErr w:type="spellStart"/>
      <w:r w:rsidR="00795D3B" w:rsidRPr="00F53FC6">
        <w:rPr>
          <w:rFonts w:ascii="Times New Roman" w:hAnsi="Times New Roman" w:cs="Times New Roman"/>
          <w:lang w:val="en-US"/>
        </w:rPr>
        <w:t>kurtic</w:t>
      </w:r>
      <w:proofErr w:type="spellEnd"/>
      <w:r w:rsidR="00795D3B" w:rsidRPr="00F53FC6">
        <w:rPr>
          <w:rFonts w:ascii="Times New Roman" w:hAnsi="Times New Roman" w:cs="Times New Roman"/>
          <w:lang w:val="en-US"/>
        </w:rPr>
        <w:t xml:space="preserve"> distribution (flatter than normal distribution with shorter tails). </w:t>
      </w:r>
      <w:r w:rsidRPr="00F53FC6">
        <w:rPr>
          <w:rFonts w:ascii="Times New Roman" w:hAnsi="Times New Roman" w:cs="Times New Roman"/>
          <w:lang w:val="en-US"/>
        </w:rPr>
        <w:t>All the constructs are platy-</w:t>
      </w:r>
      <w:proofErr w:type="spellStart"/>
      <w:r w:rsidRPr="00F53FC6">
        <w:rPr>
          <w:rFonts w:ascii="Times New Roman" w:hAnsi="Times New Roman" w:cs="Times New Roman"/>
          <w:lang w:val="en-US"/>
        </w:rPr>
        <w:t>kurtic</w:t>
      </w:r>
      <w:proofErr w:type="spellEnd"/>
      <w:r w:rsidRPr="00F53FC6">
        <w:rPr>
          <w:rFonts w:ascii="Times New Roman" w:hAnsi="Times New Roman" w:cs="Times New Roman"/>
          <w:lang w:val="en-US"/>
        </w:rPr>
        <w:t xml:space="preserve"> distribution and are normally distributed. </w:t>
      </w:r>
      <w:r w:rsidR="005C7A05" w:rsidRPr="00F53FC6">
        <w:rPr>
          <w:rFonts w:ascii="Times New Roman" w:hAnsi="Times New Roman" w:cs="Times New Roman"/>
          <w:lang w:val="en-US"/>
        </w:rPr>
        <w:t>The reading from the above study indicates that presence of CFO has average of 0.8</w:t>
      </w:r>
      <w:r w:rsidR="008232E8" w:rsidRPr="00F53FC6">
        <w:rPr>
          <w:rFonts w:ascii="Times New Roman" w:hAnsi="Times New Roman" w:cs="Times New Roman"/>
          <w:lang w:val="en-US"/>
        </w:rPr>
        <w:t>45</w:t>
      </w:r>
      <w:r w:rsidR="005C7A05" w:rsidRPr="00F53FC6">
        <w:rPr>
          <w:rFonts w:ascii="Times New Roman" w:hAnsi="Times New Roman" w:cs="Times New Roman"/>
          <w:lang w:val="en-US"/>
        </w:rPr>
        <w:t>0</w:t>
      </w:r>
      <w:r w:rsidR="008232E8" w:rsidRPr="00F53FC6">
        <w:rPr>
          <w:rFonts w:ascii="Times New Roman" w:hAnsi="Times New Roman" w:cs="Times New Roman"/>
          <w:lang w:val="en-US"/>
        </w:rPr>
        <w:t>1</w:t>
      </w:r>
      <w:r w:rsidR="005C7A05" w:rsidRPr="00F53FC6">
        <w:rPr>
          <w:rFonts w:ascii="Times New Roman" w:hAnsi="Times New Roman" w:cs="Times New Roman"/>
          <w:lang w:val="en-US"/>
        </w:rPr>
        <w:t>.</w:t>
      </w:r>
      <w:r w:rsidR="00604736">
        <w:rPr>
          <w:rFonts w:ascii="Times New Roman" w:hAnsi="Times New Roman" w:cs="Times New Roman"/>
          <w:lang w:val="en-US"/>
        </w:rPr>
        <w:t xml:space="preserve"> </w:t>
      </w:r>
      <w:r w:rsidR="008D5877" w:rsidRPr="00F53FC6">
        <w:rPr>
          <w:rFonts w:ascii="Times New Roman" w:hAnsi="Times New Roman" w:cs="Times New Roman"/>
          <w:lang w:val="en-US"/>
        </w:rPr>
        <w:t xml:space="preserve">The study score confirms a compliance rate of over </w:t>
      </w:r>
      <w:r w:rsidR="00490E2A" w:rsidRPr="00F53FC6">
        <w:rPr>
          <w:rFonts w:ascii="Times New Roman" w:hAnsi="Times New Roman" w:cs="Times New Roman"/>
          <w:lang w:val="en-US"/>
        </w:rPr>
        <w:t>68</w:t>
      </w:r>
      <w:r w:rsidR="008D5877" w:rsidRPr="00F53FC6">
        <w:rPr>
          <w:rFonts w:ascii="Times New Roman" w:hAnsi="Times New Roman" w:cs="Times New Roman"/>
          <w:lang w:val="en-US"/>
        </w:rPr>
        <w:t xml:space="preserve">% with all </w:t>
      </w:r>
      <w:r w:rsidR="005C7A05" w:rsidRPr="00F53FC6">
        <w:rPr>
          <w:rFonts w:ascii="Times New Roman" w:hAnsi="Times New Roman" w:cs="Times New Roman"/>
          <w:lang w:val="en-US"/>
        </w:rPr>
        <w:t>variables</w:t>
      </w:r>
      <w:r w:rsidR="008D5877" w:rsidRPr="00F53FC6">
        <w:rPr>
          <w:rFonts w:ascii="Times New Roman" w:hAnsi="Times New Roman" w:cs="Times New Roman"/>
          <w:lang w:val="en-US"/>
        </w:rPr>
        <w:t xml:space="preserve"> for </w:t>
      </w:r>
      <w:r w:rsidR="005C7A05" w:rsidRPr="00F53FC6">
        <w:rPr>
          <w:rFonts w:ascii="Times New Roman" w:hAnsi="Times New Roman" w:cs="Times New Roman"/>
          <w:lang w:val="en-US"/>
        </w:rPr>
        <w:t>f</w:t>
      </w:r>
      <w:r w:rsidR="008D5877" w:rsidRPr="00F53FC6">
        <w:rPr>
          <w:rFonts w:ascii="Times New Roman" w:hAnsi="Times New Roman" w:cs="Times New Roman"/>
          <w:lang w:val="en-US"/>
        </w:rPr>
        <w:t xml:space="preserve">inancial </w:t>
      </w:r>
      <w:r w:rsidR="005C7A05" w:rsidRPr="00F53FC6">
        <w:rPr>
          <w:rFonts w:ascii="Times New Roman" w:hAnsi="Times New Roman" w:cs="Times New Roman"/>
          <w:lang w:val="en-US"/>
        </w:rPr>
        <w:t>t</w:t>
      </w:r>
      <w:r w:rsidR="008D5877" w:rsidRPr="00F53FC6">
        <w:rPr>
          <w:rFonts w:ascii="Times New Roman" w:hAnsi="Times New Roman" w:cs="Times New Roman"/>
          <w:lang w:val="en-US"/>
        </w:rPr>
        <w:t xml:space="preserve">ransparency. </w:t>
      </w:r>
      <w:r w:rsidR="005F41E1" w:rsidRPr="00F53FC6">
        <w:rPr>
          <w:rFonts w:ascii="Times New Roman" w:hAnsi="Times New Roman" w:cs="Times New Roman"/>
          <w:lang w:val="en-US"/>
        </w:rPr>
        <w:t>In order to test</w:t>
      </w:r>
      <w:r w:rsidR="00841D4E" w:rsidRPr="00F53FC6">
        <w:rPr>
          <w:rFonts w:ascii="Times New Roman" w:hAnsi="Times New Roman" w:cs="Times New Roman"/>
          <w:lang w:val="en-US"/>
        </w:rPr>
        <w:t>s</w:t>
      </w:r>
      <w:r w:rsidR="005F41E1" w:rsidRPr="00F53FC6">
        <w:rPr>
          <w:rFonts w:ascii="Times New Roman" w:hAnsi="Times New Roman" w:cs="Times New Roman"/>
          <w:lang w:val="en-US"/>
        </w:rPr>
        <w:t xml:space="preserve"> if corporate value and </w:t>
      </w:r>
      <w:r w:rsidR="00841D4E" w:rsidRPr="00F53FC6">
        <w:rPr>
          <w:rFonts w:ascii="Times New Roman" w:hAnsi="Times New Roman" w:cs="Times New Roman"/>
          <w:lang w:val="en-US"/>
        </w:rPr>
        <w:t>f</w:t>
      </w:r>
      <w:r w:rsidR="005F41E1" w:rsidRPr="00F53FC6">
        <w:rPr>
          <w:rFonts w:ascii="Times New Roman" w:hAnsi="Times New Roman" w:cs="Times New Roman"/>
          <w:lang w:val="en-US"/>
        </w:rPr>
        <w:t xml:space="preserve">inancial </w:t>
      </w:r>
      <w:r w:rsidR="00841D4E" w:rsidRPr="00F53FC6">
        <w:rPr>
          <w:rFonts w:ascii="Times New Roman" w:hAnsi="Times New Roman" w:cs="Times New Roman"/>
          <w:lang w:val="en-US"/>
        </w:rPr>
        <w:t>t</w:t>
      </w:r>
      <w:r w:rsidR="005F41E1" w:rsidRPr="00F53FC6">
        <w:rPr>
          <w:rFonts w:ascii="Times New Roman" w:hAnsi="Times New Roman" w:cs="Times New Roman"/>
          <w:lang w:val="en-US"/>
        </w:rPr>
        <w:t>ransparency are related (RH</w:t>
      </w:r>
      <w:r w:rsidR="005F41E1" w:rsidRPr="00F53FC6">
        <w:rPr>
          <w:rFonts w:ascii="Times New Roman" w:hAnsi="Times New Roman" w:cs="Times New Roman"/>
          <w:vertAlign w:val="subscript"/>
          <w:lang w:val="en-US"/>
        </w:rPr>
        <w:t>1</w:t>
      </w:r>
      <w:r w:rsidR="005F41E1" w:rsidRPr="00F53FC6">
        <w:rPr>
          <w:rFonts w:ascii="Times New Roman" w:hAnsi="Times New Roman" w:cs="Times New Roman"/>
          <w:lang w:val="en-US"/>
        </w:rPr>
        <w:t>), we use the equation below (2):</w:t>
      </w:r>
    </w:p>
    <w:p w14:paraId="7658CB11" w14:textId="7516930A" w:rsidR="005F41E1" w:rsidRPr="00F53FC6" w:rsidRDefault="005F41E1" w:rsidP="00907571">
      <w:pPr>
        <w:spacing w:after="0" w:line="360" w:lineRule="auto"/>
        <w:contextualSpacing/>
        <w:mirrorIndents/>
        <w:jc w:val="center"/>
        <w:rPr>
          <w:rFonts w:ascii="Times New Roman" w:hAnsi="Times New Roman" w:cs="Times New Roman"/>
          <w:lang w:val="en-US"/>
        </w:rPr>
      </w:pPr>
      <w:r w:rsidRPr="00F53FC6">
        <w:rPr>
          <w:rFonts w:ascii="Times New Roman" w:hAnsi="Times New Roman" w:cs="Times New Roman"/>
          <w:lang w:val="en-US"/>
        </w:rPr>
        <w:t>Y = β</w:t>
      </w:r>
      <w:r w:rsidRPr="00F53FC6">
        <w:rPr>
          <w:rFonts w:ascii="Times New Roman" w:hAnsi="Times New Roman" w:cs="Times New Roman"/>
          <w:vertAlign w:val="subscript"/>
          <w:lang w:val="en-US"/>
        </w:rPr>
        <w:t>0</w:t>
      </w:r>
      <w:r w:rsidRPr="00F53FC6">
        <w:rPr>
          <w:rFonts w:ascii="Times New Roman" w:hAnsi="Times New Roman" w:cs="Times New Roman"/>
          <w:lang w:val="en-US"/>
        </w:rPr>
        <w:t xml:space="preserve"> + β</w:t>
      </w:r>
      <w:r w:rsidRPr="00F53FC6">
        <w:rPr>
          <w:rFonts w:ascii="Times New Roman" w:hAnsi="Times New Roman" w:cs="Times New Roman"/>
          <w:vertAlign w:val="subscript"/>
          <w:lang w:val="en-US"/>
        </w:rPr>
        <w:t>1</w:t>
      </w:r>
      <w:r w:rsidRPr="00F53FC6">
        <w:rPr>
          <w:rFonts w:ascii="Times New Roman" w:hAnsi="Times New Roman" w:cs="Times New Roman"/>
          <w:lang w:val="en-US"/>
        </w:rPr>
        <w:t>X</w:t>
      </w:r>
      <w:r w:rsidRPr="00F53FC6">
        <w:rPr>
          <w:rFonts w:ascii="Times New Roman" w:hAnsi="Times New Roman" w:cs="Times New Roman"/>
          <w:lang w:val="en-US"/>
        </w:rPr>
        <w:tab/>
        <w:t xml:space="preserve"> [2]</w:t>
      </w:r>
    </w:p>
    <w:p w14:paraId="2A091D7A" w14:textId="1477BF15" w:rsidR="005F41E1" w:rsidRPr="00F53FC6" w:rsidRDefault="005F41E1" w:rsidP="008D5877">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lang w:val="en-US"/>
        </w:rPr>
        <w:t xml:space="preserve">where </w:t>
      </w:r>
      <w:r w:rsidR="00907571" w:rsidRPr="00F53FC6">
        <w:rPr>
          <w:rFonts w:ascii="Times New Roman" w:hAnsi="Times New Roman" w:cs="Times New Roman"/>
          <w:lang w:val="en-US"/>
        </w:rPr>
        <w:t xml:space="preserve">X = Financial </w:t>
      </w:r>
      <w:r w:rsidR="00841D4E" w:rsidRPr="00F53FC6">
        <w:rPr>
          <w:rFonts w:ascii="Times New Roman" w:hAnsi="Times New Roman" w:cs="Times New Roman"/>
          <w:lang w:val="en-US"/>
        </w:rPr>
        <w:t>t</w:t>
      </w:r>
      <w:r w:rsidR="00907571" w:rsidRPr="00F53FC6">
        <w:rPr>
          <w:rFonts w:ascii="Times New Roman" w:hAnsi="Times New Roman" w:cs="Times New Roman"/>
          <w:lang w:val="en-US"/>
        </w:rPr>
        <w:t xml:space="preserve">ransparency and Y = </w:t>
      </w:r>
      <w:r w:rsidR="00DD6BA4" w:rsidRPr="00F53FC6">
        <w:rPr>
          <w:rFonts w:ascii="Times New Roman" w:hAnsi="Times New Roman" w:cs="Times New Roman"/>
          <w:lang w:val="en-US"/>
        </w:rPr>
        <w:t>ICR</w:t>
      </w:r>
      <w:r w:rsidR="00907571" w:rsidRPr="00F53FC6">
        <w:rPr>
          <w:rFonts w:ascii="Times New Roman" w:hAnsi="Times New Roman" w:cs="Times New Roman"/>
          <w:lang w:val="en-US"/>
        </w:rPr>
        <w:t>.</w:t>
      </w:r>
    </w:p>
    <w:p w14:paraId="72D8A5E1" w14:textId="191B9109" w:rsidR="00AD5681" w:rsidRPr="00F53FC6" w:rsidRDefault="003D1E27" w:rsidP="008D5877">
      <w:pPr>
        <w:spacing w:after="0" w:line="360" w:lineRule="auto"/>
        <w:contextualSpacing/>
        <w:mirrorIndents/>
        <w:jc w:val="both"/>
        <w:rPr>
          <w:rFonts w:ascii="Times New Roman" w:hAnsi="Times New Roman" w:cs="Times New Roman"/>
          <w:b/>
          <w:bCs/>
          <w:color w:val="C00000"/>
          <w:lang w:val="en-US"/>
        </w:rPr>
      </w:pPr>
      <w:r w:rsidRPr="00F53FC6">
        <w:rPr>
          <w:rFonts w:ascii="Times New Roman" w:hAnsi="Times New Roman" w:cs="Times New Roman"/>
          <w:lang w:val="en-US"/>
        </w:rPr>
        <w:t xml:space="preserve">Table 2 highlights the main results of testing data for the first hypothesis. </w:t>
      </w:r>
      <w:r w:rsidR="00AD5681" w:rsidRPr="00F53FC6">
        <w:rPr>
          <w:rFonts w:ascii="Times New Roman" w:hAnsi="Times New Roman" w:cs="Times New Roman"/>
          <w:lang w:val="en-US"/>
        </w:rPr>
        <w:t xml:space="preserve">It is evident that effect of </w:t>
      </w:r>
      <w:r w:rsidR="00841D4E" w:rsidRPr="00F53FC6">
        <w:rPr>
          <w:rFonts w:ascii="Times New Roman" w:hAnsi="Times New Roman" w:cs="Times New Roman"/>
          <w:lang w:val="en-US"/>
        </w:rPr>
        <w:t>f</w:t>
      </w:r>
      <w:r w:rsidR="00AD5681" w:rsidRPr="00F53FC6">
        <w:rPr>
          <w:rFonts w:ascii="Times New Roman" w:hAnsi="Times New Roman" w:cs="Times New Roman"/>
          <w:lang w:val="en-US"/>
        </w:rPr>
        <w:t xml:space="preserve">inancial </w:t>
      </w:r>
      <w:r w:rsidR="00841D4E" w:rsidRPr="00F53FC6">
        <w:rPr>
          <w:rFonts w:ascii="Times New Roman" w:hAnsi="Times New Roman" w:cs="Times New Roman"/>
          <w:lang w:val="en-US"/>
        </w:rPr>
        <w:t>t</w:t>
      </w:r>
      <w:r w:rsidR="00AD5681" w:rsidRPr="00F53FC6">
        <w:rPr>
          <w:rFonts w:ascii="Times New Roman" w:hAnsi="Times New Roman" w:cs="Times New Roman"/>
          <w:lang w:val="en-US"/>
        </w:rPr>
        <w:t xml:space="preserve">ransparency on </w:t>
      </w:r>
      <w:r w:rsidR="00DD6BA4" w:rsidRPr="00F53FC6">
        <w:rPr>
          <w:rFonts w:ascii="Times New Roman" w:hAnsi="Times New Roman" w:cs="Times New Roman"/>
          <w:lang w:val="en-US"/>
        </w:rPr>
        <w:t>ICR</w:t>
      </w:r>
      <w:r w:rsidR="00AD5681" w:rsidRPr="00F53FC6">
        <w:rPr>
          <w:rFonts w:ascii="Times New Roman" w:hAnsi="Times New Roman" w:cs="Times New Roman"/>
          <w:lang w:val="en-US"/>
        </w:rPr>
        <w:t xml:space="preserve"> is significant with a regression (R) of 0.</w:t>
      </w:r>
      <w:r w:rsidR="008232E8" w:rsidRPr="00F53FC6">
        <w:rPr>
          <w:rFonts w:ascii="Times New Roman" w:hAnsi="Times New Roman" w:cs="Times New Roman"/>
          <w:lang w:val="en-US"/>
        </w:rPr>
        <w:t>632</w:t>
      </w:r>
      <w:r w:rsidR="00AD5681" w:rsidRPr="00F53FC6">
        <w:rPr>
          <w:rFonts w:ascii="Times New Roman" w:hAnsi="Times New Roman" w:cs="Times New Roman"/>
          <w:lang w:val="en-US"/>
        </w:rPr>
        <w:t xml:space="preserve">. Therefore, </w:t>
      </w:r>
      <w:bookmarkStart w:id="14" w:name="_Hlk23024898"/>
      <w:r w:rsidR="00841D4E" w:rsidRPr="00F53FC6">
        <w:rPr>
          <w:rFonts w:ascii="Times New Roman" w:hAnsi="Times New Roman" w:cs="Times New Roman"/>
          <w:lang w:val="en-US"/>
        </w:rPr>
        <w:t>f</w:t>
      </w:r>
      <w:r w:rsidR="00AD5681" w:rsidRPr="00F53FC6">
        <w:rPr>
          <w:rFonts w:ascii="Times New Roman" w:hAnsi="Times New Roman" w:cs="Times New Roman"/>
          <w:lang w:val="en-US"/>
        </w:rPr>
        <w:t xml:space="preserve">inancial </w:t>
      </w:r>
      <w:r w:rsidR="00841D4E" w:rsidRPr="00F53FC6">
        <w:rPr>
          <w:rFonts w:ascii="Times New Roman" w:hAnsi="Times New Roman" w:cs="Times New Roman"/>
          <w:lang w:val="en-US"/>
        </w:rPr>
        <w:t>t</w:t>
      </w:r>
      <w:r w:rsidR="00AD5681" w:rsidRPr="00F53FC6">
        <w:rPr>
          <w:rFonts w:ascii="Times New Roman" w:hAnsi="Times New Roman" w:cs="Times New Roman"/>
          <w:lang w:val="en-US"/>
        </w:rPr>
        <w:t xml:space="preserve">ransparency </w:t>
      </w:r>
      <w:bookmarkEnd w:id="14"/>
      <w:r w:rsidR="00AD5681" w:rsidRPr="00F53FC6">
        <w:rPr>
          <w:rFonts w:ascii="Times New Roman" w:hAnsi="Times New Roman" w:cs="Times New Roman"/>
          <w:lang w:val="en-US"/>
        </w:rPr>
        <w:t>explained up to 6</w:t>
      </w:r>
      <w:r w:rsidR="008232E8" w:rsidRPr="00F53FC6">
        <w:rPr>
          <w:rFonts w:ascii="Times New Roman" w:hAnsi="Times New Roman" w:cs="Times New Roman"/>
          <w:lang w:val="en-US"/>
        </w:rPr>
        <w:t>2</w:t>
      </w:r>
      <w:r w:rsidR="00AD5681" w:rsidRPr="00F53FC6">
        <w:rPr>
          <w:rFonts w:ascii="Times New Roman" w:hAnsi="Times New Roman" w:cs="Times New Roman"/>
          <w:lang w:val="en-US"/>
        </w:rPr>
        <w:t>.</w:t>
      </w:r>
      <w:r w:rsidR="008232E8" w:rsidRPr="00F53FC6">
        <w:rPr>
          <w:rFonts w:ascii="Times New Roman" w:hAnsi="Times New Roman" w:cs="Times New Roman"/>
          <w:lang w:val="en-US"/>
        </w:rPr>
        <w:t>1</w:t>
      </w:r>
      <w:r w:rsidR="00AD5681" w:rsidRPr="00F53FC6">
        <w:rPr>
          <w:rFonts w:ascii="Times New Roman" w:hAnsi="Times New Roman" w:cs="Times New Roman"/>
          <w:lang w:val="en-US"/>
        </w:rPr>
        <w:t>%, (R</w:t>
      </w:r>
      <w:r w:rsidR="00AD5681" w:rsidRPr="00F53FC6">
        <w:rPr>
          <w:rFonts w:ascii="Times New Roman" w:hAnsi="Times New Roman" w:cs="Times New Roman"/>
          <w:vertAlign w:val="subscript"/>
          <w:lang w:val="en-US"/>
        </w:rPr>
        <w:t>2</w:t>
      </w:r>
      <w:r w:rsidR="00AD5681" w:rsidRPr="00F53FC6">
        <w:rPr>
          <w:rFonts w:ascii="Times New Roman" w:hAnsi="Times New Roman" w:cs="Times New Roman"/>
          <w:lang w:val="en-US"/>
        </w:rPr>
        <w:t xml:space="preserve"> = 0.6</w:t>
      </w:r>
      <w:r w:rsidR="008232E8" w:rsidRPr="00F53FC6">
        <w:rPr>
          <w:rFonts w:ascii="Times New Roman" w:hAnsi="Times New Roman" w:cs="Times New Roman"/>
          <w:lang w:val="en-US"/>
        </w:rPr>
        <w:t>21</w:t>
      </w:r>
      <w:r w:rsidR="00AD5681" w:rsidRPr="00F53FC6">
        <w:rPr>
          <w:rFonts w:ascii="Times New Roman" w:hAnsi="Times New Roman" w:cs="Times New Roman"/>
          <w:lang w:val="en-US"/>
        </w:rPr>
        <w:t xml:space="preserve">) of the total variation in </w:t>
      </w:r>
      <w:r w:rsidR="00DD6BA4" w:rsidRPr="00F53FC6">
        <w:rPr>
          <w:rFonts w:ascii="Times New Roman" w:hAnsi="Times New Roman" w:cs="Times New Roman"/>
          <w:lang w:val="en-US"/>
        </w:rPr>
        <w:t>ICR</w:t>
      </w:r>
      <w:r w:rsidR="00AD5681" w:rsidRPr="00F53FC6">
        <w:rPr>
          <w:rFonts w:ascii="Times New Roman" w:hAnsi="Times New Roman" w:cs="Times New Roman"/>
          <w:lang w:val="en-US"/>
        </w:rPr>
        <w:t xml:space="preserve"> is attributed to changes in </w:t>
      </w:r>
      <w:r w:rsidR="00841D4E" w:rsidRPr="00F53FC6">
        <w:rPr>
          <w:rFonts w:ascii="Times New Roman" w:hAnsi="Times New Roman" w:cs="Times New Roman"/>
          <w:lang w:val="en-US"/>
        </w:rPr>
        <w:t>f</w:t>
      </w:r>
      <w:r w:rsidR="00AD5681" w:rsidRPr="00F53FC6">
        <w:rPr>
          <w:rFonts w:ascii="Times New Roman" w:hAnsi="Times New Roman" w:cs="Times New Roman"/>
          <w:lang w:val="en-US"/>
        </w:rPr>
        <w:t xml:space="preserve">inancial </w:t>
      </w:r>
      <w:r w:rsidR="00841D4E" w:rsidRPr="00F53FC6">
        <w:rPr>
          <w:rFonts w:ascii="Times New Roman" w:hAnsi="Times New Roman" w:cs="Times New Roman"/>
          <w:lang w:val="en-US"/>
        </w:rPr>
        <w:t>t</w:t>
      </w:r>
      <w:r w:rsidR="00AD5681" w:rsidRPr="00F53FC6">
        <w:rPr>
          <w:rFonts w:ascii="Times New Roman" w:hAnsi="Times New Roman" w:cs="Times New Roman"/>
          <w:lang w:val="en-US"/>
        </w:rPr>
        <w:t>ransparency. The remaining 3</w:t>
      </w:r>
      <w:r w:rsidR="008232E8" w:rsidRPr="00F53FC6">
        <w:rPr>
          <w:rFonts w:ascii="Times New Roman" w:hAnsi="Times New Roman" w:cs="Times New Roman"/>
          <w:lang w:val="en-US"/>
        </w:rPr>
        <w:t>7</w:t>
      </w:r>
      <w:r w:rsidR="00AD5681" w:rsidRPr="00F53FC6">
        <w:rPr>
          <w:rFonts w:ascii="Times New Roman" w:hAnsi="Times New Roman" w:cs="Times New Roman"/>
          <w:lang w:val="en-US"/>
        </w:rPr>
        <w:t>.</w:t>
      </w:r>
      <w:r w:rsidR="008232E8" w:rsidRPr="00F53FC6">
        <w:rPr>
          <w:rFonts w:ascii="Times New Roman" w:hAnsi="Times New Roman" w:cs="Times New Roman"/>
          <w:lang w:val="en-US"/>
        </w:rPr>
        <w:t>9</w:t>
      </w:r>
      <w:r w:rsidR="00AD5681" w:rsidRPr="00F53FC6">
        <w:rPr>
          <w:rFonts w:ascii="Times New Roman" w:hAnsi="Times New Roman" w:cs="Times New Roman"/>
          <w:lang w:val="en-US"/>
        </w:rPr>
        <w:t>% is explained by the other variable.</w:t>
      </w:r>
      <w:r w:rsidRPr="00F53FC6">
        <w:rPr>
          <w:rFonts w:ascii="Times New Roman" w:hAnsi="Times New Roman" w:cs="Times New Roman"/>
          <w:lang w:val="en-US"/>
        </w:rPr>
        <w:t xml:space="preserve"> In addition, the number of Durbin-Watson Test is 1.</w:t>
      </w:r>
      <w:r w:rsidR="008232E8" w:rsidRPr="00F53FC6">
        <w:rPr>
          <w:rFonts w:ascii="Times New Roman" w:hAnsi="Times New Roman" w:cs="Times New Roman"/>
          <w:lang w:val="en-US"/>
        </w:rPr>
        <w:t>289</w:t>
      </w:r>
      <w:r w:rsidRPr="00F53FC6">
        <w:rPr>
          <w:rFonts w:ascii="Times New Roman" w:hAnsi="Times New Roman" w:cs="Times New Roman"/>
          <w:lang w:val="en-US"/>
        </w:rPr>
        <w:t xml:space="preserve">, which shows that there is not auto correlation problem. These findings indicate that </w:t>
      </w:r>
      <w:r w:rsidRPr="00881F40">
        <w:rPr>
          <w:rFonts w:ascii="Times New Roman" w:hAnsi="Times New Roman" w:cs="Times New Roman"/>
          <w:lang w:val="en-US"/>
        </w:rPr>
        <w:t xml:space="preserve">there is a significant relationship between </w:t>
      </w:r>
      <w:r w:rsidR="00A15F97" w:rsidRPr="00881F40">
        <w:rPr>
          <w:rFonts w:ascii="Times New Roman" w:hAnsi="Times New Roman" w:cs="Times New Roman"/>
          <w:lang w:val="en-US"/>
        </w:rPr>
        <w:t>f</w:t>
      </w:r>
      <w:r w:rsidRPr="00881F40">
        <w:rPr>
          <w:rFonts w:ascii="Times New Roman" w:hAnsi="Times New Roman" w:cs="Times New Roman"/>
          <w:lang w:val="en-US"/>
        </w:rPr>
        <w:t xml:space="preserve">inancial </w:t>
      </w:r>
      <w:r w:rsidR="00A15F97" w:rsidRPr="00881F40">
        <w:rPr>
          <w:rFonts w:ascii="Times New Roman" w:hAnsi="Times New Roman" w:cs="Times New Roman"/>
          <w:lang w:val="en-US"/>
        </w:rPr>
        <w:t>t</w:t>
      </w:r>
      <w:r w:rsidRPr="00881F40">
        <w:rPr>
          <w:rFonts w:ascii="Times New Roman" w:hAnsi="Times New Roman" w:cs="Times New Roman"/>
          <w:lang w:val="en-US"/>
        </w:rPr>
        <w:t xml:space="preserve">ransparency and </w:t>
      </w:r>
      <w:r w:rsidR="00DD6BA4" w:rsidRPr="00881F40">
        <w:rPr>
          <w:rFonts w:ascii="Times New Roman" w:hAnsi="Times New Roman" w:cs="Times New Roman"/>
          <w:lang w:val="en-US"/>
        </w:rPr>
        <w:t>ICR</w:t>
      </w:r>
      <w:r w:rsidRPr="00881F40">
        <w:rPr>
          <w:rFonts w:ascii="Times New Roman" w:hAnsi="Times New Roman" w:cs="Times New Roman"/>
          <w:lang w:val="en-US"/>
        </w:rPr>
        <w:t xml:space="preserve"> which is in line with the results of the study done by </w:t>
      </w:r>
      <w:r w:rsidR="0014721F" w:rsidRPr="00881F40">
        <w:rPr>
          <w:rFonts w:ascii="Times New Roman" w:hAnsi="Times New Roman" w:cs="Times New Roman"/>
          <w:lang w:val="en-US"/>
        </w:rPr>
        <w:t>Carpenter and Petersen (2002).</w:t>
      </w:r>
    </w:p>
    <w:p w14:paraId="295CFDFB" w14:textId="77777777" w:rsidR="0014721F" w:rsidRPr="00F53FC6" w:rsidRDefault="0014721F" w:rsidP="008D5877">
      <w:pPr>
        <w:spacing w:after="0" w:line="360" w:lineRule="auto"/>
        <w:contextualSpacing/>
        <w:mirrorIndents/>
        <w:jc w:val="both"/>
        <w:rPr>
          <w:rFonts w:ascii="Times New Roman" w:hAnsi="Times New Roman" w:cs="Times New Roman"/>
          <w:lang w:val="en-US"/>
        </w:rPr>
      </w:pPr>
    </w:p>
    <w:p w14:paraId="355090A3" w14:textId="74003DC8" w:rsidR="003D1E27" w:rsidRPr="00F53FC6" w:rsidRDefault="003D1E27" w:rsidP="003D1E27">
      <w:pPr>
        <w:pStyle w:val="MainText"/>
        <w:keepNext/>
        <w:ind w:firstLine="0"/>
        <w:rPr>
          <w:lang w:val="en-US"/>
        </w:rPr>
      </w:pPr>
      <w:r w:rsidRPr="00F53FC6">
        <w:rPr>
          <w:b/>
          <w:lang w:val="en-US"/>
        </w:rPr>
        <w:t xml:space="preserve">Table 2. </w:t>
      </w:r>
      <w:r w:rsidR="00E83307" w:rsidRPr="00F53FC6">
        <w:rPr>
          <w:lang w:val="en-US"/>
        </w:rPr>
        <w:t xml:space="preserve">Regression </w:t>
      </w:r>
      <w:r w:rsidR="00BA6E3D" w:rsidRPr="00F53FC6">
        <w:rPr>
          <w:lang w:val="en-US"/>
        </w:rPr>
        <w:t>m</w:t>
      </w:r>
      <w:r w:rsidR="00E83307" w:rsidRPr="00F53FC6">
        <w:rPr>
          <w:lang w:val="en-US"/>
        </w:rPr>
        <w:t xml:space="preserve">odel of </w:t>
      </w:r>
      <w:r w:rsidR="00BA6E3D" w:rsidRPr="00F53FC6">
        <w:rPr>
          <w:lang w:val="en-US"/>
        </w:rPr>
        <w:t>f</w:t>
      </w:r>
      <w:r w:rsidR="00E83307" w:rsidRPr="00F53FC6">
        <w:rPr>
          <w:lang w:val="en-US"/>
        </w:rPr>
        <w:t xml:space="preserve">inancial </w:t>
      </w:r>
      <w:r w:rsidR="00BA6E3D" w:rsidRPr="00F53FC6">
        <w:rPr>
          <w:lang w:val="en-US"/>
        </w:rPr>
        <w:t>t</w:t>
      </w:r>
      <w:r w:rsidR="00E83307" w:rsidRPr="00F53FC6">
        <w:rPr>
          <w:lang w:val="en-US"/>
        </w:rPr>
        <w:t>ransparency against</w:t>
      </w:r>
      <w:r w:rsidR="00BA6E3D" w:rsidRPr="00F53FC6">
        <w:rPr>
          <w:lang w:val="en-US"/>
        </w:rPr>
        <w:t xml:space="preserve"> i</w:t>
      </w:r>
      <w:r w:rsidR="00E83307" w:rsidRPr="00F53FC6">
        <w:rPr>
          <w:lang w:val="en-US"/>
        </w:rPr>
        <w:t xml:space="preserve">nterest </w:t>
      </w:r>
      <w:r w:rsidR="00BA6E3D" w:rsidRPr="00F53FC6">
        <w:rPr>
          <w:lang w:val="en-US"/>
        </w:rPr>
        <w:t>c</w:t>
      </w:r>
      <w:r w:rsidR="00E83307" w:rsidRPr="00F53FC6">
        <w:rPr>
          <w:lang w:val="en-US"/>
        </w:rPr>
        <w:t xml:space="preserve">overage </w:t>
      </w:r>
      <w:r w:rsidR="00BA6E3D" w:rsidRPr="00F53FC6">
        <w:rPr>
          <w:lang w:val="en-US"/>
        </w:rPr>
        <w:t>r</w:t>
      </w:r>
      <w:r w:rsidR="00E83307" w:rsidRPr="00F53FC6">
        <w:rPr>
          <w:lang w:val="en-US"/>
        </w:rPr>
        <w:t>atio</w:t>
      </w:r>
    </w:p>
    <w:tbl>
      <w:tblPr>
        <w:tblW w:w="5000" w:type="pct"/>
        <w:tblLook w:val="04A0" w:firstRow="1" w:lastRow="0" w:firstColumn="1" w:lastColumn="0" w:noHBand="0" w:noVBand="1"/>
      </w:tblPr>
      <w:tblGrid>
        <w:gridCol w:w="1970"/>
        <w:gridCol w:w="1971"/>
        <w:gridCol w:w="1971"/>
        <w:gridCol w:w="1971"/>
        <w:gridCol w:w="1971"/>
      </w:tblGrid>
      <w:tr w:rsidR="003D1E27" w:rsidRPr="00F53FC6" w14:paraId="4C92997A" w14:textId="77777777" w:rsidTr="00F44296">
        <w:trPr>
          <w:trHeight w:val="113"/>
        </w:trPr>
        <w:tc>
          <w:tcPr>
            <w:tcW w:w="1000" w:type="pct"/>
            <w:tcBorders>
              <w:top w:val="single" w:sz="24" w:space="0" w:color="auto"/>
              <w:bottom w:val="single" w:sz="12" w:space="0" w:color="auto"/>
            </w:tcBorders>
            <w:vAlign w:val="center"/>
            <w:hideMark/>
          </w:tcPr>
          <w:p w14:paraId="6EC98FB5" w14:textId="3EDA3779" w:rsidR="003D1E27" w:rsidRPr="00F53FC6" w:rsidRDefault="003D1E27" w:rsidP="00682F2C">
            <w:pPr>
              <w:pStyle w:val="MainText"/>
              <w:keepNext/>
              <w:ind w:firstLine="0"/>
              <w:jc w:val="center"/>
              <w:rPr>
                <w:b/>
                <w:lang w:val="en-US"/>
              </w:rPr>
            </w:pPr>
            <w:r w:rsidRPr="00F53FC6">
              <w:rPr>
                <w:b/>
                <w:lang w:val="en-US"/>
              </w:rPr>
              <w:t>R</w:t>
            </w:r>
          </w:p>
        </w:tc>
        <w:tc>
          <w:tcPr>
            <w:tcW w:w="1000" w:type="pct"/>
            <w:tcBorders>
              <w:top w:val="single" w:sz="24" w:space="0" w:color="auto"/>
              <w:bottom w:val="single" w:sz="12" w:space="0" w:color="auto"/>
            </w:tcBorders>
            <w:vAlign w:val="center"/>
          </w:tcPr>
          <w:p w14:paraId="459B126F" w14:textId="5F259A2C" w:rsidR="003D1E27" w:rsidRPr="00F53FC6" w:rsidRDefault="003D1E27" w:rsidP="00682F2C">
            <w:pPr>
              <w:pStyle w:val="MainText"/>
              <w:keepNext/>
              <w:ind w:firstLine="0"/>
              <w:jc w:val="center"/>
              <w:rPr>
                <w:b/>
                <w:lang w:val="en-US"/>
              </w:rPr>
            </w:pPr>
            <w:r w:rsidRPr="00F53FC6">
              <w:rPr>
                <w:b/>
                <w:lang w:val="en-US"/>
              </w:rPr>
              <w:t>R</w:t>
            </w:r>
            <w:r w:rsidRPr="00F53FC6">
              <w:rPr>
                <w:b/>
                <w:vertAlign w:val="superscript"/>
                <w:lang w:val="en-US"/>
              </w:rPr>
              <w:t>2</w:t>
            </w:r>
          </w:p>
        </w:tc>
        <w:tc>
          <w:tcPr>
            <w:tcW w:w="1000" w:type="pct"/>
            <w:tcBorders>
              <w:top w:val="single" w:sz="24" w:space="0" w:color="auto"/>
              <w:bottom w:val="single" w:sz="12" w:space="0" w:color="auto"/>
            </w:tcBorders>
            <w:vAlign w:val="center"/>
          </w:tcPr>
          <w:p w14:paraId="691EF394" w14:textId="69E39270" w:rsidR="003D1E27" w:rsidRPr="00F53FC6" w:rsidRDefault="003D1E27" w:rsidP="00682F2C">
            <w:pPr>
              <w:pStyle w:val="MainText"/>
              <w:keepNext/>
              <w:ind w:firstLine="0"/>
              <w:jc w:val="center"/>
              <w:rPr>
                <w:b/>
                <w:lang w:val="en-US"/>
              </w:rPr>
            </w:pPr>
            <w:r w:rsidRPr="00F53FC6">
              <w:rPr>
                <w:b/>
                <w:lang w:val="en-US"/>
              </w:rPr>
              <w:t>Adj R</w:t>
            </w:r>
            <w:r w:rsidRPr="00F53FC6">
              <w:rPr>
                <w:b/>
                <w:vertAlign w:val="superscript"/>
                <w:lang w:val="en-US"/>
              </w:rPr>
              <w:t>2</w:t>
            </w:r>
          </w:p>
        </w:tc>
        <w:tc>
          <w:tcPr>
            <w:tcW w:w="1000" w:type="pct"/>
            <w:tcBorders>
              <w:top w:val="single" w:sz="24" w:space="0" w:color="auto"/>
              <w:bottom w:val="single" w:sz="12" w:space="0" w:color="auto"/>
            </w:tcBorders>
            <w:vAlign w:val="center"/>
          </w:tcPr>
          <w:p w14:paraId="63736B00" w14:textId="494AD368" w:rsidR="003D1E27" w:rsidRPr="00F53FC6" w:rsidRDefault="00E83307" w:rsidP="00682F2C">
            <w:pPr>
              <w:pStyle w:val="MainText"/>
              <w:keepNext/>
              <w:ind w:firstLine="0"/>
              <w:jc w:val="center"/>
              <w:rPr>
                <w:b/>
                <w:lang w:val="en-US"/>
              </w:rPr>
            </w:pPr>
            <w:r w:rsidRPr="00F53FC6">
              <w:rPr>
                <w:b/>
                <w:lang w:val="en-US"/>
              </w:rPr>
              <w:t>Std. Error</w:t>
            </w:r>
          </w:p>
        </w:tc>
        <w:tc>
          <w:tcPr>
            <w:tcW w:w="1000" w:type="pct"/>
            <w:tcBorders>
              <w:top w:val="single" w:sz="24" w:space="0" w:color="auto"/>
              <w:bottom w:val="single" w:sz="12" w:space="0" w:color="auto"/>
            </w:tcBorders>
            <w:vAlign w:val="center"/>
            <w:hideMark/>
          </w:tcPr>
          <w:p w14:paraId="5DDCD0F7" w14:textId="310CE1CF" w:rsidR="003D1E27" w:rsidRPr="00F53FC6" w:rsidRDefault="003D1E27" w:rsidP="00682F2C">
            <w:pPr>
              <w:pStyle w:val="MainText"/>
              <w:keepNext/>
              <w:ind w:firstLine="0"/>
              <w:jc w:val="center"/>
              <w:rPr>
                <w:b/>
                <w:lang w:val="en-US"/>
              </w:rPr>
            </w:pPr>
            <w:r w:rsidRPr="00F53FC6">
              <w:rPr>
                <w:b/>
                <w:lang w:val="en-US"/>
              </w:rPr>
              <w:t>Durbin Watson test</w:t>
            </w:r>
          </w:p>
        </w:tc>
      </w:tr>
      <w:tr w:rsidR="00E83307" w:rsidRPr="00F53FC6" w14:paraId="554948C3" w14:textId="77777777" w:rsidTr="00F44296">
        <w:trPr>
          <w:trHeight w:val="113"/>
        </w:trPr>
        <w:tc>
          <w:tcPr>
            <w:tcW w:w="1000" w:type="pct"/>
            <w:tcBorders>
              <w:top w:val="single" w:sz="12" w:space="0" w:color="auto"/>
              <w:bottom w:val="single" w:sz="24" w:space="0" w:color="auto"/>
            </w:tcBorders>
            <w:vAlign w:val="center"/>
          </w:tcPr>
          <w:p w14:paraId="616F591D" w14:textId="73327978" w:rsidR="00E83307" w:rsidRPr="00F53FC6" w:rsidRDefault="00E83307" w:rsidP="00E83307">
            <w:pPr>
              <w:pStyle w:val="MainText"/>
              <w:jc w:val="right"/>
              <w:rPr>
                <w:lang w:val="en-US"/>
              </w:rPr>
            </w:pPr>
            <w:r w:rsidRPr="00F53FC6">
              <w:rPr>
                <w:lang w:val="en-US"/>
              </w:rPr>
              <w:t>0.</w:t>
            </w:r>
            <w:r w:rsidR="008232E8" w:rsidRPr="00F53FC6">
              <w:rPr>
                <w:lang w:val="en-US"/>
              </w:rPr>
              <w:t>632</w:t>
            </w:r>
          </w:p>
        </w:tc>
        <w:tc>
          <w:tcPr>
            <w:tcW w:w="1000" w:type="pct"/>
            <w:tcBorders>
              <w:top w:val="single" w:sz="12" w:space="0" w:color="auto"/>
              <w:bottom w:val="single" w:sz="24" w:space="0" w:color="auto"/>
            </w:tcBorders>
            <w:vAlign w:val="center"/>
          </w:tcPr>
          <w:p w14:paraId="07BA8AAD" w14:textId="60169D08" w:rsidR="00E83307" w:rsidRPr="00F53FC6" w:rsidRDefault="00E83307" w:rsidP="00E83307">
            <w:pPr>
              <w:pStyle w:val="MainText"/>
              <w:jc w:val="right"/>
              <w:rPr>
                <w:lang w:val="en-US"/>
              </w:rPr>
            </w:pPr>
            <w:r w:rsidRPr="00F53FC6">
              <w:rPr>
                <w:lang w:val="en-US"/>
              </w:rPr>
              <w:t>0.6</w:t>
            </w:r>
            <w:r w:rsidR="008232E8" w:rsidRPr="00F53FC6">
              <w:rPr>
                <w:lang w:val="en-US"/>
              </w:rPr>
              <w:t>21</w:t>
            </w:r>
          </w:p>
        </w:tc>
        <w:tc>
          <w:tcPr>
            <w:tcW w:w="1000" w:type="pct"/>
            <w:tcBorders>
              <w:top w:val="single" w:sz="12" w:space="0" w:color="auto"/>
              <w:bottom w:val="single" w:sz="24" w:space="0" w:color="auto"/>
            </w:tcBorders>
            <w:vAlign w:val="center"/>
          </w:tcPr>
          <w:p w14:paraId="1A66B9DC" w14:textId="6A719576" w:rsidR="00E83307" w:rsidRPr="00F53FC6" w:rsidRDefault="00E83307" w:rsidP="00E83307">
            <w:pPr>
              <w:pStyle w:val="MainText"/>
              <w:jc w:val="right"/>
              <w:rPr>
                <w:lang w:val="en-US"/>
              </w:rPr>
            </w:pPr>
            <w:r w:rsidRPr="00F53FC6">
              <w:rPr>
                <w:lang w:val="en-US"/>
              </w:rPr>
              <w:t>0.6</w:t>
            </w:r>
            <w:r w:rsidR="00490E2A" w:rsidRPr="00F53FC6">
              <w:rPr>
                <w:lang w:val="en-US"/>
              </w:rPr>
              <w:t>32</w:t>
            </w:r>
          </w:p>
        </w:tc>
        <w:tc>
          <w:tcPr>
            <w:tcW w:w="1000" w:type="pct"/>
            <w:tcBorders>
              <w:top w:val="single" w:sz="12" w:space="0" w:color="auto"/>
              <w:bottom w:val="single" w:sz="24" w:space="0" w:color="auto"/>
            </w:tcBorders>
            <w:vAlign w:val="center"/>
          </w:tcPr>
          <w:p w14:paraId="71F4EA6F" w14:textId="483A9AC5" w:rsidR="00E83307" w:rsidRPr="00F53FC6" w:rsidRDefault="00E83307" w:rsidP="00E83307">
            <w:pPr>
              <w:pStyle w:val="MainText"/>
              <w:jc w:val="right"/>
              <w:rPr>
                <w:lang w:val="en-US"/>
              </w:rPr>
            </w:pPr>
            <w:r w:rsidRPr="00F53FC6">
              <w:rPr>
                <w:lang w:val="en-US"/>
              </w:rPr>
              <w:t>0.11</w:t>
            </w:r>
            <w:r w:rsidR="00490E2A" w:rsidRPr="00F53FC6">
              <w:rPr>
                <w:lang w:val="en-US"/>
              </w:rPr>
              <w:t>7654</w:t>
            </w:r>
          </w:p>
        </w:tc>
        <w:tc>
          <w:tcPr>
            <w:tcW w:w="1000" w:type="pct"/>
            <w:tcBorders>
              <w:top w:val="single" w:sz="12" w:space="0" w:color="auto"/>
              <w:bottom w:val="single" w:sz="24" w:space="0" w:color="auto"/>
            </w:tcBorders>
            <w:vAlign w:val="center"/>
          </w:tcPr>
          <w:p w14:paraId="5BD2A965" w14:textId="5C7F3969" w:rsidR="00E83307" w:rsidRPr="00F53FC6" w:rsidRDefault="00E83307" w:rsidP="00E83307">
            <w:pPr>
              <w:pStyle w:val="MainText"/>
              <w:jc w:val="right"/>
              <w:rPr>
                <w:lang w:val="en-US"/>
              </w:rPr>
            </w:pPr>
            <w:r w:rsidRPr="00F53FC6">
              <w:rPr>
                <w:lang w:val="en-US"/>
              </w:rPr>
              <w:t>1.</w:t>
            </w:r>
            <w:r w:rsidR="008232E8" w:rsidRPr="00F53FC6">
              <w:rPr>
                <w:lang w:val="en-US"/>
              </w:rPr>
              <w:t>289</w:t>
            </w:r>
          </w:p>
        </w:tc>
      </w:tr>
    </w:tbl>
    <w:p w14:paraId="290CE0BC" w14:textId="77777777" w:rsidR="00F44296" w:rsidRDefault="00F44296" w:rsidP="00E83307">
      <w:pPr>
        <w:spacing w:after="0" w:line="360" w:lineRule="auto"/>
        <w:contextualSpacing/>
        <w:mirrorIndents/>
        <w:jc w:val="both"/>
        <w:rPr>
          <w:rFonts w:ascii="Times New Roman" w:hAnsi="Times New Roman" w:cs="Times New Roman"/>
          <w:lang w:val="en-US"/>
        </w:rPr>
      </w:pPr>
    </w:p>
    <w:p w14:paraId="22CAAF67" w14:textId="34A495A0" w:rsidR="00E83307" w:rsidRPr="00F53FC6" w:rsidRDefault="00E83307" w:rsidP="00E83307">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lang w:val="en-US"/>
        </w:rPr>
        <w:t xml:space="preserve">Variance analysis was used to examine how effective statistically the model is to establish the significant impact of </w:t>
      </w:r>
      <w:r w:rsidR="004E4B44" w:rsidRPr="00F53FC6">
        <w:rPr>
          <w:rFonts w:ascii="Times New Roman" w:hAnsi="Times New Roman" w:cs="Times New Roman"/>
          <w:lang w:val="en-US"/>
        </w:rPr>
        <w:t>f</w:t>
      </w:r>
      <w:r w:rsidRPr="00F53FC6">
        <w:rPr>
          <w:rFonts w:ascii="Times New Roman" w:hAnsi="Times New Roman" w:cs="Times New Roman"/>
          <w:lang w:val="en-US"/>
        </w:rPr>
        <w:t xml:space="preserve">inancial </w:t>
      </w:r>
      <w:r w:rsidR="004E4B44" w:rsidRPr="00F53FC6">
        <w:rPr>
          <w:rFonts w:ascii="Times New Roman" w:hAnsi="Times New Roman" w:cs="Times New Roman"/>
          <w:lang w:val="en-US"/>
        </w:rPr>
        <w:t>t</w:t>
      </w:r>
      <w:r w:rsidRPr="00F53FC6">
        <w:rPr>
          <w:rFonts w:ascii="Times New Roman" w:hAnsi="Times New Roman" w:cs="Times New Roman"/>
          <w:lang w:val="en-US"/>
        </w:rPr>
        <w:t xml:space="preserve">ransparency on </w:t>
      </w:r>
      <w:r w:rsidR="00DD6BA4" w:rsidRPr="00F53FC6">
        <w:rPr>
          <w:rFonts w:ascii="Times New Roman" w:hAnsi="Times New Roman" w:cs="Times New Roman"/>
          <w:lang w:val="en-US"/>
        </w:rPr>
        <w:t>ICR</w:t>
      </w:r>
      <w:r w:rsidRPr="00F53FC6">
        <w:rPr>
          <w:rFonts w:ascii="Times New Roman" w:hAnsi="Times New Roman" w:cs="Times New Roman"/>
          <w:lang w:val="en-US"/>
        </w:rPr>
        <w:t xml:space="preserve">. Based on the results of the ANOVA test or F-test in table 3 obtained F count is </w:t>
      </w:r>
      <w:bookmarkStart w:id="15" w:name="_Hlk23270966"/>
      <w:r w:rsidR="00EB5207" w:rsidRPr="00F53FC6">
        <w:rPr>
          <w:rFonts w:ascii="Times New Roman" w:hAnsi="Times New Roman" w:cs="Times New Roman"/>
          <w:lang w:val="en-US"/>
        </w:rPr>
        <w:t>422.680</w:t>
      </w:r>
      <w:r w:rsidRPr="00F53FC6">
        <w:rPr>
          <w:rFonts w:ascii="Times New Roman" w:hAnsi="Times New Roman" w:cs="Times New Roman"/>
          <w:lang w:val="en-US"/>
        </w:rPr>
        <w:t xml:space="preserve"> with a significance level of 0.001</w:t>
      </w:r>
      <w:bookmarkEnd w:id="15"/>
      <w:r w:rsidRPr="00F53FC6">
        <w:rPr>
          <w:rFonts w:ascii="Times New Roman" w:hAnsi="Times New Roman" w:cs="Times New Roman"/>
          <w:lang w:val="en-US"/>
        </w:rPr>
        <w:t xml:space="preserve">. Because the significance level of 0.001 &lt; 0.050, it can be stated that </w:t>
      </w:r>
      <w:r w:rsidR="004E4B44" w:rsidRPr="00F53FC6">
        <w:rPr>
          <w:rFonts w:ascii="Times New Roman" w:hAnsi="Times New Roman" w:cs="Times New Roman"/>
          <w:lang w:val="en-US"/>
        </w:rPr>
        <w:t>f</w:t>
      </w:r>
      <w:r w:rsidRPr="00F53FC6">
        <w:rPr>
          <w:rFonts w:ascii="Times New Roman" w:hAnsi="Times New Roman" w:cs="Times New Roman"/>
          <w:lang w:val="en-US"/>
        </w:rPr>
        <w:t xml:space="preserve">inancial </w:t>
      </w:r>
      <w:r w:rsidR="004E4B44" w:rsidRPr="00F53FC6">
        <w:rPr>
          <w:rFonts w:ascii="Times New Roman" w:hAnsi="Times New Roman" w:cs="Times New Roman"/>
          <w:lang w:val="en-US"/>
        </w:rPr>
        <w:t>t</w:t>
      </w:r>
      <w:r w:rsidRPr="00F53FC6">
        <w:rPr>
          <w:rFonts w:ascii="Times New Roman" w:hAnsi="Times New Roman" w:cs="Times New Roman"/>
          <w:lang w:val="en-US"/>
        </w:rPr>
        <w:t xml:space="preserve">ransparency has a significant influence on company value. This assertion therefore does not confirm the null hypothesis that </w:t>
      </w:r>
      <w:r w:rsidR="004E4B44" w:rsidRPr="00F53FC6">
        <w:rPr>
          <w:rFonts w:ascii="Times New Roman" w:hAnsi="Times New Roman" w:cs="Times New Roman"/>
          <w:lang w:val="en-US"/>
        </w:rPr>
        <w:t>f</w:t>
      </w:r>
      <w:r w:rsidRPr="00F53FC6">
        <w:rPr>
          <w:rFonts w:ascii="Times New Roman" w:hAnsi="Times New Roman" w:cs="Times New Roman"/>
          <w:lang w:val="en-US"/>
        </w:rPr>
        <w:t xml:space="preserve">inancial </w:t>
      </w:r>
      <w:r w:rsidR="004E4B44" w:rsidRPr="00F53FC6">
        <w:rPr>
          <w:rFonts w:ascii="Times New Roman" w:hAnsi="Times New Roman" w:cs="Times New Roman"/>
          <w:lang w:val="en-US"/>
        </w:rPr>
        <w:t>t</w:t>
      </w:r>
      <w:r w:rsidRPr="00F53FC6">
        <w:rPr>
          <w:rFonts w:ascii="Times New Roman" w:hAnsi="Times New Roman" w:cs="Times New Roman"/>
          <w:lang w:val="en-US"/>
        </w:rPr>
        <w:t xml:space="preserve">ransparency has no significant effect on </w:t>
      </w:r>
      <w:r w:rsidR="004E4B44" w:rsidRPr="00F53FC6">
        <w:rPr>
          <w:rFonts w:ascii="Times New Roman" w:hAnsi="Times New Roman" w:cs="Times New Roman"/>
          <w:lang w:val="en-US"/>
        </w:rPr>
        <w:t>firm</w:t>
      </w:r>
      <w:r w:rsidRPr="00F53FC6">
        <w:rPr>
          <w:rFonts w:ascii="Times New Roman" w:hAnsi="Times New Roman" w:cs="Times New Roman"/>
          <w:lang w:val="en-US"/>
        </w:rPr>
        <w:t xml:space="preserve"> value (as measured by </w:t>
      </w:r>
      <w:r w:rsidR="00DD6BA4" w:rsidRPr="00F53FC6">
        <w:rPr>
          <w:rFonts w:ascii="Times New Roman" w:hAnsi="Times New Roman" w:cs="Times New Roman"/>
          <w:lang w:val="en-US"/>
        </w:rPr>
        <w:t>ICR</w:t>
      </w:r>
      <w:r w:rsidRPr="00F53FC6">
        <w:rPr>
          <w:rFonts w:ascii="Times New Roman" w:hAnsi="Times New Roman" w:cs="Times New Roman"/>
          <w:lang w:val="en-US"/>
        </w:rPr>
        <w:t>).</w:t>
      </w:r>
    </w:p>
    <w:p w14:paraId="298954C7" w14:textId="77777777" w:rsidR="00AD5681" w:rsidRPr="00F53FC6" w:rsidRDefault="00AD5681" w:rsidP="008D5877">
      <w:pPr>
        <w:spacing w:after="0" w:line="360" w:lineRule="auto"/>
        <w:contextualSpacing/>
        <w:mirrorIndents/>
        <w:jc w:val="both"/>
        <w:rPr>
          <w:rFonts w:ascii="Times New Roman" w:hAnsi="Times New Roman" w:cs="Times New Roman"/>
          <w:lang w:val="en-US"/>
        </w:rPr>
      </w:pPr>
    </w:p>
    <w:p w14:paraId="6943683C" w14:textId="151FF478" w:rsidR="00707B30" w:rsidRPr="00F53FC6" w:rsidRDefault="00707B30" w:rsidP="00665379">
      <w:pPr>
        <w:pStyle w:val="MainText"/>
        <w:keepNext/>
        <w:ind w:firstLine="0"/>
        <w:rPr>
          <w:lang w:val="en-US"/>
        </w:rPr>
      </w:pPr>
      <w:bookmarkStart w:id="16" w:name="_Hlk23085087"/>
      <w:r w:rsidRPr="00F53FC6">
        <w:rPr>
          <w:b/>
          <w:lang w:val="en-US"/>
        </w:rPr>
        <w:t>Table 3</w:t>
      </w:r>
      <w:r w:rsidR="003D1E27" w:rsidRPr="00F53FC6">
        <w:rPr>
          <w:b/>
          <w:lang w:val="en-US"/>
        </w:rPr>
        <w:t xml:space="preserve">. </w:t>
      </w:r>
      <w:r w:rsidRPr="00F53FC6">
        <w:rPr>
          <w:lang w:val="en-US"/>
        </w:rPr>
        <w:t xml:space="preserve">The result of F-Test - ANOVA </w:t>
      </w:r>
      <w:r w:rsidR="00EE13D1" w:rsidRPr="00F53FC6">
        <w:rPr>
          <w:lang w:val="en-US"/>
        </w:rPr>
        <w:t>(</w:t>
      </w:r>
      <w:r w:rsidR="00BA6E3D" w:rsidRPr="00F53FC6">
        <w:rPr>
          <w:lang w:val="en-US"/>
        </w:rPr>
        <w:t>f</w:t>
      </w:r>
      <w:r w:rsidR="00EE13D1" w:rsidRPr="00F53FC6">
        <w:rPr>
          <w:lang w:val="en-US"/>
        </w:rPr>
        <w:t xml:space="preserve">inancial </w:t>
      </w:r>
      <w:r w:rsidR="00BA6E3D" w:rsidRPr="00F53FC6">
        <w:rPr>
          <w:lang w:val="en-US"/>
        </w:rPr>
        <w:t>t</w:t>
      </w:r>
      <w:r w:rsidR="00EE13D1" w:rsidRPr="00F53FC6">
        <w:rPr>
          <w:lang w:val="en-US"/>
        </w:rPr>
        <w:t xml:space="preserve">ransparency and </w:t>
      </w:r>
      <w:bookmarkStart w:id="17" w:name="_Hlk23023947"/>
      <w:r w:rsidR="00BA6E3D" w:rsidRPr="00F53FC6">
        <w:rPr>
          <w:lang w:val="en-US"/>
        </w:rPr>
        <w:t>i</w:t>
      </w:r>
      <w:r w:rsidR="00EE13D1" w:rsidRPr="00F53FC6">
        <w:rPr>
          <w:lang w:val="en-US"/>
        </w:rPr>
        <w:t xml:space="preserve">nterest </w:t>
      </w:r>
      <w:r w:rsidR="00BA6E3D" w:rsidRPr="00F53FC6">
        <w:rPr>
          <w:lang w:val="en-US"/>
        </w:rPr>
        <w:t>c</w:t>
      </w:r>
      <w:r w:rsidR="00EE13D1" w:rsidRPr="00F53FC6">
        <w:rPr>
          <w:lang w:val="en-US"/>
        </w:rPr>
        <w:t xml:space="preserve">overage </w:t>
      </w:r>
      <w:r w:rsidR="00BA6E3D" w:rsidRPr="00F53FC6">
        <w:rPr>
          <w:lang w:val="en-US"/>
        </w:rPr>
        <w:t>r</w:t>
      </w:r>
      <w:r w:rsidR="00EE13D1" w:rsidRPr="00F53FC6">
        <w:rPr>
          <w:lang w:val="en-US"/>
        </w:rPr>
        <w:t>atio</w:t>
      </w:r>
      <w:bookmarkEnd w:id="17"/>
      <w:r w:rsidR="00EE13D1" w:rsidRPr="00F53FC6">
        <w:rPr>
          <w:lang w:val="en-US"/>
        </w:rPr>
        <w:t>)</w:t>
      </w:r>
    </w:p>
    <w:tbl>
      <w:tblPr>
        <w:tblW w:w="5000" w:type="pct"/>
        <w:tblLook w:val="04A0" w:firstRow="1" w:lastRow="0" w:firstColumn="1" w:lastColumn="0" w:noHBand="0" w:noVBand="1"/>
      </w:tblPr>
      <w:tblGrid>
        <w:gridCol w:w="1643"/>
        <w:gridCol w:w="1643"/>
        <w:gridCol w:w="1642"/>
        <w:gridCol w:w="1642"/>
        <w:gridCol w:w="1642"/>
        <w:gridCol w:w="1642"/>
      </w:tblGrid>
      <w:tr w:rsidR="00707B30" w:rsidRPr="00F53FC6" w14:paraId="4F8E7037" w14:textId="77777777" w:rsidTr="00F44296">
        <w:trPr>
          <w:trHeight w:val="20"/>
        </w:trPr>
        <w:tc>
          <w:tcPr>
            <w:tcW w:w="834" w:type="pct"/>
            <w:tcBorders>
              <w:top w:val="single" w:sz="24" w:space="0" w:color="auto"/>
              <w:bottom w:val="single" w:sz="12" w:space="0" w:color="auto"/>
            </w:tcBorders>
            <w:vAlign w:val="center"/>
            <w:hideMark/>
          </w:tcPr>
          <w:p w14:paraId="5A02B0CB" w14:textId="77777777" w:rsidR="00707B30" w:rsidRPr="00F53FC6" w:rsidRDefault="00707B30" w:rsidP="00665379">
            <w:pPr>
              <w:pStyle w:val="MainText"/>
              <w:keepNext/>
              <w:ind w:firstLine="0"/>
              <w:jc w:val="center"/>
              <w:rPr>
                <w:b/>
                <w:lang w:val="en-US"/>
              </w:rPr>
            </w:pPr>
            <w:r w:rsidRPr="00F53FC6">
              <w:rPr>
                <w:b/>
                <w:lang w:val="en-US"/>
              </w:rPr>
              <w:t>Model</w:t>
            </w:r>
          </w:p>
        </w:tc>
        <w:tc>
          <w:tcPr>
            <w:tcW w:w="834" w:type="pct"/>
            <w:tcBorders>
              <w:top w:val="single" w:sz="24" w:space="0" w:color="auto"/>
              <w:bottom w:val="single" w:sz="12" w:space="0" w:color="auto"/>
            </w:tcBorders>
            <w:vAlign w:val="center"/>
          </w:tcPr>
          <w:p w14:paraId="6B12179D" w14:textId="3C18191E" w:rsidR="00707B30" w:rsidRPr="00F53FC6" w:rsidRDefault="00707B30" w:rsidP="00665379">
            <w:pPr>
              <w:pStyle w:val="MainText"/>
              <w:keepNext/>
              <w:ind w:firstLine="0"/>
              <w:jc w:val="center"/>
              <w:rPr>
                <w:b/>
                <w:lang w:val="en-US"/>
              </w:rPr>
            </w:pPr>
            <w:r w:rsidRPr="00F53FC6">
              <w:rPr>
                <w:b/>
                <w:lang w:val="en-US"/>
              </w:rPr>
              <w:t>Sum of Squares</w:t>
            </w:r>
          </w:p>
        </w:tc>
        <w:tc>
          <w:tcPr>
            <w:tcW w:w="833" w:type="pct"/>
            <w:tcBorders>
              <w:top w:val="single" w:sz="24" w:space="0" w:color="auto"/>
              <w:bottom w:val="single" w:sz="12" w:space="0" w:color="auto"/>
            </w:tcBorders>
            <w:vAlign w:val="center"/>
          </w:tcPr>
          <w:p w14:paraId="6665021F" w14:textId="3DBDB188" w:rsidR="00707B30" w:rsidRPr="00F53FC6" w:rsidRDefault="00707B30" w:rsidP="00665379">
            <w:pPr>
              <w:pStyle w:val="MainText"/>
              <w:keepNext/>
              <w:ind w:firstLine="0"/>
              <w:jc w:val="center"/>
              <w:rPr>
                <w:b/>
                <w:lang w:val="en-US"/>
              </w:rPr>
            </w:pPr>
            <w:r w:rsidRPr="00F53FC6">
              <w:rPr>
                <w:b/>
                <w:lang w:val="en-US"/>
              </w:rPr>
              <w:t>Df</w:t>
            </w:r>
          </w:p>
        </w:tc>
        <w:tc>
          <w:tcPr>
            <w:tcW w:w="833" w:type="pct"/>
            <w:tcBorders>
              <w:top w:val="single" w:sz="24" w:space="0" w:color="auto"/>
              <w:bottom w:val="single" w:sz="12" w:space="0" w:color="auto"/>
            </w:tcBorders>
            <w:vAlign w:val="center"/>
          </w:tcPr>
          <w:p w14:paraId="67DA6709" w14:textId="18AEB85C" w:rsidR="00707B30" w:rsidRPr="00F53FC6" w:rsidRDefault="00707B30" w:rsidP="00665379">
            <w:pPr>
              <w:pStyle w:val="MainText"/>
              <w:keepNext/>
              <w:ind w:firstLine="0"/>
              <w:jc w:val="center"/>
              <w:rPr>
                <w:b/>
                <w:lang w:val="en-US"/>
              </w:rPr>
            </w:pPr>
            <w:r w:rsidRPr="00F53FC6">
              <w:rPr>
                <w:b/>
                <w:lang w:val="en-US"/>
              </w:rPr>
              <w:t>Mean square</w:t>
            </w:r>
          </w:p>
        </w:tc>
        <w:tc>
          <w:tcPr>
            <w:tcW w:w="833" w:type="pct"/>
            <w:tcBorders>
              <w:top w:val="single" w:sz="24" w:space="0" w:color="auto"/>
              <w:bottom w:val="single" w:sz="12" w:space="0" w:color="auto"/>
            </w:tcBorders>
            <w:vAlign w:val="center"/>
            <w:hideMark/>
          </w:tcPr>
          <w:p w14:paraId="34454446" w14:textId="193D8314" w:rsidR="00707B30" w:rsidRPr="00F53FC6" w:rsidRDefault="00707B30" w:rsidP="00665379">
            <w:pPr>
              <w:pStyle w:val="MainText"/>
              <w:keepNext/>
              <w:ind w:firstLine="0"/>
              <w:jc w:val="center"/>
              <w:rPr>
                <w:b/>
                <w:lang w:val="en-US"/>
              </w:rPr>
            </w:pPr>
            <w:r w:rsidRPr="00F53FC6">
              <w:rPr>
                <w:b/>
                <w:lang w:val="en-US"/>
              </w:rPr>
              <w:t>F</w:t>
            </w:r>
          </w:p>
        </w:tc>
        <w:tc>
          <w:tcPr>
            <w:tcW w:w="833" w:type="pct"/>
            <w:tcBorders>
              <w:top w:val="single" w:sz="24" w:space="0" w:color="auto"/>
              <w:bottom w:val="single" w:sz="12" w:space="0" w:color="auto"/>
            </w:tcBorders>
            <w:vAlign w:val="center"/>
            <w:hideMark/>
          </w:tcPr>
          <w:p w14:paraId="6058F3D1" w14:textId="4EABF6CA" w:rsidR="00707B30" w:rsidRPr="00F53FC6" w:rsidRDefault="00707B30" w:rsidP="00665379">
            <w:pPr>
              <w:pStyle w:val="MainText"/>
              <w:keepNext/>
              <w:ind w:firstLine="0"/>
              <w:jc w:val="center"/>
              <w:rPr>
                <w:b/>
                <w:lang w:val="en-US"/>
              </w:rPr>
            </w:pPr>
            <w:r w:rsidRPr="00F53FC6">
              <w:rPr>
                <w:b/>
                <w:lang w:val="en-US"/>
              </w:rPr>
              <w:t>Sig.</w:t>
            </w:r>
          </w:p>
        </w:tc>
      </w:tr>
      <w:tr w:rsidR="00707B30" w:rsidRPr="00F53FC6" w14:paraId="1CF0422C" w14:textId="77777777" w:rsidTr="00F44296">
        <w:trPr>
          <w:trHeight w:val="20"/>
        </w:trPr>
        <w:tc>
          <w:tcPr>
            <w:tcW w:w="834" w:type="pct"/>
            <w:tcBorders>
              <w:top w:val="single" w:sz="12" w:space="0" w:color="auto"/>
              <w:bottom w:val="single" w:sz="12" w:space="0" w:color="auto"/>
            </w:tcBorders>
            <w:vAlign w:val="center"/>
            <w:hideMark/>
          </w:tcPr>
          <w:p w14:paraId="2673DF46" w14:textId="1BE74219" w:rsidR="00707B30" w:rsidRPr="00F53FC6" w:rsidRDefault="00707B30" w:rsidP="00665379">
            <w:pPr>
              <w:pStyle w:val="MainText"/>
              <w:jc w:val="right"/>
              <w:rPr>
                <w:lang w:val="en-US"/>
              </w:rPr>
            </w:pPr>
            <w:r w:rsidRPr="00F53FC6">
              <w:rPr>
                <w:lang w:val="en-US"/>
              </w:rPr>
              <w:t>Regression</w:t>
            </w:r>
          </w:p>
        </w:tc>
        <w:tc>
          <w:tcPr>
            <w:tcW w:w="834" w:type="pct"/>
            <w:tcBorders>
              <w:top w:val="single" w:sz="12" w:space="0" w:color="auto"/>
              <w:bottom w:val="single" w:sz="12" w:space="0" w:color="auto"/>
            </w:tcBorders>
            <w:vAlign w:val="center"/>
          </w:tcPr>
          <w:p w14:paraId="75527569" w14:textId="7407BA0E" w:rsidR="00707B30" w:rsidRPr="00F53FC6" w:rsidRDefault="00707B30" w:rsidP="00665379">
            <w:pPr>
              <w:pStyle w:val="MainText"/>
              <w:jc w:val="right"/>
              <w:rPr>
                <w:lang w:val="en-US"/>
              </w:rPr>
            </w:pPr>
            <w:r w:rsidRPr="00F53FC6">
              <w:rPr>
                <w:lang w:val="en-US"/>
              </w:rPr>
              <w:t>4.</w:t>
            </w:r>
            <w:r w:rsidR="00F53FC6" w:rsidRPr="00F53FC6">
              <w:rPr>
                <w:lang w:val="en-US"/>
              </w:rPr>
              <w:t>121</w:t>
            </w:r>
          </w:p>
        </w:tc>
        <w:tc>
          <w:tcPr>
            <w:tcW w:w="833" w:type="pct"/>
            <w:tcBorders>
              <w:top w:val="single" w:sz="12" w:space="0" w:color="auto"/>
              <w:bottom w:val="single" w:sz="12" w:space="0" w:color="auto"/>
            </w:tcBorders>
            <w:vAlign w:val="center"/>
          </w:tcPr>
          <w:p w14:paraId="00225FB5" w14:textId="31508F4A" w:rsidR="00707B30" w:rsidRPr="00F53FC6" w:rsidRDefault="00707B30" w:rsidP="00665379">
            <w:pPr>
              <w:pStyle w:val="MainText"/>
              <w:jc w:val="right"/>
              <w:rPr>
                <w:lang w:val="en-US"/>
              </w:rPr>
            </w:pPr>
            <w:r w:rsidRPr="00F53FC6">
              <w:rPr>
                <w:lang w:val="en-US"/>
              </w:rPr>
              <w:t>1</w:t>
            </w:r>
          </w:p>
        </w:tc>
        <w:tc>
          <w:tcPr>
            <w:tcW w:w="833" w:type="pct"/>
            <w:tcBorders>
              <w:top w:val="single" w:sz="12" w:space="0" w:color="auto"/>
              <w:bottom w:val="single" w:sz="12" w:space="0" w:color="auto"/>
            </w:tcBorders>
            <w:vAlign w:val="center"/>
          </w:tcPr>
          <w:p w14:paraId="30F7744E" w14:textId="4BC80B50" w:rsidR="00707B30" w:rsidRPr="00F53FC6" w:rsidRDefault="00707B30" w:rsidP="00665379">
            <w:pPr>
              <w:pStyle w:val="MainText"/>
              <w:jc w:val="right"/>
              <w:rPr>
                <w:lang w:val="en-US"/>
              </w:rPr>
            </w:pPr>
            <w:r w:rsidRPr="00F53FC6">
              <w:rPr>
                <w:lang w:val="en-US"/>
              </w:rPr>
              <w:t>4.</w:t>
            </w:r>
            <w:r w:rsidR="00490E2A" w:rsidRPr="00F53FC6">
              <w:rPr>
                <w:lang w:val="en-US"/>
              </w:rPr>
              <w:t>298</w:t>
            </w:r>
          </w:p>
        </w:tc>
        <w:tc>
          <w:tcPr>
            <w:tcW w:w="833" w:type="pct"/>
            <w:tcBorders>
              <w:top w:val="single" w:sz="12" w:space="0" w:color="auto"/>
              <w:bottom w:val="single" w:sz="12" w:space="0" w:color="auto"/>
            </w:tcBorders>
            <w:vAlign w:val="center"/>
            <w:hideMark/>
          </w:tcPr>
          <w:p w14:paraId="46494C7B" w14:textId="2DAAB9DC" w:rsidR="00707B30" w:rsidRPr="00F53FC6" w:rsidRDefault="00707B30" w:rsidP="00665379">
            <w:pPr>
              <w:pStyle w:val="MainText"/>
              <w:jc w:val="right"/>
              <w:rPr>
                <w:lang w:val="en-US"/>
              </w:rPr>
            </w:pPr>
            <w:r w:rsidRPr="00F53FC6">
              <w:rPr>
                <w:lang w:val="en-US"/>
              </w:rPr>
              <w:t>4</w:t>
            </w:r>
            <w:r w:rsidR="00EB5207" w:rsidRPr="00F53FC6">
              <w:rPr>
                <w:lang w:val="en-US"/>
              </w:rPr>
              <w:t>22</w:t>
            </w:r>
            <w:r w:rsidRPr="00F53FC6">
              <w:rPr>
                <w:lang w:val="en-US"/>
              </w:rPr>
              <w:t>.6</w:t>
            </w:r>
            <w:r w:rsidR="00EB5207" w:rsidRPr="00F53FC6">
              <w:rPr>
                <w:lang w:val="en-US"/>
              </w:rPr>
              <w:t>80</w:t>
            </w:r>
          </w:p>
        </w:tc>
        <w:tc>
          <w:tcPr>
            <w:tcW w:w="833" w:type="pct"/>
            <w:tcBorders>
              <w:top w:val="single" w:sz="12" w:space="0" w:color="auto"/>
              <w:bottom w:val="single" w:sz="12" w:space="0" w:color="auto"/>
            </w:tcBorders>
            <w:vAlign w:val="center"/>
            <w:hideMark/>
          </w:tcPr>
          <w:p w14:paraId="0507F28A" w14:textId="232CCEB1" w:rsidR="00707B30" w:rsidRPr="00F53FC6" w:rsidRDefault="00707B30" w:rsidP="00665379">
            <w:pPr>
              <w:pStyle w:val="MainText"/>
              <w:jc w:val="right"/>
              <w:rPr>
                <w:lang w:val="en-US"/>
              </w:rPr>
            </w:pPr>
            <w:r w:rsidRPr="00F53FC6">
              <w:rPr>
                <w:lang w:val="en-US"/>
              </w:rPr>
              <w:t>0.001</w:t>
            </w:r>
          </w:p>
        </w:tc>
      </w:tr>
      <w:tr w:rsidR="00707B30" w:rsidRPr="00F53FC6" w14:paraId="7FF10CE7" w14:textId="77777777" w:rsidTr="00F44296">
        <w:trPr>
          <w:trHeight w:val="20"/>
        </w:trPr>
        <w:tc>
          <w:tcPr>
            <w:tcW w:w="834" w:type="pct"/>
            <w:tcBorders>
              <w:top w:val="single" w:sz="12" w:space="0" w:color="auto"/>
              <w:bottom w:val="single" w:sz="12" w:space="0" w:color="auto"/>
            </w:tcBorders>
            <w:vAlign w:val="center"/>
          </w:tcPr>
          <w:p w14:paraId="4F7E1F72" w14:textId="1792378F" w:rsidR="00707B30" w:rsidRPr="00F53FC6" w:rsidRDefault="00707B30" w:rsidP="00665379">
            <w:pPr>
              <w:pStyle w:val="MainText"/>
              <w:jc w:val="right"/>
              <w:rPr>
                <w:lang w:val="en-US"/>
              </w:rPr>
            </w:pPr>
            <w:r w:rsidRPr="00F53FC6">
              <w:rPr>
                <w:lang w:val="en-US"/>
              </w:rPr>
              <w:t>Residual</w:t>
            </w:r>
          </w:p>
        </w:tc>
        <w:tc>
          <w:tcPr>
            <w:tcW w:w="834" w:type="pct"/>
            <w:tcBorders>
              <w:top w:val="single" w:sz="12" w:space="0" w:color="auto"/>
              <w:bottom w:val="single" w:sz="12" w:space="0" w:color="auto"/>
            </w:tcBorders>
            <w:vAlign w:val="center"/>
          </w:tcPr>
          <w:p w14:paraId="7DABDDE0" w14:textId="5F7FFCDD" w:rsidR="00707B30" w:rsidRPr="00F53FC6" w:rsidRDefault="00707B30" w:rsidP="00665379">
            <w:pPr>
              <w:pStyle w:val="MainText"/>
              <w:jc w:val="right"/>
              <w:rPr>
                <w:lang w:val="en-US"/>
              </w:rPr>
            </w:pPr>
            <w:r w:rsidRPr="00F53FC6">
              <w:rPr>
                <w:lang w:val="en-US"/>
              </w:rPr>
              <w:t>2.</w:t>
            </w:r>
            <w:r w:rsidR="00F53FC6" w:rsidRPr="00F53FC6">
              <w:rPr>
                <w:lang w:val="en-US"/>
              </w:rPr>
              <w:t>842</w:t>
            </w:r>
          </w:p>
        </w:tc>
        <w:tc>
          <w:tcPr>
            <w:tcW w:w="833" w:type="pct"/>
            <w:tcBorders>
              <w:top w:val="single" w:sz="12" w:space="0" w:color="auto"/>
              <w:bottom w:val="single" w:sz="12" w:space="0" w:color="auto"/>
            </w:tcBorders>
            <w:vAlign w:val="center"/>
          </w:tcPr>
          <w:p w14:paraId="3C21BC93" w14:textId="7E66F9C8" w:rsidR="00707B30" w:rsidRPr="00F53FC6" w:rsidRDefault="00707B30" w:rsidP="00665379">
            <w:pPr>
              <w:pStyle w:val="MainText"/>
              <w:jc w:val="right"/>
              <w:rPr>
                <w:lang w:val="en-US"/>
              </w:rPr>
            </w:pPr>
            <w:r w:rsidRPr="00F53FC6">
              <w:rPr>
                <w:lang w:val="en-US"/>
              </w:rPr>
              <w:t>2</w:t>
            </w:r>
            <w:r w:rsidR="00490E2A" w:rsidRPr="00F53FC6">
              <w:rPr>
                <w:lang w:val="en-US"/>
              </w:rPr>
              <w:t>99</w:t>
            </w:r>
          </w:p>
        </w:tc>
        <w:tc>
          <w:tcPr>
            <w:tcW w:w="833" w:type="pct"/>
            <w:tcBorders>
              <w:top w:val="single" w:sz="12" w:space="0" w:color="auto"/>
              <w:bottom w:val="single" w:sz="12" w:space="0" w:color="auto"/>
            </w:tcBorders>
            <w:vAlign w:val="center"/>
          </w:tcPr>
          <w:p w14:paraId="439EE618" w14:textId="698529A3" w:rsidR="00707B30" w:rsidRPr="00F53FC6" w:rsidRDefault="00707B30" w:rsidP="00665379">
            <w:pPr>
              <w:pStyle w:val="MainText"/>
              <w:jc w:val="right"/>
              <w:rPr>
                <w:lang w:val="en-US"/>
              </w:rPr>
            </w:pPr>
            <w:r w:rsidRPr="00F53FC6">
              <w:rPr>
                <w:lang w:val="en-US"/>
              </w:rPr>
              <w:t>0.0</w:t>
            </w:r>
            <w:r w:rsidR="00490E2A" w:rsidRPr="00F53FC6">
              <w:rPr>
                <w:lang w:val="en-US"/>
              </w:rPr>
              <w:t>27</w:t>
            </w:r>
          </w:p>
        </w:tc>
        <w:tc>
          <w:tcPr>
            <w:tcW w:w="833" w:type="pct"/>
            <w:tcBorders>
              <w:top w:val="single" w:sz="12" w:space="0" w:color="auto"/>
              <w:bottom w:val="single" w:sz="12" w:space="0" w:color="auto"/>
            </w:tcBorders>
            <w:vAlign w:val="center"/>
          </w:tcPr>
          <w:p w14:paraId="348928AA" w14:textId="6F44D16C" w:rsidR="00707B30" w:rsidRPr="00F53FC6" w:rsidRDefault="00707B30" w:rsidP="00665379">
            <w:pPr>
              <w:pStyle w:val="MainText"/>
              <w:jc w:val="right"/>
              <w:rPr>
                <w:lang w:val="en-US"/>
              </w:rPr>
            </w:pPr>
          </w:p>
        </w:tc>
        <w:tc>
          <w:tcPr>
            <w:tcW w:w="833" w:type="pct"/>
            <w:tcBorders>
              <w:top w:val="single" w:sz="12" w:space="0" w:color="auto"/>
              <w:bottom w:val="single" w:sz="12" w:space="0" w:color="auto"/>
            </w:tcBorders>
            <w:vAlign w:val="center"/>
          </w:tcPr>
          <w:p w14:paraId="0CE9C9D8" w14:textId="77777777" w:rsidR="00707B30" w:rsidRPr="00F53FC6" w:rsidRDefault="00707B30" w:rsidP="00665379">
            <w:pPr>
              <w:pStyle w:val="MainText"/>
              <w:jc w:val="right"/>
              <w:rPr>
                <w:lang w:val="en-US"/>
              </w:rPr>
            </w:pPr>
          </w:p>
        </w:tc>
      </w:tr>
      <w:tr w:rsidR="00707B30" w:rsidRPr="00F53FC6" w14:paraId="2F973990" w14:textId="77777777" w:rsidTr="00F44296">
        <w:trPr>
          <w:trHeight w:val="20"/>
        </w:trPr>
        <w:tc>
          <w:tcPr>
            <w:tcW w:w="834" w:type="pct"/>
            <w:tcBorders>
              <w:top w:val="single" w:sz="12" w:space="0" w:color="auto"/>
              <w:bottom w:val="single" w:sz="24" w:space="0" w:color="auto"/>
            </w:tcBorders>
            <w:vAlign w:val="center"/>
          </w:tcPr>
          <w:p w14:paraId="2372ACD3" w14:textId="3EB70983" w:rsidR="00707B30" w:rsidRPr="00F53FC6" w:rsidRDefault="00707B30" w:rsidP="00665379">
            <w:pPr>
              <w:pStyle w:val="MainText"/>
              <w:jc w:val="right"/>
              <w:rPr>
                <w:lang w:val="en-US"/>
              </w:rPr>
            </w:pPr>
            <w:r w:rsidRPr="00F53FC6">
              <w:rPr>
                <w:lang w:val="en-US"/>
              </w:rPr>
              <w:t>Total</w:t>
            </w:r>
          </w:p>
        </w:tc>
        <w:tc>
          <w:tcPr>
            <w:tcW w:w="834" w:type="pct"/>
            <w:tcBorders>
              <w:top w:val="single" w:sz="12" w:space="0" w:color="auto"/>
              <w:bottom w:val="single" w:sz="24" w:space="0" w:color="auto"/>
            </w:tcBorders>
            <w:vAlign w:val="center"/>
          </w:tcPr>
          <w:p w14:paraId="57341FEC" w14:textId="727E828E" w:rsidR="00707B30" w:rsidRPr="00F53FC6" w:rsidRDefault="00F53FC6" w:rsidP="00665379">
            <w:pPr>
              <w:pStyle w:val="MainText"/>
              <w:jc w:val="right"/>
              <w:rPr>
                <w:lang w:val="en-US"/>
              </w:rPr>
            </w:pPr>
            <w:r w:rsidRPr="00F53FC6">
              <w:rPr>
                <w:lang w:val="en-US"/>
              </w:rPr>
              <w:t>6.963</w:t>
            </w:r>
          </w:p>
        </w:tc>
        <w:tc>
          <w:tcPr>
            <w:tcW w:w="833" w:type="pct"/>
            <w:tcBorders>
              <w:top w:val="single" w:sz="12" w:space="0" w:color="auto"/>
              <w:bottom w:val="single" w:sz="24" w:space="0" w:color="auto"/>
            </w:tcBorders>
            <w:vAlign w:val="center"/>
          </w:tcPr>
          <w:p w14:paraId="078FE844" w14:textId="73583C5D" w:rsidR="00707B30" w:rsidRPr="00F53FC6" w:rsidRDefault="00490E2A" w:rsidP="00665379">
            <w:pPr>
              <w:pStyle w:val="MainText"/>
              <w:jc w:val="right"/>
              <w:rPr>
                <w:lang w:val="en-US"/>
              </w:rPr>
            </w:pPr>
            <w:r w:rsidRPr="00F53FC6">
              <w:rPr>
                <w:lang w:val="en-US"/>
              </w:rPr>
              <w:t>300</w:t>
            </w:r>
          </w:p>
        </w:tc>
        <w:tc>
          <w:tcPr>
            <w:tcW w:w="833" w:type="pct"/>
            <w:tcBorders>
              <w:top w:val="single" w:sz="12" w:space="0" w:color="auto"/>
              <w:bottom w:val="single" w:sz="24" w:space="0" w:color="auto"/>
            </w:tcBorders>
            <w:vAlign w:val="center"/>
          </w:tcPr>
          <w:p w14:paraId="60761831" w14:textId="77777777" w:rsidR="00707B30" w:rsidRPr="00F53FC6" w:rsidRDefault="00707B30" w:rsidP="00665379">
            <w:pPr>
              <w:pStyle w:val="MainText"/>
              <w:jc w:val="right"/>
              <w:rPr>
                <w:lang w:val="en-US"/>
              </w:rPr>
            </w:pPr>
          </w:p>
        </w:tc>
        <w:tc>
          <w:tcPr>
            <w:tcW w:w="833" w:type="pct"/>
            <w:tcBorders>
              <w:top w:val="single" w:sz="12" w:space="0" w:color="auto"/>
              <w:bottom w:val="single" w:sz="24" w:space="0" w:color="auto"/>
            </w:tcBorders>
            <w:vAlign w:val="center"/>
          </w:tcPr>
          <w:p w14:paraId="015CE596" w14:textId="3E231266" w:rsidR="00707B30" w:rsidRPr="00F53FC6" w:rsidRDefault="00707B30" w:rsidP="00665379">
            <w:pPr>
              <w:pStyle w:val="MainText"/>
              <w:jc w:val="right"/>
              <w:rPr>
                <w:lang w:val="en-US"/>
              </w:rPr>
            </w:pPr>
          </w:p>
        </w:tc>
        <w:tc>
          <w:tcPr>
            <w:tcW w:w="833" w:type="pct"/>
            <w:tcBorders>
              <w:top w:val="single" w:sz="12" w:space="0" w:color="auto"/>
              <w:bottom w:val="single" w:sz="24" w:space="0" w:color="auto"/>
            </w:tcBorders>
            <w:vAlign w:val="center"/>
          </w:tcPr>
          <w:p w14:paraId="63E0512E" w14:textId="77777777" w:rsidR="00707B30" w:rsidRPr="00F53FC6" w:rsidRDefault="00707B30" w:rsidP="00665379">
            <w:pPr>
              <w:pStyle w:val="MainText"/>
              <w:jc w:val="right"/>
              <w:rPr>
                <w:lang w:val="en-US"/>
              </w:rPr>
            </w:pPr>
          </w:p>
        </w:tc>
      </w:tr>
    </w:tbl>
    <w:p w14:paraId="02E80B0D" w14:textId="54BB9BF2" w:rsidR="00707B30" w:rsidRPr="00F53FC6" w:rsidRDefault="00707B30" w:rsidP="008D5877">
      <w:pPr>
        <w:spacing w:after="0" w:line="360" w:lineRule="auto"/>
        <w:contextualSpacing/>
        <w:mirrorIndents/>
        <w:jc w:val="both"/>
        <w:rPr>
          <w:rFonts w:ascii="Times New Roman" w:hAnsi="Times New Roman" w:cs="Times New Roman"/>
          <w:lang w:val="en-US"/>
        </w:rPr>
      </w:pPr>
    </w:p>
    <w:bookmarkEnd w:id="16"/>
    <w:p w14:paraId="13BF8630" w14:textId="29F21E63" w:rsidR="007413D6" w:rsidRPr="00F53FC6" w:rsidRDefault="007413D6" w:rsidP="008D5877">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lang w:val="en-US"/>
        </w:rPr>
        <w:lastRenderedPageBreak/>
        <w:t xml:space="preserve">Table 4 shows a significant relationship between </w:t>
      </w:r>
      <w:r w:rsidR="00BA6E3D" w:rsidRPr="00F53FC6">
        <w:rPr>
          <w:rFonts w:ascii="Times New Roman" w:hAnsi="Times New Roman" w:cs="Times New Roman"/>
          <w:lang w:val="en-US"/>
        </w:rPr>
        <w:t>f</w:t>
      </w:r>
      <w:r w:rsidRPr="00F53FC6">
        <w:rPr>
          <w:rFonts w:ascii="Times New Roman" w:hAnsi="Times New Roman" w:cs="Times New Roman"/>
          <w:lang w:val="en-US"/>
        </w:rPr>
        <w:t xml:space="preserve">inancial </w:t>
      </w:r>
      <w:r w:rsidR="00BA6E3D" w:rsidRPr="00F53FC6">
        <w:rPr>
          <w:rFonts w:ascii="Times New Roman" w:hAnsi="Times New Roman" w:cs="Times New Roman"/>
          <w:lang w:val="en-US"/>
        </w:rPr>
        <w:t>t</w:t>
      </w:r>
      <w:r w:rsidRPr="00F53FC6">
        <w:rPr>
          <w:rFonts w:ascii="Times New Roman" w:hAnsi="Times New Roman" w:cs="Times New Roman"/>
          <w:lang w:val="en-US"/>
        </w:rPr>
        <w:t xml:space="preserve">ransparency and </w:t>
      </w:r>
      <w:r w:rsidR="00DD6BA4" w:rsidRPr="00F53FC6">
        <w:rPr>
          <w:rFonts w:ascii="Times New Roman" w:hAnsi="Times New Roman" w:cs="Times New Roman"/>
          <w:lang w:val="en-US"/>
        </w:rPr>
        <w:t>ICR</w:t>
      </w:r>
      <w:r w:rsidRPr="00F53FC6">
        <w:rPr>
          <w:rFonts w:ascii="Times New Roman" w:hAnsi="Times New Roman" w:cs="Times New Roman"/>
          <w:lang w:val="en-US"/>
        </w:rPr>
        <w:t>; this is indicated by beta coefficients (ß = +0.6</w:t>
      </w:r>
      <w:r w:rsidR="008232E8" w:rsidRPr="00F53FC6">
        <w:rPr>
          <w:rFonts w:ascii="Times New Roman" w:hAnsi="Times New Roman" w:cs="Times New Roman"/>
          <w:lang w:val="en-US"/>
        </w:rPr>
        <w:t>33</w:t>
      </w:r>
      <w:r w:rsidRPr="00F53FC6">
        <w:rPr>
          <w:rFonts w:ascii="Times New Roman" w:hAnsi="Times New Roman" w:cs="Times New Roman"/>
          <w:lang w:val="en-US"/>
        </w:rPr>
        <w:t xml:space="preserve">). With respect to significance level and the number of T statistic, </w:t>
      </w:r>
      <w:r w:rsidR="00613AAC" w:rsidRPr="00F53FC6">
        <w:rPr>
          <w:rFonts w:ascii="Times New Roman" w:hAnsi="Times New Roman" w:cs="Times New Roman"/>
          <w:lang w:val="en-US"/>
        </w:rPr>
        <w:t xml:space="preserve">null hypothesis </w:t>
      </w:r>
      <w:r w:rsidRPr="00F53FC6">
        <w:rPr>
          <w:rFonts w:ascii="Times New Roman" w:hAnsi="Times New Roman" w:cs="Times New Roman"/>
          <w:lang w:val="en-US"/>
        </w:rPr>
        <w:t xml:space="preserve">is rejected. Thus, the study fully </w:t>
      </w:r>
      <w:r w:rsidR="00872405">
        <w:rPr>
          <w:rFonts w:ascii="Times New Roman" w:hAnsi="Times New Roman" w:cs="Times New Roman"/>
          <w:lang w:val="en-US"/>
        </w:rPr>
        <w:t xml:space="preserve">not </w:t>
      </w:r>
      <w:r w:rsidRPr="00F53FC6">
        <w:rPr>
          <w:rFonts w:ascii="Times New Roman" w:hAnsi="Times New Roman" w:cs="Times New Roman"/>
          <w:lang w:val="en-US"/>
        </w:rPr>
        <w:t>supports first research hypothesis (RH</w:t>
      </w:r>
      <w:r w:rsidRPr="00F53FC6">
        <w:rPr>
          <w:rFonts w:ascii="Times New Roman" w:hAnsi="Times New Roman" w:cs="Times New Roman"/>
          <w:vertAlign w:val="subscript"/>
          <w:lang w:val="en-US"/>
        </w:rPr>
        <w:t>1</w:t>
      </w:r>
      <w:r w:rsidRPr="00F53FC6">
        <w:rPr>
          <w:rFonts w:ascii="Times New Roman" w:hAnsi="Times New Roman" w:cs="Times New Roman"/>
          <w:lang w:val="en-US"/>
        </w:rPr>
        <w:t xml:space="preserve">). </w:t>
      </w:r>
    </w:p>
    <w:p w14:paraId="22014CFF" w14:textId="26F39A0C" w:rsidR="007413D6" w:rsidRPr="00F53FC6" w:rsidRDefault="007413D6" w:rsidP="008D5877">
      <w:pPr>
        <w:spacing w:after="0" w:line="360" w:lineRule="auto"/>
        <w:contextualSpacing/>
        <w:mirrorIndents/>
        <w:jc w:val="both"/>
        <w:rPr>
          <w:rFonts w:ascii="Times New Roman" w:hAnsi="Times New Roman" w:cs="Times New Roman"/>
          <w:lang w:val="en-US"/>
        </w:rPr>
      </w:pPr>
    </w:p>
    <w:p w14:paraId="555A3FAD" w14:textId="62B78A09" w:rsidR="007413D6" w:rsidRPr="00F53FC6" w:rsidRDefault="007413D6" w:rsidP="007413D6">
      <w:pPr>
        <w:pStyle w:val="MainText"/>
        <w:keepNext/>
        <w:ind w:firstLine="0"/>
        <w:rPr>
          <w:lang w:val="en-US"/>
        </w:rPr>
      </w:pPr>
      <w:r w:rsidRPr="00F53FC6">
        <w:rPr>
          <w:b/>
          <w:lang w:val="en-US"/>
        </w:rPr>
        <w:t xml:space="preserve">Table 4. </w:t>
      </w:r>
      <w:proofErr w:type="spellStart"/>
      <w:r w:rsidRPr="00F53FC6">
        <w:rPr>
          <w:lang w:val="en-US"/>
        </w:rPr>
        <w:t>Corefficient</w:t>
      </w:r>
      <w:proofErr w:type="spellEnd"/>
      <w:r w:rsidRPr="00F53FC6">
        <w:rPr>
          <w:lang w:val="en-US"/>
        </w:rPr>
        <w:t xml:space="preserve"> of </w:t>
      </w:r>
      <w:bookmarkStart w:id="18" w:name="_Hlk23087477"/>
      <w:r w:rsidR="00BA6E3D" w:rsidRPr="00F53FC6">
        <w:rPr>
          <w:lang w:val="en-US"/>
        </w:rPr>
        <w:t>f</w:t>
      </w:r>
      <w:r w:rsidRPr="00F53FC6">
        <w:rPr>
          <w:lang w:val="en-US"/>
        </w:rPr>
        <w:t xml:space="preserve">inancial </w:t>
      </w:r>
      <w:r w:rsidR="00BA6E3D" w:rsidRPr="00F53FC6">
        <w:rPr>
          <w:lang w:val="en-US"/>
        </w:rPr>
        <w:t>t</w:t>
      </w:r>
      <w:r w:rsidRPr="00F53FC6">
        <w:rPr>
          <w:lang w:val="en-US"/>
        </w:rPr>
        <w:t xml:space="preserve">ransparency </w:t>
      </w:r>
      <w:bookmarkEnd w:id="18"/>
      <w:r w:rsidRPr="00F53FC6">
        <w:rPr>
          <w:lang w:val="en-US"/>
        </w:rPr>
        <w:t xml:space="preserve">and </w:t>
      </w:r>
      <w:r w:rsidR="00BA6E3D" w:rsidRPr="00F53FC6">
        <w:rPr>
          <w:lang w:val="en-US"/>
        </w:rPr>
        <w:t>i</w:t>
      </w:r>
      <w:r w:rsidRPr="00F53FC6">
        <w:rPr>
          <w:lang w:val="en-US"/>
        </w:rPr>
        <w:t xml:space="preserve">nterest </w:t>
      </w:r>
      <w:r w:rsidR="00BA6E3D" w:rsidRPr="00F53FC6">
        <w:rPr>
          <w:lang w:val="en-US"/>
        </w:rPr>
        <w:t>c</w:t>
      </w:r>
      <w:r w:rsidRPr="00F53FC6">
        <w:rPr>
          <w:lang w:val="en-US"/>
        </w:rPr>
        <w:t xml:space="preserve">overage </w:t>
      </w:r>
      <w:r w:rsidR="00BA6E3D" w:rsidRPr="00F53FC6">
        <w:rPr>
          <w:lang w:val="en-US"/>
        </w:rPr>
        <w:t>r</w:t>
      </w:r>
      <w:r w:rsidRPr="00F53FC6">
        <w:rPr>
          <w:lang w:val="en-US"/>
        </w:rPr>
        <w:t>atio</w:t>
      </w:r>
    </w:p>
    <w:tbl>
      <w:tblPr>
        <w:tblW w:w="5000" w:type="pct"/>
        <w:tblLook w:val="04A0" w:firstRow="1" w:lastRow="0" w:firstColumn="1" w:lastColumn="0" w:noHBand="0" w:noVBand="1"/>
      </w:tblPr>
      <w:tblGrid>
        <w:gridCol w:w="2376"/>
        <w:gridCol w:w="1571"/>
        <w:gridCol w:w="1969"/>
        <w:gridCol w:w="1969"/>
        <w:gridCol w:w="1969"/>
      </w:tblGrid>
      <w:tr w:rsidR="0004282F" w:rsidRPr="00F53FC6" w14:paraId="52461308" w14:textId="77777777" w:rsidTr="00F44296">
        <w:trPr>
          <w:trHeight w:val="20"/>
        </w:trPr>
        <w:tc>
          <w:tcPr>
            <w:tcW w:w="1206" w:type="pct"/>
            <w:tcBorders>
              <w:top w:val="single" w:sz="24" w:space="0" w:color="auto"/>
              <w:bottom w:val="single" w:sz="12" w:space="0" w:color="auto"/>
            </w:tcBorders>
            <w:vAlign w:val="center"/>
            <w:hideMark/>
          </w:tcPr>
          <w:p w14:paraId="0249AEB6" w14:textId="77777777" w:rsidR="0004282F" w:rsidRPr="00F53FC6" w:rsidRDefault="0004282F" w:rsidP="00682F2C">
            <w:pPr>
              <w:pStyle w:val="MainText"/>
              <w:keepNext/>
              <w:ind w:firstLine="0"/>
              <w:jc w:val="center"/>
              <w:rPr>
                <w:b/>
                <w:lang w:val="en-US"/>
              </w:rPr>
            </w:pPr>
            <w:bookmarkStart w:id="19" w:name="_Hlk23090387"/>
            <w:r w:rsidRPr="00F53FC6">
              <w:rPr>
                <w:b/>
                <w:lang w:val="en-US"/>
              </w:rPr>
              <w:t>Model</w:t>
            </w:r>
          </w:p>
        </w:tc>
        <w:tc>
          <w:tcPr>
            <w:tcW w:w="797" w:type="pct"/>
            <w:tcBorders>
              <w:top w:val="single" w:sz="24" w:space="0" w:color="auto"/>
              <w:bottom w:val="single" w:sz="12" w:space="0" w:color="auto"/>
            </w:tcBorders>
            <w:vAlign w:val="center"/>
          </w:tcPr>
          <w:p w14:paraId="5FC02DF1" w14:textId="2D14DB15" w:rsidR="0004282F" w:rsidRPr="00F53FC6" w:rsidRDefault="0004282F" w:rsidP="00682F2C">
            <w:pPr>
              <w:pStyle w:val="MainText"/>
              <w:keepNext/>
              <w:ind w:firstLine="0"/>
              <w:jc w:val="center"/>
              <w:rPr>
                <w:b/>
                <w:lang w:val="en-US"/>
              </w:rPr>
            </w:pPr>
            <w:r w:rsidRPr="00F53FC6">
              <w:rPr>
                <w:b/>
                <w:lang w:val="en-US"/>
              </w:rPr>
              <w:t>Std. Error</w:t>
            </w:r>
          </w:p>
        </w:tc>
        <w:tc>
          <w:tcPr>
            <w:tcW w:w="999" w:type="pct"/>
            <w:tcBorders>
              <w:top w:val="single" w:sz="24" w:space="0" w:color="auto"/>
              <w:bottom w:val="single" w:sz="12" w:space="0" w:color="auto"/>
            </w:tcBorders>
            <w:vAlign w:val="center"/>
          </w:tcPr>
          <w:p w14:paraId="6AAF6EBC" w14:textId="0DDA05EF" w:rsidR="0004282F" w:rsidRPr="00F53FC6" w:rsidRDefault="0004282F" w:rsidP="00682F2C">
            <w:pPr>
              <w:pStyle w:val="MainText"/>
              <w:keepNext/>
              <w:ind w:firstLine="0"/>
              <w:jc w:val="center"/>
              <w:rPr>
                <w:b/>
                <w:lang w:val="en-US"/>
              </w:rPr>
            </w:pPr>
            <w:r w:rsidRPr="00F53FC6">
              <w:rPr>
                <w:b/>
                <w:lang w:val="en-US"/>
              </w:rPr>
              <w:t>Beta</w:t>
            </w:r>
          </w:p>
        </w:tc>
        <w:tc>
          <w:tcPr>
            <w:tcW w:w="999" w:type="pct"/>
            <w:tcBorders>
              <w:top w:val="single" w:sz="24" w:space="0" w:color="auto"/>
              <w:bottom w:val="single" w:sz="12" w:space="0" w:color="auto"/>
            </w:tcBorders>
            <w:vAlign w:val="center"/>
          </w:tcPr>
          <w:p w14:paraId="673820A0" w14:textId="53EFB69D" w:rsidR="0004282F" w:rsidRPr="00F53FC6" w:rsidRDefault="0004282F" w:rsidP="00682F2C">
            <w:pPr>
              <w:pStyle w:val="MainText"/>
              <w:keepNext/>
              <w:ind w:firstLine="0"/>
              <w:jc w:val="center"/>
              <w:rPr>
                <w:b/>
                <w:lang w:val="en-US"/>
              </w:rPr>
            </w:pPr>
            <w:r w:rsidRPr="00F53FC6">
              <w:rPr>
                <w:b/>
                <w:lang w:val="en-US"/>
              </w:rPr>
              <w:t>T</w:t>
            </w:r>
          </w:p>
        </w:tc>
        <w:tc>
          <w:tcPr>
            <w:tcW w:w="999" w:type="pct"/>
            <w:tcBorders>
              <w:top w:val="single" w:sz="24" w:space="0" w:color="auto"/>
              <w:bottom w:val="single" w:sz="12" w:space="0" w:color="auto"/>
            </w:tcBorders>
            <w:vAlign w:val="center"/>
            <w:hideMark/>
          </w:tcPr>
          <w:p w14:paraId="4AFFCC1B" w14:textId="77777777" w:rsidR="0004282F" w:rsidRPr="00F53FC6" w:rsidRDefault="0004282F" w:rsidP="00682F2C">
            <w:pPr>
              <w:pStyle w:val="MainText"/>
              <w:keepNext/>
              <w:ind w:firstLine="0"/>
              <w:jc w:val="center"/>
              <w:rPr>
                <w:b/>
                <w:lang w:val="en-US"/>
              </w:rPr>
            </w:pPr>
            <w:r w:rsidRPr="00F53FC6">
              <w:rPr>
                <w:b/>
                <w:lang w:val="en-US"/>
              </w:rPr>
              <w:t>Sig.</w:t>
            </w:r>
          </w:p>
        </w:tc>
      </w:tr>
      <w:bookmarkEnd w:id="19"/>
      <w:tr w:rsidR="0004282F" w:rsidRPr="00F53FC6" w14:paraId="2365402F" w14:textId="77777777" w:rsidTr="00F44296">
        <w:trPr>
          <w:trHeight w:val="20"/>
        </w:trPr>
        <w:tc>
          <w:tcPr>
            <w:tcW w:w="1206" w:type="pct"/>
            <w:tcBorders>
              <w:top w:val="single" w:sz="12" w:space="0" w:color="auto"/>
              <w:bottom w:val="single" w:sz="12" w:space="0" w:color="auto"/>
            </w:tcBorders>
            <w:vAlign w:val="center"/>
            <w:hideMark/>
          </w:tcPr>
          <w:p w14:paraId="6554F0F9" w14:textId="2BD9B693" w:rsidR="0004282F" w:rsidRPr="00F53FC6" w:rsidRDefault="0004282F" w:rsidP="00682F2C">
            <w:pPr>
              <w:pStyle w:val="MainText"/>
              <w:jc w:val="right"/>
              <w:rPr>
                <w:lang w:val="en-US"/>
              </w:rPr>
            </w:pPr>
            <w:r w:rsidRPr="00F53FC6">
              <w:rPr>
                <w:lang w:val="en-US"/>
              </w:rPr>
              <w:t>(Constant)</w:t>
            </w:r>
          </w:p>
        </w:tc>
        <w:tc>
          <w:tcPr>
            <w:tcW w:w="797" w:type="pct"/>
            <w:tcBorders>
              <w:top w:val="single" w:sz="12" w:space="0" w:color="auto"/>
              <w:bottom w:val="single" w:sz="12" w:space="0" w:color="auto"/>
            </w:tcBorders>
            <w:vAlign w:val="center"/>
          </w:tcPr>
          <w:p w14:paraId="06AD5CD9" w14:textId="54494D38" w:rsidR="0004282F" w:rsidRPr="00F53FC6" w:rsidRDefault="0004282F" w:rsidP="00682F2C">
            <w:pPr>
              <w:pStyle w:val="MainText"/>
              <w:jc w:val="right"/>
              <w:rPr>
                <w:lang w:val="en-US"/>
              </w:rPr>
            </w:pPr>
            <w:r w:rsidRPr="00F53FC6">
              <w:rPr>
                <w:lang w:val="en-US"/>
              </w:rPr>
              <w:t>0.4</w:t>
            </w:r>
            <w:r w:rsidR="00F53FC6" w:rsidRPr="00F53FC6">
              <w:rPr>
                <w:lang w:val="en-US"/>
              </w:rPr>
              <w:t>1</w:t>
            </w:r>
          </w:p>
        </w:tc>
        <w:tc>
          <w:tcPr>
            <w:tcW w:w="999" w:type="pct"/>
            <w:tcBorders>
              <w:top w:val="single" w:sz="12" w:space="0" w:color="auto"/>
              <w:bottom w:val="single" w:sz="12" w:space="0" w:color="auto"/>
            </w:tcBorders>
            <w:vAlign w:val="center"/>
          </w:tcPr>
          <w:p w14:paraId="43CFA2E2" w14:textId="12FCE937" w:rsidR="0004282F" w:rsidRPr="00F53FC6" w:rsidRDefault="0004282F" w:rsidP="00682F2C">
            <w:pPr>
              <w:pStyle w:val="MainText"/>
              <w:jc w:val="right"/>
              <w:rPr>
                <w:lang w:val="en-US"/>
              </w:rPr>
            </w:pPr>
          </w:p>
        </w:tc>
        <w:tc>
          <w:tcPr>
            <w:tcW w:w="999" w:type="pct"/>
            <w:tcBorders>
              <w:top w:val="single" w:sz="12" w:space="0" w:color="auto"/>
              <w:bottom w:val="single" w:sz="12" w:space="0" w:color="auto"/>
            </w:tcBorders>
            <w:vAlign w:val="center"/>
          </w:tcPr>
          <w:p w14:paraId="0FA89ED5" w14:textId="1014ACB2" w:rsidR="0004282F" w:rsidRPr="00F53FC6" w:rsidRDefault="0004282F" w:rsidP="00682F2C">
            <w:pPr>
              <w:pStyle w:val="MainText"/>
              <w:jc w:val="right"/>
              <w:rPr>
                <w:lang w:val="en-US"/>
              </w:rPr>
            </w:pPr>
            <w:r w:rsidRPr="00F53FC6">
              <w:rPr>
                <w:lang w:val="en-US"/>
              </w:rPr>
              <w:t>-1</w:t>
            </w:r>
            <w:r w:rsidR="00F53FC6" w:rsidRPr="00F53FC6">
              <w:rPr>
                <w:lang w:val="en-US"/>
              </w:rPr>
              <w:t>4</w:t>
            </w:r>
            <w:r w:rsidRPr="00F53FC6">
              <w:rPr>
                <w:lang w:val="en-US"/>
              </w:rPr>
              <w:t>.</w:t>
            </w:r>
            <w:r w:rsidR="00F53FC6" w:rsidRPr="00F53FC6">
              <w:rPr>
                <w:lang w:val="en-US"/>
              </w:rPr>
              <w:t>987</w:t>
            </w:r>
          </w:p>
        </w:tc>
        <w:tc>
          <w:tcPr>
            <w:tcW w:w="999" w:type="pct"/>
            <w:tcBorders>
              <w:top w:val="single" w:sz="12" w:space="0" w:color="auto"/>
              <w:bottom w:val="single" w:sz="12" w:space="0" w:color="auto"/>
            </w:tcBorders>
            <w:vAlign w:val="center"/>
          </w:tcPr>
          <w:p w14:paraId="440C354A" w14:textId="4A65B493" w:rsidR="0004282F" w:rsidRPr="00F53FC6" w:rsidRDefault="0004282F" w:rsidP="00682F2C">
            <w:pPr>
              <w:pStyle w:val="MainText"/>
              <w:jc w:val="right"/>
              <w:rPr>
                <w:lang w:val="en-US"/>
              </w:rPr>
            </w:pPr>
            <w:r w:rsidRPr="00F53FC6">
              <w:rPr>
                <w:lang w:val="en-US"/>
              </w:rPr>
              <w:t>0.00</w:t>
            </w:r>
            <w:r w:rsidR="00C86F1E" w:rsidRPr="00F53FC6">
              <w:rPr>
                <w:lang w:val="en-US"/>
              </w:rPr>
              <w:t>1</w:t>
            </w:r>
          </w:p>
        </w:tc>
      </w:tr>
      <w:tr w:rsidR="00C86F1E" w:rsidRPr="00F53FC6" w14:paraId="657A1F68" w14:textId="77777777" w:rsidTr="00F44296">
        <w:trPr>
          <w:trHeight w:val="20"/>
        </w:trPr>
        <w:tc>
          <w:tcPr>
            <w:tcW w:w="1206" w:type="pct"/>
            <w:tcBorders>
              <w:top w:val="single" w:sz="12" w:space="0" w:color="auto"/>
              <w:bottom w:val="single" w:sz="24" w:space="0" w:color="auto"/>
            </w:tcBorders>
            <w:vAlign w:val="center"/>
          </w:tcPr>
          <w:p w14:paraId="31C9E6A4" w14:textId="4F849CFF" w:rsidR="00C86F1E" w:rsidRPr="00F53FC6" w:rsidRDefault="00C86F1E" w:rsidP="00C86F1E">
            <w:pPr>
              <w:pStyle w:val="MainText"/>
              <w:jc w:val="right"/>
              <w:rPr>
                <w:lang w:val="en-US"/>
              </w:rPr>
            </w:pPr>
            <w:r w:rsidRPr="00F53FC6">
              <w:rPr>
                <w:lang w:val="en-US"/>
              </w:rPr>
              <w:t xml:space="preserve">Financial </w:t>
            </w:r>
            <w:r w:rsidR="004F1021" w:rsidRPr="00F53FC6">
              <w:rPr>
                <w:lang w:val="en-US"/>
              </w:rPr>
              <w:t>t</w:t>
            </w:r>
            <w:r w:rsidRPr="00F53FC6">
              <w:rPr>
                <w:lang w:val="en-US"/>
              </w:rPr>
              <w:t>ransparency</w:t>
            </w:r>
          </w:p>
        </w:tc>
        <w:tc>
          <w:tcPr>
            <w:tcW w:w="797" w:type="pct"/>
            <w:tcBorders>
              <w:top w:val="single" w:sz="12" w:space="0" w:color="auto"/>
              <w:bottom w:val="single" w:sz="24" w:space="0" w:color="auto"/>
            </w:tcBorders>
            <w:vAlign w:val="center"/>
          </w:tcPr>
          <w:p w14:paraId="29A1FBF1" w14:textId="577716F8" w:rsidR="00C86F1E" w:rsidRPr="00F53FC6" w:rsidRDefault="00C86F1E" w:rsidP="00C86F1E">
            <w:pPr>
              <w:pStyle w:val="MainText"/>
              <w:jc w:val="right"/>
              <w:rPr>
                <w:lang w:val="en-US"/>
              </w:rPr>
            </w:pPr>
            <w:r w:rsidRPr="00F53FC6">
              <w:rPr>
                <w:lang w:val="en-US"/>
              </w:rPr>
              <w:t>0.5</w:t>
            </w:r>
            <w:r w:rsidR="00F53FC6" w:rsidRPr="00F53FC6">
              <w:rPr>
                <w:lang w:val="en-US"/>
              </w:rPr>
              <w:t>1</w:t>
            </w:r>
          </w:p>
        </w:tc>
        <w:tc>
          <w:tcPr>
            <w:tcW w:w="999" w:type="pct"/>
            <w:tcBorders>
              <w:top w:val="single" w:sz="12" w:space="0" w:color="auto"/>
              <w:bottom w:val="single" w:sz="24" w:space="0" w:color="auto"/>
            </w:tcBorders>
            <w:vAlign w:val="center"/>
          </w:tcPr>
          <w:p w14:paraId="464B28A3" w14:textId="2A0010E8" w:rsidR="00C86F1E" w:rsidRPr="00F53FC6" w:rsidRDefault="00C86F1E" w:rsidP="00C86F1E">
            <w:pPr>
              <w:pStyle w:val="MainText"/>
              <w:jc w:val="right"/>
              <w:rPr>
                <w:lang w:val="en-US"/>
              </w:rPr>
            </w:pPr>
            <w:r w:rsidRPr="00F53FC6">
              <w:rPr>
                <w:lang w:val="en-US"/>
              </w:rPr>
              <w:t>0.6</w:t>
            </w:r>
            <w:r w:rsidR="008232E8" w:rsidRPr="00F53FC6">
              <w:rPr>
                <w:lang w:val="en-US"/>
              </w:rPr>
              <w:t>33</w:t>
            </w:r>
          </w:p>
        </w:tc>
        <w:tc>
          <w:tcPr>
            <w:tcW w:w="999" w:type="pct"/>
            <w:tcBorders>
              <w:top w:val="single" w:sz="12" w:space="0" w:color="auto"/>
              <w:bottom w:val="single" w:sz="24" w:space="0" w:color="auto"/>
            </w:tcBorders>
            <w:vAlign w:val="center"/>
          </w:tcPr>
          <w:p w14:paraId="4C62D81F" w14:textId="2CB360D1" w:rsidR="00C86F1E" w:rsidRPr="00F53FC6" w:rsidRDefault="00F53FC6" w:rsidP="00C86F1E">
            <w:pPr>
              <w:pStyle w:val="MainText"/>
              <w:jc w:val="right"/>
              <w:rPr>
                <w:lang w:val="en-US"/>
              </w:rPr>
            </w:pPr>
            <w:r w:rsidRPr="00F53FC6">
              <w:rPr>
                <w:lang w:val="en-US"/>
              </w:rPr>
              <w:t>19</w:t>
            </w:r>
            <w:r w:rsidR="00C86F1E" w:rsidRPr="00F53FC6">
              <w:rPr>
                <w:lang w:val="en-US"/>
              </w:rPr>
              <w:t>.</w:t>
            </w:r>
            <w:r w:rsidRPr="00F53FC6">
              <w:rPr>
                <w:lang w:val="en-US"/>
              </w:rPr>
              <w:t>301</w:t>
            </w:r>
          </w:p>
        </w:tc>
        <w:tc>
          <w:tcPr>
            <w:tcW w:w="999" w:type="pct"/>
            <w:tcBorders>
              <w:top w:val="single" w:sz="12" w:space="0" w:color="auto"/>
              <w:bottom w:val="single" w:sz="24" w:space="0" w:color="auto"/>
            </w:tcBorders>
            <w:vAlign w:val="center"/>
          </w:tcPr>
          <w:p w14:paraId="230081A3" w14:textId="72F12A25" w:rsidR="00C86F1E" w:rsidRPr="00F53FC6" w:rsidRDefault="00C86F1E" w:rsidP="00C86F1E">
            <w:pPr>
              <w:pStyle w:val="MainText"/>
              <w:jc w:val="right"/>
              <w:rPr>
                <w:lang w:val="en-US"/>
              </w:rPr>
            </w:pPr>
            <w:r w:rsidRPr="00F53FC6">
              <w:rPr>
                <w:lang w:val="en-US"/>
              </w:rPr>
              <w:t>0.001</w:t>
            </w:r>
          </w:p>
        </w:tc>
      </w:tr>
    </w:tbl>
    <w:p w14:paraId="1913C6C7" w14:textId="77777777" w:rsidR="007413D6" w:rsidRPr="00F53FC6" w:rsidRDefault="007413D6" w:rsidP="007413D6">
      <w:pPr>
        <w:spacing w:after="0" w:line="360" w:lineRule="auto"/>
        <w:contextualSpacing/>
        <w:mirrorIndents/>
        <w:jc w:val="both"/>
        <w:rPr>
          <w:rFonts w:ascii="Times New Roman" w:hAnsi="Times New Roman" w:cs="Times New Roman"/>
          <w:lang w:val="en-US"/>
        </w:rPr>
      </w:pPr>
    </w:p>
    <w:p w14:paraId="2FDCFF93" w14:textId="74D74A80" w:rsidR="00E47FFD" w:rsidRPr="00F53FC6" w:rsidRDefault="00E47FFD" w:rsidP="00E47FFD">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lang w:val="en-US"/>
        </w:rPr>
        <w:t xml:space="preserve">Second hypothesis sought to establish the relationship between the variables declared for SMEs listed on AIM Italia. A regression of </w:t>
      </w:r>
      <w:r w:rsidR="00BA6E3D" w:rsidRPr="00F53FC6">
        <w:rPr>
          <w:rFonts w:ascii="Times New Roman" w:hAnsi="Times New Roman" w:cs="Times New Roman"/>
          <w:lang w:val="en-US"/>
        </w:rPr>
        <w:t>f</w:t>
      </w:r>
      <w:r w:rsidRPr="00F53FC6">
        <w:rPr>
          <w:rFonts w:ascii="Times New Roman" w:hAnsi="Times New Roman" w:cs="Times New Roman"/>
          <w:lang w:val="en-US"/>
        </w:rPr>
        <w:t xml:space="preserve">inancial </w:t>
      </w:r>
      <w:r w:rsidR="00BA6E3D" w:rsidRPr="00F53FC6">
        <w:rPr>
          <w:rFonts w:ascii="Times New Roman" w:hAnsi="Times New Roman" w:cs="Times New Roman"/>
          <w:lang w:val="en-US"/>
        </w:rPr>
        <w:t>t</w:t>
      </w:r>
      <w:r w:rsidRPr="00F53FC6">
        <w:rPr>
          <w:rFonts w:ascii="Times New Roman" w:hAnsi="Times New Roman" w:cs="Times New Roman"/>
          <w:lang w:val="en-US"/>
        </w:rPr>
        <w:t>ransparency on firm value was done using the equation below</w:t>
      </w:r>
      <w:r w:rsidR="00F44296">
        <w:rPr>
          <w:rFonts w:ascii="Times New Roman" w:hAnsi="Times New Roman" w:cs="Times New Roman"/>
          <w:lang w:val="en-US"/>
        </w:rPr>
        <w:t xml:space="preserve"> </w:t>
      </w:r>
      <w:r w:rsidRPr="00F53FC6">
        <w:rPr>
          <w:rFonts w:ascii="Times New Roman" w:hAnsi="Times New Roman" w:cs="Times New Roman"/>
          <w:lang w:val="en-US"/>
        </w:rPr>
        <w:t>(</w:t>
      </w:r>
      <w:r w:rsidR="001757F5" w:rsidRPr="00F53FC6">
        <w:rPr>
          <w:rFonts w:ascii="Times New Roman" w:hAnsi="Times New Roman" w:cs="Times New Roman"/>
          <w:lang w:val="en-US"/>
        </w:rPr>
        <w:t>3</w:t>
      </w:r>
      <w:r w:rsidRPr="00F53FC6">
        <w:rPr>
          <w:rFonts w:ascii="Times New Roman" w:hAnsi="Times New Roman" w:cs="Times New Roman"/>
          <w:lang w:val="en-US"/>
        </w:rPr>
        <w:t>):</w:t>
      </w:r>
    </w:p>
    <w:p w14:paraId="4C457D0C" w14:textId="155D9AD6" w:rsidR="00E47FFD" w:rsidRPr="00F53FC6" w:rsidRDefault="00E47FFD" w:rsidP="00E47FFD">
      <w:pPr>
        <w:spacing w:after="0" w:line="360" w:lineRule="auto"/>
        <w:contextualSpacing/>
        <w:mirrorIndents/>
        <w:jc w:val="center"/>
        <w:rPr>
          <w:rFonts w:ascii="Times New Roman" w:hAnsi="Times New Roman" w:cs="Times New Roman"/>
          <w:lang w:val="en-US"/>
        </w:rPr>
      </w:pPr>
      <w:r w:rsidRPr="00F53FC6">
        <w:rPr>
          <w:rFonts w:ascii="Times New Roman" w:hAnsi="Times New Roman" w:cs="Times New Roman"/>
          <w:lang w:val="en-US"/>
        </w:rPr>
        <w:t>Y = β</w:t>
      </w:r>
      <w:r w:rsidRPr="00F53FC6">
        <w:rPr>
          <w:rFonts w:ascii="Times New Roman" w:hAnsi="Times New Roman" w:cs="Times New Roman"/>
          <w:vertAlign w:val="subscript"/>
          <w:lang w:val="en-US"/>
        </w:rPr>
        <w:t>0</w:t>
      </w:r>
      <w:r w:rsidRPr="00F53FC6">
        <w:rPr>
          <w:rFonts w:ascii="Times New Roman" w:hAnsi="Times New Roman" w:cs="Times New Roman"/>
          <w:lang w:val="en-US"/>
        </w:rPr>
        <w:t xml:space="preserve"> + β</w:t>
      </w:r>
      <w:r w:rsidRPr="00F53FC6">
        <w:rPr>
          <w:rFonts w:ascii="Times New Roman" w:hAnsi="Times New Roman" w:cs="Times New Roman"/>
          <w:vertAlign w:val="subscript"/>
          <w:lang w:val="en-US"/>
        </w:rPr>
        <w:t>1</w:t>
      </w:r>
      <w:r w:rsidRPr="00F53FC6">
        <w:rPr>
          <w:rFonts w:ascii="Times New Roman" w:hAnsi="Times New Roman" w:cs="Times New Roman"/>
          <w:lang w:val="en-US"/>
        </w:rPr>
        <w:t>X</w:t>
      </w:r>
      <w:r w:rsidRPr="00F53FC6">
        <w:rPr>
          <w:rFonts w:ascii="Times New Roman" w:hAnsi="Times New Roman" w:cs="Times New Roman"/>
          <w:lang w:val="en-US"/>
        </w:rPr>
        <w:tab/>
        <w:t xml:space="preserve"> [3]</w:t>
      </w:r>
    </w:p>
    <w:p w14:paraId="0BBF17F7" w14:textId="7323D6C2" w:rsidR="00566D41" w:rsidRPr="00F53FC6" w:rsidRDefault="00E47FFD" w:rsidP="008D5877">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lang w:val="en-US"/>
        </w:rPr>
        <w:t xml:space="preserve">where X = Financial </w:t>
      </w:r>
      <w:r w:rsidR="00BA6E3D" w:rsidRPr="00F53FC6">
        <w:rPr>
          <w:rFonts w:ascii="Times New Roman" w:hAnsi="Times New Roman" w:cs="Times New Roman"/>
          <w:lang w:val="en-US"/>
        </w:rPr>
        <w:t>t</w:t>
      </w:r>
      <w:r w:rsidRPr="00F53FC6">
        <w:rPr>
          <w:rFonts w:ascii="Times New Roman" w:hAnsi="Times New Roman" w:cs="Times New Roman"/>
          <w:lang w:val="en-US"/>
        </w:rPr>
        <w:t>ransparency and Y = Tobin Q</w:t>
      </w:r>
      <w:r w:rsidR="001E00C8" w:rsidRPr="00F53FC6">
        <w:rPr>
          <w:rFonts w:ascii="Times New Roman" w:hAnsi="Times New Roman" w:cs="Times New Roman"/>
          <w:lang w:val="en-US"/>
        </w:rPr>
        <w:t>.</w:t>
      </w:r>
    </w:p>
    <w:p w14:paraId="540484E8" w14:textId="602D2223" w:rsidR="00566D41" w:rsidRDefault="00566D41" w:rsidP="00566D41">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lang w:val="en-US"/>
        </w:rPr>
        <w:t>The results highlighted in table 5 indicate a weak association exists concerning the variables with regression R of 0.</w:t>
      </w:r>
      <w:r w:rsidR="00EB5207" w:rsidRPr="00F53FC6">
        <w:rPr>
          <w:rFonts w:ascii="Times New Roman" w:hAnsi="Times New Roman" w:cs="Times New Roman"/>
          <w:lang w:val="en-US"/>
        </w:rPr>
        <w:t>5</w:t>
      </w:r>
      <w:r w:rsidR="008232E8" w:rsidRPr="00F53FC6">
        <w:rPr>
          <w:rFonts w:ascii="Times New Roman" w:hAnsi="Times New Roman" w:cs="Times New Roman"/>
          <w:lang w:val="en-US"/>
        </w:rPr>
        <w:t>12</w:t>
      </w:r>
      <w:r w:rsidRPr="00F53FC6">
        <w:rPr>
          <w:rFonts w:ascii="Times New Roman" w:hAnsi="Times New Roman" w:cs="Times New Roman"/>
          <w:lang w:val="en-US"/>
        </w:rPr>
        <w:t>. This means that only 3</w:t>
      </w:r>
      <w:r w:rsidR="00EB5207" w:rsidRPr="00F53FC6">
        <w:rPr>
          <w:rFonts w:ascii="Times New Roman" w:hAnsi="Times New Roman" w:cs="Times New Roman"/>
          <w:lang w:val="en-US"/>
        </w:rPr>
        <w:t>1</w:t>
      </w:r>
      <w:r w:rsidRPr="00F53FC6">
        <w:rPr>
          <w:rFonts w:ascii="Times New Roman" w:hAnsi="Times New Roman" w:cs="Times New Roman"/>
          <w:lang w:val="en-US"/>
        </w:rPr>
        <w:t>.</w:t>
      </w:r>
      <w:r w:rsidR="00EB5207" w:rsidRPr="00F53FC6">
        <w:rPr>
          <w:rFonts w:ascii="Times New Roman" w:hAnsi="Times New Roman" w:cs="Times New Roman"/>
          <w:lang w:val="en-US"/>
        </w:rPr>
        <w:t>8</w:t>
      </w:r>
      <w:r w:rsidRPr="00F53FC6">
        <w:rPr>
          <w:rFonts w:ascii="Times New Roman" w:hAnsi="Times New Roman" w:cs="Times New Roman"/>
          <w:lang w:val="en-US"/>
        </w:rPr>
        <w:t>% (R</w:t>
      </w:r>
      <w:r w:rsidRPr="00F53FC6">
        <w:rPr>
          <w:rFonts w:ascii="Times New Roman" w:hAnsi="Times New Roman" w:cs="Times New Roman"/>
          <w:vertAlign w:val="superscript"/>
          <w:lang w:val="en-US"/>
        </w:rPr>
        <w:t>2</w:t>
      </w:r>
      <w:r w:rsidRPr="00F53FC6">
        <w:rPr>
          <w:rFonts w:ascii="Times New Roman" w:hAnsi="Times New Roman" w:cs="Times New Roman"/>
          <w:lang w:val="en-US"/>
        </w:rPr>
        <w:t xml:space="preserve"> = 0.3</w:t>
      </w:r>
      <w:r w:rsidR="00EB5207" w:rsidRPr="00F53FC6">
        <w:rPr>
          <w:rFonts w:ascii="Times New Roman" w:hAnsi="Times New Roman" w:cs="Times New Roman"/>
          <w:lang w:val="en-US"/>
        </w:rPr>
        <w:t>18</w:t>
      </w:r>
      <w:r w:rsidRPr="00F53FC6">
        <w:rPr>
          <w:rFonts w:ascii="Times New Roman" w:hAnsi="Times New Roman" w:cs="Times New Roman"/>
          <w:lang w:val="en-US"/>
        </w:rPr>
        <w:t>) can be explained by</w:t>
      </w:r>
      <w:r w:rsidR="004F502B" w:rsidRPr="00F53FC6">
        <w:rPr>
          <w:rFonts w:ascii="Times New Roman" w:hAnsi="Times New Roman" w:cs="Times New Roman"/>
          <w:lang w:val="en-US"/>
        </w:rPr>
        <w:t xml:space="preserve"> </w:t>
      </w:r>
      <w:r w:rsidR="00BA6E3D" w:rsidRPr="00F53FC6">
        <w:rPr>
          <w:rFonts w:ascii="Times New Roman" w:hAnsi="Times New Roman" w:cs="Times New Roman"/>
          <w:lang w:val="en-US"/>
        </w:rPr>
        <w:t>f</w:t>
      </w:r>
      <w:r w:rsidR="004F502B" w:rsidRPr="00F53FC6">
        <w:rPr>
          <w:rFonts w:ascii="Times New Roman" w:hAnsi="Times New Roman" w:cs="Times New Roman"/>
          <w:lang w:val="en-US"/>
        </w:rPr>
        <w:t xml:space="preserve">inancial </w:t>
      </w:r>
      <w:r w:rsidR="00BA6E3D" w:rsidRPr="00F53FC6">
        <w:rPr>
          <w:rFonts w:ascii="Times New Roman" w:hAnsi="Times New Roman" w:cs="Times New Roman"/>
          <w:lang w:val="en-US"/>
        </w:rPr>
        <w:t>t</w:t>
      </w:r>
      <w:r w:rsidR="004F502B" w:rsidRPr="00F53FC6">
        <w:rPr>
          <w:rFonts w:ascii="Times New Roman" w:hAnsi="Times New Roman" w:cs="Times New Roman"/>
          <w:lang w:val="en-US"/>
        </w:rPr>
        <w:t xml:space="preserve">ransparency </w:t>
      </w:r>
      <w:r w:rsidR="00BA6E3D" w:rsidRPr="00F53FC6">
        <w:rPr>
          <w:rFonts w:ascii="Times New Roman" w:hAnsi="Times New Roman" w:cs="Times New Roman"/>
          <w:lang w:val="en-US"/>
        </w:rPr>
        <w:t>i</w:t>
      </w:r>
      <w:r w:rsidRPr="00F53FC6">
        <w:rPr>
          <w:rFonts w:ascii="Times New Roman" w:hAnsi="Times New Roman" w:cs="Times New Roman"/>
          <w:lang w:val="en-US"/>
        </w:rPr>
        <w:t>ndex (</w:t>
      </w:r>
      <w:r w:rsidR="004F502B" w:rsidRPr="00F53FC6">
        <w:rPr>
          <w:rFonts w:ascii="Times New Roman" w:hAnsi="Times New Roman" w:cs="Times New Roman"/>
          <w:lang w:val="en-US"/>
        </w:rPr>
        <w:t>FTI</w:t>
      </w:r>
      <w:r w:rsidRPr="00F53FC6">
        <w:rPr>
          <w:rFonts w:ascii="Times New Roman" w:hAnsi="Times New Roman" w:cs="Times New Roman"/>
          <w:lang w:val="en-US"/>
        </w:rPr>
        <w:t>) of the Tobin’s Q while the</w:t>
      </w:r>
      <w:r w:rsidR="004F502B" w:rsidRPr="00F53FC6">
        <w:rPr>
          <w:rFonts w:ascii="Times New Roman" w:hAnsi="Times New Roman" w:cs="Times New Roman"/>
          <w:lang w:val="en-US"/>
        </w:rPr>
        <w:t xml:space="preserve"> </w:t>
      </w:r>
      <w:r w:rsidRPr="00F53FC6">
        <w:rPr>
          <w:rFonts w:ascii="Times New Roman" w:hAnsi="Times New Roman" w:cs="Times New Roman"/>
          <w:lang w:val="en-US"/>
        </w:rPr>
        <w:t>balance 6</w:t>
      </w:r>
      <w:r w:rsidR="00EB5207" w:rsidRPr="00F53FC6">
        <w:rPr>
          <w:rFonts w:ascii="Times New Roman" w:hAnsi="Times New Roman" w:cs="Times New Roman"/>
          <w:lang w:val="en-US"/>
        </w:rPr>
        <w:t>8</w:t>
      </w:r>
      <w:r w:rsidRPr="00F53FC6">
        <w:rPr>
          <w:rFonts w:ascii="Times New Roman" w:hAnsi="Times New Roman" w:cs="Times New Roman"/>
          <w:lang w:val="en-US"/>
        </w:rPr>
        <w:t>.</w:t>
      </w:r>
      <w:r w:rsidR="00EB5207" w:rsidRPr="00F53FC6">
        <w:rPr>
          <w:rFonts w:ascii="Times New Roman" w:hAnsi="Times New Roman" w:cs="Times New Roman"/>
          <w:lang w:val="en-US"/>
        </w:rPr>
        <w:t>2</w:t>
      </w:r>
      <w:r w:rsidRPr="00F53FC6">
        <w:rPr>
          <w:rFonts w:ascii="Times New Roman" w:hAnsi="Times New Roman" w:cs="Times New Roman"/>
          <w:lang w:val="en-US"/>
        </w:rPr>
        <w:t>% is accounted for by other variables. At</w:t>
      </w:r>
      <w:r w:rsidR="004F502B" w:rsidRPr="00F53FC6">
        <w:rPr>
          <w:rFonts w:ascii="Times New Roman" w:hAnsi="Times New Roman" w:cs="Times New Roman"/>
          <w:lang w:val="en-US"/>
        </w:rPr>
        <w:t xml:space="preserve"> </w:t>
      </w:r>
      <w:r w:rsidRPr="00F53FC6">
        <w:rPr>
          <w:rFonts w:ascii="Times New Roman" w:hAnsi="Times New Roman" w:cs="Times New Roman"/>
          <w:lang w:val="en-US"/>
        </w:rPr>
        <w:t xml:space="preserve">p-value greater than 5, F value is </w:t>
      </w:r>
      <w:r w:rsidR="00EB5207" w:rsidRPr="00F53FC6">
        <w:rPr>
          <w:rFonts w:ascii="Times New Roman" w:hAnsi="Times New Roman" w:cs="Times New Roman"/>
          <w:lang w:val="en-US"/>
        </w:rPr>
        <w:t>111.018</w:t>
      </w:r>
      <w:r w:rsidRPr="00F53FC6">
        <w:rPr>
          <w:rFonts w:ascii="Times New Roman" w:hAnsi="Times New Roman" w:cs="Times New Roman"/>
          <w:lang w:val="en-US"/>
        </w:rPr>
        <w:t xml:space="preserve"> indicating that</w:t>
      </w:r>
      <w:r w:rsidR="004F502B" w:rsidRPr="00F53FC6">
        <w:rPr>
          <w:rFonts w:ascii="Times New Roman" w:hAnsi="Times New Roman" w:cs="Times New Roman"/>
          <w:lang w:val="en-US"/>
        </w:rPr>
        <w:t xml:space="preserve"> FTI</w:t>
      </w:r>
      <w:r w:rsidRPr="00F53FC6">
        <w:rPr>
          <w:rFonts w:ascii="Times New Roman" w:hAnsi="Times New Roman" w:cs="Times New Roman"/>
          <w:lang w:val="en-US"/>
        </w:rPr>
        <w:t xml:space="preserve"> has a significant effect on </w:t>
      </w:r>
      <w:r w:rsidR="004F502B" w:rsidRPr="00F53FC6">
        <w:rPr>
          <w:rFonts w:ascii="Times New Roman" w:hAnsi="Times New Roman" w:cs="Times New Roman"/>
          <w:lang w:val="en-US"/>
        </w:rPr>
        <w:t xml:space="preserve">firm </w:t>
      </w:r>
      <w:r w:rsidRPr="00F53FC6">
        <w:rPr>
          <w:rFonts w:ascii="Times New Roman" w:hAnsi="Times New Roman" w:cs="Times New Roman"/>
          <w:lang w:val="en-US"/>
        </w:rPr>
        <w:t>value as measured by Tobin’s Q. Null hypothesis is thus</w:t>
      </w:r>
      <w:r w:rsidR="004F502B" w:rsidRPr="00F53FC6">
        <w:rPr>
          <w:rFonts w:ascii="Times New Roman" w:hAnsi="Times New Roman" w:cs="Times New Roman"/>
          <w:lang w:val="en-US"/>
        </w:rPr>
        <w:t xml:space="preserve"> </w:t>
      </w:r>
      <w:r w:rsidRPr="00F53FC6">
        <w:rPr>
          <w:rFonts w:ascii="Times New Roman" w:hAnsi="Times New Roman" w:cs="Times New Roman"/>
          <w:lang w:val="en-US"/>
        </w:rPr>
        <w:t>rejected.</w:t>
      </w:r>
    </w:p>
    <w:p w14:paraId="3E838A88" w14:textId="77777777" w:rsidR="00604736" w:rsidRPr="00F53FC6" w:rsidRDefault="00604736" w:rsidP="00566D41">
      <w:pPr>
        <w:spacing w:after="0" w:line="360" w:lineRule="auto"/>
        <w:contextualSpacing/>
        <w:mirrorIndents/>
        <w:jc w:val="both"/>
        <w:rPr>
          <w:rFonts w:ascii="Times New Roman" w:hAnsi="Times New Roman" w:cs="Times New Roman"/>
          <w:lang w:val="en-US"/>
        </w:rPr>
      </w:pPr>
    </w:p>
    <w:p w14:paraId="683D2E5C" w14:textId="01F8E0AB" w:rsidR="001544A0" w:rsidRPr="00F53FC6" w:rsidRDefault="001544A0" w:rsidP="001544A0">
      <w:pPr>
        <w:pStyle w:val="MainText"/>
        <w:keepNext/>
        <w:ind w:firstLine="0"/>
        <w:rPr>
          <w:lang w:val="en-US"/>
        </w:rPr>
      </w:pPr>
      <w:r w:rsidRPr="00F53FC6">
        <w:rPr>
          <w:b/>
          <w:lang w:val="en-US"/>
        </w:rPr>
        <w:t xml:space="preserve">Table </w:t>
      </w:r>
      <w:r w:rsidR="00606DB5" w:rsidRPr="00F53FC6">
        <w:rPr>
          <w:b/>
          <w:lang w:val="en-US"/>
        </w:rPr>
        <w:t>5</w:t>
      </w:r>
      <w:r w:rsidRPr="00F53FC6">
        <w:rPr>
          <w:b/>
          <w:lang w:val="en-US"/>
        </w:rPr>
        <w:t xml:space="preserve">. </w:t>
      </w:r>
      <w:r w:rsidR="00841633" w:rsidRPr="00F53FC6">
        <w:rPr>
          <w:lang w:val="en-US"/>
        </w:rPr>
        <w:t>Effect</w:t>
      </w:r>
      <w:r w:rsidRPr="00F53FC6">
        <w:rPr>
          <w:lang w:val="en-US"/>
        </w:rPr>
        <w:t xml:space="preserve"> of </w:t>
      </w:r>
      <w:r w:rsidR="00BA6E3D" w:rsidRPr="00F53FC6">
        <w:rPr>
          <w:lang w:val="en-US"/>
        </w:rPr>
        <w:t>f</w:t>
      </w:r>
      <w:r w:rsidRPr="00F53FC6">
        <w:rPr>
          <w:lang w:val="en-US"/>
        </w:rPr>
        <w:t xml:space="preserve">inancial </w:t>
      </w:r>
      <w:r w:rsidR="00BA6E3D" w:rsidRPr="00F53FC6">
        <w:rPr>
          <w:lang w:val="en-US"/>
        </w:rPr>
        <w:t>t</w:t>
      </w:r>
      <w:r w:rsidRPr="00F53FC6">
        <w:rPr>
          <w:lang w:val="en-US"/>
        </w:rPr>
        <w:t xml:space="preserve">ransparency </w:t>
      </w:r>
      <w:r w:rsidR="00BA6E3D" w:rsidRPr="00F53FC6">
        <w:rPr>
          <w:lang w:val="en-US"/>
        </w:rPr>
        <w:t>i</w:t>
      </w:r>
      <w:r w:rsidR="00841633" w:rsidRPr="00F53FC6">
        <w:rPr>
          <w:lang w:val="en-US"/>
        </w:rPr>
        <w:t>ndex</w:t>
      </w:r>
      <w:r w:rsidR="00606DB5" w:rsidRPr="00F53FC6">
        <w:rPr>
          <w:lang w:val="en-US"/>
        </w:rPr>
        <w:t xml:space="preserve"> (FTI)</w:t>
      </w:r>
      <w:r w:rsidR="00841633" w:rsidRPr="00F53FC6">
        <w:rPr>
          <w:lang w:val="en-US"/>
        </w:rPr>
        <w:t xml:space="preserve"> </w:t>
      </w:r>
      <w:r w:rsidR="00606DB5" w:rsidRPr="00F53FC6">
        <w:rPr>
          <w:lang w:val="en-US"/>
        </w:rPr>
        <w:t>o</w:t>
      </w:r>
      <w:r w:rsidR="005A43D3" w:rsidRPr="00F53FC6">
        <w:rPr>
          <w:lang w:val="en-US"/>
        </w:rPr>
        <w:t>n Tobin’s Q</w:t>
      </w:r>
    </w:p>
    <w:tbl>
      <w:tblPr>
        <w:tblW w:w="5000" w:type="pct"/>
        <w:tblLook w:val="04A0" w:firstRow="1" w:lastRow="0" w:firstColumn="1" w:lastColumn="0" w:noHBand="0" w:noVBand="1"/>
      </w:tblPr>
      <w:tblGrid>
        <w:gridCol w:w="1643"/>
        <w:gridCol w:w="166"/>
        <w:gridCol w:w="166"/>
        <w:gridCol w:w="1313"/>
        <w:gridCol w:w="660"/>
        <w:gridCol w:w="981"/>
        <w:gridCol w:w="987"/>
        <w:gridCol w:w="428"/>
        <w:gridCol w:w="1541"/>
        <w:gridCol w:w="1969"/>
      </w:tblGrid>
      <w:tr w:rsidR="001544A0" w:rsidRPr="00F53FC6" w14:paraId="745DEEA6" w14:textId="77777777" w:rsidTr="00495CC1">
        <w:trPr>
          <w:trHeight w:val="57"/>
        </w:trPr>
        <w:tc>
          <w:tcPr>
            <w:tcW w:w="834" w:type="pct"/>
            <w:tcBorders>
              <w:top w:val="single" w:sz="24" w:space="0" w:color="auto"/>
              <w:bottom w:val="single" w:sz="12" w:space="0" w:color="auto"/>
            </w:tcBorders>
          </w:tcPr>
          <w:p w14:paraId="3DFE7131" w14:textId="333F8622" w:rsidR="001544A0" w:rsidRPr="00F53FC6" w:rsidRDefault="001544A0" w:rsidP="00682F2C">
            <w:pPr>
              <w:pStyle w:val="MainText"/>
              <w:keepNext/>
              <w:ind w:firstLine="0"/>
              <w:jc w:val="center"/>
              <w:rPr>
                <w:b/>
                <w:lang w:val="en-US"/>
              </w:rPr>
            </w:pPr>
          </w:p>
        </w:tc>
        <w:tc>
          <w:tcPr>
            <w:tcW w:w="834" w:type="pct"/>
            <w:gridSpan w:val="3"/>
            <w:tcBorders>
              <w:top w:val="single" w:sz="24" w:space="0" w:color="auto"/>
              <w:bottom w:val="single" w:sz="12" w:space="0" w:color="auto"/>
            </w:tcBorders>
            <w:vAlign w:val="center"/>
            <w:hideMark/>
          </w:tcPr>
          <w:p w14:paraId="0E285FEF" w14:textId="4D046E0B" w:rsidR="001544A0" w:rsidRPr="00F53FC6" w:rsidRDefault="001544A0" w:rsidP="00682F2C">
            <w:pPr>
              <w:pStyle w:val="MainText"/>
              <w:keepNext/>
              <w:ind w:firstLine="0"/>
              <w:jc w:val="center"/>
              <w:rPr>
                <w:b/>
                <w:lang w:val="en-US"/>
              </w:rPr>
            </w:pPr>
            <w:r w:rsidRPr="00F53FC6">
              <w:rPr>
                <w:b/>
                <w:lang w:val="en-US"/>
              </w:rPr>
              <w:t>R</w:t>
            </w:r>
          </w:p>
        </w:tc>
        <w:tc>
          <w:tcPr>
            <w:tcW w:w="833" w:type="pct"/>
            <w:gridSpan w:val="2"/>
            <w:tcBorders>
              <w:top w:val="single" w:sz="24" w:space="0" w:color="auto"/>
              <w:bottom w:val="single" w:sz="12" w:space="0" w:color="auto"/>
            </w:tcBorders>
            <w:vAlign w:val="center"/>
          </w:tcPr>
          <w:p w14:paraId="3DF50581" w14:textId="77777777" w:rsidR="001544A0" w:rsidRPr="00F53FC6" w:rsidRDefault="001544A0" w:rsidP="00682F2C">
            <w:pPr>
              <w:pStyle w:val="MainText"/>
              <w:keepNext/>
              <w:ind w:firstLine="0"/>
              <w:jc w:val="center"/>
              <w:rPr>
                <w:b/>
                <w:lang w:val="en-US"/>
              </w:rPr>
            </w:pPr>
            <w:r w:rsidRPr="00F53FC6">
              <w:rPr>
                <w:b/>
                <w:lang w:val="en-US"/>
              </w:rPr>
              <w:t>R</w:t>
            </w:r>
            <w:r w:rsidRPr="00F53FC6">
              <w:rPr>
                <w:b/>
                <w:vertAlign w:val="superscript"/>
                <w:lang w:val="en-US"/>
              </w:rPr>
              <w:t>2</w:t>
            </w:r>
          </w:p>
        </w:tc>
        <w:tc>
          <w:tcPr>
            <w:tcW w:w="718" w:type="pct"/>
            <w:gridSpan w:val="2"/>
            <w:tcBorders>
              <w:top w:val="single" w:sz="24" w:space="0" w:color="auto"/>
              <w:bottom w:val="single" w:sz="12" w:space="0" w:color="auto"/>
            </w:tcBorders>
            <w:vAlign w:val="center"/>
          </w:tcPr>
          <w:p w14:paraId="7BE0E9BF" w14:textId="77777777" w:rsidR="001544A0" w:rsidRPr="00F53FC6" w:rsidRDefault="001544A0" w:rsidP="00682F2C">
            <w:pPr>
              <w:pStyle w:val="MainText"/>
              <w:keepNext/>
              <w:ind w:firstLine="0"/>
              <w:jc w:val="center"/>
              <w:rPr>
                <w:b/>
                <w:lang w:val="en-US"/>
              </w:rPr>
            </w:pPr>
            <w:r w:rsidRPr="00F53FC6">
              <w:rPr>
                <w:b/>
                <w:lang w:val="en-US"/>
              </w:rPr>
              <w:t>Adj R</w:t>
            </w:r>
            <w:r w:rsidRPr="00F53FC6">
              <w:rPr>
                <w:b/>
                <w:vertAlign w:val="superscript"/>
                <w:lang w:val="en-US"/>
              </w:rPr>
              <w:t>2</w:t>
            </w:r>
          </w:p>
        </w:tc>
        <w:tc>
          <w:tcPr>
            <w:tcW w:w="782" w:type="pct"/>
            <w:tcBorders>
              <w:top w:val="single" w:sz="24" w:space="0" w:color="auto"/>
              <w:bottom w:val="single" w:sz="12" w:space="0" w:color="auto"/>
            </w:tcBorders>
            <w:vAlign w:val="center"/>
          </w:tcPr>
          <w:p w14:paraId="7E7433F4" w14:textId="77777777" w:rsidR="001544A0" w:rsidRPr="00F53FC6" w:rsidRDefault="001544A0" w:rsidP="00682F2C">
            <w:pPr>
              <w:pStyle w:val="MainText"/>
              <w:keepNext/>
              <w:ind w:firstLine="0"/>
              <w:jc w:val="center"/>
              <w:rPr>
                <w:b/>
                <w:lang w:val="en-US"/>
              </w:rPr>
            </w:pPr>
            <w:r w:rsidRPr="00F53FC6">
              <w:rPr>
                <w:b/>
                <w:lang w:val="en-US"/>
              </w:rPr>
              <w:t>Std. Error</w:t>
            </w:r>
          </w:p>
        </w:tc>
        <w:tc>
          <w:tcPr>
            <w:tcW w:w="999" w:type="pct"/>
            <w:tcBorders>
              <w:top w:val="single" w:sz="24" w:space="0" w:color="auto"/>
              <w:bottom w:val="single" w:sz="12" w:space="0" w:color="auto"/>
            </w:tcBorders>
            <w:vAlign w:val="center"/>
            <w:hideMark/>
          </w:tcPr>
          <w:p w14:paraId="4AFA0350" w14:textId="77777777" w:rsidR="001544A0" w:rsidRPr="00F53FC6" w:rsidRDefault="001544A0" w:rsidP="00682F2C">
            <w:pPr>
              <w:pStyle w:val="MainText"/>
              <w:keepNext/>
              <w:ind w:firstLine="0"/>
              <w:jc w:val="center"/>
              <w:rPr>
                <w:b/>
                <w:lang w:val="en-US"/>
              </w:rPr>
            </w:pPr>
            <w:r w:rsidRPr="00F53FC6">
              <w:rPr>
                <w:b/>
                <w:lang w:val="en-US"/>
              </w:rPr>
              <w:t>Durbin Watson test</w:t>
            </w:r>
          </w:p>
        </w:tc>
      </w:tr>
      <w:tr w:rsidR="001544A0" w:rsidRPr="00F53FC6" w14:paraId="561D7559" w14:textId="77777777" w:rsidTr="00495CC1">
        <w:trPr>
          <w:trHeight w:val="57"/>
        </w:trPr>
        <w:tc>
          <w:tcPr>
            <w:tcW w:w="834" w:type="pct"/>
            <w:tcBorders>
              <w:top w:val="single" w:sz="12" w:space="0" w:color="auto"/>
              <w:bottom w:val="single" w:sz="12" w:space="0" w:color="auto"/>
            </w:tcBorders>
          </w:tcPr>
          <w:p w14:paraId="433A6AAD" w14:textId="42FDA105" w:rsidR="001544A0" w:rsidRPr="00F53FC6" w:rsidRDefault="001544A0" w:rsidP="00682F2C">
            <w:pPr>
              <w:pStyle w:val="MainText"/>
              <w:jc w:val="right"/>
              <w:rPr>
                <w:lang w:val="en-US"/>
              </w:rPr>
            </w:pPr>
          </w:p>
        </w:tc>
        <w:tc>
          <w:tcPr>
            <w:tcW w:w="834" w:type="pct"/>
            <w:gridSpan w:val="3"/>
            <w:tcBorders>
              <w:top w:val="single" w:sz="12" w:space="0" w:color="auto"/>
              <w:bottom w:val="single" w:sz="12" w:space="0" w:color="auto"/>
            </w:tcBorders>
            <w:vAlign w:val="center"/>
          </w:tcPr>
          <w:p w14:paraId="5299474C" w14:textId="341ACBB0" w:rsidR="001544A0" w:rsidRPr="00F53FC6" w:rsidRDefault="001544A0" w:rsidP="00495CC1">
            <w:pPr>
              <w:pStyle w:val="MainText"/>
              <w:jc w:val="center"/>
              <w:rPr>
                <w:lang w:val="en-US"/>
              </w:rPr>
            </w:pPr>
            <w:r w:rsidRPr="00F53FC6">
              <w:rPr>
                <w:lang w:val="en-US"/>
              </w:rPr>
              <w:t>0.</w:t>
            </w:r>
            <w:r w:rsidR="00EB5207" w:rsidRPr="00F53FC6">
              <w:rPr>
                <w:lang w:val="en-US"/>
              </w:rPr>
              <w:t>5</w:t>
            </w:r>
            <w:r w:rsidR="008232E8" w:rsidRPr="00F53FC6">
              <w:rPr>
                <w:lang w:val="en-US"/>
              </w:rPr>
              <w:t>12</w:t>
            </w:r>
          </w:p>
        </w:tc>
        <w:tc>
          <w:tcPr>
            <w:tcW w:w="833" w:type="pct"/>
            <w:gridSpan w:val="2"/>
            <w:tcBorders>
              <w:top w:val="single" w:sz="12" w:space="0" w:color="auto"/>
              <w:bottom w:val="single" w:sz="12" w:space="0" w:color="auto"/>
            </w:tcBorders>
            <w:vAlign w:val="center"/>
          </w:tcPr>
          <w:p w14:paraId="5D510526" w14:textId="5DCA0E9D" w:rsidR="001544A0" w:rsidRPr="00F53FC6" w:rsidRDefault="001544A0" w:rsidP="00495CC1">
            <w:pPr>
              <w:pStyle w:val="MainText"/>
              <w:jc w:val="center"/>
              <w:rPr>
                <w:lang w:val="en-US"/>
              </w:rPr>
            </w:pPr>
            <w:r w:rsidRPr="00F53FC6">
              <w:rPr>
                <w:lang w:val="en-US"/>
              </w:rPr>
              <w:t>0.3</w:t>
            </w:r>
            <w:r w:rsidR="00EB5207" w:rsidRPr="00F53FC6">
              <w:rPr>
                <w:lang w:val="en-US"/>
              </w:rPr>
              <w:t>18</w:t>
            </w:r>
          </w:p>
        </w:tc>
        <w:tc>
          <w:tcPr>
            <w:tcW w:w="718" w:type="pct"/>
            <w:gridSpan w:val="2"/>
            <w:tcBorders>
              <w:top w:val="single" w:sz="12" w:space="0" w:color="auto"/>
              <w:bottom w:val="single" w:sz="12" w:space="0" w:color="auto"/>
            </w:tcBorders>
            <w:vAlign w:val="center"/>
          </w:tcPr>
          <w:p w14:paraId="083F7B25" w14:textId="24A77BF6" w:rsidR="001544A0" w:rsidRPr="00F53FC6" w:rsidRDefault="001544A0" w:rsidP="00495CC1">
            <w:pPr>
              <w:pStyle w:val="MainText"/>
              <w:jc w:val="center"/>
              <w:rPr>
                <w:lang w:val="en-US"/>
              </w:rPr>
            </w:pPr>
            <w:r w:rsidRPr="00F53FC6">
              <w:rPr>
                <w:lang w:val="en-US"/>
              </w:rPr>
              <w:t>0.</w:t>
            </w:r>
            <w:r w:rsidR="00F53FC6" w:rsidRPr="00F53FC6">
              <w:rPr>
                <w:lang w:val="en-US"/>
              </w:rPr>
              <w:t>296</w:t>
            </w:r>
          </w:p>
        </w:tc>
        <w:tc>
          <w:tcPr>
            <w:tcW w:w="782" w:type="pct"/>
            <w:tcBorders>
              <w:top w:val="single" w:sz="12" w:space="0" w:color="auto"/>
              <w:bottom w:val="single" w:sz="12" w:space="0" w:color="auto"/>
            </w:tcBorders>
            <w:vAlign w:val="center"/>
          </w:tcPr>
          <w:p w14:paraId="0663E2FB" w14:textId="1704D506" w:rsidR="001544A0" w:rsidRPr="00F53FC6" w:rsidRDefault="001544A0" w:rsidP="00495CC1">
            <w:pPr>
              <w:pStyle w:val="MainText"/>
              <w:jc w:val="center"/>
              <w:rPr>
                <w:lang w:val="en-US"/>
              </w:rPr>
            </w:pPr>
            <w:r w:rsidRPr="00F53FC6">
              <w:rPr>
                <w:lang w:val="en-US"/>
              </w:rPr>
              <w:t>0.6</w:t>
            </w:r>
            <w:r w:rsidR="00F53FC6" w:rsidRPr="00F53FC6">
              <w:rPr>
                <w:lang w:val="en-US"/>
              </w:rPr>
              <w:t>671901</w:t>
            </w:r>
          </w:p>
        </w:tc>
        <w:tc>
          <w:tcPr>
            <w:tcW w:w="999" w:type="pct"/>
            <w:tcBorders>
              <w:top w:val="single" w:sz="12" w:space="0" w:color="auto"/>
              <w:bottom w:val="single" w:sz="12" w:space="0" w:color="auto"/>
            </w:tcBorders>
            <w:vAlign w:val="center"/>
          </w:tcPr>
          <w:p w14:paraId="410774ED" w14:textId="4B040F18" w:rsidR="001544A0" w:rsidRPr="00F53FC6" w:rsidRDefault="001544A0" w:rsidP="00495CC1">
            <w:pPr>
              <w:pStyle w:val="MainText"/>
              <w:jc w:val="center"/>
              <w:rPr>
                <w:lang w:val="en-US"/>
              </w:rPr>
            </w:pPr>
            <w:r w:rsidRPr="00F53FC6">
              <w:rPr>
                <w:lang w:val="en-US"/>
              </w:rPr>
              <w:t>1.</w:t>
            </w:r>
            <w:r w:rsidR="00F53FC6" w:rsidRPr="00F53FC6">
              <w:rPr>
                <w:lang w:val="en-US"/>
              </w:rPr>
              <w:t>433</w:t>
            </w:r>
          </w:p>
        </w:tc>
      </w:tr>
      <w:tr w:rsidR="001544A0" w:rsidRPr="00F53FC6" w14:paraId="1F5DE940" w14:textId="77777777" w:rsidTr="00495CC1">
        <w:trPr>
          <w:trHeight w:val="57"/>
        </w:trPr>
        <w:tc>
          <w:tcPr>
            <w:tcW w:w="834" w:type="pct"/>
            <w:tcBorders>
              <w:top w:val="single" w:sz="12" w:space="0" w:color="auto"/>
              <w:bottom w:val="single" w:sz="24" w:space="0" w:color="auto"/>
            </w:tcBorders>
          </w:tcPr>
          <w:p w14:paraId="40946C80" w14:textId="77777777" w:rsidR="001544A0" w:rsidRPr="00F53FC6" w:rsidRDefault="001544A0" w:rsidP="00682F2C">
            <w:pPr>
              <w:pStyle w:val="MainText"/>
              <w:jc w:val="right"/>
              <w:rPr>
                <w:lang w:val="en-US"/>
              </w:rPr>
            </w:pPr>
          </w:p>
        </w:tc>
        <w:tc>
          <w:tcPr>
            <w:tcW w:w="834" w:type="pct"/>
            <w:gridSpan w:val="3"/>
            <w:tcBorders>
              <w:top w:val="single" w:sz="12" w:space="0" w:color="auto"/>
              <w:bottom w:val="single" w:sz="24" w:space="0" w:color="auto"/>
            </w:tcBorders>
            <w:vAlign w:val="center"/>
          </w:tcPr>
          <w:p w14:paraId="19133EDF" w14:textId="77777777" w:rsidR="001544A0" w:rsidRPr="00F53FC6" w:rsidRDefault="001544A0" w:rsidP="00682F2C">
            <w:pPr>
              <w:pStyle w:val="MainText"/>
              <w:jc w:val="right"/>
              <w:rPr>
                <w:lang w:val="en-US"/>
              </w:rPr>
            </w:pPr>
          </w:p>
        </w:tc>
        <w:tc>
          <w:tcPr>
            <w:tcW w:w="833" w:type="pct"/>
            <w:gridSpan w:val="2"/>
            <w:tcBorders>
              <w:top w:val="single" w:sz="12" w:space="0" w:color="auto"/>
              <w:bottom w:val="single" w:sz="24" w:space="0" w:color="auto"/>
            </w:tcBorders>
            <w:vAlign w:val="center"/>
          </w:tcPr>
          <w:p w14:paraId="125FB8B9" w14:textId="77777777" w:rsidR="001544A0" w:rsidRPr="00F53FC6" w:rsidRDefault="001544A0" w:rsidP="00682F2C">
            <w:pPr>
              <w:pStyle w:val="MainText"/>
              <w:jc w:val="right"/>
              <w:rPr>
                <w:lang w:val="en-US"/>
              </w:rPr>
            </w:pPr>
          </w:p>
        </w:tc>
        <w:tc>
          <w:tcPr>
            <w:tcW w:w="718" w:type="pct"/>
            <w:gridSpan w:val="2"/>
            <w:tcBorders>
              <w:top w:val="single" w:sz="12" w:space="0" w:color="auto"/>
              <w:bottom w:val="single" w:sz="24" w:space="0" w:color="auto"/>
            </w:tcBorders>
            <w:vAlign w:val="center"/>
          </w:tcPr>
          <w:p w14:paraId="7D3E3E29" w14:textId="77777777" w:rsidR="001544A0" w:rsidRPr="00F53FC6" w:rsidRDefault="001544A0" w:rsidP="00682F2C">
            <w:pPr>
              <w:pStyle w:val="MainText"/>
              <w:jc w:val="right"/>
              <w:rPr>
                <w:lang w:val="en-US"/>
              </w:rPr>
            </w:pPr>
          </w:p>
        </w:tc>
        <w:tc>
          <w:tcPr>
            <w:tcW w:w="782" w:type="pct"/>
            <w:tcBorders>
              <w:top w:val="single" w:sz="12" w:space="0" w:color="auto"/>
              <w:bottom w:val="single" w:sz="24" w:space="0" w:color="auto"/>
            </w:tcBorders>
            <w:vAlign w:val="center"/>
          </w:tcPr>
          <w:p w14:paraId="57E3AA7F" w14:textId="77777777" w:rsidR="001544A0" w:rsidRPr="00F53FC6" w:rsidRDefault="001544A0" w:rsidP="00682F2C">
            <w:pPr>
              <w:pStyle w:val="MainText"/>
              <w:jc w:val="right"/>
              <w:rPr>
                <w:lang w:val="en-US"/>
              </w:rPr>
            </w:pPr>
          </w:p>
        </w:tc>
        <w:tc>
          <w:tcPr>
            <w:tcW w:w="999" w:type="pct"/>
            <w:tcBorders>
              <w:top w:val="single" w:sz="12" w:space="0" w:color="auto"/>
              <w:bottom w:val="single" w:sz="24" w:space="0" w:color="auto"/>
            </w:tcBorders>
            <w:vAlign w:val="center"/>
          </w:tcPr>
          <w:p w14:paraId="5410B0DD" w14:textId="77777777" w:rsidR="001544A0" w:rsidRPr="00F53FC6" w:rsidRDefault="001544A0" w:rsidP="00682F2C">
            <w:pPr>
              <w:pStyle w:val="MainText"/>
              <w:jc w:val="right"/>
              <w:rPr>
                <w:lang w:val="en-US"/>
              </w:rPr>
            </w:pPr>
          </w:p>
        </w:tc>
      </w:tr>
      <w:tr w:rsidR="001544A0" w:rsidRPr="00F53FC6" w14:paraId="52AB1C18" w14:textId="77777777" w:rsidTr="001544A0">
        <w:trPr>
          <w:trHeight w:val="57"/>
        </w:trPr>
        <w:tc>
          <w:tcPr>
            <w:tcW w:w="1002" w:type="pct"/>
            <w:gridSpan w:val="3"/>
            <w:tcBorders>
              <w:top w:val="single" w:sz="24" w:space="0" w:color="auto"/>
              <w:bottom w:val="single" w:sz="12" w:space="0" w:color="auto"/>
            </w:tcBorders>
            <w:vAlign w:val="center"/>
            <w:hideMark/>
          </w:tcPr>
          <w:p w14:paraId="3CF1E5CF" w14:textId="77777777" w:rsidR="001544A0" w:rsidRPr="00F53FC6" w:rsidRDefault="001544A0" w:rsidP="005A43D3">
            <w:pPr>
              <w:pStyle w:val="MainText"/>
              <w:keepNext/>
              <w:ind w:firstLine="0"/>
              <w:jc w:val="center"/>
              <w:rPr>
                <w:b/>
                <w:lang w:val="en-US"/>
              </w:rPr>
            </w:pPr>
            <w:r w:rsidRPr="00F53FC6">
              <w:rPr>
                <w:b/>
                <w:lang w:val="en-US"/>
              </w:rPr>
              <w:t>Model</w:t>
            </w:r>
          </w:p>
        </w:tc>
        <w:tc>
          <w:tcPr>
            <w:tcW w:w="1001" w:type="pct"/>
            <w:gridSpan w:val="2"/>
            <w:tcBorders>
              <w:top w:val="single" w:sz="24" w:space="0" w:color="auto"/>
              <w:bottom w:val="single" w:sz="12" w:space="0" w:color="auto"/>
            </w:tcBorders>
            <w:vAlign w:val="center"/>
          </w:tcPr>
          <w:p w14:paraId="270A19A2" w14:textId="77777777" w:rsidR="001544A0" w:rsidRPr="00F53FC6" w:rsidRDefault="001544A0" w:rsidP="005A43D3">
            <w:pPr>
              <w:pStyle w:val="MainText"/>
              <w:keepNext/>
              <w:ind w:firstLine="0"/>
              <w:jc w:val="center"/>
              <w:rPr>
                <w:b/>
                <w:lang w:val="en-US"/>
              </w:rPr>
            </w:pPr>
            <w:r w:rsidRPr="00F53FC6">
              <w:rPr>
                <w:b/>
                <w:lang w:val="en-US"/>
              </w:rPr>
              <w:t>Std. Error</w:t>
            </w:r>
          </w:p>
        </w:tc>
        <w:tc>
          <w:tcPr>
            <w:tcW w:w="999" w:type="pct"/>
            <w:gridSpan w:val="2"/>
            <w:tcBorders>
              <w:top w:val="single" w:sz="24" w:space="0" w:color="auto"/>
              <w:bottom w:val="single" w:sz="12" w:space="0" w:color="auto"/>
            </w:tcBorders>
            <w:vAlign w:val="center"/>
          </w:tcPr>
          <w:p w14:paraId="498610C0" w14:textId="77777777" w:rsidR="001544A0" w:rsidRPr="00F53FC6" w:rsidRDefault="001544A0" w:rsidP="005A43D3">
            <w:pPr>
              <w:pStyle w:val="MainText"/>
              <w:keepNext/>
              <w:ind w:firstLine="0"/>
              <w:jc w:val="center"/>
              <w:rPr>
                <w:b/>
                <w:lang w:val="en-US"/>
              </w:rPr>
            </w:pPr>
            <w:r w:rsidRPr="00F53FC6">
              <w:rPr>
                <w:b/>
                <w:lang w:val="en-US"/>
              </w:rPr>
              <w:t>Beta</w:t>
            </w:r>
          </w:p>
        </w:tc>
        <w:tc>
          <w:tcPr>
            <w:tcW w:w="999" w:type="pct"/>
            <w:gridSpan w:val="2"/>
            <w:tcBorders>
              <w:top w:val="single" w:sz="24" w:space="0" w:color="auto"/>
              <w:bottom w:val="single" w:sz="12" w:space="0" w:color="auto"/>
            </w:tcBorders>
            <w:vAlign w:val="center"/>
          </w:tcPr>
          <w:p w14:paraId="373D78BB" w14:textId="77777777" w:rsidR="001544A0" w:rsidRPr="00F53FC6" w:rsidRDefault="001544A0" w:rsidP="005A43D3">
            <w:pPr>
              <w:pStyle w:val="MainText"/>
              <w:keepNext/>
              <w:ind w:firstLine="0"/>
              <w:jc w:val="center"/>
              <w:rPr>
                <w:b/>
                <w:lang w:val="en-US"/>
              </w:rPr>
            </w:pPr>
            <w:r w:rsidRPr="00F53FC6">
              <w:rPr>
                <w:b/>
                <w:lang w:val="en-US"/>
              </w:rPr>
              <w:t>T</w:t>
            </w:r>
          </w:p>
        </w:tc>
        <w:tc>
          <w:tcPr>
            <w:tcW w:w="999" w:type="pct"/>
            <w:tcBorders>
              <w:top w:val="single" w:sz="24" w:space="0" w:color="auto"/>
              <w:bottom w:val="single" w:sz="12" w:space="0" w:color="auto"/>
            </w:tcBorders>
            <w:vAlign w:val="center"/>
            <w:hideMark/>
          </w:tcPr>
          <w:p w14:paraId="4C4D75C0" w14:textId="77777777" w:rsidR="001544A0" w:rsidRPr="00F53FC6" w:rsidRDefault="001544A0" w:rsidP="005A43D3">
            <w:pPr>
              <w:pStyle w:val="MainText"/>
              <w:keepNext/>
              <w:ind w:firstLine="0"/>
              <w:jc w:val="center"/>
              <w:rPr>
                <w:b/>
                <w:lang w:val="en-US"/>
              </w:rPr>
            </w:pPr>
            <w:r w:rsidRPr="00F53FC6">
              <w:rPr>
                <w:b/>
                <w:lang w:val="en-US"/>
              </w:rPr>
              <w:t>Sig.</w:t>
            </w:r>
          </w:p>
        </w:tc>
      </w:tr>
      <w:tr w:rsidR="001544A0" w:rsidRPr="00F53FC6" w14:paraId="7FB94F98" w14:textId="77777777" w:rsidTr="001544A0">
        <w:trPr>
          <w:trHeight w:val="57"/>
        </w:trPr>
        <w:tc>
          <w:tcPr>
            <w:tcW w:w="1002" w:type="pct"/>
            <w:gridSpan w:val="3"/>
            <w:tcBorders>
              <w:top w:val="single" w:sz="12" w:space="0" w:color="auto"/>
              <w:bottom w:val="single" w:sz="12" w:space="0" w:color="auto"/>
            </w:tcBorders>
            <w:vAlign w:val="center"/>
            <w:hideMark/>
          </w:tcPr>
          <w:p w14:paraId="761BE3B1" w14:textId="0560273F" w:rsidR="001544A0" w:rsidRPr="00F53FC6" w:rsidRDefault="001544A0" w:rsidP="00495CC1">
            <w:pPr>
              <w:pStyle w:val="MainText"/>
              <w:jc w:val="center"/>
              <w:rPr>
                <w:lang w:val="en-US"/>
              </w:rPr>
            </w:pPr>
            <w:r w:rsidRPr="00F53FC6">
              <w:rPr>
                <w:lang w:val="en-US"/>
              </w:rPr>
              <w:t>(Constant)</w:t>
            </w:r>
          </w:p>
        </w:tc>
        <w:tc>
          <w:tcPr>
            <w:tcW w:w="1001" w:type="pct"/>
            <w:gridSpan w:val="2"/>
            <w:tcBorders>
              <w:top w:val="single" w:sz="12" w:space="0" w:color="auto"/>
              <w:bottom w:val="single" w:sz="12" w:space="0" w:color="auto"/>
            </w:tcBorders>
            <w:vAlign w:val="center"/>
          </w:tcPr>
          <w:p w14:paraId="26FAFF01" w14:textId="18EE521E" w:rsidR="001544A0" w:rsidRPr="00F53FC6" w:rsidRDefault="001544A0" w:rsidP="00495CC1">
            <w:pPr>
              <w:pStyle w:val="MainText"/>
              <w:jc w:val="center"/>
              <w:rPr>
                <w:lang w:val="en-US"/>
              </w:rPr>
            </w:pPr>
            <w:r w:rsidRPr="00F53FC6">
              <w:rPr>
                <w:lang w:val="en-US"/>
              </w:rPr>
              <w:t>0.</w:t>
            </w:r>
            <w:r w:rsidR="006A0C47" w:rsidRPr="00F53FC6">
              <w:rPr>
                <w:lang w:val="en-US"/>
              </w:rPr>
              <w:t>2</w:t>
            </w:r>
            <w:r w:rsidR="00F53FC6" w:rsidRPr="00F53FC6">
              <w:rPr>
                <w:lang w:val="en-US"/>
              </w:rPr>
              <w:t>79</w:t>
            </w:r>
          </w:p>
        </w:tc>
        <w:tc>
          <w:tcPr>
            <w:tcW w:w="999" w:type="pct"/>
            <w:gridSpan w:val="2"/>
            <w:tcBorders>
              <w:top w:val="single" w:sz="12" w:space="0" w:color="auto"/>
              <w:bottom w:val="single" w:sz="12" w:space="0" w:color="auto"/>
            </w:tcBorders>
            <w:vAlign w:val="center"/>
          </w:tcPr>
          <w:p w14:paraId="06158D07" w14:textId="0F4546BE" w:rsidR="001544A0" w:rsidRPr="00F53FC6" w:rsidRDefault="001544A0" w:rsidP="00495CC1">
            <w:pPr>
              <w:pStyle w:val="MainText"/>
              <w:jc w:val="center"/>
              <w:rPr>
                <w:lang w:val="en-US"/>
              </w:rPr>
            </w:pPr>
          </w:p>
        </w:tc>
        <w:tc>
          <w:tcPr>
            <w:tcW w:w="999" w:type="pct"/>
            <w:gridSpan w:val="2"/>
            <w:tcBorders>
              <w:top w:val="single" w:sz="12" w:space="0" w:color="auto"/>
              <w:bottom w:val="single" w:sz="12" w:space="0" w:color="auto"/>
            </w:tcBorders>
            <w:vAlign w:val="center"/>
          </w:tcPr>
          <w:p w14:paraId="03CFF9D9" w14:textId="270B9FDD" w:rsidR="001544A0" w:rsidRPr="00F53FC6" w:rsidRDefault="001544A0" w:rsidP="00495CC1">
            <w:pPr>
              <w:pStyle w:val="MainText"/>
              <w:jc w:val="center"/>
              <w:rPr>
                <w:lang w:val="en-US"/>
              </w:rPr>
            </w:pPr>
            <w:r w:rsidRPr="00F53FC6">
              <w:rPr>
                <w:lang w:val="en-US"/>
              </w:rPr>
              <w:t>-</w:t>
            </w:r>
            <w:r w:rsidR="006A0C47" w:rsidRPr="00F53FC6">
              <w:rPr>
                <w:lang w:val="en-US"/>
              </w:rPr>
              <w:t>5.</w:t>
            </w:r>
            <w:r w:rsidR="00F53FC6" w:rsidRPr="00F53FC6">
              <w:rPr>
                <w:lang w:val="en-US"/>
              </w:rPr>
              <w:t>541</w:t>
            </w:r>
          </w:p>
        </w:tc>
        <w:tc>
          <w:tcPr>
            <w:tcW w:w="999" w:type="pct"/>
            <w:tcBorders>
              <w:top w:val="single" w:sz="12" w:space="0" w:color="auto"/>
              <w:bottom w:val="single" w:sz="12" w:space="0" w:color="auto"/>
            </w:tcBorders>
            <w:vAlign w:val="center"/>
          </w:tcPr>
          <w:p w14:paraId="5CB0A510" w14:textId="77777777" w:rsidR="001544A0" w:rsidRPr="00F53FC6" w:rsidRDefault="001544A0" w:rsidP="00495CC1">
            <w:pPr>
              <w:pStyle w:val="MainText"/>
              <w:jc w:val="center"/>
              <w:rPr>
                <w:lang w:val="en-US"/>
              </w:rPr>
            </w:pPr>
            <w:r w:rsidRPr="00F53FC6">
              <w:rPr>
                <w:lang w:val="en-US"/>
              </w:rPr>
              <w:t>0.001</w:t>
            </w:r>
          </w:p>
        </w:tc>
      </w:tr>
      <w:tr w:rsidR="001544A0" w:rsidRPr="00F53FC6" w14:paraId="4CBF4C26" w14:textId="77777777" w:rsidTr="001544A0">
        <w:trPr>
          <w:trHeight w:val="57"/>
        </w:trPr>
        <w:tc>
          <w:tcPr>
            <w:tcW w:w="1002" w:type="pct"/>
            <w:gridSpan w:val="3"/>
            <w:tcBorders>
              <w:top w:val="single" w:sz="12" w:space="0" w:color="auto"/>
              <w:bottom w:val="single" w:sz="24" w:space="0" w:color="auto"/>
            </w:tcBorders>
            <w:vAlign w:val="center"/>
          </w:tcPr>
          <w:p w14:paraId="032F72EF" w14:textId="44250CD3" w:rsidR="001544A0" w:rsidRPr="00F53FC6" w:rsidRDefault="006A0C47" w:rsidP="00495CC1">
            <w:pPr>
              <w:pStyle w:val="MainText"/>
              <w:jc w:val="center"/>
              <w:rPr>
                <w:lang w:val="en-US"/>
              </w:rPr>
            </w:pPr>
            <w:r w:rsidRPr="00F53FC6">
              <w:rPr>
                <w:lang w:val="en-US"/>
              </w:rPr>
              <w:t>FTI</w:t>
            </w:r>
          </w:p>
        </w:tc>
        <w:tc>
          <w:tcPr>
            <w:tcW w:w="1001" w:type="pct"/>
            <w:gridSpan w:val="2"/>
            <w:tcBorders>
              <w:top w:val="single" w:sz="12" w:space="0" w:color="auto"/>
              <w:bottom w:val="single" w:sz="24" w:space="0" w:color="auto"/>
            </w:tcBorders>
            <w:vAlign w:val="center"/>
          </w:tcPr>
          <w:p w14:paraId="4E58DFEA" w14:textId="7D0FCC1E" w:rsidR="001544A0" w:rsidRPr="00F53FC6" w:rsidRDefault="006A0C47" w:rsidP="00495CC1">
            <w:pPr>
              <w:pStyle w:val="MainText"/>
              <w:jc w:val="center"/>
              <w:rPr>
                <w:lang w:val="en-US"/>
              </w:rPr>
            </w:pPr>
            <w:r w:rsidRPr="00F53FC6">
              <w:rPr>
                <w:lang w:val="en-US"/>
              </w:rPr>
              <w:t>0.3</w:t>
            </w:r>
            <w:r w:rsidR="00F53FC6" w:rsidRPr="00F53FC6">
              <w:rPr>
                <w:lang w:val="en-US"/>
              </w:rPr>
              <w:t>01</w:t>
            </w:r>
          </w:p>
        </w:tc>
        <w:tc>
          <w:tcPr>
            <w:tcW w:w="999" w:type="pct"/>
            <w:gridSpan w:val="2"/>
            <w:tcBorders>
              <w:top w:val="single" w:sz="12" w:space="0" w:color="auto"/>
              <w:bottom w:val="single" w:sz="24" w:space="0" w:color="auto"/>
            </w:tcBorders>
            <w:vAlign w:val="center"/>
          </w:tcPr>
          <w:p w14:paraId="4292EA7A" w14:textId="6E53A27F" w:rsidR="001544A0" w:rsidRPr="00F53FC6" w:rsidRDefault="006A0C47" w:rsidP="00495CC1">
            <w:pPr>
              <w:pStyle w:val="MainText"/>
              <w:jc w:val="center"/>
              <w:rPr>
                <w:lang w:val="en-US"/>
              </w:rPr>
            </w:pPr>
            <w:r w:rsidRPr="00F53FC6">
              <w:rPr>
                <w:lang w:val="en-US"/>
              </w:rPr>
              <w:t>0.</w:t>
            </w:r>
            <w:r w:rsidR="00F53FC6" w:rsidRPr="00F53FC6">
              <w:rPr>
                <w:lang w:val="en-US"/>
              </w:rPr>
              <w:t>498</w:t>
            </w:r>
          </w:p>
        </w:tc>
        <w:tc>
          <w:tcPr>
            <w:tcW w:w="999" w:type="pct"/>
            <w:gridSpan w:val="2"/>
            <w:tcBorders>
              <w:top w:val="single" w:sz="12" w:space="0" w:color="auto"/>
              <w:bottom w:val="single" w:sz="24" w:space="0" w:color="auto"/>
            </w:tcBorders>
            <w:vAlign w:val="center"/>
          </w:tcPr>
          <w:p w14:paraId="193A2C54" w14:textId="67A4A915" w:rsidR="001544A0" w:rsidRPr="00F53FC6" w:rsidRDefault="006A0C47" w:rsidP="00495CC1">
            <w:pPr>
              <w:pStyle w:val="MainText"/>
              <w:jc w:val="center"/>
              <w:rPr>
                <w:lang w:val="en-US"/>
              </w:rPr>
            </w:pPr>
            <w:r w:rsidRPr="00F53FC6">
              <w:rPr>
                <w:lang w:val="en-US"/>
              </w:rPr>
              <w:t>1</w:t>
            </w:r>
            <w:r w:rsidR="00F53FC6" w:rsidRPr="00F53FC6">
              <w:rPr>
                <w:lang w:val="en-US"/>
              </w:rPr>
              <w:t>2</w:t>
            </w:r>
            <w:r w:rsidRPr="00F53FC6">
              <w:rPr>
                <w:lang w:val="en-US"/>
              </w:rPr>
              <w:t>.</w:t>
            </w:r>
            <w:r w:rsidR="00F53FC6" w:rsidRPr="00F53FC6">
              <w:rPr>
                <w:lang w:val="en-US"/>
              </w:rPr>
              <w:t>309</w:t>
            </w:r>
          </w:p>
        </w:tc>
        <w:tc>
          <w:tcPr>
            <w:tcW w:w="999" w:type="pct"/>
            <w:tcBorders>
              <w:top w:val="single" w:sz="12" w:space="0" w:color="auto"/>
              <w:bottom w:val="single" w:sz="24" w:space="0" w:color="auto"/>
            </w:tcBorders>
            <w:vAlign w:val="center"/>
          </w:tcPr>
          <w:p w14:paraId="67C35C78" w14:textId="77777777" w:rsidR="001544A0" w:rsidRPr="00F53FC6" w:rsidRDefault="001544A0" w:rsidP="00495CC1">
            <w:pPr>
              <w:pStyle w:val="MainText"/>
              <w:jc w:val="center"/>
              <w:rPr>
                <w:lang w:val="en-US"/>
              </w:rPr>
            </w:pPr>
            <w:r w:rsidRPr="00F53FC6">
              <w:rPr>
                <w:lang w:val="en-US"/>
              </w:rPr>
              <w:t>0.001</w:t>
            </w:r>
          </w:p>
        </w:tc>
      </w:tr>
      <w:tr w:rsidR="006A0C47" w:rsidRPr="00F53FC6" w14:paraId="18683926" w14:textId="77777777" w:rsidTr="00495CC1">
        <w:trPr>
          <w:trHeight w:val="57"/>
        </w:trPr>
        <w:tc>
          <w:tcPr>
            <w:tcW w:w="834" w:type="pct"/>
            <w:tcBorders>
              <w:top w:val="single" w:sz="24" w:space="0" w:color="auto"/>
              <w:bottom w:val="single" w:sz="12" w:space="0" w:color="auto"/>
            </w:tcBorders>
            <w:vAlign w:val="center"/>
            <w:hideMark/>
          </w:tcPr>
          <w:p w14:paraId="75AC9E45" w14:textId="77777777" w:rsidR="006A0C47" w:rsidRPr="00F53FC6" w:rsidRDefault="006A0C47" w:rsidP="00682F2C">
            <w:pPr>
              <w:pStyle w:val="MainText"/>
              <w:keepNext/>
              <w:ind w:firstLine="0"/>
              <w:jc w:val="center"/>
              <w:rPr>
                <w:b/>
                <w:lang w:val="en-US"/>
              </w:rPr>
            </w:pPr>
            <w:r w:rsidRPr="00F53FC6">
              <w:rPr>
                <w:b/>
                <w:lang w:val="en-US"/>
              </w:rPr>
              <w:t>Model</w:t>
            </w:r>
          </w:p>
        </w:tc>
        <w:tc>
          <w:tcPr>
            <w:tcW w:w="834" w:type="pct"/>
            <w:gridSpan w:val="3"/>
            <w:tcBorders>
              <w:top w:val="single" w:sz="24" w:space="0" w:color="auto"/>
              <w:bottom w:val="single" w:sz="12" w:space="0" w:color="auto"/>
            </w:tcBorders>
            <w:vAlign w:val="center"/>
          </w:tcPr>
          <w:p w14:paraId="7A40B433" w14:textId="77777777" w:rsidR="006A0C47" w:rsidRPr="00F53FC6" w:rsidRDefault="006A0C47" w:rsidP="00682F2C">
            <w:pPr>
              <w:pStyle w:val="MainText"/>
              <w:keepNext/>
              <w:ind w:firstLine="0"/>
              <w:jc w:val="center"/>
              <w:rPr>
                <w:b/>
                <w:lang w:val="en-US"/>
              </w:rPr>
            </w:pPr>
            <w:r w:rsidRPr="00F53FC6">
              <w:rPr>
                <w:b/>
                <w:lang w:val="en-US"/>
              </w:rPr>
              <w:t>Sum of Squares</w:t>
            </w:r>
          </w:p>
        </w:tc>
        <w:tc>
          <w:tcPr>
            <w:tcW w:w="833" w:type="pct"/>
            <w:gridSpan w:val="2"/>
            <w:tcBorders>
              <w:top w:val="single" w:sz="24" w:space="0" w:color="auto"/>
              <w:bottom w:val="single" w:sz="12" w:space="0" w:color="auto"/>
            </w:tcBorders>
            <w:vAlign w:val="center"/>
          </w:tcPr>
          <w:p w14:paraId="1F4E018A" w14:textId="77777777" w:rsidR="006A0C47" w:rsidRPr="00F53FC6" w:rsidRDefault="006A0C47" w:rsidP="00682F2C">
            <w:pPr>
              <w:pStyle w:val="MainText"/>
              <w:keepNext/>
              <w:ind w:firstLine="0"/>
              <w:jc w:val="center"/>
              <w:rPr>
                <w:b/>
                <w:lang w:val="en-US"/>
              </w:rPr>
            </w:pPr>
            <w:r w:rsidRPr="00F53FC6">
              <w:rPr>
                <w:b/>
                <w:lang w:val="en-US"/>
              </w:rPr>
              <w:t>Df</w:t>
            </w:r>
          </w:p>
        </w:tc>
        <w:tc>
          <w:tcPr>
            <w:tcW w:w="718" w:type="pct"/>
            <w:gridSpan w:val="2"/>
            <w:tcBorders>
              <w:top w:val="single" w:sz="24" w:space="0" w:color="auto"/>
              <w:bottom w:val="single" w:sz="12" w:space="0" w:color="auto"/>
            </w:tcBorders>
            <w:vAlign w:val="center"/>
          </w:tcPr>
          <w:p w14:paraId="0E9DCC19" w14:textId="77777777" w:rsidR="006A0C47" w:rsidRPr="00F53FC6" w:rsidRDefault="006A0C47" w:rsidP="00682F2C">
            <w:pPr>
              <w:pStyle w:val="MainText"/>
              <w:keepNext/>
              <w:ind w:firstLine="0"/>
              <w:jc w:val="center"/>
              <w:rPr>
                <w:b/>
                <w:lang w:val="en-US"/>
              </w:rPr>
            </w:pPr>
            <w:r w:rsidRPr="00F53FC6">
              <w:rPr>
                <w:b/>
                <w:lang w:val="en-US"/>
              </w:rPr>
              <w:t>Mean square</w:t>
            </w:r>
          </w:p>
        </w:tc>
        <w:tc>
          <w:tcPr>
            <w:tcW w:w="782" w:type="pct"/>
            <w:tcBorders>
              <w:top w:val="single" w:sz="24" w:space="0" w:color="auto"/>
              <w:bottom w:val="single" w:sz="12" w:space="0" w:color="auto"/>
            </w:tcBorders>
            <w:vAlign w:val="center"/>
            <w:hideMark/>
          </w:tcPr>
          <w:p w14:paraId="56ABA110" w14:textId="77777777" w:rsidR="006A0C47" w:rsidRPr="00F53FC6" w:rsidRDefault="006A0C47" w:rsidP="00682F2C">
            <w:pPr>
              <w:pStyle w:val="MainText"/>
              <w:keepNext/>
              <w:ind w:firstLine="0"/>
              <w:jc w:val="center"/>
              <w:rPr>
                <w:b/>
                <w:lang w:val="en-US"/>
              </w:rPr>
            </w:pPr>
            <w:r w:rsidRPr="00F53FC6">
              <w:rPr>
                <w:b/>
                <w:lang w:val="en-US"/>
              </w:rPr>
              <w:t>F</w:t>
            </w:r>
          </w:p>
        </w:tc>
        <w:tc>
          <w:tcPr>
            <w:tcW w:w="999" w:type="pct"/>
            <w:tcBorders>
              <w:top w:val="single" w:sz="24" w:space="0" w:color="auto"/>
              <w:bottom w:val="single" w:sz="12" w:space="0" w:color="auto"/>
            </w:tcBorders>
            <w:vAlign w:val="center"/>
            <w:hideMark/>
          </w:tcPr>
          <w:p w14:paraId="114ED5AE" w14:textId="77777777" w:rsidR="006A0C47" w:rsidRPr="00F53FC6" w:rsidRDefault="006A0C47" w:rsidP="00682F2C">
            <w:pPr>
              <w:pStyle w:val="MainText"/>
              <w:keepNext/>
              <w:ind w:firstLine="0"/>
              <w:jc w:val="center"/>
              <w:rPr>
                <w:b/>
                <w:lang w:val="en-US"/>
              </w:rPr>
            </w:pPr>
            <w:r w:rsidRPr="00F53FC6">
              <w:rPr>
                <w:b/>
                <w:lang w:val="en-US"/>
              </w:rPr>
              <w:t>Sig.</w:t>
            </w:r>
          </w:p>
        </w:tc>
      </w:tr>
      <w:tr w:rsidR="006A0C47" w:rsidRPr="00F53FC6" w14:paraId="6540D0AA" w14:textId="77777777" w:rsidTr="00495CC1">
        <w:trPr>
          <w:trHeight w:val="57"/>
        </w:trPr>
        <w:tc>
          <w:tcPr>
            <w:tcW w:w="918" w:type="pct"/>
            <w:gridSpan w:val="2"/>
            <w:tcBorders>
              <w:top w:val="single" w:sz="12" w:space="0" w:color="auto"/>
              <w:bottom w:val="single" w:sz="12" w:space="0" w:color="auto"/>
            </w:tcBorders>
            <w:vAlign w:val="center"/>
            <w:hideMark/>
          </w:tcPr>
          <w:p w14:paraId="71651E79" w14:textId="77777777" w:rsidR="006A0C47" w:rsidRPr="00F53FC6" w:rsidRDefault="006A0C47" w:rsidP="00495CC1">
            <w:pPr>
              <w:pStyle w:val="MainText"/>
              <w:jc w:val="center"/>
              <w:rPr>
                <w:lang w:val="en-US"/>
              </w:rPr>
            </w:pPr>
            <w:r w:rsidRPr="00F53FC6">
              <w:rPr>
                <w:lang w:val="en-US"/>
              </w:rPr>
              <w:t>Regression</w:t>
            </w:r>
          </w:p>
        </w:tc>
        <w:tc>
          <w:tcPr>
            <w:tcW w:w="750" w:type="pct"/>
            <w:gridSpan w:val="2"/>
            <w:tcBorders>
              <w:top w:val="single" w:sz="12" w:space="0" w:color="auto"/>
              <w:bottom w:val="single" w:sz="12" w:space="0" w:color="auto"/>
            </w:tcBorders>
            <w:vAlign w:val="center"/>
          </w:tcPr>
          <w:p w14:paraId="4F4F0696" w14:textId="70A30058" w:rsidR="006A0C47" w:rsidRPr="00F53FC6" w:rsidRDefault="006A0C47" w:rsidP="00495CC1">
            <w:pPr>
              <w:pStyle w:val="MainText"/>
              <w:jc w:val="center"/>
              <w:rPr>
                <w:lang w:val="en-US"/>
              </w:rPr>
            </w:pPr>
            <w:r w:rsidRPr="00F53FC6">
              <w:rPr>
                <w:lang w:val="en-US"/>
              </w:rPr>
              <w:t>3</w:t>
            </w:r>
            <w:r w:rsidR="00F53FC6" w:rsidRPr="00F53FC6">
              <w:rPr>
                <w:lang w:val="en-US"/>
              </w:rPr>
              <w:t>5</w:t>
            </w:r>
            <w:r w:rsidRPr="00F53FC6">
              <w:rPr>
                <w:lang w:val="en-US"/>
              </w:rPr>
              <w:t>.</w:t>
            </w:r>
            <w:r w:rsidR="00F53FC6" w:rsidRPr="00F53FC6">
              <w:rPr>
                <w:lang w:val="en-US"/>
              </w:rPr>
              <w:t>698</w:t>
            </w:r>
          </w:p>
        </w:tc>
        <w:tc>
          <w:tcPr>
            <w:tcW w:w="833" w:type="pct"/>
            <w:gridSpan w:val="2"/>
            <w:tcBorders>
              <w:top w:val="single" w:sz="12" w:space="0" w:color="auto"/>
              <w:bottom w:val="single" w:sz="12" w:space="0" w:color="auto"/>
            </w:tcBorders>
            <w:vAlign w:val="center"/>
          </w:tcPr>
          <w:p w14:paraId="25BC816F" w14:textId="77777777" w:rsidR="006A0C47" w:rsidRPr="00F53FC6" w:rsidRDefault="006A0C47" w:rsidP="00495CC1">
            <w:pPr>
              <w:pStyle w:val="MainText"/>
              <w:jc w:val="center"/>
              <w:rPr>
                <w:lang w:val="en-US"/>
              </w:rPr>
            </w:pPr>
            <w:r w:rsidRPr="00F53FC6">
              <w:rPr>
                <w:lang w:val="en-US"/>
              </w:rPr>
              <w:t>1</w:t>
            </w:r>
          </w:p>
        </w:tc>
        <w:tc>
          <w:tcPr>
            <w:tcW w:w="718" w:type="pct"/>
            <w:gridSpan w:val="2"/>
            <w:tcBorders>
              <w:top w:val="single" w:sz="12" w:space="0" w:color="auto"/>
              <w:bottom w:val="single" w:sz="12" w:space="0" w:color="auto"/>
            </w:tcBorders>
            <w:vAlign w:val="center"/>
          </w:tcPr>
          <w:p w14:paraId="4BBE4A1A" w14:textId="76576C20" w:rsidR="006A0C47" w:rsidRPr="00F53FC6" w:rsidRDefault="006A0C47" w:rsidP="00495CC1">
            <w:pPr>
              <w:pStyle w:val="MainText"/>
              <w:jc w:val="center"/>
              <w:rPr>
                <w:lang w:val="en-US"/>
              </w:rPr>
            </w:pPr>
            <w:r w:rsidRPr="00F53FC6">
              <w:rPr>
                <w:lang w:val="en-US"/>
              </w:rPr>
              <w:t>3</w:t>
            </w:r>
            <w:r w:rsidR="00F53FC6" w:rsidRPr="00F53FC6">
              <w:rPr>
                <w:lang w:val="en-US"/>
              </w:rPr>
              <w:t>6</w:t>
            </w:r>
            <w:r w:rsidRPr="00F53FC6">
              <w:rPr>
                <w:lang w:val="en-US"/>
              </w:rPr>
              <w:t>.</w:t>
            </w:r>
            <w:r w:rsidR="00F53FC6" w:rsidRPr="00F53FC6">
              <w:rPr>
                <w:lang w:val="en-US"/>
              </w:rPr>
              <w:t>194</w:t>
            </w:r>
          </w:p>
        </w:tc>
        <w:tc>
          <w:tcPr>
            <w:tcW w:w="782" w:type="pct"/>
            <w:tcBorders>
              <w:top w:val="single" w:sz="12" w:space="0" w:color="auto"/>
              <w:bottom w:val="single" w:sz="12" w:space="0" w:color="auto"/>
            </w:tcBorders>
            <w:vAlign w:val="center"/>
            <w:hideMark/>
          </w:tcPr>
          <w:p w14:paraId="5E2DABEC" w14:textId="07CFB79E" w:rsidR="006A0C47" w:rsidRPr="00F53FC6" w:rsidRDefault="00EB5207" w:rsidP="00495CC1">
            <w:pPr>
              <w:pStyle w:val="MainText"/>
              <w:jc w:val="center"/>
              <w:rPr>
                <w:lang w:val="en-US"/>
              </w:rPr>
            </w:pPr>
            <w:r w:rsidRPr="00F53FC6">
              <w:rPr>
                <w:lang w:val="en-US"/>
              </w:rPr>
              <w:t>111</w:t>
            </w:r>
            <w:r w:rsidR="006A0C47" w:rsidRPr="00F53FC6">
              <w:rPr>
                <w:lang w:val="en-US"/>
              </w:rPr>
              <w:t>.01</w:t>
            </w:r>
            <w:r w:rsidRPr="00F53FC6">
              <w:rPr>
                <w:lang w:val="en-US"/>
              </w:rPr>
              <w:t>8</w:t>
            </w:r>
          </w:p>
        </w:tc>
        <w:tc>
          <w:tcPr>
            <w:tcW w:w="999" w:type="pct"/>
            <w:tcBorders>
              <w:top w:val="single" w:sz="12" w:space="0" w:color="auto"/>
              <w:bottom w:val="single" w:sz="12" w:space="0" w:color="auto"/>
            </w:tcBorders>
            <w:vAlign w:val="center"/>
            <w:hideMark/>
          </w:tcPr>
          <w:p w14:paraId="19296CD4" w14:textId="02D20723" w:rsidR="006A0C47" w:rsidRPr="00F53FC6" w:rsidRDefault="006A0C47" w:rsidP="00495CC1">
            <w:pPr>
              <w:pStyle w:val="MainText"/>
              <w:jc w:val="center"/>
              <w:rPr>
                <w:lang w:val="en-US"/>
              </w:rPr>
            </w:pPr>
            <w:r w:rsidRPr="00F53FC6">
              <w:rPr>
                <w:lang w:val="en-US"/>
              </w:rPr>
              <w:t>0.001</w:t>
            </w:r>
          </w:p>
        </w:tc>
      </w:tr>
      <w:tr w:rsidR="006A0C47" w:rsidRPr="00F53FC6" w14:paraId="407C0714" w14:textId="77777777" w:rsidTr="00495CC1">
        <w:trPr>
          <w:trHeight w:val="57"/>
        </w:trPr>
        <w:tc>
          <w:tcPr>
            <w:tcW w:w="918" w:type="pct"/>
            <w:gridSpan w:val="2"/>
            <w:tcBorders>
              <w:top w:val="single" w:sz="12" w:space="0" w:color="auto"/>
              <w:bottom w:val="single" w:sz="12" w:space="0" w:color="auto"/>
            </w:tcBorders>
            <w:vAlign w:val="center"/>
          </w:tcPr>
          <w:p w14:paraId="0291E6D3" w14:textId="77777777" w:rsidR="006A0C47" w:rsidRPr="00F53FC6" w:rsidRDefault="006A0C47" w:rsidP="00495CC1">
            <w:pPr>
              <w:pStyle w:val="MainText"/>
              <w:jc w:val="center"/>
              <w:rPr>
                <w:lang w:val="en-US"/>
              </w:rPr>
            </w:pPr>
            <w:r w:rsidRPr="00F53FC6">
              <w:rPr>
                <w:lang w:val="en-US"/>
              </w:rPr>
              <w:t>Residual</w:t>
            </w:r>
          </w:p>
        </w:tc>
        <w:tc>
          <w:tcPr>
            <w:tcW w:w="750" w:type="pct"/>
            <w:gridSpan w:val="2"/>
            <w:tcBorders>
              <w:top w:val="single" w:sz="12" w:space="0" w:color="auto"/>
              <w:bottom w:val="single" w:sz="12" w:space="0" w:color="auto"/>
            </w:tcBorders>
            <w:vAlign w:val="center"/>
          </w:tcPr>
          <w:p w14:paraId="3250D0B2" w14:textId="0C6815C7" w:rsidR="006A0C47" w:rsidRPr="00F53FC6" w:rsidRDefault="006A0C47" w:rsidP="00495CC1">
            <w:pPr>
              <w:pStyle w:val="MainText"/>
              <w:jc w:val="center"/>
              <w:rPr>
                <w:lang w:val="en-US"/>
              </w:rPr>
            </w:pPr>
            <w:r w:rsidRPr="00F53FC6">
              <w:rPr>
                <w:lang w:val="en-US"/>
              </w:rPr>
              <w:t>2</w:t>
            </w:r>
            <w:r w:rsidR="00F53FC6" w:rsidRPr="00F53FC6">
              <w:rPr>
                <w:lang w:val="en-US"/>
              </w:rPr>
              <w:t>16</w:t>
            </w:r>
            <w:r w:rsidRPr="00F53FC6">
              <w:rPr>
                <w:lang w:val="en-US"/>
              </w:rPr>
              <w:t>.</w:t>
            </w:r>
            <w:r w:rsidR="00F53FC6" w:rsidRPr="00F53FC6">
              <w:rPr>
                <w:lang w:val="en-US"/>
              </w:rPr>
              <w:t>298</w:t>
            </w:r>
          </w:p>
        </w:tc>
        <w:tc>
          <w:tcPr>
            <w:tcW w:w="833" w:type="pct"/>
            <w:gridSpan w:val="2"/>
            <w:tcBorders>
              <w:top w:val="single" w:sz="12" w:space="0" w:color="auto"/>
              <w:bottom w:val="single" w:sz="12" w:space="0" w:color="auto"/>
            </w:tcBorders>
            <w:vAlign w:val="center"/>
          </w:tcPr>
          <w:p w14:paraId="6162FE4D" w14:textId="69B6967F" w:rsidR="006A0C47" w:rsidRPr="00F53FC6" w:rsidRDefault="006A0C47" w:rsidP="00495CC1">
            <w:pPr>
              <w:pStyle w:val="MainText"/>
              <w:jc w:val="center"/>
              <w:rPr>
                <w:lang w:val="en-US"/>
              </w:rPr>
            </w:pPr>
            <w:r w:rsidRPr="00F53FC6">
              <w:rPr>
                <w:lang w:val="en-US"/>
              </w:rPr>
              <w:t>2</w:t>
            </w:r>
            <w:r w:rsidR="00F53FC6" w:rsidRPr="00F53FC6">
              <w:rPr>
                <w:lang w:val="en-US"/>
              </w:rPr>
              <w:t>99</w:t>
            </w:r>
          </w:p>
        </w:tc>
        <w:tc>
          <w:tcPr>
            <w:tcW w:w="718" w:type="pct"/>
            <w:gridSpan w:val="2"/>
            <w:tcBorders>
              <w:top w:val="single" w:sz="12" w:space="0" w:color="auto"/>
              <w:bottom w:val="single" w:sz="12" w:space="0" w:color="auto"/>
            </w:tcBorders>
            <w:vAlign w:val="center"/>
          </w:tcPr>
          <w:p w14:paraId="2DC2C550" w14:textId="5B713C6C" w:rsidR="006A0C47" w:rsidRPr="00F53FC6" w:rsidRDefault="006A0C47" w:rsidP="00495CC1">
            <w:pPr>
              <w:pStyle w:val="MainText"/>
              <w:jc w:val="center"/>
              <w:rPr>
                <w:lang w:val="en-US"/>
              </w:rPr>
            </w:pPr>
            <w:r w:rsidRPr="00F53FC6">
              <w:rPr>
                <w:lang w:val="en-US"/>
              </w:rPr>
              <w:t>0.4</w:t>
            </w:r>
            <w:r w:rsidR="00F53FC6" w:rsidRPr="00F53FC6">
              <w:rPr>
                <w:lang w:val="en-US"/>
              </w:rPr>
              <w:t>23</w:t>
            </w:r>
          </w:p>
        </w:tc>
        <w:tc>
          <w:tcPr>
            <w:tcW w:w="782" w:type="pct"/>
            <w:tcBorders>
              <w:top w:val="single" w:sz="12" w:space="0" w:color="auto"/>
              <w:bottom w:val="single" w:sz="12" w:space="0" w:color="auto"/>
            </w:tcBorders>
            <w:vAlign w:val="center"/>
          </w:tcPr>
          <w:p w14:paraId="241852C6" w14:textId="41F6336E" w:rsidR="006A0C47" w:rsidRPr="00F53FC6" w:rsidRDefault="006A0C47" w:rsidP="00495CC1">
            <w:pPr>
              <w:pStyle w:val="MainText"/>
              <w:jc w:val="center"/>
              <w:rPr>
                <w:lang w:val="en-US"/>
              </w:rPr>
            </w:pPr>
          </w:p>
        </w:tc>
        <w:tc>
          <w:tcPr>
            <w:tcW w:w="999" w:type="pct"/>
            <w:tcBorders>
              <w:top w:val="single" w:sz="12" w:space="0" w:color="auto"/>
              <w:bottom w:val="single" w:sz="12" w:space="0" w:color="auto"/>
            </w:tcBorders>
            <w:vAlign w:val="center"/>
          </w:tcPr>
          <w:p w14:paraId="542C3F0F" w14:textId="4E687446" w:rsidR="006A0C47" w:rsidRPr="00F53FC6" w:rsidRDefault="006A0C47" w:rsidP="00495CC1">
            <w:pPr>
              <w:pStyle w:val="MainText"/>
              <w:jc w:val="center"/>
              <w:rPr>
                <w:lang w:val="en-US"/>
              </w:rPr>
            </w:pPr>
          </w:p>
        </w:tc>
      </w:tr>
      <w:tr w:rsidR="006A0C47" w:rsidRPr="00F53FC6" w14:paraId="2568DD47" w14:textId="77777777" w:rsidTr="00495CC1">
        <w:trPr>
          <w:trHeight w:val="57"/>
        </w:trPr>
        <w:tc>
          <w:tcPr>
            <w:tcW w:w="918" w:type="pct"/>
            <w:gridSpan w:val="2"/>
            <w:tcBorders>
              <w:top w:val="single" w:sz="12" w:space="0" w:color="auto"/>
              <w:bottom w:val="single" w:sz="24" w:space="0" w:color="auto"/>
            </w:tcBorders>
            <w:vAlign w:val="center"/>
          </w:tcPr>
          <w:p w14:paraId="712861EE" w14:textId="77777777" w:rsidR="006A0C47" w:rsidRPr="00F53FC6" w:rsidRDefault="006A0C47" w:rsidP="00495CC1">
            <w:pPr>
              <w:pStyle w:val="MainText"/>
              <w:jc w:val="center"/>
              <w:rPr>
                <w:lang w:val="en-US"/>
              </w:rPr>
            </w:pPr>
            <w:r w:rsidRPr="00F53FC6">
              <w:rPr>
                <w:lang w:val="en-US"/>
              </w:rPr>
              <w:t>Total</w:t>
            </w:r>
          </w:p>
        </w:tc>
        <w:tc>
          <w:tcPr>
            <w:tcW w:w="750" w:type="pct"/>
            <w:gridSpan w:val="2"/>
            <w:tcBorders>
              <w:top w:val="single" w:sz="12" w:space="0" w:color="auto"/>
              <w:bottom w:val="single" w:sz="24" w:space="0" w:color="auto"/>
            </w:tcBorders>
            <w:vAlign w:val="center"/>
          </w:tcPr>
          <w:p w14:paraId="3541D53B" w14:textId="6C97697F" w:rsidR="006A0C47" w:rsidRPr="00F53FC6" w:rsidRDefault="006A0C47" w:rsidP="00495CC1">
            <w:pPr>
              <w:pStyle w:val="MainText"/>
              <w:jc w:val="center"/>
              <w:rPr>
                <w:lang w:val="en-US"/>
              </w:rPr>
            </w:pPr>
            <w:r w:rsidRPr="00F53FC6">
              <w:rPr>
                <w:lang w:val="en-US"/>
              </w:rPr>
              <w:t>25</w:t>
            </w:r>
            <w:r w:rsidR="00F53FC6" w:rsidRPr="00F53FC6">
              <w:rPr>
                <w:lang w:val="en-US"/>
              </w:rPr>
              <w:t>1</w:t>
            </w:r>
            <w:r w:rsidRPr="00F53FC6">
              <w:rPr>
                <w:lang w:val="en-US"/>
              </w:rPr>
              <w:t>.</w:t>
            </w:r>
            <w:r w:rsidR="00F53FC6" w:rsidRPr="00F53FC6">
              <w:rPr>
                <w:lang w:val="en-US"/>
              </w:rPr>
              <w:t>996</w:t>
            </w:r>
          </w:p>
        </w:tc>
        <w:tc>
          <w:tcPr>
            <w:tcW w:w="833" w:type="pct"/>
            <w:gridSpan w:val="2"/>
            <w:tcBorders>
              <w:top w:val="single" w:sz="12" w:space="0" w:color="auto"/>
              <w:bottom w:val="single" w:sz="24" w:space="0" w:color="auto"/>
            </w:tcBorders>
            <w:vAlign w:val="center"/>
          </w:tcPr>
          <w:p w14:paraId="399E1652" w14:textId="1C117064" w:rsidR="006A0C47" w:rsidRPr="00F53FC6" w:rsidRDefault="00F53FC6" w:rsidP="00495CC1">
            <w:pPr>
              <w:pStyle w:val="MainText"/>
              <w:jc w:val="center"/>
              <w:rPr>
                <w:lang w:val="en-US"/>
              </w:rPr>
            </w:pPr>
            <w:r w:rsidRPr="00F53FC6">
              <w:rPr>
                <w:lang w:val="en-US"/>
              </w:rPr>
              <w:t>300</w:t>
            </w:r>
          </w:p>
        </w:tc>
        <w:tc>
          <w:tcPr>
            <w:tcW w:w="718" w:type="pct"/>
            <w:gridSpan w:val="2"/>
            <w:tcBorders>
              <w:top w:val="single" w:sz="12" w:space="0" w:color="auto"/>
              <w:bottom w:val="single" w:sz="24" w:space="0" w:color="auto"/>
            </w:tcBorders>
            <w:vAlign w:val="center"/>
          </w:tcPr>
          <w:p w14:paraId="00CB121F" w14:textId="77777777" w:rsidR="006A0C47" w:rsidRPr="00F53FC6" w:rsidRDefault="006A0C47" w:rsidP="00495CC1">
            <w:pPr>
              <w:pStyle w:val="MainText"/>
              <w:jc w:val="center"/>
              <w:rPr>
                <w:lang w:val="en-US"/>
              </w:rPr>
            </w:pPr>
          </w:p>
        </w:tc>
        <w:tc>
          <w:tcPr>
            <w:tcW w:w="782" w:type="pct"/>
            <w:tcBorders>
              <w:top w:val="single" w:sz="12" w:space="0" w:color="auto"/>
              <w:bottom w:val="single" w:sz="24" w:space="0" w:color="auto"/>
            </w:tcBorders>
            <w:vAlign w:val="center"/>
          </w:tcPr>
          <w:p w14:paraId="0982E9EF" w14:textId="77777777" w:rsidR="006A0C47" w:rsidRPr="00F53FC6" w:rsidRDefault="006A0C47" w:rsidP="00495CC1">
            <w:pPr>
              <w:pStyle w:val="MainText"/>
              <w:jc w:val="center"/>
              <w:rPr>
                <w:lang w:val="en-US"/>
              </w:rPr>
            </w:pPr>
          </w:p>
        </w:tc>
        <w:tc>
          <w:tcPr>
            <w:tcW w:w="999" w:type="pct"/>
            <w:tcBorders>
              <w:top w:val="single" w:sz="12" w:space="0" w:color="auto"/>
              <w:bottom w:val="single" w:sz="24" w:space="0" w:color="auto"/>
            </w:tcBorders>
            <w:vAlign w:val="center"/>
          </w:tcPr>
          <w:p w14:paraId="7E5531EA" w14:textId="77777777" w:rsidR="006A0C47" w:rsidRPr="00F53FC6" w:rsidRDefault="006A0C47" w:rsidP="00495CC1">
            <w:pPr>
              <w:pStyle w:val="MainText"/>
              <w:jc w:val="center"/>
              <w:rPr>
                <w:lang w:val="en-US"/>
              </w:rPr>
            </w:pPr>
          </w:p>
        </w:tc>
      </w:tr>
    </w:tbl>
    <w:p w14:paraId="6213C051" w14:textId="77777777" w:rsidR="00E95B94" w:rsidRPr="00F53FC6" w:rsidRDefault="00E95B94" w:rsidP="00E95B94">
      <w:pPr>
        <w:spacing w:after="0" w:line="360" w:lineRule="auto"/>
        <w:contextualSpacing/>
        <w:mirrorIndents/>
        <w:jc w:val="both"/>
        <w:rPr>
          <w:rFonts w:ascii="Times New Roman" w:hAnsi="Times New Roman" w:cs="Times New Roman"/>
          <w:lang w:val="en-US"/>
        </w:rPr>
      </w:pPr>
    </w:p>
    <w:p w14:paraId="2AC5C43C" w14:textId="44A491DA" w:rsidR="00E95B94" w:rsidRPr="00F53FC6" w:rsidRDefault="00E95B94" w:rsidP="00E95B94">
      <w:pPr>
        <w:pStyle w:val="Paragrafoelenco"/>
        <w:numPr>
          <w:ilvl w:val="0"/>
          <w:numId w:val="7"/>
        </w:numPr>
        <w:spacing w:after="0" w:line="360" w:lineRule="auto"/>
        <w:mirrorIndents/>
        <w:jc w:val="both"/>
        <w:rPr>
          <w:rFonts w:ascii="Times New Roman" w:hAnsi="Times New Roman" w:cs="Times New Roman"/>
          <w:b/>
        </w:rPr>
      </w:pPr>
      <w:proofErr w:type="spellStart"/>
      <w:r w:rsidRPr="00F53FC6">
        <w:rPr>
          <w:rFonts w:ascii="Times New Roman" w:hAnsi="Times New Roman" w:cs="Times New Roman"/>
          <w:b/>
        </w:rPr>
        <w:t>Discussion</w:t>
      </w:r>
      <w:proofErr w:type="spellEnd"/>
    </w:p>
    <w:p w14:paraId="59ACC646" w14:textId="1AD6A97E" w:rsidR="00F45D3F" w:rsidRPr="00F53FC6" w:rsidRDefault="00F45D3F" w:rsidP="00F45D3F">
      <w:pPr>
        <w:spacing w:after="0" w:line="360" w:lineRule="auto"/>
        <w:contextualSpacing/>
        <w:mirrorIndents/>
        <w:jc w:val="both"/>
        <w:rPr>
          <w:rFonts w:ascii="Times New Roman" w:hAnsi="Times New Roman" w:cs="Times New Roman"/>
          <w:lang w:val="en-US"/>
        </w:rPr>
      </w:pPr>
      <w:r w:rsidRPr="00A02549">
        <w:rPr>
          <w:rFonts w:ascii="Times New Roman" w:hAnsi="Times New Roman" w:cs="Times New Roman"/>
          <w:lang w:val="en-US"/>
        </w:rPr>
        <w:t xml:space="preserve">Some studies </w:t>
      </w:r>
      <w:r w:rsidR="00D67671" w:rsidRPr="00A02549">
        <w:rPr>
          <w:rFonts w:ascii="Times New Roman" w:hAnsi="Times New Roman" w:cs="Times New Roman"/>
          <w:lang w:val="en-US"/>
        </w:rPr>
        <w:t xml:space="preserve">(Lambert </w:t>
      </w:r>
      <w:r w:rsidR="00D67671" w:rsidRPr="00A02549">
        <w:rPr>
          <w:rFonts w:ascii="Times New Roman" w:hAnsi="Times New Roman" w:cs="Times New Roman"/>
          <w:i/>
          <w:iCs/>
          <w:lang w:val="en-US"/>
        </w:rPr>
        <w:t>et al</w:t>
      </w:r>
      <w:r w:rsidR="00D67671" w:rsidRPr="00A02549">
        <w:rPr>
          <w:rFonts w:ascii="Times New Roman" w:hAnsi="Times New Roman" w:cs="Times New Roman"/>
          <w:lang w:val="en-US"/>
        </w:rPr>
        <w:t xml:space="preserve">., 2007; Lardon and </w:t>
      </w:r>
      <w:proofErr w:type="spellStart"/>
      <w:r w:rsidR="00D67671" w:rsidRPr="00A02549">
        <w:rPr>
          <w:rFonts w:ascii="Times New Roman" w:hAnsi="Times New Roman" w:cs="Times New Roman"/>
          <w:lang w:val="en-US"/>
        </w:rPr>
        <w:t>Deloof</w:t>
      </w:r>
      <w:proofErr w:type="spellEnd"/>
      <w:r w:rsidR="00D67671" w:rsidRPr="00A02549">
        <w:rPr>
          <w:rFonts w:ascii="Times New Roman" w:hAnsi="Times New Roman" w:cs="Times New Roman"/>
          <w:lang w:val="en-US"/>
        </w:rPr>
        <w:t xml:space="preserve">, 2014; Myers, 2014; Kim </w:t>
      </w:r>
      <w:r w:rsidR="00D67671" w:rsidRPr="00A02549">
        <w:rPr>
          <w:rFonts w:ascii="Times New Roman" w:hAnsi="Times New Roman" w:cs="Times New Roman"/>
          <w:i/>
          <w:iCs/>
          <w:lang w:val="en-US"/>
        </w:rPr>
        <w:t>et al</w:t>
      </w:r>
      <w:r w:rsidR="00D67671" w:rsidRPr="00A02549">
        <w:rPr>
          <w:rFonts w:ascii="Times New Roman" w:hAnsi="Times New Roman" w:cs="Times New Roman"/>
          <w:lang w:val="en-US"/>
        </w:rPr>
        <w:t>., 2013;</w:t>
      </w:r>
      <w:r w:rsidR="00D67671" w:rsidRPr="00A02549">
        <w:t xml:space="preserve"> </w:t>
      </w:r>
      <w:r w:rsidR="00D67671" w:rsidRPr="00A02549">
        <w:rPr>
          <w:rFonts w:ascii="Times New Roman" w:hAnsi="Times New Roman" w:cs="Times New Roman"/>
          <w:lang w:val="en-US"/>
        </w:rPr>
        <w:t xml:space="preserve">Buskirk, 2012) </w:t>
      </w:r>
      <w:r w:rsidRPr="00A02549">
        <w:rPr>
          <w:rFonts w:ascii="Times New Roman" w:hAnsi="Times New Roman" w:cs="Times New Roman"/>
          <w:lang w:val="en-US"/>
        </w:rPr>
        <w:t xml:space="preserve">show that financial </w:t>
      </w:r>
      <w:r w:rsidRPr="00F53FC6">
        <w:rPr>
          <w:rFonts w:ascii="Times New Roman" w:hAnsi="Times New Roman" w:cs="Times New Roman"/>
          <w:lang w:val="en-US"/>
        </w:rPr>
        <w:t>transparency increases the credibility of the borrower with positive effects on the cost of debt. Furthermore, the most transparent SMEs are immune from the credit crunch effect. This impacts directly on ICR and indirectly on business value. In line with previous studies this work highlights the close positive link between transparency and value creation.</w:t>
      </w:r>
    </w:p>
    <w:p w14:paraId="099DA4BB" w14:textId="174553CE" w:rsidR="00741363" w:rsidRPr="00F53FC6" w:rsidRDefault="00741363" w:rsidP="00741363">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lang w:val="en-US"/>
        </w:rPr>
        <w:t xml:space="preserve">The study findings established that </w:t>
      </w:r>
      <w:r w:rsidR="00BA71F4" w:rsidRPr="00F53FC6">
        <w:rPr>
          <w:rFonts w:ascii="Times New Roman" w:hAnsi="Times New Roman" w:cs="Times New Roman"/>
          <w:lang w:val="en-US"/>
        </w:rPr>
        <w:t>f</w:t>
      </w:r>
      <w:r w:rsidRPr="00F53FC6">
        <w:rPr>
          <w:rFonts w:ascii="Times New Roman" w:hAnsi="Times New Roman" w:cs="Times New Roman"/>
          <w:lang w:val="en-US"/>
        </w:rPr>
        <w:t xml:space="preserve">inancial </w:t>
      </w:r>
      <w:r w:rsidR="00BA71F4" w:rsidRPr="00F53FC6">
        <w:rPr>
          <w:rFonts w:ascii="Times New Roman" w:hAnsi="Times New Roman" w:cs="Times New Roman"/>
          <w:lang w:val="en-US"/>
        </w:rPr>
        <w:t>t</w:t>
      </w:r>
      <w:r w:rsidRPr="00F53FC6">
        <w:rPr>
          <w:rFonts w:ascii="Times New Roman" w:hAnsi="Times New Roman" w:cs="Times New Roman"/>
          <w:lang w:val="en-US"/>
        </w:rPr>
        <w:t xml:space="preserve">ransparency attributes contribute significantly to the performance of SMEs.  As presented in tables, FTI are related to value parameters. The findings confirmed the significant and positive impact of </w:t>
      </w:r>
      <w:r w:rsidR="008A49E7" w:rsidRPr="00F53FC6">
        <w:rPr>
          <w:rFonts w:ascii="Times New Roman" w:hAnsi="Times New Roman" w:cs="Times New Roman"/>
          <w:lang w:val="en-US"/>
        </w:rPr>
        <w:t>f</w:t>
      </w:r>
      <w:r w:rsidRPr="00F53FC6">
        <w:rPr>
          <w:rFonts w:ascii="Times New Roman" w:hAnsi="Times New Roman" w:cs="Times New Roman"/>
          <w:lang w:val="en-US"/>
        </w:rPr>
        <w:t xml:space="preserve">inancial </w:t>
      </w:r>
      <w:r w:rsidR="008A49E7" w:rsidRPr="00F53FC6">
        <w:rPr>
          <w:rFonts w:ascii="Times New Roman" w:hAnsi="Times New Roman" w:cs="Times New Roman"/>
          <w:lang w:val="en-US"/>
        </w:rPr>
        <w:t>t</w:t>
      </w:r>
      <w:r w:rsidRPr="00F53FC6">
        <w:rPr>
          <w:rFonts w:ascii="Times New Roman" w:hAnsi="Times New Roman" w:cs="Times New Roman"/>
          <w:lang w:val="en-US"/>
        </w:rPr>
        <w:t>ransparency a</w:t>
      </w:r>
      <w:r w:rsidR="008A49E7" w:rsidRPr="00F53FC6">
        <w:rPr>
          <w:rFonts w:ascii="Times New Roman" w:hAnsi="Times New Roman" w:cs="Times New Roman"/>
          <w:lang w:val="en-US"/>
        </w:rPr>
        <w:t>t</w:t>
      </w:r>
      <w:r w:rsidRPr="00F53FC6">
        <w:rPr>
          <w:rFonts w:ascii="Times New Roman" w:hAnsi="Times New Roman" w:cs="Times New Roman"/>
          <w:lang w:val="en-US"/>
        </w:rPr>
        <w:t xml:space="preserve">tributes </w:t>
      </w:r>
      <w:bookmarkStart w:id="20" w:name="_Hlk23270656"/>
      <w:r w:rsidRPr="00F53FC6">
        <w:rPr>
          <w:rFonts w:ascii="Times New Roman" w:hAnsi="Times New Roman" w:cs="Times New Roman"/>
          <w:lang w:val="en-US"/>
        </w:rPr>
        <w:t>(planning system, high quality standard, management control system, auditor, and CFO</w:t>
      </w:r>
      <w:bookmarkEnd w:id="20"/>
      <w:r w:rsidRPr="00F53FC6">
        <w:rPr>
          <w:rFonts w:ascii="Times New Roman" w:hAnsi="Times New Roman" w:cs="Times New Roman"/>
          <w:lang w:val="en-US"/>
        </w:rPr>
        <w:t>) on SMEs</w:t>
      </w:r>
      <w:r w:rsidR="002D2C75" w:rsidRPr="00F53FC6">
        <w:rPr>
          <w:rFonts w:ascii="Times New Roman" w:hAnsi="Times New Roman" w:cs="Times New Roman"/>
          <w:lang w:val="en-US"/>
        </w:rPr>
        <w:t>’</w:t>
      </w:r>
      <w:r w:rsidRPr="00F53FC6">
        <w:rPr>
          <w:rFonts w:ascii="Times New Roman" w:hAnsi="Times New Roman" w:cs="Times New Roman"/>
          <w:lang w:val="en-US"/>
        </w:rPr>
        <w:t xml:space="preserve"> performance. </w:t>
      </w:r>
    </w:p>
    <w:p w14:paraId="0121D31A" w14:textId="48406EDF" w:rsidR="00E95B94" w:rsidRPr="00F53FC6" w:rsidRDefault="00741363" w:rsidP="00741363">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lang w:val="en-US"/>
        </w:rPr>
        <w:lastRenderedPageBreak/>
        <w:t xml:space="preserve">Correlation output indicated that relationship between </w:t>
      </w:r>
      <w:r w:rsidR="008A49E7" w:rsidRPr="00F53FC6">
        <w:rPr>
          <w:rFonts w:ascii="Times New Roman" w:hAnsi="Times New Roman" w:cs="Times New Roman"/>
          <w:lang w:val="en-US"/>
        </w:rPr>
        <w:t>f</w:t>
      </w:r>
      <w:r w:rsidRPr="00F53FC6">
        <w:rPr>
          <w:rFonts w:ascii="Times New Roman" w:hAnsi="Times New Roman" w:cs="Times New Roman"/>
          <w:lang w:val="en-US"/>
        </w:rPr>
        <w:t xml:space="preserve">inancial </w:t>
      </w:r>
      <w:r w:rsidR="008A49E7" w:rsidRPr="00F53FC6">
        <w:rPr>
          <w:rFonts w:ascii="Times New Roman" w:hAnsi="Times New Roman" w:cs="Times New Roman"/>
          <w:lang w:val="en-US"/>
        </w:rPr>
        <w:t>t</w:t>
      </w:r>
      <w:r w:rsidRPr="00F53FC6">
        <w:rPr>
          <w:rFonts w:ascii="Times New Roman" w:hAnsi="Times New Roman" w:cs="Times New Roman"/>
          <w:lang w:val="en-US"/>
        </w:rPr>
        <w:t xml:space="preserve">ransparency and SME value of </w:t>
      </w:r>
      <w:r w:rsidR="008A49E7" w:rsidRPr="00F53FC6">
        <w:rPr>
          <w:rFonts w:ascii="Times New Roman" w:hAnsi="Times New Roman" w:cs="Times New Roman"/>
          <w:lang w:val="en-US"/>
        </w:rPr>
        <w:t>listed firms</w:t>
      </w:r>
      <w:r w:rsidRPr="00F53FC6">
        <w:rPr>
          <w:rFonts w:ascii="Times New Roman" w:hAnsi="Times New Roman" w:cs="Times New Roman"/>
          <w:lang w:val="en-US"/>
        </w:rPr>
        <w:t xml:space="preserve"> is statistically significant. Therefore, Hypothesis H</w:t>
      </w:r>
      <w:r w:rsidRPr="00F53FC6">
        <w:rPr>
          <w:rFonts w:ascii="Times New Roman" w:hAnsi="Times New Roman" w:cs="Times New Roman"/>
          <w:vertAlign w:val="subscript"/>
          <w:lang w:val="en-US"/>
        </w:rPr>
        <w:t>1</w:t>
      </w:r>
      <w:r w:rsidRPr="00F53FC6">
        <w:rPr>
          <w:rFonts w:ascii="Times New Roman" w:hAnsi="Times New Roman" w:cs="Times New Roman"/>
          <w:lang w:val="en-US"/>
        </w:rPr>
        <w:t xml:space="preserve"> was not confirmed by the study results.</w:t>
      </w:r>
    </w:p>
    <w:p w14:paraId="3F72C4C2" w14:textId="4263C8AE" w:rsidR="001F6D4E" w:rsidRPr="00F53FC6" w:rsidRDefault="002644A2" w:rsidP="001F6D4E">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lang w:val="en-US"/>
        </w:rPr>
        <w:t xml:space="preserve">The study result on significance of relationship between the independent variables and corporate value as measured by </w:t>
      </w:r>
      <w:r w:rsidR="00DD6BA4" w:rsidRPr="00F53FC6">
        <w:rPr>
          <w:rFonts w:ascii="Times New Roman" w:hAnsi="Times New Roman" w:cs="Times New Roman"/>
          <w:lang w:val="en-US"/>
        </w:rPr>
        <w:t>ICR</w:t>
      </w:r>
      <w:r w:rsidRPr="00F53FC6">
        <w:rPr>
          <w:rFonts w:ascii="Times New Roman" w:hAnsi="Times New Roman" w:cs="Times New Roman"/>
          <w:lang w:val="en-US"/>
        </w:rPr>
        <w:t xml:space="preserve"> and Tobin Q is also supported by agency theory.</w:t>
      </w:r>
      <w:r w:rsidR="008C515F" w:rsidRPr="00F53FC6">
        <w:rPr>
          <w:rFonts w:ascii="Times New Roman" w:hAnsi="Times New Roman" w:cs="Times New Roman"/>
          <w:lang w:val="en-US"/>
        </w:rPr>
        <w:t xml:space="preserve"> </w:t>
      </w:r>
    </w:p>
    <w:p w14:paraId="18DF2AB2" w14:textId="0BD15210" w:rsidR="006C4A71" w:rsidRPr="004D6F8D" w:rsidRDefault="007C61D9" w:rsidP="001F6D4E">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lang w:val="en-US"/>
        </w:rPr>
        <w:t xml:space="preserve">Using Tobin's q as a measure of value SME, we seek to estimate the relative importance of financial transparency in determining firm performance. Our methods are analogous to those of Fen and </w:t>
      </w:r>
      <w:proofErr w:type="spellStart"/>
      <w:r w:rsidRPr="00F53FC6">
        <w:rPr>
          <w:rFonts w:ascii="Times New Roman" w:hAnsi="Times New Roman" w:cs="Times New Roman"/>
          <w:lang w:val="en-US"/>
        </w:rPr>
        <w:t>P’ngand</w:t>
      </w:r>
      <w:proofErr w:type="spellEnd"/>
      <w:r w:rsidRPr="00F53FC6">
        <w:rPr>
          <w:rFonts w:ascii="Times New Roman" w:hAnsi="Times New Roman" w:cs="Times New Roman"/>
          <w:lang w:val="en-US"/>
        </w:rPr>
        <w:t xml:space="preserve"> (2019), like them, we find that financial transparency effects account for the majority of the explained variance.</w:t>
      </w:r>
    </w:p>
    <w:p w14:paraId="6ED7A8FC" w14:textId="77777777" w:rsidR="000F5C7C" w:rsidRPr="00F53FC6" w:rsidRDefault="000F5C7C" w:rsidP="000F5C7C">
      <w:pPr>
        <w:spacing w:after="0" w:line="360" w:lineRule="auto"/>
        <w:contextualSpacing/>
        <w:mirrorIndents/>
        <w:jc w:val="both"/>
        <w:rPr>
          <w:rFonts w:ascii="Times New Roman" w:hAnsi="Times New Roman" w:cs="Times New Roman"/>
          <w:lang w:val="en-US"/>
        </w:rPr>
      </w:pPr>
      <w:r w:rsidRPr="004D6F8D">
        <w:rPr>
          <w:rFonts w:ascii="Times New Roman" w:hAnsi="Times New Roman" w:cs="Times New Roman"/>
          <w:lang w:val="en-US"/>
        </w:rPr>
        <w:t xml:space="preserve">Transparency in modern financial disclosure is considered as being crucial (Barth and Schipper, 2008) in </w:t>
      </w:r>
      <w:r w:rsidRPr="00EF444F">
        <w:rPr>
          <w:rFonts w:ascii="Times New Roman" w:hAnsi="Times New Roman" w:cs="Times New Roman"/>
          <w:lang w:val="en-US"/>
        </w:rPr>
        <w:t xml:space="preserve">helping lenders to reach their own conclusions about businesses (Billings and </w:t>
      </w:r>
      <w:proofErr w:type="spellStart"/>
      <w:r w:rsidRPr="00EF444F">
        <w:rPr>
          <w:rFonts w:ascii="Times New Roman" w:hAnsi="Times New Roman" w:cs="Times New Roman"/>
          <w:lang w:val="en-US"/>
        </w:rPr>
        <w:t>Capie</w:t>
      </w:r>
      <w:proofErr w:type="spellEnd"/>
      <w:r w:rsidRPr="00EF444F">
        <w:rPr>
          <w:rFonts w:ascii="Times New Roman" w:hAnsi="Times New Roman" w:cs="Times New Roman"/>
          <w:lang w:val="en-US"/>
        </w:rPr>
        <w:t>, 2009).</w:t>
      </w:r>
    </w:p>
    <w:p w14:paraId="551AA856" w14:textId="09168C36" w:rsidR="000F5C7C" w:rsidRPr="00F53FC6" w:rsidRDefault="000F5C7C" w:rsidP="000F5C7C">
      <w:pPr>
        <w:spacing w:after="0" w:line="360" w:lineRule="auto"/>
        <w:contextualSpacing/>
        <w:mirrorIndents/>
        <w:jc w:val="both"/>
        <w:rPr>
          <w:rFonts w:ascii="Times New Roman" w:hAnsi="Times New Roman" w:cs="Times New Roman"/>
          <w:lang w:val="en-US"/>
        </w:rPr>
      </w:pPr>
      <w:r w:rsidRPr="00C36B94">
        <w:rPr>
          <w:rFonts w:ascii="Times New Roman" w:hAnsi="Times New Roman" w:cs="Times New Roman"/>
          <w:lang w:val="en-US"/>
        </w:rPr>
        <w:t xml:space="preserve">Hutton (2007) argue </w:t>
      </w:r>
      <w:r w:rsidRPr="00F53FC6">
        <w:rPr>
          <w:rFonts w:ascii="Times New Roman" w:hAnsi="Times New Roman" w:cs="Times New Roman"/>
          <w:lang w:val="en-US"/>
        </w:rPr>
        <w:t>that financial transparency can be a good tool for limiting the increase of opportunistic behavior of managers.</w:t>
      </w:r>
    </w:p>
    <w:p w14:paraId="437FA8CD" w14:textId="2B4B8AF4" w:rsidR="003E4399" w:rsidRPr="00F53FC6" w:rsidRDefault="003E4399" w:rsidP="003E4399">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lang w:val="en-US"/>
        </w:rPr>
        <w:t xml:space="preserve">The agency theory referred to in this study concerned with aligning interest between outside lenders and shareholders. In this field of studies some authors have examined the problems faced by SMEs when attempting to raise finance. </w:t>
      </w:r>
      <w:r w:rsidR="00872405" w:rsidRPr="00872405">
        <w:rPr>
          <w:rFonts w:ascii="Times New Roman" w:hAnsi="Times New Roman" w:cs="Times New Roman"/>
          <w:lang w:val="en-US"/>
        </w:rPr>
        <w:t>In particular Lean and Tucker (2001) affirm:</w:t>
      </w:r>
      <w:r w:rsidR="00872405">
        <w:rPr>
          <w:rFonts w:ascii="Times New Roman" w:hAnsi="Times New Roman" w:cs="Times New Roman"/>
          <w:lang w:val="en-US"/>
        </w:rPr>
        <w:t xml:space="preserve"> «</w:t>
      </w:r>
      <w:r w:rsidRPr="00F53FC6">
        <w:rPr>
          <w:rFonts w:ascii="Times New Roman" w:hAnsi="Times New Roman" w:cs="Times New Roman"/>
          <w:lang w:val="en-US"/>
        </w:rPr>
        <w:t xml:space="preserve">The nature of the information asymmetry problem on the firm’s side is that it cannot prove the quality of its investment projects to the provider of finance (usually the bank). SMEs’ managers often suffer from a lack of financial sophistication as they are often product or service specialists, not specialists in the area of finance. Thus, the information asymmetry problem is partly one relating to difficulties in the spheres of communication and credibility. A closer relationship between the bank and the firm should reduce the information asymmetry regarding the firm’s understanding of the lending constraints faced by bank </w:t>
      </w:r>
      <w:r w:rsidRPr="002B0808">
        <w:rPr>
          <w:rFonts w:ascii="Times New Roman" w:hAnsi="Times New Roman" w:cs="Times New Roman"/>
          <w:lang w:val="en-US"/>
        </w:rPr>
        <w:t>managers</w:t>
      </w:r>
      <w:r w:rsidR="00CF37AB">
        <w:rPr>
          <w:rFonts w:ascii="Times New Roman" w:hAnsi="Times New Roman" w:cs="Times New Roman"/>
          <w:lang w:val="en-US"/>
        </w:rPr>
        <w:t>».</w:t>
      </w:r>
      <w:r w:rsidRPr="002B0808">
        <w:rPr>
          <w:rFonts w:ascii="Times New Roman" w:hAnsi="Times New Roman" w:cs="Times New Roman"/>
          <w:lang w:val="en-US"/>
        </w:rPr>
        <w:t xml:space="preserve"> </w:t>
      </w:r>
    </w:p>
    <w:p w14:paraId="410DB4A8" w14:textId="23251EBE" w:rsidR="00633D74" w:rsidRPr="00F53FC6" w:rsidRDefault="003E4399" w:rsidP="003E4399">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lang w:val="en-US"/>
        </w:rPr>
        <w:t>Relationship between bank and SME which must be based on transparency that is an open exchange of information with banks and other providers of finance</w:t>
      </w:r>
      <w:r w:rsidR="00CF37AB">
        <w:rPr>
          <w:rFonts w:ascii="Times New Roman" w:hAnsi="Times New Roman" w:cs="Times New Roman"/>
          <w:lang w:val="en-US"/>
        </w:rPr>
        <w:t xml:space="preserve"> </w:t>
      </w:r>
      <w:r w:rsidR="00CF37AB" w:rsidRPr="002B0808">
        <w:rPr>
          <w:rFonts w:ascii="Times New Roman" w:hAnsi="Times New Roman" w:cs="Times New Roman"/>
          <w:lang w:val="en-US"/>
        </w:rPr>
        <w:t>(Watson, 1986).</w:t>
      </w:r>
      <w:r w:rsidRPr="00F53FC6">
        <w:rPr>
          <w:rFonts w:ascii="Times New Roman" w:hAnsi="Times New Roman" w:cs="Times New Roman"/>
          <w:lang w:val="en-US"/>
        </w:rPr>
        <w:t xml:space="preserve"> To fulfil the expectations for transparency, SMEs they must have useful tools such as: planning system, quality standard, management control system, auditor, and the presence of a CFO. These tools improve the dialogue between and SMEs and banks and prove to be a good way to reduce information asymmetry and create stronger relationships.</w:t>
      </w:r>
    </w:p>
    <w:p w14:paraId="716B3B22" w14:textId="3EA03D68" w:rsidR="008C515F" w:rsidRPr="00F53FC6" w:rsidRDefault="003B4837" w:rsidP="001F6D4E">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lang w:val="en-US"/>
        </w:rPr>
        <w:t>Auditor and accounting standard skills have a positive influence on the performance of SMEs.</w:t>
      </w:r>
    </w:p>
    <w:p w14:paraId="246099BF" w14:textId="03B992D4" w:rsidR="00940A9C" w:rsidRPr="00F53FC6" w:rsidRDefault="00940A9C" w:rsidP="001F6D4E">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lang w:val="en-US"/>
        </w:rPr>
        <w:t xml:space="preserve">The study revealed the presence of a strong positive linkage between SME value and presence of a management control system. This indicates that management control practices improved financial transparency. </w:t>
      </w:r>
      <w:r w:rsidR="007758CD" w:rsidRPr="007758CD">
        <w:rPr>
          <w:rFonts w:ascii="Times New Roman" w:hAnsi="Times New Roman" w:cs="Times New Roman"/>
          <w:lang w:val="en-US"/>
        </w:rPr>
        <w:t xml:space="preserve">This is in line with the evidence of the studies of Merchant (2007), and </w:t>
      </w:r>
      <w:proofErr w:type="spellStart"/>
      <w:r w:rsidR="007758CD" w:rsidRPr="007758CD">
        <w:rPr>
          <w:rFonts w:ascii="Times New Roman" w:hAnsi="Times New Roman" w:cs="Times New Roman"/>
          <w:lang w:val="en-US"/>
        </w:rPr>
        <w:t>Cucculelli</w:t>
      </w:r>
      <w:proofErr w:type="spellEnd"/>
      <w:r w:rsidR="007758CD" w:rsidRPr="007758CD">
        <w:rPr>
          <w:rFonts w:ascii="Times New Roman" w:hAnsi="Times New Roman" w:cs="Times New Roman"/>
          <w:lang w:val="en-US"/>
        </w:rPr>
        <w:t xml:space="preserve"> and Bettinelli (2015).</w:t>
      </w:r>
    </w:p>
    <w:p w14:paraId="29D138D7" w14:textId="77777777" w:rsidR="008C3161" w:rsidRPr="00F53FC6" w:rsidRDefault="008C3161" w:rsidP="00E95B94">
      <w:pPr>
        <w:spacing w:after="0" w:line="360" w:lineRule="auto"/>
        <w:contextualSpacing/>
        <w:mirrorIndents/>
        <w:jc w:val="both"/>
        <w:rPr>
          <w:rFonts w:ascii="Times New Roman" w:hAnsi="Times New Roman" w:cs="Times New Roman"/>
          <w:lang w:val="en-US"/>
        </w:rPr>
      </w:pPr>
    </w:p>
    <w:p w14:paraId="38AD2D19" w14:textId="287EE51E" w:rsidR="00E95B94" w:rsidRPr="00F53FC6" w:rsidRDefault="00E95B94" w:rsidP="00E95B94">
      <w:pPr>
        <w:pStyle w:val="Paragrafoelenco"/>
        <w:numPr>
          <w:ilvl w:val="0"/>
          <w:numId w:val="7"/>
        </w:numPr>
        <w:spacing w:after="0" w:line="360" w:lineRule="auto"/>
        <w:mirrorIndents/>
        <w:jc w:val="both"/>
        <w:rPr>
          <w:rFonts w:ascii="Times New Roman" w:hAnsi="Times New Roman" w:cs="Times New Roman"/>
          <w:b/>
        </w:rPr>
      </w:pPr>
      <w:proofErr w:type="spellStart"/>
      <w:r w:rsidRPr="00F53FC6">
        <w:rPr>
          <w:rFonts w:ascii="Times New Roman" w:hAnsi="Times New Roman" w:cs="Times New Roman"/>
          <w:b/>
        </w:rPr>
        <w:t>Concluding</w:t>
      </w:r>
      <w:proofErr w:type="spellEnd"/>
      <w:r w:rsidRPr="00F53FC6">
        <w:rPr>
          <w:rFonts w:ascii="Times New Roman" w:hAnsi="Times New Roman" w:cs="Times New Roman"/>
          <w:b/>
        </w:rPr>
        <w:t xml:space="preserve"> </w:t>
      </w:r>
      <w:proofErr w:type="spellStart"/>
      <w:r w:rsidRPr="00F53FC6">
        <w:rPr>
          <w:rFonts w:ascii="Times New Roman" w:hAnsi="Times New Roman" w:cs="Times New Roman"/>
          <w:b/>
        </w:rPr>
        <w:t>remarks</w:t>
      </w:r>
      <w:proofErr w:type="spellEnd"/>
    </w:p>
    <w:p w14:paraId="0308DBAC" w14:textId="6BC4AA40" w:rsidR="00BD280C" w:rsidRPr="00F53FC6" w:rsidRDefault="00BD280C" w:rsidP="00BD280C">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lang w:val="en-US"/>
        </w:rPr>
        <w:t xml:space="preserve">Based on an empirical analysis, this paper aims to analyze the relationship between </w:t>
      </w:r>
      <w:r w:rsidR="00C44BA0" w:rsidRPr="00F53FC6">
        <w:rPr>
          <w:rFonts w:ascii="Times New Roman" w:hAnsi="Times New Roman" w:cs="Times New Roman"/>
          <w:lang w:val="en-US"/>
        </w:rPr>
        <w:t>financial transparency</w:t>
      </w:r>
      <w:r w:rsidRPr="00F53FC6">
        <w:rPr>
          <w:rFonts w:ascii="Times New Roman" w:hAnsi="Times New Roman" w:cs="Times New Roman"/>
          <w:lang w:val="en-US"/>
        </w:rPr>
        <w:t xml:space="preserve"> and the ability of SMEs to create value. In this perspective, the work investigates questionnaires, financial statements and other relevant reports of </w:t>
      </w:r>
      <w:r w:rsidR="00C44BA0" w:rsidRPr="00F53FC6">
        <w:rPr>
          <w:rFonts w:ascii="Times New Roman" w:hAnsi="Times New Roman" w:cs="Times New Roman"/>
          <w:lang w:val="en-US"/>
        </w:rPr>
        <w:t>115 firms listed at the AIM Italia</w:t>
      </w:r>
      <w:r w:rsidRPr="00F53FC6">
        <w:rPr>
          <w:rFonts w:ascii="Times New Roman" w:hAnsi="Times New Roman" w:cs="Times New Roman"/>
          <w:lang w:val="en-US"/>
        </w:rPr>
        <w:t xml:space="preserve">. </w:t>
      </w:r>
      <w:r w:rsidR="00C44BA0" w:rsidRPr="00F53FC6">
        <w:rPr>
          <w:rFonts w:ascii="Times New Roman" w:hAnsi="Times New Roman" w:cs="Times New Roman"/>
          <w:lang w:val="en-US"/>
        </w:rPr>
        <w:t>The period of research covered 2014 to 2018.</w:t>
      </w:r>
    </w:p>
    <w:p w14:paraId="0E83B1CE" w14:textId="77777777" w:rsidR="002E63C9" w:rsidRPr="00F53FC6" w:rsidRDefault="00BD280C" w:rsidP="00BD280C">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lang w:val="en-US"/>
        </w:rPr>
        <w:lastRenderedPageBreak/>
        <w:t xml:space="preserve">The independent variable was examined under different sub constructs affecting the main financial </w:t>
      </w:r>
      <w:r w:rsidR="002E63C9" w:rsidRPr="00F53FC6">
        <w:rPr>
          <w:rFonts w:ascii="Times New Roman" w:hAnsi="Times New Roman" w:cs="Times New Roman"/>
          <w:lang w:val="en-US"/>
        </w:rPr>
        <w:t>transparency</w:t>
      </w:r>
      <w:r w:rsidRPr="00F53FC6">
        <w:rPr>
          <w:rFonts w:ascii="Times New Roman" w:hAnsi="Times New Roman" w:cs="Times New Roman"/>
          <w:lang w:val="en-US"/>
        </w:rPr>
        <w:t xml:space="preserve">: </w:t>
      </w:r>
      <w:r w:rsidR="002E63C9" w:rsidRPr="00F53FC6">
        <w:rPr>
          <w:rFonts w:ascii="Times New Roman" w:hAnsi="Times New Roman" w:cs="Times New Roman"/>
          <w:lang w:val="en-US"/>
        </w:rPr>
        <w:t>planning system, high quality standard, management control system, auditor, and CFO.</w:t>
      </w:r>
    </w:p>
    <w:p w14:paraId="7C63DCC2" w14:textId="5F365EA3" w:rsidR="009F04A7" w:rsidRPr="00F53FC6" w:rsidRDefault="00BD280C" w:rsidP="009F04A7">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lang w:val="en-US"/>
        </w:rPr>
        <w:t xml:space="preserve">Correlation output indicated that relationship between financial </w:t>
      </w:r>
      <w:r w:rsidR="002E63C9" w:rsidRPr="00F53FC6">
        <w:rPr>
          <w:rFonts w:ascii="Times New Roman" w:hAnsi="Times New Roman" w:cs="Times New Roman"/>
          <w:lang w:val="en-US"/>
        </w:rPr>
        <w:t>transparency</w:t>
      </w:r>
      <w:r w:rsidRPr="00F53FC6">
        <w:rPr>
          <w:rFonts w:ascii="Times New Roman" w:hAnsi="Times New Roman" w:cs="Times New Roman"/>
          <w:lang w:val="en-US"/>
        </w:rPr>
        <w:t xml:space="preserve"> and corporate value of SMEs is statistically significant and that all independent variables are related to </w:t>
      </w:r>
      <w:r w:rsidR="002E63C9" w:rsidRPr="00F53FC6">
        <w:rPr>
          <w:rFonts w:ascii="Times New Roman" w:hAnsi="Times New Roman" w:cs="Times New Roman"/>
          <w:lang w:val="en-US"/>
        </w:rPr>
        <w:t>ICR and Tobin Q</w:t>
      </w:r>
      <w:r w:rsidRPr="00F53FC6">
        <w:rPr>
          <w:rFonts w:ascii="Times New Roman" w:hAnsi="Times New Roman" w:cs="Times New Roman"/>
          <w:lang w:val="en-US"/>
        </w:rPr>
        <w:t xml:space="preserve">. Variance analysis gives an F – Value of </w:t>
      </w:r>
      <w:r w:rsidR="00EB5207" w:rsidRPr="00F53FC6">
        <w:rPr>
          <w:rFonts w:ascii="Times New Roman" w:hAnsi="Times New Roman" w:cs="Times New Roman"/>
          <w:lang w:val="en-US"/>
        </w:rPr>
        <w:t>422.680</w:t>
      </w:r>
      <w:r w:rsidR="00C55AED" w:rsidRPr="00F53FC6">
        <w:rPr>
          <w:rFonts w:ascii="Times New Roman" w:hAnsi="Times New Roman" w:cs="Times New Roman"/>
          <w:lang w:val="en-US"/>
        </w:rPr>
        <w:t xml:space="preserve"> </w:t>
      </w:r>
      <w:r w:rsidRPr="00F53FC6">
        <w:rPr>
          <w:rFonts w:ascii="Times New Roman" w:hAnsi="Times New Roman" w:cs="Times New Roman"/>
          <w:lang w:val="en-US"/>
        </w:rPr>
        <w:t xml:space="preserve">while the p value is less than 5% supporting the fact that the level of financial </w:t>
      </w:r>
      <w:r w:rsidR="00C55AED" w:rsidRPr="00F53FC6">
        <w:rPr>
          <w:rFonts w:ascii="Times New Roman" w:hAnsi="Times New Roman" w:cs="Times New Roman"/>
          <w:lang w:val="en-US"/>
        </w:rPr>
        <w:t>transparency</w:t>
      </w:r>
      <w:r w:rsidRPr="00F53FC6">
        <w:rPr>
          <w:rFonts w:ascii="Times New Roman" w:hAnsi="Times New Roman" w:cs="Times New Roman"/>
          <w:lang w:val="en-US"/>
        </w:rPr>
        <w:t xml:space="preserve"> has a significant influence on </w:t>
      </w:r>
      <w:proofErr w:type="spellStart"/>
      <w:r w:rsidR="00C55AED" w:rsidRPr="00F53FC6">
        <w:rPr>
          <w:rFonts w:ascii="Times New Roman" w:hAnsi="Times New Roman" w:cs="Times New Roman"/>
          <w:lang w:val="en-US"/>
        </w:rPr>
        <w:t>SMe</w:t>
      </w:r>
      <w:proofErr w:type="spellEnd"/>
      <w:r w:rsidR="00C55AED" w:rsidRPr="00F53FC6">
        <w:rPr>
          <w:rFonts w:ascii="Times New Roman" w:hAnsi="Times New Roman" w:cs="Times New Roman"/>
          <w:lang w:val="en-US"/>
        </w:rPr>
        <w:t xml:space="preserve"> </w:t>
      </w:r>
      <w:r w:rsidRPr="00F53FC6">
        <w:rPr>
          <w:rFonts w:ascii="Times New Roman" w:hAnsi="Times New Roman" w:cs="Times New Roman"/>
          <w:lang w:val="en-US"/>
        </w:rPr>
        <w:t xml:space="preserve">value.  The computed value of chi-square is always positive. </w:t>
      </w:r>
      <w:r w:rsidR="009F04A7" w:rsidRPr="00F53FC6">
        <w:rPr>
          <w:rFonts w:ascii="Times New Roman" w:hAnsi="Times New Roman" w:cs="Times New Roman"/>
          <w:lang w:val="en-US"/>
        </w:rPr>
        <w:t xml:space="preserve">The findings of the study highlight the view that the higher the financial transparency of the entrepreneur, the greater his ability to create value as measured by ICR and Tobin Q. Therefore, the empirical results reject the research hypotheses and they claim that financial transparency has a positive impact on the ability of small and medium enterprises to create value, as measured by ICR and Tobin Q. </w:t>
      </w:r>
    </w:p>
    <w:p w14:paraId="0CA83326" w14:textId="52F9C5A2" w:rsidR="00604BA5" w:rsidRPr="00F53FC6" w:rsidRDefault="00604BA5" w:rsidP="00604BA5">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lang w:val="en-US"/>
        </w:rPr>
        <w:t>The results of this work lead to some implications of potential interest. First, it reinforces the body of research and empirical studies concerning the quality and quantity of financial transparency system in developed markets and highlights the importance of financial transparency in the business world within the framework of agency theories. In addition, would provide a basis for future research and allow academics to further investigate this concept in the context of other markets (so called emerging markets).</w:t>
      </w:r>
    </w:p>
    <w:p w14:paraId="1C22984F" w14:textId="32D2BF53" w:rsidR="008C3161" w:rsidRPr="00F53FC6" w:rsidRDefault="00604BA5" w:rsidP="00604BA5">
      <w:pPr>
        <w:spacing w:after="0" w:line="360" w:lineRule="auto"/>
        <w:contextualSpacing/>
        <w:mirrorIndents/>
        <w:jc w:val="both"/>
        <w:rPr>
          <w:rFonts w:ascii="Times New Roman" w:hAnsi="Times New Roman" w:cs="Times New Roman"/>
          <w:lang w:val="en-US"/>
        </w:rPr>
      </w:pPr>
      <w:r w:rsidRPr="00F53FC6">
        <w:rPr>
          <w:rFonts w:ascii="Times New Roman" w:hAnsi="Times New Roman" w:cs="Times New Roman"/>
          <w:lang w:val="en-US"/>
        </w:rPr>
        <w:t xml:space="preserve">Further research can examine all the effects </w:t>
      </w:r>
      <w:r w:rsidRPr="007430DD">
        <w:rPr>
          <w:rFonts w:ascii="Times New Roman" w:hAnsi="Times New Roman" w:cs="Times New Roman"/>
          <w:lang w:val="en-US"/>
        </w:rPr>
        <w:t xml:space="preserve">of desirable financial transparency related or not to </w:t>
      </w:r>
      <w:proofErr w:type="spellStart"/>
      <w:r w:rsidRPr="007430DD">
        <w:rPr>
          <w:rFonts w:ascii="Times New Roman" w:hAnsi="Times New Roman" w:cs="Times New Roman"/>
          <w:lang w:val="en-US"/>
        </w:rPr>
        <w:t>fim</w:t>
      </w:r>
      <w:proofErr w:type="spellEnd"/>
      <w:r w:rsidRPr="007430DD">
        <w:rPr>
          <w:rFonts w:ascii="Times New Roman" w:hAnsi="Times New Roman" w:cs="Times New Roman"/>
          <w:lang w:val="en-US"/>
        </w:rPr>
        <w:t xml:space="preserve"> value. In the end, is indeed desirable to increase financial transparency? Today, trust can be built only on excessive financial transparency? Studies like the ones conducted by Tadesse (2006) discuss </w:t>
      </w:r>
      <w:r w:rsidRPr="00F53FC6">
        <w:rPr>
          <w:rFonts w:ascii="Times New Roman" w:hAnsi="Times New Roman" w:cs="Times New Roman"/>
          <w:lang w:val="en-US"/>
        </w:rPr>
        <w:t xml:space="preserve">about the transparence fragility, when disclosures created negative externalities with negative economic </w:t>
      </w:r>
      <w:r w:rsidRPr="007430DD">
        <w:rPr>
          <w:rFonts w:ascii="Times New Roman" w:hAnsi="Times New Roman" w:cs="Times New Roman"/>
          <w:lang w:val="en-US"/>
        </w:rPr>
        <w:t xml:space="preserve">consequences. </w:t>
      </w:r>
      <w:proofErr w:type="spellStart"/>
      <w:r w:rsidRPr="007430DD">
        <w:rPr>
          <w:rFonts w:ascii="Times New Roman" w:hAnsi="Times New Roman" w:cs="Times New Roman"/>
          <w:lang w:val="en-US"/>
        </w:rPr>
        <w:t>Canibano</w:t>
      </w:r>
      <w:proofErr w:type="spellEnd"/>
      <w:r w:rsidRPr="007430DD">
        <w:rPr>
          <w:rFonts w:ascii="Times New Roman" w:hAnsi="Times New Roman" w:cs="Times New Roman"/>
          <w:lang w:val="en-US"/>
        </w:rPr>
        <w:t xml:space="preserve"> </w:t>
      </w:r>
      <w:r w:rsidRPr="007430DD">
        <w:rPr>
          <w:rFonts w:ascii="Times New Roman" w:hAnsi="Times New Roman" w:cs="Times New Roman"/>
          <w:i/>
          <w:iCs/>
          <w:lang w:val="en-US"/>
        </w:rPr>
        <w:t>et al</w:t>
      </w:r>
      <w:r w:rsidRPr="007430DD">
        <w:rPr>
          <w:rFonts w:ascii="Times New Roman" w:hAnsi="Times New Roman" w:cs="Times New Roman"/>
          <w:lang w:val="en-US"/>
        </w:rPr>
        <w:t xml:space="preserve">. (2002) also documented that extensive transparency and disclosures can have sometimes </w:t>
      </w:r>
      <w:r w:rsidRPr="00F53FC6">
        <w:rPr>
          <w:rFonts w:ascii="Times New Roman" w:hAnsi="Times New Roman" w:cs="Times New Roman"/>
          <w:lang w:val="en-US"/>
        </w:rPr>
        <w:t>exact the opposite effect. Until what point financial transparency can increase in order to improve SMEs performance but not to comprise negative effects? These questions will guide future studies that will deal with the link between financial transparency and SMEs’ performance.</w:t>
      </w:r>
    </w:p>
    <w:p w14:paraId="7E7D0192" w14:textId="77777777" w:rsidR="00C55AED" w:rsidRPr="00F53FC6" w:rsidRDefault="00C55AED" w:rsidP="00314E76">
      <w:pPr>
        <w:pStyle w:val="MainText"/>
        <w:spacing w:line="360" w:lineRule="auto"/>
        <w:ind w:left="425" w:hanging="425"/>
        <w:rPr>
          <w:b/>
          <w:sz w:val="22"/>
          <w:szCs w:val="22"/>
          <w:lang w:val="en-US"/>
        </w:rPr>
      </w:pPr>
    </w:p>
    <w:p w14:paraId="6306857A" w14:textId="4FF8F02C" w:rsidR="00E95B94" w:rsidRPr="00F53FC6" w:rsidRDefault="00E95B94" w:rsidP="00314E76">
      <w:pPr>
        <w:pStyle w:val="MainText"/>
        <w:spacing w:line="360" w:lineRule="auto"/>
        <w:ind w:left="425" w:hanging="425"/>
        <w:rPr>
          <w:sz w:val="22"/>
          <w:szCs w:val="22"/>
          <w:lang w:val="en-US"/>
        </w:rPr>
      </w:pPr>
      <w:r w:rsidRPr="00F53FC6">
        <w:rPr>
          <w:b/>
          <w:sz w:val="22"/>
          <w:szCs w:val="22"/>
          <w:lang w:val="en-US"/>
        </w:rPr>
        <w:t>References</w:t>
      </w:r>
    </w:p>
    <w:p w14:paraId="6EF53D46" w14:textId="77777777" w:rsidR="00AE7784" w:rsidRDefault="00AE7784" w:rsidP="00F42FD8">
      <w:pPr>
        <w:pStyle w:val="MainText"/>
        <w:spacing w:line="360" w:lineRule="auto"/>
        <w:ind w:left="425" w:hanging="425"/>
        <w:rPr>
          <w:sz w:val="22"/>
          <w:szCs w:val="22"/>
          <w:lang w:val="en-US"/>
        </w:rPr>
      </w:pPr>
      <w:proofErr w:type="spellStart"/>
      <w:r w:rsidRPr="008377FB">
        <w:rPr>
          <w:sz w:val="22"/>
          <w:szCs w:val="22"/>
          <w:lang w:val="en-US"/>
        </w:rPr>
        <w:t>Ackert</w:t>
      </w:r>
      <w:proofErr w:type="spellEnd"/>
      <w:r w:rsidRPr="008377FB">
        <w:rPr>
          <w:sz w:val="22"/>
          <w:szCs w:val="22"/>
          <w:lang w:val="en-US"/>
        </w:rPr>
        <w:t>, L.F., Huang</w:t>
      </w:r>
      <w:r>
        <w:rPr>
          <w:sz w:val="22"/>
          <w:szCs w:val="22"/>
          <w:lang w:val="en-US"/>
        </w:rPr>
        <w:t>,</w:t>
      </w:r>
      <w:r w:rsidRPr="008377FB">
        <w:rPr>
          <w:sz w:val="22"/>
          <w:szCs w:val="22"/>
          <w:lang w:val="en-US"/>
        </w:rPr>
        <w:t xml:space="preserve"> R.</w:t>
      </w:r>
      <w:r>
        <w:rPr>
          <w:sz w:val="22"/>
          <w:szCs w:val="22"/>
          <w:lang w:val="en-US"/>
        </w:rPr>
        <w:t xml:space="preserve"> &amp;</w:t>
      </w:r>
      <w:r w:rsidRPr="008377FB">
        <w:rPr>
          <w:sz w:val="22"/>
          <w:szCs w:val="22"/>
          <w:lang w:val="en-US"/>
        </w:rPr>
        <w:t xml:space="preserve"> Ramírez</w:t>
      </w:r>
      <w:r>
        <w:rPr>
          <w:sz w:val="22"/>
          <w:szCs w:val="22"/>
          <w:lang w:val="en-US"/>
        </w:rPr>
        <w:t>,</w:t>
      </w:r>
      <w:r w:rsidRPr="008377FB">
        <w:rPr>
          <w:sz w:val="22"/>
          <w:szCs w:val="22"/>
          <w:lang w:val="en-US"/>
        </w:rPr>
        <w:t xml:space="preserve"> G.G</w:t>
      </w:r>
      <w:r>
        <w:rPr>
          <w:sz w:val="22"/>
          <w:szCs w:val="22"/>
          <w:lang w:val="en-US"/>
        </w:rPr>
        <w:t>. (</w:t>
      </w:r>
      <w:r w:rsidRPr="008377FB">
        <w:rPr>
          <w:sz w:val="22"/>
          <w:szCs w:val="22"/>
          <w:lang w:val="en-US"/>
        </w:rPr>
        <w:t>2007</w:t>
      </w:r>
      <w:r>
        <w:rPr>
          <w:sz w:val="22"/>
          <w:szCs w:val="22"/>
          <w:lang w:val="en-US"/>
        </w:rPr>
        <w:t>)</w:t>
      </w:r>
      <w:r w:rsidRPr="008377FB">
        <w:rPr>
          <w:sz w:val="22"/>
          <w:szCs w:val="22"/>
          <w:lang w:val="en-US"/>
        </w:rPr>
        <w:t>. Information opacity, credit risk, and the</w:t>
      </w:r>
      <w:r>
        <w:rPr>
          <w:sz w:val="22"/>
          <w:szCs w:val="22"/>
          <w:lang w:val="en-US"/>
        </w:rPr>
        <w:t xml:space="preserve"> </w:t>
      </w:r>
      <w:r w:rsidRPr="008377FB">
        <w:rPr>
          <w:sz w:val="22"/>
          <w:szCs w:val="22"/>
          <w:lang w:val="en-US"/>
        </w:rPr>
        <w:t>design of loan contracts for private firms</w:t>
      </w:r>
      <w:r>
        <w:rPr>
          <w:sz w:val="22"/>
          <w:szCs w:val="22"/>
          <w:lang w:val="en-US"/>
        </w:rPr>
        <w:t xml:space="preserve">. </w:t>
      </w:r>
      <w:r w:rsidRPr="008377FB">
        <w:rPr>
          <w:i/>
          <w:iCs/>
          <w:sz w:val="22"/>
          <w:szCs w:val="22"/>
          <w:lang w:val="en-US"/>
        </w:rPr>
        <w:t>Financial Markets, Institutions &amp; Instruments</w:t>
      </w:r>
      <w:r>
        <w:rPr>
          <w:sz w:val="22"/>
          <w:szCs w:val="22"/>
          <w:lang w:val="en-US"/>
        </w:rPr>
        <w:t xml:space="preserve">, 16(5), </w:t>
      </w:r>
      <w:r w:rsidRPr="008377FB">
        <w:rPr>
          <w:sz w:val="22"/>
          <w:szCs w:val="22"/>
          <w:lang w:val="en-US"/>
        </w:rPr>
        <w:t xml:space="preserve">221-242. </w:t>
      </w:r>
    </w:p>
    <w:p w14:paraId="513CA0B6" w14:textId="77777777" w:rsidR="00AE7784" w:rsidRDefault="00AE7784" w:rsidP="002B0808">
      <w:pPr>
        <w:pStyle w:val="MainText"/>
        <w:spacing w:line="360" w:lineRule="auto"/>
        <w:ind w:left="425" w:hanging="425"/>
        <w:rPr>
          <w:sz w:val="22"/>
          <w:szCs w:val="22"/>
          <w:lang w:val="en-US"/>
        </w:rPr>
      </w:pPr>
      <w:r w:rsidRPr="005213CF">
        <w:rPr>
          <w:sz w:val="22"/>
          <w:szCs w:val="22"/>
          <w:lang w:val="en-US"/>
        </w:rPr>
        <w:t>Ali, A., Chen, T</w:t>
      </w:r>
      <w:r>
        <w:rPr>
          <w:sz w:val="22"/>
          <w:szCs w:val="22"/>
          <w:lang w:val="en-US"/>
        </w:rPr>
        <w:t>ai-Yuan</w:t>
      </w:r>
      <w:r w:rsidRPr="005213CF">
        <w:rPr>
          <w:sz w:val="22"/>
          <w:szCs w:val="22"/>
          <w:lang w:val="en-US"/>
        </w:rPr>
        <w:t xml:space="preserve"> &amp; Radhakrishnan, S. (2007). Corporate disclosures by family firms. </w:t>
      </w:r>
      <w:r w:rsidRPr="005213CF">
        <w:rPr>
          <w:i/>
          <w:iCs/>
          <w:sz w:val="22"/>
          <w:szCs w:val="22"/>
          <w:lang w:val="en-US"/>
        </w:rPr>
        <w:t>Journal of Accounting and Economics</w:t>
      </w:r>
      <w:r w:rsidRPr="005213CF">
        <w:rPr>
          <w:sz w:val="22"/>
          <w:szCs w:val="22"/>
          <w:lang w:val="en-US"/>
        </w:rPr>
        <w:t>, 44</w:t>
      </w:r>
      <w:r>
        <w:rPr>
          <w:sz w:val="22"/>
          <w:szCs w:val="22"/>
          <w:lang w:val="en-US"/>
        </w:rPr>
        <w:t>(1-2)</w:t>
      </w:r>
      <w:r w:rsidRPr="005213CF">
        <w:rPr>
          <w:sz w:val="22"/>
          <w:szCs w:val="22"/>
          <w:lang w:val="en-US"/>
        </w:rPr>
        <w:t>, 238-286.</w:t>
      </w:r>
    </w:p>
    <w:p w14:paraId="1DEE50BE" w14:textId="77777777" w:rsidR="00AE7784" w:rsidRDefault="00AE7784" w:rsidP="00A86F41">
      <w:pPr>
        <w:pStyle w:val="MainText"/>
        <w:spacing w:line="360" w:lineRule="auto"/>
        <w:ind w:left="425" w:hanging="425"/>
        <w:rPr>
          <w:sz w:val="22"/>
          <w:szCs w:val="22"/>
          <w:lang w:val="en-US"/>
        </w:rPr>
      </w:pPr>
      <w:r w:rsidRPr="00A86F41">
        <w:rPr>
          <w:sz w:val="22"/>
          <w:szCs w:val="22"/>
          <w:lang w:val="en-US"/>
        </w:rPr>
        <w:t xml:space="preserve">Armstrong, C.S., </w:t>
      </w:r>
      <w:proofErr w:type="spellStart"/>
      <w:r w:rsidRPr="00A86F41">
        <w:rPr>
          <w:sz w:val="22"/>
          <w:szCs w:val="22"/>
          <w:lang w:val="en-US"/>
        </w:rPr>
        <w:t>Guay</w:t>
      </w:r>
      <w:proofErr w:type="spellEnd"/>
      <w:r w:rsidRPr="00A86F41">
        <w:rPr>
          <w:sz w:val="22"/>
          <w:szCs w:val="22"/>
          <w:lang w:val="en-US"/>
        </w:rPr>
        <w:t xml:space="preserve">, W.R. </w:t>
      </w:r>
      <w:r>
        <w:rPr>
          <w:sz w:val="22"/>
          <w:szCs w:val="22"/>
          <w:lang w:val="en-US"/>
        </w:rPr>
        <w:t>&amp;</w:t>
      </w:r>
      <w:r w:rsidRPr="00A86F41">
        <w:rPr>
          <w:sz w:val="22"/>
          <w:szCs w:val="22"/>
          <w:lang w:val="en-US"/>
        </w:rPr>
        <w:t xml:space="preserve"> Weber, J.P.</w:t>
      </w:r>
      <w:r>
        <w:rPr>
          <w:sz w:val="22"/>
          <w:szCs w:val="22"/>
          <w:lang w:val="en-US"/>
        </w:rPr>
        <w:t xml:space="preserve"> (</w:t>
      </w:r>
      <w:r w:rsidRPr="00A86F41">
        <w:rPr>
          <w:sz w:val="22"/>
          <w:szCs w:val="22"/>
          <w:lang w:val="en-US"/>
        </w:rPr>
        <w:t>2010</w:t>
      </w:r>
      <w:r>
        <w:rPr>
          <w:sz w:val="22"/>
          <w:szCs w:val="22"/>
          <w:lang w:val="en-US"/>
        </w:rPr>
        <w:t>)</w:t>
      </w:r>
      <w:r w:rsidRPr="00A86F41">
        <w:rPr>
          <w:sz w:val="22"/>
          <w:szCs w:val="22"/>
          <w:lang w:val="en-US"/>
        </w:rPr>
        <w:t>. The role of information and financial reporting in</w:t>
      </w:r>
      <w:r>
        <w:rPr>
          <w:sz w:val="22"/>
          <w:szCs w:val="22"/>
          <w:lang w:val="en-US"/>
        </w:rPr>
        <w:t xml:space="preserve"> </w:t>
      </w:r>
      <w:r w:rsidRPr="00A86F41">
        <w:rPr>
          <w:sz w:val="22"/>
          <w:szCs w:val="22"/>
          <w:lang w:val="en-US"/>
        </w:rPr>
        <w:t xml:space="preserve">corporate governance and debt contracting. </w:t>
      </w:r>
      <w:r w:rsidRPr="00881F40">
        <w:rPr>
          <w:i/>
          <w:iCs/>
          <w:sz w:val="22"/>
          <w:szCs w:val="22"/>
          <w:lang w:val="en-US"/>
        </w:rPr>
        <w:t>Journal of Accounting and Economics</w:t>
      </w:r>
      <w:r>
        <w:rPr>
          <w:sz w:val="22"/>
          <w:szCs w:val="22"/>
          <w:lang w:val="en-US"/>
        </w:rPr>
        <w:t xml:space="preserve">, </w:t>
      </w:r>
      <w:r w:rsidRPr="00A86F41">
        <w:rPr>
          <w:sz w:val="22"/>
          <w:szCs w:val="22"/>
          <w:lang w:val="en-US"/>
        </w:rPr>
        <w:t>50</w:t>
      </w:r>
      <w:r>
        <w:rPr>
          <w:sz w:val="22"/>
          <w:szCs w:val="22"/>
          <w:lang w:val="en-US"/>
        </w:rPr>
        <w:t>(2-3)</w:t>
      </w:r>
      <w:r w:rsidRPr="00A86F41">
        <w:rPr>
          <w:sz w:val="22"/>
          <w:szCs w:val="22"/>
          <w:lang w:val="en-US"/>
        </w:rPr>
        <w:t>, 179-234</w:t>
      </w:r>
      <w:r>
        <w:rPr>
          <w:sz w:val="22"/>
          <w:szCs w:val="22"/>
          <w:lang w:val="en-US"/>
        </w:rPr>
        <w:t>.</w:t>
      </w:r>
    </w:p>
    <w:p w14:paraId="5A9C4EB5" w14:textId="77777777" w:rsidR="00AE7784" w:rsidRDefault="00AE7784" w:rsidP="000167EF">
      <w:pPr>
        <w:pStyle w:val="MainText"/>
        <w:spacing w:line="360" w:lineRule="auto"/>
        <w:ind w:left="425" w:hanging="425"/>
        <w:rPr>
          <w:sz w:val="22"/>
          <w:szCs w:val="22"/>
          <w:lang w:val="en-US"/>
        </w:rPr>
      </w:pPr>
      <w:r w:rsidRPr="00BB0AB7">
        <w:rPr>
          <w:sz w:val="22"/>
          <w:szCs w:val="22"/>
          <w:lang w:val="en-US"/>
        </w:rPr>
        <w:t xml:space="preserve">Barth, </w:t>
      </w:r>
      <w:r>
        <w:rPr>
          <w:sz w:val="22"/>
          <w:szCs w:val="22"/>
          <w:lang w:val="en-US"/>
        </w:rPr>
        <w:t xml:space="preserve">M.E. &amp; </w:t>
      </w:r>
      <w:r w:rsidRPr="00BB0AB7">
        <w:rPr>
          <w:sz w:val="22"/>
          <w:szCs w:val="22"/>
          <w:lang w:val="en-US"/>
        </w:rPr>
        <w:t>Schipper</w:t>
      </w:r>
      <w:r>
        <w:rPr>
          <w:sz w:val="22"/>
          <w:szCs w:val="22"/>
          <w:lang w:val="en-US"/>
        </w:rPr>
        <w:t xml:space="preserve">, K. (2008). </w:t>
      </w:r>
      <w:r w:rsidRPr="00BB0AB7">
        <w:rPr>
          <w:sz w:val="22"/>
          <w:szCs w:val="22"/>
          <w:lang w:val="en-US"/>
        </w:rPr>
        <w:t>Financial Reporting Transparency</w:t>
      </w:r>
      <w:r>
        <w:rPr>
          <w:sz w:val="22"/>
          <w:szCs w:val="22"/>
          <w:lang w:val="en-US"/>
        </w:rPr>
        <w:t xml:space="preserve">. </w:t>
      </w:r>
      <w:r w:rsidRPr="00BB0AB7">
        <w:rPr>
          <w:i/>
          <w:iCs/>
          <w:sz w:val="22"/>
          <w:szCs w:val="22"/>
          <w:lang w:val="en-US"/>
        </w:rPr>
        <w:t>Journal of Accounting, Auditing &amp; Finance</w:t>
      </w:r>
      <w:r>
        <w:rPr>
          <w:sz w:val="22"/>
          <w:szCs w:val="22"/>
          <w:lang w:val="en-US"/>
        </w:rPr>
        <w:t>, 23(2),</w:t>
      </w:r>
      <w:r w:rsidRPr="00BB0AB7">
        <w:rPr>
          <w:sz w:val="22"/>
          <w:szCs w:val="22"/>
          <w:lang w:val="en-US"/>
        </w:rPr>
        <w:t xml:space="preserve"> 173-190</w:t>
      </w:r>
      <w:r>
        <w:rPr>
          <w:sz w:val="22"/>
          <w:szCs w:val="22"/>
          <w:lang w:val="en-US"/>
        </w:rPr>
        <w:t>.</w:t>
      </w:r>
    </w:p>
    <w:p w14:paraId="39844CBF" w14:textId="77777777" w:rsidR="00AE7784" w:rsidRDefault="00AE7784" w:rsidP="00314E76">
      <w:pPr>
        <w:pStyle w:val="MainText"/>
        <w:spacing w:line="360" w:lineRule="auto"/>
        <w:ind w:left="425" w:hanging="425"/>
        <w:rPr>
          <w:sz w:val="22"/>
          <w:szCs w:val="22"/>
          <w:lang w:val="en-US"/>
        </w:rPr>
      </w:pPr>
      <w:r w:rsidRPr="00A86F41">
        <w:rPr>
          <w:sz w:val="22"/>
          <w:szCs w:val="22"/>
          <w:lang w:val="en-US"/>
        </w:rPr>
        <w:t>Barth, M.E., Landsman, W.R. &amp; Lang, M.H. (2008), International Accounting Standards and</w:t>
      </w:r>
      <w:r>
        <w:rPr>
          <w:sz w:val="22"/>
          <w:szCs w:val="22"/>
          <w:lang w:val="en-US"/>
        </w:rPr>
        <w:t xml:space="preserve"> </w:t>
      </w:r>
      <w:r w:rsidRPr="00A86F41">
        <w:rPr>
          <w:sz w:val="22"/>
          <w:szCs w:val="22"/>
          <w:lang w:val="en-US"/>
        </w:rPr>
        <w:t xml:space="preserve">Accounting Quality, </w:t>
      </w:r>
      <w:r w:rsidRPr="00A86F41">
        <w:rPr>
          <w:i/>
          <w:iCs/>
          <w:sz w:val="22"/>
          <w:szCs w:val="22"/>
          <w:lang w:val="en-US"/>
        </w:rPr>
        <w:t>Journal of Accounting Research</w:t>
      </w:r>
      <w:r w:rsidRPr="00A86F41">
        <w:rPr>
          <w:sz w:val="22"/>
          <w:szCs w:val="22"/>
          <w:lang w:val="en-US"/>
        </w:rPr>
        <w:t>, 46</w:t>
      </w:r>
      <w:r>
        <w:rPr>
          <w:sz w:val="22"/>
          <w:szCs w:val="22"/>
          <w:lang w:val="en-US"/>
        </w:rPr>
        <w:t>(3),</w:t>
      </w:r>
      <w:r w:rsidRPr="00A86F41">
        <w:rPr>
          <w:sz w:val="22"/>
          <w:szCs w:val="22"/>
          <w:lang w:val="en-US"/>
        </w:rPr>
        <w:t xml:space="preserve"> 467-498</w:t>
      </w:r>
      <w:r>
        <w:rPr>
          <w:sz w:val="22"/>
          <w:szCs w:val="22"/>
          <w:lang w:val="en-US"/>
        </w:rPr>
        <w:t>.</w:t>
      </w:r>
      <w:r w:rsidRPr="00A86F41">
        <w:rPr>
          <w:sz w:val="22"/>
          <w:szCs w:val="22"/>
          <w:lang w:val="en-US"/>
        </w:rPr>
        <w:t xml:space="preserve">  </w:t>
      </w:r>
    </w:p>
    <w:p w14:paraId="238110CF" w14:textId="77777777" w:rsidR="00AE7784" w:rsidRDefault="00AE7784" w:rsidP="00F42FD8">
      <w:pPr>
        <w:pStyle w:val="MainText"/>
        <w:spacing w:line="360" w:lineRule="auto"/>
        <w:ind w:left="425" w:hanging="425"/>
        <w:rPr>
          <w:sz w:val="22"/>
          <w:szCs w:val="22"/>
          <w:lang w:val="en-US"/>
        </w:rPr>
      </w:pPr>
      <w:r w:rsidRPr="00F42FD8">
        <w:rPr>
          <w:sz w:val="22"/>
          <w:szCs w:val="22"/>
          <w:lang w:val="en-US"/>
        </w:rPr>
        <w:t>Bester, H.</w:t>
      </w:r>
      <w:r>
        <w:rPr>
          <w:sz w:val="22"/>
          <w:szCs w:val="22"/>
          <w:lang w:val="en-US"/>
        </w:rPr>
        <w:t xml:space="preserve"> (</w:t>
      </w:r>
      <w:r w:rsidRPr="00F42FD8">
        <w:rPr>
          <w:sz w:val="22"/>
          <w:szCs w:val="22"/>
          <w:lang w:val="en-US"/>
        </w:rPr>
        <w:t>1985</w:t>
      </w:r>
      <w:r>
        <w:rPr>
          <w:sz w:val="22"/>
          <w:szCs w:val="22"/>
          <w:lang w:val="en-US"/>
        </w:rPr>
        <w:t xml:space="preserve">). </w:t>
      </w:r>
      <w:r w:rsidRPr="00F42FD8">
        <w:rPr>
          <w:sz w:val="22"/>
          <w:szCs w:val="22"/>
          <w:lang w:val="en-US"/>
        </w:rPr>
        <w:t>Screening vs. Rationing in Credit Markets with Imperfect Information</w:t>
      </w:r>
      <w:r>
        <w:rPr>
          <w:sz w:val="22"/>
          <w:szCs w:val="22"/>
          <w:lang w:val="en-US"/>
        </w:rPr>
        <w:t xml:space="preserve">. </w:t>
      </w:r>
      <w:r w:rsidRPr="00D57B08">
        <w:rPr>
          <w:i/>
          <w:iCs/>
          <w:sz w:val="22"/>
          <w:szCs w:val="22"/>
          <w:lang w:val="en-US"/>
        </w:rPr>
        <w:t>The American Economic Review</w:t>
      </w:r>
      <w:r>
        <w:rPr>
          <w:sz w:val="22"/>
          <w:szCs w:val="22"/>
          <w:lang w:val="en-US"/>
        </w:rPr>
        <w:t xml:space="preserve">, 75(4), </w:t>
      </w:r>
      <w:r w:rsidRPr="00F42FD8">
        <w:rPr>
          <w:sz w:val="22"/>
          <w:szCs w:val="22"/>
          <w:lang w:val="en-US"/>
        </w:rPr>
        <w:t>850-855.</w:t>
      </w:r>
    </w:p>
    <w:p w14:paraId="296E8B60" w14:textId="77777777" w:rsidR="00AE7784" w:rsidRDefault="00AE7784" w:rsidP="00C36B94">
      <w:pPr>
        <w:pStyle w:val="MainText"/>
        <w:spacing w:line="360" w:lineRule="auto"/>
        <w:ind w:left="425" w:hanging="425"/>
        <w:rPr>
          <w:sz w:val="22"/>
          <w:szCs w:val="22"/>
          <w:lang w:val="en-US"/>
        </w:rPr>
      </w:pPr>
      <w:r w:rsidRPr="00C36B94">
        <w:rPr>
          <w:sz w:val="22"/>
          <w:szCs w:val="22"/>
          <w:lang w:val="en-US"/>
        </w:rPr>
        <w:lastRenderedPageBreak/>
        <w:t>B</w:t>
      </w:r>
      <w:r>
        <w:rPr>
          <w:sz w:val="22"/>
          <w:szCs w:val="22"/>
          <w:lang w:val="en-US"/>
        </w:rPr>
        <w:t>illings</w:t>
      </w:r>
      <w:r w:rsidRPr="00C36B94">
        <w:rPr>
          <w:sz w:val="22"/>
          <w:szCs w:val="22"/>
          <w:lang w:val="en-US"/>
        </w:rPr>
        <w:t xml:space="preserve">, M. </w:t>
      </w:r>
      <w:r>
        <w:rPr>
          <w:sz w:val="22"/>
          <w:szCs w:val="22"/>
          <w:lang w:val="en-US"/>
        </w:rPr>
        <w:t>&amp;</w:t>
      </w:r>
      <w:r w:rsidRPr="00C36B94">
        <w:rPr>
          <w:sz w:val="22"/>
          <w:szCs w:val="22"/>
          <w:lang w:val="en-US"/>
        </w:rPr>
        <w:t xml:space="preserve"> </w:t>
      </w:r>
      <w:proofErr w:type="spellStart"/>
      <w:r w:rsidRPr="00C36B94">
        <w:rPr>
          <w:sz w:val="22"/>
          <w:szCs w:val="22"/>
          <w:lang w:val="en-US"/>
        </w:rPr>
        <w:t>C</w:t>
      </w:r>
      <w:r>
        <w:rPr>
          <w:sz w:val="22"/>
          <w:szCs w:val="22"/>
          <w:lang w:val="en-US"/>
        </w:rPr>
        <w:t>apie</w:t>
      </w:r>
      <w:proofErr w:type="spellEnd"/>
      <w:r w:rsidRPr="00C36B94">
        <w:rPr>
          <w:sz w:val="22"/>
          <w:szCs w:val="22"/>
          <w:lang w:val="en-US"/>
        </w:rPr>
        <w:t>, F. (2009)</w:t>
      </w:r>
      <w:r>
        <w:rPr>
          <w:sz w:val="22"/>
          <w:szCs w:val="22"/>
          <w:lang w:val="en-US"/>
        </w:rPr>
        <w:t xml:space="preserve">. </w:t>
      </w:r>
      <w:r w:rsidRPr="00C36B94">
        <w:rPr>
          <w:sz w:val="22"/>
          <w:szCs w:val="22"/>
          <w:lang w:val="en-US"/>
        </w:rPr>
        <w:t>Transparency and financial reporting</w:t>
      </w:r>
      <w:r>
        <w:rPr>
          <w:sz w:val="22"/>
          <w:szCs w:val="22"/>
          <w:lang w:val="en-US"/>
        </w:rPr>
        <w:t xml:space="preserve"> </w:t>
      </w:r>
      <w:r w:rsidRPr="00C36B94">
        <w:rPr>
          <w:sz w:val="22"/>
          <w:szCs w:val="22"/>
          <w:lang w:val="en-US"/>
        </w:rPr>
        <w:t>in mid-20th century</w:t>
      </w:r>
      <w:r>
        <w:rPr>
          <w:sz w:val="22"/>
          <w:szCs w:val="22"/>
          <w:lang w:val="en-US"/>
        </w:rPr>
        <w:t xml:space="preserve"> </w:t>
      </w:r>
      <w:r w:rsidRPr="00C36B94">
        <w:rPr>
          <w:sz w:val="22"/>
          <w:szCs w:val="22"/>
          <w:lang w:val="en-US"/>
        </w:rPr>
        <w:t>British banking</w:t>
      </w:r>
      <w:r>
        <w:rPr>
          <w:sz w:val="22"/>
          <w:szCs w:val="22"/>
          <w:lang w:val="en-US"/>
        </w:rPr>
        <w:t xml:space="preserve">. </w:t>
      </w:r>
      <w:r w:rsidRPr="00EF444F">
        <w:rPr>
          <w:i/>
          <w:iCs/>
          <w:sz w:val="22"/>
          <w:szCs w:val="22"/>
          <w:lang w:val="en-US"/>
        </w:rPr>
        <w:t>Accounting Forum</w:t>
      </w:r>
      <w:r w:rsidRPr="00C36B94">
        <w:rPr>
          <w:sz w:val="22"/>
          <w:szCs w:val="22"/>
          <w:lang w:val="en-US"/>
        </w:rPr>
        <w:t>, 33</w:t>
      </w:r>
      <w:r>
        <w:rPr>
          <w:sz w:val="22"/>
          <w:szCs w:val="22"/>
          <w:lang w:val="en-US"/>
        </w:rPr>
        <w:t>(1)</w:t>
      </w:r>
      <w:r w:rsidRPr="00C36B94">
        <w:rPr>
          <w:sz w:val="22"/>
          <w:szCs w:val="22"/>
          <w:lang w:val="en-US"/>
        </w:rPr>
        <w:t>, 38-53</w:t>
      </w:r>
      <w:r>
        <w:rPr>
          <w:sz w:val="22"/>
          <w:szCs w:val="22"/>
          <w:lang w:val="en-US"/>
        </w:rPr>
        <w:t>.</w:t>
      </w:r>
    </w:p>
    <w:p w14:paraId="10E5A1DE" w14:textId="77777777" w:rsidR="00AE7784" w:rsidRDefault="00AE7784" w:rsidP="00FA420C">
      <w:pPr>
        <w:pStyle w:val="MainText"/>
        <w:spacing w:line="360" w:lineRule="auto"/>
        <w:ind w:left="425" w:hanging="425"/>
        <w:rPr>
          <w:sz w:val="22"/>
          <w:szCs w:val="22"/>
          <w:lang w:val="en-US"/>
        </w:rPr>
      </w:pPr>
      <w:r w:rsidRPr="006A445D">
        <w:rPr>
          <w:sz w:val="22"/>
          <w:szCs w:val="22"/>
          <w:lang w:val="en-US"/>
        </w:rPr>
        <w:t xml:space="preserve">Blackburn, R., Hart, M. </w:t>
      </w:r>
      <w:r>
        <w:rPr>
          <w:sz w:val="22"/>
          <w:szCs w:val="22"/>
          <w:lang w:val="en-US"/>
        </w:rPr>
        <w:t>&amp;</w:t>
      </w:r>
      <w:r w:rsidRPr="006A445D">
        <w:rPr>
          <w:sz w:val="22"/>
          <w:szCs w:val="22"/>
          <w:lang w:val="en-US"/>
        </w:rPr>
        <w:t xml:space="preserve"> Wainwright, T. (2013)</w:t>
      </w:r>
      <w:r>
        <w:rPr>
          <w:sz w:val="22"/>
          <w:szCs w:val="22"/>
          <w:lang w:val="en-US"/>
        </w:rPr>
        <w:t xml:space="preserve">. </w:t>
      </w:r>
      <w:r w:rsidRPr="006A445D">
        <w:rPr>
          <w:sz w:val="22"/>
          <w:szCs w:val="22"/>
          <w:lang w:val="en-US"/>
        </w:rPr>
        <w:t>Small business performance: business, strategy and</w:t>
      </w:r>
      <w:r>
        <w:rPr>
          <w:sz w:val="22"/>
          <w:szCs w:val="22"/>
          <w:lang w:val="en-US"/>
        </w:rPr>
        <w:t xml:space="preserve"> </w:t>
      </w:r>
      <w:r w:rsidRPr="006A445D">
        <w:rPr>
          <w:sz w:val="22"/>
          <w:szCs w:val="22"/>
          <w:lang w:val="en-US"/>
        </w:rPr>
        <w:t>owner‐manager characteristics</w:t>
      </w:r>
      <w:r>
        <w:rPr>
          <w:sz w:val="22"/>
          <w:szCs w:val="22"/>
          <w:lang w:val="en-US"/>
        </w:rPr>
        <w:t xml:space="preserve">. </w:t>
      </w:r>
      <w:r w:rsidRPr="006A445D">
        <w:rPr>
          <w:i/>
          <w:iCs/>
          <w:sz w:val="22"/>
          <w:szCs w:val="22"/>
          <w:lang w:val="en-US"/>
        </w:rPr>
        <w:t>Journal of Small Business and Enterprise Development</w:t>
      </w:r>
      <w:r w:rsidRPr="006A445D">
        <w:rPr>
          <w:sz w:val="22"/>
          <w:szCs w:val="22"/>
          <w:lang w:val="en-US"/>
        </w:rPr>
        <w:t xml:space="preserve">, </w:t>
      </w:r>
      <w:r>
        <w:rPr>
          <w:sz w:val="22"/>
          <w:szCs w:val="22"/>
          <w:lang w:val="en-US"/>
        </w:rPr>
        <w:t xml:space="preserve">20(1), </w:t>
      </w:r>
      <w:r w:rsidRPr="006A445D">
        <w:rPr>
          <w:sz w:val="22"/>
          <w:szCs w:val="22"/>
          <w:lang w:val="en-US"/>
        </w:rPr>
        <w:t>8-27.</w:t>
      </w:r>
    </w:p>
    <w:p w14:paraId="547F79C5" w14:textId="77777777" w:rsidR="00AE7784" w:rsidRDefault="00AE7784" w:rsidP="00314E76">
      <w:pPr>
        <w:pStyle w:val="MainText"/>
        <w:spacing w:line="360" w:lineRule="auto"/>
        <w:ind w:left="425" w:hanging="425"/>
        <w:rPr>
          <w:sz w:val="22"/>
          <w:szCs w:val="22"/>
          <w:lang w:val="en-US"/>
        </w:rPr>
      </w:pPr>
      <w:r w:rsidRPr="00792BFA">
        <w:rPr>
          <w:sz w:val="22"/>
          <w:szCs w:val="22"/>
          <w:lang w:val="en-US"/>
        </w:rPr>
        <w:t>Bushman, R.M</w:t>
      </w:r>
      <w:r>
        <w:rPr>
          <w:sz w:val="22"/>
          <w:szCs w:val="22"/>
          <w:lang w:val="en-US"/>
        </w:rPr>
        <w:t>.</w:t>
      </w:r>
      <w:r w:rsidRPr="00792BFA">
        <w:rPr>
          <w:sz w:val="22"/>
          <w:szCs w:val="22"/>
          <w:lang w:val="en-US"/>
        </w:rPr>
        <w:t xml:space="preserve"> &amp; Smith, A.J. (2001). Financial accounting information and corporate governance. </w:t>
      </w:r>
      <w:r w:rsidRPr="00792BFA">
        <w:rPr>
          <w:i/>
          <w:iCs/>
          <w:sz w:val="22"/>
          <w:szCs w:val="22"/>
          <w:lang w:val="en-US"/>
        </w:rPr>
        <w:t>Journal of Accounting and Economics</w:t>
      </w:r>
      <w:r w:rsidRPr="00792BFA">
        <w:rPr>
          <w:sz w:val="22"/>
          <w:szCs w:val="22"/>
          <w:lang w:val="en-US"/>
        </w:rPr>
        <w:t>, 32(1-3), 237-333.</w:t>
      </w:r>
    </w:p>
    <w:p w14:paraId="396F5648" w14:textId="77777777" w:rsidR="00AE7784" w:rsidRDefault="00AE7784" w:rsidP="00314E76">
      <w:pPr>
        <w:pStyle w:val="MainText"/>
        <w:spacing w:line="360" w:lineRule="auto"/>
        <w:ind w:left="425" w:hanging="425"/>
        <w:rPr>
          <w:sz w:val="22"/>
          <w:szCs w:val="22"/>
          <w:lang w:val="en-US"/>
        </w:rPr>
      </w:pPr>
      <w:r w:rsidRPr="00BD6EC2">
        <w:rPr>
          <w:sz w:val="22"/>
          <w:szCs w:val="22"/>
          <w:lang w:val="en-US"/>
        </w:rPr>
        <w:t xml:space="preserve">Bushman, </w:t>
      </w:r>
      <w:r>
        <w:rPr>
          <w:sz w:val="22"/>
          <w:szCs w:val="22"/>
          <w:lang w:val="en-US"/>
        </w:rPr>
        <w:t>R.</w:t>
      </w:r>
      <w:r w:rsidRPr="00BD6EC2">
        <w:rPr>
          <w:sz w:val="22"/>
          <w:szCs w:val="22"/>
          <w:lang w:val="en-US"/>
        </w:rPr>
        <w:t>M.</w:t>
      </w:r>
      <w:r>
        <w:rPr>
          <w:sz w:val="22"/>
          <w:szCs w:val="22"/>
          <w:lang w:val="en-US"/>
        </w:rPr>
        <w:t xml:space="preserve">, </w:t>
      </w:r>
      <w:proofErr w:type="spellStart"/>
      <w:r w:rsidRPr="00BD6EC2">
        <w:rPr>
          <w:sz w:val="22"/>
          <w:szCs w:val="22"/>
          <w:lang w:val="en-US"/>
        </w:rPr>
        <w:t>Piotroski</w:t>
      </w:r>
      <w:proofErr w:type="spellEnd"/>
      <w:r w:rsidRPr="00BD6EC2">
        <w:rPr>
          <w:sz w:val="22"/>
          <w:szCs w:val="22"/>
          <w:lang w:val="en-US"/>
        </w:rPr>
        <w:t xml:space="preserve">, </w:t>
      </w:r>
      <w:r>
        <w:rPr>
          <w:sz w:val="22"/>
          <w:szCs w:val="22"/>
          <w:lang w:val="en-US"/>
        </w:rPr>
        <w:t>J.</w:t>
      </w:r>
      <w:r w:rsidRPr="00BD6EC2">
        <w:rPr>
          <w:sz w:val="22"/>
          <w:szCs w:val="22"/>
          <w:lang w:val="en-US"/>
        </w:rPr>
        <w:t>D.</w:t>
      </w:r>
      <w:r>
        <w:rPr>
          <w:sz w:val="22"/>
          <w:szCs w:val="22"/>
          <w:lang w:val="en-US"/>
        </w:rPr>
        <w:t xml:space="preserve"> &amp; </w:t>
      </w:r>
      <w:r w:rsidRPr="00BD6EC2">
        <w:rPr>
          <w:sz w:val="22"/>
          <w:szCs w:val="22"/>
          <w:lang w:val="en-US"/>
        </w:rPr>
        <w:t xml:space="preserve">Smith, </w:t>
      </w:r>
      <w:r>
        <w:rPr>
          <w:sz w:val="22"/>
          <w:szCs w:val="22"/>
          <w:lang w:val="en-US"/>
        </w:rPr>
        <w:t>A.</w:t>
      </w:r>
      <w:r w:rsidRPr="00BD6EC2">
        <w:rPr>
          <w:sz w:val="22"/>
          <w:szCs w:val="22"/>
          <w:lang w:val="en-US"/>
        </w:rPr>
        <w:t>J.</w:t>
      </w:r>
      <w:r>
        <w:rPr>
          <w:sz w:val="22"/>
          <w:szCs w:val="22"/>
          <w:lang w:val="en-US"/>
        </w:rPr>
        <w:t xml:space="preserve"> (2004). </w:t>
      </w:r>
      <w:r w:rsidRPr="00BD6EC2">
        <w:rPr>
          <w:sz w:val="22"/>
          <w:szCs w:val="22"/>
          <w:lang w:val="en-US"/>
        </w:rPr>
        <w:t>What Determines Corporate Transparency?</w:t>
      </w:r>
      <w:r>
        <w:rPr>
          <w:sz w:val="22"/>
          <w:szCs w:val="22"/>
          <w:lang w:val="en-US"/>
        </w:rPr>
        <w:t xml:space="preserve"> </w:t>
      </w:r>
      <w:r w:rsidRPr="00BD6EC2">
        <w:rPr>
          <w:i/>
          <w:iCs/>
          <w:sz w:val="22"/>
          <w:szCs w:val="22"/>
          <w:lang w:val="en-US"/>
        </w:rPr>
        <w:t>Journal of Accounting Research</w:t>
      </w:r>
      <w:r>
        <w:rPr>
          <w:sz w:val="22"/>
          <w:szCs w:val="22"/>
          <w:lang w:val="en-US"/>
        </w:rPr>
        <w:t xml:space="preserve">, </w:t>
      </w:r>
      <w:r w:rsidRPr="00BD6EC2">
        <w:rPr>
          <w:sz w:val="22"/>
          <w:szCs w:val="22"/>
          <w:lang w:val="en-US"/>
        </w:rPr>
        <w:t xml:space="preserve">42(2). </w:t>
      </w:r>
    </w:p>
    <w:p w14:paraId="7F4DC837" w14:textId="77777777" w:rsidR="00AE7784" w:rsidRDefault="00AE7784" w:rsidP="00A12C04">
      <w:pPr>
        <w:pStyle w:val="MainText"/>
        <w:spacing w:line="360" w:lineRule="auto"/>
        <w:ind w:left="425" w:hanging="425"/>
        <w:rPr>
          <w:sz w:val="22"/>
          <w:szCs w:val="22"/>
          <w:lang w:val="en-US"/>
        </w:rPr>
      </w:pPr>
      <w:r w:rsidRPr="00A02549">
        <w:rPr>
          <w:sz w:val="22"/>
          <w:szCs w:val="22"/>
          <w:lang w:val="en-US"/>
        </w:rPr>
        <w:t xml:space="preserve">Buskirk, A. (2012). Disclosure Frequency and Information Asymmetry. </w:t>
      </w:r>
      <w:r w:rsidRPr="00A02549">
        <w:rPr>
          <w:i/>
          <w:iCs/>
          <w:sz w:val="22"/>
          <w:szCs w:val="22"/>
          <w:lang w:val="en-US"/>
        </w:rPr>
        <w:t>Review of Quantitative Finance and Accounting</w:t>
      </w:r>
      <w:r w:rsidRPr="00A02549">
        <w:rPr>
          <w:sz w:val="22"/>
          <w:szCs w:val="22"/>
          <w:lang w:val="en-US"/>
        </w:rPr>
        <w:t>, 38(4), 411-440.</w:t>
      </w:r>
    </w:p>
    <w:p w14:paraId="6606F1CB" w14:textId="77777777" w:rsidR="00AE7784" w:rsidRDefault="00AE7784" w:rsidP="00FA4F77">
      <w:pPr>
        <w:pStyle w:val="MainText"/>
        <w:spacing w:line="360" w:lineRule="auto"/>
        <w:ind w:left="425" w:hanging="425"/>
        <w:rPr>
          <w:sz w:val="22"/>
          <w:szCs w:val="22"/>
          <w:lang w:val="en-US"/>
        </w:rPr>
      </w:pPr>
      <w:bookmarkStart w:id="21" w:name="_Hlk23591601"/>
      <w:proofErr w:type="spellStart"/>
      <w:r w:rsidRPr="00FA4F77">
        <w:rPr>
          <w:sz w:val="22"/>
          <w:szCs w:val="22"/>
          <w:lang w:val="en-US"/>
        </w:rPr>
        <w:t>Canibano</w:t>
      </w:r>
      <w:proofErr w:type="spellEnd"/>
      <w:r w:rsidRPr="00FA4F77">
        <w:rPr>
          <w:sz w:val="22"/>
          <w:szCs w:val="22"/>
          <w:lang w:val="en-US"/>
        </w:rPr>
        <w:t>, L., Sánchez, M.P., García-</w:t>
      </w:r>
      <w:proofErr w:type="spellStart"/>
      <w:r w:rsidRPr="00FA4F77">
        <w:rPr>
          <w:sz w:val="22"/>
          <w:szCs w:val="22"/>
          <w:lang w:val="en-US"/>
        </w:rPr>
        <w:t>Ayuso</w:t>
      </w:r>
      <w:proofErr w:type="spellEnd"/>
      <w:r w:rsidRPr="00FA4F77">
        <w:rPr>
          <w:sz w:val="22"/>
          <w:szCs w:val="22"/>
          <w:lang w:val="en-US"/>
        </w:rPr>
        <w:t xml:space="preserve">, M. &amp; Chaminade, C. (2002). </w:t>
      </w:r>
      <w:r w:rsidRPr="00910EA4">
        <w:rPr>
          <w:i/>
          <w:iCs/>
          <w:sz w:val="22"/>
          <w:szCs w:val="22"/>
          <w:lang w:val="en-US"/>
        </w:rPr>
        <w:t>Guidelines for managing and reporting on intangibles: Intellectual Capital Report</w:t>
      </w:r>
      <w:r w:rsidRPr="00FA4F77">
        <w:rPr>
          <w:sz w:val="22"/>
          <w:szCs w:val="22"/>
          <w:lang w:val="en-US"/>
        </w:rPr>
        <w:t>. Madrid: Vodafone Foundation.</w:t>
      </w:r>
    </w:p>
    <w:bookmarkEnd w:id="21"/>
    <w:p w14:paraId="3376F6DA" w14:textId="77777777" w:rsidR="00AE7784" w:rsidRPr="00F53FC6" w:rsidRDefault="00AE7784" w:rsidP="00314E76">
      <w:pPr>
        <w:pStyle w:val="MainText"/>
        <w:spacing w:line="360" w:lineRule="auto"/>
        <w:ind w:left="425" w:hanging="425"/>
        <w:rPr>
          <w:sz w:val="22"/>
          <w:szCs w:val="22"/>
          <w:lang w:val="en-US"/>
        </w:rPr>
      </w:pPr>
      <w:r w:rsidRPr="00F53FC6">
        <w:rPr>
          <w:sz w:val="22"/>
          <w:szCs w:val="22"/>
          <w:lang w:val="en-US"/>
        </w:rPr>
        <w:t xml:space="preserve">Carpenter, R.E. </w:t>
      </w:r>
      <w:r>
        <w:rPr>
          <w:sz w:val="22"/>
          <w:szCs w:val="22"/>
          <w:lang w:val="en-US"/>
        </w:rPr>
        <w:t>&amp;</w:t>
      </w:r>
      <w:r w:rsidRPr="00F53FC6">
        <w:rPr>
          <w:sz w:val="22"/>
          <w:szCs w:val="22"/>
          <w:lang w:val="en-US"/>
        </w:rPr>
        <w:t xml:space="preserve"> Petersen, B.C. (2002). Is the Growth of Small Firms Constrained by Internal Finance? </w:t>
      </w:r>
      <w:r w:rsidRPr="00F53FC6">
        <w:rPr>
          <w:i/>
          <w:iCs/>
          <w:sz w:val="22"/>
          <w:szCs w:val="22"/>
          <w:lang w:val="en-US"/>
        </w:rPr>
        <w:t>Review of Economics and Statistics</w:t>
      </w:r>
      <w:r w:rsidRPr="00F53FC6">
        <w:rPr>
          <w:sz w:val="22"/>
          <w:szCs w:val="22"/>
          <w:lang w:val="en-US"/>
        </w:rPr>
        <w:t>, 84(2), 298-309.</w:t>
      </w:r>
    </w:p>
    <w:p w14:paraId="75E8D791" w14:textId="77777777" w:rsidR="00AE7784" w:rsidRDefault="00AE7784" w:rsidP="00E47032">
      <w:pPr>
        <w:pStyle w:val="MainText"/>
        <w:spacing w:line="360" w:lineRule="auto"/>
        <w:ind w:left="425" w:hanging="425"/>
        <w:rPr>
          <w:sz w:val="22"/>
          <w:szCs w:val="22"/>
          <w:lang w:val="en-US"/>
        </w:rPr>
      </w:pPr>
      <w:r w:rsidRPr="006B7C5B">
        <w:rPr>
          <w:sz w:val="22"/>
          <w:szCs w:val="22"/>
          <w:lang w:val="en-US"/>
        </w:rPr>
        <w:t>Casey</w:t>
      </w:r>
      <w:r>
        <w:rPr>
          <w:sz w:val="22"/>
          <w:szCs w:val="22"/>
          <w:lang w:val="en-US"/>
        </w:rPr>
        <w:t xml:space="preserve">, E. &amp; </w:t>
      </w:r>
      <w:r w:rsidRPr="006B7C5B">
        <w:rPr>
          <w:sz w:val="22"/>
          <w:szCs w:val="22"/>
          <w:lang w:val="en-US"/>
        </w:rPr>
        <w:t>O</w:t>
      </w:r>
      <w:r>
        <w:rPr>
          <w:sz w:val="22"/>
          <w:szCs w:val="22"/>
          <w:lang w:val="en-US"/>
        </w:rPr>
        <w:t>’</w:t>
      </w:r>
      <w:r w:rsidRPr="006B7C5B">
        <w:rPr>
          <w:sz w:val="22"/>
          <w:szCs w:val="22"/>
          <w:lang w:val="en-US"/>
        </w:rPr>
        <w:t>Toole</w:t>
      </w:r>
      <w:r>
        <w:rPr>
          <w:sz w:val="22"/>
          <w:szCs w:val="22"/>
          <w:lang w:val="en-US"/>
        </w:rPr>
        <w:t xml:space="preserve">, C. (2014). </w:t>
      </w:r>
      <w:r w:rsidRPr="006B7C5B">
        <w:rPr>
          <w:sz w:val="22"/>
          <w:szCs w:val="22"/>
          <w:lang w:val="en-US"/>
        </w:rPr>
        <w:t>Bank lending constraints, trade credit and alternative financing during the financial crisis: Evidence from European SMEs</w:t>
      </w:r>
      <w:r>
        <w:rPr>
          <w:sz w:val="22"/>
          <w:szCs w:val="22"/>
          <w:lang w:val="en-US"/>
        </w:rPr>
        <w:t xml:space="preserve">. </w:t>
      </w:r>
      <w:r w:rsidRPr="006B7C5B">
        <w:rPr>
          <w:i/>
          <w:iCs/>
          <w:sz w:val="22"/>
          <w:szCs w:val="22"/>
          <w:lang w:val="en-US"/>
        </w:rPr>
        <w:t>Journal of Corporate Finance</w:t>
      </w:r>
      <w:r w:rsidRPr="006B7C5B">
        <w:rPr>
          <w:sz w:val="22"/>
          <w:szCs w:val="22"/>
          <w:lang w:val="en-US"/>
        </w:rPr>
        <w:t xml:space="preserve">, </w:t>
      </w:r>
      <w:r>
        <w:rPr>
          <w:sz w:val="22"/>
          <w:szCs w:val="22"/>
          <w:lang w:val="en-US"/>
        </w:rPr>
        <w:t xml:space="preserve">27(C), </w:t>
      </w:r>
      <w:r w:rsidRPr="006B7C5B">
        <w:rPr>
          <w:sz w:val="22"/>
          <w:szCs w:val="22"/>
          <w:lang w:val="en-US"/>
        </w:rPr>
        <w:t>173-193</w:t>
      </w:r>
      <w:r>
        <w:rPr>
          <w:sz w:val="22"/>
          <w:szCs w:val="22"/>
          <w:lang w:val="en-US"/>
        </w:rPr>
        <w:t>.</w:t>
      </w:r>
    </w:p>
    <w:p w14:paraId="00A2D5BC" w14:textId="77777777" w:rsidR="00AE7784" w:rsidRDefault="00AE7784" w:rsidP="00DE5D65">
      <w:pPr>
        <w:pStyle w:val="MainText"/>
        <w:spacing w:line="360" w:lineRule="auto"/>
        <w:ind w:left="425" w:hanging="425"/>
        <w:rPr>
          <w:sz w:val="22"/>
          <w:szCs w:val="22"/>
          <w:lang w:val="en-US"/>
        </w:rPr>
      </w:pPr>
      <w:r w:rsidRPr="00F20CAE">
        <w:rPr>
          <w:sz w:val="22"/>
          <w:szCs w:val="22"/>
          <w:lang w:val="en-US"/>
        </w:rPr>
        <w:t xml:space="preserve">Chau, G. &amp; Gray, S.J. </w:t>
      </w:r>
      <w:r>
        <w:rPr>
          <w:sz w:val="22"/>
          <w:szCs w:val="22"/>
          <w:lang w:val="en-US"/>
        </w:rPr>
        <w:t xml:space="preserve">(2010). </w:t>
      </w:r>
      <w:r w:rsidRPr="00F20CAE">
        <w:rPr>
          <w:sz w:val="22"/>
          <w:szCs w:val="22"/>
          <w:lang w:val="en-US"/>
        </w:rPr>
        <w:t>Family ownership,</w:t>
      </w:r>
      <w:r>
        <w:rPr>
          <w:sz w:val="22"/>
          <w:szCs w:val="22"/>
          <w:lang w:val="en-US"/>
        </w:rPr>
        <w:t xml:space="preserve"> </w:t>
      </w:r>
      <w:r w:rsidRPr="00F20CAE">
        <w:rPr>
          <w:sz w:val="22"/>
          <w:szCs w:val="22"/>
          <w:lang w:val="en-US"/>
        </w:rPr>
        <w:t>board independence and voluntary disclosure: Evidence</w:t>
      </w:r>
      <w:r>
        <w:rPr>
          <w:sz w:val="22"/>
          <w:szCs w:val="22"/>
          <w:lang w:val="en-US"/>
        </w:rPr>
        <w:t xml:space="preserve"> </w:t>
      </w:r>
      <w:r w:rsidRPr="00F20CAE">
        <w:rPr>
          <w:sz w:val="22"/>
          <w:szCs w:val="22"/>
          <w:lang w:val="en-US"/>
        </w:rPr>
        <w:t>from Hong Kong</w:t>
      </w:r>
      <w:r>
        <w:rPr>
          <w:sz w:val="22"/>
          <w:szCs w:val="22"/>
          <w:lang w:val="en-US"/>
        </w:rPr>
        <w:t>.</w:t>
      </w:r>
      <w:r w:rsidRPr="00F20CAE">
        <w:rPr>
          <w:sz w:val="22"/>
          <w:szCs w:val="22"/>
          <w:lang w:val="en-US"/>
        </w:rPr>
        <w:t xml:space="preserve"> </w:t>
      </w:r>
      <w:r w:rsidRPr="00DE5D65">
        <w:rPr>
          <w:i/>
          <w:iCs/>
          <w:sz w:val="22"/>
          <w:szCs w:val="22"/>
          <w:lang w:val="en-US"/>
        </w:rPr>
        <w:t>Journal of International Accounting, Auditing and Taxation</w:t>
      </w:r>
      <w:r w:rsidRPr="00F20CAE">
        <w:rPr>
          <w:sz w:val="22"/>
          <w:szCs w:val="22"/>
          <w:lang w:val="en-US"/>
        </w:rPr>
        <w:t>, 19</w:t>
      </w:r>
      <w:r>
        <w:rPr>
          <w:sz w:val="22"/>
          <w:szCs w:val="22"/>
          <w:lang w:val="en-US"/>
        </w:rPr>
        <w:t>(2)</w:t>
      </w:r>
      <w:r w:rsidRPr="00F20CAE">
        <w:rPr>
          <w:sz w:val="22"/>
          <w:szCs w:val="22"/>
          <w:lang w:val="en-US"/>
        </w:rPr>
        <w:t>, 93</w:t>
      </w:r>
      <w:r>
        <w:rPr>
          <w:sz w:val="22"/>
          <w:szCs w:val="22"/>
          <w:lang w:val="en-US"/>
        </w:rPr>
        <w:t>-</w:t>
      </w:r>
      <w:r w:rsidRPr="00F20CAE">
        <w:rPr>
          <w:sz w:val="22"/>
          <w:szCs w:val="22"/>
          <w:lang w:val="en-US"/>
        </w:rPr>
        <w:t>109.</w:t>
      </w:r>
    </w:p>
    <w:p w14:paraId="01EE2ABF" w14:textId="77777777" w:rsidR="00AE7784" w:rsidRDefault="00AE7784" w:rsidP="006B7C5B">
      <w:pPr>
        <w:pStyle w:val="MainText"/>
        <w:spacing w:line="360" w:lineRule="auto"/>
        <w:ind w:left="425" w:hanging="425"/>
        <w:rPr>
          <w:sz w:val="22"/>
          <w:szCs w:val="22"/>
          <w:lang w:val="en-US"/>
        </w:rPr>
      </w:pPr>
      <w:r w:rsidRPr="00F42FD8">
        <w:rPr>
          <w:sz w:val="22"/>
          <w:szCs w:val="22"/>
          <w:lang w:val="en-US"/>
        </w:rPr>
        <w:t>Cressy, R.</w:t>
      </w:r>
      <w:r>
        <w:rPr>
          <w:sz w:val="22"/>
          <w:szCs w:val="22"/>
          <w:lang w:val="en-US"/>
        </w:rPr>
        <w:t xml:space="preserve"> &amp;</w:t>
      </w:r>
      <w:r w:rsidRPr="00F42FD8">
        <w:rPr>
          <w:sz w:val="22"/>
          <w:szCs w:val="22"/>
          <w:lang w:val="en-US"/>
        </w:rPr>
        <w:t xml:space="preserve"> Toivanen, </w:t>
      </w:r>
      <w:r>
        <w:rPr>
          <w:sz w:val="22"/>
          <w:szCs w:val="22"/>
          <w:lang w:val="en-US"/>
        </w:rPr>
        <w:t>O. (20</w:t>
      </w:r>
      <w:r w:rsidRPr="00F42FD8">
        <w:rPr>
          <w:sz w:val="22"/>
          <w:szCs w:val="22"/>
          <w:lang w:val="en-US"/>
        </w:rPr>
        <w:t>01</w:t>
      </w:r>
      <w:r>
        <w:rPr>
          <w:sz w:val="22"/>
          <w:szCs w:val="22"/>
          <w:lang w:val="en-US"/>
        </w:rPr>
        <w:t>).</w:t>
      </w:r>
      <w:r w:rsidRPr="00F42FD8">
        <w:rPr>
          <w:sz w:val="22"/>
          <w:szCs w:val="22"/>
          <w:lang w:val="en-US"/>
        </w:rPr>
        <w:t xml:space="preserve"> Is there adverse selection in the credit market? </w:t>
      </w:r>
      <w:r w:rsidRPr="00D57B08">
        <w:rPr>
          <w:i/>
          <w:iCs/>
          <w:sz w:val="22"/>
          <w:szCs w:val="22"/>
          <w:lang w:val="en-US"/>
        </w:rPr>
        <w:t>Venture Capital</w:t>
      </w:r>
      <w:r>
        <w:rPr>
          <w:sz w:val="22"/>
          <w:szCs w:val="22"/>
          <w:lang w:val="en-US"/>
        </w:rPr>
        <w:t>, 3(3)</w:t>
      </w:r>
      <w:r w:rsidRPr="00F42FD8">
        <w:rPr>
          <w:sz w:val="22"/>
          <w:szCs w:val="22"/>
          <w:lang w:val="en-US"/>
        </w:rPr>
        <w:t>,</w:t>
      </w:r>
      <w:r>
        <w:rPr>
          <w:sz w:val="22"/>
          <w:szCs w:val="22"/>
          <w:lang w:val="en-US"/>
        </w:rPr>
        <w:t xml:space="preserve"> </w:t>
      </w:r>
      <w:r w:rsidRPr="00F42FD8">
        <w:rPr>
          <w:sz w:val="22"/>
          <w:szCs w:val="22"/>
          <w:lang w:val="en-US"/>
        </w:rPr>
        <w:t>215-238.</w:t>
      </w:r>
    </w:p>
    <w:p w14:paraId="28EAA3A0" w14:textId="77777777" w:rsidR="00AE7784" w:rsidRDefault="00AE7784" w:rsidP="003C6065">
      <w:pPr>
        <w:pStyle w:val="MainText"/>
        <w:spacing w:line="360" w:lineRule="auto"/>
        <w:ind w:left="425" w:hanging="425"/>
        <w:rPr>
          <w:sz w:val="22"/>
          <w:szCs w:val="22"/>
          <w:lang w:val="en-US"/>
        </w:rPr>
      </w:pPr>
      <w:proofErr w:type="spellStart"/>
      <w:r w:rsidRPr="003C6065">
        <w:rPr>
          <w:sz w:val="22"/>
          <w:szCs w:val="22"/>
          <w:lang w:val="en-US"/>
        </w:rPr>
        <w:t>Cucculelli</w:t>
      </w:r>
      <w:proofErr w:type="spellEnd"/>
      <w:r w:rsidRPr="003C6065">
        <w:rPr>
          <w:sz w:val="22"/>
          <w:szCs w:val="22"/>
          <w:lang w:val="en-US"/>
        </w:rPr>
        <w:t>, M.</w:t>
      </w:r>
      <w:r>
        <w:rPr>
          <w:sz w:val="22"/>
          <w:szCs w:val="22"/>
          <w:lang w:val="en-US"/>
        </w:rPr>
        <w:t xml:space="preserve"> &amp; </w:t>
      </w:r>
      <w:r w:rsidRPr="003C6065">
        <w:rPr>
          <w:sz w:val="22"/>
          <w:szCs w:val="22"/>
          <w:lang w:val="en-US"/>
        </w:rPr>
        <w:t>Bettinelli</w:t>
      </w:r>
      <w:r>
        <w:rPr>
          <w:sz w:val="22"/>
          <w:szCs w:val="22"/>
          <w:lang w:val="en-US"/>
        </w:rPr>
        <w:t>, C. (</w:t>
      </w:r>
      <w:r w:rsidRPr="003C6065">
        <w:rPr>
          <w:sz w:val="22"/>
          <w:szCs w:val="22"/>
          <w:lang w:val="en-US"/>
        </w:rPr>
        <w:t>2015</w:t>
      </w:r>
      <w:r>
        <w:rPr>
          <w:sz w:val="22"/>
          <w:szCs w:val="22"/>
          <w:lang w:val="en-US"/>
        </w:rPr>
        <w:t>)</w:t>
      </w:r>
      <w:r w:rsidRPr="003C6065">
        <w:rPr>
          <w:sz w:val="22"/>
          <w:szCs w:val="22"/>
          <w:lang w:val="en-US"/>
        </w:rPr>
        <w:t>. Business models, intangibles and firm performance:</w:t>
      </w:r>
      <w:r>
        <w:rPr>
          <w:sz w:val="22"/>
          <w:szCs w:val="22"/>
          <w:lang w:val="en-US"/>
        </w:rPr>
        <w:t xml:space="preserve"> </w:t>
      </w:r>
      <w:r w:rsidRPr="003C6065">
        <w:rPr>
          <w:sz w:val="22"/>
          <w:szCs w:val="22"/>
          <w:lang w:val="en-US"/>
        </w:rPr>
        <w:t>evidence</w:t>
      </w:r>
      <w:r>
        <w:rPr>
          <w:sz w:val="22"/>
          <w:szCs w:val="22"/>
          <w:lang w:val="en-US"/>
        </w:rPr>
        <w:t xml:space="preserve"> </w:t>
      </w:r>
      <w:r w:rsidRPr="003C6065">
        <w:rPr>
          <w:sz w:val="22"/>
          <w:szCs w:val="22"/>
          <w:lang w:val="en-US"/>
        </w:rPr>
        <w:t>on</w:t>
      </w:r>
      <w:r>
        <w:rPr>
          <w:sz w:val="22"/>
          <w:szCs w:val="22"/>
          <w:lang w:val="en-US"/>
        </w:rPr>
        <w:t xml:space="preserve"> </w:t>
      </w:r>
      <w:r w:rsidRPr="003C6065">
        <w:rPr>
          <w:sz w:val="22"/>
          <w:szCs w:val="22"/>
          <w:lang w:val="en-US"/>
        </w:rPr>
        <w:t>corporate entrepreneurship from Italian manufacturing SMEs</w:t>
      </w:r>
      <w:r>
        <w:rPr>
          <w:sz w:val="22"/>
          <w:szCs w:val="22"/>
          <w:lang w:val="en-US"/>
        </w:rPr>
        <w:t>.</w:t>
      </w:r>
      <w:r w:rsidRPr="003C6065">
        <w:rPr>
          <w:sz w:val="22"/>
          <w:szCs w:val="22"/>
          <w:lang w:val="en-US"/>
        </w:rPr>
        <w:t xml:space="preserve"> </w:t>
      </w:r>
      <w:r w:rsidRPr="008377FB">
        <w:rPr>
          <w:i/>
          <w:iCs/>
          <w:sz w:val="22"/>
          <w:szCs w:val="22"/>
          <w:lang w:val="en-US"/>
        </w:rPr>
        <w:t xml:space="preserve">Small </w:t>
      </w:r>
      <w:proofErr w:type="spellStart"/>
      <w:r w:rsidRPr="008377FB">
        <w:rPr>
          <w:i/>
          <w:iCs/>
          <w:sz w:val="22"/>
          <w:szCs w:val="22"/>
          <w:lang w:val="en-US"/>
        </w:rPr>
        <w:t>Bsiness</w:t>
      </w:r>
      <w:proofErr w:type="spellEnd"/>
      <w:r w:rsidRPr="008377FB">
        <w:rPr>
          <w:i/>
          <w:iCs/>
          <w:sz w:val="22"/>
          <w:szCs w:val="22"/>
          <w:lang w:val="en-US"/>
        </w:rPr>
        <w:t xml:space="preserve"> Economics</w:t>
      </w:r>
      <w:r>
        <w:rPr>
          <w:sz w:val="22"/>
          <w:szCs w:val="22"/>
          <w:lang w:val="en-US"/>
        </w:rPr>
        <w:t>, 45(2)</w:t>
      </w:r>
      <w:r w:rsidRPr="003C6065">
        <w:rPr>
          <w:sz w:val="22"/>
          <w:szCs w:val="22"/>
          <w:lang w:val="en-US"/>
        </w:rPr>
        <w:t>, 329-350</w:t>
      </w:r>
      <w:r>
        <w:rPr>
          <w:sz w:val="22"/>
          <w:szCs w:val="22"/>
          <w:lang w:val="en-US"/>
        </w:rPr>
        <w:t>.</w:t>
      </w:r>
    </w:p>
    <w:p w14:paraId="4C9405FA" w14:textId="77777777" w:rsidR="00AE7784" w:rsidRDefault="00AE7784" w:rsidP="00E636D3">
      <w:pPr>
        <w:pStyle w:val="MainText"/>
        <w:spacing w:line="360" w:lineRule="auto"/>
        <w:ind w:left="425" w:hanging="425"/>
        <w:rPr>
          <w:sz w:val="22"/>
          <w:szCs w:val="22"/>
          <w:lang w:val="en-US"/>
        </w:rPr>
      </w:pPr>
      <w:r w:rsidRPr="005632BC">
        <w:rPr>
          <w:sz w:val="22"/>
          <w:szCs w:val="22"/>
          <w:lang w:val="en-US"/>
        </w:rPr>
        <w:t>Damodaran, A. (1996)</w:t>
      </w:r>
      <w:r>
        <w:rPr>
          <w:sz w:val="22"/>
          <w:szCs w:val="22"/>
          <w:lang w:val="en-US"/>
        </w:rPr>
        <w:t>.</w:t>
      </w:r>
      <w:r w:rsidRPr="005632BC">
        <w:rPr>
          <w:sz w:val="22"/>
          <w:szCs w:val="22"/>
          <w:lang w:val="en-US"/>
        </w:rPr>
        <w:t xml:space="preserve"> </w:t>
      </w:r>
      <w:r w:rsidRPr="006A445D">
        <w:rPr>
          <w:i/>
          <w:iCs/>
          <w:sz w:val="22"/>
          <w:szCs w:val="22"/>
          <w:lang w:val="en-US"/>
        </w:rPr>
        <w:t>Corporate Finance: Theory and Practice</w:t>
      </w:r>
      <w:r>
        <w:rPr>
          <w:sz w:val="22"/>
          <w:szCs w:val="22"/>
          <w:lang w:val="en-US"/>
        </w:rPr>
        <w:t xml:space="preserve">. </w:t>
      </w:r>
      <w:r w:rsidRPr="005632BC">
        <w:rPr>
          <w:sz w:val="22"/>
          <w:szCs w:val="22"/>
          <w:lang w:val="en-US"/>
        </w:rPr>
        <w:t>Hoboken</w:t>
      </w:r>
      <w:r>
        <w:rPr>
          <w:sz w:val="22"/>
          <w:szCs w:val="22"/>
          <w:lang w:val="en-US"/>
        </w:rPr>
        <w:t xml:space="preserve">: </w:t>
      </w:r>
      <w:r w:rsidRPr="005632BC">
        <w:rPr>
          <w:sz w:val="22"/>
          <w:szCs w:val="22"/>
          <w:lang w:val="en-US"/>
        </w:rPr>
        <w:t>John Wiley &amp; Sons</w:t>
      </w:r>
      <w:r>
        <w:rPr>
          <w:sz w:val="22"/>
          <w:szCs w:val="22"/>
          <w:lang w:val="en-US"/>
        </w:rPr>
        <w:t>.</w:t>
      </w:r>
    </w:p>
    <w:p w14:paraId="65B638FF" w14:textId="77777777" w:rsidR="00AE7784" w:rsidRDefault="00AE7784" w:rsidP="00A12C04">
      <w:pPr>
        <w:pStyle w:val="MainText"/>
        <w:spacing w:line="360" w:lineRule="auto"/>
        <w:ind w:left="425" w:hanging="425"/>
        <w:rPr>
          <w:sz w:val="22"/>
          <w:szCs w:val="22"/>
          <w:lang w:val="en-US"/>
        </w:rPr>
      </w:pPr>
      <w:proofErr w:type="spellStart"/>
      <w:r w:rsidRPr="00061D2E">
        <w:rPr>
          <w:sz w:val="22"/>
          <w:szCs w:val="22"/>
          <w:lang w:val="en-US"/>
        </w:rPr>
        <w:t>Daske</w:t>
      </w:r>
      <w:proofErr w:type="spellEnd"/>
      <w:r w:rsidRPr="00061D2E">
        <w:rPr>
          <w:sz w:val="22"/>
          <w:szCs w:val="22"/>
          <w:lang w:val="en-US"/>
        </w:rPr>
        <w:t xml:space="preserve">, H., Hail, L., </w:t>
      </w:r>
      <w:proofErr w:type="spellStart"/>
      <w:r w:rsidRPr="00061D2E">
        <w:rPr>
          <w:sz w:val="22"/>
          <w:szCs w:val="22"/>
          <w:lang w:val="en-US"/>
        </w:rPr>
        <w:t>Leuz</w:t>
      </w:r>
      <w:proofErr w:type="spellEnd"/>
      <w:r w:rsidRPr="00061D2E">
        <w:rPr>
          <w:sz w:val="22"/>
          <w:szCs w:val="22"/>
          <w:lang w:val="en-US"/>
        </w:rPr>
        <w:t>, C. &amp; Verdi, R.  (200</w:t>
      </w:r>
      <w:r>
        <w:rPr>
          <w:sz w:val="22"/>
          <w:szCs w:val="22"/>
          <w:lang w:val="en-US"/>
        </w:rPr>
        <w:t>8</w:t>
      </w:r>
      <w:r w:rsidRPr="00061D2E">
        <w:rPr>
          <w:sz w:val="22"/>
          <w:szCs w:val="22"/>
          <w:lang w:val="en-US"/>
        </w:rPr>
        <w:t>), Mandatory IFRS Reporting Around the World: Early</w:t>
      </w:r>
      <w:r>
        <w:rPr>
          <w:sz w:val="22"/>
          <w:szCs w:val="22"/>
          <w:lang w:val="en-US"/>
        </w:rPr>
        <w:t xml:space="preserve"> </w:t>
      </w:r>
      <w:proofErr w:type="spellStart"/>
      <w:r w:rsidRPr="00061D2E">
        <w:rPr>
          <w:sz w:val="22"/>
          <w:szCs w:val="22"/>
          <w:lang w:val="en-US"/>
        </w:rPr>
        <w:t>Evidenceon</w:t>
      </w:r>
      <w:proofErr w:type="spellEnd"/>
      <w:r w:rsidRPr="00061D2E">
        <w:rPr>
          <w:sz w:val="22"/>
          <w:szCs w:val="22"/>
          <w:lang w:val="en-US"/>
        </w:rPr>
        <w:t xml:space="preserve"> the Economic Consequences, </w:t>
      </w:r>
      <w:r w:rsidRPr="00061D2E">
        <w:rPr>
          <w:i/>
          <w:iCs/>
          <w:sz w:val="22"/>
          <w:szCs w:val="22"/>
          <w:lang w:val="en-US"/>
        </w:rPr>
        <w:t>Journal of Accounting Research</w:t>
      </w:r>
      <w:r w:rsidRPr="00061D2E">
        <w:rPr>
          <w:sz w:val="22"/>
          <w:szCs w:val="22"/>
          <w:lang w:val="en-US"/>
        </w:rPr>
        <w:t xml:space="preserve">, </w:t>
      </w:r>
      <w:r>
        <w:rPr>
          <w:sz w:val="22"/>
          <w:szCs w:val="22"/>
          <w:lang w:val="en-US"/>
        </w:rPr>
        <w:t>46(5), 1085</w:t>
      </w:r>
      <w:r w:rsidRPr="00061D2E">
        <w:rPr>
          <w:sz w:val="22"/>
          <w:szCs w:val="22"/>
          <w:lang w:val="en-US"/>
        </w:rPr>
        <w:t>-</w:t>
      </w:r>
      <w:r>
        <w:rPr>
          <w:sz w:val="22"/>
          <w:szCs w:val="22"/>
          <w:lang w:val="en-US"/>
        </w:rPr>
        <w:t>1142.</w:t>
      </w:r>
    </w:p>
    <w:p w14:paraId="1AB589D2" w14:textId="77777777" w:rsidR="00AE7784" w:rsidRDefault="00AE7784" w:rsidP="00E636D3">
      <w:pPr>
        <w:pStyle w:val="MainText"/>
        <w:spacing w:line="360" w:lineRule="auto"/>
        <w:ind w:left="425" w:hanging="425"/>
        <w:rPr>
          <w:sz w:val="22"/>
          <w:szCs w:val="22"/>
          <w:lang w:val="en-US"/>
        </w:rPr>
      </w:pPr>
      <w:proofErr w:type="spellStart"/>
      <w:r w:rsidRPr="006A445D">
        <w:rPr>
          <w:sz w:val="22"/>
          <w:szCs w:val="22"/>
          <w:lang w:val="en-US"/>
        </w:rPr>
        <w:t>Degryse</w:t>
      </w:r>
      <w:proofErr w:type="spellEnd"/>
      <w:r w:rsidRPr="006A445D">
        <w:rPr>
          <w:sz w:val="22"/>
          <w:szCs w:val="22"/>
          <w:lang w:val="en-US"/>
        </w:rPr>
        <w:t xml:space="preserve">, H., </w:t>
      </w:r>
      <w:proofErr w:type="spellStart"/>
      <w:r w:rsidRPr="006A445D">
        <w:rPr>
          <w:sz w:val="22"/>
          <w:szCs w:val="22"/>
          <w:lang w:val="en-US"/>
        </w:rPr>
        <w:t>Goeij</w:t>
      </w:r>
      <w:proofErr w:type="spellEnd"/>
      <w:r w:rsidRPr="006A445D">
        <w:rPr>
          <w:sz w:val="22"/>
          <w:szCs w:val="22"/>
          <w:lang w:val="en-US"/>
        </w:rPr>
        <w:t xml:space="preserve">, P. </w:t>
      </w:r>
      <w:r>
        <w:rPr>
          <w:sz w:val="22"/>
          <w:szCs w:val="22"/>
          <w:lang w:val="en-US"/>
        </w:rPr>
        <w:t>&amp;</w:t>
      </w:r>
      <w:r w:rsidRPr="006A445D">
        <w:rPr>
          <w:sz w:val="22"/>
          <w:szCs w:val="22"/>
          <w:lang w:val="en-US"/>
        </w:rPr>
        <w:t xml:space="preserve"> </w:t>
      </w:r>
      <w:proofErr w:type="spellStart"/>
      <w:r w:rsidRPr="006A445D">
        <w:rPr>
          <w:sz w:val="22"/>
          <w:szCs w:val="22"/>
          <w:lang w:val="en-US"/>
        </w:rPr>
        <w:t>Kappert</w:t>
      </w:r>
      <w:proofErr w:type="spellEnd"/>
      <w:r w:rsidRPr="006A445D">
        <w:rPr>
          <w:sz w:val="22"/>
          <w:szCs w:val="22"/>
          <w:lang w:val="en-US"/>
        </w:rPr>
        <w:t>, P. (2010)</w:t>
      </w:r>
      <w:r>
        <w:rPr>
          <w:sz w:val="22"/>
          <w:szCs w:val="22"/>
          <w:lang w:val="en-US"/>
        </w:rPr>
        <w:t xml:space="preserve">. </w:t>
      </w:r>
      <w:r w:rsidRPr="006A445D">
        <w:rPr>
          <w:sz w:val="22"/>
          <w:szCs w:val="22"/>
          <w:lang w:val="en-US"/>
        </w:rPr>
        <w:t>The impact of firm and industry characteristics on small</w:t>
      </w:r>
      <w:r>
        <w:rPr>
          <w:sz w:val="22"/>
          <w:szCs w:val="22"/>
          <w:lang w:val="en-US"/>
        </w:rPr>
        <w:t xml:space="preserve"> </w:t>
      </w:r>
      <w:r w:rsidRPr="006A445D">
        <w:rPr>
          <w:sz w:val="22"/>
          <w:szCs w:val="22"/>
          <w:lang w:val="en-US"/>
        </w:rPr>
        <w:t>firms</w:t>
      </w:r>
      <w:r>
        <w:rPr>
          <w:sz w:val="22"/>
          <w:szCs w:val="22"/>
          <w:lang w:val="en-US"/>
        </w:rPr>
        <w:t xml:space="preserve"> </w:t>
      </w:r>
      <w:r w:rsidRPr="006A445D">
        <w:rPr>
          <w:sz w:val="22"/>
          <w:szCs w:val="22"/>
          <w:lang w:val="en-US"/>
        </w:rPr>
        <w:t>capital structure</w:t>
      </w:r>
      <w:r>
        <w:rPr>
          <w:sz w:val="22"/>
          <w:szCs w:val="22"/>
          <w:lang w:val="en-US"/>
        </w:rPr>
        <w:t xml:space="preserve">. </w:t>
      </w:r>
      <w:r w:rsidRPr="006A445D">
        <w:rPr>
          <w:i/>
          <w:iCs/>
          <w:sz w:val="22"/>
          <w:szCs w:val="22"/>
          <w:lang w:val="en-US"/>
        </w:rPr>
        <w:t>Small Business Economics</w:t>
      </w:r>
      <w:r w:rsidRPr="006A445D">
        <w:rPr>
          <w:sz w:val="22"/>
          <w:szCs w:val="22"/>
          <w:lang w:val="en-US"/>
        </w:rPr>
        <w:t xml:space="preserve">, </w:t>
      </w:r>
      <w:r>
        <w:rPr>
          <w:sz w:val="22"/>
          <w:szCs w:val="22"/>
          <w:lang w:val="en-US"/>
        </w:rPr>
        <w:t>38(4),</w:t>
      </w:r>
      <w:r w:rsidRPr="006A445D">
        <w:rPr>
          <w:sz w:val="22"/>
          <w:szCs w:val="22"/>
          <w:lang w:val="en-US"/>
        </w:rPr>
        <w:t xml:space="preserve"> 431</w:t>
      </w:r>
      <w:r>
        <w:rPr>
          <w:sz w:val="22"/>
          <w:szCs w:val="22"/>
          <w:lang w:val="en-US"/>
        </w:rPr>
        <w:t>-</w:t>
      </w:r>
      <w:r w:rsidRPr="006A445D">
        <w:rPr>
          <w:sz w:val="22"/>
          <w:szCs w:val="22"/>
          <w:lang w:val="en-US"/>
        </w:rPr>
        <w:t>447.</w:t>
      </w:r>
    </w:p>
    <w:p w14:paraId="41750871" w14:textId="77777777" w:rsidR="00AE7784" w:rsidRDefault="00AE7784" w:rsidP="0067181C">
      <w:pPr>
        <w:pStyle w:val="MainText"/>
        <w:spacing w:line="360" w:lineRule="auto"/>
        <w:ind w:left="425" w:hanging="425"/>
        <w:rPr>
          <w:sz w:val="22"/>
          <w:szCs w:val="22"/>
          <w:lang w:val="en-US"/>
        </w:rPr>
      </w:pPr>
      <w:r w:rsidRPr="00E47032">
        <w:rPr>
          <w:sz w:val="22"/>
          <w:szCs w:val="22"/>
          <w:lang w:val="en-US"/>
        </w:rPr>
        <w:t>Diamond, D.</w:t>
      </w:r>
      <w:r>
        <w:rPr>
          <w:sz w:val="22"/>
          <w:szCs w:val="22"/>
          <w:lang w:val="en-US"/>
        </w:rPr>
        <w:t>W.</w:t>
      </w:r>
      <w:r w:rsidRPr="00E47032">
        <w:rPr>
          <w:sz w:val="22"/>
          <w:szCs w:val="22"/>
          <w:lang w:val="en-US"/>
        </w:rPr>
        <w:t xml:space="preserve"> (1991)</w:t>
      </w:r>
      <w:r>
        <w:rPr>
          <w:sz w:val="22"/>
          <w:szCs w:val="22"/>
          <w:lang w:val="en-US"/>
        </w:rPr>
        <w:t>.</w:t>
      </w:r>
      <w:r w:rsidRPr="00E47032">
        <w:rPr>
          <w:sz w:val="22"/>
          <w:szCs w:val="22"/>
          <w:lang w:val="en-US"/>
        </w:rPr>
        <w:t xml:space="preserve"> Debt Maturity Structure and Liquidity Risk</w:t>
      </w:r>
      <w:r>
        <w:rPr>
          <w:sz w:val="22"/>
          <w:szCs w:val="22"/>
          <w:lang w:val="en-US"/>
        </w:rPr>
        <w:t xml:space="preserve">. </w:t>
      </w:r>
      <w:r w:rsidRPr="00E47032">
        <w:rPr>
          <w:i/>
          <w:iCs/>
          <w:sz w:val="22"/>
          <w:szCs w:val="22"/>
          <w:lang w:val="en-US"/>
        </w:rPr>
        <w:t>The Quarterly Journal of Economics</w:t>
      </w:r>
      <w:r w:rsidRPr="00E47032">
        <w:rPr>
          <w:sz w:val="22"/>
          <w:szCs w:val="22"/>
          <w:lang w:val="en-US"/>
        </w:rPr>
        <w:t>, 106</w:t>
      </w:r>
      <w:r>
        <w:rPr>
          <w:sz w:val="22"/>
          <w:szCs w:val="22"/>
          <w:lang w:val="en-US"/>
        </w:rPr>
        <w:t>(3)</w:t>
      </w:r>
      <w:r w:rsidRPr="00E47032">
        <w:rPr>
          <w:sz w:val="22"/>
          <w:szCs w:val="22"/>
          <w:lang w:val="en-US"/>
        </w:rPr>
        <w:t>, 709-737.</w:t>
      </w:r>
    </w:p>
    <w:p w14:paraId="41D1B802" w14:textId="77777777" w:rsidR="00AE7784" w:rsidRDefault="00AE7784" w:rsidP="00F42FD8">
      <w:pPr>
        <w:pStyle w:val="MainText"/>
        <w:spacing w:line="360" w:lineRule="auto"/>
        <w:ind w:left="425" w:hanging="425"/>
        <w:rPr>
          <w:sz w:val="22"/>
          <w:szCs w:val="22"/>
          <w:lang w:val="en-US"/>
        </w:rPr>
      </w:pPr>
      <w:r w:rsidRPr="00F42FD8">
        <w:rPr>
          <w:sz w:val="22"/>
          <w:szCs w:val="22"/>
          <w:lang w:val="en-US"/>
        </w:rPr>
        <w:t>Farmer, R.E.A.</w:t>
      </w:r>
      <w:r>
        <w:rPr>
          <w:sz w:val="22"/>
          <w:szCs w:val="22"/>
          <w:lang w:val="en-US"/>
        </w:rPr>
        <w:t xml:space="preserve"> (</w:t>
      </w:r>
      <w:r w:rsidRPr="00F42FD8">
        <w:rPr>
          <w:sz w:val="22"/>
          <w:szCs w:val="22"/>
          <w:lang w:val="en-US"/>
        </w:rPr>
        <w:t>1985</w:t>
      </w:r>
      <w:r>
        <w:rPr>
          <w:sz w:val="22"/>
          <w:szCs w:val="22"/>
          <w:lang w:val="en-US"/>
        </w:rPr>
        <w:t>)</w:t>
      </w:r>
      <w:r w:rsidRPr="00F42FD8">
        <w:rPr>
          <w:sz w:val="22"/>
          <w:szCs w:val="22"/>
          <w:lang w:val="en-US"/>
        </w:rPr>
        <w:t>. Implicit Contracts with Asymmetric Information and Bankruptcy: The</w:t>
      </w:r>
      <w:r>
        <w:rPr>
          <w:sz w:val="22"/>
          <w:szCs w:val="22"/>
          <w:lang w:val="en-US"/>
        </w:rPr>
        <w:t xml:space="preserve"> </w:t>
      </w:r>
      <w:r w:rsidRPr="00F42FD8">
        <w:rPr>
          <w:sz w:val="22"/>
          <w:szCs w:val="22"/>
          <w:lang w:val="en-US"/>
        </w:rPr>
        <w:t>Effect of</w:t>
      </w:r>
      <w:r>
        <w:rPr>
          <w:sz w:val="22"/>
          <w:szCs w:val="22"/>
          <w:lang w:val="en-US"/>
        </w:rPr>
        <w:t xml:space="preserve"> </w:t>
      </w:r>
      <w:r w:rsidRPr="00F42FD8">
        <w:rPr>
          <w:sz w:val="22"/>
          <w:szCs w:val="22"/>
          <w:lang w:val="en-US"/>
        </w:rPr>
        <w:t>Interest Rates on Layoffs”</w:t>
      </w:r>
      <w:r>
        <w:rPr>
          <w:sz w:val="22"/>
          <w:szCs w:val="22"/>
          <w:lang w:val="en-US"/>
        </w:rPr>
        <w:t>.</w:t>
      </w:r>
      <w:r w:rsidRPr="00F42FD8">
        <w:rPr>
          <w:sz w:val="22"/>
          <w:szCs w:val="22"/>
          <w:lang w:val="en-US"/>
        </w:rPr>
        <w:t xml:space="preserve"> </w:t>
      </w:r>
      <w:r w:rsidRPr="00D57B08">
        <w:rPr>
          <w:i/>
          <w:iCs/>
          <w:sz w:val="22"/>
          <w:szCs w:val="22"/>
          <w:lang w:val="en-US"/>
        </w:rPr>
        <w:t>The Review of Economic Studies</w:t>
      </w:r>
      <w:r>
        <w:rPr>
          <w:sz w:val="22"/>
          <w:szCs w:val="22"/>
          <w:lang w:val="en-US"/>
        </w:rPr>
        <w:t>, 52(3)</w:t>
      </w:r>
      <w:r w:rsidRPr="00F42FD8">
        <w:rPr>
          <w:sz w:val="22"/>
          <w:szCs w:val="22"/>
          <w:lang w:val="en-US"/>
        </w:rPr>
        <w:t>,</w:t>
      </w:r>
      <w:r>
        <w:rPr>
          <w:sz w:val="22"/>
          <w:szCs w:val="22"/>
          <w:lang w:val="en-US"/>
        </w:rPr>
        <w:t xml:space="preserve"> </w:t>
      </w:r>
      <w:r w:rsidRPr="00F42FD8">
        <w:rPr>
          <w:sz w:val="22"/>
          <w:szCs w:val="22"/>
          <w:lang w:val="en-US"/>
        </w:rPr>
        <w:t>427-442.</w:t>
      </w:r>
    </w:p>
    <w:p w14:paraId="258D0037" w14:textId="77777777" w:rsidR="00AE7784" w:rsidRDefault="00AE7784" w:rsidP="00733CAC">
      <w:pPr>
        <w:pStyle w:val="MainText"/>
        <w:spacing w:line="360" w:lineRule="auto"/>
        <w:ind w:left="425" w:hanging="425"/>
        <w:rPr>
          <w:sz w:val="22"/>
          <w:szCs w:val="22"/>
          <w:lang w:val="en-US"/>
        </w:rPr>
      </w:pPr>
      <w:r w:rsidRPr="00733CAC">
        <w:rPr>
          <w:sz w:val="22"/>
          <w:szCs w:val="22"/>
          <w:lang w:val="en-US"/>
        </w:rPr>
        <w:t>Francis, J.R.</w:t>
      </w:r>
      <w:r>
        <w:rPr>
          <w:sz w:val="22"/>
          <w:szCs w:val="22"/>
          <w:lang w:val="en-US"/>
        </w:rPr>
        <w:t xml:space="preserve"> (2004)</w:t>
      </w:r>
      <w:r w:rsidRPr="00733CAC">
        <w:rPr>
          <w:sz w:val="22"/>
          <w:szCs w:val="22"/>
          <w:lang w:val="en-US"/>
        </w:rPr>
        <w:t xml:space="preserve">. What do we know about audit quality? </w:t>
      </w:r>
      <w:r w:rsidRPr="00586F90">
        <w:rPr>
          <w:i/>
          <w:iCs/>
          <w:sz w:val="22"/>
          <w:szCs w:val="22"/>
          <w:lang w:val="en-US"/>
        </w:rPr>
        <w:t>The British Accounting Review</w:t>
      </w:r>
      <w:r>
        <w:rPr>
          <w:sz w:val="22"/>
          <w:szCs w:val="22"/>
          <w:lang w:val="en-US"/>
        </w:rPr>
        <w:t>,</w:t>
      </w:r>
      <w:r w:rsidRPr="00733CAC">
        <w:rPr>
          <w:sz w:val="22"/>
          <w:szCs w:val="22"/>
          <w:lang w:val="en-US"/>
        </w:rPr>
        <w:t xml:space="preserve"> 36</w:t>
      </w:r>
      <w:r>
        <w:rPr>
          <w:sz w:val="22"/>
          <w:szCs w:val="22"/>
          <w:lang w:val="en-US"/>
        </w:rPr>
        <w:t>(4),</w:t>
      </w:r>
      <w:r w:rsidRPr="00733CAC">
        <w:rPr>
          <w:sz w:val="22"/>
          <w:szCs w:val="22"/>
          <w:lang w:val="en-US"/>
        </w:rPr>
        <w:t xml:space="preserve"> 345</w:t>
      </w:r>
      <w:r>
        <w:rPr>
          <w:sz w:val="22"/>
          <w:szCs w:val="22"/>
          <w:lang w:val="en-US"/>
        </w:rPr>
        <w:t>-</w:t>
      </w:r>
      <w:r w:rsidRPr="00733CAC">
        <w:rPr>
          <w:sz w:val="22"/>
          <w:szCs w:val="22"/>
          <w:lang w:val="en-US"/>
        </w:rPr>
        <w:t>368.</w:t>
      </w:r>
    </w:p>
    <w:p w14:paraId="2D4E0F81" w14:textId="77777777" w:rsidR="00AE7784" w:rsidRDefault="00AE7784" w:rsidP="00E636D3">
      <w:pPr>
        <w:pStyle w:val="MainText"/>
        <w:spacing w:line="360" w:lineRule="auto"/>
        <w:ind w:left="425" w:hanging="425"/>
        <w:rPr>
          <w:sz w:val="22"/>
          <w:szCs w:val="22"/>
          <w:lang w:val="en-US"/>
        </w:rPr>
      </w:pPr>
      <w:r w:rsidRPr="00013C3C">
        <w:rPr>
          <w:sz w:val="22"/>
          <w:szCs w:val="22"/>
          <w:lang w:val="en-US"/>
        </w:rPr>
        <w:t>Han, J</w:t>
      </w:r>
      <w:r>
        <w:rPr>
          <w:sz w:val="22"/>
          <w:szCs w:val="22"/>
          <w:lang w:val="en-US"/>
        </w:rPr>
        <w:t xml:space="preserve">., </w:t>
      </w:r>
      <w:r w:rsidRPr="00013C3C">
        <w:rPr>
          <w:sz w:val="22"/>
          <w:szCs w:val="22"/>
          <w:lang w:val="en-US"/>
        </w:rPr>
        <w:t xml:space="preserve">Jamal, </w:t>
      </w:r>
      <w:r>
        <w:rPr>
          <w:sz w:val="22"/>
          <w:szCs w:val="22"/>
          <w:lang w:val="en-US"/>
        </w:rPr>
        <w:t>K.</w:t>
      </w:r>
      <w:r w:rsidRPr="00013C3C">
        <w:rPr>
          <w:sz w:val="22"/>
          <w:szCs w:val="22"/>
          <w:lang w:val="en-US"/>
        </w:rPr>
        <w:t xml:space="preserve"> </w:t>
      </w:r>
      <w:r>
        <w:rPr>
          <w:sz w:val="22"/>
          <w:szCs w:val="22"/>
          <w:lang w:val="en-US"/>
        </w:rPr>
        <w:t xml:space="preserve">&amp; </w:t>
      </w:r>
      <w:r w:rsidRPr="00013C3C">
        <w:rPr>
          <w:sz w:val="22"/>
          <w:szCs w:val="22"/>
          <w:lang w:val="en-US"/>
        </w:rPr>
        <w:t>Tan, Hun-Tong</w:t>
      </w:r>
      <w:r>
        <w:rPr>
          <w:sz w:val="22"/>
          <w:szCs w:val="22"/>
          <w:lang w:val="en-US"/>
        </w:rPr>
        <w:t xml:space="preserve"> (2011). </w:t>
      </w:r>
      <w:r w:rsidRPr="00013C3C">
        <w:rPr>
          <w:sz w:val="22"/>
          <w:szCs w:val="22"/>
          <w:lang w:val="en-US"/>
        </w:rPr>
        <w:t xml:space="preserve">Are Auditors Overconfident in Predicting the Knowledge of Other Auditors? </w:t>
      </w:r>
      <w:r w:rsidRPr="00013C3C">
        <w:rPr>
          <w:i/>
          <w:iCs/>
          <w:sz w:val="22"/>
          <w:szCs w:val="22"/>
          <w:lang w:val="en-US"/>
        </w:rPr>
        <w:t>Auditing: A Journal of Practice &amp; Theory</w:t>
      </w:r>
      <w:r w:rsidRPr="00013C3C">
        <w:rPr>
          <w:sz w:val="22"/>
          <w:szCs w:val="22"/>
          <w:lang w:val="en-US"/>
        </w:rPr>
        <w:t xml:space="preserve">, </w:t>
      </w:r>
      <w:r>
        <w:rPr>
          <w:sz w:val="22"/>
          <w:szCs w:val="22"/>
          <w:lang w:val="en-US"/>
        </w:rPr>
        <w:t>30(1).</w:t>
      </w:r>
    </w:p>
    <w:p w14:paraId="26B59351" w14:textId="77777777" w:rsidR="00AE7784" w:rsidRDefault="00AE7784" w:rsidP="00314E76">
      <w:pPr>
        <w:pStyle w:val="MainText"/>
        <w:spacing w:line="360" w:lineRule="auto"/>
        <w:ind w:left="425" w:hanging="425"/>
        <w:rPr>
          <w:sz w:val="22"/>
          <w:szCs w:val="22"/>
          <w:lang w:val="en-US"/>
        </w:rPr>
      </w:pPr>
      <w:r w:rsidRPr="008D163C">
        <w:rPr>
          <w:sz w:val="22"/>
          <w:szCs w:val="22"/>
          <w:lang w:val="en-US"/>
        </w:rPr>
        <w:t xml:space="preserve">Healy, P.M. &amp; Palepu, K.G. (2001). Information asymmetry, corporate disclosure, and the capital markets: A review of the empirical disclosure literature. </w:t>
      </w:r>
      <w:r w:rsidRPr="00792BFA">
        <w:rPr>
          <w:i/>
          <w:iCs/>
          <w:sz w:val="22"/>
          <w:szCs w:val="22"/>
          <w:lang w:val="en-US"/>
        </w:rPr>
        <w:t>Journal of Accounting and Economics</w:t>
      </w:r>
      <w:r w:rsidRPr="008D163C">
        <w:rPr>
          <w:sz w:val="22"/>
          <w:szCs w:val="22"/>
          <w:lang w:val="en-US"/>
        </w:rPr>
        <w:t>, 31(1-3), 405-440.</w:t>
      </w:r>
    </w:p>
    <w:p w14:paraId="1EE160E5" w14:textId="77777777" w:rsidR="00AE7784" w:rsidRDefault="00AE7784" w:rsidP="000947A2">
      <w:pPr>
        <w:pStyle w:val="MainText"/>
        <w:spacing w:line="360" w:lineRule="auto"/>
        <w:ind w:left="425" w:hanging="425"/>
        <w:rPr>
          <w:sz w:val="22"/>
          <w:szCs w:val="22"/>
          <w:lang w:val="en-US"/>
        </w:rPr>
      </w:pPr>
      <w:proofErr w:type="spellStart"/>
      <w:r w:rsidRPr="000947A2">
        <w:rPr>
          <w:sz w:val="22"/>
          <w:szCs w:val="22"/>
          <w:lang w:val="en-US"/>
        </w:rPr>
        <w:lastRenderedPageBreak/>
        <w:t>Hirdinis</w:t>
      </w:r>
      <w:proofErr w:type="spellEnd"/>
      <w:r>
        <w:rPr>
          <w:sz w:val="22"/>
          <w:szCs w:val="22"/>
          <w:lang w:val="en-US"/>
        </w:rPr>
        <w:t xml:space="preserve">, </w:t>
      </w:r>
      <w:r w:rsidRPr="000947A2">
        <w:rPr>
          <w:sz w:val="22"/>
          <w:szCs w:val="22"/>
          <w:lang w:val="en-US"/>
        </w:rPr>
        <w:t>M</w:t>
      </w:r>
      <w:r>
        <w:rPr>
          <w:sz w:val="22"/>
          <w:szCs w:val="22"/>
          <w:lang w:val="en-US"/>
        </w:rPr>
        <w:t xml:space="preserve">. (2019). </w:t>
      </w:r>
      <w:r w:rsidRPr="000947A2">
        <w:rPr>
          <w:sz w:val="22"/>
          <w:szCs w:val="22"/>
          <w:lang w:val="en-US"/>
        </w:rPr>
        <w:t>Capital Structure and Firm Size on Firm Value Moderated by</w:t>
      </w:r>
      <w:r>
        <w:rPr>
          <w:sz w:val="22"/>
          <w:szCs w:val="22"/>
          <w:lang w:val="en-US"/>
        </w:rPr>
        <w:t xml:space="preserve"> </w:t>
      </w:r>
      <w:r w:rsidRPr="000947A2">
        <w:rPr>
          <w:sz w:val="22"/>
          <w:szCs w:val="22"/>
          <w:lang w:val="en-US"/>
        </w:rPr>
        <w:t>Profitability</w:t>
      </w:r>
      <w:r>
        <w:rPr>
          <w:sz w:val="22"/>
          <w:szCs w:val="22"/>
          <w:lang w:val="en-US"/>
        </w:rPr>
        <w:t xml:space="preserve">. </w:t>
      </w:r>
      <w:r w:rsidRPr="000947A2">
        <w:rPr>
          <w:i/>
          <w:iCs/>
          <w:sz w:val="22"/>
          <w:szCs w:val="22"/>
          <w:lang w:val="en-US"/>
        </w:rPr>
        <w:t>International Journal of Economics and Business Administration</w:t>
      </w:r>
      <w:r>
        <w:rPr>
          <w:sz w:val="22"/>
          <w:szCs w:val="22"/>
          <w:lang w:val="en-US"/>
        </w:rPr>
        <w:t>, 7(1), 174-191.</w:t>
      </w:r>
    </w:p>
    <w:p w14:paraId="474EFC32" w14:textId="77777777" w:rsidR="00AE7784" w:rsidRDefault="00AE7784" w:rsidP="00314E76">
      <w:pPr>
        <w:pStyle w:val="MainText"/>
        <w:spacing w:line="360" w:lineRule="auto"/>
        <w:ind w:left="425" w:hanging="425"/>
        <w:rPr>
          <w:sz w:val="22"/>
          <w:szCs w:val="22"/>
          <w:lang w:val="en-US"/>
        </w:rPr>
      </w:pPr>
      <w:r w:rsidRPr="00646D3C">
        <w:rPr>
          <w:sz w:val="22"/>
          <w:szCs w:val="22"/>
          <w:lang w:val="en-US"/>
        </w:rPr>
        <w:t>Hong, S.</w:t>
      </w:r>
      <w:r>
        <w:rPr>
          <w:sz w:val="22"/>
          <w:szCs w:val="22"/>
          <w:lang w:val="en-US"/>
        </w:rPr>
        <w:t xml:space="preserve"> &amp; </w:t>
      </w:r>
      <w:r w:rsidRPr="00646D3C">
        <w:rPr>
          <w:sz w:val="22"/>
          <w:szCs w:val="22"/>
          <w:lang w:val="en-US"/>
        </w:rPr>
        <w:t>Gu</w:t>
      </w:r>
      <w:r>
        <w:rPr>
          <w:sz w:val="22"/>
          <w:szCs w:val="22"/>
          <w:lang w:val="en-US"/>
        </w:rPr>
        <w:t>,</w:t>
      </w:r>
      <w:r w:rsidRPr="00646D3C">
        <w:rPr>
          <w:sz w:val="22"/>
          <w:szCs w:val="22"/>
          <w:lang w:val="en-US"/>
        </w:rPr>
        <w:t xml:space="preserve"> X</w:t>
      </w:r>
      <w:r>
        <w:rPr>
          <w:sz w:val="22"/>
          <w:szCs w:val="22"/>
          <w:lang w:val="en-US"/>
        </w:rPr>
        <w:t xml:space="preserve">. </w:t>
      </w:r>
      <w:r w:rsidRPr="00646D3C">
        <w:rPr>
          <w:sz w:val="22"/>
          <w:szCs w:val="22"/>
          <w:lang w:val="en-US"/>
        </w:rPr>
        <w:t>(2014). Establishment of China SME financing Model-based on analysis</w:t>
      </w:r>
      <w:r>
        <w:rPr>
          <w:sz w:val="22"/>
          <w:szCs w:val="22"/>
          <w:lang w:val="en-US"/>
        </w:rPr>
        <w:t xml:space="preserve"> </w:t>
      </w:r>
      <w:r w:rsidRPr="00646D3C">
        <w:rPr>
          <w:sz w:val="22"/>
          <w:szCs w:val="22"/>
          <w:lang w:val="en-US"/>
        </w:rPr>
        <w:t xml:space="preserve">of information asymmetry angle. </w:t>
      </w:r>
      <w:r w:rsidRPr="00646D3C">
        <w:rPr>
          <w:i/>
          <w:iCs/>
          <w:sz w:val="22"/>
          <w:szCs w:val="22"/>
          <w:lang w:val="en-US"/>
        </w:rPr>
        <w:t>Bio Technology an Indian Journal</w:t>
      </w:r>
      <w:r>
        <w:rPr>
          <w:sz w:val="22"/>
          <w:szCs w:val="22"/>
          <w:lang w:val="en-US"/>
        </w:rPr>
        <w:t xml:space="preserve">, </w:t>
      </w:r>
      <w:r w:rsidRPr="00646D3C">
        <w:rPr>
          <w:sz w:val="22"/>
          <w:szCs w:val="22"/>
          <w:lang w:val="en-US"/>
        </w:rPr>
        <w:t>10(22)</w:t>
      </w:r>
      <w:r>
        <w:rPr>
          <w:sz w:val="22"/>
          <w:szCs w:val="22"/>
          <w:lang w:val="en-US"/>
        </w:rPr>
        <w:t xml:space="preserve">, </w:t>
      </w:r>
      <w:r w:rsidRPr="00646D3C">
        <w:rPr>
          <w:sz w:val="22"/>
          <w:szCs w:val="22"/>
          <w:lang w:val="en-US"/>
        </w:rPr>
        <w:t>13943-13948</w:t>
      </w:r>
      <w:r>
        <w:rPr>
          <w:sz w:val="22"/>
          <w:szCs w:val="22"/>
          <w:lang w:val="en-US"/>
        </w:rPr>
        <w:t>.</w:t>
      </w:r>
    </w:p>
    <w:p w14:paraId="3C2DDD2F" w14:textId="77777777" w:rsidR="00AE7784" w:rsidRDefault="00AE7784" w:rsidP="00733CAC">
      <w:pPr>
        <w:pStyle w:val="MainText"/>
        <w:spacing w:line="360" w:lineRule="auto"/>
        <w:ind w:left="425" w:hanging="425"/>
        <w:rPr>
          <w:sz w:val="22"/>
          <w:szCs w:val="22"/>
          <w:lang w:val="en-US"/>
        </w:rPr>
      </w:pPr>
      <w:r w:rsidRPr="00733CAC">
        <w:rPr>
          <w:sz w:val="22"/>
          <w:szCs w:val="22"/>
          <w:lang w:val="en-US"/>
        </w:rPr>
        <w:t>Hope,</w:t>
      </w:r>
      <w:r>
        <w:rPr>
          <w:sz w:val="22"/>
          <w:szCs w:val="22"/>
          <w:lang w:val="en-US"/>
        </w:rPr>
        <w:t xml:space="preserve"> </w:t>
      </w:r>
      <w:r w:rsidRPr="00733CAC">
        <w:rPr>
          <w:sz w:val="22"/>
          <w:szCs w:val="22"/>
          <w:lang w:val="en-US"/>
        </w:rPr>
        <w:t>O.</w:t>
      </w:r>
      <w:r>
        <w:rPr>
          <w:sz w:val="22"/>
          <w:szCs w:val="22"/>
          <w:lang w:val="en-US"/>
        </w:rPr>
        <w:t xml:space="preserve"> &amp; </w:t>
      </w:r>
      <w:proofErr w:type="spellStart"/>
      <w:r w:rsidRPr="00733CAC">
        <w:rPr>
          <w:sz w:val="22"/>
          <w:szCs w:val="22"/>
          <w:lang w:val="en-US"/>
        </w:rPr>
        <w:t>Langli</w:t>
      </w:r>
      <w:proofErr w:type="spellEnd"/>
      <w:r>
        <w:rPr>
          <w:sz w:val="22"/>
          <w:szCs w:val="22"/>
          <w:lang w:val="en-US"/>
        </w:rPr>
        <w:t xml:space="preserve"> </w:t>
      </w:r>
      <w:r w:rsidRPr="00733CAC">
        <w:rPr>
          <w:sz w:val="22"/>
          <w:szCs w:val="22"/>
          <w:lang w:val="en-US"/>
        </w:rPr>
        <w:t>J.C.</w:t>
      </w:r>
      <w:r>
        <w:rPr>
          <w:sz w:val="22"/>
          <w:szCs w:val="22"/>
          <w:lang w:val="en-US"/>
        </w:rPr>
        <w:t xml:space="preserve"> (</w:t>
      </w:r>
      <w:r w:rsidRPr="00733CAC">
        <w:rPr>
          <w:sz w:val="22"/>
          <w:szCs w:val="22"/>
          <w:lang w:val="en-US"/>
        </w:rPr>
        <w:t>2010</w:t>
      </w:r>
      <w:r>
        <w:rPr>
          <w:sz w:val="22"/>
          <w:szCs w:val="22"/>
          <w:lang w:val="en-US"/>
        </w:rPr>
        <w:t>)</w:t>
      </w:r>
      <w:r w:rsidRPr="00733CAC">
        <w:rPr>
          <w:sz w:val="22"/>
          <w:szCs w:val="22"/>
          <w:lang w:val="en-US"/>
        </w:rPr>
        <w:t>. Auditor independence in a private firm and low litigation risk setting.</w:t>
      </w:r>
      <w:r>
        <w:rPr>
          <w:sz w:val="22"/>
          <w:szCs w:val="22"/>
          <w:lang w:val="en-US"/>
        </w:rPr>
        <w:t xml:space="preserve"> </w:t>
      </w:r>
      <w:r w:rsidRPr="00586F90">
        <w:rPr>
          <w:i/>
          <w:iCs/>
          <w:sz w:val="22"/>
          <w:szCs w:val="22"/>
          <w:lang w:val="en-US"/>
        </w:rPr>
        <w:t>The Accounting Review</w:t>
      </w:r>
      <w:r>
        <w:rPr>
          <w:sz w:val="22"/>
          <w:szCs w:val="22"/>
          <w:lang w:val="en-US"/>
        </w:rPr>
        <w:t xml:space="preserve">, 85(2), </w:t>
      </w:r>
      <w:r w:rsidRPr="00733CAC">
        <w:rPr>
          <w:sz w:val="22"/>
          <w:szCs w:val="22"/>
          <w:lang w:val="en-US"/>
        </w:rPr>
        <w:t>573</w:t>
      </w:r>
      <w:r>
        <w:rPr>
          <w:sz w:val="22"/>
          <w:szCs w:val="22"/>
          <w:lang w:val="en-US"/>
        </w:rPr>
        <w:t>-</w:t>
      </w:r>
      <w:r w:rsidRPr="00733CAC">
        <w:rPr>
          <w:sz w:val="22"/>
          <w:szCs w:val="22"/>
          <w:lang w:val="en-US"/>
        </w:rPr>
        <w:t>605.</w:t>
      </w:r>
    </w:p>
    <w:p w14:paraId="468B37CE" w14:textId="77777777" w:rsidR="00AE7784" w:rsidRDefault="00AE7784" w:rsidP="00A47A38">
      <w:pPr>
        <w:pStyle w:val="MainText"/>
        <w:spacing w:line="360" w:lineRule="auto"/>
        <w:ind w:left="425" w:hanging="425"/>
        <w:rPr>
          <w:sz w:val="22"/>
          <w:szCs w:val="22"/>
          <w:lang w:val="en-US"/>
        </w:rPr>
      </w:pPr>
      <w:r w:rsidRPr="00A47A38">
        <w:rPr>
          <w:sz w:val="22"/>
          <w:szCs w:val="22"/>
          <w:lang w:val="en-US"/>
        </w:rPr>
        <w:t>H</w:t>
      </w:r>
      <w:r>
        <w:rPr>
          <w:sz w:val="22"/>
          <w:szCs w:val="22"/>
          <w:lang w:val="en-US"/>
        </w:rPr>
        <w:t>utton</w:t>
      </w:r>
      <w:r w:rsidRPr="00A47A38">
        <w:rPr>
          <w:sz w:val="22"/>
          <w:szCs w:val="22"/>
          <w:lang w:val="en-US"/>
        </w:rPr>
        <w:t>, A.P. (2007)</w:t>
      </w:r>
      <w:r>
        <w:rPr>
          <w:sz w:val="22"/>
          <w:szCs w:val="22"/>
          <w:lang w:val="en-US"/>
        </w:rPr>
        <w:t xml:space="preserve">. </w:t>
      </w:r>
      <w:r w:rsidRPr="00A47A38">
        <w:rPr>
          <w:sz w:val="22"/>
          <w:szCs w:val="22"/>
          <w:lang w:val="en-US"/>
        </w:rPr>
        <w:t xml:space="preserve">A discussion of </w:t>
      </w:r>
      <w:r>
        <w:rPr>
          <w:sz w:val="22"/>
          <w:szCs w:val="22"/>
          <w:lang w:val="en-US"/>
        </w:rPr>
        <w:t>‘</w:t>
      </w:r>
      <w:r w:rsidRPr="00A47A38">
        <w:rPr>
          <w:sz w:val="22"/>
          <w:szCs w:val="22"/>
          <w:lang w:val="en-US"/>
        </w:rPr>
        <w:t>corporate disclosure by family</w:t>
      </w:r>
      <w:r>
        <w:rPr>
          <w:sz w:val="22"/>
          <w:szCs w:val="22"/>
          <w:lang w:val="en-US"/>
        </w:rPr>
        <w:t xml:space="preserve"> </w:t>
      </w:r>
      <w:r w:rsidRPr="00A47A38">
        <w:rPr>
          <w:sz w:val="22"/>
          <w:szCs w:val="22"/>
          <w:lang w:val="en-US"/>
        </w:rPr>
        <w:t>firms</w:t>
      </w:r>
      <w:r>
        <w:rPr>
          <w:sz w:val="22"/>
          <w:szCs w:val="22"/>
          <w:lang w:val="en-US"/>
        </w:rPr>
        <w:t xml:space="preserve">’. </w:t>
      </w:r>
      <w:r w:rsidRPr="00481794">
        <w:rPr>
          <w:i/>
          <w:iCs/>
          <w:sz w:val="22"/>
          <w:szCs w:val="22"/>
          <w:lang w:val="en-US"/>
        </w:rPr>
        <w:t>Journal of Accounting and Economics</w:t>
      </w:r>
      <w:r w:rsidRPr="00A47A38">
        <w:rPr>
          <w:sz w:val="22"/>
          <w:szCs w:val="22"/>
          <w:lang w:val="en-US"/>
        </w:rPr>
        <w:t>, 44</w:t>
      </w:r>
      <w:r>
        <w:rPr>
          <w:sz w:val="22"/>
          <w:szCs w:val="22"/>
          <w:lang w:val="en-US"/>
        </w:rPr>
        <w:t>(1-2)</w:t>
      </w:r>
      <w:r w:rsidRPr="00A47A38">
        <w:rPr>
          <w:sz w:val="22"/>
          <w:szCs w:val="22"/>
          <w:lang w:val="en-US"/>
        </w:rPr>
        <w:t>, 287-297</w:t>
      </w:r>
      <w:r>
        <w:rPr>
          <w:sz w:val="22"/>
          <w:szCs w:val="22"/>
          <w:lang w:val="en-US"/>
        </w:rPr>
        <w:t>.</w:t>
      </w:r>
    </w:p>
    <w:p w14:paraId="65E8AA9B" w14:textId="77777777" w:rsidR="00AE7784" w:rsidRDefault="00AE7784" w:rsidP="000167EF">
      <w:pPr>
        <w:pStyle w:val="MainText"/>
        <w:spacing w:line="360" w:lineRule="auto"/>
        <w:ind w:left="425" w:hanging="425"/>
        <w:rPr>
          <w:sz w:val="22"/>
          <w:szCs w:val="22"/>
          <w:lang w:val="en-US"/>
        </w:rPr>
      </w:pPr>
      <w:bookmarkStart w:id="22" w:name="_Hlk23598520"/>
      <w:r w:rsidRPr="00B82610">
        <w:rPr>
          <w:sz w:val="22"/>
          <w:szCs w:val="22"/>
          <w:lang w:val="en-US"/>
        </w:rPr>
        <w:t xml:space="preserve">Jensen, </w:t>
      </w:r>
      <w:r>
        <w:rPr>
          <w:sz w:val="22"/>
          <w:szCs w:val="22"/>
          <w:lang w:val="en-US"/>
        </w:rPr>
        <w:t>M.</w:t>
      </w:r>
      <w:r w:rsidRPr="00B82610">
        <w:rPr>
          <w:sz w:val="22"/>
          <w:szCs w:val="22"/>
          <w:lang w:val="en-US"/>
        </w:rPr>
        <w:t>C.</w:t>
      </w:r>
      <w:r>
        <w:rPr>
          <w:sz w:val="22"/>
          <w:szCs w:val="22"/>
          <w:lang w:val="en-US"/>
        </w:rPr>
        <w:t xml:space="preserve"> </w:t>
      </w:r>
      <w:bookmarkEnd w:id="22"/>
      <w:r>
        <w:rPr>
          <w:sz w:val="22"/>
          <w:szCs w:val="22"/>
          <w:lang w:val="en-US"/>
        </w:rPr>
        <w:t xml:space="preserve">&amp; </w:t>
      </w:r>
      <w:proofErr w:type="spellStart"/>
      <w:r w:rsidRPr="00B82610">
        <w:rPr>
          <w:sz w:val="22"/>
          <w:szCs w:val="22"/>
          <w:lang w:val="en-US"/>
        </w:rPr>
        <w:t>Meckling</w:t>
      </w:r>
      <w:proofErr w:type="spellEnd"/>
      <w:r w:rsidRPr="00B82610">
        <w:rPr>
          <w:sz w:val="22"/>
          <w:szCs w:val="22"/>
          <w:lang w:val="en-US"/>
        </w:rPr>
        <w:t xml:space="preserve">, </w:t>
      </w:r>
      <w:r>
        <w:rPr>
          <w:sz w:val="22"/>
          <w:szCs w:val="22"/>
          <w:lang w:val="en-US"/>
        </w:rPr>
        <w:t>W.</w:t>
      </w:r>
      <w:r w:rsidRPr="00B82610">
        <w:rPr>
          <w:sz w:val="22"/>
          <w:szCs w:val="22"/>
          <w:lang w:val="en-US"/>
        </w:rPr>
        <w:t>H.</w:t>
      </w:r>
      <w:r>
        <w:rPr>
          <w:sz w:val="22"/>
          <w:szCs w:val="22"/>
          <w:lang w:val="en-US"/>
        </w:rPr>
        <w:t xml:space="preserve"> (1976).</w:t>
      </w:r>
      <w:r w:rsidRPr="00B82610">
        <w:rPr>
          <w:sz w:val="22"/>
          <w:szCs w:val="22"/>
          <w:lang w:val="en-US"/>
        </w:rPr>
        <w:t xml:space="preserve"> Theory of the Firm: Managerial Behavior, Agency Costs and Ownership Structure</w:t>
      </w:r>
      <w:r>
        <w:rPr>
          <w:sz w:val="22"/>
          <w:szCs w:val="22"/>
          <w:lang w:val="en-US"/>
        </w:rPr>
        <w:t xml:space="preserve">. </w:t>
      </w:r>
      <w:r w:rsidRPr="00B82610">
        <w:rPr>
          <w:i/>
          <w:iCs/>
          <w:sz w:val="22"/>
          <w:szCs w:val="22"/>
          <w:lang w:val="en-US"/>
        </w:rPr>
        <w:t>Journal of Financial Economics</w:t>
      </w:r>
      <w:r w:rsidRPr="00B82610">
        <w:rPr>
          <w:sz w:val="22"/>
          <w:szCs w:val="22"/>
          <w:lang w:val="en-US"/>
        </w:rPr>
        <w:t xml:space="preserve">, </w:t>
      </w:r>
      <w:r>
        <w:rPr>
          <w:sz w:val="22"/>
          <w:szCs w:val="22"/>
          <w:lang w:val="en-US"/>
        </w:rPr>
        <w:t>3(4).</w:t>
      </w:r>
    </w:p>
    <w:p w14:paraId="29E5F52B" w14:textId="77777777" w:rsidR="00AE7784" w:rsidRDefault="00AE7784" w:rsidP="00E8278E">
      <w:pPr>
        <w:pStyle w:val="MainText"/>
        <w:spacing w:line="360" w:lineRule="auto"/>
        <w:ind w:left="425" w:hanging="425"/>
        <w:rPr>
          <w:sz w:val="22"/>
          <w:szCs w:val="22"/>
          <w:lang w:val="en-US"/>
        </w:rPr>
      </w:pPr>
      <w:r w:rsidRPr="00B82610">
        <w:rPr>
          <w:sz w:val="22"/>
          <w:szCs w:val="22"/>
          <w:lang w:val="en-US"/>
        </w:rPr>
        <w:t xml:space="preserve">Jensen, </w:t>
      </w:r>
      <w:r>
        <w:rPr>
          <w:sz w:val="22"/>
          <w:szCs w:val="22"/>
          <w:lang w:val="en-US"/>
        </w:rPr>
        <w:t>M.</w:t>
      </w:r>
      <w:r w:rsidRPr="00B82610">
        <w:rPr>
          <w:sz w:val="22"/>
          <w:szCs w:val="22"/>
          <w:lang w:val="en-US"/>
        </w:rPr>
        <w:t>C.</w:t>
      </w:r>
      <w:r>
        <w:rPr>
          <w:sz w:val="22"/>
          <w:szCs w:val="22"/>
          <w:lang w:val="en-US"/>
        </w:rPr>
        <w:t xml:space="preserve"> (1991). </w:t>
      </w:r>
      <w:r w:rsidRPr="00B82610">
        <w:rPr>
          <w:sz w:val="22"/>
          <w:szCs w:val="22"/>
          <w:lang w:val="en-US"/>
        </w:rPr>
        <w:t>Corporate Control and the Politics of Finance</w:t>
      </w:r>
      <w:r>
        <w:rPr>
          <w:sz w:val="22"/>
          <w:szCs w:val="22"/>
          <w:lang w:val="en-US"/>
        </w:rPr>
        <w:t xml:space="preserve">. </w:t>
      </w:r>
      <w:r w:rsidRPr="00E8278E">
        <w:rPr>
          <w:i/>
          <w:iCs/>
          <w:sz w:val="22"/>
          <w:szCs w:val="22"/>
          <w:lang w:val="en-US"/>
        </w:rPr>
        <w:t>Journal of Applied Corporate Finance</w:t>
      </w:r>
      <w:r w:rsidRPr="00B82610">
        <w:rPr>
          <w:sz w:val="22"/>
          <w:szCs w:val="22"/>
          <w:lang w:val="en-US"/>
        </w:rPr>
        <w:t>,</w:t>
      </w:r>
      <w:r>
        <w:rPr>
          <w:sz w:val="22"/>
          <w:szCs w:val="22"/>
          <w:lang w:val="en-US"/>
        </w:rPr>
        <w:t xml:space="preserve"> 4(2), 1</w:t>
      </w:r>
      <w:r w:rsidRPr="00B82610">
        <w:rPr>
          <w:sz w:val="22"/>
          <w:szCs w:val="22"/>
          <w:lang w:val="en-US"/>
        </w:rPr>
        <w:t>3-33</w:t>
      </w:r>
      <w:r>
        <w:rPr>
          <w:sz w:val="22"/>
          <w:szCs w:val="22"/>
          <w:lang w:val="en-US"/>
        </w:rPr>
        <w:t>.</w:t>
      </w:r>
    </w:p>
    <w:p w14:paraId="75FB4BEF" w14:textId="77777777" w:rsidR="00AE7784" w:rsidRDefault="00AE7784" w:rsidP="006B7C5B">
      <w:pPr>
        <w:pStyle w:val="MainText"/>
        <w:spacing w:line="360" w:lineRule="auto"/>
        <w:ind w:left="425" w:hanging="425"/>
        <w:rPr>
          <w:sz w:val="22"/>
          <w:szCs w:val="22"/>
          <w:lang w:val="en-US"/>
        </w:rPr>
      </w:pPr>
      <w:r w:rsidRPr="006B7C5B">
        <w:rPr>
          <w:sz w:val="22"/>
          <w:szCs w:val="22"/>
          <w:lang w:val="en-US"/>
        </w:rPr>
        <w:t xml:space="preserve">Jiang, J.X, </w:t>
      </w:r>
      <w:proofErr w:type="spellStart"/>
      <w:r w:rsidRPr="006B7C5B">
        <w:rPr>
          <w:sz w:val="22"/>
          <w:szCs w:val="22"/>
          <w:lang w:val="en-US"/>
        </w:rPr>
        <w:t>Petroni</w:t>
      </w:r>
      <w:proofErr w:type="spellEnd"/>
      <w:r>
        <w:rPr>
          <w:sz w:val="22"/>
          <w:szCs w:val="22"/>
          <w:lang w:val="en-US"/>
        </w:rPr>
        <w:t>,</w:t>
      </w:r>
      <w:r w:rsidRPr="006B7C5B">
        <w:rPr>
          <w:sz w:val="22"/>
          <w:szCs w:val="22"/>
          <w:lang w:val="en-US"/>
        </w:rPr>
        <w:t xml:space="preserve"> K.R</w:t>
      </w:r>
      <w:r>
        <w:rPr>
          <w:sz w:val="22"/>
          <w:szCs w:val="22"/>
          <w:lang w:val="en-US"/>
        </w:rPr>
        <w:t xml:space="preserve">. &amp; </w:t>
      </w:r>
      <w:r w:rsidRPr="006B7C5B">
        <w:rPr>
          <w:sz w:val="22"/>
          <w:szCs w:val="22"/>
          <w:lang w:val="en-US"/>
        </w:rPr>
        <w:t>Wang</w:t>
      </w:r>
      <w:r>
        <w:rPr>
          <w:sz w:val="22"/>
          <w:szCs w:val="22"/>
          <w:lang w:val="en-US"/>
        </w:rPr>
        <w:t>,</w:t>
      </w:r>
      <w:r w:rsidRPr="006B7C5B">
        <w:rPr>
          <w:sz w:val="22"/>
          <w:szCs w:val="22"/>
          <w:lang w:val="en-US"/>
        </w:rPr>
        <w:t xml:space="preserve"> I.Y.</w:t>
      </w:r>
      <w:r>
        <w:rPr>
          <w:sz w:val="22"/>
          <w:szCs w:val="22"/>
          <w:lang w:val="en-US"/>
        </w:rPr>
        <w:t xml:space="preserve"> (</w:t>
      </w:r>
      <w:r w:rsidRPr="006B7C5B">
        <w:rPr>
          <w:sz w:val="22"/>
          <w:szCs w:val="22"/>
          <w:lang w:val="en-US"/>
        </w:rPr>
        <w:t>2010</w:t>
      </w:r>
      <w:r>
        <w:rPr>
          <w:sz w:val="22"/>
          <w:szCs w:val="22"/>
          <w:lang w:val="en-US"/>
        </w:rPr>
        <w:t>)</w:t>
      </w:r>
      <w:r w:rsidRPr="006B7C5B">
        <w:rPr>
          <w:sz w:val="22"/>
          <w:szCs w:val="22"/>
          <w:lang w:val="en-US"/>
        </w:rPr>
        <w:t>. CFOs and CEOs: Who have the most</w:t>
      </w:r>
      <w:r>
        <w:rPr>
          <w:sz w:val="22"/>
          <w:szCs w:val="22"/>
          <w:lang w:val="en-US"/>
        </w:rPr>
        <w:t xml:space="preserve"> </w:t>
      </w:r>
      <w:r w:rsidRPr="006B7C5B">
        <w:rPr>
          <w:sz w:val="22"/>
          <w:szCs w:val="22"/>
          <w:lang w:val="en-US"/>
        </w:rPr>
        <w:t>influence on earnings</w:t>
      </w:r>
      <w:r>
        <w:rPr>
          <w:sz w:val="22"/>
          <w:szCs w:val="22"/>
          <w:lang w:val="en-US"/>
        </w:rPr>
        <w:t xml:space="preserve"> </w:t>
      </w:r>
      <w:r w:rsidRPr="006B7C5B">
        <w:rPr>
          <w:sz w:val="22"/>
          <w:szCs w:val="22"/>
          <w:lang w:val="en-US"/>
        </w:rPr>
        <w:t>management?</w:t>
      </w:r>
      <w:r>
        <w:rPr>
          <w:sz w:val="22"/>
          <w:szCs w:val="22"/>
          <w:lang w:val="en-US"/>
        </w:rPr>
        <w:t xml:space="preserve"> </w:t>
      </w:r>
      <w:r w:rsidRPr="006B7C5B">
        <w:rPr>
          <w:i/>
          <w:iCs/>
          <w:sz w:val="22"/>
          <w:szCs w:val="22"/>
          <w:lang w:val="en-US"/>
        </w:rPr>
        <w:t>Journal of Financial Economics</w:t>
      </w:r>
      <w:r w:rsidRPr="006B7C5B">
        <w:rPr>
          <w:sz w:val="22"/>
          <w:szCs w:val="22"/>
          <w:lang w:val="en-US"/>
        </w:rPr>
        <w:t xml:space="preserve">, </w:t>
      </w:r>
      <w:r>
        <w:rPr>
          <w:sz w:val="22"/>
          <w:szCs w:val="22"/>
          <w:lang w:val="en-US"/>
        </w:rPr>
        <w:t xml:space="preserve">96(3), </w:t>
      </w:r>
      <w:r w:rsidRPr="006B7C5B">
        <w:rPr>
          <w:sz w:val="22"/>
          <w:szCs w:val="22"/>
          <w:lang w:val="en-US"/>
        </w:rPr>
        <w:t>513-526.</w:t>
      </w:r>
    </w:p>
    <w:p w14:paraId="449CFD72" w14:textId="77777777" w:rsidR="00AE7784" w:rsidRDefault="00AE7784" w:rsidP="00A12C04">
      <w:pPr>
        <w:pStyle w:val="MainText"/>
        <w:spacing w:line="360" w:lineRule="auto"/>
        <w:ind w:left="425" w:hanging="425"/>
        <w:rPr>
          <w:sz w:val="22"/>
          <w:szCs w:val="22"/>
          <w:lang w:val="en-US"/>
        </w:rPr>
      </w:pPr>
      <w:r w:rsidRPr="00A02549">
        <w:rPr>
          <w:sz w:val="22"/>
          <w:szCs w:val="22"/>
          <w:lang w:val="en-US"/>
        </w:rPr>
        <w:t xml:space="preserve">Kim, Y., Lee, J. &amp; Yang, T. (2013). Corporate Transparency and Firm Performance: Evidence from Venture Firms Listed on the Korean Stock Market. </w:t>
      </w:r>
      <w:r w:rsidRPr="00A02549">
        <w:rPr>
          <w:i/>
          <w:iCs/>
          <w:sz w:val="22"/>
          <w:szCs w:val="22"/>
          <w:lang w:val="en-US"/>
        </w:rPr>
        <w:t>Asia-Pacific Journal of Financial Studies</w:t>
      </w:r>
      <w:r w:rsidRPr="00A02549">
        <w:rPr>
          <w:sz w:val="22"/>
          <w:szCs w:val="22"/>
          <w:lang w:val="en-US"/>
        </w:rPr>
        <w:t>, 42(4), 653-688.</w:t>
      </w:r>
    </w:p>
    <w:p w14:paraId="55B3CE5D" w14:textId="77777777" w:rsidR="00AE7784" w:rsidRDefault="00AE7784" w:rsidP="00E636D3">
      <w:pPr>
        <w:pStyle w:val="MainText"/>
        <w:spacing w:line="360" w:lineRule="auto"/>
        <w:ind w:left="425" w:hanging="425"/>
        <w:rPr>
          <w:sz w:val="22"/>
          <w:szCs w:val="22"/>
          <w:lang w:val="en-US"/>
        </w:rPr>
      </w:pPr>
      <w:r w:rsidRPr="00E636D3">
        <w:rPr>
          <w:sz w:val="22"/>
          <w:szCs w:val="22"/>
          <w:lang w:val="en-US"/>
        </w:rPr>
        <w:t xml:space="preserve">Krishnan, G.V. (2003). Audit Quality and The Pricing of Discretionary Accruals. </w:t>
      </w:r>
      <w:r w:rsidRPr="00E636D3">
        <w:rPr>
          <w:i/>
          <w:iCs/>
          <w:sz w:val="22"/>
          <w:szCs w:val="22"/>
          <w:lang w:val="en-US"/>
        </w:rPr>
        <w:t>Auditing: A Journal of Practice &amp; Theory</w:t>
      </w:r>
      <w:r>
        <w:rPr>
          <w:sz w:val="22"/>
          <w:szCs w:val="22"/>
          <w:lang w:val="en-US"/>
        </w:rPr>
        <w:t>,</w:t>
      </w:r>
      <w:r w:rsidRPr="00E636D3">
        <w:rPr>
          <w:sz w:val="22"/>
          <w:szCs w:val="22"/>
          <w:lang w:val="en-US"/>
        </w:rPr>
        <w:t xml:space="preserve"> </w:t>
      </w:r>
      <w:r>
        <w:rPr>
          <w:sz w:val="22"/>
          <w:szCs w:val="22"/>
          <w:lang w:val="en-US"/>
        </w:rPr>
        <w:t xml:space="preserve">22(1), </w:t>
      </w:r>
      <w:r w:rsidRPr="00E636D3">
        <w:rPr>
          <w:sz w:val="22"/>
          <w:szCs w:val="22"/>
          <w:lang w:val="en-US"/>
        </w:rPr>
        <w:t>109-126.</w:t>
      </w:r>
    </w:p>
    <w:p w14:paraId="6E00985B" w14:textId="77777777" w:rsidR="00AE7784" w:rsidRPr="00A12C04" w:rsidRDefault="00AE7784" w:rsidP="00A12C04">
      <w:pPr>
        <w:pStyle w:val="MainText"/>
        <w:spacing w:line="360" w:lineRule="auto"/>
        <w:ind w:left="425" w:hanging="425"/>
        <w:rPr>
          <w:sz w:val="22"/>
          <w:szCs w:val="22"/>
          <w:lang w:val="en-US"/>
        </w:rPr>
      </w:pPr>
      <w:r w:rsidRPr="00A12C04">
        <w:rPr>
          <w:sz w:val="22"/>
          <w:szCs w:val="22"/>
          <w:lang w:val="en-US"/>
        </w:rPr>
        <w:t xml:space="preserve">Lambert, R., </w:t>
      </w:r>
      <w:proofErr w:type="spellStart"/>
      <w:r w:rsidRPr="00A12C04">
        <w:rPr>
          <w:sz w:val="22"/>
          <w:szCs w:val="22"/>
          <w:lang w:val="en-US"/>
        </w:rPr>
        <w:t>Leuz</w:t>
      </w:r>
      <w:proofErr w:type="spellEnd"/>
      <w:r w:rsidRPr="00A12C04">
        <w:rPr>
          <w:sz w:val="22"/>
          <w:szCs w:val="22"/>
          <w:lang w:val="en-US"/>
        </w:rPr>
        <w:t xml:space="preserve">, C. &amp; </w:t>
      </w:r>
      <w:proofErr w:type="spellStart"/>
      <w:r w:rsidRPr="00A12C04">
        <w:rPr>
          <w:sz w:val="22"/>
          <w:szCs w:val="22"/>
          <w:lang w:val="en-US"/>
        </w:rPr>
        <w:t>Verrecchia</w:t>
      </w:r>
      <w:proofErr w:type="spellEnd"/>
      <w:r w:rsidRPr="00A12C04">
        <w:rPr>
          <w:sz w:val="22"/>
          <w:szCs w:val="22"/>
          <w:lang w:val="en-US"/>
        </w:rPr>
        <w:t xml:space="preserve">, R.E. (2007). Accounting information, disclosure, and the cost of capital. </w:t>
      </w:r>
      <w:r w:rsidRPr="00A12C04">
        <w:rPr>
          <w:i/>
          <w:iCs/>
          <w:sz w:val="22"/>
          <w:szCs w:val="22"/>
          <w:lang w:val="en-US"/>
        </w:rPr>
        <w:t>Journal of Accounting Research</w:t>
      </w:r>
      <w:r w:rsidRPr="00A12C04">
        <w:rPr>
          <w:sz w:val="22"/>
          <w:szCs w:val="22"/>
          <w:lang w:val="en-US"/>
        </w:rPr>
        <w:t>, 45(2), 385-420.</w:t>
      </w:r>
    </w:p>
    <w:p w14:paraId="27E1BB58" w14:textId="77777777" w:rsidR="00AE7784" w:rsidRDefault="00AE7784" w:rsidP="00E878FB">
      <w:pPr>
        <w:pStyle w:val="MainText"/>
        <w:spacing w:line="360" w:lineRule="auto"/>
        <w:ind w:left="425" w:hanging="425"/>
        <w:rPr>
          <w:sz w:val="22"/>
          <w:szCs w:val="22"/>
          <w:lang w:val="en-US"/>
        </w:rPr>
      </w:pPr>
      <w:r>
        <w:rPr>
          <w:sz w:val="22"/>
          <w:szCs w:val="22"/>
          <w:lang w:val="en-US"/>
        </w:rPr>
        <w:t>L</w:t>
      </w:r>
      <w:r w:rsidRPr="00E878FB">
        <w:rPr>
          <w:sz w:val="22"/>
          <w:szCs w:val="22"/>
          <w:lang w:val="en-US"/>
        </w:rPr>
        <w:t>ang, M.</w:t>
      </w:r>
      <w:r>
        <w:rPr>
          <w:sz w:val="22"/>
          <w:szCs w:val="22"/>
          <w:lang w:val="en-US"/>
        </w:rPr>
        <w:t xml:space="preserve"> &amp;</w:t>
      </w:r>
      <w:r w:rsidRPr="00E878FB">
        <w:rPr>
          <w:sz w:val="22"/>
          <w:szCs w:val="22"/>
          <w:lang w:val="en-US"/>
        </w:rPr>
        <w:t xml:space="preserve"> </w:t>
      </w:r>
      <w:proofErr w:type="spellStart"/>
      <w:r w:rsidRPr="00E878FB">
        <w:rPr>
          <w:sz w:val="22"/>
          <w:szCs w:val="22"/>
          <w:lang w:val="en-US"/>
        </w:rPr>
        <w:t>Maffet</w:t>
      </w:r>
      <w:proofErr w:type="spellEnd"/>
      <w:r w:rsidRPr="00E878FB">
        <w:rPr>
          <w:sz w:val="22"/>
          <w:szCs w:val="22"/>
          <w:lang w:val="en-US"/>
        </w:rPr>
        <w:t>, M.</w:t>
      </w:r>
      <w:r>
        <w:rPr>
          <w:sz w:val="22"/>
          <w:szCs w:val="22"/>
          <w:lang w:val="en-US"/>
        </w:rPr>
        <w:t xml:space="preserve"> (</w:t>
      </w:r>
      <w:r w:rsidRPr="00E878FB">
        <w:rPr>
          <w:sz w:val="22"/>
          <w:szCs w:val="22"/>
          <w:lang w:val="en-US"/>
        </w:rPr>
        <w:t>2011</w:t>
      </w:r>
      <w:r>
        <w:rPr>
          <w:sz w:val="22"/>
          <w:szCs w:val="22"/>
          <w:lang w:val="en-US"/>
        </w:rPr>
        <w:t>)</w:t>
      </w:r>
      <w:r w:rsidRPr="00E878FB">
        <w:rPr>
          <w:sz w:val="22"/>
          <w:szCs w:val="22"/>
          <w:lang w:val="en-US"/>
        </w:rPr>
        <w:t>. Economic effects of transparency in international equity markets: A review</w:t>
      </w:r>
      <w:r>
        <w:rPr>
          <w:sz w:val="22"/>
          <w:szCs w:val="22"/>
          <w:lang w:val="en-US"/>
        </w:rPr>
        <w:t xml:space="preserve"> </w:t>
      </w:r>
      <w:r w:rsidRPr="00E878FB">
        <w:rPr>
          <w:sz w:val="22"/>
          <w:szCs w:val="22"/>
          <w:lang w:val="en-US"/>
        </w:rPr>
        <w:t xml:space="preserve">and suggestions for future research. </w:t>
      </w:r>
      <w:r w:rsidRPr="00E878FB">
        <w:rPr>
          <w:i/>
          <w:iCs/>
          <w:sz w:val="22"/>
          <w:szCs w:val="22"/>
          <w:lang w:val="en-US"/>
        </w:rPr>
        <w:t>Foundations and Trends in Accounting</w:t>
      </w:r>
      <w:r w:rsidRPr="00E878FB">
        <w:rPr>
          <w:sz w:val="22"/>
          <w:szCs w:val="22"/>
          <w:lang w:val="en-US"/>
        </w:rPr>
        <w:t xml:space="preserve">, </w:t>
      </w:r>
      <w:r>
        <w:rPr>
          <w:sz w:val="22"/>
          <w:szCs w:val="22"/>
          <w:lang w:val="en-US"/>
        </w:rPr>
        <w:t>5(3)</w:t>
      </w:r>
      <w:r w:rsidRPr="00E878FB">
        <w:rPr>
          <w:sz w:val="22"/>
          <w:szCs w:val="22"/>
          <w:lang w:val="en-US"/>
        </w:rPr>
        <w:t>,</w:t>
      </w:r>
      <w:r>
        <w:rPr>
          <w:sz w:val="22"/>
          <w:szCs w:val="22"/>
          <w:lang w:val="en-US"/>
        </w:rPr>
        <w:t xml:space="preserve"> </w:t>
      </w:r>
      <w:r w:rsidRPr="00E878FB">
        <w:rPr>
          <w:sz w:val="22"/>
          <w:szCs w:val="22"/>
          <w:lang w:val="en-US"/>
        </w:rPr>
        <w:t>175</w:t>
      </w:r>
      <w:r>
        <w:rPr>
          <w:sz w:val="22"/>
          <w:szCs w:val="22"/>
          <w:lang w:val="en-US"/>
        </w:rPr>
        <w:t>-</w:t>
      </w:r>
      <w:r w:rsidRPr="00E878FB">
        <w:rPr>
          <w:sz w:val="22"/>
          <w:szCs w:val="22"/>
          <w:lang w:val="en-US"/>
        </w:rPr>
        <w:t>241.</w:t>
      </w:r>
    </w:p>
    <w:p w14:paraId="19DCE22F" w14:textId="77777777" w:rsidR="00AE7784" w:rsidRPr="00B54E97" w:rsidRDefault="00AE7784" w:rsidP="00B54E97">
      <w:pPr>
        <w:pStyle w:val="MainText"/>
        <w:spacing w:line="360" w:lineRule="auto"/>
        <w:ind w:left="425" w:hanging="425"/>
        <w:rPr>
          <w:sz w:val="22"/>
          <w:szCs w:val="22"/>
          <w:lang w:val="en-US"/>
        </w:rPr>
      </w:pPr>
      <w:r w:rsidRPr="00B54E97">
        <w:rPr>
          <w:sz w:val="22"/>
          <w:szCs w:val="22"/>
          <w:lang w:val="en-US"/>
        </w:rPr>
        <w:t xml:space="preserve">Lang, M., </w:t>
      </w:r>
      <w:r>
        <w:rPr>
          <w:sz w:val="22"/>
          <w:szCs w:val="22"/>
          <w:lang w:val="en-US"/>
        </w:rPr>
        <w:t>&amp;</w:t>
      </w:r>
      <w:r w:rsidRPr="00B54E97">
        <w:rPr>
          <w:sz w:val="22"/>
          <w:szCs w:val="22"/>
          <w:lang w:val="en-US"/>
        </w:rPr>
        <w:t xml:space="preserve"> </w:t>
      </w:r>
      <w:proofErr w:type="spellStart"/>
      <w:r w:rsidRPr="00B54E97">
        <w:rPr>
          <w:sz w:val="22"/>
          <w:szCs w:val="22"/>
          <w:lang w:val="en-US"/>
        </w:rPr>
        <w:t>Maffet</w:t>
      </w:r>
      <w:proofErr w:type="spellEnd"/>
      <w:r w:rsidRPr="00B54E97">
        <w:rPr>
          <w:sz w:val="22"/>
          <w:szCs w:val="22"/>
          <w:lang w:val="en-US"/>
        </w:rPr>
        <w:t>, M.</w:t>
      </w:r>
      <w:r>
        <w:rPr>
          <w:sz w:val="22"/>
          <w:szCs w:val="22"/>
          <w:lang w:val="en-US"/>
        </w:rPr>
        <w:t xml:space="preserve"> (</w:t>
      </w:r>
      <w:r w:rsidRPr="00B54E97">
        <w:rPr>
          <w:sz w:val="22"/>
          <w:szCs w:val="22"/>
          <w:lang w:val="en-US"/>
        </w:rPr>
        <w:t>2011</w:t>
      </w:r>
      <w:r>
        <w:rPr>
          <w:sz w:val="22"/>
          <w:szCs w:val="22"/>
          <w:lang w:val="en-US"/>
        </w:rPr>
        <w:t>)</w:t>
      </w:r>
      <w:r w:rsidRPr="00B54E97">
        <w:rPr>
          <w:sz w:val="22"/>
          <w:szCs w:val="22"/>
          <w:lang w:val="en-US"/>
        </w:rPr>
        <w:t>. Economic effects of transparency in international equity markets: A review</w:t>
      </w:r>
      <w:r>
        <w:rPr>
          <w:sz w:val="22"/>
          <w:szCs w:val="22"/>
          <w:lang w:val="en-US"/>
        </w:rPr>
        <w:t xml:space="preserve"> </w:t>
      </w:r>
      <w:r w:rsidRPr="007430DD">
        <w:rPr>
          <w:sz w:val="22"/>
          <w:szCs w:val="22"/>
          <w:lang w:val="en-US"/>
        </w:rPr>
        <w:t xml:space="preserve">and suggestions for future research. </w:t>
      </w:r>
      <w:r w:rsidRPr="007430DD">
        <w:rPr>
          <w:i/>
          <w:iCs/>
          <w:sz w:val="22"/>
          <w:szCs w:val="22"/>
          <w:lang w:val="en-US"/>
        </w:rPr>
        <w:t>Foundations and Trends in Accounting</w:t>
      </w:r>
      <w:r w:rsidRPr="007430DD">
        <w:rPr>
          <w:sz w:val="22"/>
          <w:szCs w:val="22"/>
          <w:lang w:val="en-US"/>
        </w:rPr>
        <w:t>, 5(3), 175-241.</w:t>
      </w:r>
    </w:p>
    <w:p w14:paraId="49DDD5ED" w14:textId="77777777" w:rsidR="00AE7784" w:rsidRDefault="00AE7784" w:rsidP="00314E76">
      <w:pPr>
        <w:pStyle w:val="MainText"/>
        <w:spacing w:line="360" w:lineRule="auto"/>
        <w:ind w:left="425" w:hanging="425"/>
        <w:rPr>
          <w:sz w:val="22"/>
          <w:szCs w:val="22"/>
          <w:lang w:val="en-US"/>
        </w:rPr>
      </w:pPr>
      <w:r w:rsidRPr="00D25427">
        <w:rPr>
          <w:sz w:val="22"/>
          <w:szCs w:val="22"/>
          <w:lang w:val="en-US"/>
        </w:rPr>
        <w:t xml:space="preserve">Lang, M., </w:t>
      </w:r>
      <w:proofErr w:type="spellStart"/>
      <w:r w:rsidRPr="00D25427">
        <w:rPr>
          <w:sz w:val="22"/>
          <w:szCs w:val="22"/>
          <w:lang w:val="en-US"/>
        </w:rPr>
        <w:t>Lins</w:t>
      </w:r>
      <w:proofErr w:type="spellEnd"/>
      <w:r w:rsidRPr="00D25427">
        <w:rPr>
          <w:sz w:val="22"/>
          <w:szCs w:val="22"/>
          <w:lang w:val="en-US"/>
        </w:rPr>
        <w:t>, K.V.</w:t>
      </w:r>
      <w:r>
        <w:rPr>
          <w:sz w:val="22"/>
          <w:szCs w:val="22"/>
          <w:lang w:val="en-US"/>
        </w:rPr>
        <w:t xml:space="preserve"> &amp; </w:t>
      </w:r>
      <w:proofErr w:type="spellStart"/>
      <w:r w:rsidRPr="00D25427">
        <w:rPr>
          <w:sz w:val="22"/>
          <w:szCs w:val="22"/>
          <w:lang w:val="en-US"/>
        </w:rPr>
        <w:t>Maffet</w:t>
      </w:r>
      <w:proofErr w:type="spellEnd"/>
      <w:r w:rsidRPr="00D25427">
        <w:rPr>
          <w:sz w:val="22"/>
          <w:szCs w:val="22"/>
          <w:lang w:val="en-US"/>
        </w:rPr>
        <w:t>, M.</w:t>
      </w:r>
      <w:r>
        <w:rPr>
          <w:sz w:val="22"/>
          <w:szCs w:val="22"/>
          <w:lang w:val="en-US"/>
        </w:rPr>
        <w:t xml:space="preserve"> (</w:t>
      </w:r>
      <w:r w:rsidRPr="00D25427">
        <w:rPr>
          <w:sz w:val="22"/>
          <w:szCs w:val="22"/>
          <w:lang w:val="en-US"/>
        </w:rPr>
        <w:t>201</w:t>
      </w:r>
      <w:r>
        <w:rPr>
          <w:sz w:val="22"/>
          <w:szCs w:val="22"/>
          <w:lang w:val="en-US"/>
        </w:rPr>
        <w:t>2)</w:t>
      </w:r>
      <w:r w:rsidRPr="00D25427">
        <w:rPr>
          <w:sz w:val="22"/>
          <w:szCs w:val="22"/>
          <w:lang w:val="en-US"/>
        </w:rPr>
        <w:t>. Transparency, Liquidity, and Valuation: International Evidence on When Transparency Matters Most</w:t>
      </w:r>
      <w:r>
        <w:rPr>
          <w:sz w:val="22"/>
          <w:szCs w:val="22"/>
          <w:lang w:val="en-US"/>
        </w:rPr>
        <w:t xml:space="preserve">. </w:t>
      </w:r>
      <w:r w:rsidRPr="00A86F41">
        <w:rPr>
          <w:i/>
          <w:iCs/>
          <w:sz w:val="22"/>
          <w:szCs w:val="22"/>
          <w:lang w:val="en-US"/>
        </w:rPr>
        <w:t>Journal of Accounting Research</w:t>
      </w:r>
      <w:r w:rsidRPr="00A86F41">
        <w:rPr>
          <w:sz w:val="22"/>
          <w:szCs w:val="22"/>
          <w:lang w:val="en-US"/>
        </w:rPr>
        <w:t xml:space="preserve">, </w:t>
      </w:r>
      <w:r>
        <w:rPr>
          <w:sz w:val="22"/>
          <w:szCs w:val="22"/>
          <w:lang w:val="en-US"/>
        </w:rPr>
        <w:t>50(3),</w:t>
      </w:r>
      <w:r w:rsidRPr="00A86F41">
        <w:rPr>
          <w:sz w:val="22"/>
          <w:szCs w:val="22"/>
          <w:lang w:val="en-US"/>
        </w:rPr>
        <w:t xml:space="preserve"> </w:t>
      </w:r>
      <w:r>
        <w:rPr>
          <w:sz w:val="22"/>
          <w:szCs w:val="22"/>
          <w:lang w:val="en-US"/>
        </w:rPr>
        <w:t>729</w:t>
      </w:r>
      <w:r w:rsidRPr="00A86F41">
        <w:rPr>
          <w:sz w:val="22"/>
          <w:szCs w:val="22"/>
          <w:lang w:val="en-US"/>
        </w:rPr>
        <w:t>-</w:t>
      </w:r>
      <w:r>
        <w:rPr>
          <w:sz w:val="22"/>
          <w:szCs w:val="22"/>
          <w:lang w:val="en-US"/>
        </w:rPr>
        <w:t>774.</w:t>
      </w:r>
      <w:r w:rsidRPr="00A86F41">
        <w:rPr>
          <w:sz w:val="22"/>
          <w:szCs w:val="22"/>
          <w:lang w:val="en-US"/>
        </w:rPr>
        <w:t xml:space="preserve">  </w:t>
      </w:r>
    </w:p>
    <w:p w14:paraId="5E64CF6B" w14:textId="77777777" w:rsidR="00AE7784" w:rsidRDefault="00AE7784" w:rsidP="00A12C04">
      <w:pPr>
        <w:pStyle w:val="MainText"/>
        <w:spacing w:line="360" w:lineRule="auto"/>
        <w:ind w:left="425" w:hanging="425"/>
        <w:rPr>
          <w:sz w:val="22"/>
          <w:szCs w:val="22"/>
          <w:lang w:val="en-US"/>
        </w:rPr>
      </w:pPr>
      <w:r w:rsidRPr="00A12C04">
        <w:rPr>
          <w:sz w:val="22"/>
          <w:szCs w:val="22"/>
          <w:lang w:val="en-US"/>
        </w:rPr>
        <w:t xml:space="preserve">Lardon, A. &amp; </w:t>
      </w:r>
      <w:proofErr w:type="spellStart"/>
      <w:r w:rsidRPr="00A12C04">
        <w:rPr>
          <w:sz w:val="22"/>
          <w:szCs w:val="22"/>
          <w:lang w:val="en-US"/>
        </w:rPr>
        <w:t>Deloof</w:t>
      </w:r>
      <w:proofErr w:type="spellEnd"/>
      <w:r w:rsidRPr="00A12C04">
        <w:rPr>
          <w:sz w:val="22"/>
          <w:szCs w:val="22"/>
          <w:lang w:val="en-US"/>
        </w:rPr>
        <w:t xml:space="preserve">, M. (2014). Financial Disclosure by SMEs Listed on a Semi-Regulated Market: Evidence from the Euronext Free Market. </w:t>
      </w:r>
      <w:r w:rsidRPr="00A12C04">
        <w:rPr>
          <w:i/>
          <w:iCs/>
          <w:sz w:val="22"/>
          <w:szCs w:val="22"/>
          <w:lang w:val="en-US"/>
        </w:rPr>
        <w:t>Small Business Economics</w:t>
      </w:r>
      <w:r w:rsidRPr="00A12C04">
        <w:rPr>
          <w:sz w:val="22"/>
          <w:szCs w:val="22"/>
          <w:lang w:val="en-US"/>
        </w:rPr>
        <w:t>, 42(2), 361-385.</w:t>
      </w:r>
    </w:p>
    <w:p w14:paraId="5C763268" w14:textId="77777777" w:rsidR="00AE7784" w:rsidRDefault="00AE7784" w:rsidP="00CF37AB">
      <w:pPr>
        <w:pStyle w:val="MainText"/>
        <w:spacing w:line="360" w:lineRule="auto"/>
        <w:ind w:left="425" w:hanging="425"/>
        <w:rPr>
          <w:sz w:val="22"/>
          <w:szCs w:val="22"/>
          <w:lang w:val="en-US"/>
        </w:rPr>
      </w:pPr>
      <w:r w:rsidRPr="00CF37AB">
        <w:rPr>
          <w:sz w:val="22"/>
          <w:szCs w:val="22"/>
          <w:lang w:val="en-US"/>
        </w:rPr>
        <w:t>Lean</w:t>
      </w:r>
      <w:r>
        <w:rPr>
          <w:sz w:val="22"/>
          <w:szCs w:val="22"/>
          <w:lang w:val="en-US"/>
        </w:rPr>
        <w:t xml:space="preserve">, J. &amp; </w:t>
      </w:r>
      <w:r w:rsidRPr="00CF37AB">
        <w:rPr>
          <w:sz w:val="22"/>
          <w:szCs w:val="22"/>
          <w:lang w:val="en-US"/>
        </w:rPr>
        <w:t>Tucker</w:t>
      </w:r>
      <w:r>
        <w:rPr>
          <w:sz w:val="22"/>
          <w:szCs w:val="22"/>
          <w:lang w:val="en-US"/>
        </w:rPr>
        <w:t xml:space="preserve">, J. (2001). </w:t>
      </w:r>
      <w:r w:rsidRPr="00CF37AB">
        <w:rPr>
          <w:sz w:val="22"/>
          <w:szCs w:val="22"/>
          <w:lang w:val="en-US"/>
        </w:rPr>
        <w:t>Information Asymmetry,</w:t>
      </w:r>
      <w:r>
        <w:rPr>
          <w:sz w:val="22"/>
          <w:szCs w:val="22"/>
          <w:lang w:val="en-US"/>
        </w:rPr>
        <w:t xml:space="preserve"> </w:t>
      </w:r>
      <w:r w:rsidRPr="00CF37AB">
        <w:rPr>
          <w:sz w:val="22"/>
          <w:szCs w:val="22"/>
          <w:lang w:val="en-US"/>
        </w:rPr>
        <w:t>Small Firm Finance</w:t>
      </w:r>
      <w:r>
        <w:rPr>
          <w:sz w:val="22"/>
          <w:szCs w:val="22"/>
          <w:lang w:val="en-US"/>
        </w:rPr>
        <w:t xml:space="preserve"> </w:t>
      </w:r>
      <w:r w:rsidRPr="00CF37AB">
        <w:rPr>
          <w:sz w:val="22"/>
          <w:szCs w:val="22"/>
          <w:lang w:val="en-US"/>
        </w:rPr>
        <w:t>and the Role of Government</w:t>
      </w:r>
      <w:r>
        <w:rPr>
          <w:sz w:val="22"/>
          <w:szCs w:val="22"/>
          <w:lang w:val="en-US"/>
        </w:rPr>
        <w:t xml:space="preserve">. </w:t>
      </w:r>
      <w:r w:rsidRPr="00CF37AB">
        <w:rPr>
          <w:i/>
          <w:iCs/>
          <w:sz w:val="22"/>
          <w:szCs w:val="22"/>
          <w:lang w:val="en-US"/>
        </w:rPr>
        <w:t>Journal of Finance and Management in Public Services</w:t>
      </w:r>
      <w:r>
        <w:rPr>
          <w:sz w:val="22"/>
          <w:szCs w:val="22"/>
          <w:lang w:val="en-US"/>
        </w:rPr>
        <w:t>, 1, 43-60.</w:t>
      </w:r>
    </w:p>
    <w:p w14:paraId="3D78A742" w14:textId="77777777" w:rsidR="00AE7784" w:rsidRDefault="00AE7784" w:rsidP="00314E76">
      <w:pPr>
        <w:pStyle w:val="MainText"/>
        <w:spacing w:line="360" w:lineRule="auto"/>
        <w:ind w:left="425" w:hanging="425"/>
        <w:rPr>
          <w:sz w:val="22"/>
          <w:szCs w:val="22"/>
          <w:lang w:val="en-US"/>
        </w:rPr>
      </w:pPr>
      <w:proofErr w:type="spellStart"/>
      <w:r w:rsidRPr="00646D3C">
        <w:rPr>
          <w:sz w:val="22"/>
          <w:szCs w:val="22"/>
          <w:lang w:val="en-US"/>
        </w:rPr>
        <w:t>Mazani</w:t>
      </w:r>
      <w:proofErr w:type="spellEnd"/>
      <w:r w:rsidRPr="00646D3C">
        <w:rPr>
          <w:sz w:val="22"/>
          <w:szCs w:val="22"/>
          <w:lang w:val="en-US"/>
        </w:rPr>
        <w:t>, M.</w:t>
      </w:r>
      <w:r>
        <w:rPr>
          <w:sz w:val="22"/>
          <w:szCs w:val="22"/>
          <w:lang w:val="en-US"/>
        </w:rPr>
        <w:t xml:space="preserve"> &amp; </w:t>
      </w:r>
      <w:proofErr w:type="spellStart"/>
      <w:r w:rsidRPr="00646D3C">
        <w:rPr>
          <w:sz w:val="22"/>
          <w:szCs w:val="22"/>
          <w:lang w:val="en-US"/>
        </w:rPr>
        <w:t>Fatoki</w:t>
      </w:r>
      <w:proofErr w:type="spellEnd"/>
      <w:r>
        <w:rPr>
          <w:sz w:val="22"/>
          <w:szCs w:val="22"/>
          <w:lang w:val="en-US"/>
        </w:rPr>
        <w:t>,</w:t>
      </w:r>
      <w:r w:rsidRPr="00646D3C">
        <w:rPr>
          <w:sz w:val="22"/>
          <w:szCs w:val="22"/>
          <w:lang w:val="en-US"/>
        </w:rPr>
        <w:t xml:space="preserve"> O. (2012).  Access to Finance in the SME Sector: A South African Perspective. </w:t>
      </w:r>
      <w:r w:rsidRPr="00646D3C">
        <w:rPr>
          <w:i/>
          <w:iCs/>
          <w:sz w:val="22"/>
          <w:szCs w:val="22"/>
          <w:lang w:val="en-US"/>
        </w:rPr>
        <w:t>Asian Journal of Business Management</w:t>
      </w:r>
      <w:r w:rsidRPr="00646D3C">
        <w:rPr>
          <w:sz w:val="22"/>
          <w:szCs w:val="22"/>
          <w:lang w:val="en-US"/>
        </w:rPr>
        <w:t xml:space="preserve">. </w:t>
      </w:r>
      <w:r>
        <w:rPr>
          <w:sz w:val="22"/>
          <w:szCs w:val="22"/>
          <w:lang w:val="en-US"/>
        </w:rPr>
        <w:t xml:space="preserve">4(1), </w:t>
      </w:r>
      <w:r w:rsidRPr="00646D3C">
        <w:rPr>
          <w:sz w:val="22"/>
          <w:szCs w:val="22"/>
          <w:lang w:val="en-US"/>
        </w:rPr>
        <w:t>58-67</w:t>
      </w:r>
      <w:r>
        <w:rPr>
          <w:sz w:val="22"/>
          <w:szCs w:val="22"/>
          <w:lang w:val="en-US"/>
        </w:rPr>
        <w:t>.</w:t>
      </w:r>
    </w:p>
    <w:p w14:paraId="58B562E5" w14:textId="77777777" w:rsidR="00AE7784" w:rsidRDefault="00AE7784" w:rsidP="002B0808">
      <w:pPr>
        <w:pStyle w:val="MainText"/>
        <w:spacing w:line="360" w:lineRule="auto"/>
        <w:ind w:left="425" w:hanging="425"/>
        <w:rPr>
          <w:sz w:val="22"/>
          <w:szCs w:val="22"/>
          <w:lang w:val="en-US"/>
        </w:rPr>
      </w:pPr>
      <w:r>
        <w:rPr>
          <w:sz w:val="22"/>
          <w:szCs w:val="22"/>
          <w:lang w:val="en-US"/>
        </w:rPr>
        <w:t xml:space="preserve">Merchant, K. (2007). </w:t>
      </w:r>
      <w:r w:rsidRPr="002A31E6">
        <w:rPr>
          <w:i/>
          <w:iCs/>
          <w:sz w:val="22"/>
          <w:szCs w:val="22"/>
          <w:lang w:val="en-US"/>
        </w:rPr>
        <w:t>Management Control Systems: Performance Measurement, Evaluation and Incentives</w:t>
      </w:r>
      <w:r w:rsidRPr="002A31E6">
        <w:rPr>
          <w:sz w:val="22"/>
          <w:szCs w:val="22"/>
          <w:lang w:val="en-US"/>
        </w:rPr>
        <w:t xml:space="preserve"> (2nd Edition)</w:t>
      </w:r>
      <w:r>
        <w:rPr>
          <w:sz w:val="22"/>
          <w:szCs w:val="22"/>
          <w:lang w:val="en-US"/>
        </w:rPr>
        <w:t xml:space="preserve">. </w:t>
      </w:r>
      <w:r w:rsidRPr="007758CD">
        <w:rPr>
          <w:sz w:val="22"/>
          <w:szCs w:val="22"/>
          <w:lang w:val="en-US"/>
        </w:rPr>
        <w:t>New Jersey</w:t>
      </w:r>
      <w:r>
        <w:rPr>
          <w:sz w:val="22"/>
          <w:szCs w:val="22"/>
          <w:lang w:val="en-US"/>
        </w:rPr>
        <w:t xml:space="preserve">: </w:t>
      </w:r>
      <w:r w:rsidRPr="002A31E6">
        <w:rPr>
          <w:sz w:val="22"/>
          <w:szCs w:val="22"/>
          <w:lang w:val="en-US"/>
        </w:rPr>
        <w:t>Prentice Hall</w:t>
      </w:r>
      <w:r>
        <w:rPr>
          <w:sz w:val="22"/>
          <w:szCs w:val="22"/>
          <w:lang w:val="en-US"/>
        </w:rPr>
        <w:t>.</w:t>
      </w:r>
    </w:p>
    <w:p w14:paraId="419FD5D1" w14:textId="77777777" w:rsidR="00AE7784" w:rsidRDefault="00AE7784" w:rsidP="000167EF">
      <w:pPr>
        <w:pStyle w:val="MainText"/>
        <w:spacing w:line="360" w:lineRule="auto"/>
        <w:ind w:left="425" w:hanging="425"/>
        <w:rPr>
          <w:sz w:val="22"/>
          <w:szCs w:val="22"/>
          <w:lang w:val="en-US"/>
        </w:rPr>
      </w:pPr>
      <w:r w:rsidRPr="000167EF">
        <w:rPr>
          <w:sz w:val="22"/>
          <w:szCs w:val="22"/>
          <w:lang w:val="en-US"/>
        </w:rPr>
        <w:t xml:space="preserve">Murphy, </w:t>
      </w:r>
      <w:r>
        <w:rPr>
          <w:sz w:val="22"/>
          <w:szCs w:val="22"/>
          <w:lang w:val="en-US"/>
        </w:rPr>
        <w:t>K.</w:t>
      </w:r>
      <w:r w:rsidRPr="000167EF">
        <w:rPr>
          <w:sz w:val="22"/>
          <w:szCs w:val="22"/>
          <w:lang w:val="en-US"/>
        </w:rPr>
        <w:t>J. (1985)</w:t>
      </w:r>
      <w:r>
        <w:rPr>
          <w:sz w:val="22"/>
          <w:szCs w:val="22"/>
          <w:lang w:val="en-US"/>
        </w:rPr>
        <w:t>.</w:t>
      </w:r>
      <w:r w:rsidRPr="000167EF">
        <w:rPr>
          <w:sz w:val="22"/>
          <w:szCs w:val="22"/>
          <w:lang w:val="en-US"/>
        </w:rPr>
        <w:t xml:space="preserve"> Corporate performance and managerial remuneration: An empirical</w:t>
      </w:r>
      <w:r>
        <w:rPr>
          <w:sz w:val="22"/>
          <w:szCs w:val="22"/>
          <w:lang w:val="en-US"/>
        </w:rPr>
        <w:t xml:space="preserve"> </w:t>
      </w:r>
      <w:r w:rsidRPr="000167EF">
        <w:rPr>
          <w:sz w:val="22"/>
          <w:szCs w:val="22"/>
          <w:lang w:val="en-US"/>
        </w:rPr>
        <w:t>analysis</w:t>
      </w:r>
      <w:r>
        <w:rPr>
          <w:sz w:val="22"/>
          <w:szCs w:val="22"/>
          <w:lang w:val="en-US"/>
        </w:rPr>
        <w:t>.</w:t>
      </w:r>
      <w:r w:rsidRPr="000167EF">
        <w:rPr>
          <w:sz w:val="22"/>
          <w:szCs w:val="22"/>
          <w:lang w:val="en-US"/>
        </w:rPr>
        <w:t xml:space="preserve"> </w:t>
      </w:r>
      <w:r w:rsidRPr="000167EF">
        <w:rPr>
          <w:i/>
          <w:iCs/>
          <w:sz w:val="22"/>
          <w:szCs w:val="22"/>
          <w:lang w:val="en-US"/>
        </w:rPr>
        <w:t>Journal of Accounting and Economics</w:t>
      </w:r>
      <w:r>
        <w:rPr>
          <w:sz w:val="22"/>
          <w:szCs w:val="22"/>
          <w:lang w:val="en-US"/>
        </w:rPr>
        <w:t>,</w:t>
      </w:r>
      <w:r w:rsidRPr="000167EF">
        <w:rPr>
          <w:sz w:val="22"/>
          <w:szCs w:val="22"/>
          <w:lang w:val="en-US"/>
        </w:rPr>
        <w:t xml:space="preserve"> 7</w:t>
      </w:r>
      <w:r>
        <w:rPr>
          <w:sz w:val="22"/>
          <w:szCs w:val="22"/>
          <w:lang w:val="en-US"/>
        </w:rPr>
        <w:t>(1-3)</w:t>
      </w:r>
      <w:r w:rsidRPr="000167EF">
        <w:rPr>
          <w:sz w:val="22"/>
          <w:szCs w:val="22"/>
          <w:lang w:val="en-US"/>
        </w:rPr>
        <w:t>, 11</w:t>
      </w:r>
      <w:r>
        <w:rPr>
          <w:sz w:val="22"/>
          <w:szCs w:val="22"/>
          <w:lang w:val="en-US"/>
        </w:rPr>
        <w:t>-</w:t>
      </w:r>
      <w:r w:rsidRPr="000167EF">
        <w:rPr>
          <w:sz w:val="22"/>
          <w:szCs w:val="22"/>
          <w:lang w:val="en-US"/>
        </w:rPr>
        <w:t>42</w:t>
      </w:r>
      <w:r>
        <w:rPr>
          <w:sz w:val="22"/>
          <w:szCs w:val="22"/>
          <w:lang w:val="en-US"/>
        </w:rPr>
        <w:t>.</w:t>
      </w:r>
    </w:p>
    <w:p w14:paraId="2BDA789C" w14:textId="77777777" w:rsidR="00AE7784" w:rsidRDefault="00AE7784" w:rsidP="00A12C04">
      <w:pPr>
        <w:pStyle w:val="MainText"/>
        <w:spacing w:line="360" w:lineRule="auto"/>
        <w:ind w:left="425" w:hanging="425"/>
        <w:rPr>
          <w:sz w:val="22"/>
          <w:szCs w:val="22"/>
          <w:lang w:val="en-US"/>
        </w:rPr>
      </w:pPr>
      <w:r w:rsidRPr="00A02549">
        <w:rPr>
          <w:sz w:val="22"/>
          <w:szCs w:val="22"/>
          <w:lang w:val="en-US"/>
        </w:rPr>
        <w:lastRenderedPageBreak/>
        <w:t xml:space="preserve">Myers, T. (2014). Financial Transparency and Disclosure: China Progress on Corporate Governance. </w:t>
      </w:r>
      <w:r w:rsidRPr="00A02549">
        <w:rPr>
          <w:i/>
          <w:iCs/>
          <w:sz w:val="22"/>
          <w:szCs w:val="22"/>
          <w:lang w:val="en-US"/>
        </w:rPr>
        <w:t>Journal of International Business Ethics</w:t>
      </w:r>
      <w:r w:rsidRPr="00A02549">
        <w:rPr>
          <w:sz w:val="22"/>
          <w:szCs w:val="22"/>
          <w:lang w:val="en-US"/>
        </w:rPr>
        <w:t>, 7(1), 3-18.</w:t>
      </w:r>
    </w:p>
    <w:p w14:paraId="7751CFA9" w14:textId="77777777" w:rsidR="00AE7784" w:rsidRDefault="00AE7784" w:rsidP="00314E76">
      <w:pPr>
        <w:pStyle w:val="MainText"/>
        <w:spacing w:line="360" w:lineRule="auto"/>
        <w:ind w:left="425" w:hanging="425"/>
        <w:rPr>
          <w:sz w:val="22"/>
          <w:szCs w:val="22"/>
          <w:lang w:val="en-US"/>
        </w:rPr>
      </w:pPr>
      <w:proofErr w:type="spellStart"/>
      <w:r w:rsidRPr="00AC51DC">
        <w:rPr>
          <w:sz w:val="22"/>
          <w:szCs w:val="22"/>
          <w:lang w:val="en-US"/>
        </w:rPr>
        <w:t>Ojeka</w:t>
      </w:r>
      <w:proofErr w:type="spellEnd"/>
      <w:r w:rsidRPr="00AC51DC">
        <w:rPr>
          <w:sz w:val="22"/>
          <w:szCs w:val="22"/>
          <w:lang w:val="en-US"/>
        </w:rPr>
        <w:t xml:space="preserve">, S.A., </w:t>
      </w:r>
      <w:proofErr w:type="spellStart"/>
      <w:r w:rsidRPr="00AC51DC">
        <w:rPr>
          <w:sz w:val="22"/>
          <w:szCs w:val="22"/>
          <w:lang w:val="en-US"/>
        </w:rPr>
        <w:t>Mukoro</w:t>
      </w:r>
      <w:proofErr w:type="spellEnd"/>
      <w:r w:rsidRPr="00AC51DC">
        <w:rPr>
          <w:sz w:val="22"/>
          <w:szCs w:val="22"/>
          <w:lang w:val="en-US"/>
        </w:rPr>
        <w:t xml:space="preserve">, D.O. &amp; </w:t>
      </w:r>
      <w:proofErr w:type="spellStart"/>
      <w:r w:rsidRPr="00AC51DC">
        <w:rPr>
          <w:sz w:val="22"/>
          <w:szCs w:val="22"/>
          <w:lang w:val="en-US"/>
        </w:rPr>
        <w:t>Kanu</w:t>
      </w:r>
      <w:proofErr w:type="spellEnd"/>
      <w:r w:rsidRPr="00AC51DC">
        <w:rPr>
          <w:sz w:val="22"/>
          <w:szCs w:val="22"/>
          <w:lang w:val="en-US"/>
        </w:rPr>
        <w:t xml:space="preserve">, C. (2015). Does Financial Reporting Disclosures Enhance Firm Financial Performance in the Nigerian Manufacturing Companies? </w:t>
      </w:r>
      <w:r w:rsidRPr="00AC51DC">
        <w:rPr>
          <w:i/>
          <w:iCs/>
          <w:sz w:val="22"/>
          <w:szCs w:val="22"/>
          <w:lang w:val="en-US"/>
        </w:rPr>
        <w:t>Mediterranean Journal of Social Sciences</w:t>
      </w:r>
      <w:r w:rsidRPr="00AC51DC">
        <w:rPr>
          <w:sz w:val="22"/>
          <w:szCs w:val="22"/>
          <w:lang w:val="en-US"/>
        </w:rPr>
        <w:t>, 6(6), 332-338.</w:t>
      </w:r>
    </w:p>
    <w:p w14:paraId="1898822E" w14:textId="77777777" w:rsidR="00AE7784" w:rsidRDefault="00AE7784" w:rsidP="00881F40">
      <w:pPr>
        <w:pStyle w:val="MainText"/>
        <w:spacing w:line="360" w:lineRule="auto"/>
        <w:ind w:left="425" w:hanging="425"/>
        <w:rPr>
          <w:sz w:val="22"/>
          <w:szCs w:val="22"/>
          <w:lang w:val="en-US"/>
        </w:rPr>
      </w:pPr>
      <w:r w:rsidRPr="00881F40">
        <w:rPr>
          <w:sz w:val="22"/>
          <w:szCs w:val="22"/>
          <w:lang w:val="en-US"/>
        </w:rPr>
        <w:t>Petersen, M.A.</w:t>
      </w:r>
      <w:r>
        <w:rPr>
          <w:sz w:val="22"/>
          <w:szCs w:val="22"/>
          <w:lang w:val="en-US"/>
        </w:rPr>
        <w:t xml:space="preserve"> &amp;</w:t>
      </w:r>
      <w:r w:rsidRPr="00881F40">
        <w:rPr>
          <w:sz w:val="22"/>
          <w:szCs w:val="22"/>
          <w:lang w:val="en-US"/>
        </w:rPr>
        <w:t xml:space="preserve"> </w:t>
      </w:r>
      <w:proofErr w:type="spellStart"/>
      <w:r w:rsidRPr="00881F40">
        <w:rPr>
          <w:sz w:val="22"/>
          <w:szCs w:val="22"/>
          <w:lang w:val="en-US"/>
        </w:rPr>
        <w:t>Rajan</w:t>
      </w:r>
      <w:proofErr w:type="spellEnd"/>
      <w:r w:rsidRPr="00881F40">
        <w:rPr>
          <w:sz w:val="22"/>
          <w:szCs w:val="22"/>
          <w:lang w:val="en-US"/>
        </w:rPr>
        <w:t>, R.G.</w:t>
      </w:r>
      <w:r>
        <w:rPr>
          <w:sz w:val="22"/>
          <w:szCs w:val="22"/>
          <w:lang w:val="en-US"/>
        </w:rPr>
        <w:t xml:space="preserve"> (</w:t>
      </w:r>
      <w:r w:rsidRPr="00881F40">
        <w:rPr>
          <w:sz w:val="22"/>
          <w:szCs w:val="22"/>
          <w:lang w:val="en-US"/>
        </w:rPr>
        <w:t>2002</w:t>
      </w:r>
      <w:r>
        <w:rPr>
          <w:sz w:val="22"/>
          <w:szCs w:val="22"/>
          <w:lang w:val="en-US"/>
        </w:rPr>
        <w:t>)</w:t>
      </w:r>
      <w:r w:rsidRPr="00881F40">
        <w:rPr>
          <w:sz w:val="22"/>
          <w:szCs w:val="22"/>
          <w:lang w:val="en-US"/>
        </w:rPr>
        <w:t>. Does distance still matter? The information revolution in small business</w:t>
      </w:r>
      <w:r>
        <w:rPr>
          <w:sz w:val="22"/>
          <w:szCs w:val="22"/>
          <w:lang w:val="en-US"/>
        </w:rPr>
        <w:t xml:space="preserve"> </w:t>
      </w:r>
      <w:r w:rsidRPr="00881F40">
        <w:rPr>
          <w:sz w:val="22"/>
          <w:szCs w:val="22"/>
          <w:lang w:val="en-US"/>
        </w:rPr>
        <w:t xml:space="preserve">lending. </w:t>
      </w:r>
      <w:r w:rsidRPr="00881F40">
        <w:rPr>
          <w:i/>
          <w:iCs/>
          <w:sz w:val="22"/>
          <w:szCs w:val="22"/>
          <w:lang w:val="en-US"/>
        </w:rPr>
        <w:t>Journal of Finance</w:t>
      </w:r>
      <w:r>
        <w:rPr>
          <w:sz w:val="22"/>
          <w:szCs w:val="22"/>
          <w:lang w:val="en-US"/>
        </w:rPr>
        <w:t>,</w:t>
      </w:r>
      <w:r w:rsidRPr="00881F40">
        <w:rPr>
          <w:sz w:val="22"/>
          <w:szCs w:val="22"/>
          <w:lang w:val="en-US"/>
        </w:rPr>
        <w:t xml:space="preserve"> 57 (6), 2533</w:t>
      </w:r>
      <w:r>
        <w:rPr>
          <w:sz w:val="22"/>
          <w:szCs w:val="22"/>
          <w:lang w:val="en-US"/>
        </w:rPr>
        <w:t>-</w:t>
      </w:r>
      <w:r w:rsidRPr="00881F40">
        <w:rPr>
          <w:sz w:val="22"/>
          <w:szCs w:val="22"/>
          <w:lang w:val="en-US"/>
        </w:rPr>
        <w:t>2570.</w:t>
      </w:r>
    </w:p>
    <w:p w14:paraId="2DC6D4E3" w14:textId="77777777" w:rsidR="00AE7784" w:rsidRDefault="00AE7784" w:rsidP="00314E76">
      <w:pPr>
        <w:pStyle w:val="MainText"/>
        <w:spacing w:line="360" w:lineRule="auto"/>
        <w:ind w:left="425" w:hanging="425"/>
        <w:rPr>
          <w:sz w:val="22"/>
          <w:szCs w:val="22"/>
          <w:lang w:val="en-US"/>
        </w:rPr>
      </w:pPr>
      <w:r w:rsidRPr="00AC51DC">
        <w:rPr>
          <w:sz w:val="22"/>
          <w:szCs w:val="22"/>
          <w:lang w:val="en-US"/>
        </w:rPr>
        <w:t xml:space="preserve">Prat, A. (2005). The wrong kind of transparency. </w:t>
      </w:r>
      <w:r w:rsidRPr="00AC51DC">
        <w:rPr>
          <w:i/>
          <w:iCs/>
          <w:sz w:val="22"/>
          <w:szCs w:val="22"/>
          <w:lang w:val="en-US"/>
        </w:rPr>
        <w:t>American Economic Review</w:t>
      </w:r>
      <w:r w:rsidRPr="00AC51DC">
        <w:rPr>
          <w:sz w:val="22"/>
          <w:szCs w:val="22"/>
          <w:lang w:val="en-US"/>
        </w:rPr>
        <w:t>, 95(3), 862-877.</w:t>
      </w:r>
    </w:p>
    <w:p w14:paraId="3FE1C874" w14:textId="77777777" w:rsidR="00AE7784" w:rsidRDefault="00AE7784" w:rsidP="00314E76">
      <w:pPr>
        <w:pStyle w:val="MainText"/>
        <w:spacing w:line="360" w:lineRule="auto"/>
        <w:ind w:left="425" w:hanging="425"/>
        <w:rPr>
          <w:sz w:val="22"/>
          <w:szCs w:val="22"/>
          <w:lang w:val="en-US"/>
        </w:rPr>
      </w:pPr>
      <w:r w:rsidRPr="00F53FC6">
        <w:rPr>
          <w:sz w:val="22"/>
          <w:szCs w:val="22"/>
          <w:lang w:val="en-US"/>
        </w:rPr>
        <w:t xml:space="preserve">Quintiliani, A. (2017). Bank-Firm relationships and Intangibles: Adverse Selection Approach for the MAS innovation of Chief Financial Officer. </w:t>
      </w:r>
      <w:r w:rsidRPr="00F53FC6">
        <w:rPr>
          <w:i/>
          <w:iCs/>
          <w:sz w:val="22"/>
          <w:szCs w:val="22"/>
          <w:lang w:val="en-US"/>
        </w:rPr>
        <w:t>European Journal of Economics, Finance and Administrative Sciences</w:t>
      </w:r>
      <w:r w:rsidRPr="00F53FC6">
        <w:rPr>
          <w:sz w:val="22"/>
          <w:szCs w:val="22"/>
          <w:lang w:val="en-US"/>
        </w:rPr>
        <w:t>, 96, 25-37.</w:t>
      </w:r>
      <w:r>
        <w:rPr>
          <w:sz w:val="22"/>
          <w:szCs w:val="22"/>
          <w:lang w:val="en-US"/>
        </w:rPr>
        <w:t xml:space="preserve"> </w:t>
      </w:r>
      <w:r w:rsidRPr="00AB150C">
        <w:rPr>
          <w:sz w:val="22"/>
          <w:szCs w:val="22"/>
          <w:lang w:val="en-US"/>
        </w:rPr>
        <w:t xml:space="preserve"> </w:t>
      </w:r>
    </w:p>
    <w:p w14:paraId="53D3E8A0" w14:textId="77777777" w:rsidR="00AE7784" w:rsidRPr="00F53FC6" w:rsidRDefault="00AE7784" w:rsidP="00314E76">
      <w:pPr>
        <w:pStyle w:val="MainText"/>
        <w:spacing w:line="360" w:lineRule="auto"/>
        <w:ind w:left="425" w:hanging="425"/>
        <w:rPr>
          <w:sz w:val="22"/>
          <w:szCs w:val="22"/>
          <w:lang w:val="en-US"/>
        </w:rPr>
      </w:pPr>
      <w:bookmarkStart w:id="23" w:name="_Hlk23514077"/>
      <w:r w:rsidRPr="00F53FC6">
        <w:rPr>
          <w:sz w:val="22"/>
          <w:szCs w:val="22"/>
          <w:lang w:val="en-US"/>
        </w:rPr>
        <w:t xml:space="preserve">Quintiliani, A. (2018). Determinants of Corporate Financial Disclosures: An Empirical Analysis of Family and Non-Family Small and Medium-Sized Enterprises. </w:t>
      </w:r>
      <w:r w:rsidRPr="00F53FC6">
        <w:rPr>
          <w:i/>
          <w:iCs/>
          <w:sz w:val="22"/>
          <w:szCs w:val="22"/>
          <w:lang w:val="en-US"/>
        </w:rPr>
        <w:t>Research Journal of Finance and Accounting</w:t>
      </w:r>
      <w:r w:rsidRPr="00F53FC6">
        <w:rPr>
          <w:sz w:val="22"/>
          <w:szCs w:val="22"/>
          <w:lang w:val="en-US"/>
        </w:rPr>
        <w:t xml:space="preserve">, 9(6), 44-52.  </w:t>
      </w:r>
    </w:p>
    <w:bookmarkEnd w:id="23"/>
    <w:p w14:paraId="03901DD7" w14:textId="77777777" w:rsidR="00AE7784" w:rsidRDefault="00AE7784" w:rsidP="000167EF">
      <w:pPr>
        <w:pStyle w:val="MainText"/>
        <w:spacing w:line="360" w:lineRule="auto"/>
        <w:ind w:left="425" w:hanging="425"/>
        <w:rPr>
          <w:sz w:val="22"/>
          <w:szCs w:val="22"/>
          <w:lang w:val="en-US"/>
        </w:rPr>
      </w:pPr>
      <w:r w:rsidRPr="00E8278E">
        <w:rPr>
          <w:sz w:val="22"/>
          <w:szCs w:val="22"/>
          <w:lang w:val="en-US"/>
        </w:rPr>
        <w:t xml:space="preserve">Rahman, S. </w:t>
      </w:r>
      <w:r>
        <w:rPr>
          <w:sz w:val="22"/>
          <w:szCs w:val="22"/>
          <w:lang w:val="en-US"/>
        </w:rPr>
        <w:t>(</w:t>
      </w:r>
      <w:r w:rsidRPr="00E8278E">
        <w:rPr>
          <w:sz w:val="22"/>
          <w:szCs w:val="22"/>
          <w:lang w:val="en-US"/>
        </w:rPr>
        <w:t>2014</w:t>
      </w:r>
      <w:r>
        <w:rPr>
          <w:sz w:val="22"/>
          <w:szCs w:val="22"/>
          <w:lang w:val="en-US"/>
        </w:rPr>
        <w:t>)</w:t>
      </w:r>
      <w:r w:rsidRPr="00E8278E">
        <w:rPr>
          <w:sz w:val="22"/>
          <w:szCs w:val="22"/>
          <w:lang w:val="en-US"/>
        </w:rPr>
        <w:t>. The role of intellectual capital in determining differences between stock</w:t>
      </w:r>
      <w:r>
        <w:rPr>
          <w:sz w:val="22"/>
          <w:szCs w:val="22"/>
          <w:lang w:val="en-US"/>
        </w:rPr>
        <w:t xml:space="preserve"> </w:t>
      </w:r>
      <w:r w:rsidRPr="00E8278E">
        <w:rPr>
          <w:sz w:val="22"/>
          <w:szCs w:val="22"/>
          <w:lang w:val="en-US"/>
        </w:rPr>
        <w:t xml:space="preserve">market and financial performance. </w:t>
      </w:r>
      <w:r w:rsidRPr="00E8278E">
        <w:rPr>
          <w:i/>
          <w:iCs/>
          <w:sz w:val="22"/>
          <w:szCs w:val="22"/>
          <w:lang w:val="en-US"/>
        </w:rPr>
        <w:t>International Research Journal of Finance and Economics</w:t>
      </w:r>
      <w:r w:rsidRPr="00E8278E">
        <w:rPr>
          <w:sz w:val="22"/>
          <w:szCs w:val="22"/>
          <w:lang w:val="en-US"/>
        </w:rPr>
        <w:t xml:space="preserve">, </w:t>
      </w:r>
      <w:r>
        <w:rPr>
          <w:sz w:val="22"/>
          <w:szCs w:val="22"/>
          <w:lang w:val="en-US"/>
        </w:rPr>
        <w:t>89</w:t>
      </w:r>
      <w:r w:rsidRPr="00E8278E">
        <w:rPr>
          <w:sz w:val="22"/>
          <w:szCs w:val="22"/>
          <w:lang w:val="en-US"/>
        </w:rPr>
        <w:t>, 46-77</w:t>
      </w:r>
      <w:r>
        <w:rPr>
          <w:sz w:val="22"/>
          <w:szCs w:val="22"/>
          <w:lang w:val="en-US"/>
        </w:rPr>
        <w:t>.</w:t>
      </w:r>
    </w:p>
    <w:p w14:paraId="4AD5812B" w14:textId="77777777" w:rsidR="00AE7784" w:rsidRPr="00D6446B" w:rsidRDefault="00AE7784" w:rsidP="00E636D3">
      <w:pPr>
        <w:pStyle w:val="MainText"/>
        <w:spacing w:line="360" w:lineRule="auto"/>
        <w:ind w:left="425" w:hanging="425"/>
        <w:rPr>
          <w:sz w:val="22"/>
          <w:szCs w:val="22"/>
          <w:lang w:val="en-US"/>
        </w:rPr>
      </w:pPr>
      <w:proofErr w:type="spellStart"/>
      <w:r w:rsidRPr="00D6446B">
        <w:rPr>
          <w:sz w:val="22"/>
          <w:szCs w:val="22"/>
          <w:lang w:val="en-US"/>
        </w:rPr>
        <w:t>Rodil</w:t>
      </w:r>
      <w:proofErr w:type="spellEnd"/>
      <w:r w:rsidRPr="00D6446B">
        <w:rPr>
          <w:sz w:val="22"/>
          <w:szCs w:val="22"/>
          <w:lang w:val="en-US"/>
        </w:rPr>
        <w:t xml:space="preserve">, R.J. (2015). </w:t>
      </w:r>
      <w:r w:rsidRPr="00D6446B">
        <w:rPr>
          <w:i/>
          <w:iCs/>
          <w:sz w:val="22"/>
          <w:szCs w:val="22"/>
          <w:lang w:val="en-US"/>
        </w:rPr>
        <w:t>Does Transparency Matter for SMEs?</w:t>
      </w:r>
      <w:r w:rsidRPr="00D6446B">
        <w:rPr>
          <w:sz w:val="22"/>
          <w:szCs w:val="22"/>
          <w:lang w:val="en-US"/>
        </w:rPr>
        <w:t xml:space="preserve"> New York</w:t>
      </w:r>
      <w:r>
        <w:rPr>
          <w:sz w:val="22"/>
          <w:szCs w:val="22"/>
          <w:lang w:val="en-US"/>
        </w:rPr>
        <w:t xml:space="preserve">: </w:t>
      </w:r>
      <w:r w:rsidRPr="00D6446B">
        <w:rPr>
          <w:sz w:val="22"/>
          <w:szCs w:val="22"/>
          <w:lang w:val="en-US"/>
        </w:rPr>
        <w:t>IFAC.</w:t>
      </w:r>
    </w:p>
    <w:p w14:paraId="7BC93412" w14:textId="77777777" w:rsidR="00AE7784" w:rsidRDefault="00AE7784" w:rsidP="00314E76">
      <w:pPr>
        <w:pStyle w:val="MainText"/>
        <w:spacing w:line="360" w:lineRule="auto"/>
        <w:ind w:left="425" w:hanging="425"/>
        <w:rPr>
          <w:sz w:val="22"/>
          <w:szCs w:val="22"/>
          <w:lang w:val="en-US"/>
        </w:rPr>
      </w:pPr>
      <w:proofErr w:type="spellStart"/>
      <w:r w:rsidRPr="00AC51DC">
        <w:rPr>
          <w:sz w:val="22"/>
          <w:szCs w:val="22"/>
          <w:lang w:val="en-US"/>
        </w:rPr>
        <w:t>Sahore</w:t>
      </w:r>
      <w:proofErr w:type="spellEnd"/>
      <w:r w:rsidRPr="00AC51DC">
        <w:rPr>
          <w:sz w:val="22"/>
          <w:szCs w:val="22"/>
          <w:lang w:val="en-US"/>
        </w:rPr>
        <w:t xml:space="preserve">, N.S. &amp; Verma, A. (2017). Corporate Disclosures and Financial Performance of Selected Indian Manufacturing and Non- Manufacturing Companies. </w:t>
      </w:r>
      <w:r w:rsidRPr="00AC51DC">
        <w:rPr>
          <w:i/>
          <w:iCs/>
          <w:sz w:val="22"/>
          <w:szCs w:val="22"/>
          <w:lang w:val="en-US"/>
        </w:rPr>
        <w:t>Accounting and Finance Research</w:t>
      </w:r>
      <w:r w:rsidRPr="00AC51DC">
        <w:rPr>
          <w:sz w:val="22"/>
          <w:szCs w:val="22"/>
          <w:lang w:val="en-US"/>
        </w:rPr>
        <w:t>, 6(1), 119-132.</w:t>
      </w:r>
    </w:p>
    <w:p w14:paraId="70DF947E" w14:textId="77777777" w:rsidR="00AE7784" w:rsidRPr="00DE5D65" w:rsidRDefault="00AE7784" w:rsidP="00DE5D65">
      <w:pPr>
        <w:pStyle w:val="MainText"/>
        <w:spacing w:line="360" w:lineRule="auto"/>
        <w:ind w:left="425" w:hanging="425"/>
        <w:rPr>
          <w:sz w:val="22"/>
          <w:szCs w:val="22"/>
          <w:lang w:val="en-US"/>
        </w:rPr>
      </w:pPr>
      <w:r w:rsidRPr="00DE5D65">
        <w:rPr>
          <w:sz w:val="22"/>
          <w:szCs w:val="22"/>
          <w:lang w:val="en-US"/>
        </w:rPr>
        <w:t>Samuels, J.M.</w:t>
      </w:r>
      <w:r>
        <w:rPr>
          <w:sz w:val="22"/>
          <w:szCs w:val="22"/>
          <w:lang w:val="en-US"/>
        </w:rPr>
        <w:t xml:space="preserve">, </w:t>
      </w:r>
      <w:r w:rsidRPr="00DE5D65">
        <w:rPr>
          <w:sz w:val="22"/>
          <w:szCs w:val="22"/>
          <w:lang w:val="en-US"/>
        </w:rPr>
        <w:t xml:space="preserve">Wilkes, F.M. &amp; </w:t>
      </w:r>
      <w:proofErr w:type="spellStart"/>
      <w:r w:rsidRPr="00DE5D65">
        <w:rPr>
          <w:sz w:val="22"/>
          <w:szCs w:val="22"/>
          <w:lang w:val="en-US"/>
        </w:rPr>
        <w:t>Brayshaw</w:t>
      </w:r>
      <w:proofErr w:type="spellEnd"/>
      <w:r w:rsidRPr="00DE5D65">
        <w:rPr>
          <w:sz w:val="22"/>
          <w:szCs w:val="22"/>
          <w:lang w:val="en-US"/>
        </w:rPr>
        <w:t>, R.E.</w:t>
      </w:r>
      <w:r>
        <w:rPr>
          <w:sz w:val="22"/>
          <w:szCs w:val="22"/>
          <w:lang w:val="en-US"/>
        </w:rPr>
        <w:t xml:space="preserve"> (1998). </w:t>
      </w:r>
      <w:r w:rsidRPr="003B5A24">
        <w:rPr>
          <w:i/>
          <w:iCs/>
          <w:sz w:val="22"/>
          <w:szCs w:val="22"/>
          <w:lang w:val="en-US"/>
        </w:rPr>
        <w:t>Financial Management and Decision Making</w:t>
      </w:r>
      <w:r>
        <w:rPr>
          <w:sz w:val="22"/>
          <w:szCs w:val="22"/>
          <w:lang w:val="en-US"/>
        </w:rPr>
        <w:t xml:space="preserve">. Boston: </w:t>
      </w:r>
      <w:r w:rsidRPr="00DE5D65">
        <w:rPr>
          <w:sz w:val="22"/>
          <w:szCs w:val="22"/>
          <w:lang w:val="en-US"/>
        </w:rPr>
        <w:t>Thomson Learning</w:t>
      </w:r>
      <w:r>
        <w:rPr>
          <w:sz w:val="22"/>
          <w:szCs w:val="22"/>
          <w:lang w:val="en-US"/>
        </w:rPr>
        <w:t>.</w:t>
      </w:r>
    </w:p>
    <w:p w14:paraId="4C508CA6" w14:textId="77777777" w:rsidR="00AE7784" w:rsidRDefault="00AE7784" w:rsidP="00314E76">
      <w:pPr>
        <w:pStyle w:val="MainText"/>
        <w:spacing w:line="360" w:lineRule="auto"/>
        <w:ind w:left="425" w:hanging="425"/>
        <w:rPr>
          <w:sz w:val="22"/>
          <w:szCs w:val="22"/>
          <w:lang w:val="en-US"/>
        </w:rPr>
      </w:pPr>
      <w:r w:rsidRPr="00CD32BF">
        <w:rPr>
          <w:sz w:val="22"/>
          <w:szCs w:val="22"/>
          <w:lang w:val="en-US"/>
        </w:rPr>
        <w:t>Shinozaki</w:t>
      </w:r>
      <w:r>
        <w:rPr>
          <w:sz w:val="22"/>
          <w:szCs w:val="22"/>
          <w:lang w:val="en-US"/>
        </w:rPr>
        <w:t>,</w:t>
      </w:r>
      <w:r w:rsidRPr="00CD32BF">
        <w:rPr>
          <w:sz w:val="22"/>
          <w:szCs w:val="22"/>
          <w:lang w:val="en-US"/>
        </w:rPr>
        <w:t xml:space="preserve"> S. (2014).</w:t>
      </w:r>
      <w:r>
        <w:rPr>
          <w:sz w:val="22"/>
          <w:szCs w:val="22"/>
          <w:lang w:val="en-US"/>
        </w:rPr>
        <w:t xml:space="preserve"> </w:t>
      </w:r>
      <w:r w:rsidRPr="00CD32BF">
        <w:rPr>
          <w:sz w:val="22"/>
          <w:szCs w:val="22"/>
          <w:lang w:val="en-US"/>
        </w:rPr>
        <w:t xml:space="preserve">A New Regime of SME Finance in Emerging Asia: Empowering Growth-Oriented SMEs to Build Resilient National Economies. </w:t>
      </w:r>
      <w:r w:rsidRPr="00CD32BF">
        <w:rPr>
          <w:i/>
          <w:iCs/>
          <w:sz w:val="22"/>
          <w:szCs w:val="22"/>
          <w:lang w:val="en-US"/>
        </w:rPr>
        <w:t>Asian Development Bank</w:t>
      </w:r>
      <w:r>
        <w:rPr>
          <w:sz w:val="22"/>
          <w:szCs w:val="22"/>
          <w:lang w:val="en-US"/>
        </w:rPr>
        <w:t xml:space="preserve">, </w:t>
      </w:r>
      <w:r w:rsidRPr="00CD32BF">
        <w:rPr>
          <w:sz w:val="22"/>
          <w:szCs w:val="22"/>
          <w:lang w:val="en-US"/>
        </w:rPr>
        <w:t>104</w:t>
      </w:r>
      <w:r>
        <w:rPr>
          <w:sz w:val="22"/>
          <w:szCs w:val="22"/>
          <w:lang w:val="en-US"/>
        </w:rPr>
        <w:t>.</w:t>
      </w:r>
    </w:p>
    <w:p w14:paraId="4930A547" w14:textId="77777777" w:rsidR="00AE7784" w:rsidRDefault="00AE7784" w:rsidP="00E636D3">
      <w:pPr>
        <w:pStyle w:val="MainText"/>
        <w:spacing w:line="360" w:lineRule="auto"/>
        <w:ind w:left="425" w:hanging="425"/>
        <w:rPr>
          <w:sz w:val="22"/>
          <w:szCs w:val="22"/>
          <w:lang w:val="en-US"/>
        </w:rPr>
      </w:pPr>
      <w:r w:rsidRPr="00586F90">
        <w:rPr>
          <w:sz w:val="22"/>
          <w:szCs w:val="22"/>
          <w:lang w:val="en-US"/>
        </w:rPr>
        <w:t xml:space="preserve">Shleifer, </w:t>
      </w:r>
      <w:r>
        <w:rPr>
          <w:sz w:val="22"/>
          <w:szCs w:val="22"/>
          <w:lang w:val="en-US"/>
        </w:rPr>
        <w:t xml:space="preserve">A. &amp; </w:t>
      </w:r>
      <w:proofErr w:type="spellStart"/>
      <w:r w:rsidRPr="00586F90">
        <w:rPr>
          <w:sz w:val="22"/>
          <w:szCs w:val="22"/>
          <w:lang w:val="en-US"/>
        </w:rPr>
        <w:t>Vishny</w:t>
      </w:r>
      <w:proofErr w:type="spellEnd"/>
      <w:r>
        <w:rPr>
          <w:sz w:val="22"/>
          <w:szCs w:val="22"/>
          <w:lang w:val="en-US"/>
        </w:rPr>
        <w:t>, R.W. (</w:t>
      </w:r>
      <w:r w:rsidRPr="00586F90">
        <w:rPr>
          <w:sz w:val="22"/>
          <w:szCs w:val="22"/>
          <w:lang w:val="en-US"/>
        </w:rPr>
        <w:t>1997</w:t>
      </w:r>
      <w:r>
        <w:rPr>
          <w:sz w:val="22"/>
          <w:szCs w:val="22"/>
          <w:lang w:val="en-US"/>
        </w:rPr>
        <w:t>)</w:t>
      </w:r>
      <w:r w:rsidRPr="00586F90">
        <w:rPr>
          <w:sz w:val="22"/>
          <w:szCs w:val="22"/>
          <w:lang w:val="en-US"/>
        </w:rPr>
        <w:t>. A Survey of Corporate Governance</w:t>
      </w:r>
      <w:r>
        <w:rPr>
          <w:sz w:val="22"/>
          <w:szCs w:val="22"/>
          <w:lang w:val="en-US"/>
        </w:rPr>
        <w:t>.</w:t>
      </w:r>
      <w:r w:rsidRPr="00586F90">
        <w:rPr>
          <w:sz w:val="22"/>
          <w:szCs w:val="22"/>
          <w:lang w:val="en-US"/>
        </w:rPr>
        <w:t xml:space="preserve"> </w:t>
      </w:r>
      <w:r w:rsidRPr="00DE05AD">
        <w:rPr>
          <w:i/>
          <w:iCs/>
          <w:sz w:val="22"/>
          <w:szCs w:val="22"/>
          <w:lang w:val="en-US"/>
        </w:rPr>
        <w:t>Journal of Finance</w:t>
      </w:r>
      <w:r>
        <w:rPr>
          <w:sz w:val="22"/>
          <w:szCs w:val="22"/>
          <w:lang w:val="en-US"/>
        </w:rPr>
        <w:t>,</w:t>
      </w:r>
      <w:r w:rsidRPr="00586F90">
        <w:rPr>
          <w:sz w:val="22"/>
          <w:szCs w:val="22"/>
          <w:lang w:val="en-US"/>
        </w:rPr>
        <w:t xml:space="preserve"> 52(2)</w:t>
      </w:r>
      <w:r>
        <w:rPr>
          <w:sz w:val="22"/>
          <w:szCs w:val="22"/>
          <w:lang w:val="en-US"/>
        </w:rPr>
        <w:t xml:space="preserve">, </w:t>
      </w:r>
      <w:r w:rsidRPr="00586F90">
        <w:rPr>
          <w:sz w:val="22"/>
          <w:szCs w:val="22"/>
          <w:lang w:val="en-US"/>
        </w:rPr>
        <w:t>737-783.</w:t>
      </w:r>
    </w:p>
    <w:p w14:paraId="6A4180FD" w14:textId="77777777" w:rsidR="00AE7784" w:rsidRDefault="00AE7784" w:rsidP="00314E76">
      <w:pPr>
        <w:pStyle w:val="MainText"/>
        <w:spacing w:line="360" w:lineRule="auto"/>
        <w:ind w:left="425" w:hanging="425"/>
        <w:rPr>
          <w:sz w:val="22"/>
          <w:szCs w:val="22"/>
          <w:lang w:val="en-US"/>
        </w:rPr>
      </w:pPr>
      <w:r w:rsidRPr="00314E76">
        <w:rPr>
          <w:sz w:val="22"/>
          <w:szCs w:val="22"/>
          <w:lang w:val="en-US"/>
        </w:rPr>
        <w:t>Stiglitz, J</w:t>
      </w:r>
      <w:r>
        <w:rPr>
          <w:sz w:val="22"/>
          <w:szCs w:val="22"/>
          <w:lang w:val="en-US"/>
        </w:rPr>
        <w:t>.</w:t>
      </w:r>
      <w:r w:rsidRPr="00314E76">
        <w:rPr>
          <w:sz w:val="22"/>
          <w:szCs w:val="22"/>
          <w:lang w:val="en-US"/>
        </w:rPr>
        <w:t xml:space="preserve">E. </w:t>
      </w:r>
      <w:r>
        <w:rPr>
          <w:sz w:val="22"/>
          <w:szCs w:val="22"/>
          <w:lang w:val="en-US"/>
        </w:rPr>
        <w:t>&amp;</w:t>
      </w:r>
      <w:r w:rsidRPr="00314E76">
        <w:rPr>
          <w:sz w:val="22"/>
          <w:szCs w:val="22"/>
          <w:lang w:val="en-US"/>
        </w:rPr>
        <w:t xml:space="preserve"> Weiss</w:t>
      </w:r>
      <w:r>
        <w:rPr>
          <w:sz w:val="22"/>
          <w:szCs w:val="22"/>
          <w:lang w:val="en-US"/>
        </w:rPr>
        <w:t>, A. (</w:t>
      </w:r>
      <w:r w:rsidRPr="00314E76">
        <w:rPr>
          <w:sz w:val="22"/>
          <w:szCs w:val="22"/>
          <w:lang w:val="en-US"/>
        </w:rPr>
        <w:t>1981</w:t>
      </w:r>
      <w:r>
        <w:rPr>
          <w:sz w:val="22"/>
          <w:szCs w:val="22"/>
          <w:lang w:val="en-US"/>
        </w:rPr>
        <w:t>)</w:t>
      </w:r>
      <w:r w:rsidRPr="00314E76">
        <w:rPr>
          <w:sz w:val="22"/>
          <w:szCs w:val="22"/>
          <w:lang w:val="en-US"/>
        </w:rPr>
        <w:t xml:space="preserve">. Credit Rationing in Markets with Imperfect Information. </w:t>
      </w:r>
      <w:r w:rsidRPr="00314E76">
        <w:rPr>
          <w:i/>
          <w:iCs/>
          <w:sz w:val="22"/>
          <w:szCs w:val="22"/>
          <w:lang w:val="en-US"/>
        </w:rPr>
        <w:t>The American Economic Review</w:t>
      </w:r>
      <w:r>
        <w:rPr>
          <w:sz w:val="22"/>
          <w:szCs w:val="22"/>
          <w:lang w:val="en-US"/>
        </w:rPr>
        <w:t>,</w:t>
      </w:r>
      <w:r w:rsidRPr="00314E76">
        <w:rPr>
          <w:sz w:val="22"/>
          <w:szCs w:val="22"/>
          <w:lang w:val="en-US"/>
        </w:rPr>
        <w:t xml:space="preserve"> 71(3)</w:t>
      </w:r>
      <w:r>
        <w:rPr>
          <w:sz w:val="22"/>
          <w:szCs w:val="22"/>
          <w:lang w:val="en-US"/>
        </w:rPr>
        <w:t xml:space="preserve">, </w:t>
      </w:r>
      <w:r w:rsidRPr="00314E76">
        <w:rPr>
          <w:sz w:val="22"/>
          <w:szCs w:val="22"/>
          <w:lang w:val="en-US"/>
        </w:rPr>
        <w:t>393-410</w:t>
      </w:r>
      <w:r>
        <w:rPr>
          <w:sz w:val="22"/>
          <w:szCs w:val="22"/>
          <w:lang w:val="en-US"/>
        </w:rPr>
        <w:t>.</w:t>
      </w:r>
    </w:p>
    <w:p w14:paraId="6DFE4ED6" w14:textId="77777777" w:rsidR="00AE7784" w:rsidRDefault="00AE7784" w:rsidP="003C6065">
      <w:pPr>
        <w:pStyle w:val="MainText"/>
        <w:spacing w:line="360" w:lineRule="auto"/>
        <w:ind w:left="425" w:hanging="425"/>
        <w:rPr>
          <w:sz w:val="22"/>
          <w:szCs w:val="22"/>
          <w:lang w:val="en-US"/>
        </w:rPr>
      </w:pPr>
      <w:r w:rsidRPr="007430DD">
        <w:rPr>
          <w:sz w:val="22"/>
          <w:szCs w:val="22"/>
          <w:lang w:val="en-US"/>
        </w:rPr>
        <w:t>T</w:t>
      </w:r>
      <w:r>
        <w:rPr>
          <w:sz w:val="22"/>
          <w:szCs w:val="22"/>
          <w:lang w:val="en-US"/>
        </w:rPr>
        <w:t>adesse</w:t>
      </w:r>
      <w:r w:rsidRPr="007430DD">
        <w:rPr>
          <w:sz w:val="22"/>
          <w:szCs w:val="22"/>
          <w:lang w:val="en-US"/>
        </w:rPr>
        <w:t>, S. (2006)</w:t>
      </w:r>
      <w:r>
        <w:rPr>
          <w:sz w:val="22"/>
          <w:szCs w:val="22"/>
          <w:lang w:val="en-US"/>
        </w:rPr>
        <w:t xml:space="preserve">. </w:t>
      </w:r>
      <w:r w:rsidRPr="007430DD">
        <w:rPr>
          <w:sz w:val="22"/>
          <w:szCs w:val="22"/>
          <w:lang w:val="en-US"/>
        </w:rPr>
        <w:t>The economic value of regulated disclosure: Evidence from the banking sector</w:t>
      </w:r>
      <w:r>
        <w:rPr>
          <w:sz w:val="22"/>
          <w:szCs w:val="22"/>
          <w:lang w:val="en-US"/>
        </w:rPr>
        <w:t>.</w:t>
      </w:r>
      <w:r w:rsidRPr="007430DD">
        <w:rPr>
          <w:sz w:val="22"/>
          <w:szCs w:val="22"/>
          <w:lang w:val="en-US"/>
        </w:rPr>
        <w:t xml:space="preserve"> </w:t>
      </w:r>
      <w:r w:rsidRPr="007430DD">
        <w:rPr>
          <w:i/>
          <w:iCs/>
          <w:sz w:val="22"/>
          <w:szCs w:val="22"/>
          <w:lang w:val="en-US"/>
        </w:rPr>
        <w:t>Journal of Accounting and Public Policy</w:t>
      </w:r>
      <w:r w:rsidRPr="007430DD">
        <w:rPr>
          <w:sz w:val="22"/>
          <w:szCs w:val="22"/>
          <w:lang w:val="en-US"/>
        </w:rPr>
        <w:t>, 25(1), 32-70</w:t>
      </w:r>
      <w:r>
        <w:rPr>
          <w:sz w:val="22"/>
          <w:szCs w:val="22"/>
          <w:lang w:val="en-US"/>
        </w:rPr>
        <w:t>.</w:t>
      </w:r>
    </w:p>
    <w:p w14:paraId="50235B48" w14:textId="77777777" w:rsidR="00AE7784" w:rsidRDefault="00AE7784" w:rsidP="00FA420C">
      <w:pPr>
        <w:pStyle w:val="MainText"/>
        <w:spacing w:line="360" w:lineRule="auto"/>
        <w:ind w:left="425" w:hanging="425"/>
        <w:rPr>
          <w:sz w:val="22"/>
          <w:szCs w:val="22"/>
          <w:lang w:val="en-US"/>
        </w:rPr>
      </w:pPr>
      <w:r w:rsidRPr="00FA420C">
        <w:rPr>
          <w:sz w:val="22"/>
          <w:szCs w:val="22"/>
          <w:lang w:val="en-US"/>
        </w:rPr>
        <w:t xml:space="preserve">Thorsten, </w:t>
      </w:r>
      <w:r>
        <w:rPr>
          <w:sz w:val="22"/>
          <w:szCs w:val="22"/>
          <w:lang w:val="en-US"/>
        </w:rPr>
        <w:t xml:space="preserve">B. &amp; </w:t>
      </w:r>
      <w:proofErr w:type="spellStart"/>
      <w:r w:rsidRPr="00FA420C">
        <w:rPr>
          <w:sz w:val="22"/>
          <w:szCs w:val="22"/>
          <w:lang w:val="en-US"/>
        </w:rPr>
        <w:t>Demirgüç-Kunt</w:t>
      </w:r>
      <w:proofErr w:type="spellEnd"/>
      <w:r>
        <w:rPr>
          <w:sz w:val="22"/>
          <w:szCs w:val="22"/>
          <w:lang w:val="en-US"/>
        </w:rPr>
        <w:t xml:space="preserve">, A. (2006). </w:t>
      </w:r>
      <w:r w:rsidRPr="00FA420C">
        <w:rPr>
          <w:sz w:val="22"/>
          <w:szCs w:val="22"/>
          <w:lang w:val="en-US"/>
        </w:rPr>
        <w:t>Small and Medium-size Enterprises: Access to Finance as a</w:t>
      </w:r>
      <w:r>
        <w:rPr>
          <w:sz w:val="22"/>
          <w:szCs w:val="22"/>
          <w:lang w:val="en-US"/>
        </w:rPr>
        <w:t xml:space="preserve"> </w:t>
      </w:r>
      <w:r w:rsidRPr="00FA420C">
        <w:rPr>
          <w:sz w:val="22"/>
          <w:szCs w:val="22"/>
          <w:lang w:val="en-US"/>
        </w:rPr>
        <w:t>Growth Constraint.</w:t>
      </w:r>
      <w:r>
        <w:rPr>
          <w:sz w:val="22"/>
          <w:szCs w:val="22"/>
          <w:lang w:val="en-US"/>
        </w:rPr>
        <w:t xml:space="preserve"> </w:t>
      </w:r>
      <w:r w:rsidRPr="00FA420C">
        <w:rPr>
          <w:i/>
          <w:iCs/>
          <w:sz w:val="22"/>
          <w:szCs w:val="22"/>
          <w:lang w:val="en-US"/>
        </w:rPr>
        <w:t>Journal of Banking &amp; Finance</w:t>
      </w:r>
      <w:r>
        <w:rPr>
          <w:sz w:val="22"/>
          <w:szCs w:val="22"/>
          <w:lang w:val="en-US"/>
        </w:rPr>
        <w:t>,</w:t>
      </w:r>
      <w:r w:rsidRPr="00FA420C">
        <w:rPr>
          <w:sz w:val="22"/>
          <w:szCs w:val="22"/>
          <w:lang w:val="en-US"/>
        </w:rPr>
        <w:t xml:space="preserve"> 30(11)</w:t>
      </w:r>
      <w:r>
        <w:rPr>
          <w:sz w:val="22"/>
          <w:szCs w:val="22"/>
          <w:lang w:val="en-US"/>
        </w:rPr>
        <w:t xml:space="preserve">, </w:t>
      </w:r>
      <w:r w:rsidRPr="00FA420C">
        <w:rPr>
          <w:sz w:val="22"/>
          <w:szCs w:val="22"/>
          <w:lang w:val="en-US"/>
        </w:rPr>
        <w:t>2931-</w:t>
      </w:r>
      <w:r>
        <w:rPr>
          <w:sz w:val="22"/>
          <w:szCs w:val="22"/>
          <w:lang w:val="en-US"/>
        </w:rPr>
        <w:t>29</w:t>
      </w:r>
      <w:r w:rsidRPr="00FA420C">
        <w:rPr>
          <w:sz w:val="22"/>
          <w:szCs w:val="22"/>
          <w:lang w:val="en-US"/>
        </w:rPr>
        <w:t>43.</w:t>
      </w:r>
    </w:p>
    <w:p w14:paraId="7771B697" w14:textId="77777777" w:rsidR="00AE7784" w:rsidRDefault="00AE7784" w:rsidP="002B0808">
      <w:pPr>
        <w:pStyle w:val="MainText"/>
        <w:spacing w:line="360" w:lineRule="auto"/>
        <w:ind w:left="425" w:hanging="425"/>
        <w:rPr>
          <w:sz w:val="22"/>
          <w:szCs w:val="22"/>
          <w:lang w:val="en-US"/>
        </w:rPr>
      </w:pPr>
      <w:r w:rsidRPr="002B0808">
        <w:rPr>
          <w:sz w:val="22"/>
          <w:szCs w:val="22"/>
          <w:lang w:val="en-US"/>
        </w:rPr>
        <w:t>Watson, I</w:t>
      </w:r>
      <w:r>
        <w:rPr>
          <w:sz w:val="22"/>
          <w:szCs w:val="22"/>
          <w:lang w:val="en-US"/>
        </w:rPr>
        <w:t>.</w:t>
      </w:r>
      <w:r w:rsidRPr="002B0808">
        <w:rPr>
          <w:sz w:val="22"/>
          <w:szCs w:val="22"/>
          <w:lang w:val="en-US"/>
        </w:rPr>
        <w:t xml:space="preserve"> (1986)</w:t>
      </w:r>
      <w:r>
        <w:rPr>
          <w:sz w:val="22"/>
          <w:szCs w:val="22"/>
          <w:lang w:val="en-US"/>
        </w:rPr>
        <w:t>.</w:t>
      </w:r>
      <w:r w:rsidRPr="002B0808">
        <w:rPr>
          <w:sz w:val="22"/>
          <w:szCs w:val="22"/>
          <w:lang w:val="en-US"/>
        </w:rPr>
        <w:t xml:space="preserve"> Managing the relationship with corporate clients</w:t>
      </w:r>
      <w:r>
        <w:rPr>
          <w:sz w:val="22"/>
          <w:szCs w:val="22"/>
          <w:lang w:val="en-US"/>
        </w:rPr>
        <w:t>.</w:t>
      </w:r>
      <w:r w:rsidRPr="002B0808">
        <w:rPr>
          <w:sz w:val="22"/>
          <w:szCs w:val="22"/>
          <w:lang w:val="en-US"/>
        </w:rPr>
        <w:t xml:space="preserve"> </w:t>
      </w:r>
      <w:r w:rsidRPr="002B0808">
        <w:rPr>
          <w:i/>
          <w:iCs/>
          <w:sz w:val="22"/>
          <w:szCs w:val="22"/>
          <w:lang w:val="en-US"/>
        </w:rPr>
        <w:t>International Journal of Bank Marketing</w:t>
      </w:r>
      <w:r w:rsidRPr="002B0808">
        <w:rPr>
          <w:sz w:val="22"/>
          <w:szCs w:val="22"/>
          <w:lang w:val="en-US"/>
        </w:rPr>
        <w:t xml:space="preserve">, </w:t>
      </w:r>
      <w:r>
        <w:rPr>
          <w:sz w:val="22"/>
          <w:szCs w:val="22"/>
          <w:lang w:val="en-US"/>
        </w:rPr>
        <w:t xml:space="preserve">4(1), </w:t>
      </w:r>
      <w:r w:rsidRPr="002B0808">
        <w:rPr>
          <w:sz w:val="22"/>
          <w:szCs w:val="22"/>
          <w:lang w:val="en-US"/>
        </w:rPr>
        <w:t>19-34.</w:t>
      </w:r>
    </w:p>
    <w:p w14:paraId="6076AC19" w14:textId="77777777" w:rsidR="00AE7784" w:rsidRDefault="00AE7784" w:rsidP="00F42FD8">
      <w:pPr>
        <w:pStyle w:val="MainText"/>
        <w:spacing w:line="360" w:lineRule="auto"/>
        <w:ind w:left="425" w:hanging="425"/>
        <w:rPr>
          <w:sz w:val="22"/>
          <w:szCs w:val="22"/>
          <w:lang w:val="en-US"/>
        </w:rPr>
      </w:pPr>
      <w:r w:rsidRPr="00F42FD8">
        <w:rPr>
          <w:sz w:val="22"/>
          <w:szCs w:val="22"/>
          <w:lang w:val="en-US"/>
        </w:rPr>
        <w:t>Williamson, O.E.</w:t>
      </w:r>
      <w:r>
        <w:rPr>
          <w:sz w:val="22"/>
          <w:szCs w:val="22"/>
          <w:lang w:val="en-US"/>
        </w:rPr>
        <w:t xml:space="preserve"> (</w:t>
      </w:r>
      <w:r w:rsidRPr="00F42FD8">
        <w:rPr>
          <w:sz w:val="22"/>
          <w:szCs w:val="22"/>
          <w:lang w:val="en-US"/>
        </w:rPr>
        <w:t>198</w:t>
      </w:r>
      <w:r>
        <w:rPr>
          <w:sz w:val="22"/>
          <w:szCs w:val="22"/>
          <w:lang w:val="en-US"/>
        </w:rPr>
        <w:t>7)</w:t>
      </w:r>
      <w:r w:rsidRPr="00F42FD8">
        <w:rPr>
          <w:sz w:val="22"/>
          <w:szCs w:val="22"/>
          <w:lang w:val="en-US"/>
        </w:rPr>
        <w:t xml:space="preserve">. </w:t>
      </w:r>
      <w:r w:rsidRPr="00D57B08">
        <w:rPr>
          <w:i/>
          <w:iCs/>
          <w:sz w:val="22"/>
          <w:szCs w:val="22"/>
          <w:lang w:val="en-US"/>
        </w:rPr>
        <w:t>The Economic Institutions of Capitalism</w:t>
      </w:r>
      <w:r>
        <w:rPr>
          <w:sz w:val="22"/>
          <w:szCs w:val="22"/>
          <w:lang w:val="en-US"/>
        </w:rPr>
        <w:t xml:space="preserve">. </w:t>
      </w:r>
      <w:r w:rsidRPr="00F42FD8">
        <w:rPr>
          <w:sz w:val="22"/>
          <w:szCs w:val="22"/>
          <w:lang w:val="en-US"/>
        </w:rPr>
        <w:t>New</w:t>
      </w:r>
      <w:r>
        <w:rPr>
          <w:sz w:val="22"/>
          <w:szCs w:val="22"/>
          <w:lang w:val="en-US"/>
        </w:rPr>
        <w:t xml:space="preserve"> </w:t>
      </w:r>
      <w:r w:rsidRPr="00F42FD8">
        <w:rPr>
          <w:sz w:val="22"/>
          <w:szCs w:val="22"/>
          <w:lang w:val="en-US"/>
        </w:rPr>
        <w:t>York</w:t>
      </w:r>
      <w:r>
        <w:rPr>
          <w:sz w:val="22"/>
          <w:szCs w:val="22"/>
          <w:lang w:val="en-US"/>
        </w:rPr>
        <w:t xml:space="preserve">: </w:t>
      </w:r>
      <w:r w:rsidRPr="00F42FD8">
        <w:rPr>
          <w:sz w:val="22"/>
          <w:szCs w:val="22"/>
          <w:lang w:val="en-US"/>
        </w:rPr>
        <w:t>The Free Press</w:t>
      </w:r>
      <w:r>
        <w:rPr>
          <w:sz w:val="22"/>
          <w:szCs w:val="22"/>
          <w:lang w:val="en-US"/>
        </w:rPr>
        <w:t>.</w:t>
      </w:r>
    </w:p>
    <w:p w14:paraId="43B534FE" w14:textId="77777777" w:rsidR="00AE7784" w:rsidRDefault="00AE7784" w:rsidP="000947A2">
      <w:pPr>
        <w:pStyle w:val="MainText"/>
        <w:spacing w:line="360" w:lineRule="auto"/>
        <w:ind w:left="425" w:hanging="425"/>
        <w:rPr>
          <w:sz w:val="22"/>
          <w:szCs w:val="22"/>
          <w:lang w:val="en-US"/>
        </w:rPr>
      </w:pPr>
      <w:r w:rsidRPr="0067181C">
        <w:rPr>
          <w:sz w:val="22"/>
          <w:szCs w:val="22"/>
          <w:lang w:val="en-US"/>
        </w:rPr>
        <w:t xml:space="preserve">Zulfikar, R., May, N., </w:t>
      </w:r>
      <w:proofErr w:type="spellStart"/>
      <w:r w:rsidRPr="0067181C">
        <w:rPr>
          <w:sz w:val="22"/>
          <w:szCs w:val="22"/>
          <w:lang w:val="en-US"/>
        </w:rPr>
        <w:t>Suhardjanto</w:t>
      </w:r>
      <w:proofErr w:type="spellEnd"/>
      <w:r w:rsidRPr="0067181C">
        <w:rPr>
          <w:sz w:val="22"/>
          <w:szCs w:val="22"/>
          <w:lang w:val="en-US"/>
        </w:rPr>
        <w:t>, D.</w:t>
      </w:r>
      <w:r>
        <w:rPr>
          <w:sz w:val="22"/>
          <w:szCs w:val="22"/>
          <w:lang w:val="en-US"/>
        </w:rPr>
        <w:t xml:space="preserve"> &amp;</w:t>
      </w:r>
      <w:r w:rsidRPr="0067181C">
        <w:rPr>
          <w:sz w:val="22"/>
          <w:szCs w:val="22"/>
          <w:lang w:val="en-US"/>
        </w:rPr>
        <w:t xml:space="preserve"> </w:t>
      </w:r>
      <w:proofErr w:type="spellStart"/>
      <w:r w:rsidRPr="0067181C">
        <w:rPr>
          <w:sz w:val="22"/>
          <w:szCs w:val="22"/>
          <w:lang w:val="en-US"/>
        </w:rPr>
        <w:t>Agustiningsih</w:t>
      </w:r>
      <w:proofErr w:type="spellEnd"/>
      <w:r w:rsidRPr="0067181C">
        <w:rPr>
          <w:sz w:val="22"/>
          <w:szCs w:val="22"/>
          <w:lang w:val="en-US"/>
        </w:rPr>
        <w:t>, S.W. (2017). Independent commissioner against mandatory disclosure of financial</w:t>
      </w:r>
      <w:r>
        <w:rPr>
          <w:sz w:val="22"/>
          <w:szCs w:val="22"/>
          <w:lang w:val="en-US"/>
        </w:rPr>
        <w:t xml:space="preserve"> </w:t>
      </w:r>
      <w:r w:rsidRPr="0067181C">
        <w:rPr>
          <w:sz w:val="22"/>
          <w:szCs w:val="22"/>
          <w:lang w:val="en-US"/>
        </w:rPr>
        <w:t xml:space="preserve">performance as a moderating variable. </w:t>
      </w:r>
      <w:r w:rsidRPr="0067181C">
        <w:rPr>
          <w:i/>
          <w:iCs/>
          <w:sz w:val="22"/>
          <w:szCs w:val="22"/>
          <w:lang w:val="en-US"/>
        </w:rPr>
        <w:t xml:space="preserve">Review of Integrative </w:t>
      </w:r>
      <w:proofErr w:type="spellStart"/>
      <w:r w:rsidRPr="0067181C">
        <w:rPr>
          <w:i/>
          <w:iCs/>
          <w:sz w:val="22"/>
          <w:szCs w:val="22"/>
          <w:lang w:val="en-US"/>
        </w:rPr>
        <w:t>Busines</w:t>
      </w:r>
      <w:proofErr w:type="spellEnd"/>
      <w:r w:rsidRPr="0067181C">
        <w:rPr>
          <w:i/>
          <w:iCs/>
          <w:sz w:val="22"/>
          <w:szCs w:val="22"/>
          <w:lang w:val="en-US"/>
        </w:rPr>
        <w:t xml:space="preserve"> Economics Research</w:t>
      </w:r>
      <w:r w:rsidRPr="0067181C">
        <w:rPr>
          <w:sz w:val="22"/>
          <w:szCs w:val="22"/>
          <w:lang w:val="en-US"/>
        </w:rPr>
        <w:t xml:space="preserve">, </w:t>
      </w:r>
      <w:r>
        <w:rPr>
          <w:sz w:val="22"/>
          <w:szCs w:val="22"/>
          <w:lang w:val="en-US"/>
        </w:rPr>
        <w:t xml:space="preserve">6(3), </w:t>
      </w:r>
      <w:r w:rsidRPr="0067181C">
        <w:rPr>
          <w:sz w:val="22"/>
          <w:szCs w:val="22"/>
          <w:lang w:val="en-US"/>
        </w:rPr>
        <w:t>205-216.</w:t>
      </w:r>
    </w:p>
    <w:sectPr w:rsidR="00AE7784">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2638F" w14:textId="77777777" w:rsidR="00AC3251" w:rsidRDefault="00AC3251" w:rsidP="00E03372">
      <w:pPr>
        <w:spacing w:after="0" w:line="240" w:lineRule="auto"/>
      </w:pPr>
      <w:r>
        <w:separator/>
      </w:r>
    </w:p>
  </w:endnote>
  <w:endnote w:type="continuationSeparator" w:id="0">
    <w:p w14:paraId="122E42E1" w14:textId="77777777" w:rsidR="00AC3251" w:rsidRDefault="00AC3251" w:rsidP="00E03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8118865"/>
      <w:docPartObj>
        <w:docPartGallery w:val="Page Numbers (Bottom of Page)"/>
        <w:docPartUnique/>
      </w:docPartObj>
    </w:sdtPr>
    <w:sdtEndPr/>
    <w:sdtContent>
      <w:p w14:paraId="4A8CBC32" w14:textId="77777777" w:rsidR="00A86F41" w:rsidRDefault="00A86F41">
        <w:pPr>
          <w:pStyle w:val="Pidipagina"/>
          <w:jc w:val="right"/>
        </w:pPr>
        <w:r>
          <w:fldChar w:fldCharType="begin"/>
        </w:r>
        <w:r>
          <w:instrText>PAGE   \* MERGEFORMAT</w:instrText>
        </w:r>
        <w:r>
          <w:fldChar w:fldCharType="separate"/>
        </w:r>
        <w:r>
          <w:rPr>
            <w:noProof/>
          </w:rPr>
          <w:t>12</w:t>
        </w:r>
        <w:r>
          <w:fldChar w:fldCharType="end"/>
        </w:r>
      </w:p>
    </w:sdtContent>
  </w:sdt>
  <w:p w14:paraId="141CA129" w14:textId="77777777" w:rsidR="00A86F41" w:rsidRDefault="00A86F4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68250" w14:textId="77777777" w:rsidR="00AC3251" w:rsidRDefault="00AC3251" w:rsidP="00E03372">
      <w:pPr>
        <w:spacing w:after="0" w:line="240" w:lineRule="auto"/>
      </w:pPr>
      <w:r>
        <w:separator/>
      </w:r>
    </w:p>
  </w:footnote>
  <w:footnote w:type="continuationSeparator" w:id="0">
    <w:p w14:paraId="21B09585" w14:textId="77777777" w:rsidR="00AC3251" w:rsidRDefault="00AC3251" w:rsidP="00E033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14766"/>
    <w:multiLevelType w:val="hybridMultilevel"/>
    <w:tmpl w:val="5EA43D14"/>
    <w:lvl w:ilvl="0" w:tplc="470ADF60">
      <w:start w:val="1"/>
      <w:numFmt w:val="decimal"/>
      <w:lvlText w:val="%1."/>
      <w:lvlJc w:val="left"/>
      <w:pPr>
        <w:ind w:left="567" w:hanging="207"/>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142D3857"/>
    <w:multiLevelType w:val="hybridMultilevel"/>
    <w:tmpl w:val="4C22023E"/>
    <w:lvl w:ilvl="0" w:tplc="AAAC1B84">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AB62C1"/>
    <w:multiLevelType w:val="hybridMultilevel"/>
    <w:tmpl w:val="9ABA6E4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8631FC"/>
    <w:multiLevelType w:val="hybridMultilevel"/>
    <w:tmpl w:val="6134780A"/>
    <w:lvl w:ilvl="0" w:tplc="0108F8D4">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12C1DFA"/>
    <w:multiLevelType w:val="hybridMultilevel"/>
    <w:tmpl w:val="7B387C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D0513B"/>
    <w:multiLevelType w:val="hybridMultilevel"/>
    <w:tmpl w:val="086442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18D4F5C"/>
    <w:multiLevelType w:val="multilevel"/>
    <w:tmpl w:val="81E6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455352"/>
    <w:multiLevelType w:val="hybridMultilevel"/>
    <w:tmpl w:val="0C3CCF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4021CC3"/>
    <w:multiLevelType w:val="hybridMultilevel"/>
    <w:tmpl w:val="ADFAE398"/>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8C66925"/>
    <w:multiLevelType w:val="hybridMultilevel"/>
    <w:tmpl w:val="0F2EA5E6"/>
    <w:lvl w:ilvl="0" w:tplc="470ADF60">
      <w:start w:val="1"/>
      <w:numFmt w:val="decimal"/>
      <w:lvlText w:val="%1."/>
      <w:lvlJc w:val="left"/>
      <w:pPr>
        <w:ind w:left="567" w:hanging="207"/>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5C574604"/>
    <w:multiLevelType w:val="hybridMultilevel"/>
    <w:tmpl w:val="195AD5C6"/>
    <w:lvl w:ilvl="0" w:tplc="AAAC1B84">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FD42238"/>
    <w:multiLevelType w:val="hybridMultilevel"/>
    <w:tmpl w:val="E3FA9DE6"/>
    <w:lvl w:ilvl="0" w:tplc="0410000F">
      <w:start w:val="1"/>
      <w:numFmt w:val="decimal"/>
      <w:lvlText w:val="%1."/>
      <w:lvlJc w:val="left"/>
      <w:pPr>
        <w:ind w:left="1004" w:hanging="720"/>
      </w:pPr>
      <w:rPr>
        <w:rFonts w:hint="default"/>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15:restartNumberingAfterBreak="0">
    <w:nsid w:val="61FB2337"/>
    <w:multiLevelType w:val="hybridMultilevel"/>
    <w:tmpl w:val="3D3477F6"/>
    <w:lvl w:ilvl="0" w:tplc="CBA86CC8">
      <w:numFmt w:val="bullet"/>
      <w:lvlText w:val="–"/>
      <w:lvlJc w:val="left"/>
      <w:pPr>
        <w:ind w:left="1146" w:hanging="360"/>
      </w:pPr>
      <w:rPr>
        <w:rFonts w:ascii="Times New Roman" w:eastAsia="Times New Roman" w:hAnsi="Times New Roman" w:cs="Times New Roman" w:hint="default"/>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hint="default"/>
      </w:rPr>
    </w:lvl>
  </w:abstractNum>
  <w:abstractNum w:abstractNumId="13" w15:restartNumberingAfterBreak="0">
    <w:nsid w:val="64D33DAE"/>
    <w:multiLevelType w:val="hybridMultilevel"/>
    <w:tmpl w:val="C628AA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C4F6BF6"/>
    <w:multiLevelType w:val="hybridMultilevel"/>
    <w:tmpl w:val="6AFA74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D6B6A8A"/>
    <w:multiLevelType w:val="hybridMultilevel"/>
    <w:tmpl w:val="B6849B2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1E53FD5"/>
    <w:multiLevelType w:val="hybridMultilevel"/>
    <w:tmpl w:val="284C634E"/>
    <w:lvl w:ilvl="0" w:tplc="0410000F">
      <w:start w:val="1"/>
      <w:numFmt w:val="decimal"/>
      <w:lvlText w:val="%1."/>
      <w:lvlJc w:val="left"/>
      <w:pPr>
        <w:ind w:left="567" w:hanging="207"/>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725276A8"/>
    <w:multiLevelType w:val="hybridMultilevel"/>
    <w:tmpl w:val="DF00B6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25B674F"/>
    <w:multiLevelType w:val="hybridMultilevel"/>
    <w:tmpl w:val="32CC3F68"/>
    <w:lvl w:ilvl="0" w:tplc="CBA86CC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
  </w:num>
  <w:num w:numId="4">
    <w:abstractNumId w:val="10"/>
  </w:num>
  <w:num w:numId="5">
    <w:abstractNumId w:val="1"/>
  </w:num>
  <w:num w:numId="6">
    <w:abstractNumId w:val="11"/>
  </w:num>
  <w:num w:numId="7">
    <w:abstractNumId w:val="14"/>
  </w:num>
  <w:num w:numId="8">
    <w:abstractNumId w:val="5"/>
  </w:num>
  <w:num w:numId="9">
    <w:abstractNumId w:val="18"/>
  </w:num>
  <w:num w:numId="10">
    <w:abstractNumId w:val="15"/>
  </w:num>
  <w:num w:numId="11">
    <w:abstractNumId w:val="6"/>
  </w:num>
  <w:num w:numId="12">
    <w:abstractNumId w:val="8"/>
  </w:num>
  <w:num w:numId="13">
    <w:abstractNumId w:val="17"/>
  </w:num>
  <w:num w:numId="14">
    <w:abstractNumId w:val="3"/>
  </w:num>
  <w:num w:numId="15">
    <w:abstractNumId w:val="9"/>
  </w:num>
  <w:num w:numId="16">
    <w:abstractNumId w:val="0"/>
  </w:num>
  <w:num w:numId="17">
    <w:abstractNumId w:val="16"/>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6AE7"/>
    <w:rsid w:val="00001A3B"/>
    <w:rsid w:val="00005EC5"/>
    <w:rsid w:val="00006782"/>
    <w:rsid w:val="0000698F"/>
    <w:rsid w:val="00006A55"/>
    <w:rsid w:val="00006AC1"/>
    <w:rsid w:val="00006F9E"/>
    <w:rsid w:val="00010BF7"/>
    <w:rsid w:val="00013C3C"/>
    <w:rsid w:val="0001441B"/>
    <w:rsid w:val="000152DF"/>
    <w:rsid w:val="0001530E"/>
    <w:rsid w:val="000167EF"/>
    <w:rsid w:val="00016D10"/>
    <w:rsid w:val="00016E17"/>
    <w:rsid w:val="00016F62"/>
    <w:rsid w:val="00022659"/>
    <w:rsid w:val="00022C1F"/>
    <w:rsid w:val="0002337A"/>
    <w:rsid w:val="0002596A"/>
    <w:rsid w:val="00026BE0"/>
    <w:rsid w:val="00026CF8"/>
    <w:rsid w:val="000276A6"/>
    <w:rsid w:val="00031E83"/>
    <w:rsid w:val="000325D8"/>
    <w:rsid w:val="00032D0E"/>
    <w:rsid w:val="000334BA"/>
    <w:rsid w:val="00033DF2"/>
    <w:rsid w:val="00033E80"/>
    <w:rsid w:val="00033FC5"/>
    <w:rsid w:val="000356C0"/>
    <w:rsid w:val="00035847"/>
    <w:rsid w:val="00040707"/>
    <w:rsid w:val="00041628"/>
    <w:rsid w:val="00041D5B"/>
    <w:rsid w:val="0004282F"/>
    <w:rsid w:val="000470C0"/>
    <w:rsid w:val="000476E7"/>
    <w:rsid w:val="00050117"/>
    <w:rsid w:val="0005034C"/>
    <w:rsid w:val="0005198A"/>
    <w:rsid w:val="0005296A"/>
    <w:rsid w:val="00053646"/>
    <w:rsid w:val="0005383D"/>
    <w:rsid w:val="00053856"/>
    <w:rsid w:val="00060670"/>
    <w:rsid w:val="000609D7"/>
    <w:rsid w:val="0006172A"/>
    <w:rsid w:val="00061D2E"/>
    <w:rsid w:val="000639F6"/>
    <w:rsid w:val="00066070"/>
    <w:rsid w:val="0006747C"/>
    <w:rsid w:val="00071695"/>
    <w:rsid w:val="00072EDA"/>
    <w:rsid w:val="00073740"/>
    <w:rsid w:val="00074A60"/>
    <w:rsid w:val="000754AB"/>
    <w:rsid w:val="00075AF4"/>
    <w:rsid w:val="00076822"/>
    <w:rsid w:val="00077397"/>
    <w:rsid w:val="00080667"/>
    <w:rsid w:val="00082137"/>
    <w:rsid w:val="00082C4C"/>
    <w:rsid w:val="00082F0F"/>
    <w:rsid w:val="00083007"/>
    <w:rsid w:val="000842F6"/>
    <w:rsid w:val="00085702"/>
    <w:rsid w:val="0008620E"/>
    <w:rsid w:val="00086B36"/>
    <w:rsid w:val="000872FC"/>
    <w:rsid w:val="000947A2"/>
    <w:rsid w:val="00096233"/>
    <w:rsid w:val="00096DFD"/>
    <w:rsid w:val="00096F55"/>
    <w:rsid w:val="000971EA"/>
    <w:rsid w:val="00097908"/>
    <w:rsid w:val="000A1E8F"/>
    <w:rsid w:val="000A5D00"/>
    <w:rsid w:val="000B0195"/>
    <w:rsid w:val="000B080B"/>
    <w:rsid w:val="000B0BF5"/>
    <w:rsid w:val="000B33ED"/>
    <w:rsid w:val="000B364B"/>
    <w:rsid w:val="000B4720"/>
    <w:rsid w:val="000B558A"/>
    <w:rsid w:val="000B5C84"/>
    <w:rsid w:val="000B6CFF"/>
    <w:rsid w:val="000B72D0"/>
    <w:rsid w:val="000B7B32"/>
    <w:rsid w:val="000C00C1"/>
    <w:rsid w:val="000C1925"/>
    <w:rsid w:val="000C19B5"/>
    <w:rsid w:val="000C5EE7"/>
    <w:rsid w:val="000D2A12"/>
    <w:rsid w:val="000D2FF1"/>
    <w:rsid w:val="000D3A96"/>
    <w:rsid w:val="000D4F64"/>
    <w:rsid w:val="000D78E6"/>
    <w:rsid w:val="000E059B"/>
    <w:rsid w:val="000E0DA6"/>
    <w:rsid w:val="000E2BDB"/>
    <w:rsid w:val="000E2C34"/>
    <w:rsid w:val="000E453F"/>
    <w:rsid w:val="000E4C73"/>
    <w:rsid w:val="000E6AEA"/>
    <w:rsid w:val="000E762D"/>
    <w:rsid w:val="000E7EAD"/>
    <w:rsid w:val="000F1284"/>
    <w:rsid w:val="000F141A"/>
    <w:rsid w:val="000F1F9B"/>
    <w:rsid w:val="000F295D"/>
    <w:rsid w:val="000F5C7C"/>
    <w:rsid w:val="000F7A09"/>
    <w:rsid w:val="00100C95"/>
    <w:rsid w:val="00100E1B"/>
    <w:rsid w:val="001031D7"/>
    <w:rsid w:val="0010519F"/>
    <w:rsid w:val="0011116A"/>
    <w:rsid w:val="00111554"/>
    <w:rsid w:val="001118F9"/>
    <w:rsid w:val="00111E73"/>
    <w:rsid w:val="00113394"/>
    <w:rsid w:val="0011395D"/>
    <w:rsid w:val="00115026"/>
    <w:rsid w:val="001152D9"/>
    <w:rsid w:val="001153F1"/>
    <w:rsid w:val="00115E02"/>
    <w:rsid w:val="0011628F"/>
    <w:rsid w:val="00116B4F"/>
    <w:rsid w:val="0011721F"/>
    <w:rsid w:val="00121F87"/>
    <w:rsid w:val="00122402"/>
    <w:rsid w:val="00124092"/>
    <w:rsid w:val="00127414"/>
    <w:rsid w:val="001278FD"/>
    <w:rsid w:val="00130D8B"/>
    <w:rsid w:val="00130F98"/>
    <w:rsid w:val="00131DF4"/>
    <w:rsid w:val="00142493"/>
    <w:rsid w:val="00144DB3"/>
    <w:rsid w:val="00146B0E"/>
    <w:rsid w:val="0014721F"/>
    <w:rsid w:val="00147936"/>
    <w:rsid w:val="00151CA6"/>
    <w:rsid w:val="00153306"/>
    <w:rsid w:val="0015370E"/>
    <w:rsid w:val="001544A0"/>
    <w:rsid w:val="00157C2F"/>
    <w:rsid w:val="001619E6"/>
    <w:rsid w:val="00161AF8"/>
    <w:rsid w:val="001621BF"/>
    <w:rsid w:val="00162498"/>
    <w:rsid w:val="001637C4"/>
    <w:rsid w:val="00166C92"/>
    <w:rsid w:val="00167D0D"/>
    <w:rsid w:val="00170EA5"/>
    <w:rsid w:val="00170EF6"/>
    <w:rsid w:val="001757F5"/>
    <w:rsid w:val="00175E19"/>
    <w:rsid w:val="0017661C"/>
    <w:rsid w:val="00177F6A"/>
    <w:rsid w:val="0018272E"/>
    <w:rsid w:val="00184442"/>
    <w:rsid w:val="0018652E"/>
    <w:rsid w:val="00190B42"/>
    <w:rsid w:val="00192286"/>
    <w:rsid w:val="001922C3"/>
    <w:rsid w:val="00197B0E"/>
    <w:rsid w:val="001A1826"/>
    <w:rsid w:val="001A4A38"/>
    <w:rsid w:val="001A52C2"/>
    <w:rsid w:val="001A5663"/>
    <w:rsid w:val="001A5886"/>
    <w:rsid w:val="001A60EC"/>
    <w:rsid w:val="001A6EDE"/>
    <w:rsid w:val="001B02A0"/>
    <w:rsid w:val="001B135A"/>
    <w:rsid w:val="001B1694"/>
    <w:rsid w:val="001B4859"/>
    <w:rsid w:val="001B48B9"/>
    <w:rsid w:val="001B5B9D"/>
    <w:rsid w:val="001B5C31"/>
    <w:rsid w:val="001B6341"/>
    <w:rsid w:val="001B637F"/>
    <w:rsid w:val="001B72CB"/>
    <w:rsid w:val="001C0D1F"/>
    <w:rsid w:val="001C4E1F"/>
    <w:rsid w:val="001C6736"/>
    <w:rsid w:val="001C69D8"/>
    <w:rsid w:val="001C71AB"/>
    <w:rsid w:val="001C72BA"/>
    <w:rsid w:val="001C76E8"/>
    <w:rsid w:val="001D08BF"/>
    <w:rsid w:val="001D1A64"/>
    <w:rsid w:val="001D2850"/>
    <w:rsid w:val="001D5AB8"/>
    <w:rsid w:val="001D644E"/>
    <w:rsid w:val="001E00C8"/>
    <w:rsid w:val="001E499B"/>
    <w:rsid w:val="001F0135"/>
    <w:rsid w:val="001F10E9"/>
    <w:rsid w:val="001F640A"/>
    <w:rsid w:val="001F6D4E"/>
    <w:rsid w:val="002005EA"/>
    <w:rsid w:val="00201917"/>
    <w:rsid w:val="00201C40"/>
    <w:rsid w:val="00201FCF"/>
    <w:rsid w:val="00202498"/>
    <w:rsid w:val="00202A9A"/>
    <w:rsid w:val="00203804"/>
    <w:rsid w:val="002068EC"/>
    <w:rsid w:val="00206DEF"/>
    <w:rsid w:val="00207CDB"/>
    <w:rsid w:val="00212762"/>
    <w:rsid w:val="002128FE"/>
    <w:rsid w:val="0021372D"/>
    <w:rsid w:val="00216B71"/>
    <w:rsid w:val="00222858"/>
    <w:rsid w:val="002234A6"/>
    <w:rsid w:val="0022525C"/>
    <w:rsid w:val="00225B6E"/>
    <w:rsid w:val="0022686C"/>
    <w:rsid w:val="00230D91"/>
    <w:rsid w:val="0023548B"/>
    <w:rsid w:val="00236167"/>
    <w:rsid w:val="00242F54"/>
    <w:rsid w:val="002436FB"/>
    <w:rsid w:val="00245D2D"/>
    <w:rsid w:val="00246D47"/>
    <w:rsid w:val="00254374"/>
    <w:rsid w:val="00254C87"/>
    <w:rsid w:val="00254CDE"/>
    <w:rsid w:val="00255E32"/>
    <w:rsid w:val="002578D4"/>
    <w:rsid w:val="00263006"/>
    <w:rsid w:val="002632AF"/>
    <w:rsid w:val="00263B5B"/>
    <w:rsid w:val="002644A2"/>
    <w:rsid w:val="002662FB"/>
    <w:rsid w:val="00266AE7"/>
    <w:rsid w:val="00266CE5"/>
    <w:rsid w:val="0026772D"/>
    <w:rsid w:val="00272D7E"/>
    <w:rsid w:val="0027322F"/>
    <w:rsid w:val="00273A16"/>
    <w:rsid w:val="00277E9E"/>
    <w:rsid w:val="002803D1"/>
    <w:rsid w:val="00284A2F"/>
    <w:rsid w:val="00285F45"/>
    <w:rsid w:val="0028619E"/>
    <w:rsid w:val="00287108"/>
    <w:rsid w:val="00287715"/>
    <w:rsid w:val="00293045"/>
    <w:rsid w:val="002945A6"/>
    <w:rsid w:val="002945B0"/>
    <w:rsid w:val="00295BE1"/>
    <w:rsid w:val="002967D2"/>
    <w:rsid w:val="00297337"/>
    <w:rsid w:val="002A2CFC"/>
    <w:rsid w:val="002A2D43"/>
    <w:rsid w:val="002A2FB4"/>
    <w:rsid w:val="002A31E6"/>
    <w:rsid w:val="002A3332"/>
    <w:rsid w:val="002A409C"/>
    <w:rsid w:val="002A4B69"/>
    <w:rsid w:val="002A5BC4"/>
    <w:rsid w:val="002A5CE2"/>
    <w:rsid w:val="002B0559"/>
    <w:rsid w:val="002B0808"/>
    <w:rsid w:val="002B17D8"/>
    <w:rsid w:val="002B1D47"/>
    <w:rsid w:val="002B24ED"/>
    <w:rsid w:val="002B5352"/>
    <w:rsid w:val="002B629D"/>
    <w:rsid w:val="002C0264"/>
    <w:rsid w:val="002C103F"/>
    <w:rsid w:val="002C119B"/>
    <w:rsid w:val="002C320A"/>
    <w:rsid w:val="002C3A25"/>
    <w:rsid w:val="002C723A"/>
    <w:rsid w:val="002D1062"/>
    <w:rsid w:val="002D1068"/>
    <w:rsid w:val="002D1FAC"/>
    <w:rsid w:val="002D2C75"/>
    <w:rsid w:val="002D317A"/>
    <w:rsid w:val="002D5CC9"/>
    <w:rsid w:val="002E081A"/>
    <w:rsid w:val="002E1909"/>
    <w:rsid w:val="002E35E0"/>
    <w:rsid w:val="002E3CEE"/>
    <w:rsid w:val="002E63C9"/>
    <w:rsid w:val="002E6BD3"/>
    <w:rsid w:val="002E7F9B"/>
    <w:rsid w:val="002F1242"/>
    <w:rsid w:val="002F1DA5"/>
    <w:rsid w:val="002F42F3"/>
    <w:rsid w:val="002F5123"/>
    <w:rsid w:val="002F615D"/>
    <w:rsid w:val="002F61A5"/>
    <w:rsid w:val="002F66DD"/>
    <w:rsid w:val="003015B8"/>
    <w:rsid w:val="00302054"/>
    <w:rsid w:val="00305A93"/>
    <w:rsid w:val="00306791"/>
    <w:rsid w:val="003067AF"/>
    <w:rsid w:val="00306AE8"/>
    <w:rsid w:val="00306CEC"/>
    <w:rsid w:val="00306EBF"/>
    <w:rsid w:val="003109B2"/>
    <w:rsid w:val="0031313F"/>
    <w:rsid w:val="00314B02"/>
    <w:rsid w:val="00314E76"/>
    <w:rsid w:val="00315094"/>
    <w:rsid w:val="0032193A"/>
    <w:rsid w:val="00322D8C"/>
    <w:rsid w:val="00326FC4"/>
    <w:rsid w:val="00330320"/>
    <w:rsid w:val="003309B1"/>
    <w:rsid w:val="003312FF"/>
    <w:rsid w:val="003324A6"/>
    <w:rsid w:val="003341E7"/>
    <w:rsid w:val="0033459D"/>
    <w:rsid w:val="003359EA"/>
    <w:rsid w:val="00335F09"/>
    <w:rsid w:val="003368C7"/>
    <w:rsid w:val="00337222"/>
    <w:rsid w:val="00337A1C"/>
    <w:rsid w:val="003405CC"/>
    <w:rsid w:val="003409F6"/>
    <w:rsid w:val="00341665"/>
    <w:rsid w:val="0034166E"/>
    <w:rsid w:val="003453A7"/>
    <w:rsid w:val="003453BF"/>
    <w:rsid w:val="003463D5"/>
    <w:rsid w:val="003465FC"/>
    <w:rsid w:val="003475DE"/>
    <w:rsid w:val="0035081E"/>
    <w:rsid w:val="00352E0C"/>
    <w:rsid w:val="003550BB"/>
    <w:rsid w:val="0035550A"/>
    <w:rsid w:val="003555C0"/>
    <w:rsid w:val="003574F8"/>
    <w:rsid w:val="00357F8A"/>
    <w:rsid w:val="00361F65"/>
    <w:rsid w:val="003637E7"/>
    <w:rsid w:val="0036434D"/>
    <w:rsid w:val="0036481D"/>
    <w:rsid w:val="0036682E"/>
    <w:rsid w:val="00372113"/>
    <w:rsid w:val="0037423F"/>
    <w:rsid w:val="0037504F"/>
    <w:rsid w:val="003758D6"/>
    <w:rsid w:val="003765DC"/>
    <w:rsid w:val="00377474"/>
    <w:rsid w:val="00380988"/>
    <w:rsid w:val="00381EE0"/>
    <w:rsid w:val="003839CA"/>
    <w:rsid w:val="00384C83"/>
    <w:rsid w:val="003858FD"/>
    <w:rsid w:val="00387F1A"/>
    <w:rsid w:val="0039038D"/>
    <w:rsid w:val="003949D1"/>
    <w:rsid w:val="003952AF"/>
    <w:rsid w:val="00396A36"/>
    <w:rsid w:val="003A048E"/>
    <w:rsid w:val="003A1FFB"/>
    <w:rsid w:val="003A467F"/>
    <w:rsid w:val="003A4C90"/>
    <w:rsid w:val="003A5650"/>
    <w:rsid w:val="003B4837"/>
    <w:rsid w:val="003B4C0D"/>
    <w:rsid w:val="003B4FC6"/>
    <w:rsid w:val="003B5A24"/>
    <w:rsid w:val="003B649C"/>
    <w:rsid w:val="003B6AE8"/>
    <w:rsid w:val="003B7656"/>
    <w:rsid w:val="003C0B34"/>
    <w:rsid w:val="003C25D6"/>
    <w:rsid w:val="003C2724"/>
    <w:rsid w:val="003C2852"/>
    <w:rsid w:val="003C2FB1"/>
    <w:rsid w:val="003C34A7"/>
    <w:rsid w:val="003C6065"/>
    <w:rsid w:val="003D076A"/>
    <w:rsid w:val="003D1E27"/>
    <w:rsid w:val="003D41E1"/>
    <w:rsid w:val="003D4F02"/>
    <w:rsid w:val="003D5092"/>
    <w:rsid w:val="003D6E13"/>
    <w:rsid w:val="003E2FBB"/>
    <w:rsid w:val="003E4399"/>
    <w:rsid w:val="003E5086"/>
    <w:rsid w:val="003E5B06"/>
    <w:rsid w:val="003E5F5E"/>
    <w:rsid w:val="003E6039"/>
    <w:rsid w:val="003E7ECC"/>
    <w:rsid w:val="003F0DA5"/>
    <w:rsid w:val="003F2028"/>
    <w:rsid w:val="003F4F3B"/>
    <w:rsid w:val="003F5C9D"/>
    <w:rsid w:val="003F6AC5"/>
    <w:rsid w:val="003F6F8F"/>
    <w:rsid w:val="004006D5"/>
    <w:rsid w:val="00400EDF"/>
    <w:rsid w:val="00401EC8"/>
    <w:rsid w:val="00402420"/>
    <w:rsid w:val="00404C80"/>
    <w:rsid w:val="00405387"/>
    <w:rsid w:val="00405AF0"/>
    <w:rsid w:val="00406486"/>
    <w:rsid w:val="00406A6B"/>
    <w:rsid w:val="00407E16"/>
    <w:rsid w:val="00410334"/>
    <w:rsid w:val="00411EE6"/>
    <w:rsid w:val="00411F2D"/>
    <w:rsid w:val="00413036"/>
    <w:rsid w:val="004157E8"/>
    <w:rsid w:val="00415FB8"/>
    <w:rsid w:val="00416939"/>
    <w:rsid w:val="00416B94"/>
    <w:rsid w:val="00417227"/>
    <w:rsid w:val="00422B74"/>
    <w:rsid w:val="004279AD"/>
    <w:rsid w:val="004315B2"/>
    <w:rsid w:val="00432A31"/>
    <w:rsid w:val="00432CC9"/>
    <w:rsid w:val="00433510"/>
    <w:rsid w:val="0043381C"/>
    <w:rsid w:val="00433DA2"/>
    <w:rsid w:val="00435F05"/>
    <w:rsid w:val="00437A39"/>
    <w:rsid w:val="00441E3E"/>
    <w:rsid w:val="00442CEB"/>
    <w:rsid w:val="00444F99"/>
    <w:rsid w:val="00445B82"/>
    <w:rsid w:val="00455CF6"/>
    <w:rsid w:val="00456544"/>
    <w:rsid w:val="004566DE"/>
    <w:rsid w:val="0046116E"/>
    <w:rsid w:val="0046590C"/>
    <w:rsid w:val="00470225"/>
    <w:rsid w:val="0047151C"/>
    <w:rsid w:val="004732E2"/>
    <w:rsid w:val="004744DF"/>
    <w:rsid w:val="00476D29"/>
    <w:rsid w:val="004776D1"/>
    <w:rsid w:val="0048133C"/>
    <w:rsid w:val="00481794"/>
    <w:rsid w:val="00481C2A"/>
    <w:rsid w:val="00481D78"/>
    <w:rsid w:val="00490515"/>
    <w:rsid w:val="00490E2A"/>
    <w:rsid w:val="00491227"/>
    <w:rsid w:val="00491926"/>
    <w:rsid w:val="004930F5"/>
    <w:rsid w:val="00493613"/>
    <w:rsid w:val="004936DB"/>
    <w:rsid w:val="00495CC1"/>
    <w:rsid w:val="004971DA"/>
    <w:rsid w:val="0049720C"/>
    <w:rsid w:val="00497214"/>
    <w:rsid w:val="004A2954"/>
    <w:rsid w:val="004A2C8A"/>
    <w:rsid w:val="004A4AE1"/>
    <w:rsid w:val="004A57A8"/>
    <w:rsid w:val="004A632E"/>
    <w:rsid w:val="004A7A43"/>
    <w:rsid w:val="004B0747"/>
    <w:rsid w:val="004B1001"/>
    <w:rsid w:val="004B2A8A"/>
    <w:rsid w:val="004B3B19"/>
    <w:rsid w:val="004B4239"/>
    <w:rsid w:val="004C3B96"/>
    <w:rsid w:val="004C4D90"/>
    <w:rsid w:val="004C590D"/>
    <w:rsid w:val="004C76BA"/>
    <w:rsid w:val="004D03DE"/>
    <w:rsid w:val="004D1811"/>
    <w:rsid w:val="004D1E5A"/>
    <w:rsid w:val="004D6405"/>
    <w:rsid w:val="004D6642"/>
    <w:rsid w:val="004D6F8D"/>
    <w:rsid w:val="004E0A1A"/>
    <w:rsid w:val="004E12AB"/>
    <w:rsid w:val="004E1354"/>
    <w:rsid w:val="004E4B44"/>
    <w:rsid w:val="004E731F"/>
    <w:rsid w:val="004E733D"/>
    <w:rsid w:val="004E7AA8"/>
    <w:rsid w:val="004F1021"/>
    <w:rsid w:val="004F1D5E"/>
    <w:rsid w:val="004F3F5C"/>
    <w:rsid w:val="004F4A14"/>
    <w:rsid w:val="004F4AF9"/>
    <w:rsid w:val="004F502B"/>
    <w:rsid w:val="004F5B09"/>
    <w:rsid w:val="004F6545"/>
    <w:rsid w:val="00501116"/>
    <w:rsid w:val="005019D1"/>
    <w:rsid w:val="00501EF6"/>
    <w:rsid w:val="00503FA5"/>
    <w:rsid w:val="00511D44"/>
    <w:rsid w:val="00513B60"/>
    <w:rsid w:val="00515E32"/>
    <w:rsid w:val="00517187"/>
    <w:rsid w:val="00517BDF"/>
    <w:rsid w:val="00520B06"/>
    <w:rsid w:val="005213CF"/>
    <w:rsid w:val="005278E8"/>
    <w:rsid w:val="00527B48"/>
    <w:rsid w:val="00530D5B"/>
    <w:rsid w:val="00531BBC"/>
    <w:rsid w:val="0053363D"/>
    <w:rsid w:val="00536B77"/>
    <w:rsid w:val="00540595"/>
    <w:rsid w:val="00542AC6"/>
    <w:rsid w:val="00542B8C"/>
    <w:rsid w:val="00543EDF"/>
    <w:rsid w:val="005552F5"/>
    <w:rsid w:val="005621C9"/>
    <w:rsid w:val="00563173"/>
    <w:rsid w:val="005632BC"/>
    <w:rsid w:val="0056337F"/>
    <w:rsid w:val="00563A3F"/>
    <w:rsid w:val="0056460F"/>
    <w:rsid w:val="00566994"/>
    <w:rsid w:val="00566D41"/>
    <w:rsid w:val="00567904"/>
    <w:rsid w:val="00567D81"/>
    <w:rsid w:val="00570366"/>
    <w:rsid w:val="005703D6"/>
    <w:rsid w:val="00570F1F"/>
    <w:rsid w:val="00571A7C"/>
    <w:rsid w:val="00572423"/>
    <w:rsid w:val="0057607B"/>
    <w:rsid w:val="00580F47"/>
    <w:rsid w:val="0058154A"/>
    <w:rsid w:val="00581A31"/>
    <w:rsid w:val="00581B27"/>
    <w:rsid w:val="0058374D"/>
    <w:rsid w:val="00586F90"/>
    <w:rsid w:val="005909EF"/>
    <w:rsid w:val="00590D56"/>
    <w:rsid w:val="0059136B"/>
    <w:rsid w:val="00591757"/>
    <w:rsid w:val="00591821"/>
    <w:rsid w:val="0059337D"/>
    <w:rsid w:val="00593893"/>
    <w:rsid w:val="005952B7"/>
    <w:rsid w:val="00595EC2"/>
    <w:rsid w:val="005A25DF"/>
    <w:rsid w:val="005A348F"/>
    <w:rsid w:val="005A37D1"/>
    <w:rsid w:val="005A397E"/>
    <w:rsid w:val="005A43D3"/>
    <w:rsid w:val="005A50AA"/>
    <w:rsid w:val="005A59B3"/>
    <w:rsid w:val="005A647F"/>
    <w:rsid w:val="005A6A59"/>
    <w:rsid w:val="005A7AE4"/>
    <w:rsid w:val="005A7CCD"/>
    <w:rsid w:val="005B1AFA"/>
    <w:rsid w:val="005B1B07"/>
    <w:rsid w:val="005B27C6"/>
    <w:rsid w:val="005B6767"/>
    <w:rsid w:val="005C0495"/>
    <w:rsid w:val="005C0EAC"/>
    <w:rsid w:val="005C1382"/>
    <w:rsid w:val="005C13A5"/>
    <w:rsid w:val="005C244F"/>
    <w:rsid w:val="005C28ED"/>
    <w:rsid w:val="005C2A52"/>
    <w:rsid w:val="005C39BE"/>
    <w:rsid w:val="005C45F9"/>
    <w:rsid w:val="005C7A05"/>
    <w:rsid w:val="005D06A2"/>
    <w:rsid w:val="005D0739"/>
    <w:rsid w:val="005D188E"/>
    <w:rsid w:val="005D26D2"/>
    <w:rsid w:val="005D29DE"/>
    <w:rsid w:val="005D2D94"/>
    <w:rsid w:val="005D2F31"/>
    <w:rsid w:val="005D3ED6"/>
    <w:rsid w:val="005D4863"/>
    <w:rsid w:val="005D5236"/>
    <w:rsid w:val="005E3AF4"/>
    <w:rsid w:val="005E6E50"/>
    <w:rsid w:val="005F0D79"/>
    <w:rsid w:val="005F36FD"/>
    <w:rsid w:val="005F41E1"/>
    <w:rsid w:val="005F4F57"/>
    <w:rsid w:val="005F5B3A"/>
    <w:rsid w:val="005F667B"/>
    <w:rsid w:val="005F7305"/>
    <w:rsid w:val="0060027D"/>
    <w:rsid w:val="00601E9C"/>
    <w:rsid w:val="00603722"/>
    <w:rsid w:val="00604736"/>
    <w:rsid w:val="00604BA5"/>
    <w:rsid w:val="00606DB5"/>
    <w:rsid w:val="00607013"/>
    <w:rsid w:val="00613AAC"/>
    <w:rsid w:val="00613FB7"/>
    <w:rsid w:val="00614514"/>
    <w:rsid w:val="0061515E"/>
    <w:rsid w:val="00616CD9"/>
    <w:rsid w:val="00620674"/>
    <w:rsid w:val="0062072D"/>
    <w:rsid w:val="006216C6"/>
    <w:rsid w:val="006229F4"/>
    <w:rsid w:val="00622A30"/>
    <w:rsid w:val="006245EE"/>
    <w:rsid w:val="006258A2"/>
    <w:rsid w:val="00625CB2"/>
    <w:rsid w:val="00626C1B"/>
    <w:rsid w:val="00630F85"/>
    <w:rsid w:val="00632DC2"/>
    <w:rsid w:val="006330D5"/>
    <w:rsid w:val="006331E0"/>
    <w:rsid w:val="00633D74"/>
    <w:rsid w:val="00635B62"/>
    <w:rsid w:val="0063601C"/>
    <w:rsid w:val="00640B4A"/>
    <w:rsid w:val="00642B01"/>
    <w:rsid w:val="00644968"/>
    <w:rsid w:val="00644E9D"/>
    <w:rsid w:val="0064648D"/>
    <w:rsid w:val="00646CEB"/>
    <w:rsid w:val="00646D3C"/>
    <w:rsid w:val="00646E0D"/>
    <w:rsid w:val="00650152"/>
    <w:rsid w:val="00650785"/>
    <w:rsid w:val="006510E9"/>
    <w:rsid w:val="0066101A"/>
    <w:rsid w:val="00663B6E"/>
    <w:rsid w:val="00665379"/>
    <w:rsid w:val="0067152E"/>
    <w:rsid w:val="0067181C"/>
    <w:rsid w:val="00672ABB"/>
    <w:rsid w:val="00672ED8"/>
    <w:rsid w:val="00675203"/>
    <w:rsid w:val="006774D3"/>
    <w:rsid w:val="00677BD0"/>
    <w:rsid w:val="00680701"/>
    <w:rsid w:val="006807BC"/>
    <w:rsid w:val="0068126D"/>
    <w:rsid w:val="00681324"/>
    <w:rsid w:val="00682F2C"/>
    <w:rsid w:val="00683666"/>
    <w:rsid w:val="00685D1D"/>
    <w:rsid w:val="00686A9A"/>
    <w:rsid w:val="00686DE3"/>
    <w:rsid w:val="006904A3"/>
    <w:rsid w:val="006908A7"/>
    <w:rsid w:val="00691F51"/>
    <w:rsid w:val="00694C59"/>
    <w:rsid w:val="00697A97"/>
    <w:rsid w:val="006A0C47"/>
    <w:rsid w:val="006A1B57"/>
    <w:rsid w:val="006A1CD2"/>
    <w:rsid w:val="006A445D"/>
    <w:rsid w:val="006A6356"/>
    <w:rsid w:val="006A6462"/>
    <w:rsid w:val="006B3550"/>
    <w:rsid w:val="006B3FD1"/>
    <w:rsid w:val="006B4071"/>
    <w:rsid w:val="006B438B"/>
    <w:rsid w:val="006B43C2"/>
    <w:rsid w:val="006B499D"/>
    <w:rsid w:val="006B5480"/>
    <w:rsid w:val="006B5E2A"/>
    <w:rsid w:val="006B6275"/>
    <w:rsid w:val="006B78BC"/>
    <w:rsid w:val="006B7C5B"/>
    <w:rsid w:val="006C04FC"/>
    <w:rsid w:val="006C0DDE"/>
    <w:rsid w:val="006C22B0"/>
    <w:rsid w:val="006C2438"/>
    <w:rsid w:val="006C3583"/>
    <w:rsid w:val="006C4951"/>
    <w:rsid w:val="006C4A71"/>
    <w:rsid w:val="006C569E"/>
    <w:rsid w:val="006C573C"/>
    <w:rsid w:val="006C58D6"/>
    <w:rsid w:val="006C6B2F"/>
    <w:rsid w:val="006D280B"/>
    <w:rsid w:val="006D484D"/>
    <w:rsid w:val="006D63C5"/>
    <w:rsid w:val="006D66B7"/>
    <w:rsid w:val="006D7A2D"/>
    <w:rsid w:val="006D7C4E"/>
    <w:rsid w:val="006E0A92"/>
    <w:rsid w:val="006E0B15"/>
    <w:rsid w:val="006E1C0B"/>
    <w:rsid w:val="006E2041"/>
    <w:rsid w:val="006E2805"/>
    <w:rsid w:val="006E7D66"/>
    <w:rsid w:val="006F03EA"/>
    <w:rsid w:val="006F07AE"/>
    <w:rsid w:val="006F0BE3"/>
    <w:rsid w:val="006F0FBE"/>
    <w:rsid w:val="006F17B4"/>
    <w:rsid w:val="006F467A"/>
    <w:rsid w:val="006F7311"/>
    <w:rsid w:val="00705427"/>
    <w:rsid w:val="00705841"/>
    <w:rsid w:val="00706868"/>
    <w:rsid w:val="00707223"/>
    <w:rsid w:val="00707B30"/>
    <w:rsid w:val="00711531"/>
    <w:rsid w:val="00712A69"/>
    <w:rsid w:val="00712A70"/>
    <w:rsid w:val="00716F86"/>
    <w:rsid w:val="00717004"/>
    <w:rsid w:val="0071700A"/>
    <w:rsid w:val="00720D43"/>
    <w:rsid w:val="00720DC3"/>
    <w:rsid w:val="007211BD"/>
    <w:rsid w:val="007222A8"/>
    <w:rsid w:val="007225E1"/>
    <w:rsid w:val="0072486F"/>
    <w:rsid w:val="00724C6B"/>
    <w:rsid w:val="007279C4"/>
    <w:rsid w:val="007305FD"/>
    <w:rsid w:val="00733276"/>
    <w:rsid w:val="00733CAC"/>
    <w:rsid w:val="00733F10"/>
    <w:rsid w:val="00735E75"/>
    <w:rsid w:val="00736C45"/>
    <w:rsid w:val="00736CAA"/>
    <w:rsid w:val="00741363"/>
    <w:rsid w:val="007413D6"/>
    <w:rsid w:val="007430DD"/>
    <w:rsid w:val="00743789"/>
    <w:rsid w:val="00743EFA"/>
    <w:rsid w:val="00745F72"/>
    <w:rsid w:val="007473EC"/>
    <w:rsid w:val="00750096"/>
    <w:rsid w:val="00753456"/>
    <w:rsid w:val="00756038"/>
    <w:rsid w:val="0075611B"/>
    <w:rsid w:val="00756671"/>
    <w:rsid w:val="007568E2"/>
    <w:rsid w:val="00762897"/>
    <w:rsid w:val="00766117"/>
    <w:rsid w:val="00766534"/>
    <w:rsid w:val="00766F59"/>
    <w:rsid w:val="007727AA"/>
    <w:rsid w:val="007742F9"/>
    <w:rsid w:val="007758CD"/>
    <w:rsid w:val="00775B6D"/>
    <w:rsid w:val="00777DC7"/>
    <w:rsid w:val="00781746"/>
    <w:rsid w:val="00781757"/>
    <w:rsid w:val="00782224"/>
    <w:rsid w:val="00782955"/>
    <w:rsid w:val="0078336C"/>
    <w:rsid w:val="00783678"/>
    <w:rsid w:val="0078596A"/>
    <w:rsid w:val="00786275"/>
    <w:rsid w:val="007868D1"/>
    <w:rsid w:val="00787D99"/>
    <w:rsid w:val="00791DAE"/>
    <w:rsid w:val="00792BFA"/>
    <w:rsid w:val="00793BBC"/>
    <w:rsid w:val="007951E9"/>
    <w:rsid w:val="00795D3B"/>
    <w:rsid w:val="00795E17"/>
    <w:rsid w:val="00796407"/>
    <w:rsid w:val="007964F7"/>
    <w:rsid w:val="007A0C24"/>
    <w:rsid w:val="007A10D7"/>
    <w:rsid w:val="007A1A95"/>
    <w:rsid w:val="007A2917"/>
    <w:rsid w:val="007A3DB3"/>
    <w:rsid w:val="007A5436"/>
    <w:rsid w:val="007A6A68"/>
    <w:rsid w:val="007A6AE7"/>
    <w:rsid w:val="007A705A"/>
    <w:rsid w:val="007A7995"/>
    <w:rsid w:val="007A7B05"/>
    <w:rsid w:val="007B1247"/>
    <w:rsid w:val="007B2303"/>
    <w:rsid w:val="007B26F6"/>
    <w:rsid w:val="007B2FF4"/>
    <w:rsid w:val="007B467E"/>
    <w:rsid w:val="007B613F"/>
    <w:rsid w:val="007C61D9"/>
    <w:rsid w:val="007C66B8"/>
    <w:rsid w:val="007D03E0"/>
    <w:rsid w:val="007D0694"/>
    <w:rsid w:val="007D4042"/>
    <w:rsid w:val="007D73E6"/>
    <w:rsid w:val="007E2F7B"/>
    <w:rsid w:val="007E5207"/>
    <w:rsid w:val="007F34C5"/>
    <w:rsid w:val="007F3E85"/>
    <w:rsid w:val="007F5A29"/>
    <w:rsid w:val="007F71F3"/>
    <w:rsid w:val="00802404"/>
    <w:rsid w:val="00805AAD"/>
    <w:rsid w:val="008079D4"/>
    <w:rsid w:val="00810B6A"/>
    <w:rsid w:val="00812309"/>
    <w:rsid w:val="00812A3D"/>
    <w:rsid w:val="00814308"/>
    <w:rsid w:val="008162CE"/>
    <w:rsid w:val="00816DCF"/>
    <w:rsid w:val="0081739D"/>
    <w:rsid w:val="0082005E"/>
    <w:rsid w:val="008217FC"/>
    <w:rsid w:val="00821CA4"/>
    <w:rsid w:val="008224AE"/>
    <w:rsid w:val="008232E8"/>
    <w:rsid w:val="00823A84"/>
    <w:rsid w:val="0082543B"/>
    <w:rsid w:val="00825658"/>
    <w:rsid w:val="00827595"/>
    <w:rsid w:val="00830C6C"/>
    <w:rsid w:val="008324E1"/>
    <w:rsid w:val="00833241"/>
    <w:rsid w:val="00835347"/>
    <w:rsid w:val="008355F0"/>
    <w:rsid w:val="008357A5"/>
    <w:rsid w:val="00835811"/>
    <w:rsid w:val="008377FB"/>
    <w:rsid w:val="00841633"/>
    <w:rsid w:val="00841975"/>
    <w:rsid w:val="00841D4E"/>
    <w:rsid w:val="00842C1B"/>
    <w:rsid w:val="008430E0"/>
    <w:rsid w:val="00844399"/>
    <w:rsid w:val="00846155"/>
    <w:rsid w:val="00846770"/>
    <w:rsid w:val="00846D41"/>
    <w:rsid w:val="00846EDB"/>
    <w:rsid w:val="00847EC3"/>
    <w:rsid w:val="00850E6F"/>
    <w:rsid w:val="00851820"/>
    <w:rsid w:val="008536F5"/>
    <w:rsid w:val="008540D4"/>
    <w:rsid w:val="00856F72"/>
    <w:rsid w:val="00861556"/>
    <w:rsid w:val="00862363"/>
    <w:rsid w:val="00863231"/>
    <w:rsid w:val="00865421"/>
    <w:rsid w:val="00865B39"/>
    <w:rsid w:val="00865CEA"/>
    <w:rsid w:val="008662AA"/>
    <w:rsid w:val="0086793C"/>
    <w:rsid w:val="00872405"/>
    <w:rsid w:val="00874534"/>
    <w:rsid w:val="008747F3"/>
    <w:rsid w:val="00876C6D"/>
    <w:rsid w:val="00877F65"/>
    <w:rsid w:val="00880A8A"/>
    <w:rsid w:val="00880F90"/>
    <w:rsid w:val="00881F40"/>
    <w:rsid w:val="00885815"/>
    <w:rsid w:val="00885AC9"/>
    <w:rsid w:val="00885EA0"/>
    <w:rsid w:val="0088688C"/>
    <w:rsid w:val="00890691"/>
    <w:rsid w:val="0089260C"/>
    <w:rsid w:val="00892FB3"/>
    <w:rsid w:val="0089339B"/>
    <w:rsid w:val="00896448"/>
    <w:rsid w:val="008A060F"/>
    <w:rsid w:val="008A0A49"/>
    <w:rsid w:val="008A19B4"/>
    <w:rsid w:val="008A1C16"/>
    <w:rsid w:val="008A3BC3"/>
    <w:rsid w:val="008A49E7"/>
    <w:rsid w:val="008A61E3"/>
    <w:rsid w:val="008B0E5A"/>
    <w:rsid w:val="008B0FD4"/>
    <w:rsid w:val="008B2320"/>
    <w:rsid w:val="008B334E"/>
    <w:rsid w:val="008B666E"/>
    <w:rsid w:val="008C205F"/>
    <w:rsid w:val="008C2D6F"/>
    <w:rsid w:val="008C3161"/>
    <w:rsid w:val="008C3451"/>
    <w:rsid w:val="008C515F"/>
    <w:rsid w:val="008C7B1E"/>
    <w:rsid w:val="008C7F21"/>
    <w:rsid w:val="008D00FE"/>
    <w:rsid w:val="008D0351"/>
    <w:rsid w:val="008D163C"/>
    <w:rsid w:val="008D4FF6"/>
    <w:rsid w:val="008D5877"/>
    <w:rsid w:val="008E1DE7"/>
    <w:rsid w:val="008E2265"/>
    <w:rsid w:val="008E27C8"/>
    <w:rsid w:val="008E3350"/>
    <w:rsid w:val="008E3499"/>
    <w:rsid w:val="008E429C"/>
    <w:rsid w:val="008E50C3"/>
    <w:rsid w:val="008E51C3"/>
    <w:rsid w:val="008E577E"/>
    <w:rsid w:val="008E74C2"/>
    <w:rsid w:val="008F1826"/>
    <w:rsid w:val="008F3317"/>
    <w:rsid w:val="008F3C67"/>
    <w:rsid w:val="008F6E64"/>
    <w:rsid w:val="008F717C"/>
    <w:rsid w:val="008F7715"/>
    <w:rsid w:val="008F7F35"/>
    <w:rsid w:val="00900078"/>
    <w:rsid w:val="00900D5B"/>
    <w:rsid w:val="00901751"/>
    <w:rsid w:val="009031E1"/>
    <w:rsid w:val="0090349C"/>
    <w:rsid w:val="009056CC"/>
    <w:rsid w:val="00907571"/>
    <w:rsid w:val="00907D6C"/>
    <w:rsid w:val="00910EA4"/>
    <w:rsid w:val="00911DE2"/>
    <w:rsid w:val="009130C9"/>
    <w:rsid w:val="0091325C"/>
    <w:rsid w:val="00913884"/>
    <w:rsid w:val="00914634"/>
    <w:rsid w:val="00914E14"/>
    <w:rsid w:val="009158F9"/>
    <w:rsid w:val="00916495"/>
    <w:rsid w:val="00916700"/>
    <w:rsid w:val="00917300"/>
    <w:rsid w:val="009210E6"/>
    <w:rsid w:val="00923CCA"/>
    <w:rsid w:val="00924A7E"/>
    <w:rsid w:val="009259F8"/>
    <w:rsid w:val="0092654F"/>
    <w:rsid w:val="009279EE"/>
    <w:rsid w:val="00927FDF"/>
    <w:rsid w:val="009307B8"/>
    <w:rsid w:val="00931075"/>
    <w:rsid w:val="00931DD2"/>
    <w:rsid w:val="00934B2F"/>
    <w:rsid w:val="00934E4E"/>
    <w:rsid w:val="00937FFE"/>
    <w:rsid w:val="00940A9C"/>
    <w:rsid w:val="00945B1E"/>
    <w:rsid w:val="00947EAC"/>
    <w:rsid w:val="0095023D"/>
    <w:rsid w:val="0095198A"/>
    <w:rsid w:val="009532D4"/>
    <w:rsid w:val="00953CDB"/>
    <w:rsid w:val="00956191"/>
    <w:rsid w:val="009563CA"/>
    <w:rsid w:val="00957CA5"/>
    <w:rsid w:val="00961B0F"/>
    <w:rsid w:val="009627DF"/>
    <w:rsid w:val="00962DCE"/>
    <w:rsid w:val="00963BA3"/>
    <w:rsid w:val="00964F14"/>
    <w:rsid w:val="00965330"/>
    <w:rsid w:val="00966022"/>
    <w:rsid w:val="00966494"/>
    <w:rsid w:val="00970027"/>
    <w:rsid w:val="00971FC3"/>
    <w:rsid w:val="0097210E"/>
    <w:rsid w:val="009732C5"/>
    <w:rsid w:val="00974C95"/>
    <w:rsid w:val="009769FC"/>
    <w:rsid w:val="0098159E"/>
    <w:rsid w:val="009817E6"/>
    <w:rsid w:val="009821F3"/>
    <w:rsid w:val="00983741"/>
    <w:rsid w:val="00985412"/>
    <w:rsid w:val="00985A3F"/>
    <w:rsid w:val="00986254"/>
    <w:rsid w:val="00986A0D"/>
    <w:rsid w:val="00987215"/>
    <w:rsid w:val="00987508"/>
    <w:rsid w:val="0099059E"/>
    <w:rsid w:val="0099142F"/>
    <w:rsid w:val="00991B9B"/>
    <w:rsid w:val="009944B7"/>
    <w:rsid w:val="00994CDE"/>
    <w:rsid w:val="0099518A"/>
    <w:rsid w:val="00995464"/>
    <w:rsid w:val="009961AB"/>
    <w:rsid w:val="0099642D"/>
    <w:rsid w:val="00996B87"/>
    <w:rsid w:val="00996BD8"/>
    <w:rsid w:val="0099741A"/>
    <w:rsid w:val="009A02FD"/>
    <w:rsid w:val="009A2652"/>
    <w:rsid w:val="009A274D"/>
    <w:rsid w:val="009A29FC"/>
    <w:rsid w:val="009A46C7"/>
    <w:rsid w:val="009A50AF"/>
    <w:rsid w:val="009A5B6C"/>
    <w:rsid w:val="009A5E5D"/>
    <w:rsid w:val="009B06AC"/>
    <w:rsid w:val="009B1A46"/>
    <w:rsid w:val="009B1B66"/>
    <w:rsid w:val="009B1FE7"/>
    <w:rsid w:val="009B38A5"/>
    <w:rsid w:val="009B4061"/>
    <w:rsid w:val="009B4EE2"/>
    <w:rsid w:val="009B5DBD"/>
    <w:rsid w:val="009B77BF"/>
    <w:rsid w:val="009C0153"/>
    <w:rsid w:val="009C2653"/>
    <w:rsid w:val="009C370C"/>
    <w:rsid w:val="009C5FCB"/>
    <w:rsid w:val="009C6172"/>
    <w:rsid w:val="009C6875"/>
    <w:rsid w:val="009D0A44"/>
    <w:rsid w:val="009D0DA7"/>
    <w:rsid w:val="009D2B57"/>
    <w:rsid w:val="009D2C72"/>
    <w:rsid w:val="009D3CDE"/>
    <w:rsid w:val="009D6599"/>
    <w:rsid w:val="009D7304"/>
    <w:rsid w:val="009E156B"/>
    <w:rsid w:val="009E5466"/>
    <w:rsid w:val="009E59CC"/>
    <w:rsid w:val="009F0462"/>
    <w:rsid w:val="009F04A7"/>
    <w:rsid w:val="009F1B31"/>
    <w:rsid w:val="009F38D6"/>
    <w:rsid w:val="009F4705"/>
    <w:rsid w:val="009F4CE3"/>
    <w:rsid w:val="00A02549"/>
    <w:rsid w:val="00A04364"/>
    <w:rsid w:val="00A04FCE"/>
    <w:rsid w:val="00A07613"/>
    <w:rsid w:val="00A1020E"/>
    <w:rsid w:val="00A10FC0"/>
    <w:rsid w:val="00A12C04"/>
    <w:rsid w:val="00A13798"/>
    <w:rsid w:val="00A13D7F"/>
    <w:rsid w:val="00A152DA"/>
    <w:rsid w:val="00A15F97"/>
    <w:rsid w:val="00A16FF2"/>
    <w:rsid w:val="00A175E3"/>
    <w:rsid w:val="00A176AB"/>
    <w:rsid w:val="00A203F5"/>
    <w:rsid w:val="00A2051C"/>
    <w:rsid w:val="00A22131"/>
    <w:rsid w:val="00A225D8"/>
    <w:rsid w:val="00A229AE"/>
    <w:rsid w:val="00A22C40"/>
    <w:rsid w:val="00A24EB8"/>
    <w:rsid w:val="00A255AA"/>
    <w:rsid w:val="00A2737C"/>
    <w:rsid w:val="00A30E7F"/>
    <w:rsid w:val="00A30EFC"/>
    <w:rsid w:val="00A31992"/>
    <w:rsid w:val="00A31AF7"/>
    <w:rsid w:val="00A31B32"/>
    <w:rsid w:val="00A32556"/>
    <w:rsid w:val="00A33059"/>
    <w:rsid w:val="00A34ACD"/>
    <w:rsid w:val="00A35846"/>
    <w:rsid w:val="00A36112"/>
    <w:rsid w:val="00A3691C"/>
    <w:rsid w:val="00A379BC"/>
    <w:rsid w:val="00A417E7"/>
    <w:rsid w:val="00A42890"/>
    <w:rsid w:val="00A43C2A"/>
    <w:rsid w:val="00A451E1"/>
    <w:rsid w:val="00A47A38"/>
    <w:rsid w:val="00A47AB8"/>
    <w:rsid w:val="00A47BFF"/>
    <w:rsid w:val="00A54932"/>
    <w:rsid w:val="00A55BE3"/>
    <w:rsid w:val="00A55DC3"/>
    <w:rsid w:val="00A56A90"/>
    <w:rsid w:val="00A57CBE"/>
    <w:rsid w:val="00A60D69"/>
    <w:rsid w:val="00A62384"/>
    <w:rsid w:val="00A62759"/>
    <w:rsid w:val="00A629F5"/>
    <w:rsid w:val="00A644EB"/>
    <w:rsid w:val="00A64E12"/>
    <w:rsid w:val="00A67BD0"/>
    <w:rsid w:val="00A72C4B"/>
    <w:rsid w:val="00A73B8D"/>
    <w:rsid w:val="00A74B6A"/>
    <w:rsid w:val="00A76208"/>
    <w:rsid w:val="00A7705E"/>
    <w:rsid w:val="00A8040E"/>
    <w:rsid w:val="00A81810"/>
    <w:rsid w:val="00A82FCA"/>
    <w:rsid w:val="00A85CFE"/>
    <w:rsid w:val="00A8698F"/>
    <w:rsid w:val="00A86F41"/>
    <w:rsid w:val="00A879D3"/>
    <w:rsid w:val="00A915ED"/>
    <w:rsid w:val="00A91B4D"/>
    <w:rsid w:val="00A93699"/>
    <w:rsid w:val="00A952BD"/>
    <w:rsid w:val="00A95451"/>
    <w:rsid w:val="00A975F3"/>
    <w:rsid w:val="00AA0219"/>
    <w:rsid w:val="00AA05BD"/>
    <w:rsid w:val="00AA19DA"/>
    <w:rsid w:val="00AA47EB"/>
    <w:rsid w:val="00AA5115"/>
    <w:rsid w:val="00AA74DC"/>
    <w:rsid w:val="00AA767A"/>
    <w:rsid w:val="00AB150C"/>
    <w:rsid w:val="00AB1803"/>
    <w:rsid w:val="00AB1E88"/>
    <w:rsid w:val="00AB20A8"/>
    <w:rsid w:val="00AB2522"/>
    <w:rsid w:val="00AB386A"/>
    <w:rsid w:val="00AB6025"/>
    <w:rsid w:val="00AB6E56"/>
    <w:rsid w:val="00AB6E57"/>
    <w:rsid w:val="00AB7CF7"/>
    <w:rsid w:val="00AC3251"/>
    <w:rsid w:val="00AC413E"/>
    <w:rsid w:val="00AC47B0"/>
    <w:rsid w:val="00AC51DC"/>
    <w:rsid w:val="00AC7861"/>
    <w:rsid w:val="00AD0B19"/>
    <w:rsid w:val="00AD0E62"/>
    <w:rsid w:val="00AD5681"/>
    <w:rsid w:val="00AD6977"/>
    <w:rsid w:val="00AD7066"/>
    <w:rsid w:val="00AE437E"/>
    <w:rsid w:val="00AE44D5"/>
    <w:rsid w:val="00AE5F3F"/>
    <w:rsid w:val="00AE7652"/>
    <w:rsid w:val="00AE7784"/>
    <w:rsid w:val="00AE78AA"/>
    <w:rsid w:val="00AF0F88"/>
    <w:rsid w:val="00AF229E"/>
    <w:rsid w:val="00AF2310"/>
    <w:rsid w:val="00AF31BC"/>
    <w:rsid w:val="00AF345F"/>
    <w:rsid w:val="00AF5A78"/>
    <w:rsid w:val="00B009A9"/>
    <w:rsid w:val="00B0219C"/>
    <w:rsid w:val="00B02EC5"/>
    <w:rsid w:val="00B033BE"/>
    <w:rsid w:val="00B05509"/>
    <w:rsid w:val="00B05570"/>
    <w:rsid w:val="00B0596B"/>
    <w:rsid w:val="00B10666"/>
    <w:rsid w:val="00B11B2F"/>
    <w:rsid w:val="00B14C19"/>
    <w:rsid w:val="00B15259"/>
    <w:rsid w:val="00B15AD3"/>
    <w:rsid w:val="00B17565"/>
    <w:rsid w:val="00B20D79"/>
    <w:rsid w:val="00B21EA2"/>
    <w:rsid w:val="00B21F1A"/>
    <w:rsid w:val="00B2445C"/>
    <w:rsid w:val="00B3027F"/>
    <w:rsid w:val="00B32E0A"/>
    <w:rsid w:val="00B34C6F"/>
    <w:rsid w:val="00B35187"/>
    <w:rsid w:val="00B36BA9"/>
    <w:rsid w:val="00B36D44"/>
    <w:rsid w:val="00B37F53"/>
    <w:rsid w:val="00B40BED"/>
    <w:rsid w:val="00B425B5"/>
    <w:rsid w:val="00B42BA6"/>
    <w:rsid w:val="00B466E9"/>
    <w:rsid w:val="00B514AA"/>
    <w:rsid w:val="00B528A5"/>
    <w:rsid w:val="00B52928"/>
    <w:rsid w:val="00B537AD"/>
    <w:rsid w:val="00B538DA"/>
    <w:rsid w:val="00B54591"/>
    <w:rsid w:val="00B54E97"/>
    <w:rsid w:val="00B55FE3"/>
    <w:rsid w:val="00B569DB"/>
    <w:rsid w:val="00B6176B"/>
    <w:rsid w:val="00B61BFD"/>
    <w:rsid w:val="00B61D31"/>
    <w:rsid w:val="00B632DA"/>
    <w:rsid w:val="00B6394F"/>
    <w:rsid w:val="00B6547A"/>
    <w:rsid w:val="00B65911"/>
    <w:rsid w:val="00B65ADB"/>
    <w:rsid w:val="00B708B2"/>
    <w:rsid w:val="00B70A4D"/>
    <w:rsid w:val="00B75C29"/>
    <w:rsid w:val="00B8233D"/>
    <w:rsid w:val="00B82610"/>
    <w:rsid w:val="00B838F6"/>
    <w:rsid w:val="00B839FB"/>
    <w:rsid w:val="00B84307"/>
    <w:rsid w:val="00B8431C"/>
    <w:rsid w:val="00B85F96"/>
    <w:rsid w:val="00B86AB6"/>
    <w:rsid w:val="00B93196"/>
    <w:rsid w:val="00B967E2"/>
    <w:rsid w:val="00BA1C7D"/>
    <w:rsid w:val="00BA6E3D"/>
    <w:rsid w:val="00BA71F4"/>
    <w:rsid w:val="00BA78A4"/>
    <w:rsid w:val="00BB0AB7"/>
    <w:rsid w:val="00BB124C"/>
    <w:rsid w:val="00BB1DE8"/>
    <w:rsid w:val="00BB29C7"/>
    <w:rsid w:val="00BB3C63"/>
    <w:rsid w:val="00BB4B27"/>
    <w:rsid w:val="00BB6FBB"/>
    <w:rsid w:val="00BB77A9"/>
    <w:rsid w:val="00BC078F"/>
    <w:rsid w:val="00BC08C3"/>
    <w:rsid w:val="00BC23C0"/>
    <w:rsid w:val="00BC34C7"/>
    <w:rsid w:val="00BC3A9B"/>
    <w:rsid w:val="00BC3AF3"/>
    <w:rsid w:val="00BC4466"/>
    <w:rsid w:val="00BC4D45"/>
    <w:rsid w:val="00BC7088"/>
    <w:rsid w:val="00BC7682"/>
    <w:rsid w:val="00BD1703"/>
    <w:rsid w:val="00BD1ED1"/>
    <w:rsid w:val="00BD280C"/>
    <w:rsid w:val="00BD48E0"/>
    <w:rsid w:val="00BD64BD"/>
    <w:rsid w:val="00BD6EC2"/>
    <w:rsid w:val="00BD7DD7"/>
    <w:rsid w:val="00BE0031"/>
    <w:rsid w:val="00BE2095"/>
    <w:rsid w:val="00BE20EC"/>
    <w:rsid w:val="00BE2111"/>
    <w:rsid w:val="00BE2270"/>
    <w:rsid w:val="00BE297D"/>
    <w:rsid w:val="00BE774B"/>
    <w:rsid w:val="00BF2077"/>
    <w:rsid w:val="00BF5B8B"/>
    <w:rsid w:val="00BF624C"/>
    <w:rsid w:val="00BF7B4D"/>
    <w:rsid w:val="00C00754"/>
    <w:rsid w:val="00C009F5"/>
    <w:rsid w:val="00C01E6F"/>
    <w:rsid w:val="00C02657"/>
    <w:rsid w:val="00C02ED3"/>
    <w:rsid w:val="00C031C1"/>
    <w:rsid w:val="00C03A6E"/>
    <w:rsid w:val="00C043D5"/>
    <w:rsid w:val="00C05AC4"/>
    <w:rsid w:val="00C0685A"/>
    <w:rsid w:val="00C1150C"/>
    <w:rsid w:val="00C1412C"/>
    <w:rsid w:val="00C166A0"/>
    <w:rsid w:val="00C178A5"/>
    <w:rsid w:val="00C21183"/>
    <w:rsid w:val="00C2173E"/>
    <w:rsid w:val="00C224BF"/>
    <w:rsid w:val="00C234D5"/>
    <w:rsid w:val="00C23F08"/>
    <w:rsid w:val="00C23F8E"/>
    <w:rsid w:val="00C2758E"/>
    <w:rsid w:val="00C307AB"/>
    <w:rsid w:val="00C30B65"/>
    <w:rsid w:val="00C31848"/>
    <w:rsid w:val="00C31CBB"/>
    <w:rsid w:val="00C35FCA"/>
    <w:rsid w:val="00C36B94"/>
    <w:rsid w:val="00C3712A"/>
    <w:rsid w:val="00C37EFB"/>
    <w:rsid w:val="00C40699"/>
    <w:rsid w:val="00C4160E"/>
    <w:rsid w:val="00C42A0B"/>
    <w:rsid w:val="00C44BA0"/>
    <w:rsid w:val="00C45170"/>
    <w:rsid w:val="00C45320"/>
    <w:rsid w:val="00C46681"/>
    <w:rsid w:val="00C52805"/>
    <w:rsid w:val="00C53B9A"/>
    <w:rsid w:val="00C53ED8"/>
    <w:rsid w:val="00C55AED"/>
    <w:rsid w:val="00C566AB"/>
    <w:rsid w:val="00C60809"/>
    <w:rsid w:val="00C65AA6"/>
    <w:rsid w:val="00C6659F"/>
    <w:rsid w:val="00C6713A"/>
    <w:rsid w:val="00C67E06"/>
    <w:rsid w:val="00C7565C"/>
    <w:rsid w:val="00C77928"/>
    <w:rsid w:val="00C81C94"/>
    <w:rsid w:val="00C8255E"/>
    <w:rsid w:val="00C828CF"/>
    <w:rsid w:val="00C86F1E"/>
    <w:rsid w:val="00C876DF"/>
    <w:rsid w:val="00C87CD2"/>
    <w:rsid w:val="00C90080"/>
    <w:rsid w:val="00C9140F"/>
    <w:rsid w:val="00C945B8"/>
    <w:rsid w:val="00C95325"/>
    <w:rsid w:val="00C963D3"/>
    <w:rsid w:val="00C979EB"/>
    <w:rsid w:val="00CA114C"/>
    <w:rsid w:val="00CA44FF"/>
    <w:rsid w:val="00CA7FA8"/>
    <w:rsid w:val="00CB1F4D"/>
    <w:rsid w:val="00CB2991"/>
    <w:rsid w:val="00CB451F"/>
    <w:rsid w:val="00CB53E9"/>
    <w:rsid w:val="00CB6390"/>
    <w:rsid w:val="00CB75BF"/>
    <w:rsid w:val="00CB7B8C"/>
    <w:rsid w:val="00CC31FD"/>
    <w:rsid w:val="00CC3516"/>
    <w:rsid w:val="00CC5284"/>
    <w:rsid w:val="00CC7011"/>
    <w:rsid w:val="00CD02DE"/>
    <w:rsid w:val="00CD0B57"/>
    <w:rsid w:val="00CD0F78"/>
    <w:rsid w:val="00CD2364"/>
    <w:rsid w:val="00CD32BF"/>
    <w:rsid w:val="00CD62D4"/>
    <w:rsid w:val="00CD6CB1"/>
    <w:rsid w:val="00CD7689"/>
    <w:rsid w:val="00CD7819"/>
    <w:rsid w:val="00CE095B"/>
    <w:rsid w:val="00CE1893"/>
    <w:rsid w:val="00CE1B04"/>
    <w:rsid w:val="00CE3055"/>
    <w:rsid w:val="00CE4526"/>
    <w:rsid w:val="00CE657C"/>
    <w:rsid w:val="00CE76D4"/>
    <w:rsid w:val="00CF12D4"/>
    <w:rsid w:val="00CF24EF"/>
    <w:rsid w:val="00CF37AB"/>
    <w:rsid w:val="00CF44AB"/>
    <w:rsid w:val="00CF615D"/>
    <w:rsid w:val="00CF6920"/>
    <w:rsid w:val="00D00178"/>
    <w:rsid w:val="00D00CD6"/>
    <w:rsid w:val="00D01BDB"/>
    <w:rsid w:val="00D02570"/>
    <w:rsid w:val="00D031A8"/>
    <w:rsid w:val="00D06680"/>
    <w:rsid w:val="00D06AC6"/>
    <w:rsid w:val="00D07C88"/>
    <w:rsid w:val="00D11B60"/>
    <w:rsid w:val="00D12F3F"/>
    <w:rsid w:val="00D130A8"/>
    <w:rsid w:val="00D15682"/>
    <w:rsid w:val="00D15C31"/>
    <w:rsid w:val="00D1683B"/>
    <w:rsid w:val="00D21ECC"/>
    <w:rsid w:val="00D22906"/>
    <w:rsid w:val="00D24845"/>
    <w:rsid w:val="00D25427"/>
    <w:rsid w:val="00D27585"/>
    <w:rsid w:val="00D32399"/>
    <w:rsid w:val="00D3291A"/>
    <w:rsid w:val="00D345BF"/>
    <w:rsid w:val="00D354E1"/>
    <w:rsid w:val="00D3602B"/>
    <w:rsid w:val="00D454E7"/>
    <w:rsid w:val="00D458B4"/>
    <w:rsid w:val="00D464AC"/>
    <w:rsid w:val="00D47558"/>
    <w:rsid w:val="00D476E8"/>
    <w:rsid w:val="00D50085"/>
    <w:rsid w:val="00D511E9"/>
    <w:rsid w:val="00D515D4"/>
    <w:rsid w:val="00D54A0E"/>
    <w:rsid w:val="00D559E4"/>
    <w:rsid w:val="00D562F2"/>
    <w:rsid w:val="00D57B08"/>
    <w:rsid w:val="00D57ED1"/>
    <w:rsid w:val="00D60810"/>
    <w:rsid w:val="00D622FB"/>
    <w:rsid w:val="00D62F4A"/>
    <w:rsid w:val="00D6446B"/>
    <w:rsid w:val="00D64C84"/>
    <w:rsid w:val="00D64DD6"/>
    <w:rsid w:val="00D67671"/>
    <w:rsid w:val="00D71AFB"/>
    <w:rsid w:val="00D750B2"/>
    <w:rsid w:val="00D763FA"/>
    <w:rsid w:val="00D778B8"/>
    <w:rsid w:val="00D77D84"/>
    <w:rsid w:val="00D826D4"/>
    <w:rsid w:val="00D82A3D"/>
    <w:rsid w:val="00D84EDC"/>
    <w:rsid w:val="00D901BA"/>
    <w:rsid w:val="00DA156D"/>
    <w:rsid w:val="00DA1708"/>
    <w:rsid w:val="00DA2953"/>
    <w:rsid w:val="00DA3467"/>
    <w:rsid w:val="00DA5936"/>
    <w:rsid w:val="00DB5B76"/>
    <w:rsid w:val="00DC1227"/>
    <w:rsid w:val="00DC212E"/>
    <w:rsid w:val="00DC26EA"/>
    <w:rsid w:val="00DC429B"/>
    <w:rsid w:val="00DC5A84"/>
    <w:rsid w:val="00DC6A96"/>
    <w:rsid w:val="00DC6BC4"/>
    <w:rsid w:val="00DC7F35"/>
    <w:rsid w:val="00DD15C8"/>
    <w:rsid w:val="00DD196B"/>
    <w:rsid w:val="00DD1B5F"/>
    <w:rsid w:val="00DD1CE0"/>
    <w:rsid w:val="00DD4BED"/>
    <w:rsid w:val="00DD50FE"/>
    <w:rsid w:val="00DD6119"/>
    <w:rsid w:val="00DD6BA4"/>
    <w:rsid w:val="00DD7D87"/>
    <w:rsid w:val="00DE05AD"/>
    <w:rsid w:val="00DE0B0A"/>
    <w:rsid w:val="00DE12EF"/>
    <w:rsid w:val="00DE18BD"/>
    <w:rsid w:val="00DE5D65"/>
    <w:rsid w:val="00DE6178"/>
    <w:rsid w:val="00DE63C6"/>
    <w:rsid w:val="00DE7A6E"/>
    <w:rsid w:val="00DF1DD1"/>
    <w:rsid w:val="00DF22F3"/>
    <w:rsid w:val="00DF3B2B"/>
    <w:rsid w:val="00DF3B87"/>
    <w:rsid w:val="00DF3D9D"/>
    <w:rsid w:val="00DF4331"/>
    <w:rsid w:val="00DF517E"/>
    <w:rsid w:val="00DF59BB"/>
    <w:rsid w:val="00DF726D"/>
    <w:rsid w:val="00DF78AF"/>
    <w:rsid w:val="00E01161"/>
    <w:rsid w:val="00E012F3"/>
    <w:rsid w:val="00E02260"/>
    <w:rsid w:val="00E03372"/>
    <w:rsid w:val="00E03443"/>
    <w:rsid w:val="00E03810"/>
    <w:rsid w:val="00E04C61"/>
    <w:rsid w:val="00E05800"/>
    <w:rsid w:val="00E06437"/>
    <w:rsid w:val="00E11F35"/>
    <w:rsid w:val="00E12E1E"/>
    <w:rsid w:val="00E1373D"/>
    <w:rsid w:val="00E139B8"/>
    <w:rsid w:val="00E141DC"/>
    <w:rsid w:val="00E142AD"/>
    <w:rsid w:val="00E143CA"/>
    <w:rsid w:val="00E1733E"/>
    <w:rsid w:val="00E21E97"/>
    <w:rsid w:val="00E21F44"/>
    <w:rsid w:val="00E24A64"/>
    <w:rsid w:val="00E26439"/>
    <w:rsid w:val="00E279D2"/>
    <w:rsid w:val="00E31363"/>
    <w:rsid w:val="00E32370"/>
    <w:rsid w:val="00E332BD"/>
    <w:rsid w:val="00E34222"/>
    <w:rsid w:val="00E3467D"/>
    <w:rsid w:val="00E347F1"/>
    <w:rsid w:val="00E34F9D"/>
    <w:rsid w:val="00E36271"/>
    <w:rsid w:val="00E37BF0"/>
    <w:rsid w:val="00E37FC8"/>
    <w:rsid w:val="00E42F81"/>
    <w:rsid w:val="00E43E76"/>
    <w:rsid w:val="00E44B57"/>
    <w:rsid w:val="00E45321"/>
    <w:rsid w:val="00E46E1E"/>
    <w:rsid w:val="00E46E72"/>
    <w:rsid w:val="00E47032"/>
    <w:rsid w:val="00E47090"/>
    <w:rsid w:val="00E47FFD"/>
    <w:rsid w:val="00E51E9B"/>
    <w:rsid w:val="00E55382"/>
    <w:rsid w:val="00E579DF"/>
    <w:rsid w:val="00E57C35"/>
    <w:rsid w:val="00E636D3"/>
    <w:rsid w:val="00E64006"/>
    <w:rsid w:val="00E64BEE"/>
    <w:rsid w:val="00E64EF4"/>
    <w:rsid w:val="00E65C65"/>
    <w:rsid w:val="00E65D3C"/>
    <w:rsid w:val="00E66098"/>
    <w:rsid w:val="00E717F2"/>
    <w:rsid w:val="00E71B48"/>
    <w:rsid w:val="00E723FA"/>
    <w:rsid w:val="00E73151"/>
    <w:rsid w:val="00E74F31"/>
    <w:rsid w:val="00E7515D"/>
    <w:rsid w:val="00E76EB9"/>
    <w:rsid w:val="00E77A46"/>
    <w:rsid w:val="00E80B6B"/>
    <w:rsid w:val="00E80E8A"/>
    <w:rsid w:val="00E81180"/>
    <w:rsid w:val="00E811EC"/>
    <w:rsid w:val="00E813E5"/>
    <w:rsid w:val="00E8142E"/>
    <w:rsid w:val="00E81C36"/>
    <w:rsid w:val="00E82098"/>
    <w:rsid w:val="00E824D2"/>
    <w:rsid w:val="00E8278E"/>
    <w:rsid w:val="00E8297C"/>
    <w:rsid w:val="00E830FD"/>
    <w:rsid w:val="00E831AA"/>
    <w:rsid w:val="00E83307"/>
    <w:rsid w:val="00E86C03"/>
    <w:rsid w:val="00E878FB"/>
    <w:rsid w:val="00E91813"/>
    <w:rsid w:val="00E91C34"/>
    <w:rsid w:val="00E9429E"/>
    <w:rsid w:val="00E95B94"/>
    <w:rsid w:val="00E96552"/>
    <w:rsid w:val="00E97BB4"/>
    <w:rsid w:val="00EA0B2F"/>
    <w:rsid w:val="00EA37C0"/>
    <w:rsid w:val="00EA3B9A"/>
    <w:rsid w:val="00EA43C9"/>
    <w:rsid w:val="00EA48EA"/>
    <w:rsid w:val="00EA7115"/>
    <w:rsid w:val="00EB1094"/>
    <w:rsid w:val="00EB117B"/>
    <w:rsid w:val="00EB1CC8"/>
    <w:rsid w:val="00EB2137"/>
    <w:rsid w:val="00EB24CF"/>
    <w:rsid w:val="00EB283E"/>
    <w:rsid w:val="00EB44F4"/>
    <w:rsid w:val="00EB4EED"/>
    <w:rsid w:val="00EB5207"/>
    <w:rsid w:val="00EB5682"/>
    <w:rsid w:val="00EB775C"/>
    <w:rsid w:val="00EB7E17"/>
    <w:rsid w:val="00EC0825"/>
    <w:rsid w:val="00EC1E53"/>
    <w:rsid w:val="00EC3B45"/>
    <w:rsid w:val="00EC3E56"/>
    <w:rsid w:val="00EC40DD"/>
    <w:rsid w:val="00EC68F8"/>
    <w:rsid w:val="00ED20B5"/>
    <w:rsid w:val="00ED484B"/>
    <w:rsid w:val="00ED52D1"/>
    <w:rsid w:val="00ED5BA5"/>
    <w:rsid w:val="00ED629B"/>
    <w:rsid w:val="00ED66BD"/>
    <w:rsid w:val="00ED71C6"/>
    <w:rsid w:val="00EE0F8B"/>
    <w:rsid w:val="00EE13D1"/>
    <w:rsid w:val="00EE585F"/>
    <w:rsid w:val="00EF0504"/>
    <w:rsid w:val="00EF079A"/>
    <w:rsid w:val="00EF08D8"/>
    <w:rsid w:val="00EF0C57"/>
    <w:rsid w:val="00EF1853"/>
    <w:rsid w:val="00EF1EB7"/>
    <w:rsid w:val="00EF3C47"/>
    <w:rsid w:val="00EF444F"/>
    <w:rsid w:val="00EF5352"/>
    <w:rsid w:val="00EF62CF"/>
    <w:rsid w:val="00EF6867"/>
    <w:rsid w:val="00EF7195"/>
    <w:rsid w:val="00EF7D19"/>
    <w:rsid w:val="00F00A28"/>
    <w:rsid w:val="00F03747"/>
    <w:rsid w:val="00F03E59"/>
    <w:rsid w:val="00F03E98"/>
    <w:rsid w:val="00F052AF"/>
    <w:rsid w:val="00F05F3A"/>
    <w:rsid w:val="00F06B8A"/>
    <w:rsid w:val="00F1319F"/>
    <w:rsid w:val="00F14C29"/>
    <w:rsid w:val="00F1518A"/>
    <w:rsid w:val="00F169B6"/>
    <w:rsid w:val="00F20A07"/>
    <w:rsid w:val="00F20CAE"/>
    <w:rsid w:val="00F239B1"/>
    <w:rsid w:val="00F23A74"/>
    <w:rsid w:val="00F24F8F"/>
    <w:rsid w:val="00F256B8"/>
    <w:rsid w:val="00F258AA"/>
    <w:rsid w:val="00F26CBB"/>
    <w:rsid w:val="00F27B83"/>
    <w:rsid w:val="00F316BA"/>
    <w:rsid w:val="00F32B7E"/>
    <w:rsid w:val="00F337E7"/>
    <w:rsid w:val="00F3405D"/>
    <w:rsid w:val="00F3487A"/>
    <w:rsid w:val="00F36214"/>
    <w:rsid w:val="00F36644"/>
    <w:rsid w:val="00F37C7D"/>
    <w:rsid w:val="00F41D8B"/>
    <w:rsid w:val="00F421B7"/>
    <w:rsid w:val="00F42FD8"/>
    <w:rsid w:val="00F431E1"/>
    <w:rsid w:val="00F44296"/>
    <w:rsid w:val="00F452A0"/>
    <w:rsid w:val="00F45D3F"/>
    <w:rsid w:val="00F46DE1"/>
    <w:rsid w:val="00F47261"/>
    <w:rsid w:val="00F47915"/>
    <w:rsid w:val="00F47B24"/>
    <w:rsid w:val="00F47DA3"/>
    <w:rsid w:val="00F47EE8"/>
    <w:rsid w:val="00F50F43"/>
    <w:rsid w:val="00F51B69"/>
    <w:rsid w:val="00F523B0"/>
    <w:rsid w:val="00F53E83"/>
    <w:rsid w:val="00F53FC6"/>
    <w:rsid w:val="00F54366"/>
    <w:rsid w:val="00F5652B"/>
    <w:rsid w:val="00F56DFB"/>
    <w:rsid w:val="00F57308"/>
    <w:rsid w:val="00F57763"/>
    <w:rsid w:val="00F60177"/>
    <w:rsid w:val="00F62FCD"/>
    <w:rsid w:val="00F6301E"/>
    <w:rsid w:val="00F64410"/>
    <w:rsid w:val="00F64435"/>
    <w:rsid w:val="00F6479C"/>
    <w:rsid w:val="00F6706A"/>
    <w:rsid w:val="00F70CC0"/>
    <w:rsid w:val="00F717BF"/>
    <w:rsid w:val="00F71B1B"/>
    <w:rsid w:val="00F71DD7"/>
    <w:rsid w:val="00F72874"/>
    <w:rsid w:val="00F72B78"/>
    <w:rsid w:val="00F73765"/>
    <w:rsid w:val="00F73D30"/>
    <w:rsid w:val="00F74FD3"/>
    <w:rsid w:val="00F750AF"/>
    <w:rsid w:val="00F75518"/>
    <w:rsid w:val="00F75D93"/>
    <w:rsid w:val="00F75DAE"/>
    <w:rsid w:val="00F75E52"/>
    <w:rsid w:val="00F76425"/>
    <w:rsid w:val="00F82558"/>
    <w:rsid w:val="00F82B32"/>
    <w:rsid w:val="00F878FF"/>
    <w:rsid w:val="00F9026E"/>
    <w:rsid w:val="00F90A4F"/>
    <w:rsid w:val="00F91C2F"/>
    <w:rsid w:val="00F93BEC"/>
    <w:rsid w:val="00F93EF6"/>
    <w:rsid w:val="00F958C0"/>
    <w:rsid w:val="00F95B9E"/>
    <w:rsid w:val="00F9689C"/>
    <w:rsid w:val="00F97ADD"/>
    <w:rsid w:val="00FA160E"/>
    <w:rsid w:val="00FA1C79"/>
    <w:rsid w:val="00FA1D5B"/>
    <w:rsid w:val="00FA3039"/>
    <w:rsid w:val="00FA37B9"/>
    <w:rsid w:val="00FA420C"/>
    <w:rsid w:val="00FA4F77"/>
    <w:rsid w:val="00FA7E2E"/>
    <w:rsid w:val="00FC0137"/>
    <w:rsid w:val="00FC1ED2"/>
    <w:rsid w:val="00FC228E"/>
    <w:rsid w:val="00FC6632"/>
    <w:rsid w:val="00FD1CBA"/>
    <w:rsid w:val="00FD244F"/>
    <w:rsid w:val="00FD2D42"/>
    <w:rsid w:val="00FD3647"/>
    <w:rsid w:val="00FD4A06"/>
    <w:rsid w:val="00FD4AC3"/>
    <w:rsid w:val="00FD4FA1"/>
    <w:rsid w:val="00FD670B"/>
    <w:rsid w:val="00FE0C28"/>
    <w:rsid w:val="00FE0E66"/>
    <w:rsid w:val="00FE0F3C"/>
    <w:rsid w:val="00FE10A1"/>
    <w:rsid w:val="00FE1D24"/>
    <w:rsid w:val="00FE35C3"/>
    <w:rsid w:val="00FE3685"/>
    <w:rsid w:val="00FE3827"/>
    <w:rsid w:val="00FF002A"/>
    <w:rsid w:val="00FF069D"/>
    <w:rsid w:val="00FF0D00"/>
    <w:rsid w:val="00FF2105"/>
    <w:rsid w:val="00FF29D7"/>
    <w:rsid w:val="00FF484D"/>
    <w:rsid w:val="00FF50E4"/>
    <w:rsid w:val="00FF6992"/>
    <w:rsid w:val="00FF717B"/>
    <w:rsid w:val="00FF7F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2A27E"/>
  <w15:docId w15:val="{0A4DC4AF-7FBC-4648-B559-C19BC9EE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A3DB3"/>
    <w:pPr>
      <w:ind w:left="720"/>
      <w:contextualSpacing/>
    </w:pPr>
  </w:style>
  <w:style w:type="table" w:customStyle="1" w:styleId="Grigliatabella1">
    <w:name w:val="Griglia tabella1"/>
    <w:basedOn w:val="Tabellanormale"/>
    <w:next w:val="Grigliatabella"/>
    <w:uiPriority w:val="39"/>
    <w:rsid w:val="00100C95"/>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semplice51">
    <w:name w:val="Tabella semplice 51"/>
    <w:basedOn w:val="Tabellanormale"/>
    <w:uiPriority w:val="45"/>
    <w:rsid w:val="00100C95"/>
    <w:pPr>
      <w:spacing w:after="0" w:line="240" w:lineRule="auto"/>
    </w:pPr>
    <w:rPr>
      <w:rFonts w:ascii="Calibri" w:eastAsia="Calibri" w:hAnsi="Calibri" w:cs="Times New Roman"/>
      <w:sz w:val="20"/>
      <w:szCs w:val="20"/>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gliatabella">
    <w:name w:val="Table Grid"/>
    <w:basedOn w:val="Tabellanormale"/>
    <w:uiPriority w:val="39"/>
    <w:rsid w:val="00100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033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03372"/>
  </w:style>
  <w:style w:type="paragraph" w:styleId="Pidipagina">
    <w:name w:val="footer"/>
    <w:basedOn w:val="Normale"/>
    <w:link w:val="PidipaginaCarattere"/>
    <w:uiPriority w:val="99"/>
    <w:unhideWhenUsed/>
    <w:rsid w:val="00E0337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03372"/>
  </w:style>
  <w:style w:type="character" w:styleId="Collegamentoipertestuale">
    <w:name w:val="Hyperlink"/>
    <w:basedOn w:val="Carpredefinitoparagrafo"/>
    <w:uiPriority w:val="99"/>
    <w:unhideWhenUsed/>
    <w:rsid w:val="003952AF"/>
    <w:rPr>
      <w:color w:val="0563C1" w:themeColor="hyperlink"/>
      <w:u w:val="single"/>
    </w:rPr>
  </w:style>
  <w:style w:type="paragraph" w:styleId="Testofumetto">
    <w:name w:val="Balloon Text"/>
    <w:basedOn w:val="Normale"/>
    <w:link w:val="TestofumettoCarattere"/>
    <w:uiPriority w:val="99"/>
    <w:semiHidden/>
    <w:unhideWhenUsed/>
    <w:rsid w:val="00996B87"/>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996B87"/>
    <w:rPr>
      <w:rFonts w:ascii="Times New Roman" w:hAnsi="Times New Roman" w:cs="Times New Roman"/>
      <w:sz w:val="18"/>
      <w:szCs w:val="18"/>
    </w:rPr>
  </w:style>
  <w:style w:type="paragraph" w:styleId="PreformattatoHTML">
    <w:name w:val="HTML Preformatted"/>
    <w:basedOn w:val="Normale"/>
    <w:link w:val="PreformattatoHTMLCarattere"/>
    <w:uiPriority w:val="99"/>
    <w:semiHidden/>
    <w:unhideWhenUsed/>
    <w:rsid w:val="00EA3B9A"/>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EA3B9A"/>
    <w:rPr>
      <w:rFonts w:ascii="Consolas" w:hAnsi="Consolas"/>
      <w:sz w:val="20"/>
      <w:szCs w:val="20"/>
    </w:rPr>
  </w:style>
  <w:style w:type="character" w:styleId="Collegamentovisitato">
    <w:name w:val="FollowedHyperlink"/>
    <w:basedOn w:val="Carpredefinitoparagrafo"/>
    <w:uiPriority w:val="99"/>
    <w:semiHidden/>
    <w:unhideWhenUsed/>
    <w:rsid w:val="001B5C31"/>
    <w:rPr>
      <w:color w:val="954F72" w:themeColor="followedHyperlink"/>
      <w:u w:val="single"/>
    </w:rPr>
  </w:style>
  <w:style w:type="paragraph" w:styleId="Revisione">
    <w:name w:val="Revision"/>
    <w:hidden/>
    <w:uiPriority w:val="99"/>
    <w:semiHidden/>
    <w:rsid w:val="00284A2F"/>
    <w:pPr>
      <w:spacing w:after="0" w:line="240" w:lineRule="auto"/>
    </w:pPr>
  </w:style>
  <w:style w:type="character" w:styleId="Rimandocommento">
    <w:name w:val="annotation reference"/>
    <w:basedOn w:val="Carpredefinitoparagrafo"/>
    <w:uiPriority w:val="99"/>
    <w:semiHidden/>
    <w:unhideWhenUsed/>
    <w:rsid w:val="007727AA"/>
    <w:rPr>
      <w:sz w:val="16"/>
      <w:szCs w:val="16"/>
    </w:rPr>
  </w:style>
  <w:style w:type="paragraph" w:styleId="Testocommento">
    <w:name w:val="annotation text"/>
    <w:basedOn w:val="Normale"/>
    <w:link w:val="TestocommentoCarattere"/>
    <w:uiPriority w:val="99"/>
    <w:semiHidden/>
    <w:unhideWhenUsed/>
    <w:rsid w:val="007727A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727AA"/>
    <w:rPr>
      <w:sz w:val="20"/>
      <w:szCs w:val="20"/>
    </w:rPr>
  </w:style>
  <w:style w:type="paragraph" w:styleId="Soggettocommento">
    <w:name w:val="annotation subject"/>
    <w:basedOn w:val="Testocommento"/>
    <w:next w:val="Testocommento"/>
    <w:link w:val="SoggettocommentoCarattere"/>
    <w:uiPriority w:val="99"/>
    <w:semiHidden/>
    <w:unhideWhenUsed/>
    <w:rsid w:val="007727AA"/>
    <w:rPr>
      <w:b/>
      <w:bCs/>
    </w:rPr>
  </w:style>
  <w:style w:type="character" w:customStyle="1" w:styleId="SoggettocommentoCarattere">
    <w:name w:val="Soggetto commento Carattere"/>
    <w:basedOn w:val="TestocommentoCarattere"/>
    <w:link w:val="Soggettocommento"/>
    <w:uiPriority w:val="99"/>
    <w:semiHidden/>
    <w:rsid w:val="007727AA"/>
    <w:rPr>
      <w:b/>
      <w:bCs/>
      <w:sz w:val="20"/>
      <w:szCs w:val="20"/>
    </w:rPr>
  </w:style>
  <w:style w:type="character" w:styleId="Menzionenonrisolta">
    <w:name w:val="Unresolved Mention"/>
    <w:basedOn w:val="Carpredefinitoparagrafo"/>
    <w:uiPriority w:val="99"/>
    <w:semiHidden/>
    <w:unhideWhenUsed/>
    <w:rsid w:val="00D515D4"/>
    <w:rPr>
      <w:color w:val="808080"/>
      <w:shd w:val="clear" w:color="auto" w:fill="E6E6E6"/>
    </w:rPr>
  </w:style>
  <w:style w:type="paragraph" w:customStyle="1" w:styleId="MainText">
    <w:name w:val="MainText"/>
    <w:aliases w:val="MT"/>
    <w:basedOn w:val="Normale"/>
    <w:rsid w:val="00707B30"/>
    <w:pPr>
      <w:spacing w:after="0" w:line="240" w:lineRule="atLeast"/>
      <w:ind w:firstLine="300"/>
      <w:jc w:val="both"/>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2014">
      <w:bodyDiv w:val="1"/>
      <w:marLeft w:val="0"/>
      <w:marRight w:val="0"/>
      <w:marTop w:val="0"/>
      <w:marBottom w:val="0"/>
      <w:divBdr>
        <w:top w:val="none" w:sz="0" w:space="0" w:color="auto"/>
        <w:left w:val="none" w:sz="0" w:space="0" w:color="auto"/>
        <w:bottom w:val="none" w:sz="0" w:space="0" w:color="auto"/>
        <w:right w:val="none" w:sz="0" w:space="0" w:color="auto"/>
      </w:divBdr>
    </w:div>
    <w:div w:id="133453096">
      <w:bodyDiv w:val="1"/>
      <w:marLeft w:val="0"/>
      <w:marRight w:val="0"/>
      <w:marTop w:val="0"/>
      <w:marBottom w:val="0"/>
      <w:divBdr>
        <w:top w:val="none" w:sz="0" w:space="0" w:color="auto"/>
        <w:left w:val="none" w:sz="0" w:space="0" w:color="auto"/>
        <w:bottom w:val="none" w:sz="0" w:space="0" w:color="auto"/>
        <w:right w:val="none" w:sz="0" w:space="0" w:color="auto"/>
      </w:divBdr>
    </w:div>
    <w:div w:id="148592523">
      <w:bodyDiv w:val="1"/>
      <w:marLeft w:val="0"/>
      <w:marRight w:val="0"/>
      <w:marTop w:val="0"/>
      <w:marBottom w:val="0"/>
      <w:divBdr>
        <w:top w:val="none" w:sz="0" w:space="0" w:color="auto"/>
        <w:left w:val="none" w:sz="0" w:space="0" w:color="auto"/>
        <w:bottom w:val="none" w:sz="0" w:space="0" w:color="auto"/>
        <w:right w:val="none" w:sz="0" w:space="0" w:color="auto"/>
      </w:divBdr>
    </w:div>
    <w:div w:id="186529222">
      <w:bodyDiv w:val="1"/>
      <w:marLeft w:val="0"/>
      <w:marRight w:val="0"/>
      <w:marTop w:val="0"/>
      <w:marBottom w:val="0"/>
      <w:divBdr>
        <w:top w:val="none" w:sz="0" w:space="0" w:color="auto"/>
        <w:left w:val="none" w:sz="0" w:space="0" w:color="auto"/>
        <w:bottom w:val="none" w:sz="0" w:space="0" w:color="auto"/>
        <w:right w:val="none" w:sz="0" w:space="0" w:color="auto"/>
      </w:divBdr>
    </w:div>
    <w:div w:id="410545374">
      <w:bodyDiv w:val="1"/>
      <w:marLeft w:val="0"/>
      <w:marRight w:val="0"/>
      <w:marTop w:val="0"/>
      <w:marBottom w:val="0"/>
      <w:divBdr>
        <w:top w:val="none" w:sz="0" w:space="0" w:color="auto"/>
        <w:left w:val="none" w:sz="0" w:space="0" w:color="auto"/>
        <w:bottom w:val="none" w:sz="0" w:space="0" w:color="auto"/>
        <w:right w:val="none" w:sz="0" w:space="0" w:color="auto"/>
      </w:divBdr>
    </w:div>
    <w:div w:id="414782468">
      <w:bodyDiv w:val="1"/>
      <w:marLeft w:val="0"/>
      <w:marRight w:val="0"/>
      <w:marTop w:val="0"/>
      <w:marBottom w:val="0"/>
      <w:divBdr>
        <w:top w:val="none" w:sz="0" w:space="0" w:color="auto"/>
        <w:left w:val="none" w:sz="0" w:space="0" w:color="auto"/>
        <w:bottom w:val="none" w:sz="0" w:space="0" w:color="auto"/>
        <w:right w:val="none" w:sz="0" w:space="0" w:color="auto"/>
      </w:divBdr>
    </w:div>
    <w:div w:id="572617446">
      <w:bodyDiv w:val="1"/>
      <w:marLeft w:val="0"/>
      <w:marRight w:val="0"/>
      <w:marTop w:val="0"/>
      <w:marBottom w:val="0"/>
      <w:divBdr>
        <w:top w:val="none" w:sz="0" w:space="0" w:color="auto"/>
        <w:left w:val="none" w:sz="0" w:space="0" w:color="auto"/>
        <w:bottom w:val="none" w:sz="0" w:space="0" w:color="auto"/>
        <w:right w:val="none" w:sz="0" w:space="0" w:color="auto"/>
      </w:divBdr>
    </w:div>
    <w:div w:id="573395528">
      <w:bodyDiv w:val="1"/>
      <w:marLeft w:val="0"/>
      <w:marRight w:val="0"/>
      <w:marTop w:val="0"/>
      <w:marBottom w:val="0"/>
      <w:divBdr>
        <w:top w:val="none" w:sz="0" w:space="0" w:color="auto"/>
        <w:left w:val="none" w:sz="0" w:space="0" w:color="auto"/>
        <w:bottom w:val="none" w:sz="0" w:space="0" w:color="auto"/>
        <w:right w:val="none" w:sz="0" w:space="0" w:color="auto"/>
      </w:divBdr>
    </w:div>
    <w:div w:id="913507985">
      <w:bodyDiv w:val="1"/>
      <w:marLeft w:val="0"/>
      <w:marRight w:val="0"/>
      <w:marTop w:val="0"/>
      <w:marBottom w:val="0"/>
      <w:divBdr>
        <w:top w:val="none" w:sz="0" w:space="0" w:color="auto"/>
        <w:left w:val="none" w:sz="0" w:space="0" w:color="auto"/>
        <w:bottom w:val="none" w:sz="0" w:space="0" w:color="auto"/>
        <w:right w:val="none" w:sz="0" w:space="0" w:color="auto"/>
      </w:divBdr>
    </w:div>
    <w:div w:id="1000473280">
      <w:bodyDiv w:val="1"/>
      <w:marLeft w:val="0"/>
      <w:marRight w:val="0"/>
      <w:marTop w:val="0"/>
      <w:marBottom w:val="0"/>
      <w:divBdr>
        <w:top w:val="none" w:sz="0" w:space="0" w:color="auto"/>
        <w:left w:val="none" w:sz="0" w:space="0" w:color="auto"/>
        <w:bottom w:val="none" w:sz="0" w:space="0" w:color="auto"/>
        <w:right w:val="none" w:sz="0" w:space="0" w:color="auto"/>
      </w:divBdr>
    </w:div>
    <w:div w:id="1060862793">
      <w:bodyDiv w:val="1"/>
      <w:marLeft w:val="0"/>
      <w:marRight w:val="0"/>
      <w:marTop w:val="0"/>
      <w:marBottom w:val="0"/>
      <w:divBdr>
        <w:top w:val="none" w:sz="0" w:space="0" w:color="auto"/>
        <w:left w:val="none" w:sz="0" w:space="0" w:color="auto"/>
        <w:bottom w:val="none" w:sz="0" w:space="0" w:color="auto"/>
        <w:right w:val="none" w:sz="0" w:space="0" w:color="auto"/>
      </w:divBdr>
    </w:div>
    <w:div w:id="1215628821">
      <w:bodyDiv w:val="1"/>
      <w:marLeft w:val="0"/>
      <w:marRight w:val="0"/>
      <w:marTop w:val="0"/>
      <w:marBottom w:val="0"/>
      <w:divBdr>
        <w:top w:val="none" w:sz="0" w:space="0" w:color="auto"/>
        <w:left w:val="none" w:sz="0" w:space="0" w:color="auto"/>
        <w:bottom w:val="none" w:sz="0" w:space="0" w:color="auto"/>
        <w:right w:val="none" w:sz="0" w:space="0" w:color="auto"/>
      </w:divBdr>
    </w:div>
    <w:div w:id="1296762243">
      <w:bodyDiv w:val="1"/>
      <w:marLeft w:val="0"/>
      <w:marRight w:val="0"/>
      <w:marTop w:val="0"/>
      <w:marBottom w:val="0"/>
      <w:divBdr>
        <w:top w:val="none" w:sz="0" w:space="0" w:color="auto"/>
        <w:left w:val="none" w:sz="0" w:space="0" w:color="auto"/>
        <w:bottom w:val="none" w:sz="0" w:space="0" w:color="auto"/>
        <w:right w:val="none" w:sz="0" w:space="0" w:color="auto"/>
      </w:divBdr>
    </w:div>
    <w:div w:id="1374580278">
      <w:bodyDiv w:val="1"/>
      <w:marLeft w:val="0"/>
      <w:marRight w:val="0"/>
      <w:marTop w:val="0"/>
      <w:marBottom w:val="0"/>
      <w:divBdr>
        <w:top w:val="none" w:sz="0" w:space="0" w:color="auto"/>
        <w:left w:val="none" w:sz="0" w:space="0" w:color="auto"/>
        <w:bottom w:val="none" w:sz="0" w:space="0" w:color="auto"/>
        <w:right w:val="none" w:sz="0" w:space="0" w:color="auto"/>
      </w:divBdr>
    </w:div>
    <w:div w:id="1626308177">
      <w:bodyDiv w:val="1"/>
      <w:marLeft w:val="0"/>
      <w:marRight w:val="0"/>
      <w:marTop w:val="0"/>
      <w:marBottom w:val="0"/>
      <w:divBdr>
        <w:top w:val="none" w:sz="0" w:space="0" w:color="auto"/>
        <w:left w:val="none" w:sz="0" w:space="0" w:color="auto"/>
        <w:bottom w:val="none" w:sz="0" w:space="0" w:color="auto"/>
        <w:right w:val="none" w:sz="0" w:space="0" w:color="auto"/>
      </w:divBdr>
    </w:div>
    <w:div w:id="1769887395">
      <w:bodyDiv w:val="1"/>
      <w:marLeft w:val="0"/>
      <w:marRight w:val="0"/>
      <w:marTop w:val="0"/>
      <w:marBottom w:val="0"/>
      <w:divBdr>
        <w:top w:val="none" w:sz="0" w:space="0" w:color="auto"/>
        <w:left w:val="none" w:sz="0" w:space="0" w:color="auto"/>
        <w:bottom w:val="none" w:sz="0" w:space="0" w:color="auto"/>
        <w:right w:val="none" w:sz="0" w:space="0" w:color="auto"/>
      </w:divBdr>
    </w:div>
    <w:div w:id="1771316816">
      <w:bodyDiv w:val="1"/>
      <w:marLeft w:val="0"/>
      <w:marRight w:val="0"/>
      <w:marTop w:val="0"/>
      <w:marBottom w:val="0"/>
      <w:divBdr>
        <w:top w:val="none" w:sz="0" w:space="0" w:color="auto"/>
        <w:left w:val="none" w:sz="0" w:space="0" w:color="auto"/>
        <w:bottom w:val="none" w:sz="0" w:space="0" w:color="auto"/>
        <w:right w:val="none" w:sz="0" w:space="0" w:color="auto"/>
      </w:divBdr>
    </w:div>
    <w:div w:id="1852991135">
      <w:bodyDiv w:val="1"/>
      <w:marLeft w:val="0"/>
      <w:marRight w:val="0"/>
      <w:marTop w:val="0"/>
      <w:marBottom w:val="0"/>
      <w:divBdr>
        <w:top w:val="none" w:sz="0" w:space="0" w:color="auto"/>
        <w:left w:val="none" w:sz="0" w:space="0" w:color="auto"/>
        <w:bottom w:val="none" w:sz="0" w:space="0" w:color="auto"/>
        <w:right w:val="none" w:sz="0" w:space="0" w:color="auto"/>
      </w:divBdr>
    </w:div>
    <w:div w:id="1855731318">
      <w:bodyDiv w:val="1"/>
      <w:marLeft w:val="0"/>
      <w:marRight w:val="0"/>
      <w:marTop w:val="0"/>
      <w:marBottom w:val="0"/>
      <w:divBdr>
        <w:top w:val="none" w:sz="0" w:space="0" w:color="auto"/>
        <w:left w:val="none" w:sz="0" w:space="0" w:color="auto"/>
        <w:bottom w:val="none" w:sz="0" w:space="0" w:color="auto"/>
        <w:right w:val="none" w:sz="0" w:space="0" w:color="auto"/>
      </w:divBdr>
    </w:div>
    <w:div w:id="18871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6244</TotalTime>
  <Pages>14</Pages>
  <Words>6392</Words>
  <Characters>36437</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Quintiliani</dc:creator>
  <cp:keywords/>
  <dc:description/>
  <cp:lastModifiedBy>Andrea Quintiliani</cp:lastModifiedBy>
  <cp:revision>280</cp:revision>
  <dcterms:created xsi:type="dcterms:W3CDTF">2019-05-16T15:21:00Z</dcterms:created>
  <dcterms:modified xsi:type="dcterms:W3CDTF">2019-11-03T13:12:00Z</dcterms:modified>
</cp:coreProperties>
</file>