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7C3E" w14:textId="33099A27" w:rsidR="00C40CC2" w:rsidRPr="00227B56" w:rsidRDefault="00C40CC2" w:rsidP="00DE7030">
      <w:pPr>
        <w:autoSpaceDE w:val="0"/>
        <w:autoSpaceDN w:val="0"/>
        <w:adjustRightInd w:val="0"/>
        <w:spacing w:after="0" w:line="360" w:lineRule="auto"/>
        <w:jc w:val="center"/>
        <w:rPr>
          <w:rFonts w:ascii="Arial" w:hAnsi="Arial" w:cs="Arial"/>
          <w:b/>
          <w:bCs/>
          <w:sz w:val="18"/>
          <w:szCs w:val="18"/>
        </w:rPr>
      </w:pPr>
      <w:bookmarkStart w:id="0" w:name="_Hlk531789569"/>
      <w:r w:rsidRPr="00227B56">
        <w:rPr>
          <w:rFonts w:ascii="Arial" w:hAnsi="Arial" w:cs="Arial"/>
          <w:b/>
          <w:bCs/>
          <w:sz w:val="18"/>
          <w:szCs w:val="18"/>
        </w:rPr>
        <w:t>Capital Adequacy and Performance of Listed Universal Banks</w:t>
      </w:r>
      <w:r w:rsidR="00CB31B5">
        <w:rPr>
          <w:rFonts w:ascii="Arial" w:hAnsi="Arial" w:cs="Arial"/>
          <w:b/>
          <w:bCs/>
          <w:sz w:val="18"/>
          <w:szCs w:val="18"/>
        </w:rPr>
        <w:t xml:space="preserve">; </w:t>
      </w:r>
      <w:r w:rsidRPr="00227B56">
        <w:rPr>
          <w:rFonts w:ascii="Arial" w:hAnsi="Arial" w:cs="Arial"/>
          <w:b/>
          <w:bCs/>
          <w:sz w:val="18"/>
          <w:szCs w:val="18"/>
        </w:rPr>
        <w:t>considering the Basel Accord Framework</w:t>
      </w:r>
    </w:p>
    <w:p w14:paraId="217E623A" w14:textId="77777777" w:rsidR="005C3FD9" w:rsidRPr="00227B56" w:rsidRDefault="005C3FD9" w:rsidP="005C3FD9">
      <w:pPr>
        <w:autoSpaceDE w:val="0"/>
        <w:autoSpaceDN w:val="0"/>
        <w:adjustRightInd w:val="0"/>
        <w:spacing w:after="0" w:line="360" w:lineRule="auto"/>
        <w:jc w:val="both"/>
        <w:rPr>
          <w:rFonts w:ascii="Arial" w:hAnsi="Arial" w:cs="Arial"/>
          <w:b/>
          <w:bCs/>
          <w:sz w:val="18"/>
          <w:szCs w:val="18"/>
        </w:rPr>
      </w:pPr>
    </w:p>
    <w:bookmarkEnd w:id="0"/>
    <w:p w14:paraId="09E1446B" w14:textId="05C37D05" w:rsidR="00812C4D" w:rsidRPr="00227B56" w:rsidRDefault="00812C4D" w:rsidP="00D40B7B">
      <w:pPr>
        <w:spacing w:after="0" w:line="360" w:lineRule="auto"/>
        <w:jc w:val="both"/>
        <w:rPr>
          <w:rFonts w:ascii="Arial" w:hAnsi="Arial" w:cs="Arial"/>
          <w:b/>
          <w:sz w:val="18"/>
          <w:szCs w:val="18"/>
          <w:shd w:val="clear" w:color="auto" w:fill="FFFFFF"/>
        </w:rPr>
      </w:pPr>
      <w:r w:rsidRPr="00227B56">
        <w:rPr>
          <w:rFonts w:ascii="Arial" w:hAnsi="Arial" w:cs="Arial"/>
          <w:b/>
          <w:sz w:val="18"/>
          <w:szCs w:val="18"/>
          <w:shd w:val="clear" w:color="auto" w:fill="FFFFFF"/>
        </w:rPr>
        <w:t xml:space="preserve">Abstract </w:t>
      </w:r>
    </w:p>
    <w:p w14:paraId="5641433E" w14:textId="0094E3BD" w:rsidR="00C40CC2" w:rsidRPr="00227B56" w:rsidRDefault="00812C4D" w:rsidP="00D40B7B">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shd w:val="clear" w:color="auto" w:fill="FFFFFF"/>
        </w:rPr>
        <w:t xml:space="preserve">This study </w:t>
      </w:r>
      <w:r w:rsidR="00DE7030" w:rsidRPr="00227B56">
        <w:rPr>
          <w:rFonts w:ascii="Arial" w:hAnsi="Arial" w:cs="Arial"/>
          <w:sz w:val="18"/>
          <w:szCs w:val="18"/>
          <w:shd w:val="clear" w:color="auto" w:fill="FFFFFF"/>
        </w:rPr>
        <w:t>examines the</w:t>
      </w:r>
      <w:r w:rsidR="001F7352" w:rsidRPr="00227B56">
        <w:rPr>
          <w:rFonts w:ascii="Arial" w:hAnsi="Arial" w:cs="Arial"/>
          <w:sz w:val="18"/>
          <w:szCs w:val="18"/>
          <w:shd w:val="clear" w:color="auto" w:fill="FFFFFF"/>
        </w:rPr>
        <w:t xml:space="preserve"> impact of b</w:t>
      </w:r>
      <w:r w:rsidRPr="00227B56">
        <w:rPr>
          <w:rFonts w:ascii="Arial" w:hAnsi="Arial" w:cs="Arial"/>
          <w:sz w:val="18"/>
          <w:szCs w:val="18"/>
          <w:shd w:val="clear" w:color="auto" w:fill="FFFFFF"/>
        </w:rPr>
        <w:t xml:space="preserve">anks’ </w:t>
      </w:r>
      <w:r w:rsidR="001F7352" w:rsidRPr="00227B56">
        <w:rPr>
          <w:rFonts w:ascii="Arial" w:hAnsi="Arial" w:cs="Arial"/>
          <w:sz w:val="18"/>
          <w:szCs w:val="18"/>
          <w:shd w:val="clear" w:color="auto" w:fill="FFFFFF"/>
        </w:rPr>
        <w:t>c</w:t>
      </w:r>
      <w:r w:rsidRPr="00227B56">
        <w:rPr>
          <w:rFonts w:ascii="Arial" w:hAnsi="Arial" w:cs="Arial"/>
          <w:sz w:val="18"/>
          <w:szCs w:val="18"/>
          <w:shd w:val="clear" w:color="auto" w:fill="FFFFFF"/>
        </w:rPr>
        <w:t xml:space="preserve">apital </w:t>
      </w:r>
      <w:r w:rsidR="001F7352" w:rsidRPr="00227B56">
        <w:rPr>
          <w:rFonts w:ascii="Arial" w:hAnsi="Arial" w:cs="Arial"/>
          <w:sz w:val="18"/>
          <w:szCs w:val="18"/>
          <w:shd w:val="clear" w:color="auto" w:fill="FFFFFF"/>
        </w:rPr>
        <w:t>on the</w:t>
      </w:r>
      <w:r w:rsidRPr="00227B56">
        <w:rPr>
          <w:rFonts w:ascii="Arial" w:hAnsi="Arial" w:cs="Arial"/>
          <w:sz w:val="18"/>
          <w:szCs w:val="18"/>
          <w:shd w:val="clear" w:color="auto" w:fill="FFFFFF"/>
        </w:rPr>
        <w:t xml:space="preserve"> performance</w:t>
      </w:r>
      <w:r w:rsidR="001F7352" w:rsidRPr="00227B56">
        <w:rPr>
          <w:rFonts w:ascii="Arial" w:hAnsi="Arial" w:cs="Arial"/>
          <w:sz w:val="18"/>
          <w:szCs w:val="18"/>
          <w:shd w:val="clear" w:color="auto" w:fill="FFFFFF"/>
        </w:rPr>
        <w:t xml:space="preserve"> of banks</w:t>
      </w:r>
      <w:r w:rsidRPr="00227B56">
        <w:rPr>
          <w:rFonts w:ascii="Arial" w:hAnsi="Arial" w:cs="Arial"/>
          <w:sz w:val="18"/>
          <w:szCs w:val="18"/>
          <w:shd w:val="clear" w:color="auto" w:fill="FFFFFF"/>
        </w:rPr>
        <w:t xml:space="preserve">. </w:t>
      </w:r>
      <w:r w:rsidR="00CB31B5">
        <w:rPr>
          <w:rFonts w:ascii="Arial" w:hAnsi="Arial" w:cs="Arial"/>
          <w:sz w:val="18"/>
          <w:szCs w:val="18"/>
        </w:rPr>
        <w:t>We</w:t>
      </w:r>
      <w:r w:rsidR="00E951B4" w:rsidRPr="00227B56">
        <w:rPr>
          <w:rFonts w:ascii="Arial" w:hAnsi="Arial" w:cs="Arial"/>
          <w:sz w:val="18"/>
          <w:szCs w:val="18"/>
        </w:rPr>
        <w:t xml:space="preserve"> adopted </w:t>
      </w:r>
      <w:r w:rsidR="005B56E0" w:rsidRPr="00227B56">
        <w:rPr>
          <w:rFonts w:ascii="Arial" w:hAnsi="Arial" w:cs="Arial"/>
          <w:sz w:val="18"/>
          <w:szCs w:val="18"/>
        </w:rPr>
        <w:t xml:space="preserve">the </w:t>
      </w:r>
      <w:r w:rsidR="00E951B4" w:rsidRPr="00227B56">
        <w:rPr>
          <w:rFonts w:ascii="Arial" w:hAnsi="Arial" w:cs="Arial"/>
          <w:sz w:val="18"/>
          <w:szCs w:val="18"/>
        </w:rPr>
        <w:t xml:space="preserve">multiple </w:t>
      </w:r>
      <w:r w:rsidR="005B56E0" w:rsidRPr="00227B56">
        <w:rPr>
          <w:rFonts w:ascii="Arial" w:hAnsi="Arial" w:cs="Arial"/>
          <w:sz w:val="18"/>
          <w:szCs w:val="18"/>
        </w:rPr>
        <w:t xml:space="preserve">ordinary least squares (OLS) </w:t>
      </w:r>
      <w:r w:rsidR="00E951B4" w:rsidRPr="00227B56">
        <w:rPr>
          <w:rFonts w:ascii="Arial" w:hAnsi="Arial" w:cs="Arial"/>
          <w:sz w:val="18"/>
          <w:szCs w:val="18"/>
        </w:rPr>
        <w:t>regression model</w:t>
      </w:r>
      <w:r w:rsidR="00CB31B5">
        <w:rPr>
          <w:rFonts w:ascii="Arial" w:hAnsi="Arial" w:cs="Arial"/>
          <w:sz w:val="18"/>
          <w:szCs w:val="18"/>
        </w:rPr>
        <w:t xml:space="preserve"> in the analyses</w:t>
      </w:r>
      <w:r w:rsidR="00E951B4" w:rsidRPr="00227B56">
        <w:rPr>
          <w:rFonts w:ascii="Arial" w:hAnsi="Arial" w:cs="Arial"/>
          <w:sz w:val="18"/>
          <w:szCs w:val="18"/>
        </w:rPr>
        <w:t xml:space="preserve"> and heteroscedasticity test </w:t>
      </w:r>
      <w:r w:rsidR="00CB31B5">
        <w:rPr>
          <w:rFonts w:ascii="Arial" w:hAnsi="Arial" w:cs="Arial"/>
          <w:sz w:val="18"/>
          <w:szCs w:val="18"/>
        </w:rPr>
        <w:t>was use</w:t>
      </w:r>
      <w:r w:rsidR="00FD592C">
        <w:rPr>
          <w:rFonts w:ascii="Arial" w:hAnsi="Arial" w:cs="Arial"/>
          <w:sz w:val="18"/>
          <w:szCs w:val="18"/>
        </w:rPr>
        <w:t>d</w:t>
      </w:r>
      <w:r w:rsidR="00CB31B5">
        <w:rPr>
          <w:rFonts w:ascii="Arial" w:hAnsi="Arial" w:cs="Arial"/>
          <w:sz w:val="18"/>
          <w:szCs w:val="18"/>
        </w:rPr>
        <w:t xml:space="preserve"> </w:t>
      </w:r>
      <w:r w:rsidR="00E951B4" w:rsidRPr="00227B56">
        <w:rPr>
          <w:rFonts w:ascii="Arial" w:hAnsi="Arial" w:cs="Arial"/>
          <w:sz w:val="18"/>
          <w:szCs w:val="18"/>
        </w:rPr>
        <w:t>to check how homogeneous or heterogeneous the variables are.</w:t>
      </w:r>
      <w:r w:rsidR="00E951B4" w:rsidRPr="00227B56">
        <w:rPr>
          <w:rFonts w:ascii="Arial" w:hAnsi="Arial" w:cs="Arial"/>
          <w:sz w:val="18"/>
          <w:szCs w:val="18"/>
          <w:shd w:val="clear" w:color="auto" w:fill="FFFFFF"/>
        </w:rPr>
        <w:t xml:space="preserve"> Time</w:t>
      </w:r>
      <w:r w:rsidRPr="00227B56">
        <w:rPr>
          <w:rFonts w:ascii="Arial" w:hAnsi="Arial" w:cs="Arial"/>
          <w:sz w:val="18"/>
          <w:szCs w:val="18"/>
          <w:shd w:val="clear" w:color="auto" w:fill="FFFFFF"/>
        </w:rPr>
        <w:t xml:space="preserve">-series data covering the period </w:t>
      </w:r>
      <w:r w:rsidR="0055550A">
        <w:rPr>
          <w:rFonts w:ascii="Arial" w:hAnsi="Arial" w:cs="Arial"/>
          <w:sz w:val="18"/>
          <w:szCs w:val="18"/>
          <w:shd w:val="clear" w:color="auto" w:fill="FFFFFF"/>
        </w:rPr>
        <w:t xml:space="preserve">of </w:t>
      </w:r>
      <w:r w:rsidR="00E951B4" w:rsidRPr="00227B56">
        <w:rPr>
          <w:rFonts w:ascii="Arial" w:hAnsi="Arial" w:cs="Arial"/>
          <w:sz w:val="18"/>
          <w:szCs w:val="18"/>
          <w:shd w:val="clear" w:color="auto" w:fill="FFFFFF"/>
        </w:rPr>
        <w:t>2008</w:t>
      </w:r>
      <w:r w:rsidRPr="00227B56">
        <w:rPr>
          <w:rFonts w:ascii="Arial" w:hAnsi="Arial" w:cs="Arial"/>
          <w:sz w:val="18"/>
          <w:szCs w:val="18"/>
          <w:shd w:val="clear" w:color="auto" w:fill="FFFFFF"/>
        </w:rPr>
        <w:t>-20</w:t>
      </w:r>
      <w:r w:rsidR="00E951B4" w:rsidRPr="00227B56">
        <w:rPr>
          <w:rFonts w:ascii="Arial" w:hAnsi="Arial" w:cs="Arial"/>
          <w:sz w:val="18"/>
          <w:szCs w:val="18"/>
          <w:shd w:val="clear" w:color="auto" w:fill="FFFFFF"/>
        </w:rPr>
        <w:t>17</w:t>
      </w:r>
      <w:r w:rsidRPr="00227B56">
        <w:rPr>
          <w:rFonts w:ascii="Arial" w:hAnsi="Arial" w:cs="Arial"/>
          <w:sz w:val="18"/>
          <w:szCs w:val="18"/>
          <w:shd w:val="clear" w:color="auto" w:fill="FFFFFF"/>
        </w:rPr>
        <w:t xml:space="preserve"> for </w:t>
      </w:r>
      <w:r w:rsidR="00E951B4" w:rsidRPr="00227B56">
        <w:rPr>
          <w:rFonts w:ascii="Arial" w:hAnsi="Arial" w:cs="Arial"/>
          <w:sz w:val="18"/>
          <w:szCs w:val="18"/>
          <w:shd w:val="clear" w:color="auto" w:fill="FFFFFF"/>
        </w:rPr>
        <w:t>G</w:t>
      </w:r>
      <w:r w:rsidR="0055550A">
        <w:rPr>
          <w:rFonts w:ascii="Arial" w:hAnsi="Arial" w:cs="Arial"/>
          <w:sz w:val="18"/>
          <w:szCs w:val="18"/>
          <w:shd w:val="clear" w:color="auto" w:fill="FFFFFF"/>
        </w:rPr>
        <w:t>ha</w:t>
      </w:r>
      <w:r w:rsidR="00FD592C">
        <w:rPr>
          <w:rFonts w:ascii="Arial" w:hAnsi="Arial" w:cs="Arial"/>
          <w:sz w:val="18"/>
          <w:szCs w:val="18"/>
          <w:shd w:val="clear" w:color="auto" w:fill="FFFFFF"/>
        </w:rPr>
        <w:t xml:space="preserve">naian listed universal banks were </w:t>
      </w:r>
      <w:r w:rsidR="00E951B4" w:rsidRPr="00227B56">
        <w:rPr>
          <w:rFonts w:ascii="Arial" w:hAnsi="Arial" w:cs="Arial"/>
          <w:sz w:val="18"/>
          <w:szCs w:val="18"/>
          <w:shd w:val="clear" w:color="auto" w:fill="FFFFFF"/>
        </w:rPr>
        <w:t>consider</w:t>
      </w:r>
      <w:r w:rsidR="005B56E0" w:rsidRPr="00227B56">
        <w:rPr>
          <w:rFonts w:ascii="Arial" w:hAnsi="Arial" w:cs="Arial"/>
          <w:sz w:val="18"/>
          <w:szCs w:val="18"/>
          <w:shd w:val="clear" w:color="auto" w:fill="FFFFFF"/>
        </w:rPr>
        <w:t>ed</w:t>
      </w:r>
      <w:r w:rsidR="00CB31B5">
        <w:rPr>
          <w:rFonts w:ascii="Arial" w:hAnsi="Arial" w:cs="Arial"/>
          <w:sz w:val="18"/>
          <w:szCs w:val="18"/>
          <w:shd w:val="clear" w:color="auto" w:fill="FFFFFF"/>
        </w:rPr>
        <w:t xml:space="preserve"> for this</w:t>
      </w:r>
      <w:r w:rsidR="0055550A">
        <w:rPr>
          <w:rFonts w:ascii="Arial" w:hAnsi="Arial" w:cs="Arial"/>
          <w:sz w:val="18"/>
          <w:szCs w:val="18"/>
          <w:shd w:val="clear" w:color="auto" w:fill="FFFFFF"/>
        </w:rPr>
        <w:t xml:space="preserve"> study</w:t>
      </w:r>
      <w:r w:rsidR="005B56E0" w:rsidRPr="00227B56">
        <w:rPr>
          <w:rFonts w:ascii="Arial" w:hAnsi="Arial" w:cs="Arial"/>
          <w:sz w:val="18"/>
          <w:szCs w:val="18"/>
          <w:shd w:val="clear" w:color="auto" w:fill="FFFFFF"/>
        </w:rPr>
        <w:t>.</w:t>
      </w:r>
      <w:r w:rsidR="00CB31B5">
        <w:rPr>
          <w:rFonts w:ascii="Arial" w:hAnsi="Arial" w:cs="Arial"/>
          <w:sz w:val="18"/>
          <w:szCs w:val="18"/>
        </w:rPr>
        <w:t xml:space="preserve"> The confirmed that banks with adequate capital perform better. </w:t>
      </w:r>
      <w:bookmarkStart w:id="1" w:name="_GoBack"/>
      <w:bookmarkEnd w:id="1"/>
      <w:r w:rsidR="00FD592C">
        <w:rPr>
          <w:rFonts w:ascii="Arial" w:hAnsi="Arial" w:cs="Arial"/>
          <w:sz w:val="18"/>
          <w:szCs w:val="18"/>
        </w:rPr>
        <w:t>In addition</w:t>
      </w:r>
      <w:r w:rsidR="00CB31B5">
        <w:rPr>
          <w:rFonts w:ascii="Arial" w:hAnsi="Arial" w:cs="Arial"/>
          <w:sz w:val="18"/>
          <w:szCs w:val="18"/>
        </w:rPr>
        <w:t>, the</w:t>
      </w:r>
      <w:r w:rsidR="00E951B4" w:rsidRPr="00227B56">
        <w:rPr>
          <w:rFonts w:ascii="Arial" w:hAnsi="Arial" w:cs="Arial"/>
          <w:sz w:val="18"/>
          <w:szCs w:val="18"/>
        </w:rPr>
        <w:t xml:space="preserve"> study found that banks net profit after tax, banks outstanding loans and ban</w:t>
      </w:r>
      <w:r w:rsidR="00905962">
        <w:rPr>
          <w:rFonts w:ascii="Arial" w:hAnsi="Arial" w:cs="Arial"/>
          <w:sz w:val="18"/>
          <w:szCs w:val="18"/>
        </w:rPr>
        <w:t>ks capital have a positive and</w:t>
      </w:r>
      <w:r w:rsidR="00E951B4" w:rsidRPr="00227B56">
        <w:rPr>
          <w:rFonts w:ascii="Arial" w:hAnsi="Arial" w:cs="Arial"/>
          <w:sz w:val="18"/>
          <w:szCs w:val="18"/>
        </w:rPr>
        <w:t xml:space="preserve"> significant relationship with banks total asset base as a performance indicator. It also discovered through correlational analysis that the</w:t>
      </w:r>
      <w:r w:rsidR="005B56E0" w:rsidRPr="00227B56">
        <w:rPr>
          <w:rFonts w:ascii="Arial" w:hAnsi="Arial" w:cs="Arial"/>
          <w:sz w:val="18"/>
          <w:szCs w:val="18"/>
        </w:rPr>
        <w:t>re</w:t>
      </w:r>
      <w:r w:rsidR="00E951B4" w:rsidRPr="00227B56">
        <w:rPr>
          <w:rFonts w:ascii="Arial" w:hAnsi="Arial" w:cs="Arial"/>
          <w:sz w:val="18"/>
          <w:szCs w:val="18"/>
        </w:rPr>
        <w:t xml:space="preserve"> is a strong link between banks outstanding loans (credit advancement) and banks performance.</w:t>
      </w:r>
    </w:p>
    <w:p w14:paraId="195D6116" w14:textId="77777777" w:rsidR="006427E4" w:rsidRPr="00227B56" w:rsidRDefault="006427E4" w:rsidP="005C3FD9">
      <w:pPr>
        <w:spacing w:after="0" w:line="360" w:lineRule="auto"/>
        <w:jc w:val="both"/>
        <w:rPr>
          <w:rFonts w:ascii="Arial" w:hAnsi="Arial" w:cs="Arial"/>
          <w:sz w:val="18"/>
          <w:szCs w:val="18"/>
        </w:rPr>
      </w:pPr>
    </w:p>
    <w:p w14:paraId="2278C4C7" w14:textId="107CA89E" w:rsidR="00812C4D" w:rsidRPr="00227B56" w:rsidRDefault="009711BA" w:rsidP="005C3FD9">
      <w:pPr>
        <w:spacing w:after="0" w:line="360" w:lineRule="auto"/>
        <w:jc w:val="both"/>
        <w:rPr>
          <w:rFonts w:ascii="Arial" w:hAnsi="Arial" w:cs="Arial"/>
          <w:sz w:val="18"/>
          <w:szCs w:val="18"/>
        </w:rPr>
      </w:pPr>
      <w:r w:rsidRPr="00227B56">
        <w:rPr>
          <w:rFonts w:ascii="Arial" w:hAnsi="Arial" w:cs="Arial"/>
          <w:b/>
          <w:sz w:val="18"/>
          <w:szCs w:val="18"/>
        </w:rPr>
        <w:t>Key words:</w:t>
      </w:r>
      <w:r w:rsidRPr="00227B56">
        <w:rPr>
          <w:rFonts w:ascii="Arial" w:hAnsi="Arial" w:cs="Arial"/>
          <w:sz w:val="18"/>
          <w:szCs w:val="18"/>
        </w:rPr>
        <w:t xml:space="preserve"> Adequacy, Banking, Basel, Capital, Equity</w:t>
      </w:r>
    </w:p>
    <w:p w14:paraId="091E4020" w14:textId="688EB2E3" w:rsidR="006427E4" w:rsidRPr="00227B56" w:rsidRDefault="006427E4" w:rsidP="005C3FD9">
      <w:pPr>
        <w:spacing w:after="0" w:line="360" w:lineRule="auto"/>
        <w:jc w:val="both"/>
        <w:rPr>
          <w:rFonts w:ascii="Arial" w:hAnsi="Arial" w:cs="Arial"/>
          <w:sz w:val="18"/>
          <w:szCs w:val="18"/>
        </w:rPr>
      </w:pPr>
    </w:p>
    <w:p w14:paraId="20BD90DE" w14:textId="2FC89A8F" w:rsidR="00C40CC2" w:rsidRPr="00227B56" w:rsidRDefault="005F5689" w:rsidP="00C40CC2">
      <w:pPr>
        <w:pStyle w:val="Heading1"/>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1. </w:t>
      </w:r>
      <w:r w:rsidR="00C40CC2" w:rsidRPr="00227B56">
        <w:rPr>
          <w:rFonts w:ascii="Arial" w:hAnsi="Arial" w:cs="Arial"/>
          <w:sz w:val="18"/>
          <w:szCs w:val="18"/>
        </w:rPr>
        <w:t>Introduction</w:t>
      </w:r>
    </w:p>
    <w:p w14:paraId="236B6B58" w14:textId="56817E11"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 xml:space="preserve">Banks and Bankers have always won the love of many civilians in a given economy due to the crucial role they play in the distribution of wealth </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&lt;EndNote&gt;&lt;Cite&gt;&lt;Author&gt;Soludo&lt;/Author&gt;&lt;Year&gt;2004&lt;/Year&gt;&lt;RecNum&gt;69&lt;/RecNum&gt;&lt;DisplayText&gt;(Soludo, 2004)&lt;/DisplayText&gt;&lt;record&gt;&lt;rec-number&gt;69&lt;/rec-number&gt;&lt;foreign-keys&gt;&lt;key app="EN" db-id="psxed5rv7dtz0jef0f3509p02pfzasprwvx9" timestamp="1539258900"&gt;69&lt;/key&gt;&lt;/foreign-keys&gt;&lt;ref-type name="Conference Proceedings"&gt;10&lt;/ref-type&gt;&lt;contributors&gt;&lt;authors&gt;&lt;author&gt;Soludo, Charles Chukwuma&lt;/author&gt;&lt;/authors&gt;&lt;/contributors&gt;&lt;titles&gt;&lt;title&gt;Consolidating the Nigerian banking industry to meet the development challenges of the 21st century&lt;/title&gt;&lt;secondary-title&gt;Being an address delivered to the Special Meeting of the Bankers Committee, held on July&lt;/secondary-title&gt;&lt;/titles&gt;&lt;volume&gt;6&lt;/volume&gt;&lt;dates&gt;&lt;year&gt;2004&lt;/year&gt;&lt;/dates&gt;&lt;orig-pub&gt;http://lawreportsofcourtsofnigeria.org/CONSOLDATING%20NIG%20IND.pdf&lt;/orig-pub&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(Soludo, 2004)</w:t>
      </w:r>
      <w:r w:rsidRPr="00227B56">
        <w:rPr>
          <w:rFonts w:ascii="Arial" w:hAnsi="Arial" w:cs="Arial"/>
          <w:sz w:val="18"/>
          <w:szCs w:val="18"/>
        </w:rPr>
        <w:fldChar w:fldCharType="end"/>
      </w:r>
      <w:r w:rsidRPr="00227B56">
        <w:rPr>
          <w:rFonts w:ascii="Arial" w:hAnsi="Arial" w:cs="Arial"/>
          <w:sz w:val="18"/>
          <w:szCs w:val="18"/>
        </w:rPr>
        <w:t xml:space="preserve">. As many professionals in the field </w:t>
      </w:r>
      <w:r w:rsidR="005B56E0" w:rsidRPr="00227B56">
        <w:rPr>
          <w:rFonts w:ascii="Arial" w:hAnsi="Arial" w:cs="Arial"/>
          <w:sz w:val="18"/>
          <w:szCs w:val="18"/>
        </w:rPr>
        <w:t xml:space="preserve">of </w:t>
      </w:r>
      <w:r w:rsidRPr="00227B56">
        <w:rPr>
          <w:rFonts w:ascii="Arial" w:hAnsi="Arial" w:cs="Arial"/>
          <w:sz w:val="18"/>
          <w:szCs w:val="18"/>
        </w:rPr>
        <w:t xml:space="preserve">Finance and Economics believe, banking has been going on </w:t>
      </w:r>
      <w:r w:rsidR="00CB31B5">
        <w:rPr>
          <w:rFonts w:ascii="Arial" w:hAnsi="Arial" w:cs="Arial"/>
          <w:sz w:val="18"/>
          <w:szCs w:val="18"/>
        </w:rPr>
        <w:t>since ancient era. Evidences have been</w:t>
      </w:r>
      <w:r w:rsidRPr="00227B56">
        <w:rPr>
          <w:rFonts w:ascii="Arial" w:hAnsi="Arial" w:cs="Arial"/>
          <w:sz w:val="18"/>
          <w:szCs w:val="18"/>
        </w:rPr>
        <w:t xml:space="preserve"> found with the archaeological symbols to prove that indeed our </w:t>
      </w:r>
      <w:r w:rsidR="00CB31B5" w:rsidRPr="00227B56">
        <w:rPr>
          <w:rFonts w:ascii="Arial" w:hAnsi="Arial" w:cs="Arial"/>
          <w:sz w:val="18"/>
          <w:szCs w:val="18"/>
        </w:rPr>
        <w:t>ancestors</w:t>
      </w:r>
      <w:r w:rsidRPr="00227B56">
        <w:rPr>
          <w:rFonts w:ascii="Arial" w:hAnsi="Arial" w:cs="Arial"/>
          <w:sz w:val="18"/>
          <w:szCs w:val="18"/>
        </w:rPr>
        <w:t xml:space="preserve"> had a system similar to our present-day banking. </w:t>
      </w:r>
    </w:p>
    <w:p w14:paraId="6B01C883" w14:textId="7709700B"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Banking is basically the act of keeping</w:t>
      </w:r>
      <w:r w:rsidR="005B56E0" w:rsidRPr="00227B56">
        <w:rPr>
          <w:rFonts w:ascii="Arial" w:hAnsi="Arial" w:cs="Arial"/>
          <w:sz w:val="18"/>
          <w:szCs w:val="18"/>
        </w:rPr>
        <w:t xml:space="preserve"> a</w:t>
      </w:r>
      <w:r w:rsidRPr="00227B56">
        <w:rPr>
          <w:rFonts w:ascii="Arial" w:hAnsi="Arial" w:cs="Arial"/>
          <w:sz w:val="18"/>
          <w:szCs w:val="18"/>
        </w:rPr>
        <w:t xml:space="preserve"> client deposit safe and giving it back to them when the times comes and also providing loans to people who are in</w:t>
      </w:r>
      <w:r w:rsidR="009C1F13" w:rsidRPr="00227B56">
        <w:rPr>
          <w:rFonts w:ascii="Arial" w:hAnsi="Arial" w:cs="Arial"/>
          <w:sz w:val="18"/>
          <w:szCs w:val="18"/>
        </w:rPr>
        <w:t>-</w:t>
      </w:r>
      <w:r w:rsidR="00EF13DE" w:rsidRPr="00227B56">
        <w:rPr>
          <w:rFonts w:ascii="Arial" w:hAnsi="Arial" w:cs="Arial"/>
          <w:sz w:val="18"/>
          <w:szCs w:val="18"/>
        </w:rPr>
        <w:t>need within</w:t>
      </w:r>
      <w:r w:rsidRPr="00227B56">
        <w:rPr>
          <w:rFonts w:ascii="Arial" w:hAnsi="Arial" w:cs="Arial"/>
          <w:sz w:val="18"/>
          <w:szCs w:val="18"/>
        </w:rPr>
        <w:t xml:space="preserve"> a particular period of time. Banking can be simply defined as the art of buying and selling money at a fee. The functions of modern-day banking are more than just what is stipulate above. They buy money through collection of deposit and make sales through the issuing out of loans to individuals and entities. There is a case law that dates back to 1901, where a judge in England, Justice Holmes wrote, in an Irish case: that the real business of the bank is obtaining </w:t>
      </w:r>
      <w:r w:rsidR="00EF13DE" w:rsidRPr="00227B56">
        <w:rPr>
          <w:rFonts w:ascii="Arial" w:hAnsi="Arial" w:cs="Arial"/>
          <w:sz w:val="18"/>
          <w:szCs w:val="18"/>
        </w:rPr>
        <w:t>lots</w:t>
      </w:r>
      <w:r w:rsidRPr="00227B56">
        <w:rPr>
          <w:rFonts w:ascii="Arial" w:hAnsi="Arial" w:cs="Arial"/>
          <w:sz w:val="18"/>
          <w:szCs w:val="18"/>
        </w:rPr>
        <w:t xml:space="preserve"> money as deposit</w:t>
      </w:r>
      <w:r w:rsidR="00227B56" w:rsidRPr="00227B56">
        <w:rPr>
          <w:rFonts w:ascii="Arial" w:hAnsi="Arial" w:cs="Arial"/>
          <w:sz w:val="18"/>
          <w:szCs w:val="18"/>
        </w:rPr>
        <w:t xml:space="preserve">; </w:t>
      </w:r>
      <w:r w:rsidRPr="00227B56">
        <w:rPr>
          <w:rFonts w:ascii="Arial" w:hAnsi="Arial" w:cs="Arial"/>
          <w:sz w:val="18"/>
          <w:szCs w:val="18"/>
        </w:rPr>
        <w:t>which they use for their own p</w:t>
      </w:r>
      <w:r w:rsidR="00704240" w:rsidRPr="00227B56">
        <w:rPr>
          <w:rFonts w:ascii="Arial" w:hAnsi="Arial" w:cs="Arial"/>
          <w:sz w:val="18"/>
          <w:szCs w:val="18"/>
        </w:rPr>
        <w:t xml:space="preserve">rofit by lending it out again </w:t>
      </w:r>
      <w:r w:rsidR="00227B56" w:rsidRPr="00227B56">
        <w:rPr>
          <w:rFonts w:ascii="Arial" w:hAnsi="Arial" w:cs="Arial"/>
          <w:sz w:val="18"/>
          <w:szCs w:val="18"/>
        </w:rPr>
        <w:t>(</w:t>
      </w:r>
      <w:r w:rsidR="00227B56" w:rsidRPr="00227B56">
        <w:rPr>
          <w:rFonts w:ascii="Arial" w:hAnsi="Arial" w:cs="Arial"/>
          <w:sz w:val="20"/>
          <w:szCs w:val="20"/>
          <w:shd w:val="clear" w:color="auto" w:fill="FFFFFF"/>
        </w:rPr>
        <w:t xml:space="preserve">Mwenda, </w:t>
      </w:r>
      <w:r w:rsidR="00704240" w:rsidRPr="00227B56">
        <w:rPr>
          <w:rFonts w:ascii="Arial" w:hAnsi="Arial" w:cs="Arial"/>
          <w:sz w:val="20"/>
          <w:szCs w:val="20"/>
          <w:shd w:val="clear" w:color="auto" w:fill="FFFFFF"/>
        </w:rPr>
        <w:t>2000)</w:t>
      </w:r>
      <w:r w:rsidRPr="00227B56">
        <w:rPr>
          <w:rFonts w:ascii="Arial" w:hAnsi="Arial" w:cs="Arial"/>
          <w:sz w:val="18"/>
          <w:szCs w:val="18"/>
        </w:rPr>
        <w:t xml:space="preserve">. </w:t>
      </w:r>
    </w:p>
    <w:p w14:paraId="3E76369C" w14:textId="73318F27" w:rsidR="00C40CC2" w:rsidRPr="00227B56" w:rsidRDefault="00C40CC2" w:rsidP="00704240">
      <w:pPr>
        <w:spacing w:after="0" w:line="360" w:lineRule="auto"/>
        <w:ind w:firstLine="720"/>
        <w:jc w:val="both"/>
        <w:rPr>
          <w:rFonts w:ascii="Arial" w:hAnsi="Arial" w:cs="Arial"/>
          <w:sz w:val="18"/>
          <w:szCs w:val="18"/>
        </w:rPr>
      </w:pPr>
      <w:r w:rsidRPr="00227B56">
        <w:rPr>
          <w:rFonts w:ascii="Arial" w:hAnsi="Arial" w:cs="Arial"/>
          <w:sz w:val="18"/>
          <w:szCs w:val="18"/>
        </w:rPr>
        <w:t xml:space="preserve">In finance, deposit can be termed as liabilities and loans as assets. For us to achieve the going concern concept, the assets must match the liabilities so that in case of liquidity challenges depositor will not lose their funds. Balancing the assets and liabilities comes with </w:t>
      </w:r>
      <w:r w:rsidR="005062C1" w:rsidRPr="00227B56">
        <w:rPr>
          <w:rFonts w:ascii="Arial" w:hAnsi="Arial" w:cs="Arial"/>
          <w:sz w:val="18"/>
          <w:szCs w:val="18"/>
        </w:rPr>
        <w:t xml:space="preserve">huge </w:t>
      </w:r>
      <w:r w:rsidRPr="00227B56">
        <w:rPr>
          <w:rFonts w:ascii="Arial" w:hAnsi="Arial" w:cs="Arial"/>
          <w:sz w:val="18"/>
          <w:szCs w:val="18"/>
        </w:rPr>
        <w:t xml:space="preserve">risk. There are various types of risks associated with bank, banking and financial institutions, which ranges from small theft to liquidation or collapsing. </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&lt;EndNote&gt;&lt;Cite&gt;&lt;Author&gt;Kashyap&lt;/Author&gt;&lt;Year&gt;2002&lt;/Year&gt;&lt;RecNum&gt;70&lt;/RecNum&gt;&lt;DisplayText&gt;(Kashyap, Rajan, &amp;amp; Stein, 2002)&lt;/DisplayText&gt;&lt;record&gt;&lt;rec-number&gt;70&lt;/rec-number&gt;&lt;foreign-keys&gt;&lt;key app="EN" db-id="psxed5rv7dtz0jef0f3509p02pfzasprwvx9" timestamp="1539774785"&gt;70&lt;/key&gt;&lt;/foreign-keys&gt;&lt;ref-type name="Journal Article"&gt;17&lt;/ref-type&gt;&lt;contributors&gt;&lt;authors&gt;&lt;author&gt;Kashyap, Anil K&lt;/author&gt;&lt;author&gt;Rajan, Raghuram&lt;/author&gt;&lt;author&gt;Stein, Jeremy C&lt;/author&gt;&lt;/authors&gt;&lt;/contributors&gt;&lt;titles&gt;&lt;title&gt;Banks as liquidity providers: An explanation for the coexistence of lending and deposit</w:instrText>
      </w:r>
      <w:r w:rsidRPr="00227B56">
        <w:rPr>
          <w:rFonts w:ascii="Cambria Math" w:hAnsi="Cambria Math" w:cs="Cambria Math"/>
          <w:sz w:val="18"/>
          <w:szCs w:val="18"/>
        </w:rPr>
        <w:instrText>‐</w:instrText>
      </w:r>
      <w:r w:rsidRPr="00227B56">
        <w:rPr>
          <w:rFonts w:ascii="Arial" w:hAnsi="Arial" w:cs="Arial"/>
          <w:sz w:val="18"/>
          <w:szCs w:val="18"/>
        </w:rPr>
        <w:instrText>taking&lt;/title&gt;&lt;secondary-title&gt;The Journal of Finance&lt;/secondary-title&gt;&lt;/titles&gt;&lt;periodical&gt;&lt;full-title&gt;The Journal of Finance&lt;/full-title&gt;&lt;/periodical&gt;&lt;pages&gt;33-73&lt;/pages&gt;&lt;volume&gt;57&lt;/volume&gt;&lt;number&gt;1&lt;/number&gt;&lt;dates&gt;&lt;year&gt;2002&lt;/year&gt;&lt;/dates&gt;&lt;isbn&gt;0022-1082&lt;/isbn&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(Kashyap, Rajan, &amp; Stein, 2002)</w:t>
      </w:r>
      <w:r w:rsidRPr="00227B56">
        <w:rPr>
          <w:rFonts w:ascii="Arial" w:hAnsi="Arial" w:cs="Arial"/>
          <w:sz w:val="18"/>
          <w:szCs w:val="18"/>
        </w:rPr>
        <w:fldChar w:fldCharType="end"/>
      </w:r>
      <w:r w:rsidRPr="00227B56">
        <w:rPr>
          <w:rFonts w:ascii="Arial" w:hAnsi="Arial" w:cs="Arial"/>
          <w:sz w:val="18"/>
          <w:szCs w:val="18"/>
        </w:rPr>
        <w:t xml:space="preserve">. With regards to these risks associated with banking, banks have various control measures to mitigate actual and expected risks. However, some of these risk and other unexpected local and international economic conditions can bring a strong problem to </w:t>
      </w:r>
      <w:r w:rsidR="005D49E6" w:rsidRPr="00227B56">
        <w:rPr>
          <w:rFonts w:ascii="Arial" w:hAnsi="Arial" w:cs="Arial"/>
          <w:sz w:val="18"/>
          <w:szCs w:val="18"/>
        </w:rPr>
        <w:t xml:space="preserve">a </w:t>
      </w:r>
      <w:r w:rsidRPr="00227B56">
        <w:rPr>
          <w:rFonts w:ascii="Arial" w:hAnsi="Arial" w:cs="Arial"/>
          <w:sz w:val="18"/>
          <w:szCs w:val="18"/>
        </w:rPr>
        <w:t>bank in a good standing to its knees. Ensuring sanity and stability in the banking industry national and international entities commission</w:t>
      </w:r>
      <w:r w:rsidR="005D49E6" w:rsidRPr="00227B56">
        <w:rPr>
          <w:rFonts w:ascii="Arial" w:hAnsi="Arial" w:cs="Arial"/>
          <w:sz w:val="18"/>
          <w:szCs w:val="18"/>
        </w:rPr>
        <w:t>ed</w:t>
      </w:r>
      <w:r w:rsidRPr="00227B56">
        <w:rPr>
          <w:rFonts w:ascii="Arial" w:hAnsi="Arial" w:cs="Arial"/>
          <w:sz w:val="18"/>
          <w:szCs w:val="18"/>
        </w:rPr>
        <w:t xml:space="preserve"> by governments and world recognized or legal institutions have been set up to regulate their activities </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&lt;EndNote&gt;&lt;Cite&gt;&lt;Author&gt;Ezeoha&lt;/Author&gt;&lt;Year&gt;2006&lt;/Year&gt;&lt;RecNum&gt;71&lt;/RecNum&gt;&lt;DisplayText&gt;(Ezeoha, 2006)&lt;/DisplayText&gt;&lt;record&gt;&lt;rec-number&gt;71&lt;/rec-number&gt;&lt;foreign-keys&gt;&lt;key app="EN" db-id="psxed5rv7dtz0jef0f3509p02pfzasprwvx9" timestamp="1539775079"&gt;71&lt;/key&gt;&lt;/foreign-keys&gt;&lt;ref-type name="Journal Article"&gt;17&lt;/ref-type&gt;&lt;contributors&gt;&lt;authors&gt;&lt;author&gt;Ezeoha, Abel Ebeh&lt;/author&gt;&lt;/authors&gt;&lt;/contributors&gt;&lt;titles&gt;&lt;title&gt;Regulating Internet Banking in Nigeria: some success prescriptions–part 2&lt;/title&gt;&lt;secondary-title&gt;Journal of Internet Banking and Commerce&lt;/secondary-title&gt;&lt;/titles&gt;&lt;periodical&gt;&lt;full-title&gt;Journal of Internet Banking and Commerce&lt;/full-title&gt;&lt;/periodical&gt;&lt;pages&gt;35-47&lt;/pages&gt;&lt;volume&gt;11&lt;/volume&gt;&lt;number&gt;1&lt;/number&gt;&lt;dates&gt;&lt;year&gt;2006&lt;/year&gt;&lt;/dates&gt;&lt;urls&gt;&lt;/urls&gt;&lt;/record&gt;&lt;/Cite&gt;&lt;/EndNote&gt;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(Ezeoha, 2006)</w:t>
      </w:r>
      <w:r w:rsidRPr="00227B56">
        <w:rPr>
          <w:rFonts w:ascii="Arial" w:hAnsi="Arial" w:cs="Arial"/>
          <w:sz w:val="18"/>
          <w:szCs w:val="18"/>
        </w:rPr>
        <w:fldChar w:fldCharType="end"/>
      </w:r>
      <w:r w:rsidRPr="00227B56">
        <w:rPr>
          <w:rFonts w:ascii="Arial" w:hAnsi="Arial" w:cs="Arial"/>
          <w:sz w:val="18"/>
          <w:szCs w:val="18"/>
        </w:rPr>
        <w:t>. Such institution</w:t>
      </w:r>
      <w:r w:rsidR="009B3A49" w:rsidRPr="00227B56">
        <w:rPr>
          <w:rFonts w:ascii="Arial" w:hAnsi="Arial" w:cs="Arial"/>
          <w:sz w:val="18"/>
          <w:szCs w:val="18"/>
        </w:rPr>
        <w:t>s</w:t>
      </w:r>
      <w:r w:rsidRPr="00227B56">
        <w:rPr>
          <w:rFonts w:ascii="Arial" w:hAnsi="Arial" w:cs="Arial"/>
          <w:sz w:val="18"/>
          <w:szCs w:val="18"/>
        </w:rPr>
        <w:t xml:space="preserve"> includes the central or federal banks of various countries, states and kingdoms, the World Bank, the IMF, the Basel Committee on Banking (BCBS), the Bank of International settlement, International Organization of Securities Commissions and etcetera</w:t>
      </w:r>
      <w:r w:rsidR="00C71C06" w:rsidRPr="00227B56">
        <w:rPr>
          <w:rFonts w:ascii="Arial" w:hAnsi="Arial" w:cs="Arial"/>
          <w:sz w:val="18"/>
          <w:szCs w:val="18"/>
        </w:rPr>
        <w:t xml:space="preserve"> </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&lt;EndNote&gt;&lt;Cite&gt;&lt;Author&gt;Barr&lt;/Author&gt;&lt;Year&gt;2006&lt;/Year&gt;&lt;RecNum&gt;72&lt;/RecNum&gt;&lt;DisplayText&gt;(Barr &amp;amp; Miller, 2006)&lt;/DisplayText&gt;&lt;record&gt;&lt;rec-number&gt;72&lt;/rec-number&gt;&lt;foreign-keys&gt;&lt;key app="EN" db-id="psxed5rv7dtz0jef0f3509p02pfzasprwvx9" timestamp="1539775315"&gt;72&lt;/key&gt;&lt;/foreign-keys&gt;&lt;ref-type name="Journal Article"&gt;17&lt;/ref-type&gt;&lt;contributors&gt;&lt;authors&gt;&lt;author&gt;Barr, Michael S&lt;/author&gt;&lt;author&gt;Miller, Geoffrey P&lt;/author&gt;&lt;/authors&gt;&lt;/contributors&gt;&lt;titles&gt;&lt;title&gt;Global administrative law: the view from Basel&lt;/title&gt;&lt;secondary-title&gt;European Journal of International Law&lt;/secondary-title&gt;&lt;/titles&gt;&lt;periodical&gt;&lt;full-title&gt;European Journal of International Law&lt;/full-title&gt;&lt;/periodical&gt;&lt;pages&gt;15-46&lt;/pages&gt;&lt;volume&gt;17&lt;/volume&gt;&lt;number&gt;1&lt;/number&gt;&lt;dates&gt;&lt;year&gt;2006&lt;/year&gt;&lt;/dates&gt;&lt;isbn&gt;1464-3596&lt;/isbn&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(Barr &amp; Miller, 2006)</w:t>
      </w:r>
      <w:r w:rsidRPr="00227B56">
        <w:rPr>
          <w:rFonts w:ascii="Arial" w:hAnsi="Arial" w:cs="Arial"/>
          <w:sz w:val="18"/>
          <w:szCs w:val="18"/>
        </w:rPr>
        <w:fldChar w:fldCharType="end"/>
      </w:r>
      <w:r w:rsidRPr="00227B56">
        <w:rPr>
          <w:rFonts w:ascii="Arial" w:hAnsi="Arial" w:cs="Arial"/>
          <w:sz w:val="18"/>
          <w:szCs w:val="18"/>
        </w:rPr>
        <w:t>.</w:t>
      </w:r>
    </w:p>
    <w:p w14:paraId="5819E399" w14:textId="28F0214D"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 xml:space="preserve">In a given country, law of the Government, backs the establishment of a Central or Federal bank whose primary functions is </w:t>
      </w:r>
      <w:r w:rsidR="008E5361" w:rsidRPr="00227B56">
        <w:rPr>
          <w:rFonts w:ascii="Arial" w:hAnsi="Arial" w:cs="Arial"/>
          <w:sz w:val="18"/>
          <w:szCs w:val="18"/>
        </w:rPr>
        <w:t xml:space="preserve">to </w:t>
      </w:r>
      <w:r w:rsidRPr="00227B56">
        <w:rPr>
          <w:rFonts w:ascii="Arial" w:hAnsi="Arial" w:cs="Arial"/>
          <w:sz w:val="18"/>
          <w:szCs w:val="18"/>
        </w:rPr>
        <w:t>act as “the mother” of all other banks. One of the Mysterious institutions that keeps its activities from the general public is the central bank</w:t>
      </w:r>
      <w:r w:rsidR="008E5361" w:rsidRPr="00227B56">
        <w:rPr>
          <w:rFonts w:ascii="Arial" w:hAnsi="Arial" w:cs="Arial"/>
          <w:sz w:val="18"/>
          <w:szCs w:val="18"/>
        </w:rPr>
        <w:t>.</w:t>
      </w:r>
      <w:r w:rsidRPr="00227B56">
        <w:rPr>
          <w:rFonts w:ascii="Arial" w:hAnsi="Arial" w:cs="Arial"/>
          <w:sz w:val="18"/>
          <w:szCs w:val="18"/>
        </w:rPr>
        <w:t xml:space="preserve"> </w:t>
      </w:r>
      <w:r w:rsidR="008E5361" w:rsidRPr="00227B56">
        <w:rPr>
          <w:rFonts w:ascii="Arial" w:hAnsi="Arial" w:cs="Arial"/>
          <w:sz w:val="18"/>
          <w:szCs w:val="18"/>
        </w:rPr>
        <w:t>T</w:t>
      </w:r>
      <w:r w:rsidRPr="00227B56">
        <w:rPr>
          <w:rFonts w:ascii="Arial" w:hAnsi="Arial" w:cs="Arial"/>
          <w:sz w:val="18"/>
          <w:szCs w:val="18"/>
        </w:rPr>
        <w:t>he complete specifics of their central mechanisms are so mysterious that very few outsiders, even economists, fully understand them. Their activities are very essential in the development of the financial sector and the economy at large</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&lt;EndNote&gt;&lt;Cite&gt;&lt;Author&gt;Blinder&lt;/Author&gt;&lt;Year&gt;2008&lt;/Year&gt;&lt;RecNum&gt;73&lt;/RecNum&gt;&lt;DisplayText&gt;(Blinder, 2008)&lt;/DisplayText&gt;&lt;record&gt;&lt;rec-number&gt;73&lt;/rec-number&gt;&lt;foreign-keys&gt;&lt;key app="EN" db-id="psxed5rv7dtz0jef0f3509p02pfzasprwvx9" timestamp="1539775589"&gt;73&lt;/key&gt;&lt;/foreign-keys&gt;&lt;ref-type name="Journal Article"&gt;17&lt;/ref-type&gt;&lt;contributors&gt;&lt;authors&gt;&lt;author&gt;Blinder, Alan S., et al&lt;/author&gt;&lt;/authors&gt;&lt;/contributors&gt;&lt;titles&gt;&lt;title&gt;Central bank communication and monetary policy: A survey of theory and evidence&lt;/title&gt;&lt;secondary-title&gt;Journal of Economic Literature&lt;/secondary-title&gt;&lt;/titles&gt;&lt;periodical&gt;&lt;full-title&gt;Journal of economic literature&lt;/full-title&gt;&lt;/periodical&gt;&lt;pages&gt;910-45&lt;/pages&gt;&lt;volume&gt;46&lt;/volume&gt;&lt;number&gt;4&lt;/number&gt;&lt;dates&gt;&lt;year&gt;2008&lt;/year&gt;&lt;/dates&gt;&lt;isbn&gt;0022-0515&lt;/isbn&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(Blinder, 2008)</w:t>
      </w:r>
      <w:r w:rsidRPr="00227B56">
        <w:rPr>
          <w:rFonts w:ascii="Arial" w:hAnsi="Arial" w:cs="Arial"/>
          <w:sz w:val="18"/>
          <w:szCs w:val="18"/>
        </w:rPr>
        <w:fldChar w:fldCharType="end"/>
      </w:r>
    </w:p>
    <w:p w14:paraId="743D581E" w14:textId="569A295C" w:rsidR="00C40CC2" w:rsidRPr="00227B56" w:rsidRDefault="00C40CC2" w:rsidP="008E5361">
      <w:pPr>
        <w:spacing w:after="0" w:line="360" w:lineRule="auto"/>
        <w:ind w:right="274" w:firstLine="720"/>
        <w:jc w:val="both"/>
        <w:rPr>
          <w:rFonts w:ascii="Arial" w:hAnsi="Arial" w:cs="Arial"/>
          <w:sz w:val="18"/>
          <w:szCs w:val="18"/>
        </w:rPr>
      </w:pPr>
      <w:r w:rsidRPr="00227B56">
        <w:rPr>
          <w:rFonts w:ascii="Arial" w:hAnsi="Arial" w:cs="Arial"/>
          <w:sz w:val="18"/>
          <w:szCs w:val="18"/>
        </w:rPr>
        <w:lastRenderedPageBreak/>
        <w:t>Most Central bank</w:t>
      </w:r>
      <w:r w:rsidR="008E5361" w:rsidRPr="00227B56">
        <w:rPr>
          <w:rFonts w:ascii="Arial" w:hAnsi="Arial" w:cs="Arial"/>
          <w:sz w:val="18"/>
          <w:szCs w:val="18"/>
        </w:rPr>
        <w:t>s</w:t>
      </w:r>
      <w:r w:rsidRPr="00227B56">
        <w:rPr>
          <w:rFonts w:ascii="Arial" w:hAnsi="Arial" w:cs="Arial"/>
          <w:sz w:val="18"/>
          <w:szCs w:val="18"/>
        </w:rPr>
        <w:t xml:space="preserve"> </w:t>
      </w:r>
      <w:r w:rsidR="008E5361" w:rsidRPr="00227B56">
        <w:rPr>
          <w:rFonts w:ascii="Arial" w:hAnsi="Arial" w:cs="Arial"/>
          <w:sz w:val="18"/>
          <w:szCs w:val="18"/>
        </w:rPr>
        <w:t>have</w:t>
      </w:r>
      <w:r w:rsidRPr="00227B56">
        <w:rPr>
          <w:rFonts w:ascii="Arial" w:hAnsi="Arial" w:cs="Arial"/>
          <w:sz w:val="18"/>
          <w:szCs w:val="18"/>
        </w:rPr>
        <w:t xml:space="preserve"> been granted a monopoly by their central government over the issuance of currency. This power allows </w:t>
      </w:r>
      <w:r w:rsidR="008E5361" w:rsidRPr="00227B56">
        <w:rPr>
          <w:rFonts w:ascii="Arial" w:hAnsi="Arial" w:cs="Arial"/>
          <w:sz w:val="18"/>
          <w:szCs w:val="18"/>
        </w:rPr>
        <w:t xml:space="preserve">them </w:t>
      </w:r>
      <w:r w:rsidRPr="00227B56">
        <w:rPr>
          <w:rFonts w:ascii="Arial" w:hAnsi="Arial" w:cs="Arial"/>
          <w:sz w:val="18"/>
          <w:szCs w:val="18"/>
        </w:rPr>
        <w:t>to function as a regulator of the price of credit</w:t>
      </w:r>
      <w:r w:rsidR="00C71C06" w:rsidRPr="00227B56">
        <w:rPr>
          <w:rFonts w:ascii="Arial" w:hAnsi="Arial" w:cs="Arial"/>
          <w:sz w:val="18"/>
          <w:szCs w:val="18"/>
        </w:rPr>
        <w:t xml:space="preserve"> </w:t>
      </w:r>
      <w:r w:rsidR="008E5361" w:rsidRPr="00227B56">
        <w:rPr>
          <w:rFonts w:ascii="Arial" w:hAnsi="Arial" w:cs="Arial"/>
          <w:sz w:val="18"/>
          <w:szCs w:val="18"/>
        </w:rPr>
        <w:t xml:space="preserve">and </w:t>
      </w:r>
      <w:r w:rsidRPr="00227B56">
        <w:rPr>
          <w:rFonts w:ascii="Arial" w:hAnsi="Arial" w:cs="Arial"/>
          <w:sz w:val="18"/>
          <w:szCs w:val="18"/>
        </w:rPr>
        <w:t>interest rates</w:t>
      </w:r>
      <w:r w:rsidR="008E5361" w:rsidRPr="00227B56">
        <w:rPr>
          <w:rFonts w:ascii="Arial" w:hAnsi="Arial" w:cs="Arial"/>
          <w:sz w:val="18"/>
          <w:szCs w:val="18"/>
        </w:rPr>
        <w:t xml:space="preserve"> </w:t>
      </w:r>
      <w:r w:rsidRPr="00227B56">
        <w:rPr>
          <w:rFonts w:ascii="Arial" w:hAnsi="Arial" w:cs="Arial"/>
          <w:sz w:val="18"/>
          <w:szCs w:val="18"/>
        </w:rPr>
        <w:t>hence to govern how much money flows through the economy. They also have the responsibility to regulate and supervise all financial institutions in the country. One of the major areas of concern of the central bank is the minimum paid up-capital required to be kept by banking organizations</w:t>
      </w:r>
      <w:r w:rsidR="00C046D3" w:rsidRPr="00227B56">
        <w:rPr>
          <w:rFonts w:ascii="Arial" w:hAnsi="Arial" w:cs="Arial"/>
          <w:sz w:val="18"/>
          <w:szCs w:val="18"/>
        </w:rPr>
        <w:fldChar w:fldCharType="begin"/>
      </w:r>
      <w:r w:rsidR="00C046D3" w:rsidRPr="00227B56">
        <w:rPr>
          <w:rFonts w:ascii="Arial" w:hAnsi="Arial" w:cs="Arial"/>
          <w:sz w:val="18"/>
          <w:szCs w:val="18"/>
        </w:rPr>
        <w:instrText xml:space="preserve"> ADDIN EN.CITE &lt;EndNote&gt;&lt;Cite&gt;&lt;Author&gt;Eyo&lt;/Author&gt;&lt;Year&gt;2015&lt;/Year&gt;&lt;RecNum&gt;71&lt;/RecNum&gt;&lt;DisplayText&gt;(Eyo &amp;amp; Offiong, 2015)&lt;/DisplayText&gt;&lt;record&gt;&lt;rec-number&gt;71&lt;/rec-number&gt;&lt;foreign-keys&gt;&lt;key app="EN" db-id="5e92v09p8etvzgez9wrxxxrwdarzwpd05awa" timestamp="1550232092"&gt;71&lt;/key&gt;&lt;/foreign-keys&gt;&lt;ref-type name="Journal Article"&gt;17&lt;/ref-type&gt;&lt;contributors&gt;&lt;authors&gt;&lt;author&gt;Eyo, Eyo I&lt;/author&gt;&lt;author&gt;Offiong, Amenawo I&lt;/author&gt;&lt;/authors&gt;&lt;/contributors&gt;&lt;titles&gt;&lt;title&gt;Effect of capital adequacy on the performance of Access bank PLC (1999-2012)&lt;/title&gt;&lt;secondary-title&gt;International Journal of Trade, Economics and Finance&lt;/secondary-title&gt;&lt;/titles&gt;&lt;periodical&gt;&lt;full-title&gt;International Journal of Trade, Economics and Finance&lt;/full-title&gt;&lt;/periodical&gt;&lt;pages&gt;308-313&lt;/pages&gt;&lt;volume&gt;6&lt;/volume&gt;&lt;number&gt;6&lt;/number&gt;&lt;dates&gt;&lt;year&gt;2015&lt;/year&gt;&lt;/dates&gt;&lt;urls&gt;&lt;/urls&gt;&lt;/record&gt;&lt;/Cite&gt;&lt;/EndNote&gt;</w:instrText>
      </w:r>
      <w:r w:rsidR="00C046D3" w:rsidRPr="00227B56">
        <w:rPr>
          <w:rFonts w:ascii="Arial" w:hAnsi="Arial" w:cs="Arial"/>
          <w:sz w:val="18"/>
          <w:szCs w:val="18"/>
        </w:rPr>
        <w:fldChar w:fldCharType="separate"/>
      </w:r>
      <w:r w:rsidR="00C046D3" w:rsidRPr="00227B56">
        <w:rPr>
          <w:rFonts w:ascii="Arial" w:hAnsi="Arial" w:cs="Arial"/>
          <w:noProof/>
          <w:sz w:val="18"/>
          <w:szCs w:val="18"/>
        </w:rPr>
        <w:t>(Eyo &amp; Offiong, 2015)</w:t>
      </w:r>
      <w:r w:rsidR="00C046D3" w:rsidRPr="00227B56">
        <w:rPr>
          <w:rFonts w:ascii="Arial" w:hAnsi="Arial" w:cs="Arial"/>
          <w:sz w:val="18"/>
          <w:szCs w:val="18"/>
        </w:rPr>
        <w:fldChar w:fldCharType="end"/>
      </w:r>
      <w:r w:rsidR="00685955" w:rsidRPr="00227B56">
        <w:rPr>
          <w:rFonts w:ascii="Arial" w:hAnsi="Arial" w:cs="Arial"/>
          <w:sz w:val="18"/>
          <w:szCs w:val="18"/>
        </w:rPr>
        <w:t xml:space="preserve"> </w:t>
      </w:r>
    </w:p>
    <w:p w14:paraId="706A7A8B" w14:textId="36B7C953" w:rsidR="00C40CC2" w:rsidRPr="00227B56" w:rsidRDefault="00C40CC2" w:rsidP="00C046D3">
      <w:pPr>
        <w:spacing w:after="0" w:line="360" w:lineRule="auto"/>
        <w:ind w:right="274" w:firstLine="720"/>
        <w:jc w:val="both"/>
        <w:rPr>
          <w:rFonts w:ascii="Arial" w:hAnsi="Arial" w:cs="Arial"/>
          <w:sz w:val="18"/>
          <w:szCs w:val="18"/>
        </w:rPr>
      </w:pPr>
      <w:r w:rsidRPr="00227B56">
        <w:rPr>
          <w:rFonts w:ascii="Arial" w:hAnsi="Arial" w:cs="Arial"/>
          <w:sz w:val="18"/>
          <w:szCs w:val="18"/>
        </w:rPr>
        <w:t xml:space="preserve">The 20th century gave birth to minimum capital requirement and we can find evidence at the continental Europe. Back then, the minimum paid-up capital was postulated by law and its primary statutory purpose was </w:t>
      </w:r>
      <w:r w:rsidR="00C046D3" w:rsidRPr="00227B56">
        <w:rPr>
          <w:rFonts w:ascii="Arial" w:hAnsi="Arial" w:cs="Arial"/>
          <w:sz w:val="18"/>
          <w:szCs w:val="18"/>
        </w:rPr>
        <w:t>to</w:t>
      </w:r>
      <w:r w:rsidRPr="00227B56">
        <w:rPr>
          <w:rFonts w:ascii="Arial" w:hAnsi="Arial" w:cs="Arial"/>
          <w:sz w:val="18"/>
          <w:szCs w:val="18"/>
        </w:rPr>
        <w:t xml:space="preserve"> protect creditors and nurture confidence in financial markets </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&lt;EndNote&gt;&lt;Cite&gt;&lt;Author&gt;Thakor&lt;/Author&gt;&lt;Year&gt;1996&lt;/Year&gt;&lt;RecNum&gt;75&lt;/RecNum&gt;&lt;DisplayText&gt;(Thakor, 1996)&lt;/DisplayText&gt;&lt;record&gt;&lt;rec-number&gt;75&lt;/rec-number&gt;&lt;foreign-keys&gt;&lt;key app="EN" db-id="psxed5rv7dtz0jef0f3509p02pfzasprwvx9" timestamp="1539776494"&gt;75&lt;/key&gt;&lt;/foreign-keys&gt;&lt;ref-type name="Journal Article"&gt;17&lt;/ref-type&gt;&lt;contributors&gt;&lt;authors&gt;&lt;author&gt;Thakor, Anjan V&lt;/author&gt;&lt;/authors&gt;&lt;/contributors&gt;&lt;titles&gt;&lt;title&gt;Capital requirements, monetary policy, and aggregate bank lending: theory and empirical evidence&lt;/title&gt;&lt;secondary-title&gt;The Journal of Finance&lt;/secondary-title&gt;&lt;/titles&gt;&lt;periodical&gt;&lt;full-title&gt;The Journal of Finance&lt;/full-title&gt;&lt;/periodical&gt;&lt;pages&gt;279-324&lt;/pages&gt;&lt;volume&gt;51&lt;/volume&gt;&lt;number&gt;1&lt;/number&gt;&lt;dates&gt;&lt;year&gt;1996&lt;/year&gt;&lt;/dates&gt;&lt;isbn&gt;0022-1082&lt;/isbn&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(Thakor, 1996)</w:t>
      </w:r>
      <w:r w:rsidRPr="00227B56">
        <w:rPr>
          <w:rFonts w:ascii="Arial" w:hAnsi="Arial" w:cs="Arial"/>
          <w:sz w:val="18"/>
          <w:szCs w:val="18"/>
        </w:rPr>
        <w:fldChar w:fldCharType="end"/>
      </w:r>
      <w:r w:rsidRPr="00227B56">
        <w:rPr>
          <w:rFonts w:ascii="Arial" w:hAnsi="Arial" w:cs="Arial"/>
          <w:sz w:val="18"/>
          <w:szCs w:val="18"/>
        </w:rPr>
        <w:t>. In other to meet and maintain the capital requirement required by the central bank, internal and external sources of capital are considered by banks.</w:t>
      </w:r>
    </w:p>
    <w:p w14:paraId="3FEC2C3E" w14:textId="12F450F4" w:rsidR="00C40CC2" w:rsidRPr="00227B56" w:rsidRDefault="00C046D3" w:rsidP="00C40CC2">
      <w:pPr>
        <w:spacing w:after="0" w:line="360" w:lineRule="auto"/>
        <w:jc w:val="both"/>
        <w:rPr>
          <w:rFonts w:ascii="Arial" w:hAnsi="Arial" w:cs="Arial"/>
          <w:sz w:val="18"/>
          <w:szCs w:val="18"/>
        </w:rPr>
      </w:pPr>
      <w:r w:rsidRPr="00227B56">
        <w:rPr>
          <w:rFonts w:ascii="Arial" w:hAnsi="Arial" w:cs="Arial"/>
          <w:sz w:val="18"/>
          <w:szCs w:val="18"/>
        </w:rPr>
        <w:tab/>
      </w:r>
      <w:r w:rsidR="00C40CC2" w:rsidRPr="00227B56">
        <w:rPr>
          <w:rFonts w:ascii="Arial" w:hAnsi="Arial" w:cs="Arial"/>
          <w:sz w:val="18"/>
          <w:szCs w:val="18"/>
        </w:rPr>
        <w:t xml:space="preserve">Bank capital is the equity of the bank. It is important, as it is the cushion that absorbs any unreserved losses that the bank incurs </w:t>
      </w:r>
      <w:r w:rsidR="00C40CC2" w:rsidRPr="00227B56">
        <w:rPr>
          <w:rFonts w:ascii="Arial" w:hAnsi="Arial" w:cs="Arial"/>
          <w:sz w:val="18"/>
          <w:szCs w:val="18"/>
        </w:rPr>
        <w:fldChar w:fldCharType="begin"/>
      </w:r>
      <w:r w:rsidR="00C40CC2" w:rsidRPr="00227B56">
        <w:rPr>
          <w:rFonts w:ascii="Arial" w:hAnsi="Arial" w:cs="Arial"/>
          <w:sz w:val="18"/>
          <w:szCs w:val="18"/>
        </w:rPr>
        <w:instrText xml:space="preserve"> ADDIN EN.CITE &lt;EndNote&gt;&lt;Cite&gt;&lt;Author&gt;Choudhry&lt;/Author&gt;&lt;Year&gt;2012&lt;/Year&gt;&lt;RecNum&gt;105&lt;/RecNum&gt;&lt;DisplayText&gt;(Choudhry, 2012)&lt;/DisplayText&gt;&lt;record&gt;&lt;rec-number&gt;105&lt;/rec-number&gt;&lt;foreign-keys&gt;&lt;key app="EN" db-id="psxed5rv7dtz0jef0f3509p02pfzasprwvx9" timestamp="1544189726"&gt;105&lt;/key&gt;&lt;/foreign-keys&gt;&lt;ref-type name="Book"&gt;6&lt;/ref-type&gt;&lt;contributors&gt;&lt;authors&gt;&lt;author&gt;Choudhry, Moorad&lt;/author&gt;&lt;/authors&gt;&lt;/contributors&gt;&lt;titles&gt;&lt;title&gt;The principles of banking&lt;/title&gt;&lt;/titles&gt;&lt;dates&gt;&lt;year&gt;2012&lt;/year&gt;&lt;/dates&gt;&lt;publisher&gt;John Wiley &amp;amp; Sons&lt;/publisher&gt;&lt;isbn&gt;0470827025&lt;/isbn&gt;&lt;urls&gt;&lt;/urls&gt;&lt;/record&gt;&lt;/Cite&gt;&lt;/EndNote&gt;</w:instrText>
      </w:r>
      <w:r w:rsidR="00C40CC2" w:rsidRPr="00227B56">
        <w:rPr>
          <w:rFonts w:ascii="Arial" w:hAnsi="Arial" w:cs="Arial"/>
          <w:sz w:val="18"/>
          <w:szCs w:val="18"/>
        </w:rPr>
        <w:fldChar w:fldCharType="separate"/>
      </w:r>
      <w:r w:rsidR="00C40CC2" w:rsidRPr="00227B56">
        <w:rPr>
          <w:rFonts w:ascii="Arial" w:hAnsi="Arial" w:cs="Arial"/>
          <w:noProof/>
          <w:sz w:val="18"/>
          <w:szCs w:val="18"/>
        </w:rPr>
        <w:t>(Choudhry, 2012)</w:t>
      </w:r>
      <w:r w:rsidR="00C40CC2" w:rsidRPr="00227B56">
        <w:rPr>
          <w:rFonts w:ascii="Arial" w:hAnsi="Arial" w:cs="Arial"/>
          <w:sz w:val="18"/>
          <w:szCs w:val="18"/>
        </w:rPr>
        <w:fldChar w:fldCharType="end"/>
      </w:r>
      <w:r w:rsidR="00C40CC2" w:rsidRPr="00227B56">
        <w:rPr>
          <w:rFonts w:ascii="Arial" w:hAnsi="Arial" w:cs="Arial"/>
          <w:sz w:val="18"/>
          <w:szCs w:val="18"/>
        </w:rPr>
        <w:t>. Capital Adequacy is sufficiency of the amount of equity to absorb any unexpected shocks that a bank may encounter</w:t>
      </w:r>
      <w:r w:rsidRPr="00227B56">
        <w:rPr>
          <w:rFonts w:ascii="Arial" w:hAnsi="Arial" w:cs="Arial"/>
          <w:sz w:val="18"/>
          <w:szCs w:val="18"/>
        </w:rPr>
        <w:t xml:space="preserve"> </w:t>
      </w:r>
      <w:r w:rsidRPr="00227B56">
        <w:rPr>
          <w:rFonts w:ascii="Arial" w:hAnsi="Arial" w:cs="Arial"/>
          <w:sz w:val="18"/>
          <w:szCs w:val="18"/>
        </w:rPr>
        <w:fldChar w:fldCharType="begin"/>
      </w:r>
      <w:r w:rsidRPr="00227B56">
        <w:rPr>
          <w:rFonts w:ascii="Arial" w:hAnsi="Arial" w:cs="Arial"/>
          <w:sz w:val="18"/>
          <w:szCs w:val="18"/>
        </w:rPr>
        <w:instrText xml:space="preserve"> ADDIN EN.CITE &lt;EndNote&gt;&lt;Cite&gt;&lt;Author&gt;Abdul&lt;/Author&gt;&lt;Year&gt;2017&lt;/Year&gt;&lt;RecNum&gt;9&lt;/RecNum&gt;&lt;DisplayText&gt;(Abdul, 2017)&lt;/DisplayText&gt;&lt;record&gt;&lt;rec-number&gt;9&lt;/rec-number&gt;&lt;foreign-keys&gt;&lt;key app="EN" db-id="5e92v09p8etvzgez9wrxxxrwdarzwpd05awa" timestamp="1548071843"&gt;9&lt;/key&gt;&lt;/foreign-keys&gt;&lt;ref-type name="Journal Article"&gt;17&lt;/ref-type&gt;&lt;contributors&gt;&lt;authors&gt;&lt;author&gt;Abdul&lt;/author&gt;&lt;/authors&gt;&lt;/contributors&gt;&lt;titles&gt;&lt;title&gt;Risk-taking behavior and capital adequacy in a mixed banking system: new evidence from Malaysia using dynamic OLS and two-step dynamic system GMM estimators&lt;/title&gt;&lt;secondary-title&gt;Emerging Markets Finance and Trade&lt;/secondary-title&gt;&lt;/titles&gt;&lt;periodical&gt;&lt;full-title&gt;Emerging Markets Finance and Trade&lt;/full-title&gt;&lt;/periodical&gt;&lt;pages&gt;180-198&lt;/pages&gt;&lt;volume&gt;53&lt;/volume&gt;&lt;number&gt;1&lt;/number&gt;&lt;dates&gt;&lt;year&gt;2017&lt;/year&gt;&lt;/dates&gt;&lt;isbn&gt;1540-496X&lt;/isbn&gt;&lt;urls&gt;&lt;/urls&gt;&lt;/record&gt;&lt;/Cite&gt;&lt;/EndNote&gt;</w:instrText>
      </w:r>
      <w:r w:rsidRPr="00227B56">
        <w:rPr>
          <w:rFonts w:ascii="Arial" w:hAnsi="Arial" w:cs="Arial"/>
          <w:sz w:val="18"/>
          <w:szCs w:val="18"/>
        </w:rPr>
        <w:fldChar w:fldCharType="separate"/>
      </w:r>
      <w:r w:rsidRPr="00227B56">
        <w:rPr>
          <w:rFonts w:ascii="Arial" w:hAnsi="Arial" w:cs="Arial"/>
          <w:noProof/>
          <w:sz w:val="18"/>
          <w:szCs w:val="18"/>
        </w:rPr>
        <w:t>(Abdul, 2017)</w:t>
      </w:r>
      <w:r w:rsidRPr="00227B56">
        <w:rPr>
          <w:rFonts w:ascii="Arial" w:hAnsi="Arial" w:cs="Arial"/>
          <w:sz w:val="18"/>
          <w:szCs w:val="18"/>
        </w:rPr>
        <w:fldChar w:fldCharType="end"/>
      </w:r>
      <w:r w:rsidR="00812C4D" w:rsidRPr="00227B56">
        <w:rPr>
          <w:rFonts w:ascii="Arial" w:hAnsi="Arial" w:cs="Arial"/>
          <w:sz w:val="18"/>
          <w:szCs w:val="18"/>
        </w:rPr>
        <w:t>.</w:t>
      </w:r>
      <w:r w:rsidR="00C40CC2" w:rsidRPr="00227B56">
        <w:rPr>
          <w:rFonts w:ascii="Arial" w:hAnsi="Arial" w:cs="Arial"/>
          <w:sz w:val="18"/>
          <w:szCs w:val="18"/>
        </w:rPr>
        <w:t xml:space="preserve"> The regulators of banking institutions and non-banking financial institutions guarantee that the risk exposures of financial institutions and banks are cushioned by required amount of capital which can bear unexpected losses arising in the future. In an event of liquidation challenges, banks can utilize such funds to bailout themselves. When a bank capital is not sufficient to absorb losses but still maintain the viability of the bank as a going concern it is considered as inadequate and not fit for purpose. The Basel Committee introduced capital adequacy regulations in the 1988. The regulations demand banks across the globe to maintain a minimum of 8 per cent of their risk adjust assets </w:t>
      </w:r>
      <w:r w:rsidR="00812C4D" w:rsidRPr="00227B56">
        <w:rPr>
          <w:rFonts w:ascii="Arial" w:hAnsi="Arial" w:cs="Arial"/>
          <w:sz w:val="18"/>
          <w:szCs w:val="18"/>
        </w:rPr>
        <w:fldChar w:fldCharType="begin"/>
      </w:r>
      <w:r w:rsidR="005062C1" w:rsidRPr="00227B56">
        <w:rPr>
          <w:rFonts w:ascii="Arial" w:hAnsi="Arial" w:cs="Arial"/>
          <w:sz w:val="18"/>
          <w:szCs w:val="18"/>
        </w:rPr>
        <w:instrText xml:space="preserve"> ADDIN EN.CITE &lt;EndNote&gt;&lt;Cite&gt;&lt;Author&gt;Abdul&lt;/Author&gt;&lt;Year&gt;2017&lt;/Year&gt;&lt;RecNum&gt;9&lt;/RecNum&gt;&lt;DisplayText&gt;(Abdul, 2017)&lt;/DisplayText&gt;&lt;record&gt;&lt;rec-number&gt;9&lt;/rec-number&gt;&lt;foreign-keys&gt;&lt;key app="EN" db-id="5e92v09p8etvzgez9wrxxxrwdarzwpd05awa" timestamp="1548071843"&gt;9&lt;/key&gt;&lt;/foreign-keys&gt;&lt;ref-type name="Journal Article"&gt;17&lt;/ref-type&gt;&lt;contributors&gt;&lt;authors&gt;&lt;author&gt;Abdul&lt;/author&gt;&lt;/authors&gt;&lt;/contributors&gt;&lt;titles&gt;&lt;title&gt;Risk-taking behavior and capital adequacy in a mixed banking system: new evidence from Malaysia using dynamic OLS and two-step dynamic system GMM estimators&lt;/title&gt;&lt;secondary-title&gt;Emerging Markets Finance and Trade&lt;/secondary-title&gt;&lt;/titles&gt;&lt;periodical&gt;&lt;full-title&gt;Emerging Markets Finance and Trade&lt;/full-title&gt;&lt;/periodical&gt;&lt;pages&gt;180-198&lt;/pages&gt;&lt;volume&gt;53&lt;/volume&gt;&lt;number&gt;1&lt;/number&gt;&lt;dates&gt;&lt;year&gt;2017&lt;/year&gt;&lt;/dates&gt;&lt;isbn&gt;1540-496X&lt;/isbn&gt;&lt;urls&gt;&lt;/urls&gt;&lt;/record&gt;&lt;/Cite&gt;&lt;/EndNote&gt;</w:instrText>
      </w:r>
      <w:r w:rsidR="00812C4D" w:rsidRPr="00227B56">
        <w:rPr>
          <w:rFonts w:ascii="Arial" w:hAnsi="Arial" w:cs="Arial"/>
          <w:sz w:val="18"/>
          <w:szCs w:val="18"/>
        </w:rPr>
        <w:fldChar w:fldCharType="separate"/>
      </w:r>
      <w:r w:rsidR="005062C1" w:rsidRPr="00227B56">
        <w:rPr>
          <w:rFonts w:ascii="Arial" w:hAnsi="Arial" w:cs="Arial"/>
          <w:noProof/>
          <w:sz w:val="18"/>
          <w:szCs w:val="18"/>
        </w:rPr>
        <w:t>(Abdul, 2017)</w:t>
      </w:r>
      <w:r w:rsidR="00812C4D" w:rsidRPr="00227B56">
        <w:rPr>
          <w:rFonts w:ascii="Arial" w:hAnsi="Arial" w:cs="Arial"/>
          <w:sz w:val="18"/>
          <w:szCs w:val="18"/>
        </w:rPr>
        <w:fldChar w:fldCharType="end"/>
      </w:r>
      <w:r w:rsidR="00C40CC2" w:rsidRPr="00227B56">
        <w:rPr>
          <w:rFonts w:ascii="Arial" w:hAnsi="Arial" w:cs="Arial"/>
          <w:sz w:val="18"/>
          <w:szCs w:val="18"/>
        </w:rPr>
        <w:t xml:space="preserve">. Under Basel Accord 1 which focuses on capital adequacy of financial institutions bank capital was divided in two categories- namely Tier I Core Capital and Tier II Supplementary capital. </w:t>
      </w:r>
      <w:r w:rsidR="003A313D" w:rsidRPr="00227B56">
        <w:rPr>
          <w:rFonts w:ascii="Arial" w:hAnsi="Arial" w:cs="Arial"/>
          <w:sz w:val="18"/>
          <w:szCs w:val="18"/>
        </w:rPr>
        <w:t>The</w:t>
      </w:r>
      <w:r w:rsidR="00C40CC2" w:rsidRPr="00227B56">
        <w:rPr>
          <w:rFonts w:ascii="Arial" w:hAnsi="Arial" w:cs="Arial"/>
          <w:sz w:val="18"/>
          <w:szCs w:val="18"/>
        </w:rPr>
        <w:t xml:space="preserve"> Basel Committee on Banking Supervision (BCBS) is to ensure that financial institutions have enough capital on account to meet its obligations and absorb financial operati</w:t>
      </w:r>
      <w:r w:rsidR="003A313D" w:rsidRPr="00227B56">
        <w:rPr>
          <w:rFonts w:ascii="Arial" w:hAnsi="Arial" w:cs="Arial"/>
          <w:sz w:val="18"/>
          <w:szCs w:val="18"/>
        </w:rPr>
        <w:t>ons</w:t>
      </w:r>
      <w:r w:rsidR="00C40CC2" w:rsidRPr="00227B56">
        <w:rPr>
          <w:rFonts w:ascii="Arial" w:hAnsi="Arial" w:cs="Arial"/>
          <w:sz w:val="18"/>
          <w:szCs w:val="18"/>
        </w:rPr>
        <w:t xml:space="preserve"> and reputational losses. According to Basel Accord (2008), the nature of their capital should be in the following mode.</w:t>
      </w:r>
    </w:p>
    <w:p w14:paraId="626A2934" w14:textId="77777777" w:rsidR="00C40CC2" w:rsidRPr="00227B56" w:rsidRDefault="00C40CC2" w:rsidP="00C40CC2">
      <w:pPr>
        <w:pStyle w:val="ListParagraph"/>
        <w:numPr>
          <w:ilvl w:val="0"/>
          <w:numId w:val="1"/>
        </w:numPr>
        <w:spacing w:after="0" w:line="360" w:lineRule="auto"/>
        <w:jc w:val="both"/>
        <w:rPr>
          <w:rFonts w:ascii="Arial" w:hAnsi="Arial" w:cs="Arial"/>
          <w:sz w:val="18"/>
          <w:szCs w:val="18"/>
        </w:rPr>
      </w:pPr>
      <w:r w:rsidRPr="00227B56">
        <w:rPr>
          <w:rFonts w:ascii="Arial" w:hAnsi="Arial" w:cs="Arial"/>
          <w:sz w:val="18"/>
          <w:szCs w:val="18"/>
        </w:rPr>
        <w:t>Core capital (Primary or Tier 1 capital)</w:t>
      </w:r>
    </w:p>
    <w:p w14:paraId="1DBB9233" w14:textId="3C92F8D7" w:rsidR="00C40CC2" w:rsidRPr="00227B56" w:rsidRDefault="003A313D" w:rsidP="00C40CC2">
      <w:pPr>
        <w:pStyle w:val="ListParagraph"/>
        <w:numPr>
          <w:ilvl w:val="0"/>
          <w:numId w:val="1"/>
        </w:numPr>
        <w:spacing w:after="0" w:line="360" w:lineRule="auto"/>
        <w:jc w:val="both"/>
        <w:rPr>
          <w:rFonts w:ascii="Arial" w:hAnsi="Arial" w:cs="Arial"/>
          <w:sz w:val="18"/>
          <w:szCs w:val="18"/>
        </w:rPr>
      </w:pPr>
      <w:r w:rsidRPr="00227B56">
        <w:rPr>
          <w:rFonts w:ascii="Arial" w:hAnsi="Arial" w:cs="Arial"/>
          <w:sz w:val="18"/>
          <w:szCs w:val="18"/>
        </w:rPr>
        <w:t>S</w:t>
      </w:r>
      <w:r w:rsidR="00C40CC2" w:rsidRPr="00227B56">
        <w:rPr>
          <w:rFonts w:ascii="Arial" w:hAnsi="Arial" w:cs="Arial"/>
          <w:sz w:val="18"/>
          <w:szCs w:val="18"/>
        </w:rPr>
        <w:t xml:space="preserve">upplemental capital (Secondary or Tier 2 Capital). </w:t>
      </w:r>
    </w:p>
    <w:p w14:paraId="3FE46DFE" w14:textId="45CEC98C"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Equity capital comprise of common stocks, and perpetual preferred stock, surplus funds, bonus issue reserve, and minority equity interest. Core capital is made up of equity capital and goodwill. Supplemental capital encompasses provision for loan loss, preferential shares, and convertible shares (hybrid capital instruments and revaluation reserves)</w:t>
      </w:r>
      <w:r w:rsidR="00812C4D" w:rsidRPr="00227B56">
        <w:rPr>
          <w:rFonts w:ascii="Arial" w:hAnsi="Arial" w:cs="Arial"/>
          <w:sz w:val="18"/>
          <w:szCs w:val="18"/>
        </w:rPr>
        <w:t xml:space="preserve"> </w:t>
      </w:r>
      <w:r w:rsidR="00812C4D" w:rsidRPr="00227B56">
        <w:rPr>
          <w:rFonts w:ascii="Arial" w:hAnsi="Arial" w:cs="Arial"/>
          <w:sz w:val="18"/>
          <w:szCs w:val="18"/>
        </w:rPr>
        <w:fldChar w:fldCharType="begin"/>
      </w:r>
      <w:r w:rsidR="00812C4D" w:rsidRPr="00227B56">
        <w:rPr>
          <w:rFonts w:ascii="Arial" w:hAnsi="Arial" w:cs="Arial"/>
          <w:sz w:val="18"/>
          <w:szCs w:val="18"/>
        </w:rPr>
        <w:instrText xml:space="preserve"> ADDIN EN.CITE &lt;EndNote&gt;&lt;Cite&gt;&lt;Author&gt;Balin&lt;/Author&gt;&lt;Year&gt;2008&lt;/Year&gt;&lt;RecNum&gt;10&lt;/RecNum&gt;&lt;DisplayText&gt;(Balin, 2008)&lt;/DisplayText&gt;&lt;record&gt;&lt;rec-number&gt;10&lt;/rec-number&gt;&lt;foreign-keys&gt;&lt;key app="EN" db-id="5e92v09p8etvzgez9wrxxxrwdarzwpd05awa" timestamp="1548076161"&gt;10&lt;/key&gt;&lt;/foreign-keys&gt;&lt;ref-type name="Journal Article"&gt;17&lt;/ref-type&gt;&lt;contributors&gt;&lt;authors&gt;&lt;author&gt;Balin, Bryan J&lt;/author&gt;&lt;/authors&gt;&lt;/contributors&gt;&lt;titles&gt;&lt;title&gt;Basel I, Basel II, and emerging markets: A nontechnical analysis&lt;/title&gt;&lt;/titles&gt;&lt;dates&gt;&lt;year&gt;2008&lt;/year&gt;&lt;/dates&gt;&lt;urls&gt;&lt;/urls&gt;&lt;/record&gt;&lt;/Cite&gt;&lt;/EndNote&gt;</w:instrText>
      </w:r>
      <w:r w:rsidR="00812C4D" w:rsidRPr="00227B56">
        <w:rPr>
          <w:rFonts w:ascii="Arial" w:hAnsi="Arial" w:cs="Arial"/>
          <w:sz w:val="18"/>
          <w:szCs w:val="18"/>
        </w:rPr>
        <w:fldChar w:fldCharType="separate"/>
      </w:r>
      <w:r w:rsidR="00812C4D" w:rsidRPr="00227B56">
        <w:rPr>
          <w:rFonts w:ascii="Arial" w:hAnsi="Arial" w:cs="Arial"/>
          <w:noProof/>
          <w:sz w:val="18"/>
          <w:szCs w:val="18"/>
        </w:rPr>
        <w:t>(Balin, 2008)</w:t>
      </w:r>
      <w:r w:rsidR="00812C4D" w:rsidRPr="00227B56">
        <w:rPr>
          <w:rFonts w:ascii="Arial" w:hAnsi="Arial" w:cs="Arial"/>
          <w:sz w:val="18"/>
          <w:szCs w:val="18"/>
        </w:rPr>
        <w:fldChar w:fldCharType="end"/>
      </w:r>
      <w:r w:rsidR="00812C4D" w:rsidRPr="00227B56">
        <w:rPr>
          <w:rFonts w:ascii="Arial" w:hAnsi="Arial" w:cs="Arial"/>
          <w:sz w:val="18"/>
          <w:szCs w:val="18"/>
        </w:rPr>
        <w:t xml:space="preserve">. </w:t>
      </w:r>
    </w:p>
    <w:p w14:paraId="395C7D58" w14:textId="0AAF26FA" w:rsidR="00C40CC2" w:rsidRPr="00227B56" w:rsidRDefault="003A313D" w:rsidP="00C40CC2">
      <w:pPr>
        <w:spacing w:after="0" w:line="360" w:lineRule="auto"/>
        <w:jc w:val="both"/>
        <w:rPr>
          <w:rFonts w:ascii="Arial" w:hAnsi="Arial" w:cs="Arial"/>
          <w:sz w:val="18"/>
          <w:szCs w:val="18"/>
        </w:rPr>
      </w:pPr>
      <w:r w:rsidRPr="00227B56">
        <w:rPr>
          <w:rFonts w:ascii="Arial" w:hAnsi="Arial" w:cs="Arial"/>
          <w:sz w:val="18"/>
          <w:szCs w:val="18"/>
        </w:rPr>
        <w:tab/>
      </w:r>
      <w:r w:rsidR="00C40CC2" w:rsidRPr="00227B56">
        <w:rPr>
          <w:rFonts w:ascii="Arial" w:hAnsi="Arial" w:cs="Arial"/>
          <w:sz w:val="18"/>
          <w:szCs w:val="18"/>
        </w:rPr>
        <w:t xml:space="preserve">There is no doubt </w:t>
      </w:r>
      <w:r w:rsidRPr="00227B56">
        <w:rPr>
          <w:rFonts w:ascii="Arial" w:hAnsi="Arial" w:cs="Arial"/>
          <w:sz w:val="18"/>
          <w:szCs w:val="18"/>
        </w:rPr>
        <w:t xml:space="preserve">that </w:t>
      </w:r>
      <w:r w:rsidR="00C40CC2" w:rsidRPr="00227B56">
        <w:rPr>
          <w:rFonts w:ascii="Arial" w:hAnsi="Arial" w:cs="Arial"/>
          <w:sz w:val="18"/>
          <w:szCs w:val="18"/>
        </w:rPr>
        <w:t>banks performance directly affects the growth</w:t>
      </w:r>
      <w:r w:rsidRPr="00227B56">
        <w:rPr>
          <w:rFonts w:ascii="Arial" w:hAnsi="Arial" w:cs="Arial"/>
          <w:sz w:val="18"/>
          <w:szCs w:val="18"/>
        </w:rPr>
        <w:t xml:space="preserve"> of</w:t>
      </w:r>
      <w:r w:rsidR="00C40CC2" w:rsidRPr="00227B56">
        <w:rPr>
          <w:rFonts w:ascii="Arial" w:hAnsi="Arial" w:cs="Arial"/>
          <w:sz w:val="18"/>
          <w:szCs w:val="18"/>
        </w:rPr>
        <w:t xml:space="preserve"> a given economy. Stability of the economy of various countries especially developing ones like Ghana is significantly related to the finance and banking activity not only within that country</w:t>
      </w:r>
      <w:r w:rsidRPr="00227B56">
        <w:rPr>
          <w:rFonts w:ascii="Arial" w:hAnsi="Arial" w:cs="Arial"/>
          <w:sz w:val="18"/>
          <w:szCs w:val="18"/>
        </w:rPr>
        <w:t>,, but</w:t>
      </w:r>
      <w:r w:rsidR="00C40CC2" w:rsidRPr="00227B56">
        <w:rPr>
          <w:rFonts w:ascii="Arial" w:hAnsi="Arial" w:cs="Arial"/>
          <w:sz w:val="18"/>
          <w:szCs w:val="18"/>
        </w:rPr>
        <w:t xml:space="preserve"> also other countries that have economic and financial trade transaction. It is therefore important to regulate the activities of Banking and Non-Banking financial institution since their relevance cannot be over-emphasized. This</w:t>
      </w:r>
      <w:r w:rsidRPr="00227B56">
        <w:rPr>
          <w:rFonts w:ascii="Arial" w:hAnsi="Arial" w:cs="Arial"/>
          <w:sz w:val="18"/>
          <w:szCs w:val="18"/>
        </w:rPr>
        <w:t xml:space="preserve"> is</w:t>
      </w:r>
      <w:r w:rsidR="00C40CC2" w:rsidRPr="00227B56">
        <w:rPr>
          <w:rFonts w:ascii="Arial" w:hAnsi="Arial" w:cs="Arial"/>
          <w:sz w:val="18"/>
          <w:szCs w:val="18"/>
        </w:rPr>
        <w:t xml:space="preserve"> the reason why Basel II was drafted by BCBS to add supervision and market discipline to the capital adequacy of financial institutions prescribed in Basel I. Since those who are investing funds wish to remain liquid and to maximize the return on their investment. A</w:t>
      </w:r>
      <w:r w:rsidRPr="00227B56">
        <w:rPr>
          <w:rFonts w:ascii="Arial" w:hAnsi="Arial" w:cs="Arial"/>
          <w:sz w:val="18"/>
          <w:szCs w:val="18"/>
        </w:rPr>
        <w:t>lso</w:t>
      </w:r>
      <w:r w:rsidR="00C40CC2" w:rsidRPr="00227B56">
        <w:rPr>
          <w:rFonts w:ascii="Arial" w:hAnsi="Arial" w:cs="Arial"/>
          <w:sz w:val="18"/>
          <w:szCs w:val="18"/>
        </w:rPr>
        <w:t xml:space="preserve"> borrowers wish to generate maximum net profit, which require continuous investment in plant, equipment, human resources and so on. To facilitate the efficient operation of financial markets and the price mechanism, intermediaries exist to bring together the needs of lenders and borrowers. A bank is the best example of this. Banks creates liability by mobilizing funds from the surplus economic unit and those funds from depositors to the deficit economic unit for the funds to be used for investment. </w:t>
      </w:r>
    </w:p>
    <w:p w14:paraId="2C416B2B" w14:textId="2B9C3207" w:rsidR="00C40CC2" w:rsidRPr="00227B56" w:rsidRDefault="003A313D" w:rsidP="00C40CC2">
      <w:pPr>
        <w:spacing w:after="0" w:line="360" w:lineRule="auto"/>
        <w:jc w:val="both"/>
        <w:rPr>
          <w:rFonts w:ascii="Arial" w:hAnsi="Arial" w:cs="Arial"/>
          <w:sz w:val="18"/>
          <w:szCs w:val="18"/>
        </w:rPr>
      </w:pPr>
      <w:r w:rsidRPr="00227B56">
        <w:rPr>
          <w:rFonts w:ascii="Arial" w:hAnsi="Arial" w:cs="Arial"/>
          <w:sz w:val="18"/>
          <w:szCs w:val="18"/>
        </w:rPr>
        <w:tab/>
      </w:r>
      <w:r w:rsidR="00C40CC2" w:rsidRPr="00227B56">
        <w:rPr>
          <w:rFonts w:ascii="Arial" w:hAnsi="Arial" w:cs="Arial"/>
          <w:sz w:val="18"/>
          <w:szCs w:val="18"/>
        </w:rPr>
        <w:t xml:space="preserve">It has been asserted by banks that Banks higher capital requirements set by regulatory bodies will put their performance in jeopardize. The chance of this happening is high especially when the banks cost of financing is to rise in greater proportion due to more capital holding. These higher funding costs could have an adverse effect on lending </w:t>
      </w:r>
      <w:r w:rsidR="00C40CC2" w:rsidRPr="00227B56">
        <w:rPr>
          <w:rFonts w:ascii="Arial" w:hAnsi="Arial" w:cs="Arial"/>
          <w:sz w:val="18"/>
          <w:szCs w:val="18"/>
        </w:rPr>
        <w:lastRenderedPageBreak/>
        <w:t>and lower performance. According to Goddard et al. (2004), the relationship between profitability and capital must be negative. When</w:t>
      </w:r>
      <w:r w:rsidRPr="00227B56">
        <w:rPr>
          <w:rFonts w:ascii="Arial" w:hAnsi="Arial" w:cs="Arial"/>
          <w:sz w:val="18"/>
          <w:szCs w:val="18"/>
        </w:rPr>
        <w:t xml:space="preserve"> the</w:t>
      </w:r>
      <w:r w:rsidR="00C40CC2" w:rsidRPr="00227B56">
        <w:rPr>
          <w:rFonts w:ascii="Arial" w:hAnsi="Arial" w:cs="Arial"/>
          <w:sz w:val="18"/>
          <w:szCs w:val="18"/>
        </w:rPr>
        <w:t xml:space="preserve"> capital of banks</w:t>
      </w:r>
      <w:r w:rsidR="00812C4D" w:rsidRPr="00227B56">
        <w:rPr>
          <w:rFonts w:ascii="Arial" w:hAnsi="Arial" w:cs="Arial"/>
          <w:sz w:val="18"/>
          <w:szCs w:val="18"/>
        </w:rPr>
        <w:t>’</w:t>
      </w:r>
      <w:r w:rsidR="00C40CC2" w:rsidRPr="00227B56">
        <w:rPr>
          <w:rFonts w:ascii="Arial" w:hAnsi="Arial" w:cs="Arial"/>
          <w:sz w:val="18"/>
          <w:szCs w:val="18"/>
        </w:rPr>
        <w:t xml:space="preserve"> </w:t>
      </w:r>
      <w:r w:rsidR="00812C4D" w:rsidRPr="00227B56">
        <w:rPr>
          <w:rFonts w:ascii="Arial" w:hAnsi="Arial" w:cs="Arial"/>
          <w:sz w:val="18"/>
          <w:szCs w:val="18"/>
        </w:rPr>
        <w:t>is</w:t>
      </w:r>
      <w:r w:rsidR="00C40CC2" w:rsidRPr="00227B56">
        <w:rPr>
          <w:rFonts w:ascii="Arial" w:hAnsi="Arial" w:cs="Arial"/>
          <w:sz w:val="18"/>
          <w:szCs w:val="18"/>
        </w:rPr>
        <w:t xml:space="preserve"> in excess it </w:t>
      </w:r>
      <w:r w:rsidR="00812C4D" w:rsidRPr="00227B56">
        <w:rPr>
          <w:rFonts w:ascii="Arial" w:hAnsi="Arial" w:cs="Arial"/>
          <w:sz w:val="18"/>
          <w:szCs w:val="18"/>
        </w:rPr>
        <w:t>results</w:t>
      </w:r>
      <w:r w:rsidR="00C40CC2" w:rsidRPr="00227B56">
        <w:rPr>
          <w:rFonts w:ascii="Arial" w:hAnsi="Arial" w:cs="Arial"/>
          <w:sz w:val="18"/>
          <w:szCs w:val="18"/>
        </w:rPr>
        <w:t xml:space="preserve"> in under-utilization of investment opportunities, which is generally in line with the results found</w:t>
      </w:r>
      <w:r w:rsidRPr="00227B56">
        <w:rPr>
          <w:rFonts w:ascii="Arial" w:hAnsi="Arial" w:cs="Arial"/>
          <w:sz w:val="18"/>
          <w:szCs w:val="18"/>
        </w:rPr>
        <w:t>ed</w:t>
      </w:r>
      <w:r w:rsidR="00C40CC2" w:rsidRPr="00227B56">
        <w:rPr>
          <w:rFonts w:ascii="Arial" w:hAnsi="Arial" w:cs="Arial"/>
          <w:sz w:val="18"/>
          <w:szCs w:val="18"/>
        </w:rPr>
        <w:t xml:space="preserve"> by</w:t>
      </w:r>
      <w:r w:rsidR="00592208" w:rsidRPr="00227B56">
        <w:rPr>
          <w:rFonts w:ascii="Arial" w:hAnsi="Arial" w:cs="Arial"/>
          <w:sz w:val="18"/>
          <w:szCs w:val="18"/>
        </w:rPr>
        <w:fldChar w:fldCharType="begin"/>
      </w:r>
      <w:r w:rsidR="00592208" w:rsidRPr="00227B56">
        <w:rPr>
          <w:rFonts w:ascii="Arial" w:hAnsi="Arial" w:cs="Arial"/>
          <w:sz w:val="18"/>
          <w:szCs w:val="18"/>
        </w:rPr>
        <w:instrText xml:space="preserve"> ADDIN EN.CITE &lt;EndNote&gt;&lt;Cite&gt;&lt;Author&gt;Goddard et al&lt;/Author&gt;&lt;Year&gt;2004&lt;/Year&gt;&lt;RecNum&gt;73&lt;/RecNum&gt;&lt;DisplayText&gt;(Goddard et al, 2004)&lt;/DisplayText&gt;&lt;record&gt;&lt;rec-number&gt;73&lt;/rec-number&gt;&lt;foreign-keys&gt;&lt;key app="EN" db-id="5e92v09p8etvzgez9wrxxxrwdarzwpd05awa" timestamp="1550233572"&gt;73&lt;/key&gt;&lt;/foreign-keys&gt;&lt;ref-type name="Journal Article"&gt;17&lt;/ref-type&gt;&lt;contributors&gt;&lt;authors&gt;&lt;author&gt;Goddard et al,&lt;/author&gt;&lt;/authors&gt;&lt;/contributors&gt;&lt;titles&gt;&lt;title&gt;Dynamics of growth and profitability in banking&lt;/title&gt;&lt;secondary-title&gt;Journal of Money, Credit and Banking&lt;/secondary-title&gt;&lt;/titles&gt;&lt;periodical&gt;&lt;full-title&gt;Journal of Money, Credit and Banking&lt;/full-title&gt;&lt;/periodical&gt;&lt;pages&gt;1069-1090&lt;/pages&gt;&lt;dates&gt;&lt;year&gt;2004&lt;/year&gt;&lt;/dates&gt;&lt;isbn&gt;0022-2879&lt;/isbn&gt;&lt;urls&gt;&lt;/urls&gt;&lt;/record&gt;&lt;/Cite&gt;&lt;/EndNote&gt;</w:instrText>
      </w:r>
      <w:r w:rsidR="00592208" w:rsidRPr="00227B56">
        <w:rPr>
          <w:rFonts w:ascii="Arial" w:hAnsi="Arial" w:cs="Arial"/>
          <w:sz w:val="18"/>
          <w:szCs w:val="18"/>
        </w:rPr>
        <w:fldChar w:fldCharType="separate"/>
      </w:r>
      <w:r w:rsidR="00592208" w:rsidRPr="00227B56">
        <w:rPr>
          <w:rFonts w:ascii="Arial" w:hAnsi="Arial" w:cs="Arial"/>
          <w:noProof/>
          <w:sz w:val="18"/>
          <w:szCs w:val="18"/>
        </w:rPr>
        <w:t>(Goddard et al, 2004)</w:t>
      </w:r>
      <w:r w:rsidR="00592208" w:rsidRPr="00227B56">
        <w:rPr>
          <w:rFonts w:ascii="Arial" w:hAnsi="Arial" w:cs="Arial"/>
          <w:sz w:val="18"/>
          <w:szCs w:val="18"/>
        </w:rPr>
        <w:fldChar w:fldCharType="end"/>
      </w:r>
      <w:r w:rsidR="00C40CC2" w:rsidRPr="00227B56">
        <w:rPr>
          <w:rFonts w:ascii="Arial" w:hAnsi="Arial" w:cs="Arial"/>
          <w:sz w:val="18"/>
          <w:szCs w:val="18"/>
        </w:rPr>
        <w:t xml:space="preserve">. </w:t>
      </w:r>
      <w:r w:rsidR="00592208" w:rsidRPr="00227B56">
        <w:rPr>
          <w:rFonts w:ascii="Arial" w:hAnsi="Arial" w:cs="Arial"/>
          <w:sz w:val="18"/>
          <w:szCs w:val="18"/>
        </w:rPr>
        <w:t>S</w:t>
      </w:r>
      <w:r w:rsidR="00C40CC2" w:rsidRPr="00227B56">
        <w:rPr>
          <w:rFonts w:ascii="Arial" w:hAnsi="Arial" w:cs="Arial"/>
          <w:sz w:val="18"/>
          <w:szCs w:val="18"/>
        </w:rPr>
        <w:t>ome researchers conversely argue that</w:t>
      </w:r>
      <w:r w:rsidR="00F63FA6" w:rsidRPr="00227B56">
        <w:rPr>
          <w:rFonts w:ascii="Arial" w:hAnsi="Arial" w:cs="Arial"/>
          <w:sz w:val="18"/>
          <w:szCs w:val="18"/>
        </w:rPr>
        <w:t>,</w:t>
      </w:r>
      <w:r w:rsidR="00C40CC2" w:rsidRPr="00227B56">
        <w:rPr>
          <w:rFonts w:ascii="Arial" w:hAnsi="Arial" w:cs="Arial"/>
          <w:sz w:val="18"/>
          <w:szCs w:val="18"/>
        </w:rPr>
        <w:t xml:space="preserve"> when banks are well capitalized, the need for external financing is partially or totally avoided extinct, which may lead to improved profitability.</w:t>
      </w:r>
    </w:p>
    <w:p w14:paraId="64B90E0F" w14:textId="01EAE692" w:rsidR="00C40CC2" w:rsidRPr="00227B56" w:rsidRDefault="00D40B7B"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The</w:t>
      </w:r>
      <w:r w:rsidR="00C40CC2" w:rsidRPr="00227B56">
        <w:rPr>
          <w:rFonts w:ascii="Arial" w:hAnsi="Arial" w:cs="Arial"/>
          <w:sz w:val="18"/>
          <w:szCs w:val="18"/>
        </w:rPr>
        <w:t xml:space="preserve"> Bank of Ghana</w:t>
      </w:r>
    </w:p>
    <w:p w14:paraId="2A5D538E" w14:textId="26F25FAB"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The bank of Ghana is the central bank of Ghana</w:t>
      </w:r>
      <w:r w:rsidR="00592208" w:rsidRPr="00227B56">
        <w:rPr>
          <w:rFonts w:ascii="Arial" w:hAnsi="Arial" w:cs="Arial"/>
          <w:sz w:val="18"/>
          <w:szCs w:val="18"/>
        </w:rPr>
        <w:t xml:space="preserve"> as</w:t>
      </w:r>
      <w:r w:rsidRPr="00227B56">
        <w:rPr>
          <w:rFonts w:ascii="Arial" w:hAnsi="Arial" w:cs="Arial"/>
          <w:sz w:val="18"/>
          <w:szCs w:val="18"/>
        </w:rPr>
        <w:t xml:space="preserve"> it </w:t>
      </w:r>
      <w:r w:rsidR="00812C4D" w:rsidRPr="00227B56">
        <w:rPr>
          <w:rFonts w:ascii="Arial" w:hAnsi="Arial" w:cs="Arial"/>
          <w:sz w:val="18"/>
          <w:szCs w:val="18"/>
        </w:rPr>
        <w:t>acts</w:t>
      </w:r>
      <w:r w:rsidRPr="00227B56">
        <w:rPr>
          <w:rFonts w:ascii="Arial" w:hAnsi="Arial" w:cs="Arial"/>
          <w:sz w:val="18"/>
          <w:szCs w:val="18"/>
        </w:rPr>
        <w:t xml:space="preserve"> as the main banker’s bank of the nation and control the affairs of all banks and non-banking financial institutions. In 2017, the Bank of Ghana announces a new minimum capital requirement, as part of a holistic financial sector reform plan to further develop, strengthen, and modernize the financial sector to support the government’s economic vision and transformational agenda. in accordance with Section 28 (1) of the Banks and Specialised Deposit-Taking Institutions Act, 2016 (Act 930), the Bank of Ghana announces for the information of Banks and the general public that it has revised upward the minimum paid up capital for existing banks and new entrants from GH¢120,000,000.00 (One Hundred and Twenty Million Ghana Cedis) to a new level of GH¢400,000,000.00 (Four Hundred Million Ghana Cedis) effective Monday, September 11, 2017 under the following conditions: </w:t>
      </w:r>
    </w:p>
    <w:p w14:paraId="595B3CF6"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Banks would be required to meet the required minimum capital through;</w:t>
      </w:r>
    </w:p>
    <w:p w14:paraId="1C3E830F"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 xml:space="preserve">a) Fresh capital injection. </w:t>
      </w:r>
    </w:p>
    <w:p w14:paraId="25369A30"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 xml:space="preserve">b) Capitalization of income surplus. </w:t>
      </w:r>
    </w:p>
    <w:p w14:paraId="3AC5DEB5"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 xml:space="preserve">c) A combination of fresh capital injection and capitalization of income surplus. </w:t>
      </w:r>
    </w:p>
    <w:p w14:paraId="53FD933B"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d) Business Consolidations</w:t>
      </w:r>
    </w:p>
    <w:p w14:paraId="4206113B"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Banks are not allowed to capitalize revaluation reserves, reserves on financial instruments through other comprehensive income, statutory reserves, credit risk reserves and unaudited profit.</w:t>
      </w:r>
    </w:p>
    <w:p w14:paraId="7DCFD341" w14:textId="12B05F14" w:rsidR="00C40CC2" w:rsidRPr="00227B56" w:rsidRDefault="00592208" w:rsidP="00C40CC2">
      <w:pPr>
        <w:spacing w:after="0" w:line="360" w:lineRule="auto"/>
        <w:jc w:val="both"/>
        <w:rPr>
          <w:rFonts w:ascii="Arial" w:hAnsi="Arial" w:cs="Arial"/>
          <w:sz w:val="18"/>
          <w:szCs w:val="18"/>
        </w:rPr>
      </w:pPr>
      <w:r w:rsidRPr="00227B56">
        <w:rPr>
          <w:rFonts w:ascii="Arial" w:hAnsi="Arial" w:cs="Arial"/>
          <w:sz w:val="18"/>
          <w:szCs w:val="18"/>
        </w:rPr>
        <w:tab/>
      </w:r>
      <w:r w:rsidR="00C40CC2" w:rsidRPr="00227B56">
        <w:rPr>
          <w:rFonts w:ascii="Arial" w:hAnsi="Arial" w:cs="Arial"/>
          <w:sz w:val="18"/>
          <w:szCs w:val="18"/>
        </w:rPr>
        <w:t xml:space="preserve">Due to changes brought out by the Bank of Ghana, banks in Ghana have had to merge or combine their operations in mutually agreed terms or one institution takes over another’s operations acquisitions. We can site the case of GBC Bank Ghana Limited taking over UT Bank Ghana Limited and Capital Bank Ghana limited early 2018.  In </w:t>
      </w:r>
      <w:r w:rsidRPr="00227B56">
        <w:rPr>
          <w:rFonts w:ascii="Arial" w:hAnsi="Arial" w:cs="Arial"/>
          <w:sz w:val="18"/>
          <w:szCs w:val="18"/>
        </w:rPr>
        <w:t>A</w:t>
      </w:r>
      <w:r w:rsidR="00C40CC2" w:rsidRPr="00227B56">
        <w:rPr>
          <w:rFonts w:ascii="Arial" w:hAnsi="Arial" w:cs="Arial"/>
          <w:sz w:val="18"/>
          <w:szCs w:val="18"/>
        </w:rPr>
        <w:t xml:space="preserve">ugust 2018, Beige Bank </w:t>
      </w:r>
      <w:bookmarkStart w:id="2" w:name="_Hlk526673443"/>
      <w:r w:rsidR="00C40CC2" w:rsidRPr="00227B56">
        <w:rPr>
          <w:rFonts w:ascii="Arial" w:hAnsi="Arial" w:cs="Arial"/>
          <w:sz w:val="18"/>
          <w:szCs w:val="18"/>
        </w:rPr>
        <w:t>Ghana Limited</w:t>
      </w:r>
      <w:bookmarkEnd w:id="2"/>
      <w:r w:rsidR="00C40CC2" w:rsidRPr="00227B56">
        <w:rPr>
          <w:rFonts w:ascii="Arial" w:hAnsi="Arial" w:cs="Arial"/>
          <w:sz w:val="18"/>
          <w:szCs w:val="18"/>
        </w:rPr>
        <w:t>, Construction bank Ghana Limited, Royal bank Ghana Limited, uniBank Ghana Limited and Sovereign bank Ghana Limited all of Ghana</w:t>
      </w:r>
      <w:r w:rsidRPr="00227B56">
        <w:rPr>
          <w:rFonts w:ascii="Arial" w:hAnsi="Arial" w:cs="Arial"/>
          <w:sz w:val="18"/>
          <w:szCs w:val="18"/>
        </w:rPr>
        <w:t>ian</w:t>
      </w:r>
      <w:r w:rsidR="00C40CC2" w:rsidRPr="00227B56">
        <w:rPr>
          <w:rFonts w:ascii="Arial" w:hAnsi="Arial" w:cs="Arial"/>
          <w:sz w:val="18"/>
          <w:szCs w:val="18"/>
        </w:rPr>
        <w:t xml:space="preserve"> origin w</w:t>
      </w:r>
      <w:r w:rsidRPr="00227B56">
        <w:rPr>
          <w:rFonts w:ascii="Arial" w:hAnsi="Arial" w:cs="Arial"/>
          <w:sz w:val="18"/>
          <w:szCs w:val="18"/>
        </w:rPr>
        <w:t>ere</w:t>
      </w:r>
      <w:r w:rsidR="00C40CC2" w:rsidRPr="00227B56">
        <w:rPr>
          <w:rFonts w:ascii="Arial" w:hAnsi="Arial" w:cs="Arial"/>
          <w:sz w:val="18"/>
          <w:szCs w:val="18"/>
        </w:rPr>
        <w:t xml:space="preserve"> merged by their regulator to form the Consolidated bank Ghana Limited. The main reasons put forward for mergers and acquisitions are to meet the increased levels of capital requirement.  However, there were other reason why </w:t>
      </w:r>
      <w:r w:rsidR="00F63FA6" w:rsidRPr="00227B56">
        <w:rPr>
          <w:rFonts w:ascii="Arial" w:hAnsi="Arial" w:cs="Arial"/>
          <w:sz w:val="18"/>
          <w:szCs w:val="18"/>
        </w:rPr>
        <w:t>Bank of Ghana (</w:t>
      </w:r>
      <w:r w:rsidR="00C40CC2" w:rsidRPr="00227B56">
        <w:rPr>
          <w:rFonts w:ascii="Arial" w:hAnsi="Arial" w:cs="Arial"/>
          <w:sz w:val="18"/>
          <w:szCs w:val="18"/>
        </w:rPr>
        <w:t>BoG</w:t>
      </w:r>
      <w:r w:rsidR="00F63FA6" w:rsidRPr="00227B56">
        <w:rPr>
          <w:rFonts w:ascii="Arial" w:hAnsi="Arial" w:cs="Arial"/>
          <w:sz w:val="18"/>
          <w:szCs w:val="18"/>
        </w:rPr>
        <w:t>)</w:t>
      </w:r>
      <w:r w:rsidR="00C40CC2" w:rsidRPr="00227B56">
        <w:rPr>
          <w:rFonts w:ascii="Arial" w:hAnsi="Arial" w:cs="Arial"/>
          <w:sz w:val="18"/>
          <w:szCs w:val="18"/>
        </w:rPr>
        <w:t xml:space="preserve"> brought these banks under one umbrella. For instan</w:t>
      </w:r>
      <w:r w:rsidRPr="00227B56">
        <w:rPr>
          <w:rFonts w:ascii="Arial" w:hAnsi="Arial" w:cs="Arial"/>
          <w:sz w:val="18"/>
          <w:szCs w:val="18"/>
        </w:rPr>
        <w:t>ce</w:t>
      </w:r>
      <w:r w:rsidR="00C40CC2" w:rsidRPr="00227B56">
        <w:rPr>
          <w:rFonts w:ascii="Arial" w:hAnsi="Arial" w:cs="Arial"/>
          <w:sz w:val="18"/>
          <w:szCs w:val="18"/>
        </w:rPr>
        <w:t xml:space="preserve">, </w:t>
      </w:r>
      <w:r w:rsidR="00C40CC2" w:rsidRPr="00227B56">
        <w:rPr>
          <w:rFonts w:ascii="Arial" w:hAnsi="Arial" w:cs="Arial"/>
          <w:sz w:val="18"/>
          <w:szCs w:val="18"/>
          <w:shd w:val="clear" w:color="auto" w:fill="FFFFFF"/>
        </w:rPr>
        <w:t xml:space="preserve">The Royal </w:t>
      </w:r>
      <w:r w:rsidR="000F668F" w:rsidRPr="00227B56">
        <w:rPr>
          <w:rFonts w:ascii="Arial" w:hAnsi="Arial" w:cs="Arial"/>
          <w:sz w:val="18"/>
          <w:szCs w:val="18"/>
          <w:shd w:val="clear" w:color="auto" w:fill="FFFFFF"/>
        </w:rPr>
        <w:t>Bank was</w:t>
      </w:r>
      <w:r w:rsidR="00C40CC2" w:rsidRPr="00227B56">
        <w:rPr>
          <w:rFonts w:ascii="Arial" w:hAnsi="Arial" w:cs="Arial"/>
          <w:sz w:val="18"/>
          <w:szCs w:val="18"/>
          <w:shd w:val="clear" w:color="auto" w:fill="FFFFFF"/>
        </w:rPr>
        <w:t xml:space="preserve"> guilty of some irregularities. Their non-performing loans was 78.9 percent of total loans granted which is way too </w:t>
      </w:r>
      <w:r w:rsidR="000F668F" w:rsidRPr="00227B56">
        <w:rPr>
          <w:rFonts w:ascii="Arial" w:hAnsi="Arial" w:cs="Arial"/>
          <w:sz w:val="18"/>
          <w:szCs w:val="18"/>
          <w:shd w:val="clear" w:color="auto" w:fill="FFFFFF"/>
        </w:rPr>
        <w:t>high, and</w:t>
      </w:r>
      <w:r w:rsidR="00C40CC2" w:rsidRPr="00227B56">
        <w:rPr>
          <w:rFonts w:ascii="Arial" w:hAnsi="Arial" w:cs="Arial"/>
          <w:sz w:val="18"/>
          <w:szCs w:val="18"/>
          <w:shd w:val="clear" w:color="auto" w:fill="FFFFFF"/>
        </w:rPr>
        <w:t xml:space="preserve"> </w:t>
      </w:r>
      <w:r w:rsidRPr="00227B56">
        <w:rPr>
          <w:rFonts w:ascii="Arial" w:hAnsi="Arial" w:cs="Arial"/>
          <w:sz w:val="18"/>
          <w:szCs w:val="18"/>
          <w:shd w:val="clear" w:color="auto" w:fill="FFFFFF"/>
        </w:rPr>
        <w:t xml:space="preserve">they had </w:t>
      </w:r>
      <w:r w:rsidR="00C40CC2" w:rsidRPr="00227B56">
        <w:rPr>
          <w:rFonts w:ascii="Arial" w:hAnsi="Arial" w:cs="Arial"/>
          <w:sz w:val="18"/>
          <w:szCs w:val="18"/>
          <w:shd w:val="clear" w:color="auto" w:fill="FFFFFF"/>
        </w:rPr>
        <w:t>poor credit risk and liquidity risk management controls.</w:t>
      </w:r>
      <w:r w:rsidR="00C40CC2" w:rsidRPr="00227B56">
        <w:rPr>
          <w:rFonts w:ascii="Arial" w:hAnsi="Arial" w:cs="Arial"/>
          <w:sz w:val="18"/>
          <w:szCs w:val="18"/>
        </w:rPr>
        <w:t xml:space="preserve"> The report of Bank of Ghana stated that Beige Bank Construction Bank and Sovereign Bank got their license under false pretenses</w:t>
      </w:r>
      <w:r w:rsidRPr="00227B56">
        <w:rPr>
          <w:rFonts w:ascii="Arial" w:hAnsi="Arial" w:cs="Arial"/>
          <w:sz w:val="18"/>
          <w:szCs w:val="18"/>
        </w:rPr>
        <w:t xml:space="preserve"> and</w:t>
      </w:r>
      <w:r w:rsidR="00C40CC2" w:rsidRPr="00227B56">
        <w:rPr>
          <w:rFonts w:ascii="Arial" w:hAnsi="Arial" w:cs="Arial"/>
          <w:sz w:val="18"/>
          <w:szCs w:val="18"/>
        </w:rPr>
        <w:t xml:space="preserve"> use</w:t>
      </w:r>
      <w:r w:rsidRPr="00227B56">
        <w:rPr>
          <w:rFonts w:ascii="Arial" w:hAnsi="Arial" w:cs="Arial"/>
          <w:sz w:val="18"/>
          <w:szCs w:val="18"/>
        </w:rPr>
        <w:t>d</w:t>
      </w:r>
      <w:r w:rsidR="00C40CC2" w:rsidRPr="00227B56">
        <w:rPr>
          <w:rFonts w:ascii="Arial" w:hAnsi="Arial" w:cs="Arial"/>
          <w:sz w:val="18"/>
          <w:szCs w:val="18"/>
        </w:rPr>
        <w:t xml:space="preserve"> non-existing capital which were inaccessible to them to obtain their license. In the case of UniBank Ghana their right to operate was taken because Capital Adequacy Ratio (CAR) fell below 50% of the required minimum of 10%</w:t>
      </w:r>
      <w:r w:rsidR="00C40CC2" w:rsidRPr="00227B56">
        <w:rPr>
          <w:rFonts w:ascii="Arial" w:hAnsi="Arial" w:cs="Arial"/>
          <w:sz w:val="18"/>
          <w:szCs w:val="18"/>
          <w:shd w:val="clear" w:color="auto" w:fill="FFFFFF"/>
        </w:rPr>
        <w:t xml:space="preserve">. </w:t>
      </w:r>
      <w:r w:rsidR="00C40CC2" w:rsidRPr="00227B56">
        <w:rPr>
          <w:rFonts w:ascii="Arial" w:hAnsi="Arial" w:cs="Arial"/>
          <w:sz w:val="18"/>
          <w:szCs w:val="18"/>
        </w:rPr>
        <w:t xml:space="preserve">The Merger was aimed at enabling the banks meet the Central Bank of Ghana’s requirement for banks to increase their core capital to at least 400million Ghana </w:t>
      </w:r>
      <w:r w:rsidR="00CC4645" w:rsidRPr="00227B56">
        <w:rPr>
          <w:rFonts w:ascii="Arial" w:hAnsi="Arial" w:cs="Arial"/>
          <w:sz w:val="18"/>
          <w:szCs w:val="18"/>
        </w:rPr>
        <w:t>c</w:t>
      </w:r>
      <w:r w:rsidR="00C40CC2" w:rsidRPr="00227B56">
        <w:rPr>
          <w:rFonts w:ascii="Arial" w:hAnsi="Arial" w:cs="Arial"/>
          <w:sz w:val="18"/>
          <w:szCs w:val="18"/>
        </w:rPr>
        <w:t xml:space="preserve">edis. </w:t>
      </w:r>
    </w:p>
    <w:p w14:paraId="28E8681D" w14:textId="74FB377B"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Statement of the Problem</w:t>
      </w:r>
    </w:p>
    <w:p w14:paraId="7A6CB1DB" w14:textId="77777777" w:rsidR="00AD0788" w:rsidRPr="00227B56" w:rsidRDefault="00C40CC2" w:rsidP="00AD0788">
      <w:pPr>
        <w:spacing w:after="0" w:line="360" w:lineRule="auto"/>
        <w:jc w:val="both"/>
        <w:rPr>
          <w:rFonts w:ascii="Arial" w:hAnsi="Arial" w:cs="Arial"/>
          <w:sz w:val="18"/>
          <w:szCs w:val="18"/>
        </w:rPr>
      </w:pPr>
      <w:r w:rsidRPr="00227B56">
        <w:rPr>
          <w:rFonts w:ascii="Arial" w:hAnsi="Arial" w:cs="Arial"/>
          <w:sz w:val="18"/>
          <w:szCs w:val="18"/>
        </w:rPr>
        <w:t xml:space="preserve">The challenging question in capital regulation is that while regulators believe that increased capital requirement of banks is driven by efforts to lower systemic risk and protect the depositors and the financial institutions as well, banking regulation critics build their attitudes on the presumption that it decreased profitability in banks is as a result of tightened capital requirement </w:t>
      </w:r>
      <w:r w:rsidR="00592208" w:rsidRPr="00227B56">
        <w:rPr>
          <w:rFonts w:ascii="Arial" w:hAnsi="Arial" w:cs="Arial"/>
          <w:sz w:val="18"/>
          <w:szCs w:val="18"/>
        </w:rPr>
        <w:t xml:space="preserve">which </w:t>
      </w:r>
      <w:r w:rsidRPr="00227B56">
        <w:rPr>
          <w:rFonts w:ascii="Arial" w:hAnsi="Arial" w:cs="Arial"/>
          <w:sz w:val="18"/>
          <w:szCs w:val="18"/>
        </w:rPr>
        <w:t xml:space="preserve">will lead to inability of banks to maintain their current business </w:t>
      </w:r>
      <w:r w:rsidR="00592208" w:rsidRPr="00227B56">
        <w:rPr>
          <w:rFonts w:ascii="Arial" w:hAnsi="Arial" w:cs="Arial"/>
          <w:sz w:val="18"/>
          <w:szCs w:val="18"/>
        </w:rPr>
        <w:t>by</w:t>
      </w:r>
      <w:r w:rsidR="00AD0788" w:rsidRPr="00227B56">
        <w:rPr>
          <w:rFonts w:ascii="Arial" w:hAnsi="Arial" w:cs="Arial"/>
          <w:sz w:val="18"/>
          <w:szCs w:val="18"/>
        </w:rPr>
        <w:t xml:space="preserve"> </w:t>
      </w:r>
      <w:r w:rsidR="00AD0788" w:rsidRPr="00227B56">
        <w:rPr>
          <w:rFonts w:ascii="Arial" w:hAnsi="Arial" w:cs="Arial"/>
          <w:sz w:val="18"/>
          <w:szCs w:val="18"/>
        </w:rPr>
        <w:fldChar w:fldCharType="begin"/>
      </w:r>
      <w:r w:rsidR="00AD0788" w:rsidRPr="00227B56">
        <w:rPr>
          <w:rFonts w:ascii="Arial" w:hAnsi="Arial" w:cs="Arial"/>
          <w:sz w:val="18"/>
          <w:szCs w:val="18"/>
        </w:rPr>
        <w:instrText xml:space="preserve"> ADDIN EN.CITE &lt;EndNote&gt;&lt;Cite&gt;&lt;Author&gt;Elliott et al&lt;/Author&gt;&lt;Year&gt;2015&lt;/Year&gt;&lt;RecNum&gt;75&lt;/RecNum&gt;&lt;DisplayText&gt;(Elliott et al, 2015)&lt;/DisplayText&gt;&lt;record&gt;&lt;rec-number&gt;75&lt;/rec-number&gt;&lt;foreign-keys&gt;&lt;key app="EN" db-id="5e92v09p8etvzgez9wrxxxrwdarzwpd05awa" timestamp="1550234554"&gt;75&lt;/key&gt;&lt;/foreign-keys&gt;&lt;ref-type name="Journal Article"&gt;17&lt;/ref-type&gt;&lt;contributors&gt;&lt;authors&gt;&lt;author&gt;Elliott et al,&lt;/author&gt;&lt;/authors&gt;&lt;/contributors&gt;&lt;titles&gt;&lt;title&gt;Shadow banking in China: A primer&lt;/title&gt;&lt;secondary-title&gt;Economic Studies at Brookings&lt;/secondary-title&gt;&lt;/titles&gt;&lt;periodical&gt;&lt;full-title&gt;Economic Studies at Brookings&lt;/full-title&gt;&lt;/periodical&gt;&lt;pages&gt;1-7&lt;/pages&gt;&lt;volume&gt;3&lt;/volume&gt;&lt;dates&gt;&lt;year&gt;2015&lt;/year&gt;&lt;/dates&gt;&lt;urls&gt;&lt;/urls&gt;&lt;/record&gt;&lt;/Cite&gt;&lt;/EndNote&gt;</w:instrText>
      </w:r>
      <w:r w:rsidR="00AD0788" w:rsidRPr="00227B56">
        <w:rPr>
          <w:rFonts w:ascii="Arial" w:hAnsi="Arial" w:cs="Arial"/>
          <w:sz w:val="18"/>
          <w:szCs w:val="18"/>
        </w:rPr>
        <w:fldChar w:fldCharType="separate"/>
      </w:r>
      <w:r w:rsidR="00AD0788" w:rsidRPr="00227B56">
        <w:rPr>
          <w:rFonts w:ascii="Arial" w:hAnsi="Arial" w:cs="Arial"/>
          <w:noProof/>
          <w:sz w:val="18"/>
          <w:szCs w:val="18"/>
        </w:rPr>
        <w:t>(Elliott et al, 2015)</w:t>
      </w:r>
      <w:r w:rsidR="00AD0788" w:rsidRPr="00227B56">
        <w:rPr>
          <w:rFonts w:ascii="Arial" w:hAnsi="Arial" w:cs="Arial"/>
          <w:sz w:val="18"/>
          <w:szCs w:val="18"/>
        </w:rPr>
        <w:fldChar w:fldCharType="end"/>
      </w:r>
      <w:r w:rsidR="00592208" w:rsidRPr="00227B56">
        <w:rPr>
          <w:rFonts w:ascii="Arial" w:hAnsi="Arial" w:cs="Arial"/>
          <w:sz w:val="18"/>
          <w:szCs w:val="18"/>
        </w:rPr>
        <w:t>.</w:t>
      </w:r>
    </w:p>
    <w:p w14:paraId="47C61508" w14:textId="2C91E267" w:rsidR="00C40CC2" w:rsidRPr="00227B56" w:rsidRDefault="00C40CC2" w:rsidP="00AD0788">
      <w:pPr>
        <w:spacing w:after="0" w:line="360" w:lineRule="auto"/>
        <w:ind w:right="187" w:firstLine="720"/>
        <w:jc w:val="both"/>
        <w:rPr>
          <w:rFonts w:ascii="Arial" w:hAnsi="Arial" w:cs="Arial"/>
          <w:sz w:val="18"/>
          <w:szCs w:val="18"/>
        </w:rPr>
      </w:pPr>
      <w:r w:rsidRPr="00227B56">
        <w:rPr>
          <w:rFonts w:ascii="Arial" w:hAnsi="Arial" w:cs="Arial"/>
          <w:sz w:val="18"/>
          <w:szCs w:val="18"/>
        </w:rPr>
        <w:lastRenderedPageBreak/>
        <w:t>This gives rise to an argument that if banks sound profitability</w:t>
      </w:r>
      <w:r w:rsidR="00CC4645" w:rsidRPr="00227B56">
        <w:rPr>
          <w:rFonts w:ascii="Arial" w:hAnsi="Arial" w:cs="Arial"/>
          <w:sz w:val="18"/>
          <w:szCs w:val="18"/>
        </w:rPr>
        <w:t xml:space="preserve"> is</w:t>
      </w:r>
      <w:r w:rsidRPr="00227B56">
        <w:rPr>
          <w:rFonts w:ascii="Arial" w:hAnsi="Arial" w:cs="Arial"/>
          <w:sz w:val="18"/>
          <w:szCs w:val="18"/>
        </w:rPr>
        <w:t xml:space="preserve"> not limited by capital requirement then it would be a better way to guarantee stability as it would allow banks to naturally build a solid cushion base and to cover potential losses from recurrent earnings</w:t>
      </w:r>
      <w:r w:rsidR="00CC4645" w:rsidRPr="00227B56">
        <w:rPr>
          <w:rFonts w:ascii="Arial" w:hAnsi="Arial" w:cs="Arial"/>
          <w:sz w:val="18"/>
          <w:szCs w:val="18"/>
        </w:rPr>
        <w:t xml:space="preserve"> </w:t>
      </w:r>
      <w:r w:rsidR="00CC4645" w:rsidRPr="00227B56">
        <w:rPr>
          <w:rFonts w:ascii="Arial" w:hAnsi="Arial" w:cs="Arial"/>
          <w:sz w:val="18"/>
          <w:szCs w:val="18"/>
        </w:rPr>
        <w:fldChar w:fldCharType="begin"/>
      </w:r>
      <w:r w:rsidR="00CC4645" w:rsidRPr="00227B56">
        <w:rPr>
          <w:rFonts w:ascii="Arial" w:hAnsi="Arial" w:cs="Arial"/>
          <w:sz w:val="18"/>
          <w:szCs w:val="18"/>
        </w:rPr>
        <w:instrText xml:space="preserve"> ADDIN EN.CITE &lt;EndNote&gt;&lt;Cite&gt;&lt;Author&gt;Rose-Ackerman&lt;/Author&gt;&lt;Year&gt;2010&lt;/Year&gt;&lt;RecNum&gt;13&lt;/RecNum&gt;&lt;DisplayText&gt;(Rose-Ackerman, 2010)&lt;/DisplayText&gt;&lt;record&gt;&lt;rec-number&gt;13&lt;/rec-number&gt;&lt;foreign-keys&gt;&lt;key app="EN" db-id="5e92v09p8etvzgez9wrxxxrwdarzwpd05awa" timestamp="1548312768"&gt;13&lt;/key&gt;&lt;/foreign-keys&gt;&lt;ref-type name="Journal Article"&gt;17&lt;/ref-type&gt;&lt;contributors&gt;&lt;authors&gt;&lt;author&gt;Rose-Ackerman, Susan&lt;/author&gt;&lt;/authors&gt;&lt;/contributors&gt;&lt;titles&gt;&lt;title&gt;Putting cost-benefit analysis in its place: Rethinking regulatory review&lt;/title&gt;&lt;secondary-title&gt;U. Miami L. Rev.&lt;/secondary-title&gt;&lt;/titles&gt;&lt;periodical&gt;&lt;full-title&gt;U. Miami L. Rev.&lt;/full-title&gt;&lt;/periodical&gt;&lt;pages&gt;335&lt;/pages&gt;&lt;volume&gt;65&lt;/volume&gt;&lt;dates&gt;&lt;year&gt;2010&lt;/year&gt;&lt;/dates&gt;&lt;urls&gt;&lt;/urls&gt;&lt;/record&gt;&lt;/Cite&gt;&lt;/EndNote&gt;</w:instrText>
      </w:r>
      <w:r w:rsidR="00CC4645" w:rsidRPr="00227B56">
        <w:rPr>
          <w:rFonts w:ascii="Arial" w:hAnsi="Arial" w:cs="Arial"/>
          <w:sz w:val="18"/>
          <w:szCs w:val="18"/>
        </w:rPr>
        <w:fldChar w:fldCharType="separate"/>
      </w:r>
      <w:r w:rsidR="00CC4645" w:rsidRPr="00227B56">
        <w:rPr>
          <w:rFonts w:ascii="Arial" w:hAnsi="Arial" w:cs="Arial"/>
          <w:noProof/>
          <w:sz w:val="18"/>
          <w:szCs w:val="18"/>
        </w:rPr>
        <w:t>(Rose-Ackerman, 2010)</w:t>
      </w:r>
      <w:r w:rsidR="00CC4645" w:rsidRPr="00227B56">
        <w:rPr>
          <w:rFonts w:ascii="Arial" w:hAnsi="Arial" w:cs="Arial"/>
          <w:sz w:val="18"/>
          <w:szCs w:val="18"/>
        </w:rPr>
        <w:fldChar w:fldCharType="end"/>
      </w:r>
      <w:r w:rsidRPr="00227B56">
        <w:rPr>
          <w:rFonts w:ascii="Arial" w:hAnsi="Arial" w:cs="Arial"/>
          <w:sz w:val="18"/>
          <w:szCs w:val="18"/>
        </w:rPr>
        <w:t>.</w:t>
      </w:r>
      <w:r w:rsidR="00CC4645" w:rsidRPr="00227B56">
        <w:rPr>
          <w:rFonts w:ascii="Arial" w:hAnsi="Arial" w:cs="Arial"/>
          <w:sz w:val="18"/>
          <w:szCs w:val="18"/>
        </w:rPr>
        <w:t xml:space="preserve"> </w:t>
      </w:r>
      <w:r w:rsidRPr="00227B56">
        <w:rPr>
          <w:rFonts w:ascii="Arial" w:hAnsi="Arial" w:cs="Arial"/>
          <w:sz w:val="18"/>
          <w:szCs w:val="18"/>
        </w:rPr>
        <w:t xml:space="preserve">However, Demirguc </w:t>
      </w:r>
      <w:r w:rsidR="00AD0788" w:rsidRPr="00227B56">
        <w:rPr>
          <w:rFonts w:ascii="Arial" w:hAnsi="Arial" w:cs="Arial"/>
          <w:sz w:val="18"/>
          <w:szCs w:val="18"/>
        </w:rPr>
        <w:t>and Huizinga</w:t>
      </w:r>
      <w:r w:rsidRPr="00227B56">
        <w:rPr>
          <w:rFonts w:ascii="Arial" w:hAnsi="Arial" w:cs="Arial"/>
          <w:sz w:val="18"/>
          <w:szCs w:val="18"/>
        </w:rPr>
        <w:t xml:space="preserve"> (2010) argue</w:t>
      </w:r>
      <w:r w:rsidR="00AD0788" w:rsidRPr="00227B56">
        <w:rPr>
          <w:rFonts w:ascii="Arial" w:hAnsi="Arial" w:cs="Arial"/>
          <w:sz w:val="18"/>
          <w:szCs w:val="18"/>
        </w:rPr>
        <w:t>d</w:t>
      </w:r>
      <w:r w:rsidRPr="00227B56">
        <w:rPr>
          <w:rFonts w:ascii="Arial" w:hAnsi="Arial" w:cs="Arial"/>
          <w:sz w:val="18"/>
          <w:szCs w:val="18"/>
        </w:rPr>
        <w:t xml:space="preserve"> for the need to increase capital requirement for banks,</w:t>
      </w:r>
      <w:r w:rsidR="00AD0788" w:rsidRPr="00227B56">
        <w:rPr>
          <w:rFonts w:ascii="Arial" w:hAnsi="Arial" w:cs="Arial"/>
          <w:sz w:val="18"/>
          <w:szCs w:val="18"/>
        </w:rPr>
        <w:t xml:space="preserve"> but</w:t>
      </w:r>
      <w:r w:rsidRPr="00227B56">
        <w:rPr>
          <w:rFonts w:ascii="Arial" w:hAnsi="Arial" w:cs="Arial"/>
          <w:sz w:val="18"/>
          <w:szCs w:val="18"/>
        </w:rPr>
        <w:t xml:space="preserve"> the question remains, what is the right benchmark to enforce capital regulations without it affecting the performance of banks. To properly address this question, it was necessary to thoroughly analyze the relationship between capital requirements and banks performance</w:t>
      </w:r>
      <w:r w:rsidR="00CC4645" w:rsidRPr="00227B56">
        <w:rPr>
          <w:rFonts w:ascii="Arial" w:hAnsi="Arial" w:cs="Arial"/>
          <w:sz w:val="18"/>
          <w:szCs w:val="18"/>
        </w:rPr>
        <w:t xml:space="preserve"> </w:t>
      </w:r>
      <w:r w:rsidR="00CC4645" w:rsidRPr="00227B56">
        <w:rPr>
          <w:rFonts w:ascii="Arial" w:hAnsi="Arial" w:cs="Arial"/>
          <w:sz w:val="18"/>
          <w:szCs w:val="18"/>
        </w:rPr>
        <w:fldChar w:fldCharType="begin"/>
      </w:r>
      <w:r w:rsidR="00CC4645" w:rsidRPr="00227B56">
        <w:rPr>
          <w:rFonts w:ascii="Arial" w:hAnsi="Arial" w:cs="Arial"/>
          <w:sz w:val="18"/>
          <w:szCs w:val="18"/>
        </w:rPr>
        <w:instrText xml:space="preserve"> ADDIN EN.CITE &lt;EndNote&gt;&lt;Cite&gt;&lt;Author&gt;Demirgüç-Kunt&lt;/Author&gt;&lt;Year&gt;2010&lt;/Year&gt;&lt;RecNum&gt;14&lt;/RecNum&gt;&lt;DisplayText&gt;(Demirgüç-Kunt &amp;amp; Huizinga, 2010)&lt;/DisplayText&gt;&lt;record&gt;&lt;rec-number&gt;14&lt;/rec-number&gt;&lt;foreign-keys&gt;&lt;key app="EN" db-id="5e92v09p8etvzgez9wrxxxrwdarzwpd05awa" timestamp="1548312843"&gt;14&lt;/key&gt;&lt;/foreign-keys&gt;&lt;ref-type name="Journal Article"&gt;17&lt;/ref-type&gt;&lt;contributors&gt;&lt;authors&gt;&lt;author&gt;Demirgüç-Kunt, Asli&lt;/author&gt;&lt;author&gt;Huizinga, Harry&lt;/author&gt;&lt;/authors&gt;&lt;/contributors&gt;&lt;titles&gt;&lt;title&gt;Bank activity and funding strategies: The impact on risk and returns&lt;/title&gt;&lt;secondary-title&gt;Journal of Financial Economics&lt;/secondary-title&gt;&lt;/titles&gt;&lt;periodical&gt;&lt;full-title&gt;Journal of Financial Economics&lt;/full-title&gt;&lt;/periodical&gt;&lt;pages&gt;626-650&lt;/pages&gt;&lt;volume&gt;98&lt;/volume&gt;&lt;number&gt;3&lt;/number&gt;&lt;dates&gt;&lt;year&gt;2010&lt;/year&gt;&lt;/dates&gt;&lt;isbn&gt;0304-405X&lt;/isbn&gt;&lt;urls&gt;&lt;/urls&gt;&lt;/record&gt;&lt;/Cite&gt;&lt;/EndNote&gt;</w:instrText>
      </w:r>
      <w:r w:rsidR="00CC4645" w:rsidRPr="00227B56">
        <w:rPr>
          <w:rFonts w:ascii="Arial" w:hAnsi="Arial" w:cs="Arial"/>
          <w:sz w:val="18"/>
          <w:szCs w:val="18"/>
        </w:rPr>
        <w:fldChar w:fldCharType="separate"/>
      </w:r>
      <w:r w:rsidR="00CC4645" w:rsidRPr="00227B56">
        <w:rPr>
          <w:rFonts w:ascii="Arial" w:hAnsi="Arial" w:cs="Arial"/>
          <w:noProof/>
          <w:sz w:val="18"/>
          <w:szCs w:val="18"/>
        </w:rPr>
        <w:t>(Demirgüç-Kunt &amp; Huizinga, 2010)</w:t>
      </w:r>
      <w:r w:rsidR="00CC4645" w:rsidRPr="00227B56">
        <w:rPr>
          <w:rFonts w:ascii="Arial" w:hAnsi="Arial" w:cs="Arial"/>
          <w:sz w:val="18"/>
          <w:szCs w:val="18"/>
        </w:rPr>
        <w:fldChar w:fldCharType="end"/>
      </w:r>
      <w:r w:rsidRPr="00227B56">
        <w:rPr>
          <w:rFonts w:ascii="Arial" w:hAnsi="Arial" w:cs="Arial"/>
          <w:sz w:val="18"/>
          <w:szCs w:val="18"/>
        </w:rPr>
        <w:t>.</w:t>
      </w:r>
    </w:p>
    <w:p w14:paraId="6F797318" w14:textId="63553037" w:rsidR="00AD0788" w:rsidRPr="00227B56" w:rsidRDefault="00C40CC2" w:rsidP="00270316">
      <w:pPr>
        <w:spacing w:after="0" w:line="360" w:lineRule="auto"/>
        <w:ind w:right="187" w:firstLine="720"/>
        <w:jc w:val="both"/>
        <w:rPr>
          <w:rFonts w:ascii="Arial" w:hAnsi="Arial" w:cs="Arial"/>
          <w:sz w:val="18"/>
          <w:szCs w:val="18"/>
        </w:rPr>
      </w:pPr>
      <w:r w:rsidRPr="00227B56">
        <w:rPr>
          <w:rFonts w:ascii="Arial" w:hAnsi="Arial" w:cs="Arial"/>
          <w:sz w:val="18"/>
          <w:szCs w:val="18"/>
        </w:rPr>
        <w:t xml:space="preserve">This study focuses on the Capital requirement and Performance of selected universal banks Ghana, considering the Basel Accord Framework. The Basel Committees focuses on capital levels and the quality of capital, therefore </w:t>
      </w:r>
      <w:r w:rsidR="00AD0788" w:rsidRPr="00227B56">
        <w:rPr>
          <w:rFonts w:ascii="Arial" w:hAnsi="Arial" w:cs="Arial"/>
          <w:sz w:val="18"/>
          <w:szCs w:val="18"/>
        </w:rPr>
        <w:t>the objective of this study is to establish whether there is a link between the bank’s capital and bank performance.</w:t>
      </w:r>
    </w:p>
    <w:p w14:paraId="24BF35B5" w14:textId="79AD1C73" w:rsidR="00C40CC2" w:rsidRPr="00227B56" w:rsidRDefault="00C40CC2" w:rsidP="00270316">
      <w:pPr>
        <w:spacing w:after="0" w:line="360" w:lineRule="auto"/>
        <w:jc w:val="both"/>
        <w:rPr>
          <w:rFonts w:ascii="Arial" w:hAnsi="Arial" w:cs="Arial"/>
          <w:b/>
          <w:sz w:val="18"/>
          <w:szCs w:val="18"/>
        </w:rPr>
      </w:pPr>
      <w:r w:rsidRPr="00227B56">
        <w:rPr>
          <w:rFonts w:ascii="Arial" w:hAnsi="Arial" w:cs="Arial"/>
          <w:b/>
          <w:sz w:val="18"/>
          <w:szCs w:val="18"/>
        </w:rPr>
        <w:t xml:space="preserve">Hypothesis </w:t>
      </w:r>
    </w:p>
    <w:p w14:paraId="567C31C0" w14:textId="7D5F385F"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H1 There is no significant relationship between Banks</w:t>
      </w:r>
      <w:r w:rsidR="0033349A" w:rsidRPr="00227B56">
        <w:rPr>
          <w:rFonts w:ascii="Arial" w:hAnsi="Arial" w:cs="Arial"/>
          <w:sz w:val="18"/>
          <w:szCs w:val="18"/>
        </w:rPr>
        <w:t>’</w:t>
      </w:r>
      <w:r w:rsidRPr="00227B56">
        <w:rPr>
          <w:rFonts w:ascii="Arial" w:hAnsi="Arial" w:cs="Arial"/>
          <w:sz w:val="18"/>
          <w:szCs w:val="18"/>
        </w:rPr>
        <w:t xml:space="preserve"> capital and banks</w:t>
      </w:r>
      <w:r w:rsidR="0033349A" w:rsidRPr="00227B56">
        <w:rPr>
          <w:rFonts w:ascii="Arial" w:hAnsi="Arial" w:cs="Arial"/>
          <w:sz w:val="18"/>
          <w:szCs w:val="18"/>
        </w:rPr>
        <w:t>’ performance</w:t>
      </w:r>
    </w:p>
    <w:p w14:paraId="758D7A26" w14:textId="7A1AE34E"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H2 There is no significant relation between banks</w:t>
      </w:r>
      <w:r w:rsidR="0033349A" w:rsidRPr="00227B56">
        <w:rPr>
          <w:rFonts w:ascii="Arial" w:hAnsi="Arial" w:cs="Arial"/>
          <w:sz w:val="18"/>
          <w:szCs w:val="18"/>
        </w:rPr>
        <w:t>’</w:t>
      </w:r>
      <w:r w:rsidRPr="00227B56">
        <w:rPr>
          <w:rFonts w:ascii="Arial" w:hAnsi="Arial" w:cs="Arial"/>
          <w:sz w:val="18"/>
          <w:szCs w:val="18"/>
        </w:rPr>
        <w:t xml:space="preserve"> </w:t>
      </w:r>
      <w:r w:rsidR="0033349A" w:rsidRPr="00227B56">
        <w:rPr>
          <w:rFonts w:ascii="Arial" w:hAnsi="Arial" w:cs="Arial"/>
          <w:sz w:val="18"/>
          <w:szCs w:val="18"/>
        </w:rPr>
        <w:t>Asset base</w:t>
      </w:r>
      <w:r w:rsidRPr="00227B56">
        <w:rPr>
          <w:rFonts w:ascii="Arial" w:hAnsi="Arial" w:cs="Arial"/>
          <w:sz w:val="18"/>
          <w:szCs w:val="18"/>
        </w:rPr>
        <w:t xml:space="preserve"> and Credit/loan advancement</w:t>
      </w:r>
    </w:p>
    <w:p w14:paraId="4F93F71E" w14:textId="7F6111FC"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H3 The size of capital requirements is not positively correlated with bank performance</w:t>
      </w:r>
    </w:p>
    <w:p w14:paraId="49FBFE3C" w14:textId="77777777" w:rsidR="00CB347C" w:rsidRPr="00227B56" w:rsidRDefault="00CB347C" w:rsidP="00C40CC2">
      <w:pPr>
        <w:spacing w:after="0" w:line="360" w:lineRule="auto"/>
        <w:jc w:val="both"/>
        <w:rPr>
          <w:rFonts w:ascii="Arial" w:hAnsi="Arial" w:cs="Arial"/>
          <w:sz w:val="18"/>
          <w:szCs w:val="18"/>
        </w:rPr>
      </w:pPr>
    </w:p>
    <w:p w14:paraId="0832E720" w14:textId="0A9CE406" w:rsidR="00C40CC2" w:rsidRPr="00227B56" w:rsidRDefault="00C40CC2" w:rsidP="00C40CC2">
      <w:pPr>
        <w:pStyle w:val="Heading1"/>
        <w:spacing w:before="0" w:beforeAutospacing="0" w:after="0" w:afterAutospacing="0" w:line="360" w:lineRule="auto"/>
        <w:rPr>
          <w:rFonts w:ascii="Arial" w:hAnsi="Arial" w:cs="Arial"/>
          <w:sz w:val="18"/>
          <w:szCs w:val="18"/>
        </w:rPr>
      </w:pPr>
      <w:r w:rsidRPr="00227B56">
        <w:rPr>
          <w:rFonts w:ascii="Arial" w:hAnsi="Arial" w:cs="Arial"/>
          <w:sz w:val="18"/>
          <w:szCs w:val="18"/>
        </w:rPr>
        <w:t>Literature Review</w:t>
      </w:r>
    </w:p>
    <w:p w14:paraId="23D966CE" w14:textId="6ACCD2EB"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The Theory of Capital Requirement</w:t>
      </w:r>
    </w:p>
    <w:p w14:paraId="6649BECE" w14:textId="4A5DBDBD" w:rsidR="00C40CC2" w:rsidRPr="00227B56" w:rsidRDefault="00452F06"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F</w:t>
      </w:r>
      <w:r w:rsidR="00C40CC2" w:rsidRPr="00227B56">
        <w:rPr>
          <w:rFonts w:ascii="Arial" w:hAnsi="Arial" w:cs="Arial"/>
          <w:color w:val="auto"/>
          <w:sz w:val="18"/>
          <w:szCs w:val="18"/>
        </w:rPr>
        <w:t>inancial regulator in a given economy requires banks and other financial</w:t>
      </w:r>
      <w:r w:rsidR="00CB347C" w:rsidRPr="00227B56">
        <w:rPr>
          <w:rFonts w:ascii="Arial" w:hAnsi="Arial" w:cs="Arial"/>
          <w:color w:val="auto"/>
          <w:sz w:val="18"/>
          <w:szCs w:val="18"/>
        </w:rPr>
        <w:t xml:space="preserve"> institutions</w:t>
      </w:r>
      <w:r w:rsidR="00C40CC2" w:rsidRPr="00227B56">
        <w:rPr>
          <w:rFonts w:ascii="Arial" w:hAnsi="Arial" w:cs="Arial"/>
          <w:color w:val="auto"/>
          <w:sz w:val="18"/>
          <w:szCs w:val="18"/>
        </w:rPr>
        <w:t xml:space="preserve"> to hold an amount of money which</w:t>
      </w:r>
      <w:r w:rsidR="00CB347C" w:rsidRPr="00227B56">
        <w:rPr>
          <w:rFonts w:ascii="Arial" w:hAnsi="Arial" w:cs="Arial"/>
          <w:color w:val="auto"/>
          <w:sz w:val="18"/>
          <w:szCs w:val="18"/>
        </w:rPr>
        <w:t xml:space="preserve"> is </w:t>
      </w:r>
      <w:r w:rsidR="00C40CC2" w:rsidRPr="00227B56">
        <w:rPr>
          <w:rFonts w:ascii="Arial" w:hAnsi="Arial" w:cs="Arial"/>
          <w:color w:val="auto"/>
          <w:sz w:val="18"/>
          <w:szCs w:val="18"/>
        </w:rPr>
        <w:t>be</w:t>
      </w:r>
      <w:r w:rsidR="00CB347C" w:rsidRPr="00227B56">
        <w:rPr>
          <w:rFonts w:ascii="Arial" w:hAnsi="Arial" w:cs="Arial"/>
          <w:color w:val="auto"/>
          <w:sz w:val="18"/>
          <w:szCs w:val="18"/>
        </w:rPr>
        <w:t>en</w:t>
      </w:r>
      <w:r w:rsidR="00C40CC2" w:rsidRPr="00227B56">
        <w:rPr>
          <w:rFonts w:ascii="Arial" w:hAnsi="Arial" w:cs="Arial"/>
          <w:color w:val="auto"/>
          <w:sz w:val="18"/>
          <w:szCs w:val="18"/>
        </w:rPr>
        <w:t xml:space="preserve"> referred to as Capital requirements</w:t>
      </w:r>
      <w:r w:rsidRPr="00227B56">
        <w:rPr>
          <w:rFonts w:ascii="Arial" w:hAnsi="Arial" w:cs="Arial"/>
          <w:color w:val="auto"/>
          <w:sz w:val="18"/>
          <w:szCs w:val="18"/>
        </w:rPr>
        <w:t xml:space="preserve"> </w:t>
      </w:r>
      <w:r w:rsidRPr="00227B56">
        <w:rPr>
          <w:rFonts w:ascii="Arial" w:hAnsi="Arial" w:cs="Arial"/>
          <w:color w:val="auto"/>
          <w:sz w:val="18"/>
          <w:szCs w:val="18"/>
        </w:rPr>
        <w:fldChar w:fldCharType="begin"/>
      </w:r>
      <w:r w:rsidRPr="00227B56">
        <w:rPr>
          <w:rFonts w:ascii="Arial" w:hAnsi="Arial" w:cs="Arial"/>
          <w:color w:val="auto"/>
          <w:sz w:val="18"/>
          <w:szCs w:val="18"/>
        </w:rPr>
        <w:instrText xml:space="preserve"> ADDIN EN.CITE &lt;EndNote&gt;&lt;Cite&gt;&lt;Author&gt;Keitany&lt;/Author&gt;&lt;Year&gt;2013&lt;/Year&gt;&lt;RecNum&gt;15&lt;/RecNum&gt;&lt;DisplayText&gt;(Keitany, 2013)&lt;/DisplayText&gt;&lt;record&gt;&lt;rec-number&gt;15&lt;/rec-number&gt;&lt;foreign-keys&gt;&lt;key app="EN" db-id="5e92v09p8etvzgez9wrxxxrwdarzwpd05awa" timestamp="1548313237"&gt;15&lt;/key&gt;&lt;/foreign-keys&gt;&lt;ref-type name="Journal Article"&gt;17&lt;/ref-type&gt;&lt;contributors&gt;&lt;authors&gt;&lt;author&gt;Keitany, NANCY JEMOEK&lt;/author&gt;&lt;/authors&gt;&lt;/contributors&gt;&lt;titles&gt;&lt;title&gt;The Relationship Between Loan Default and the Financial Performance of Saccos in Kenya&lt;/title&gt;&lt;secondary-title&gt;Nairobi: University of Nairobi&lt;/secondary-title&gt;&lt;/titles&gt;&lt;periodical&gt;&lt;full-title&gt;Nairobi: University of Nairobi&lt;/full-title&gt;&lt;/periodical&gt;&lt;dates&gt;&lt;year&gt;2013&lt;/year&gt;&lt;/dates&gt;&lt;urls&gt;&lt;/urls&gt;&lt;/record&gt;&lt;/Cite&gt;&lt;/EndNote&gt;</w:instrText>
      </w:r>
      <w:r w:rsidRPr="00227B56">
        <w:rPr>
          <w:rFonts w:ascii="Arial" w:hAnsi="Arial" w:cs="Arial"/>
          <w:color w:val="auto"/>
          <w:sz w:val="18"/>
          <w:szCs w:val="18"/>
        </w:rPr>
        <w:fldChar w:fldCharType="separate"/>
      </w:r>
      <w:r w:rsidRPr="00227B56">
        <w:rPr>
          <w:rFonts w:ascii="Arial" w:hAnsi="Arial" w:cs="Arial"/>
          <w:noProof/>
          <w:color w:val="auto"/>
          <w:sz w:val="18"/>
          <w:szCs w:val="18"/>
        </w:rPr>
        <w:t>(Keitany, 2013)</w:t>
      </w:r>
      <w:r w:rsidRPr="00227B56">
        <w:rPr>
          <w:rFonts w:ascii="Arial" w:hAnsi="Arial" w:cs="Arial"/>
          <w:color w:val="auto"/>
          <w:sz w:val="18"/>
          <w:szCs w:val="18"/>
        </w:rPr>
        <w:fldChar w:fldCharType="end"/>
      </w:r>
      <w:r w:rsidR="00C40CC2" w:rsidRPr="00227B56">
        <w:rPr>
          <w:rFonts w:ascii="Arial" w:hAnsi="Arial" w:cs="Arial"/>
          <w:color w:val="auto"/>
          <w:sz w:val="18"/>
          <w:szCs w:val="18"/>
        </w:rPr>
        <w:t>.  This is in the context of fractional reserve banking and is usually expressed as a capital adequacy ratio of liquid assets that must be held compared to the amount of money that is lent out. Tahyar</w:t>
      </w:r>
      <w:r w:rsidRPr="00227B56">
        <w:rPr>
          <w:rFonts w:ascii="Arial" w:hAnsi="Arial" w:cs="Arial"/>
          <w:color w:val="auto"/>
          <w:sz w:val="18"/>
          <w:szCs w:val="18"/>
        </w:rPr>
        <w:t xml:space="preserve"> et al</w:t>
      </w:r>
      <w:r w:rsidR="00C40CC2" w:rsidRPr="00227B56">
        <w:rPr>
          <w:rFonts w:ascii="Arial" w:hAnsi="Arial" w:cs="Arial"/>
          <w:color w:val="auto"/>
          <w:sz w:val="18"/>
          <w:szCs w:val="18"/>
        </w:rPr>
        <w:t xml:space="preserve"> (2010) comes up with two broad categories of capital which are regulatory and economic capital</w:t>
      </w:r>
      <w:r w:rsidRPr="00227B56">
        <w:rPr>
          <w:rFonts w:ascii="Arial" w:hAnsi="Arial" w:cs="Arial"/>
          <w:color w:val="auto"/>
          <w:sz w:val="18"/>
          <w:szCs w:val="18"/>
        </w:rPr>
        <w:t xml:space="preserve"> </w:t>
      </w:r>
      <w:r w:rsidRPr="00227B56">
        <w:rPr>
          <w:rFonts w:ascii="Arial" w:hAnsi="Arial" w:cs="Arial"/>
          <w:color w:val="auto"/>
          <w:sz w:val="18"/>
          <w:szCs w:val="18"/>
        </w:rPr>
        <w:fldChar w:fldCharType="begin"/>
      </w:r>
      <w:r w:rsidR="00CB347C" w:rsidRPr="00227B56">
        <w:rPr>
          <w:rFonts w:ascii="Arial" w:hAnsi="Arial" w:cs="Arial"/>
          <w:color w:val="auto"/>
          <w:sz w:val="18"/>
          <w:szCs w:val="18"/>
        </w:rPr>
        <w:instrText xml:space="preserve"> ADDIN EN.CITE &lt;EndNote&gt;&lt;Cite&gt;&lt;Author&gt;Tahyar&lt;/Author&gt;&lt;Year&gt;2010&lt;/Year&gt;&lt;RecNum&gt;16&lt;/RecNum&gt;&lt;DisplayText&gt;(Tahyar et al, 2010)&lt;/DisplayText&gt;&lt;record&gt;&lt;rec-number&gt;16&lt;/rec-number&gt;&lt;foreign-keys&gt;&lt;key app="EN" db-id="5e92v09p8etvzgez9wrxxxrwdarzwpd05awa" timestamp="1548313322"&gt;16&lt;/key&gt;&lt;/foreign-keys&gt;&lt;ref-type name="Conference Proceedings"&gt;10&lt;/ref-type&gt;&lt;contributors&gt;&lt;authors&gt;&lt;author&gt;Tahyar et al,&lt;/author&gt;&lt;/authors&gt;&lt;/contributors&gt;&lt;titles&gt;&lt;title&gt;Collins Amendment Sets Minimum Capital Requirements&lt;/title&gt;&lt;secondary-title&gt;The Harvard Law School Forum on Corporate Governance and Financial Regulation&lt;/secondary-title&gt;&lt;/titles&gt;&lt;dates&gt;&lt;year&gt;2010&lt;/year&gt;&lt;/dates&gt;&lt;urls&gt;&lt;/urls&gt;&lt;/record&gt;&lt;/Cite&gt;&lt;/EndNote&gt;</w:instrText>
      </w:r>
      <w:r w:rsidRPr="00227B56">
        <w:rPr>
          <w:rFonts w:ascii="Arial" w:hAnsi="Arial" w:cs="Arial"/>
          <w:color w:val="auto"/>
          <w:sz w:val="18"/>
          <w:szCs w:val="18"/>
        </w:rPr>
        <w:fldChar w:fldCharType="separate"/>
      </w:r>
      <w:r w:rsidR="00CB347C" w:rsidRPr="00227B56">
        <w:rPr>
          <w:rFonts w:ascii="Arial" w:hAnsi="Arial" w:cs="Arial"/>
          <w:noProof/>
          <w:color w:val="auto"/>
          <w:sz w:val="18"/>
          <w:szCs w:val="18"/>
        </w:rPr>
        <w:t>(Tahyar et al, 2010)</w:t>
      </w:r>
      <w:r w:rsidRPr="00227B56">
        <w:rPr>
          <w:rFonts w:ascii="Arial" w:hAnsi="Arial" w:cs="Arial"/>
          <w:color w:val="auto"/>
          <w:sz w:val="18"/>
          <w:szCs w:val="18"/>
        </w:rPr>
        <w:fldChar w:fldCharType="end"/>
      </w:r>
      <w:r w:rsidR="00C40CC2" w:rsidRPr="00227B56">
        <w:rPr>
          <w:rFonts w:ascii="Arial" w:hAnsi="Arial" w:cs="Arial"/>
          <w:color w:val="auto"/>
          <w:sz w:val="18"/>
          <w:szCs w:val="18"/>
        </w:rPr>
        <w:t xml:space="preserve">. </w:t>
      </w:r>
    </w:p>
    <w:p w14:paraId="0944DA13" w14:textId="77777777" w:rsidR="00CB347C" w:rsidRPr="00227B56" w:rsidRDefault="00CB347C" w:rsidP="00C40CC2">
      <w:pPr>
        <w:pStyle w:val="Default"/>
        <w:spacing w:line="360" w:lineRule="auto"/>
        <w:jc w:val="both"/>
        <w:rPr>
          <w:rFonts w:ascii="Arial" w:hAnsi="Arial" w:cs="Arial"/>
          <w:color w:val="auto"/>
          <w:sz w:val="18"/>
          <w:szCs w:val="18"/>
        </w:rPr>
      </w:pPr>
    </w:p>
    <w:p w14:paraId="3629DA1A" w14:textId="5B1801FF"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Bank Capital and Capital Adequacy Requirements</w:t>
      </w:r>
    </w:p>
    <w:p w14:paraId="1017622F" w14:textId="77777777" w:rsidR="00506E7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 xml:space="preserve">Capital is often regarded in banking as those funds contributed by the owners consisting principally of stocks, surplus (reserves) for contingencies and retained earnings. Ordinary share capital or equity reserves and preference shares are what is classified by bank sheet as the capital of the bank. Banks’ capital may be defined as the value of its net assets (total assets minus total liabilities). Thus, capital is the sum of the paid-up share capital and its accumulated reserves </w:t>
      </w:r>
      <w:r w:rsidR="00452F06" w:rsidRPr="00227B56">
        <w:rPr>
          <w:rFonts w:ascii="Arial" w:hAnsi="Arial" w:cs="Arial"/>
          <w:sz w:val="18"/>
          <w:szCs w:val="18"/>
        </w:rPr>
        <w:fldChar w:fldCharType="begin"/>
      </w:r>
      <w:r w:rsidR="00452F06" w:rsidRPr="00227B56">
        <w:rPr>
          <w:rFonts w:ascii="Arial" w:hAnsi="Arial" w:cs="Arial"/>
          <w:sz w:val="18"/>
          <w:szCs w:val="18"/>
        </w:rPr>
        <w:instrText xml:space="preserve"> ADDIN EN.CITE &lt;EndNote&gt;&lt;Cite&gt;&lt;Author&gt;Torbira&lt;/Author&gt;&lt;Year&gt;2016&lt;/Year&gt;&lt;RecNum&gt;17&lt;/RecNum&gt;&lt;DisplayText&gt;(Torbira &amp;amp; Zaagha, 2016)&lt;/DisplayText&gt;&lt;record&gt;&lt;rec-number&gt;17&lt;/rec-number&gt;&lt;foreign-keys&gt;&lt;key app="EN" db-id="5e92v09p8etvzgez9wrxxxrwdarzwpd05awa" timestamp="1548313418"&gt;17&lt;/key&gt;&lt;/foreign-keys&gt;&lt;ref-type name="Journal Article"&gt;17&lt;/ref-type&gt;&lt;contributors&gt;&lt;authors&gt;&lt;author&gt;Torbira, L&lt;/author&gt;&lt;author&gt;Zaagha, Alexander Sulaiman&lt;/author&gt;&lt;/authors&gt;&lt;/contributors&gt;&lt;titles&gt;&lt;title&gt;Capital adequacy measures and bank financial performance in Nigeria: A cointegration analysis&lt;/title&gt;&lt;secondary-title&gt;Journal of Finance and Economic Research&lt;/secondary-title&gt;&lt;/titles&gt;&lt;periodical&gt;&lt;full-title&gt;Journal of Finance and Economic Research&lt;/full-title&gt;&lt;/periodical&gt;&lt;pages&gt;15-34&lt;/pages&gt;&lt;volume&gt;3&lt;/volume&gt;&lt;number&gt;1&lt;/number&gt;&lt;dates&gt;&lt;year&gt;2016&lt;/year&gt;&lt;/dates&gt;&lt;urls&gt;&lt;/urls&gt;&lt;/record&gt;&lt;/Cite&gt;&lt;/EndNote&gt;</w:instrText>
      </w:r>
      <w:r w:rsidR="00452F06" w:rsidRPr="00227B56">
        <w:rPr>
          <w:rFonts w:ascii="Arial" w:hAnsi="Arial" w:cs="Arial"/>
          <w:sz w:val="18"/>
          <w:szCs w:val="18"/>
        </w:rPr>
        <w:fldChar w:fldCharType="separate"/>
      </w:r>
      <w:r w:rsidR="00452F06" w:rsidRPr="00227B56">
        <w:rPr>
          <w:rFonts w:ascii="Arial" w:hAnsi="Arial" w:cs="Arial"/>
          <w:noProof/>
          <w:sz w:val="18"/>
          <w:szCs w:val="18"/>
        </w:rPr>
        <w:t>(Torbira &amp; Zaagha, 2016)</w:t>
      </w:r>
      <w:r w:rsidR="00452F06" w:rsidRPr="00227B56">
        <w:rPr>
          <w:rFonts w:ascii="Arial" w:hAnsi="Arial" w:cs="Arial"/>
          <w:sz w:val="18"/>
          <w:szCs w:val="18"/>
        </w:rPr>
        <w:fldChar w:fldCharType="end"/>
      </w:r>
      <w:r w:rsidRPr="00227B56">
        <w:rPr>
          <w:rFonts w:ascii="Arial" w:hAnsi="Arial" w:cs="Arial"/>
          <w:sz w:val="18"/>
          <w:szCs w:val="18"/>
        </w:rPr>
        <w:t>. According to</w:t>
      </w:r>
      <w:r w:rsidR="00452F06" w:rsidRPr="00227B56">
        <w:rPr>
          <w:rFonts w:ascii="Arial" w:hAnsi="Arial" w:cs="Arial"/>
          <w:sz w:val="18"/>
          <w:szCs w:val="18"/>
        </w:rPr>
        <w:t xml:space="preserve"> </w:t>
      </w:r>
      <w:r w:rsidR="00452F06" w:rsidRPr="00227B56">
        <w:rPr>
          <w:rFonts w:ascii="Arial" w:hAnsi="Arial" w:cs="Arial"/>
          <w:sz w:val="18"/>
          <w:szCs w:val="18"/>
        </w:rPr>
        <w:fldChar w:fldCharType="begin"/>
      </w:r>
      <w:r w:rsidR="00452F06" w:rsidRPr="00227B56">
        <w:rPr>
          <w:rFonts w:ascii="Arial" w:hAnsi="Arial" w:cs="Arial"/>
          <w:sz w:val="18"/>
          <w:szCs w:val="18"/>
        </w:rPr>
        <w:instrText xml:space="preserve"> ADDIN EN.CITE &lt;EndNote&gt;&lt;Cite&gt;&lt;Author&gt;Nzotta&lt;/Author&gt;&lt;Year&gt;2004&lt;/Year&gt;&lt;RecNum&gt;18&lt;/RecNum&gt;&lt;DisplayText&gt;(Nzotta, 2004)&lt;/DisplayText&gt;&lt;record&gt;&lt;rec-number&gt;18&lt;/rec-number&gt;&lt;foreign-keys&gt;&lt;key app="EN" db-id="5e92v09p8etvzgez9wrxxxrwdarzwpd05awa" timestamp="1548313569"&gt;18&lt;/key&gt;&lt;/foreign-keys&gt;&lt;ref-type name="Journal Article"&gt;17&lt;/ref-type&gt;&lt;contributors&gt;&lt;authors&gt;&lt;author&gt;Nzotta, SM&lt;/author&gt;&lt;/authors&gt;&lt;/contributors&gt;&lt;titles&gt;&lt;title&gt;Money, banking and finance: Theory and practice&lt;/title&gt;&lt;secondary-title&gt;Owerri: Hudson—Jude Nigeria Publishers&lt;/secondary-title&gt;&lt;/titles&gt;&lt;periodical&gt;&lt;full-title&gt;Owerri: Hudson—Jude Nigeria Publishers&lt;/full-title&gt;&lt;/periodical&gt;&lt;dates&gt;&lt;year&gt;2004&lt;/year&gt;&lt;/dates&gt;&lt;urls&gt;&lt;/urls&gt;&lt;/record&gt;&lt;/Cite&gt;&lt;/EndNote&gt;</w:instrText>
      </w:r>
      <w:r w:rsidR="00452F06" w:rsidRPr="00227B56">
        <w:rPr>
          <w:rFonts w:ascii="Arial" w:hAnsi="Arial" w:cs="Arial"/>
          <w:sz w:val="18"/>
          <w:szCs w:val="18"/>
        </w:rPr>
        <w:fldChar w:fldCharType="separate"/>
      </w:r>
      <w:r w:rsidR="00452F06" w:rsidRPr="00227B56">
        <w:rPr>
          <w:rFonts w:ascii="Arial" w:hAnsi="Arial" w:cs="Arial"/>
          <w:noProof/>
          <w:sz w:val="18"/>
          <w:szCs w:val="18"/>
        </w:rPr>
        <w:t>(Nzotta, 2004)</w:t>
      </w:r>
      <w:r w:rsidR="00452F06" w:rsidRPr="00227B56">
        <w:rPr>
          <w:rFonts w:ascii="Arial" w:hAnsi="Arial" w:cs="Arial"/>
          <w:sz w:val="18"/>
          <w:szCs w:val="18"/>
        </w:rPr>
        <w:fldChar w:fldCharType="end"/>
      </w:r>
      <w:r w:rsidRPr="00227B56">
        <w:rPr>
          <w:rFonts w:ascii="Arial" w:hAnsi="Arial" w:cs="Arial"/>
          <w:sz w:val="18"/>
          <w:szCs w:val="18"/>
        </w:rPr>
        <w:t xml:space="preserve">, bank capital is the equity value of a bank reduced to the present value of its future earnings. Generally, bank capital represents the owners’ net worth in a bank and it includes the pay in capital and all additions to the capital resources of the bank </w:t>
      </w:r>
      <w:r w:rsidR="00452F06" w:rsidRPr="00227B56">
        <w:rPr>
          <w:rFonts w:ascii="Arial" w:hAnsi="Arial" w:cs="Arial"/>
          <w:sz w:val="18"/>
          <w:szCs w:val="18"/>
        </w:rPr>
        <w:fldChar w:fldCharType="begin"/>
      </w:r>
      <w:r w:rsidR="00452F06" w:rsidRPr="00227B56">
        <w:rPr>
          <w:rFonts w:ascii="Arial" w:hAnsi="Arial" w:cs="Arial"/>
          <w:sz w:val="18"/>
          <w:szCs w:val="18"/>
        </w:rPr>
        <w:instrText xml:space="preserve"> ADDIN EN.CITE &lt;EndNote&gt;&lt;Cite&gt;&lt;Author&gt;Ejoh&lt;/Author&gt;&lt;Year&gt;2014&lt;/Year&gt;&lt;RecNum&gt;20&lt;/RecNum&gt;&lt;DisplayText&gt;(Ejoh &amp;amp; Iwara, 2014)&lt;/DisplayText&gt;&lt;record&gt;&lt;rec-number&gt;20&lt;/rec-number&gt;&lt;foreign-keys&gt;&lt;key app="EN" db-id="5e92v09p8etvzgez9wrxxxrwdarzwpd05awa" timestamp="1548313662"&gt;20&lt;/key&gt;&lt;/foreign-keys&gt;&lt;ref-type name="Journal Article"&gt;17&lt;/ref-type&gt;&lt;contributors&gt;&lt;authors&gt;&lt;author&gt;Ejoh, NO&lt;/author&gt;&lt;author&gt;Iwara, UU&lt;/author&gt;&lt;/authors&gt;&lt;/contributors&gt;&lt;titles&gt;&lt;title&gt;The Impact of Capital Adequacy on Deposit Money Banks’ Profitability in Nigeria&lt;/title&gt;&lt;secondary-title&gt;Research Journal of Finance and Accounting ISSN 2222-1697 (Paper) ISSN 2222-2847 (Online)&lt;/secondary-title&gt;&lt;/titles&gt;&lt;periodical&gt;&lt;full-title&gt;Research Journal of Finance and Accounting ISSN 2222-1697 (Paper) ISSN 2222-2847 (Online)&lt;/full-title&gt;&lt;/periodical&gt;&lt;volume&gt;5&lt;/volume&gt;&lt;number&gt;12&lt;/number&gt;&lt;dates&gt;&lt;year&gt;2014&lt;/year&gt;&lt;/dates&gt;&lt;urls&gt;&lt;/urls&gt;&lt;/record&gt;&lt;/Cite&gt;&lt;/EndNote&gt;</w:instrText>
      </w:r>
      <w:r w:rsidR="00452F06" w:rsidRPr="00227B56">
        <w:rPr>
          <w:rFonts w:ascii="Arial" w:hAnsi="Arial" w:cs="Arial"/>
          <w:sz w:val="18"/>
          <w:szCs w:val="18"/>
        </w:rPr>
        <w:fldChar w:fldCharType="separate"/>
      </w:r>
      <w:r w:rsidR="00452F06" w:rsidRPr="00227B56">
        <w:rPr>
          <w:rFonts w:ascii="Arial" w:hAnsi="Arial" w:cs="Arial"/>
          <w:noProof/>
          <w:sz w:val="18"/>
          <w:szCs w:val="18"/>
        </w:rPr>
        <w:t>(Ejoh &amp; Iwara, 2014)</w:t>
      </w:r>
      <w:r w:rsidR="00452F06" w:rsidRPr="00227B56">
        <w:rPr>
          <w:rFonts w:ascii="Arial" w:hAnsi="Arial" w:cs="Arial"/>
          <w:sz w:val="18"/>
          <w:szCs w:val="18"/>
        </w:rPr>
        <w:fldChar w:fldCharType="end"/>
      </w:r>
      <w:r w:rsidRPr="00227B56">
        <w:rPr>
          <w:rFonts w:ascii="Arial" w:hAnsi="Arial" w:cs="Arial"/>
          <w:sz w:val="18"/>
          <w:szCs w:val="18"/>
        </w:rPr>
        <w:t>.</w:t>
      </w:r>
    </w:p>
    <w:p w14:paraId="7EA0D52F" w14:textId="4311773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 xml:space="preserve"> </w:t>
      </w:r>
    </w:p>
    <w:p w14:paraId="2CEE9699" w14:textId="1333E800" w:rsidR="00C40CC2" w:rsidRPr="00227B56" w:rsidRDefault="00C40CC2" w:rsidP="00C40CC2">
      <w:pPr>
        <w:pStyle w:val="Heading2"/>
        <w:spacing w:before="0" w:beforeAutospacing="0" w:after="0" w:afterAutospacing="0" w:line="360" w:lineRule="auto"/>
        <w:jc w:val="both"/>
        <w:rPr>
          <w:rFonts w:ascii="Arial" w:hAnsi="Arial" w:cs="Arial"/>
          <w:sz w:val="18"/>
          <w:szCs w:val="18"/>
        </w:rPr>
      </w:pPr>
      <w:r w:rsidRPr="00227B56">
        <w:rPr>
          <w:rFonts w:ascii="Arial" w:hAnsi="Arial" w:cs="Arial"/>
          <w:sz w:val="18"/>
          <w:szCs w:val="18"/>
        </w:rPr>
        <w:t xml:space="preserve">Capital Adequacy </w:t>
      </w:r>
    </w:p>
    <w:p w14:paraId="7E60B2FB" w14:textId="77777777" w:rsidR="00506E72" w:rsidRPr="00227B56" w:rsidRDefault="00C40CC2" w:rsidP="00506E7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Th</w:t>
      </w:r>
      <w:r w:rsidR="00506E72" w:rsidRPr="00227B56">
        <w:rPr>
          <w:rFonts w:ascii="Arial" w:hAnsi="Arial" w:cs="Arial"/>
          <w:sz w:val="18"/>
          <w:szCs w:val="18"/>
        </w:rPr>
        <w:t xml:space="preserve">e </w:t>
      </w:r>
      <w:r w:rsidRPr="00227B56">
        <w:rPr>
          <w:rFonts w:ascii="Arial" w:hAnsi="Arial" w:cs="Arial"/>
          <w:sz w:val="18"/>
          <w:szCs w:val="18"/>
        </w:rPr>
        <w:t xml:space="preserve">concept of ensuring that a bank has adequate or sufficient capital to address risks is what is commonly referred to as capital adequacy. The term or phrase </w:t>
      </w:r>
      <w:r w:rsidR="00506E72" w:rsidRPr="00227B56">
        <w:rPr>
          <w:rFonts w:ascii="Arial" w:hAnsi="Arial" w:cs="Arial"/>
          <w:sz w:val="18"/>
          <w:szCs w:val="18"/>
        </w:rPr>
        <w:t>“</w:t>
      </w:r>
      <w:r w:rsidRPr="00227B56">
        <w:rPr>
          <w:rFonts w:ascii="Arial" w:hAnsi="Arial" w:cs="Arial"/>
          <w:sz w:val="18"/>
          <w:szCs w:val="18"/>
        </w:rPr>
        <w:t>capital adequacy</w:t>
      </w:r>
      <w:r w:rsidR="00506E72" w:rsidRPr="00227B56">
        <w:rPr>
          <w:rFonts w:ascii="Arial" w:hAnsi="Arial" w:cs="Arial"/>
          <w:sz w:val="18"/>
          <w:szCs w:val="18"/>
        </w:rPr>
        <w:t>”</w:t>
      </w:r>
      <w:r w:rsidRPr="00227B56">
        <w:rPr>
          <w:rFonts w:ascii="Arial" w:hAnsi="Arial" w:cs="Arial"/>
          <w:sz w:val="18"/>
          <w:szCs w:val="18"/>
        </w:rPr>
        <w:t xml:space="preserve"> has been referred to </w:t>
      </w:r>
      <w:r w:rsidRPr="00227B56">
        <w:rPr>
          <w:rFonts w:ascii="Arial" w:hAnsi="Arial" w:cs="Arial"/>
          <w:iCs/>
          <w:sz w:val="18"/>
          <w:szCs w:val="18"/>
        </w:rPr>
        <w:t>the adequacy of a bank’s aggregate capital in relation to the risks which arise from its assets, its off-balance sheet transactions, its dealing operations and all other risks associated with its business</w:t>
      </w:r>
      <w:r w:rsidRPr="00227B56">
        <w:rPr>
          <w:rFonts w:ascii="Arial" w:hAnsi="Arial" w:cs="Arial"/>
          <w:i/>
          <w:iCs/>
          <w:sz w:val="18"/>
          <w:szCs w:val="18"/>
        </w:rPr>
        <w:t xml:space="preserve">. </w:t>
      </w:r>
      <w:r w:rsidRPr="00227B56">
        <w:rPr>
          <w:rFonts w:ascii="Arial" w:hAnsi="Arial" w:cs="Arial"/>
          <w:sz w:val="18"/>
          <w:szCs w:val="18"/>
        </w:rPr>
        <w:t>Prior to the concept of capital adequacy becoming embodied in Basel 1, banks existed in an era characterized by individual and inconsistent ways of addressing capital adequacy. In the early 1970s through to the early 1980s, banks understood the importance of the need to set aside capital which could be used to address the risks inherent in banking business. However, it took the occurrence of a series of banking and financial crises in the early 1980s to spark some kind of response from countries to formally address this issue.</w:t>
      </w:r>
    </w:p>
    <w:p w14:paraId="68FD6B56" w14:textId="77777777" w:rsidR="00506E72" w:rsidRPr="00227B56" w:rsidRDefault="00506E72" w:rsidP="00506E72">
      <w:pPr>
        <w:autoSpaceDE w:val="0"/>
        <w:autoSpaceDN w:val="0"/>
        <w:adjustRightInd w:val="0"/>
        <w:spacing w:after="0" w:line="360" w:lineRule="auto"/>
        <w:jc w:val="both"/>
        <w:rPr>
          <w:rFonts w:ascii="Arial" w:hAnsi="Arial" w:cs="Arial"/>
          <w:sz w:val="18"/>
          <w:szCs w:val="18"/>
        </w:rPr>
      </w:pPr>
    </w:p>
    <w:p w14:paraId="1B1FE446" w14:textId="5EBF3913" w:rsidR="00C40CC2" w:rsidRPr="00227B56" w:rsidRDefault="00C40CC2" w:rsidP="00506E72">
      <w:pPr>
        <w:autoSpaceDE w:val="0"/>
        <w:autoSpaceDN w:val="0"/>
        <w:adjustRightInd w:val="0"/>
        <w:spacing w:after="0" w:line="360" w:lineRule="auto"/>
        <w:jc w:val="both"/>
        <w:rPr>
          <w:rStyle w:val="Heading2Char"/>
          <w:rFonts w:ascii="Arial" w:eastAsiaTheme="minorHAnsi" w:hAnsi="Arial" w:cs="Arial"/>
          <w:b w:val="0"/>
          <w:bCs w:val="0"/>
          <w:sz w:val="18"/>
          <w:szCs w:val="18"/>
        </w:rPr>
      </w:pPr>
      <w:r w:rsidRPr="00227B56">
        <w:rPr>
          <w:rStyle w:val="Heading2Char"/>
          <w:rFonts w:ascii="Arial" w:eastAsiaTheme="majorEastAsia" w:hAnsi="Arial" w:cs="Arial"/>
          <w:i/>
          <w:sz w:val="18"/>
          <w:szCs w:val="18"/>
        </w:rPr>
        <w:t>Bank’s capital in Ghana</w:t>
      </w:r>
    </w:p>
    <w:p w14:paraId="2E554701" w14:textId="162C7472" w:rsidR="001C64FC" w:rsidRPr="00227B56" w:rsidRDefault="00C40CC2" w:rsidP="00C40CC2">
      <w:pPr>
        <w:pStyle w:val="NormalWeb"/>
        <w:shd w:val="clear" w:color="auto" w:fill="FFFFFF"/>
        <w:spacing w:before="0" w:beforeAutospacing="0" w:after="0" w:afterAutospacing="0" w:line="360" w:lineRule="auto"/>
        <w:jc w:val="both"/>
        <w:textAlignment w:val="baseline"/>
        <w:rPr>
          <w:rFonts w:ascii="Arial" w:hAnsi="Arial" w:cs="Arial"/>
          <w:sz w:val="18"/>
          <w:szCs w:val="18"/>
        </w:rPr>
      </w:pPr>
      <w:r w:rsidRPr="00227B56">
        <w:rPr>
          <w:rFonts w:ascii="Arial" w:hAnsi="Arial" w:cs="Arial"/>
          <w:sz w:val="18"/>
          <w:szCs w:val="18"/>
        </w:rPr>
        <w:t>Following the promulgation of the Banking Law 1989 (PNDCL 225)</w:t>
      </w:r>
      <w:r w:rsidR="00506E72" w:rsidRPr="00227B56">
        <w:rPr>
          <w:rFonts w:ascii="Arial" w:hAnsi="Arial" w:cs="Arial"/>
          <w:sz w:val="18"/>
          <w:szCs w:val="18"/>
        </w:rPr>
        <w:t>,</w:t>
      </w:r>
      <w:r w:rsidRPr="00227B56">
        <w:rPr>
          <w:rFonts w:ascii="Arial" w:hAnsi="Arial" w:cs="Arial"/>
          <w:sz w:val="18"/>
          <w:szCs w:val="18"/>
        </w:rPr>
        <w:t xml:space="preserve"> when the first capital requirement was set at a minimum to pa</w:t>
      </w:r>
      <w:r w:rsidR="00506E72" w:rsidRPr="00227B56">
        <w:rPr>
          <w:rFonts w:ascii="Arial" w:hAnsi="Arial" w:cs="Arial"/>
          <w:sz w:val="18"/>
          <w:szCs w:val="18"/>
        </w:rPr>
        <w:t>y</w:t>
      </w:r>
      <w:r w:rsidRPr="00227B56">
        <w:rPr>
          <w:rFonts w:ascii="Arial" w:hAnsi="Arial" w:cs="Arial"/>
          <w:sz w:val="18"/>
          <w:szCs w:val="18"/>
        </w:rPr>
        <w:t xml:space="preserve">-up capital equivalent to about $740,700, increases that have come through thereafter have not matched this proposed new increase. In 2003, the Bank of Ghana (BoG) issued a directive to commercial banks to increase their capital to a minimum of ¢7 million as part of measures to strengthen their capital base. In 2008, it increased the capital to ¢60 million in a bid to make the banks more resilient against unforeseen or expected losses. The Central Bank later proposed ¢120 million for new entrants and later asked the existing banks to increase their capital to that level. Bank capital in Ghana or shareholders’ funds comprises </w:t>
      </w:r>
      <w:r w:rsidR="00506E72" w:rsidRPr="00227B56">
        <w:rPr>
          <w:rFonts w:ascii="Arial" w:hAnsi="Arial" w:cs="Arial"/>
          <w:sz w:val="18"/>
          <w:szCs w:val="18"/>
        </w:rPr>
        <w:t xml:space="preserve">of </w:t>
      </w:r>
      <w:r w:rsidRPr="00227B56">
        <w:rPr>
          <w:rFonts w:ascii="Arial" w:hAnsi="Arial" w:cs="Arial"/>
          <w:sz w:val="18"/>
          <w:szCs w:val="18"/>
        </w:rPr>
        <w:t>stated capital, income reserves, statutory reserves, and capital reserves. Ghana banking survey 2008 report determined total bank capital to be GH¢805million. As a proportion of 2007 fiscal year end GDP, bank capital is estimated at 8%.</w:t>
      </w:r>
    </w:p>
    <w:p w14:paraId="1ACBAB0A" w14:textId="57549BEE" w:rsidR="003B60C2" w:rsidRPr="00227B56" w:rsidRDefault="001C64FC" w:rsidP="001C64FC">
      <w:pPr>
        <w:pStyle w:val="Heading4"/>
        <w:rPr>
          <w:rFonts w:ascii="Arial" w:hAnsi="Arial" w:cs="Arial"/>
          <w:b/>
          <w:color w:val="auto"/>
          <w:sz w:val="18"/>
          <w:szCs w:val="18"/>
        </w:rPr>
      </w:pPr>
      <w:r w:rsidRPr="00227B56">
        <w:rPr>
          <w:rFonts w:ascii="Arial" w:hAnsi="Arial" w:cs="Arial"/>
          <w:b/>
          <w:color w:val="auto"/>
          <w:sz w:val="18"/>
          <w:szCs w:val="18"/>
        </w:rPr>
        <w:t>Table 1</w:t>
      </w:r>
      <w:r w:rsidR="00506E72" w:rsidRPr="00227B56">
        <w:rPr>
          <w:rFonts w:ascii="Arial" w:hAnsi="Arial" w:cs="Arial"/>
          <w:b/>
          <w:color w:val="auto"/>
          <w:sz w:val="18"/>
          <w:szCs w:val="18"/>
        </w:rPr>
        <w:t xml:space="preserve"> </w:t>
      </w:r>
    </w:p>
    <w:p w14:paraId="0B5B9E6D" w14:textId="700F6CBE" w:rsidR="00506E72" w:rsidRPr="00227B56" w:rsidRDefault="00506E72" w:rsidP="003B60C2">
      <w:pPr>
        <w:pStyle w:val="Heading4"/>
        <w:ind w:left="1440" w:firstLine="720"/>
        <w:rPr>
          <w:rFonts w:ascii="Arial" w:hAnsi="Arial" w:cs="Arial"/>
          <w:b/>
          <w:color w:val="auto"/>
          <w:sz w:val="18"/>
          <w:szCs w:val="18"/>
        </w:rPr>
      </w:pPr>
      <w:r w:rsidRPr="00227B56">
        <w:rPr>
          <w:rFonts w:ascii="Arial" w:hAnsi="Arial" w:cs="Arial"/>
          <w:b/>
          <w:color w:val="auto"/>
          <w:sz w:val="18"/>
          <w:szCs w:val="18"/>
        </w:rPr>
        <w:t>Event Analysis of Minimum Capital requirement in Ghana</w:t>
      </w:r>
    </w:p>
    <w:tbl>
      <w:tblPr>
        <w:tblStyle w:val="TableGrid"/>
        <w:tblW w:w="0" w:type="auto"/>
        <w:tblLook w:val="04A0" w:firstRow="1" w:lastRow="0" w:firstColumn="1" w:lastColumn="0" w:noHBand="0" w:noVBand="1"/>
      </w:tblPr>
      <w:tblGrid>
        <w:gridCol w:w="3116"/>
        <w:gridCol w:w="3117"/>
        <w:gridCol w:w="3117"/>
      </w:tblGrid>
      <w:tr w:rsidR="00506E72" w:rsidRPr="00227B56" w14:paraId="3318CB3C" w14:textId="77777777" w:rsidTr="00506E72">
        <w:tc>
          <w:tcPr>
            <w:tcW w:w="3116" w:type="dxa"/>
          </w:tcPr>
          <w:p w14:paraId="50885744" w14:textId="06914D0F" w:rsidR="00506E72" w:rsidRPr="00227B56" w:rsidRDefault="00506E72" w:rsidP="001C64FC">
            <w:pPr>
              <w:pStyle w:val="Heading4"/>
              <w:outlineLvl w:val="3"/>
              <w:rPr>
                <w:rFonts w:ascii="Arial" w:hAnsi="Arial" w:cs="Arial"/>
                <w:b/>
                <w:i w:val="0"/>
                <w:color w:val="auto"/>
                <w:sz w:val="18"/>
                <w:szCs w:val="18"/>
              </w:rPr>
            </w:pPr>
            <w:r w:rsidRPr="00227B56">
              <w:rPr>
                <w:rFonts w:ascii="Arial" w:hAnsi="Arial" w:cs="Arial"/>
                <w:b/>
                <w:i w:val="0"/>
                <w:color w:val="auto"/>
                <w:sz w:val="18"/>
                <w:szCs w:val="18"/>
              </w:rPr>
              <w:t>Date</w:t>
            </w:r>
          </w:p>
        </w:tc>
        <w:tc>
          <w:tcPr>
            <w:tcW w:w="3117" w:type="dxa"/>
          </w:tcPr>
          <w:p w14:paraId="1988AA31" w14:textId="2510FAD4" w:rsidR="00506E72" w:rsidRPr="00227B56" w:rsidRDefault="00506E72" w:rsidP="001C64FC">
            <w:pPr>
              <w:pStyle w:val="Heading4"/>
              <w:outlineLvl w:val="3"/>
              <w:rPr>
                <w:rFonts w:ascii="Arial" w:hAnsi="Arial" w:cs="Arial"/>
                <w:b/>
                <w:i w:val="0"/>
                <w:color w:val="auto"/>
                <w:sz w:val="18"/>
                <w:szCs w:val="18"/>
              </w:rPr>
            </w:pPr>
            <w:r w:rsidRPr="00227B56">
              <w:rPr>
                <w:rFonts w:ascii="Arial" w:hAnsi="Arial" w:cs="Arial"/>
                <w:b/>
                <w:i w:val="0"/>
                <w:color w:val="auto"/>
                <w:sz w:val="18"/>
                <w:szCs w:val="18"/>
              </w:rPr>
              <w:t>Minimum Capital Requirement</w:t>
            </w:r>
          </w:p>
        </w:tc>
        <w:tc>
          <w:tcPr>
            <w:tcW w:w="3117" w:type="dxa"/>
          </w:tcPr>
          <w:p w14:paraId="2AF5CF27" w14:textId="6BA351E3" w:rsidR="00506E72" w:rsidRPr="00227B56" w:rsidRDefault="00506E72" w:rsidP="001C64FC">
            <w:pPr>
              <w:pStyle w:val="Heading4"/>
              <w:outlineLvl w:val="3"/>
              <w:rPr>
                <w:rFonts w:ascii="Arial" w:hAnsi="Arial" w:cs="Arial"/>
                <w:b/>
                <w:i w:val="0"/>
                <w:color w:val="auto"/>
                <w:sz w:val="18"/>
                <w:szCs w:val="18"/>
              </w:rPr>
            </w:pPr>
            <w:r w:rsidRPr="00227B56">
              <w:rPr>
                <w:rFonts w:ascii="Arial" w:hAnsi="Arial" w:cs="Arial"/>
                <w:b/>
                <w:i w:val="0"/>
                <w:color w:val="auto"/>
                <w:sz w:val="18"/>
                <w:szCs w:val="18"/>
              </w:rPr>
              <w:t>Event Type</w:t>
            </w:r>
          </w:p>
        </w:tc>
      </w:tr>
      <w:tr w:rsidR="00506E72" w:rsidRPr="00227B56" w14:paraId="44E9AC65" w14:textId="77777777" w:rsidTr="00506E72">
        <w:tc>
          <w:tcPr>
            <w:tcW w:w="3116" w:type="dxa"/>
          </w:tcPr>
          <w:p w14:paraId="59397BE3" w14:textId="12B121FB" w:rsidR="00506E72" w:rsidRPr="00227B56" w:rsidRDefault="00506E72" w:rsidP="001C64FC">
            <w:pPr>
              <w:pStyle w:val="Heading4"/>
              <w:outlineLvl w:val="3"/>
              <w:rPr>
                <w:rFonts w:ascii="Arial" w:hAnsi="Arial" w:cs="Arial"/>
                <w:i w:val="0"/>
                <w:color w:val="auto"/>
                <w:sz w:val="18"/>
                <w:szCs w:val="18"/>
              </w:rPr>
            </w:pPr>
            <w:r w:rsidRPr="00227B56">
              <w:rPr>
                <w:rFonts w:ascii="Arial" w:hAnsi="Arial" w:cs="Arial"/>
                <w:i w:val="0"/>
                <w:color w:val="auto"/>
                <w:sz w:val="18"/>
                <w:szCs w:val="18"/>
              </w:rPr>
              <w:t>14/02/2008</w:t>
            </w:r>
          </w:p>
        </w:tc>
        <w:tc>
          <w:tcPr>
            <w:tcW w:w="3117" w:type="dxa"/>
          </w:tcPr>
          <w:p w14:paraId="0D528B0F" w14:textId="1D75B76C" w:rsidR="00506E72" w:rsidRPr="00227B56" w:rsidRDefault="00E16DDF" w:rsidP="001C64FC">
            <w:pPr>
              <w:pStyle w:val="Heading4"/>
              <w:outlineLvl w:val="3"/>
              <w:rPr>
                <w:rFonts w:ascii="Arial" w:hAnsi="Arial" w:cs="Arial"/>
                <w:i w:val="0"/>
                <w:color w:val="auto"/>
                <w:sz w:val="18"/>
                <w:szCs w:val="18"/>
              </w:rPr>
            </w:pPr>
            <w:r w:rsidRPr="00227B56">
              <w:rPr>
                <w:rFonts w:ascii="Arial" w:hAnsi="Arial" w:cs="Arial"/>
                <w:i w:val="0"/>
                <w:color w:val="auto"/>
                <w:sz w:val="18"/>
                <w:szCs w:val="18"/>
              </w:rPr>
              <w:t>60 million</w:t>
            </w:r>
          </w:p>
        </w:tc>
        <w:tc>
          <w:tcPr>
            <w:tcW w:w="3117" w:type="dxa"/>
          </w:tcPr>
          <w:p w14:paraId="32AD7EE4" w14:textId="0C88BD1D" w:rsidR="00506E72" w:rsidRPr="00227B56" w:rsidRDefault="00E16DDF" w:rsidP="001C64FC">
            <w:pPr>
              <w:pStyle w:val="Heading4"/>
              <w:outlineLvl w:val="3"/>
              <w:rPr>
                <w:rFonts w:ascii="Arial" w:hAnsi="Arial" w:cs="Arial"/>
                <w:i w:val="0"/>
                <w:color w:val="auto"/>
                <w:sz w:val="18"/>
                <w:szCs w:val="18"/>
              </w:rPr>
            </w:pPr>
            <w:r w:rsidRPr="00227B56">
              <w:rPr>
                <w:rFonts w:ascii="Arial" w:hAnsi="Arial" w:cs="Arial"/>
                <w:i w:val="0"/>
                <w:color w:val="auto"/>
                <w:sz w:val="18"/>
                <w:szCs w:val="18"/>
              </w:rPr>
              <w:t>Announcement</w:t>
            </w:r>
          </w:p>
        </w:tc>
      </w:tr>
      <w:tr w:rsidR="00506E72" w:rsidRPr="00227B56" w14:paraId="30C9B03B" w14:textId="77777777" w:rsidTr="00506E72">
        <w:tc>
          <w:tcPr>
            <w:tcW w:w="3116" w:type="dxa"/>
          </w:tcPr>
          <w:p w14:paraId="5387880A" w14:textId="402C3FD6" w:rsidR="00506E72" w:rsidRPr="00227B56" w:rsidRDefault="00506E72" w:rsidP="001C64FC">
            <w:pPr>
              <w:pStyle w:val="Heading4"/>
              <w:outlineLvl w:val="3"/>
              <w:rPr>
                <w:rFonts w:ascii="Arial" w:hAnsi="Arial" w:cs="Arial"/>
                <w:i w:val="0"/>
                <w:color w:val="auto"/>
                <w:sz w:val="18"/>
                <w:szCs w:val="18"/>
              </w:rPr>
            </w:pPr>
            <w:r w:rsidRPr="00227B56">
              <w:rPr>
                <w:rFonts w:ascii="Arial" w:hAnsi="Arial" w:cs="Arial"/>
                <w:i w:val="0"/>
                <w:color w:val="auto"/>
                <w:sz w:val="18"/>
                <w:szCs w:val="18"/>
              </w:rPr>
              <w:t>31/12/2009</w:t>
            </w:r>
          </w:p>
        </w:tc>
        <w:tc>
          <w:tcPr>
            <w:tcW w:w="3117" w:type="dxa"/>
          </w:tcPr>
          <w:p w14:paraId="117AD050" w14:textId="4B38A969" w:rsidR="00506E72" w:rsidRPr="00227B56" w:rsidRDefault="00E16DDF" w:rsidP="001C64FC">
            <w:pPr>
              <w:pStyle w:val="Heading4"/>
              <w:outlineLvl w:val="3"/>
              <w:rPr>
                <w:rFonts w:ascii="Arial" w:hAnsi="Arial" w:cs="Arial"/>
                <w:i w:val="0"/>
                <w:color w:val="auto"/>
                <w:sz w:val="18"/>
                <w:szCs w:val="18"/>
              </w:rPr>
            </w:pPr>
            <w:r w:rsidRPr="00227B56">
              <w:rPr>
                <w:rFonts w:ascii="Arial" w:hAnsi="Arial" w:cs="Arial"/>
                <w:i w:val="0"/>
                <w:color w:val="auto"/>
                <w:sz w:val="18"/>
                <w:szCs w:val="18"/>
              </w:rPr>
              <w:t>60 million</w:t>
            </w:r>
          </w:p>
        </w:tc>
        <w:tc>
          <w:tcPr>
            <w:tcW w:w="3117" w:type="dxa"/>
          </w:tcPr>
          <w:p w14:paraId="2F963706" w14:textId="76580D6D" w:rsidR="00506E72" w:rsidRPr="00227B56" w:rsidRDefault="00E16DDF" w:rsidP="001C64FC">
            <w:pPr>
              <w:pStyle w:val="Heading4"/>
              <w:outlineLvl w:val="3"/>
              <w:rPr>
                <w:rFonts w:ascii="Arial" w:hAnsi="Arial" w:cs="Arial"/>
                <w:i w:val="0"/>
                <w:color w:val="auto"/>
                <w:sz w:val="18"/>
                <w:szCs w:val="18"/>
              </w:rPr>
            </w:pPr>
            <w:r w:rsidRPr="00227B56">
              <w:rPr>
                <w:rFonts w:ascii="Arial" w:hAnsi="Arial" w:cs="Arial"/>
                <w:i w:val="0"/>
                <w:color w:val="auto"/>
                <w:sz w:val="18"/>
                <w:szCs w:val="18"/>
              </w:rPr>
              <w:t>Regulations Implemented</w:t>
            </w:r>
          </w:p>
        </w:tc>
      </w:tr>
      <w:tr w:rsidR="00E16DDF" w:rsidRPr="00227B56" w14:paraId="3FEBDBA5" w14:textId="77777777" w:rsidTr="00506E72">
        <w:tc>
          <w:tcPr>
            <w:tcW w:w="3116" w:type="dxa"/>
          </w:tcPr>
          <w:p w14:paraId="447A931C" w14:textId="21B29017"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31/12/2012</w:t>
            </w:r>
          </w:p>
        </w:tc>
        <w:tc>
          <w:tcPr>
            <w:tcW w:w="3117" w:type="dxa"/>
          </w:tcPr>
          <w:p w14:paraId="2D6A848C" w14:textId="5E7027CD"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120million</w:t>
            </w:r>
          </w:p>
        </w:tc>
        <w:tc>
          <w:tcPr>
            <w:tcW w:w="3117" w:type="dxa"/>
          </w:tcPr>
          <w:p w14:paraId="6A6BAD7F" w14:textId="0EAB76FC"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Announcement</w:t>
            </w:r>
          </w:p>
        </w:tc>
      </w:tr>
      <w:tr w:rsidR="00E16DDF" w:rsidRPr="00227B56" w14:paraId="3E3157AF" w14:textId="77777777" w:rsidTr="00506E72">
        <w:tc>
          <w:tcPr>
            <w:tcW w:w="3116" w:type="dxa"/>
          </w:tcPr>
          <w:p w14:paraId="5656221B" w14:textId="3C6A8834"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30/12/2013</w:t>
            </w:r>
          </w:p>
        </w:tc>
        <w:tc>
          <w:tcPr>
            <w:tcW w:w="3117" w:type="dxa"/>
          </w:tcPr>
          <w:p w14:paraId="4167457E" w14:textId="4EBA6123"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120million</w:t>
            </w:r>
          </w:p>
        </w:tc>
        <w:tc>
          <w:tcPr>
            <w:tcW w:w="3117" w:type="dxa"/>
          </w:tcPr>
          <w:p w14:paraId="31E1CAE4" w14:textId="63005505"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Regulations Implemented</w:t>
            </w:r>
          </w:p>
        </w:tc>
      </w:tr>
      <w:tr w:rsidR="00E16DDF" w:rsidRPr="00227B56" w14:paraId="4C2FAB81" w14:textId="77777777" w:rsidTr="00506E72">
        <w:tc>
          <w:tcPr>
            <w:tcW w:w="3116" w:type="dxa"/>
          </w:tcPr>
          <w:p w14:paraId="05FD99A9" w14:textId="7CD6CFAB"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11/09/2017</w:t>
            </w:r>
          </w:p>
        </w:tc>
        <w:tc>
          <w:tcPr>
            <w:tcW w:w="3117" w:type="dxa"/>
          </w:tcPr>
          <w:p w14:paraId="6CFCAE00" w14:textId="1337EF8B"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400million</w:t>
            </w:r>
          </w:p>
        </w:tc>
        <w:tc>
          <w:tcPr>
            <w:tcW w:w="3117" w:type="dxa"/>
          </w:tcPr>
          <w:p w14:paraId="34AC2C63" w14:textId="132F1390"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Announcement</w:t>
            </w:r>
          </w:p>
        </w:tc>
      </w:tr>
      <w:tr w:rsidR="00E16DDF" w:rsidRPr="00227B56" w14:paraId="1870E055" w14:textId="77777777" w:rsidTr="00506E72">
        <w:tc>
          <w:tcPr>
            <w:tcW w:w="3116" w:type="dxa"/>
          </w:tcPr>
          <w:p w14:paraId="6C108948" w14:textId="7E7E684C"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31/12/2018</w:t>
            </w:r>
          </w:p>
        </w:tc>
        <w:tc>
          <w:tcPr>
            <w:tcW w:w="3117" w:type="dxa"/>
          </w:tcPr>
          <w:p w14:paraId="516F82B2" w14:textId="13A76523"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400million</w:t>
            </w:r>
          </w:p>
        </w:tc>
        <w:tc>
          <w:tcPr>
            <w:tcW w:w="3117" w:type="dxa"/>
          </w:tcPr>
          <w:p w14:paraId="3DF5C41A" w14:textId="100E35D6" w:rsidR="00E16DDF" w:rsidRPr="00227B56" w:rsidRDefault="00E16DDF" w:rsidP="00E16DDF">
            <w:pPr>
              <w:pStyle w:val="Heading4"/>
              <w:outlineLvl w:val="3"/>
              <w:rPr>
                <w:rFonts w:ascii="Arial" w:hAnsi="Arial" w:cs="Arial"/>
                <w:i w:val="0"/>
                <w:color w:val="auto"/>
                <w:sz w:val="18"/>
                <w:szCs w:val="18"/>
              </w:rPr>
            </w:pPr>
            <w:r w:rsidRPr="00227B56">
              <w:rPr>
                <w:rFonts w:ascii="Arial" w:hAnsi="Arial" w:cs="Arial"/>
                <w:i w:val="0"/>
                <w:color w:val="auto"/>
                <w:sz w:val="18"/>
                <w:szCs w:val="18"/>
              </w:rPr>
              <w:t>Regulations Implemented</w:t>
            </w:r>
          </w:p>
        </w:tc>
      </w:tr>
    </w:tbl>
    <w:p w14:paraId="220F5D92" w14:textId="77777777" w:rsidR="003B60C2" w:rsidRPr="00227B56" w:rsidRDefault="003B60C2" w:rsidP="00C40CC2">
      <w:pPr>
        <w:pStyle w:val="NormalWeb"/>
        <w:shd w:val="clear" w:color="auto" w:fill="FFFFFF"/>
        <w:spacing w:before="0" w:beforeAutospacing="0" w:after="0" w:afterAutospacing="0" w:line="360" w:lineRule="auto"/>
        <w:jc w:val="both"/>
        <w:textAlignment w:val="baseline"/>
        <w:rPr>
          <w:rFonts w:ascii="Arial" w:hAnsi="Arial" w:cs="Arial"/>
          <w:sz w:val="18"/>
          <w:szCs w:val="18"/>
        </w:rPr>
      </w:pPr>
    </w:p>
    <w:p w14:paraId="4B25F8E0" w14:textId="487DED8F" w:rsidR="001C64FC" w:rsidRPr="00227B56" w:rsidRDefault="00E16DDF" w:rsidP="00C40CC2">
      <w:pPr>
        <w:pStyle w:val="NormalWeb"/>
        <w:shd w:val="clear" w:color="auto" w:fill="FFFFFF"/>
        <w:spacing w:before="0" w:beforeAutospacing="0" w:after="0" w:afterAutospacing="0" w:line="360" w:lineRule="auto"/>
        <w:jc w:val="both"/>
        <w:textAlignment w:val="baseline"/>
        <w:rPr>
          <w:rFonts w:ascii="Arial" w:hAnsi="Arial" w:cs="Arial"/>
          <w:sz w:val="18"/>
          <w:szCs w:val="18"/>
        </w:rPr>
      </w:pPr>
      <w:r w:rsidRPr="00227B56">
        <w:rPr>
          <w:rFonts w:ascii="Arial" w:hAnsi="Arial" w:cs="Arial"/>
          <w:sz w:val="18"/>
          <w:szCs w:val="18"/>
        </w:rPr>
        <w:t xml:space="preserve">Source: </w:t>
      </w:r>
      <w:r w:rsidR="003B60C2" w:rsidRPr="00227B56">
        <w:rPr>
          <w:rFonts w:ascii="Arial" w:hAnsi="Arial" w:cs="Arial"/>
          <w:sz w:val="18"/>
          <w:szCs w:val="18"/>
        </w:rPr>
        <w:t>Authors’s Own work</w:t>
      </w:r>
    </w:p>
    <w:p w14:paraId="587E79EA"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When, Bank of Ghana made a demand in the year 2013 of GH¢7million (equivalent of ¢70billion) minimum capital requirement from all universal and gave a deadline of up to the end of 2006. This directive was fulfilled by all banks before expiry of the deadline. The majority of banks relied on their retained earnings and income surpluses to beef-up their capital. Resulting from the directive we witness, an increase in the industry stated capital more than five times after 2003 fiscal year from GH¢29million (2003) to GH¢181million (2007). A key result of compliance with this directive was that bank lending increased from GH¢1.055billion (2003) to GH¢2.464billion (2007), representing a 66% increase in one year. Prior to 2007, industry net loans and advances had been growing at a simple average of 32% between 2003 and 2006.</w:t>
      </w:r>
    </w:p>
    <w:p w14:paraId="0717F97A" w14:textId="31B0E653" w:rsidR="00C40CC2" w:rsidRPr="00227B56" w:rsidRDefault="00C40CC2" w:rsidP="00C40CC2">
      <w:pPr>
        <w:pStyle w:val="Heading3"/>
        <w:rPr>
          <w:rFonts w:ascii="Arial" w:hAnsi="Arial" w:cs="Arial"/>
          <w:b/>
          <w:i/>
          <w:color w:val="auto"/>
          <w:sz w:val="18"/>
          <w:szCs w:val="18"/>
        </w:rPr>
      </w:pPr>
      <w:r w:rsidRPr="00227B56">
        <w:rPr>
          <w:rFonts w:ascii="Arial" w:hAnsi="Arial" w:cs="Arial"/>
          <w:b/>
          <w:i/>
          <w:color w:val="auto"/>
          <w:sz w:val="18"/>
          <w:szCs w:val="18"/>
        </w:rPr>
        <w:t>Composition of Regulatory Capital</w:t>
      </w:r>
    </w:p>
    <w:p w14:paraId="3DCA6D46"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A bank is required to maintain a risk-based capital ratio of at least 10%. The regulatory capital ratios applied to each tier of regulatory capital as follows:</w:t>
      </w:r>
    </w:p>
    <w:p w14:paraId="19CEF9DD" w14:textId="77777777" w:rsidR="00C40CC2" w:rsidRPr="00227B56" w:rsidRDefault="00C40CC2" w:rsidP="00C40CC2">
      <w:pPr>
        <w:autoSpaceDE w:val="0"/>
        <w:autoSpaceDN w:val="0"/>
        <w:adjustRightInd w:val="0"/>
        <w:spacing w:after="0" w:line="360" w:lineRule="auto"/>
        <w:jc w:val="both"/>
        <w:rPr>
          <w:rFonts w:ascii="Arial" w:hAnsi="Arial" w:cs="Arial"/>
          <w:sz w:val="18"/>
          <w:szCs w:val="18"/>
          <w:u w:val="single"/>
        </w:rPr>
      </w:pPr>
      <w:r w:rsidRPr="00227B56">
        <w:rPr>
          <w:rFonts w:ascii="Arial" w:hAnsi="Arial" w:cs="Arial"/>
          <w:sz w:val="18"/>
          <w:szCs w:val="18"/>
        </w:rPr>
        <w:t xml:space="preserve">CET1 ratio = </w:t>
      </w:r>
      <w:r w:rsidRPr="00227B56">
        <w:rPr>
          <w:rFonts w:ascii="Arial" w:hAnsi="Arial" w:cs="Arial"/>
          <w:sz w:val="18"/>
          <w:szCs w:val="18"/>
          <w:u w:val="single"/>
        </w:rPr>
        <w:t>CET1 CAPITAL</w:t>
      </w:r>
    </w:p>
    <w:p w14:paraId="34544830"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 xml:space="preserve">                      Risk Exposure RWA</w:t>
      </w:r>
    </w:p>
    <w:p w14:paraId="2062160F" w14:textId="77777777" w:rsidR="00C40CC2" w:rsidRPr="00227B56" w:rsidRDefault="00C40CC2" w:rsidP="00C40CC2">
      <w:pPr>
        <w:autoSpaceDE w:val="0"/>
        <w:autoSpaceDN w:val="0"/>
        <w:adjustRightInd w:val="0"/>
        <w:spacing w:after="0" w:line="360" w:lineRule="auto"/>
        <w:jc w:val="both"/>
        <w:rPr>
          <w:rFonts w:ascii="Arial" w:hAnsi="Arial" w:cs="Arial"/>
          <w:sz w:val="18"/>
          <w:szCs w:val="18"/>
          <w:u w:val="single"/>
        </w:rPr>
      </w:pPr>
      <w:r w:rsidRPr="00227B56">
        <w:rPr>
          <w:rFonts w:ascii="Arial" w:hAnsi="Arial" w:cs="Arial"/>
          <w:sz w:val="18"/>
          <w:szCs w:val="18"/>
        </w:rPr>
        <w:t xml:space="preserve">Tier 1 capital ratio = </w:t>
      </w:r>
      <w:r w:rsidRPr="00227B56">
        <w:rPr>
          <w:rFonts w:ascii="Arial" w:hAnsi="Arial" w:cs="Arial"/>
          <w:sz w:val="18"/>
          <w:szCs w:val="18"/>
          <w:u w:val="single"/>
        </w:rPr>
        <w:t>Eligible Tier 1 Capital</w:t>
      </w:r>
    </w:p>
    <w:p w14:paraId="6DF4EEE6" w14:textId="77777777" w:rsidR="00C40CC2" w:rsidRPr="00227B56" w:rsidRDefault="00C40CC2" w:rsidP="00C40CC2">
      <w:pPr>
        <w:autoSpaceDE w:val="0"/>
        <w:autoSpaceDN w:val="0"/>
        <w:adjustRightInd w:val="0"/>
        <w:spacing w:after="0" w:line="360" w:lineRule="auto"/>
        <w:jc w:val="both"/>
        <w:rPr>
          <w:rFonts w:ascii="Arial" w:hAnsi="Arial" w:cs="Arial"/>
          <w:sz w:val="18"/>
          <w:szCs w:val="18"/>
          <w:u w:val="single"/>
        </w:rPr>
      </w:pPr>
      <w:r w:rsidRPr="00227B56">
        <w:rPr>
          <w:rFonts w:ascii="Arial" w:hAnsi="Arial" w:cs="Arial"/>
          <w:sz w:val="18"/>
          <w:szCs w:val="18"/>
        </w:rPr>
        <w:t xml:space="preserve">                                  Risk Exposure RWA</w:t>
      </w:r>
      <w:r w:rsidRPr="00227B56">
        <w:rPr>
          <w:rFonts w:ascii="Arial" w:hAnsi="Arial" w:cs="Arial"/>
          <w:sz w:val="18"/>
          <w:szCs w:val="18"/>
          <w:u w:val="single"/>
        </w:rPr>
        <w:t xml:space="preserve">                                 </w:t>
      </w:r>
    </w:p>
    <w:p w14:paraId="687DE942" w14:textId="77777777" w:rsidR="00C40CC2" w:rsidRPr="00227B56" w:rsidRDefault="00C40CC2" w:rsidP="00C40CC2">
      <w:pPr>
        <w:autoSpaceDE w:val="0"/>
        <w:autoSpaceDN w:val="0"/>
        <w:adjustRightInd w:val="0"/>
        <w:spacing w:after="0" w:line="360" w:lineRule="auto"/>
        <w:jc w:val="both"/>
        <w:rPr>
          <w:rFonts w:ascii="Arial" w:hAnsi="Arial" w:cs="Arial"/>
          <w:sz w:val="18"/>
          <w:szCs w:val="18"/>
          <w:u w:val="single"/>
        </w:rPr>
      </w:pPr>
      <w:r w:rsidRPr="00227B56">
        <w:rPr>
          <w:rFonts w:ascii="Arial" w:hAnsi="Arial" w:cs="Arial"/>
          <w:sz w:val="18"/>
          <w:szCs w:val="18"/>
        </w:rPr>
        <w:t>Total capital ratio =</w:t>
      </w:r>
      <w:r w:rsidRPr="00227B56">
        <w:rPr>
          <w:rFonts w:ascii="Arial" w:hAnsi="Arial" w:cs="Arial"/>
          <w:sz w:val="18"/>
          <w:szCs w:val="18"/>
          <w:u w:val="single"/>
        </w:rPr>
        <w:t>Eligible Total Capital</w:t>
      </w:r>
    </w:p>
    <w:p w14:paraId="416A84FC"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 xml:space="preserve">                               Risk Exposure RWA</w:t>
      </w:r>
    </w:p>
    <w:p w14:paraId="2E7C82A0" w14:textId="77777777" w:rsidR="00C40CC2" w:rsidRPr="00227B56" w:rsidRDefault="00C40CC2" w:rsidP="00C40CC2">
      <w:pPr>
        <w:autoSpaceDE w:val="0"/>
        <w:autoSpaceDN w:val="0"/>
        <w:adjustRightInd w:val="0"/>
        <w:spacing w:after="0" w:line="360" w:lineRule="auto"/>
        <w:rPr>
          <w:rFonts w:ascii="Arial" w:hAnsi="Arial" w:cs="Arial"/>
          <w:sz w:val="18"/>
          <w:szCs w:val="18"/>
        </w:rPr>
      </w:pPr>
      <w:r w:rsidRPr="00227B56">
        <w:rPr>
          <w:rFonts w:ascii="Arial" w:hAnsi="Arial" w:cs="Arial"/>
          <w:sz w:val="18"/>
          <w:szCs w:val="18"/>
        </w:rPr>
        <w:t>The components of regulatory capital will be divided into different components as described</w:t>
      </w:r>
    </w:p>
    <w:p w14:paraId="79AC0E1C" w14:textId="77777777" w:rsidR="00C40CC2" w:rsidRPr="00227B56" w:rsidRDefault="00C40CC2" w:rsidP="00C40CC2">
      <w:pPr>
        <w:autoSpaceDE w:val="0"/>
        <w:autoSpaceDN w:val="0"/>
        <w:adjustRightInd w:val="0"/>
        <w:spacing w:after="0" w:line="360" w:lineRule="auto"/>
        <w:rPr>
          <w:rFonts w:ascii="Arial" w:hAnsi="Arial" w:cs="Arial"/>
          <w:sz w:val="18"/>
          <w:szCs w:val="18"/>
        </w:rPr>
      </w:pPr>
      <w:r w:rsidRPr="00227B56">
        <w:rPr>
          <w:rFonts w:ascii="Arial" w:hAnsi="Arial" w:cs="Arial"/>
          <w:sz w:val="18"/>
          <w:szCs w:val="18"/>
        </w:rPr>
        <w:t>below:</w:t>
      </w:r>
    </w:p>
    <w:p w14:paraId="58A64E24" w14:textId="77777777" w:rsidR="00C40CC2" w:rsidRPr="00227B56" w:rsidRDefault="00C40CC2" w:rsidP="00C40CC2">
      <w:pPr>
        <w:autoSpaceDE w:val="0"/>
        <w:autoSpaceDN w:val="0"/>
        <w:adjustRightInd w:val="0"/>
        <w:spacing w:after="0" w:line="360" w:lineRule="auto"/>
        <w:rPr>
          <w:rFonts w:ascii="Arial" w:hAnsi="Arial" w:cs="Arial"/>
          <w:sz w:val="18"/>
          <w:szCs w:val="18"/>
        </w:rPr>
      </w:pPr>
      <w:r w:rsidRPr="00227B56">
        <w:rPr>
          <w:rFonts w:ascii="Arial" w:hAnsi="Arial" w:cs="Arial"/>
          <w:sz w:val="18"/>
          <w:szCs w:val="18"/>
        </w:rPr>
        <w:t>a. CET1 must be at least 6.5% of RWAs i.e. for credit risk + market risk + operational risk on an ongoing basis.</w:t>
      </w:r>
    </w:p>
    <w:p w14:paraId="7F10B296" w14:textId="77777777" w:rsidR="00C40CC2" w:rsidRPr="00227B56" w:rsidRDefault="00C40CC2" w:rsidP="00C40CC2">
      <w:pPr>
        <w:autoSpaceDE w:val="0"/>
        <w:autoSpaceDN w:val="0"/>
        <w:adjustRightInd w:val="0"/>
        <w:spacing w:after="0" w:line="360" w:lineRule="auto"/>
        <w:rPr>
          <w:rFonts w:ascii="Arial" w:hAnsi="Arial" w:cs="Arial"/>
          <w:sz w:val="18"/>
          <w:szCs w:val="18"/>
        </w:rPr>
      </w:pPr>
      <w:r w:rsidRPr="00227B56">
        <w:rPr>
          <w:rFonts w:ascii="Arial" w:hAnsi="Arial" w:cs="Arial"/>
          <w:sz w:val="18"/>
          <w:szCs w:val="18"/>
        </w:rPr>
        <w:lastRenderedPageBreak/>
        <w:t>b. Tier 1 capital must be at least 8.0% of RWAs on an ongoing basis. Thus, within the minimum Tier 1 capital, Additional Tier 1 capital can be admitted maximum at 1.5%</w:t>
      </w:r>
    </w:p>
    <w:p w14:paraId="3EA019D5"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of RWAs.</w:t>
      </w:r>
    </w:p>
    <w:p w14:paraId="1F0BC53E"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c. Total Capital (Tier 1 Capital plus Tier 2 Capital) must be at least 10.0% of RWAs on</w:t>
      </w:r>
    </w:p>
    <w:p w14:paraId="219A8C3B"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an ongoing basis. Thus, within the minimum CAR of 10.0%, Tier 2 capital can be admitted maximum up to 2%.</w:t>
      </w:r>
    </w:p>
    <w:p w14:paraId="41026975"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d. If a bank has complied with the minimum CET1 and Tier 1 capital ratios, then the excess Additional Tier 1 capital can be admitted for compliance with the minimum CAR of 10.0% of RWAs. In addition to the minimum CET1:</w:t>
      </w:r>
    </w:p>
    <w:p w14:paraId="149485EC" w14:textId="02A316C1" w:rsidR="00C40CC2" w:rsidRPr="00227B56" w:rsidRDefault="00D40B7B"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e</w:t>
      </w:r>
      <w:r w:rsidR="00C40CC2" w:rsidRPr="00227B56">
        <w:rPr>
          <w:rFonts w:ascii="Arial" w:hAnsi="Arial" w:cs="Arial"/>
          <w:sz w:val="18"/>
          <w:szCs w:val="18"/>
        </w:rPr>
        <w:t>. banks are required to maintain additional CET1 as a capital conservation buffer</w:t>
      </w:r>
    </w:p>
    <w:p w14:paraId="20E26F1A" w14:textId="77777777"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 xml:space="preserve">(CCB1) </w:t>
      </w:r>
    </w:p>
    <w:p w14:paraId="29CCED0C" w14:textId="0C76A0E4" w:rsidR="00C40CC2" w:rsidRPr="00227B56" w:rsidRDefault="00D40B7B"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f</w:t>
      </w:r>
      <w:r w:rsidR="00C40CC2" w:rsidRPr="00227B56">
        <w:rPr>
          <w:rFonts w:ascii="Arial" w:hAnsi="Arial" w:cs="Arial"/>
          <w:sz w:val="18"/>
          <w:szCs w:val="18"/>
        </w:rPr>
        <w:t xml:space="preserve">. banks may be required to hold a countercyclical buffer (CCB2) </w:t>
      </w:r>
    </w:p>
    <w:p w14:paraId="35AEAC78" w14:textId="2FFA499E" w:rsidR="00C40CC2" w:rsidRPr="00227B56" w:rsidRDefault="00D40B7B"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g</w:t>
      </w:r>
      <w:r w:rsidR="00C40CC2" w:rsidRPr="00227B56">
        <w:rPr>
          <w:rFonts w:ascii="Arial" w:hAnsi="Arial" w:cs="Arial"/>
          <w:sz w:val="18"/>
          <w:szCs w:val="18"/>
        </w:rPr>
        <w:t>. any bank BOG deems to be Domestic Systemically Important Banks (DSIBs) may be required to hold additional capital buffers.</w:t>
      </w:r>
    </w:p>
    <w:p w14:paraId="091B3989" w14:textId="716F7323" w:rsidR="00C40CC2" w:rsidRPr="00227B56" w:rsidRDefault="00C40CC2" w:rsidP="00C40CC2">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The full complement of capital ratio requirements across the components of capital are summarized in the Table:</w:t>
      </w:r>
    </w:p>
    <w:p w14:paraId="5BA0F728" w14:textId="0EBD6606" w:rsidR="00D40B7B" w:rsidRPr="00227B56" w:rsidRDefault="00D40B7B" w:rsidP="00D40B7B">
      <w:pPr>
        <w:pStyle w:val="Heading4"/>
        <w:rPr>
          <w:rFonts w:ascii="Arial" w:hAnsi="Arial" w:cs="Arial"/>
          <w:color w:val="auto"/>
          <w:sz w:val="18"/>
          <w:szCs w:val="18"/>
        </w:rPr>
      </w:pPr>
      <w:r w:rsidRPr="00227B56">
        <w:rPr>
          <w:rFonts w:ascii="Arial" w:hAnsi="Arial" w:cs="Arial"/>
          <w:color w:val="auto"/>
          <w:sz w:val="18"/>
          <w:szCs w:val="18"/>
        </w:rPr>
        <w:t>Table 2</w:t>
      </w:r>
      <w:r w:rsidR="003B60C2" w:rsidRPr="00227B56">
        <w:rPr>
          <w:rFonts w:ascii="Arial" w:hAnsi="Arial" w:cs="Arial"/>
          <w:color w:val="auto"/>
          <w:sz w:val="18"/>
          <w:szCs w:val="18"/>
        </w:rPr>
        <w:t xml:space="preserve"> </w:t>
      </w:r>
    </w:p>
    <w:p w14:paraId="12FFB140" w14:textId="68A0C2D6" w:rsidR="001E1417" w:rsidRPr="00227B56" w:rsidRDefault="001E1417" w:rsidP="001E1417">
      <w:pPr>
        <w:rPr>
          <w:rFonts w:ascii="Arial" w:hAnsi="Arial" w:cs="Arial"/>
          <w:b/>
          <w:sz w:val="18"/>
        </w:rPr>
      </w:pPr>
      <w:r w:rsidRPr="00227B56">
        <w:rPr>
          <w:rFonts w:ascii="Arial" w:hAnsi="Arial" w:cs="Arial"/>
          <w:b/>
          <w:sz w:val="18"/>
        </w:rPr>
        <w:t xml:space="preserve">                                 Internal Ratio </w:t>
      </w:r>
      <w:r w:rsidR="00EF4A19" w:rsidRPr="00227B56">
        <w:rPr>
          <w:rFonts w:ascii="Arial" w:hAnsi="Arial" w:cs="Arial"/>
          <w:b/>
          <w:sz w:val="18"/>
        </w:rPr>
        <w:t>above</w:t>
      </w:r>
      <w:r w:rsidRPr="00227B56">
        <w:rPr>
          <w:rFonts w:ascii="Arial" w:hAnsi="Arial" w:cs="Arial"/>
          <w:b/>
          <w:sz w:val="18"/>
        </w:rPr>
        <w:t xml:space="preserve"> the Minimum Ratio</w:t>
      </w:r>
    </w:p>
    <w:tbl>
      <w:tblPr>
        <w:tblStyle w:val="TableGrid"/>
        <w:tblW w:w="7425" w:type="dxa"/>
        <w:tblLook w:val="04A0" w:firstRow="1" w:lastRow="0" w:firstColumn="1" w:lastColumn="0" w:noHBand="0" w:noVBand="1"/>
      </w:tblPr>
      <w:tblGrid>
        <w:gridCol w:w="639"/>
        <w:gridCol w:w="5504"/>
        <w:gridCol w:w="1282"/>
      </w:tblGrid>
      <w:tr w:rsidR="00227B56" w:rsidRPr="00227B56" w14:paraId="5868888E" w14:textId="77777777" w:rsidTr="00EF4A19">
        <w:trPr>
          <w:trHeight w:val="357"/>
        </w:trPr>
        <w:tc>
          <w:tcPr>
            <w:tcW w:w="639" w:type="dxa"/>
          </w:tcPr>
          <w:p w14:paraId="7CC71D04" w14:textId="77777777" w:rsidR="003B60C2" w:rsidRPr="00227B56" w:rsidRDefault="003B60C2" w:rsidP="003B60C2">
            <w:pPr>
              <w:rPr>
                <w:rFonts w:ascii="Arial" w:hAnsi="Arial" w:cs="Arial"/>
                <w:sz w:val="18"/>
              </w:rPr>
            </w:pPr>
          </w:p>
        </w:tc>
        <w:tc>
          <w:tcPr>
            <w:tcW w:w="5504" w:type="dxa"/>
          </w:tcPr>
          <w:p w14:paraId="7DB11AA2" w14:textId="7BE0BCC3" w:rsidR="003B60C2" w:rsidRPr="00227B56" w:rsidRDefault="003B60C2" w:rsidP="003B60C2">
            <w:pPr>
              <w:rPr>
                <w:rFonts w:ascii="Arial" w:hAnsi="Arial" w:cs="Arial"/>
                <w:sz w:val="18"/>
              </w:rPr>
            </w:pPr>
            <w:r w:rsidRPr="00227B56">
              <w:rPr>
                <w:rFonts w:ascii="Arial" w:hAnsi="Arial" w:cs="Arial"/>
                <w:sz w:val="18"/>
              </w:rPr>
              <w:t>Regulatory Capital</w:t>
            </w:r>
          </w:p>
        </w:tc>
        <w:tc>
          <w:tcPr>
            <w:tcW w:w="1282" w:type="dxa"/>
          </w:tcPr>
          <w:p w14:paraId="0E57C68B" w14:textId="58EF55F5" w:rsidR="003B60C2" w:rsidRPr="00227B56" w:rsidRDefault="003B60C2" w:rsidP="003B60C2">
            <w:pPr>
              <w:rPr>
                <w:rFonts w:ascii="Arial" w:hAnsi="Arial" w:cs="Arial"/>
                <w:sz w:val="18"/>
              </w:rPr>
            </w:pPr>
            <w:r w:rsidRPr="00227B56">
              <w:rPr>
                <w:rFonts w:ascii="Arial" w:hAnsi="Arial" w:cs="Arial"/>
                <w:sz w:val="18"/>
              </w:rPr>
              <w:t>RWA</w:t>
            </w:r>
            <w:r w:rsidR="001E1417" w:rsidRPr="00227B56">
              <w:rPr>
                <w:rFonts w:ascii="Arial" w:hAnsi="Arial" w:cs="Arial"/>
                <w:sz w:val="18"/>
              </w:rPr>
              <w:t xml:space="preserve"> (%)</w:t>
            </w:r>
          </w:p>
        </w:tc>
      </w:tr>
      <w:tr w:rsidR="00227B56" w:rsidRPr="00227B56" w14:paraId="5484717E" w14:textId="77777777" w:rsidTr="00EF4A19">
        <w:trPr>
          <w:trHeight w:val="357"/>
        </w:trPr>
        <w:tc>
          <w:tcPr>
            <w:tcW w:w="639" w:type="dxa"/>
          </w:tcPr>
          <w:p w14:paraId="3D4B830E" w14:textId="77B69034" w:rsidR="003B60C2" w:rsidRPr="00227B56" w:rsidRDefault="003B60C2" w:rsidP="003B60C2">
            <w:pPr>
              <w:rPr>
                <w:rFonts w:ascii="Arial" w:hAnsi="Arial" w:cs="Arial"/>
                <w:sz w:val="18"/>
              </w:rPr>
            </w:pPr>
            <w:r w:rsidRPr="00227B56">
              <w:rPr>
                <w:rFonts w:ascii="Arial" w:hAnsi="Arial" w:cs="Arial"/>
                <w:sz w:val="18"/>
              </w:rPr>
              <w:t>1</w:t>
            </w:r>
          </w:p>
        </w:tc>
        <w:tc>
          <w:tcPr>
            <w:tcW w:w="5504" w:type="dxa"/>
          </w:tcPr>
          <w:p w14:paraId="14EF9744" w14:textId="37B76671" w:rsidR="003B60C2" w:rsidRPr="00227B56" w:rsidRDefault="003B60C2" w:rsidP="003B60C2">
            <w:pPr>
              <w:rPr>
                <w:rFonts w:ascii="Arial" w:hAnsi="Arial" w:cs="Arial"/>
                <w:sz w:val="18"/>
              </w:rPr>
            </w:pPr>
            <w:r w:rsidRPr="00227B56">
              <w:rPr>
                <w:rFonts w:ascii="Arial" w:hAnsi="Arial" w:cs="Arial"/>
                <w:sz w:val="18"/>
              </w:rPr>
              <w:t>Minimum CET1</w:t>
            </w:r>
          </w:p>
        </w:tc>
        <w:tc>
          <w:tcPr>
            <w:tcW w:w="1282" w:type="dxa"/>
          </w:tcPr>
          <w:p w14:paraId="468AC3C0" w14:textId="1ADD232D" w:rsidR="003B60C2" w:rsidRPr="00227B56" w:rsidRDefault="003B60C2" w:rsidP="003B60C2">
            <w:pPr>
              <w:rPr>
                <w:rFonts w:ascii="Arial" w:hAnsi="Arial" w:cs="Arial"/>
                <w:sz w:val="18"/>
              </w:rPr>
            </w:pPr>
            <w:r w:rsidRPr="00227B56">
              <w:rPr>
                <w:rFonts w:ascii="Arial" w:hAnsi="Arial" w:cs="Arial"/>
                <w:sz w:val="18"/>
              </w:rPr>
              <w:t>6.8</w:t>
            </w:r>
          </w:p>
        </w:tc>
      </w:tr>
      <w:tr w:rsidR="00227B56" w:rsidRPr="00227B56" w14:paraId="6FD98BC0" w14:textId="77777777" w:rsidTr="00EF4A19">
        <w:trPr>
          <w:trHeight w:val="357"/>
        </w:trPr>
        <w:tc>
          <w:tcPr>
            <w:tcW w:w="639" w:type="dxa"/>
          </w:tcPr>
          <w:p w14:paraId="7802D952" w14:textId="31C71566" w:rsidR="003B60C2" w:rsidRPr="00227B56" w:rsidRDefault="003B60C2" w:rsidP="003B60C2">
            <w:pPr>
              <w:rPr>
                <w:rFonts w:ascii="Arial" w:hAnsi="Arial" w:cs="Arial"/>
                <w:sz w:val="18"/>
              </w:rPr>
            </w:pPr>
            <w:r w:rsidRPr="00227B56">
              <w:rPr>
                <w:rFonts w:ascii="Arial" w:hAnsi="Arial" w:cs="Arial"/>
                <w:sz w:val="18"/>
              </w:rPr>
              <w:t>2</w:t>
            </w:r>
          </w:p>
        </w:tc>
        <w:tc>
          <w:tcPr>
            <w:tcW w:w="5504" w:type="dxa"/>
          </w:tcPr>
          <w:p w14:paraId="205803DF" w14:textId="454BCD97" w:rsidR="003B60C2" w:rsidRPr="00227B56" w:rsidRDefault="003B60C2" w:rsidP="003B60C2">
            <w:pPr>
              <w:rPr>
                <w:rFonts w:ascii="Arial" w:hAnsi="Arial" w:cs="Arial"/>
                <w:sz w:val="18"/>
              </w:rPr>
            </w:pPr>
            <w:r w:rsidRPr="00227B56">
              <w:rPr>
                <w:rFonts w:ascii="Arial" w:hAnsi="Arial" w:cs="Arial"/>
                <w:sz w:val="18"/>
              </w:rPr>
              <w:t>Capital Conservation Buffer (CCD1)-CET1 only</w:t>
            </w:r>
          </w:p>
        </w:tc>
        <w:tc>
          <w:tcPr>
            <w:tcW w:w="1282" w:type="dxa"/>
          </w:tcPr>
          <w:p w14:paraId="6B9936D5" w14:textId="70569ED8" w:rsidR="003B60C2" w:rsidRPr="00227B56" w:rsidRDefault="001E1417" w:rsidP="003B60C2">
            <w:pPr>
              <w:rPr>
                <w:rFonts w:ascii="Arial" w:hAnsi="Arial" w:cs="Arial"/>
                <w:sz w:val="18"/>
              </w:rPr>
            </w:pPr>
            <w:r w:rsidRPr="00227B56">
              <w:rPr>
                <w:rFonts w:ascii="Arial" w:hAnsi="Arial" w:cs="Arial"/>
                <w:sz w:val="18"/>
              </w:rPr>
              <w:t>3.0</w:t>
            </w:r>
          </w:p>
        </w:tc>
      </w:tr>
      <w:tr w:rsidR="00227B56" w:rsidRPr="00227B56" w14:paraId="1AE763F0" w14:textId="77777777" w:rsidTr="00EF4A19">
        <w:trPr>
          <w:trHeight w:val="367"/>
        </w:trPr>
        <w:tc>
          <w:tcPr>
            <w:tcW w:w="639" w:type="dxa"/>
          </w:tcPr>
          <w:p w14:paraId="07D3470E" w14:textId="3D8CC34B" w:rsidR="003B60C2" w:rsidRPr="00227B56" w:rsidRDefault="003B60C2" w:rsidP="003B60C2">
            <w:pPr>
              <w:rPr>
                <w:rFonts w:ascii="Arial" w:hAnsi="Arial" w:cs="Arial"/>
                <w:sz w:val="18"/>
              </w:rPr>
            </w:pPr>
            <w:r w:rsidRPr="00227B56">
              <w:rPr>
                <w:rFonts w:ascii="Arial" w:hAnsi="Arial" w:cs="Arial"/>
                <w:sz w:val="18"/>
              </w:rPr>
              <w:t>3</w:t>
            </w:r>
          </w:p>
        </w:tc>
        <w:tc>
          <w:tcPr>
            <w:tcW w:w="5504" w:type="dxa"/>
          </w:tcPr>
          <w:p w14:paraId="4F5992C4" w14:textId="3E7DCCE8" w:rsidR="003B60C2" w:rsidRPr="00227B56" w:rsidRDefault="003B60C2" w:rsidP="003B60C2">
            <w:pPr>
              <w:rPr>
                <w:rFonts w:ascii="Arial" w:hAnsi="Arial" w:cs="Arial"/>
                <w:sz w:val="18"/>
              </w:rPr>
            </w:pPr>
            <w:r w:rsidRPr="00227B56">
              <w:rPr>
                <w:rFonts w:ascii="Arial" w:hAnsi="Arial" w:cs="Arial"/>
                <w:sz w:val="18"/>
              </w:rPr>
              <w:t>CET Ration Plus CCB (1-+)</w:t>
            </w:r>
          </w:p>
        </w:tc>
        <w:tc>
          <w:tcPr>
            <w:tcW w:w="1282" w:type="dxa"/>
          </w:tcPr>
          <w:p w14:paraId="3A604943" w14:textId="60337C73" w:rsidR="003B60C2" w:rsidRPr="00227B56" w:rsidRDefault="001E1417" w:rsidP="003B60C2">
            <w:pPr>
              <w:rPr>
                <w:rFonts w:ascii="Arial" w:hAnsi="Arial" w:cs="Arial"/>
                <w:sz w:val="18"/>
              </w:rPr>
            </w:pPr>
            <w:r w:rsidRPr="00227B56">
              <w:rPr>
                <w:rFonts w:ascii="Arial" w:hAnsi="Arial" w:cs="Arial"/>
                <w:sz w:val="18"/>
              </w:rPr>
              <w:t>9.5</w:t>
            </w:r>
          </w:p>
        </w:tc>
      </w:tr>
      <w:tr w:rsidR="00227B56" w:rsidRPr="00227B56" w14:paraId="6F57CB6C" w14:textId="77777777" w:rsidTr="00EF4A19">
        <w:trPr>
          <w:trHeight w:val="357"/>
        </w:trPr>
        <w:tc>
          <w:tcPr>
            <w:tcW w:w="639" w:type="dxa"/>
          </w:tcPr>
          <w:p w14:paraId="39F1A470" w14:textId="5C2CFAE5" w:rsidR="003B60C2" w:rsidRPr="00227B56" w:rsidRDefault="003B60C2" w:rsidP="003B60C2">
            <w:pPr>
              <w:rPr>
                <w:rFonts w:ascii="Arial" w:hAnsi="Arial" w:cs="Arial"/>
                <w:sz w:val="18"/>
              </w:rPr>
            </w:pPr>
            <w:r w:rsidRPr="00227B56">
              <w:rPr>
                <w:rFonts w:ascii="Arial" w:hAnsi="Arial" w:cs="Arial"/>
                <w:sz w:val="18"/>
              </w:rPr>
              <w:t>4</w:t>
            </w:r>
          </w:p>
        </w:tc>
        <w:tc>
          <w:tcPr>
            <w:tcW w:w="5504" w:type="dxa"/>
          </w:tcPr>
          <w:p w14:paraId="063E23A6" w14:textId="3603454B" w:rsidR="003B60C2" w:rsidRPr="00227B56" w:rsidRDefault="003B60C2" w:rsidP="003B60C2">
            <w:pPr>
              <w:rPr>
                <w:rFonts w:ascii="Arial" w:hAnsi="Arial" w:cs="Arial"/>
                <w:sz w:val="18"/>
              </w:rPr>
            </w:pPr>
            <w:r w:rsidRPr="00227B56">
              <w:rPr>
                <w:rFonts w:ascii="Arial" w:hAnsi="Arial" w:cs="Arial"/>
                <w:sz w:val="18"/>
              </w:rPr>
              <w:t>Maximum AT1</w:t>
            </w:r>
          </w:p>
        </w:tc>
        <w:tc>
          <w:tcPr>
            <w:tcW w:w="1282" w:type="dxa"/>
          </w:tcPr>
          <w:p w14:paraId="18EA4B4F" w14:textId="252486CB" w:rsidR="003B60C2" w:rsidRPr="00227B56" w:rsidRDefault="001E1417" w:rsidP="003B60C2">
            <w:pPr>
              <w:rPr>
                <w:rFonts w:ascii="Arial" w:hAnsi="Arial" w:cs="Arial"/>
                <w:sz w:val="18"/>
              </w:rPr>
            </w:pPr>
            <w:r w:rsidRPr="00227B56">
              <w:rPr>
                <w:rFonts w:ascii="Arial" w:hAnsi="Arial" w:cs="Arial"/>
                <w:sz w:val="18"/>
              </w:rPr>
              <w:t>1.5</w:t>
            </w:r>
          </w:p>
        </w:tc>
      </w:tr>
      <w:tr w:rsidR="00227B56" w:rsidRPr="00227B56" w14:paraId="13E9E4A9" w14:textId="77777777" w:rsidTr="00EF4A19">
        <w:trPr>
          <w:trHeight w:val="357"/>
        </w:trPr>
        <w:tc>
          <w:tcPr>
            <w:tcW w:w="639" w:type="dxa"/>
          </w:tcPr>
          <w:p w14:paraId="1623D125" w14:textId="44A21D8D" w:rsidR="003B60C2" w:rsidRPr="00227B56" w:rsidRDefault="003B60C2" w:rsidP="003B60C2">
            <w:pPr>
              <w:rPr>
                <w:rFonts w:ascii="Arial" w:hAnsi="Arial" w:cs="Arial"/>
                <w:sz w:val="18"/>
              </w:rPr>
            </w:pPr>
            <w:r w:rsidRPr="00227B56">
              <w:rPr>
                <w:rFonts w:ascii="Arial" w:hAnsi="Arial" w:cs="Arial"/>
                <w:sz w:val="18"/>
              </w:rPr>
              <w:t>5</w:t>
            </w:r>
          </w:p>
        </w:tc>
        <w:tc>
          <w:tcPr>
            <w:tcW w:w="5504" w:type="dxa"/>
          </w:tcPr>
          <w:p w14:paraId="771B22EC" w14:textId="34AE6D97" w:rsidR="003B60C2" w:rsidRPr="00227B56" w:rsidRDefault="003B60C2" w:rsidP="003B60C2">
            <w:pPr>
              <w:ind w:left="720" w:hanging="720"/>
              <w:rPr>
                <w:rFonts w:ascii="Arial" w:hAnsi="Arial" w:cs="Arial"/>
                <w:sz w:val="18"/>
              </w:rPr>
            </w:pPr>
            <w:r w:rsidRPr="00227B56">
              <w:rPr>
                <w:rFonts w:ascii="Arial" w:hAnsi="Arial" w:cs="Arial"/>
                <w:sz w:val="18"/>
              </w:rPr>
              <w:t>Minimum  Tier 1 Capital Ratio  (1+4)</w:t>
            </w:r>
          </w:p>
        </w:tc>
        <w:tc>
          <w:tcPr>
            <w:tcW w:w="1282" w:type="dxa"/>
          </w:tcPr>
          <w:p w14:paraId="6717B78F" w14:textId="3B32FACA" w:rsidR="003B60C2" w:rsidRPr="00227B56" w:rsidRDefault="001E1417" w:rsidP="003B60C2">
            <w:pPr>
              <w:rPr>
                <w:rFonts w:ascii="Arial" w:hAnsi="Arial" w:cs="Arial"/>
                <w:sz w:val="18"/>
              </w:rPr>
            </w:pPr>
            <w:r w:rsidRPr="00227B56">
              <w:rPr>
                <w:rFonts w:ascii="Arial" w:hAnsi="Arial" w:cs="Arial"/>
                <w:sz w:val="18"/>
              </w:rPr>
              <w:t>8.0</w:t>
            </w:r>
          </w:p>
        </w:tc>
      </w:tr>
      <w:tr w:rsidR="00227B56" w:rsidRPr="00227B56" w14:paraId="51C7DE66" w14:textId="77777777" w:rsidTr="00EF4A19">
        <w:trPr>
          <w:trHeight w:val="357"/>
        </w:trPr>
        <w:tc>
          <w:tcPr>
            <w:tcW w:w="639" w:type="dxa"/>
          </w:tcPr>
          <w:p w14:paraId="0EF5D69A" w14:textId="1A547574" w:rsidR="003B60C2" w:rsidRPr="00227B56" w:rsidRDefault="003B60C2" w:rsidP="003B60C2">
            <w:pPr>
              <w:rPr>
                <w:rFonts w:ascii="Arial" w:hAnsi="Arial" w:cs="Arial"/>
                <w:sz w:val="18"/>
              </w:rPr>
            </w:pPr>
            <w:r w:rsidRPr="00227B56">
              <w:rPr>
                <w:rFonts w:ascii="Arial" w:hAnsi="Arial" w:cs="Arial"/>
                <w:sz w:val="18"/>
              </w:rPr>
              <w:t>6</w:t>
            </w:r>
          </w:p>
        </w:tc>
        <w:tc>
          <w:tcPr>
            <w:tcW w:w="5504" w:type="dxa"/>
          </w:tcPr>
          <w:p w14:paraId="0836960F" w14:textId="4FA633B4" w:rsidR="003B60C2" w:rsidRPr="00227B56" w:rsidRDefault="003B60C2" w:rsidP="003B60C2">
            <w:pPr>
              <w:ind w:left="720" w:hanging="720"/>
              <w:rPr>
                <w:rFonts w:ascii="Arial" w:hAnsi="Arial" w:cs="Arial"/>
                <w:sz w:val="18"/>
              </w:rPr>
            </w:pPr>
            <w:r w:rsidRPr="00227B56">
              <w:rPr>
                <w:rFonts w:ascii="Arial" w:hAnsi="Arial" w:cs="Arial"/>
                <w:sz w:val="18"/>
              </w:rPr>
              <w:t>Maximum T2 (Tier 2)</w:t>
            </w:r>
          </w:p>
        </w:tc>
        <w:tc>
          <w:tcPr>
            <w:tcW w:w="1282" w:type="dxa"/>
          </w:tcPr>
          <w:p w14:paraId="31277532" w14:textId="030913DC" w:rsidR="003B60C2" w:rsidRPr="00227B56" w:rsidRDefault="001E1417" w:rsidP="003B60C2">
            <w:pPr>
              <w:rPr>
                <w:rFonts w:ascii="Arial" w:hAnsi="Arial" w:cs="Arial"/>
                <w:sz w:val="18"/>
              </w:rPr>
            </w:pPr>
            <w:r w:rsidRPr="00227B56">
              <w:rPr>
                <w:rFonts w:ascii="Arial" w:hAnsi="Arial" w:cs="Arial"/>
                <w:sz w:val="18"/>
              </w:rPr>
              <w:t>2.0</w:t>
            </w:r>
          </w:p>
        </w:tc>
      </w:tr>
      <w:tr w:rsidR="00227B56" w:rsidRPr="00227B56" w14:paraId="62AB51F3" w14:textId="77777777" w:rsidTr="00EF4A19">
        <w:trPr>
          <w:trHeight w:val="357"/>
        </w:trPr>
        <w:tc>
          <w:tcPr>
            <w:tcW w:w="639" w:type="dxa"/>
          </w:tcPr>
          <w:p w14:paraId="7BABC3B8" w14:textId="352AA4B4" w:rsidR="003B60C2" w:rsidRPr="00227B56" w:rsidRDefault="003B60C2" w:rsidP="003B60C2">
            <w:pPr>
              <w:rPr>
                <w:rFonts w:ascii="Arial" w:hAnsi="Arial" w:cs="Arial"/>
                <w:sz w:val="18"/>
              </w:rPr>
            </w:pPr>
            <w:r w:rsidRPr="00227B56">
              <w:rPr>
                <w:rFonts w:ascii="Arial" w:hAnsi="Arial" w:cs="Arial"/>
                <w:sz w:val="18"/>
              </w:rPr>
              <w:t>7</w:t>
            </w:r>
          </w:p>
        </w:tc>
        <w:tc>
          <w:tcPr>
            <w:tcW w:w="5504" w:type="dxa"/>
          </w:tcPr>
          <w:p w14:paraId="078073CA" w14:textId="7C45EA3C" w:rsidR="003B60C2" w:rsidRPr="00227B56" w:rsidRDefault="003B60C2" w:rsidP="003B60C2">
            <w:pPr>
              <w:rPr>
                <w:rFonts w:ascii="Arial" w:hAnsi="Arial" w:cs="Arial"/>
                <w:sz w:val="18"/>
              </w:rPr>
            </w:pPr>
            <w:r w:rsidRPr="00227B56">
              <w:rPr>
                <w:rFonts w:ascii="Arial" w:hAnsi="Arial" w:cs="Arial"/>
                <w:sz w:val="18"/>
              </w:rPr>
              <w:t>Minimum Capital Adequacy Ratio (CAR) (5+6)</w:t>
            </w:r>
          </w:p>
        </w:tc>
        <w:tc>
          <w:tcPr>
            <w:tcW w:w="1282" w:type="dxa"/>
          </w:tcPr>
          <w:p w14:paraId="65E6CF4B" w14:textId="0273194C" w:rsidR="003B60C2" w:rsidRPr="00227B56" w:rsidRDefault="001E1417" w:rsidP="003B60C2">
            <w:pPr>
              <w:rPr>
                <w:rFonts w:ascii="Arial" w:hAnsi="Arial" w:cs="Arial"/>
                <w:sz w:val="18"/>
              </w:rPr>
            </w:pPr>
            <w:r w:rsidRPr="00227B56">
              <w:rPr>
                <w:rFonts w:ascii="Arial" w:hAnsi="Arial" w:cs="Arial"/>
                <w:sz w:val="18"/>
              </w:rPr>
              <w:t>10.0</w:t>
            </w:r>
          </w:p>
        </w:tc>
      </w:tr>
      <w:tr w:rsidR="00227B56" w:rsidRPr="00227B56" w14:paraId="177207A8" w14:textId="77777777" w:rsidTr="00EF4A19">
        <w:trPr>
          <w:trHeight w:val="357"/>
        </w:trPr>
        <w:tc>
          <w:tcPr>
            <w:tcW w:w="639" w:type="dxa"/>
          </w:tcPr>
          <w:p w14:paraId="7B91010F" w14:textId="0C9C6392" w:rsidR="003B60C2" w:rsidRPr="00227B56" w:rsidRDefault="003B60C2" w:rsidP="003B60C2">
            <w:pPr>
              <w:rPr>
                <w:rFonts w:ascii="Arial" w:hAnsi="Arial" w:cs="Arial"/>
                <w:sz w:val="18"/>
              </w:rPr>
            </w:pPr>
            <w:r w:rsidRPr="00227B56">
              <w:rPr>
                <w:rFonts w:ascii="Arial" w:hAnsi="Arial" w:cs="Arial"/>
                <w:sz w:val="18"/>
              </w:rPr>
              <w:t>8</w:t>
            </w:r>
          </w:p>
        </w:tc>
        <w:tc>
          <w:tcPr>
            <w:tcW w:w="5504" w:type="dxa"/>
          </w:tcPr>
          <w:p w14:paraId="04E28FB1" w14:textId="63ED6745" w:rsidR="003B60C2" w:rsidRPr="00227B56" w:rsidRDefault="003B60C2" w:rsidP="003B60C2">
            <w:pPr>
              <w:rPr>
                <w:rFonts w:ascii="Arial" w:hAnsi="Arial" w:cs="Arial"/>
                <w:sz w:val="18"/>
              </w:rPr>
            </w:pPr>
            <w:r w:rsidRPr="00227B56">
              <w:rPr>
                <w:rFonts w:ascii="Arial" w:hAnsi="Arial" w:cs="Arial"/>
                <w:sz w:val="18"/>
              </w:rPr>
              <w:t>Minimum Car plus CCB1 (7+6)</w:t>
            </w:r>
          </w:p>
        </w:tc>
        <w:tc>
          <w:tcPr>
            <w:tcW w:w="1282" w:type="dxa"/>
          </w:tcPr>
          <w:p w14:paraId="02AF3ADE" w14:textId="11256FA8" w:rsidR="003B60C2" w:rsidRPr="00227B56" w:rsidRDefault="001E1417" w:rsidP="003B60C2">
            <w:pPr>
              <w:rPr>
                <w:rFonts w:ascii="Arial" w:hAnsi="Arial" w:cs="Arial"/>
                <w:sz w:val="18"/>
              </w:rPr>
            </w:pPr>
            <w:r w:rsidRPr="00227B56">
              <w:rPr>
                <w:rFonts w:ascii="Arial" w:hAnsi="Arial" w:cs="Arial"/>
                <w:sz w:val="18"/>
              </w:rPr>
              <w:t>13.0</w:t>
            </w:r>
          </w:p>
        </w:tc>
      </w:tr>
      <w:tr w:rsidR="00227B56" w:rsidRPr="00227B56" w14:paraId="4059D296" w14:textId="77777777" w:rsidTr="00EF4A19">
        <w:trPr>
          <w:trHeight w:val="367"/>
        </w:trPr>
        <w:tc>
          <w:tcPr>
            <w:tcW w:w="639" w:type="dxa"/>
          </w:tcPr>
          <w:p w14:paraId="727462F7" w14:textId="019DC081" w:rsidR="003B60C2" w:rsidRPr="00227B56" w:rsidRDefault="003B60C2" w:rsidP="003B60C2">
            <w:pPr>
              <w:rPr>
                <w:rFonts w:ascii="Arial" w:hAnsi="Arial" w:cs="Arial"/>
                <w:sz w:val="18"/>
              </w:rPr>
            </w:pPr>
            <w:r w:rsidRPr="00227B56">
              <w:rPr>
                <w:rFonts w:ascii="Arial" w:hAnsi="Arial" w:cs="Arial"/>
                <w:sz w:val="18"/>
              </w:rPr>
              <w:t>9</w:t>
            </w:r>
          </w:p>
        </w:tc>
        <w:tc>
          <w:tcPr>
            <w:tcW w:w="5504" w:type="dxa"/>
          </w:tcPr>
          <w:p w14:paraId="7605868D" w14:textId="742E6189" w:rsidR="003B60C2" w:rsidRPr="00227B56" w:rsidRDefault="001E1417" w:rsidP="003B60C2">
            <w:pPr>
              <w:rPr>
                <w:rFonts w:ascii="Arial" w:hAnsi="Arial" w:cs="Arial"/>
                <w:sz w:val="18"/>
              </w:rPr>
            </w:pPr>
            <w:r w:rsidRPr="00227B56">
              <w:rPr>
                <w:rFonts w:ascii="Arial" w:hAnsi="Arial" w:cs="Arial"/>
                <w:sz w:val="18"/>
              </w:rPr>
              <w:t xml:space="preserve">Countercyclical Buffer (CCB2) </w:t>
            </w:r>
          </w:p>
        </w:tc>
        <w:tc>
          <w:tcPr>
            <w:tcW w:w="1282" w:type="dxa"/>
          </w:tcPr>
          <w:p w14:paraId="4D07D3EC" w14:textId="009C7DDC" w:rsidR="003B60C2" w:rsidRPr="00227B56" w:rsidRDefault="001E1417" w:rsidP="003B60C2">
            <w:pPr>
              <w:rPr>
                <w:rFonts w:ascii="Arial" w:hAnsi="Arial" w:cs="Arial"/>
                <w:sz w:val="18"/>
              </w:rPr>
            </w:pPr>
            <w:r w:rsidRPr="00227B56">
              <w:rPr>
                <w:rFonts w:ascii="Arial" w:hAnsi="Arial" w:cs="Arial"/>
                <w:sz w:val="18"/>
              </w:rPr>
              <w:t>0.0</w:t>
            </w:r>
          </w:p>
        </w:tc>
      </w:tr>
      <w:tr w:rsidR="00227B56" w:rsidRPr="00227B56" w14:paraId="2E672739" w14:textId="77777777" w:rsidTr="00EF4A19">
        <w:trPr>
          <w:trHeight w:val="357"/>
        </w:trPr>
        <w:tc>
          <w:tcPr>
            <w:tcW w:w="639" w:type="dxa"/>
          </w:tcPr>
          <w:p w14:paraId="4B032610" w14:textId="4BF57D25" w:rsidR="003B60C2" w:rsidRPr="00227B56" w:rsidRDefault="003B60C2" w:rsidP="003B60C2">
            <w:pPr>
              <w:rPr>
                <w:rFonts w:ascii="Arial" w:hAnsi="Arial" w:cs="Arial"/>
                <w:sz w:val="18"/>
              </w:rPr>
            </w:pPr>
            <w:r w:rsidRPr="00227B56">
              <w:rPr>
                <w:rFonts w:ascii="Arial" w:hAnsi="Arial" w:cs="Arial"/>
                <w:sz w:val="18"/>
              </w:rPr>
              <w:t>10</w:t>
            </w:r>
          </w:p>
        </w:tc>
        <w:tc>
          <w:tcPr>
            <w:tcW w:w="5504" w:type="dxa"/>
          </w:tcPr>
          <w:p w14:paraId="52D81BE3" w14:textId="13258DDE" w:rsidR="003B60C2" w:rsidRPr="00227B56" w:rsidRDefault="001E1417" w:rsidP="003B60C2">
            <w:pPr>
              <w:rPr>
                <w:rFonts w:ascii="Arial" w:hAnsi="Arial" w:cs="Arial"/>
                <w:sz w:val="18"/>
              </w:rPr>
            </w:pPr>
            <w:r w:rsidRPr="00227B56">
              <w:rPr>
                <w:rFonts w:ascii="Arial" w:hAnsi="Arial" w:cs="Arial"/>
                <w:sz w:val="18"/>
              </w:rPr>
              <w:t>DSIB Buffer</w:t>
            </w:r>
          </w:p>
        </w:tc>
        <w:tc>
          <w:tcPr>
            <w:tcW w:w="1282" w:type="dxa"/>
          </w:tcPr>
          <w:p w14:paraId="47B2B8C5" w14:textId="09BAAD88" w:rsidR="003B60C2" w:rsidRPr="00227B56" w:rsidRDefault="001E1417" w:rsidP="003B60C2">
            <w:pPr>
              <w:rPr>
                <w:rFonts w:ascii="Arial" w:hAnsi="Arial" w:cs="Arial"/>
                <w:sz w:val="18"/>
              </w:rPr>
            </w:pPr>
            <w:r w:rsidRPr="00227B56">
              <w:rPr>
                <w:rFonts w:ascii="Arial" w:hAnsi="Arial" w:cs="Arial"/>
                <w:sz w:val="18"/>
              </w:rPr>
              <w:t>0.0</w:t>
            </w:r>
          </w:p>
        </w:tc>
      </w:tr>
      <w:tr w:rsidR="00227B56" w:rsidRPr="00227B56" w14:paraId="756D9BC4" w14:textId="77777777" w:rsidTr="00EF4A19">
        <w:trPr>
          <w:trHeight w:val="357"/>
        </w:trPr>
        <w:tc>
          <w:tcPr>
            <w:tcW w:w="639" w:type="dxa"/>
          </w:tcPr>
          <w:p w14:paraId="6071D00A" w14:textId="05697C78" w:rsidR="003B60C2" w:rsidRPr="00227B56" w:rsidRDefault="003B60C2" w:rsidP="003B60C2">
            <w:pPr>
              <w:rPr>
                <w:rFonts w:ascii="Arial" w:hAnsi="Arial" w:cs="Arial"/>
                <w:sz w:val="18"/>
              </w:rPr>
            </w:pPr>
            <w:r w:rsidRPr="00227B56">
              <w:rPr>
                <w:rFonts w:ascii="Arial" w:hAnsi="Arial" w:cs="Arial"/>
                <w:sz w:val="18"/>
              </w:rPr>
              <w:t>11</w:t>
            </w:r>
          </w:p>
        </w:tc>
        <w:tc>
          <w:tcPr>
            <w:tcW w:w="5504" w:type="dxa"/>
          </w:tcPr>
          <w:p w14:paraId="0946E98D" w14:textId="6F04415F" w:rsidR="003B60C2" w:rsidRPr="00227B56" w:rsidRDefault="001E1417" w:rsidP="003B60C2">
            <w:pPr>
              <w:rPr>
                <w:rFonts w:ascii="Arial" w:hAnsi="Arial" w:cs="Arial"/>
                <w:sz w:val="18"/>
              </w:rPr>
            </w:pPr>
            <w:r w:rsidRPr="00227B56">
              <w:rPr>
                <w:rFonts w:ascii="Arial" w:hAnsi="Arial" w:cs="Arial"/>
                <w:sz w:val="18"/>
              </w:rPr>
              <w:t>Minimum CAR plus CCB1 plus DISB (2+7+9+10</w:t>
            </w:r>
          </w:p>
        </w:tc>
        <w:tc>
          <w:tcPr>
            <w:tcW w:w="1282" w:type="dxa"/>
          </w:tcPr>
          <w:p w14:paraId="007A7881" w14:textId="677738B5" w:rsidR="003B60C2" w:rsidRPr="00227B56" w:rsidRDefault="001E1417" w:rsidP="003B60C2">
            <w:pPr>
              <w:rPr>
                <w:rFonts w:ascii="Arial" w:hAnsi="Arial" w:cs="Arial"/>
                <w:sz w:val="18"/>
              </w:rPr>
            </w:pPr>
            <w:r w:rsidRPr="00227B56">
              <w:rPr>
                <w:rFonts w:ascii="Arial" w:hAnsi="Arial" w:cs="Arial"/>
                <w:sz w:val="18"/>
              </w:rPr>
              <w:t>13.0</w:t>
            </w:r>
          </w:p>
        </w:tc>
      </w:tr>
    </w:tbl>
    <w:p w14:paraId="34C476D4" w14:textId="4710A54A" w:rsidR="003B60C2" w:rsidRPr="00227B56" w:rsidRDefault="001E1417" w:rsidP="003B60C2">
      <w:pPr>
        <w:rPr>
          <w:rFonts w:ascii="Arial" w:hAnsi="Arial" w:cs="Arial"/>
          <w:sz w:val="18"/>
        </w:rPr>
      </w:pPr>
      <w:r w:rsidRPr="00227B56">
        <w:rPr>
          <w:rFonts w:ascii="Arial" w:hAnsi="Arial" w:cs="Arial"/>
          <w:sz w:val="18"/>
        </w:rPr>
        <w:t xml:space="preserve">Source: Bank of Ghana </w:t>
      </w:r>
    </w:p>
    <w:p w14:paraId="11B99A3D" w14:textId="211BA032" w:rsidR="00C40CC2" w:rsidRPr="00227B56" w:rsidRDefault="00C40CC2" w:rsidP="00C40CC2">
      <w:pPr>
        <w:pStyle w:val="Heading3"/>
        <w:spacing w:line="360" w:lineRule="auto"/>
        <w:rPr>
          <w:rFonts w:ascii="Arial" w:hAnsi="Arial" w:cs="Arial"/>
          <w:b/>
          <w:i/>
          <w:color w:val="auto"/>
          <w:sz w:val="18"/>
          <w:szCs w:val="18"/>
        </w:rPr>
      </w:pPr>
      <w:r w:rsidRPr="00227B56">
        <w:rPr>
          <w:rFonts w:ascii="Arial" w:hAnsi="Arial" w:cs="Arial"/>
          <w:b/>
          <w:i/>
          <w:color w:val="auto"/>
          <w:sz w:val="18"/>
          <w:szCs w:val="18"/>
        </w:rPr>
        <w:t>The concept of risk-based capital</w:t>
      </w:r>
    </w:p>
    <w:p w14:paraId="185ED45A" w14:textId="77777777" w:rsidR="00C40CC2" w:rsidRPr="00227B56" w:rsidRDefault="00C40CC2" w:rsidP="00C40CC2">
      <w:pPr>
        <w:spacing w:line="360" w:lineRule="auto"/>
        <w:jc w:val="both"/>
        <w:rPr>
          <w:rFonts w:ascii="Arial" w:hAnsi="Arial" w:cs="Arial"/>
          <w:sz w:val="18"/>
          <w:szCs w:val="18"/>
        </w:rPr>
      </w:pPr>
      <w:r w:rsidRPr="00227B56">
        <w:rPr>
          <w:rFonts w:ascii="Arial" w:hAnsi="Arial" w:cs="Arial"/>
          <w:sz w:val="18"/>
          <w:szCs w:val="18"/>
        </w:rPr>
        <w:t>Risk-based capital requirement seeks to match bank’s capital to its relevant risks that the bank is exposed. Having a risk-based capital regime ensures that financial institutions have sufficient capital on hand to withstand losses while maintaining a safe and efficient market. This serves as a protection to financial institutions, investors, depositors and the economy as a whole.</w:t>
      </w:r>
    </w:p>
    <w:p w14:paraId="09055166" w14:textId="658C0E40"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Basel Framework </w:t>
      </w:r>
    </w:p>
    <w:p w14:paraId="2C105B38" w14:textId="3649488E"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 xml:space="preserve">in 1988 the G-10 countries adopted the International Convergence of Capital Measurement and Standards. These were set up by the Basel Committee on Banking Supervision dub Basel I. Basel I is critical on making available capital for credit risk because lending is regarded as an important function of bank. With Basel I capital ratios are calculated through applying predetermined risk weights to a bank’s credit exposure. The Bank’s capital is set up at 8 % of </w:t>
      </w:r>
      <w:r w:rsidR="00DA5ABC" w:rsidRPr="00227B56">
        <w:rPr>
          <w:rFonts w:ascii="Arial" w:hAnsi="Arial" w:cs="Arial"/>
          <w:color w:val="auto"/>
          <w:sz w:val="18"/>
          <w:szCs w:val="18"/>
        </w:rPr>
        <w:t>risk-</w:t>
      </w:r>
      <w:r w:rsidR="00DA5ABC" w:rsidRPr="00227B56">
        <w:rPr>
          <w:rFonts w:ascii="Arial" w:hAnsi="Arial" w:cs="Arial"/>
          <w:color w:val="auto"/>
          <w:sz w:val="18"/>
          <w:szCs w:val="18"/>
        </w:rPr>
        <w:lastRenderedPageBreak/>
        <w:t>adjusted</w:t>
      </w:r>
      <w:r w:rsidRPr="00227B56">
        <w:rPr>
          <w:rFonts w:ascii="Arial" w:hAnsi="Arial" w:cs="Arial"/>
          <w:color w:val="auto"/>
          <w:sz w:val="18"/>
          <w:szCs w:val="18"/>
        </w:rPr>
        <w:t xml:space="preserve"> assets which 4% must be Tier 1 Capital. Basel, I had some challenges; with the emergence of new financial instruments, sufficient methods of risk management and mitigation techniques were not readily available and this led to the exposure of banks to operational, market sovereign risk and other risks.  To solve challenges of Basel 1, the final version of the International Convergence of Capital Measurements and Capital Standards</w:t>
      </w:r>
      <w:r w:rsidR="00EF4A19" w:rsidRPr="00227B56">
        <w:rPr>
          <w:rFonts w:ascii="Arial" w:hAnsi="Arial" w:cs="Arial"/>
          <w:color w:val="auto"/>
          <w:sz w:val="18"/>
          <w:szCs w:val="18"/>
        </w:rPr>
        <w:t xml:space="preserve">, </w:t>
      </w:r>
      <w:r w:rsidRPr="00227B56">
        <w:rPr>
          <w:rFonts w:ascii="Arial" w:hAnsi="Arial" w:cs="Arial"/>
          <w:color w:val="auto"/>
          <w:sz w:val="18"/>
          <w:szCs w:val="18"/>
        </w:rPr>
        <w:t xml:space="preserve">drafted by the Basel </w:t>
      </w:r>
      <w:r w:rsidR="00EF4A19" w:rsidRPr="00227B56">
        <w:rPr>
          <w:rFonts w:ascii="Arial" w:hAnsi="Arial" w:cs="Arial"/>
          <w:color w:val="auto"/>
          <w:sz w:val="18"/>
          <w:szCs w:val="18"/>
        </w:rPr>
        <w:t xml:space="preserve">Committees, which </w:t>
      </w:r>
      <w:r w:rsidRPr="00227B56">
        <w:rPr>
          <w:rFonts w:ascii="Arial" w:hAnsi="Arial" w:cs="Arial"/>
          <w:color w:val="auto"/>
          <w:sz w:val="18"/>
          <w:szCs w:val="18"/>
        </w:rPr>
        <w:t xml:space="preserve">referred to as Basel </w:t>
      </w:r>
      <w:r w:rsidR="00EF4A19" w:rsidRPr="00227B56">
        <w:rPr>
          <w:rFonts w:ascii="Arial" w:hAnsi="Arial" w:cs="Arial"/>
          <w:color w:val="auto"/>
          <w:sz w:val="18"/>
          <w:szCs w:val="18"/>
        </w:rPr>
        <w:t>II, which</w:t>
      </w:r>
      <w:r w:rsidRPr="00227B56">
        <w:rPr>
          <w:rFonts w:ascii="Arial" w:hAnsi="Arial" w:cs="Arial"/>
          <w:color w:val="auto"/>
          <w:sz w:val="18"/>
          <w:szCs w:val="18"/>
        </w:rPr>
        <w:t xml:space="preserve"> focuses on three pillars. </w:t>
      </w:r>
    </w:p>
    <w:p w14:paraId="0A8850C8" w14:textId="2AEC55E6" w:rsidR="00C40CC2" w:rsidRPr="00227B56" w:rsidRDefault="00C40CC2" w:rsidP="00C40CC2">
      <w:pPr>
        <w:pStyle w:val="Heading3"/>
        <w:spacing w:before="0" w:line="360" w:lineRule="auto"/>
        <w:rPr>
          <w:rFonts w:ascii="Arial" w:hAnsi="Arial" w:cs="Arial"/>
          <w:b/>
          <w:i/>
          <w:color w:val="auto"/>
          <w:sz w:val="18"/>
          <w:szCs w:val="18"/>
        </w:rPr>
      </w:pPr>
      <w:r w:rsidRPr="00227B56">
        <w:rPr>
          <w:rFonts w:ascii="Arial" w:hAnsi="Arial" w:cs="Arial"/>
          <w:b/>
          <w:i/>
          <w:color w:val="auto"/>
          <w:sz w:val="18"/>
          <w:szCs w:val="18"/>
        </w:rPr>
        <w:t>Pillar I</w:t>
      </w:r>
    </w:p>
    <w:p w14:paraId="2A8FCF8A" w14:textId="55160251"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bCs/>
          <w:color w:val="auto"/>
          <w:sz w:val="18"/>
          <w:szCs w:val="18"/>
        </w:rPr>
        <w:t xml:space="preserve">This is about Minimum Capital </w:t>
      </w:r>
      <w:r w:rsidR="00DA5ABC" w:rsidRPr="00227B56">
        <w:rPr>
          <w:rFonts w:ascii="Arial" w:hAnsi="Arial" w:cs="Arial"/>
          <w:bCs/>
          <w:color w:val="auto"/>
          <w:sz w:val="18"/>
          <w:szCs w:val="18"/>
        </w:rPr>
        <w:t>Requirements, which</w:t>
      </w:r>
      <w:r w:rsidRPr="00227B56">
        <w:rPr>
          <w:rFonts w:ascii="Arial" w:hAnsi="Arial" w:cs="Arial"/>
          <w:color w:val="auto"/>
          <w:sz w:val="18"/>
          <w:szCs w:val="18"/>
        </w:rPr>
        <w:t xml:space="preserve"> enables banks to obtain capital levels that are in line with its risks. Its core objective is to make sure that regulatory capital set up by the regulator matches up to economic capital as per the bank’s internal business processes. </w:t>
      </w:r>
    </w:p>
    <w:p w14:paraId="6A19B487" w14:textId="15174FB8" w:rsidR="00C40CC2" w:rsidRPr="00227B56" w:rsidRDefault="00C40CC2" w:rsidP="00C40CC2">
      <w:pPr>
        <w:pStyle w:val="Heading3"/>
        <w:spacing w:before="0" w:line="360" w:lineRule="auto"/>
        <w:rPr>
          <w:rFonts w:ascii="Arial" w:hAnsi="Arial" w:cs="Arial"/>
          <w:b/>
          <w:i/>
          <w:color w:val="auto"/>
          <w:sz w:val="18"/>
          <w:szCs w:val="18"/>
        </w:rPr>
      </w:pPr>
      <w:r w:rsidRPr="00227B56">
        <w:rPr>
          <w:rFonts w:ascii="Arial" w:hAnsi="Arial" w:cs="Arial"/>
          <w:b/>
          <w:i/>
          <w:color w:val="auto"/>
          <w:sz w:val="18"/>
          <w:szCs w:val="18"/>
        </w:rPr>
        <w:t xml:space="preserve">Pillar II </w:t>
      </w:r>
    </w:p>
    <w:p w14:paraId="772F7F3F" w14:textId="77777777"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bCs/>
          <w:color w:val="auto"/>
          <w:sz w:val="18"/>
          <w:szCs w:val="18"/>
        </w:rPr>
        <w:t>This talks about Supervisory Framework issues</w:t>
      </w:r>
      <w:r w:rsidRPr="00227B56">
        <w:rPr>
          <w:rFonts w:ascii="Arial" w:hAnsi="Arial" w:cs="Arial"/>
          <w:b/>
          <w:bCs/>
          <w:color w:val="auto"/>
          <w:sz w:val="18"/>
          <w:szCs w:val="18"/>
        </w:rPr>
        <w:t xml:space="preserve">. </w:t>
      </w:r>
      <w:r w:rsidRPr="00227B56">
        <w:rPr>
          <w:rFonts w:ascii="Arial" w:hAnsi="Arial" w:cs="Arial"/>
          <w:color w:val="auto"/>
          <w:sz w:val="18"/>
          <w:szCs w:val="18"/>
        </w:rPr>
        <w:t xml:space="preserve">The Supervisory Review process defines the supervisory review of an institution’s capital to support all the risks of the business and to encourage the development and use of better risk management techniques in monitoring and managing the risks </w:t>
      </w:r>
    </w:p>
    <w:p w14:paraId="74319CC7" w14:textId="23B9AD45" w:rsidR="00C40CC2" w:rsidRPr="00227B56" w:rsidRDefault="00C40CC2" w:rsidP="00C40CC2">
      <w:pPr>
        <w:pStyle w:val="Heading3"/>
        <w:spacing w:before="0" w:line="360" w:lineRule="auto"/>
        <w:rPr>
          <w:rFonts w:ascii="Arial" w:hAnsi="Arial" w:cs="Arial"/>
          <w:b/>
          <w:i/>
          <w:color w:val="auto"/>
          <w:sz w:val="18"/>
          <w:szCs w:val="18"/>
        </w:rPr>
      </w:pPr>
      <w:r w:rsidRPr="00227B56">
        <w:rPr>
          <w:rFonts w:ascii="Arial" w:hAnsi="Arial" w:cs="Arial"/>
          <w:b/>
          <w:i/>
          <w:color w:val="auto"/>
          <w:sz w:val="18"/>
          <w:szCs w:val="18"/>
        </w:rPr>
        <w:t xml:space="preserve">Pillar III </w:t>
      </w:r>
    </w:p>
    <w:p w14:paraId="2E58791A" w14:textId="77777777" w:rsidR="00C40CC2" w:rsidRPr="00227B56" w:rsidRDefault="00C40CC2" w:rsidP="00C40CC2">
      <w:pPr>
        <w:pStyle w:val="Default"/>
        <w:spacing w:line="360" w:lineRule="auto"/>
        <w:jc w:val="both"/>
        <w:rPr>
          <w:rFonts w:ascii="Arial" w:hAnsi="Arial" w:cs="Arial"/>
          <w:b/>
          <w:bCs/>
          <w:color w:val="auto"/>
          <w:sz w:val="18"/>
          <w:szCs w:val="18"/>
        </w:rPr>
      </w:pPr>
      <w:r w:rsidRPr="00227B56">
        <w:rPr>
          <w:rFonts w:ascii="Arial" w:hAnsi="Arial" w:cs="Arial"/>
          <w:bCs/>
          <w:color w:val="auto"/>
          <w:sz w:val="18"/>
          <w:szCs w:val="18"/>
        </w:rPr>
        <w:t>Pillar III is about Market Discipline</w:t>
      </w:r>
      <w:r w:rsidRPr="00227B56">
        <w:rPr>
          <w:rFonts w:ascii="Arial" w:hAnsi="Arial" w:cs="Arial"/>
          <w:b/>
          <w:bCs/>
          <w:color w:val="auto"/>
          <w:sz w:val="18"/>
          <w:szCs w:val="18"/>
        </w:rPr>
        <w:t xml:space="preserve">; it </w:t>
      </w:r>
      <w:r w:rsidRPr="00227B56">
        <w:rPr>
          <w:rFonts w:ascii="Arial" w:hAnsi="Arial" w:cs="Arial"/>
          <w:color w:val="auto"/>
          <w:sz w:val="18"/>
          <w:szCs w:val="18"/>
        </w:rPr>
        <w:t xml:space="preserve">explains the lowest levels of disclosures by banks when in case of publication on their accounts to project absolute transparency and accountability from bank management. </w:t>
      </w:r>
    </w:p>
    <w:p w14:paraId="132AA933" w14:textId="00A1ECFA"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Measures of performance of a commercial Bank </w:t>
      </w:r>
    </w:p>
    <w:p w14:paraId="66A9B954" w14:textId="10D806D5"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CAMELS rating system is coin b</w:t>
      </w:r>
      <w:r w:rsidR="00DA5ABC">
        <w:rPr>
          <w:rFonts w:ascii="Arial" w:hAnsi="Arial" w:cs="Arial"/>
          <w:color w:val="auto"/>
          <w:sz w:val="18"/>
          <w:szCs w:val="18"/>
        </w:rPr>
        <w:t>y Oyetan as a measure of a bank</w:t>
      </w:r>
      <w:r w:rsidRPr="00227B56">
        <w:rPr>
          <w:rFonts w:ascii="Arial" w:hAnsi="Arial" w:cs="Arial"/>
          <w:color w:val="auto"/>
          <w:sz w:val="18"/>
          <w:szCs w:val="18"/>
        </w:rPr>
        <w:t>s</w:t>
      </w:r>
      <w:r w:rsidR="00DA5ABC">
        <w:rPr>
          <w:rFonts w:ascii="Arial" w:hAnsi="Arial" w:cs="Arial"/>
          <w:color w:val="auto"/>
          <w:sz w:val="18"/>
          <w:szCs w:val="18"/>
        </w:rPr>
        <w:t>’</w:t>
      </w:r>
      <w:r w:rsidRPr="00227B56">
        <w:rPr>
          <w:rFonts w:ascii="Arial" w:hAnsi="Arial" w:cs="Arial"/>
          <w:color w:val="auto"/>
          <w:sz w:val="18"/>
          <w:szCs w:val="18"/>
        </w:rPr>
        <w:t xml:space="preserve"> financial condition Oyetan (1997).  North American Commercial Banks was the first to adopt this system. CAMELS rating is an abbreviation which stands for: </w:t>
      </w:r>
      <w:r w:rsidRPr="00227B56">
        <w:rPr>
          <w:rFonts w:ascii="Arial" w:hAnsi="Arial" w:cs="Arial"/>
          <w:b/>
          <w:bCs/>
          <w:color w:val="auto"/>
          <w:sz w:val="18"/>
          <w:szCs w:val="18"/>
        </w:rPr>
        <w:t>C</w:t>
      </w:r>
      <w:r w:rsidRPr="00227B56">
        <w:rPr>
          <w:rFonts w:ascii="Arial" w:hAnsi="Arial" w:cs="Arial"/>
          <w:color w:val="auto"/>
          <w:sz w:val="18"/>
          <w:szCs w:val="18"/>
        </w:rPr>
        <w:t xml:space="preserve">apital Adequacy, </w:t>
      </w:r>
      <w:r w:rsidRPr="00227B56">
        <w:rPr>
          <w:rFonts w:ascii="Arial" w:hAnsi="Arial" w:cs="Arial"/>
          <w:b/>
          <w:color w:val="auto"/>
          <w:sz w:val="18"/>
          <w:szCs w:val="18"/>
        </w:rPr>
        <w:t>A</w:t>
      </w:r>
      <w:r w:rsidRPr="00227B56">
        <w:rPr>
          <w:rFonts w:ascii="Arial" w:hAnsi="Arial" w:cs="Arial"/>
          <w:color w:val="auto"/>
          <w:sz w:val="18"/>
          <w:szCs w:val="18"/>
        </w:rPr>
        <w:t xml:space="preserve">sset quality, </w:t>
      </w:r>
      <w:r w:rsidRPr="00227B56">
        <w:rPr>
          <w:rFonts w:ascii="Arial" w:hAnsi="Arial" w:cs="Arial"/>
          <w:b/>
          <w:color w:val="auto"/>
          <w:sz w:val="18"/>
          <w:szCs w:val="18"/>
        </w:rPr>
        <w:t>M</w:t>
      </w:r>
      <w:r w:rsidRPr="00227B56">
        <w:rPr>
          <w:rFonts w:ascii="Arial" w:hAnsi="Arial" w:cs="Arial"/>
          <w:color w:val="auto"/>
          <w:sz w:val="18"/>
          <w:szCs w:val="18"/>
        </w:rPr>
        <w:t xml:space="preserve">anagement quality, </w:t>
      </w:r>
      <w:r w:rsidRPr="00227B56">
        <w:rPr>
          <w:rFonts w:ascii="Arial" w:hAnsi="Arial" w:cs="Arial"/>
          <w:b/>
          <w:bCs/>
          <w:color w:val="auto"/>
          <w:sz w:val="18"/>
          <w:szCs w:val="18"/>
        </w:rPr>
        <w:t>E</w:t>
      </w:r>
      <w:r w:rsidRPr="00227B56">
        <w:rPr>
          <w:rFonts w:ascii="Arial" w:hAnsi="Arial" w:cs="Arial"/>
          <w:color w:val="auto"/>
          <w:sz w:val="18"/>
          <w:szCs w:val="18"/>
        </w:rPr>
        <w:t xml:space="preserve">arnings ability and </w:t>
      </w:r>
      <w:r w:rsidRPr="00227B56">
        <w:rPr>
          <w:rFonts w:ascii="Arial" w:hAnsi="Arial" w:cs="Arial"/>
          <w:b/>
          <w:bCs/>
          <w:color w:val="auto"/>
          <w:sz w:val="18"/>
          <w:szCs w:val="18"/>
        </w:rPr>
        <w:t>L</w:t>
      </w:r>
      <w:r w:rsidRPr="00227B56">
        <w:rPr>
          <w:rFonts w:ascii="Arial" w:hAnsi="Arial" w:cs="Arial"/>
          <w:color w:val="auto"/>
          <w:sz w:val="18"/>
          <w:szCs w:val="18"/>
        </w:rPr>
        <w:t>iquidity and System and sensibility</w:t>
      </w:r>
      <w:r w:rsidR="002B4FC0" w:rsidRPr="00227B56">
        <w:rPr>
          <w:rFonts w:ascii="Arial" w:hAnsi="Arial" w:cs="Arial"/>
          <w:color w:val="auto"/>
          <w:sz w:val="18"/>
          <w:szCs w:val="18"/>
        </w:rPr>
        <w:t xml:space="preserve"> </w:t>
      </w:r>
      <w:r w:rsidR="002B4FC0" w:rsidRPr="00227B56">
        <w:rPr>
          <w:rFonts w:ascii="Arial" w:hAnsi="Arial" w:cs="Arial"/>
          <w:color w:val="auto"/>
          <w:sz w:val="18"/>
          <w:szCs w:val="18"/>
        </w:rPr>
        <w:fldChar w:fldCharType="begin"/>
      </w:r>
      <w:r w:rsidR="002B4FC0" w:rsidRPr="00227B56">
        <w:rPr>
          <w:rFonts w:ascii="Arial" w:hAnsi="Arial" w:cs="Arial"/>
          <w:color w:val="auto"/>
          <w:sz w:val="18"/>
          <w:szCs w:val="18"/>
        </w:rPr>
        <w:instrText xml:space="preserve"> ADDIN EN.CITE &lt;EndNote&gt;&lt;Cite&gt;&lt;Author&gt;Oyetan&lt;/Author&gt;&lt;Year&gt;1997&lt;/Year&gt;&lt;RecNum&gt;33&lt;/RecNum&gt;&lt;DisplayText&gt;(Oyetan, 1997)&lt;/DisplayText&gt;&lt;record&gt;&lt;rec-number&gt;33&lt;/rec-number&gt;&lt;foreign-keys&gt;&lt;key app="EN" db-id="5e92v09p8etvzgez9wrxxxrwdarzwpd05awa" timestamp="1548339175"&gt;33&lt;/key&gt;&lt;/foreign-keys&gt;&lt;ref-type name="Journal Article"&gt;17&lt;/ref-type&gt;&lt;contributors&gt;&lt;authors&gt;&lt;author&gt;Oyetan, JA&lt;/author&gt;&lt;/authors&gt;&lt;/contributors&gt;&lt;titles&gt;&lt;title&gt;Packaging banks for successful recapitalization&lt;/title&gt;&lt;secondary-title&gt;The Nigerian Banker, Jan-June&lt;/secondary-title&gt;&lt;/titles&gt;&lt;periodical&gt;&lt;full-title&gt;The Nigerian Banker, Jan-June&lt;/full-title&gt;&lt;/periodical&gt;&lt;pages&gt;21-24&lt;/pages&gt;&lt;dates&gt;&lt;year&gt;1997&lt;/year&gt;&lt;/dates&gt;&lt;urls&gt;&lt;/urls&gt;&lt;/record&gt;&lt;/Cite&gt;&lt;/EndNote&gt;</w:instrText>
      </w:r>
      <w:r w:rsidR="002B4FC0" w:rsidRPr="00227B56">
        <w:rPr>
          <w:rFonts w:ascii="Arial" w:hAnsi="Arial" w:cs="Arial"/>
          <w:color w:val="auto"/>
          <w:sz w:val="18"/>
          <w:szCs w:val="18"/>
        </w:rPr>
        <w:fldChar w:fldCharType="separate"/>
      </w:r>
      <w:r w:rsidR="002B4FC0" w:rsidRPr="00227B56">
        <w:rPr>
          <w:rFonts w:ascii="Arial" w:hAnsi="Arial" w:cs="Arial"/>
          <w:noProof/>
          <w:color w:val="auto"/>
          <w:sz w:val="18"/>
          <w:szCs w:val="18"/>
        </w:rPr>
        <w:t>(Oyetan, 1997)</w:t>
      </w:r>
      <w:r w:rsidR="002B4FC0" w:rsidRPr="00227B56">
        <w:rPr>
          <w:rFonts w:ascii="Arial" w:hAnsi="Arial" w:cs="Arial"/>
          <w:color w:val="auto"/>
          <w:sz w:val="18"/>
          <w:szCs w:val="18"/>
        </w:rPr>
        <w:fldChar w:fldCharType="end"/>
      </w:r>
      <w:r w:rsidRPr="00227B56">
        <w:rPr>
          <w:rFonts w:ascii="Arial" w:hAnsi="Arial" w:cs="Arial"/>
          <w:color w:val="auto"/>
          <w:sz w:val="18"/>
          <w:szCs w:val="18"/>
        </w:rPr>
        <w:t>.</w:t>
      </w:r>
    </w:p>
    <w:p w14:paraId="1837C760" w14:textId="342517D6"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Capital Adequacy and Bank Performance </w:t>
      </w:r>
    </w:p>
    <w:p w14:paraId="2EE86B05" w14:textId="04C5ED6E"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According to Whitehead (1997) adequately capitalized banking institutions can venture into greater business expansion and move resources so as to develop capacity to be more competitive effectively and efficiently in a democratic environment among high class banks thereby prompting them to be improving technologically as well as come up with innovative financial products ideas to remain competitive</w:t>
      </w:r>
      <w:r w:rsidR="00D44E29" w:rsidRPr="00227B56">
        <w:rPr>
          <w:rFonts w:ascii="Arial" w:hAnsi="Arial" w:cs="Arial"/>
          <w:color w:val="auto"/>
          <w:sz w:val="18"/>
          <w:szCs w:val="18"/>
        </w:rPr>
        <w:t xml:space="preserve"> </w:t>
      </w:r>
      <w:r w:rsidR="00D44E29" w:rsidRPr="00227B56">
        <w:rPr>
          <w:rFonts w:ascii="Arial" w:hAnsi="Arial" w:cs="Arial"/>
          <w:color w:val="auto"/>
          <w:sz w:val="18"/>
          <w:szCs w:val="18"/>
        </w:rPr>
        <w:fldChar w:fldCharType="begin"/>
      </w:r>
      <w:r w:rsidR="00D44E29" w:rsidRPr="00227B56">
        <w:rPr>
          <w:rFonts w:ascii="Arial" w:hAnsi="Arial" w:cs="Arial"/>
          <w:color w:val="auto"/>
          <w:sz w:val="18"/>
          <w:szCs w:val="18"/>
        </w:rPr>
        <w:instrText xml:space="preserve"> ADDIN EN.CITE &lt;EndNote&gt;&lt;Cite&gt;&lt;Author&gt;Whitehead&lt;/Author&gt;&lt;Year&gt;1997&lt;/Year&gt;&lt;RecNum&gt;34&lt;/RecNum&gt;&lt;DisplayText&gt;(Whitehead, 1997)&lt;/DisplayText&gt;&lt;record&gt;&lt;rec-number&gt;34&lt;/rec-number&gt;&lt;foreign-keys&gt;&lt;key app="EN" db-id="5e92v09p8etvzgez9wrxxxrwdarzwpd05awa" timestamp="1548339435"&gt;34&lt;/key&gt;&lt;/foreign-keys&gt;&lt;ref-type name="Generic"&gt;13&lt;/ref-type&gt;&lt;contributors&gt;&lt;authors&gt;&lt;author&gt;Whitehead, Laurence&lt;/author&gt;&lt;/authors&gt;&lt;/contributors&gt;&lt;titles&gt;&lt;title&gt;Models of central banking: How much convergence in neodemocracies&lt;/title&gt;&lt;/titles&gt;&lt;dates&gt;&lt;year&gt;1997&lt;/year&gt;&lt;/dates&gt;&lt;publisher&gt;Oxford, Nuffield College&lt;/publisher&gt;&lt;urls&gt;&lt;/urls&gt;&lt;/record&gt;&lt;/Cite&gt;&lt;/EndNote&gt;</w:instrText>
      </w:r>
      <w:r w:rsidR="00D44E29" w:rsidRPr="00227B56">
        <w:rPr>
          <w:rFonts w:ascii="Arial" w:hAnsi="Arial" w:cs="Arial"/>
          <w:color w:val="auto"/>
          <w:sz w:val="18"/>
          <w:szCs w:val="18"/>
        </w:rPr>
        <w:fldChar w:fldCharType="separate"/>
      </w:r>
      <w:r w:rsidR="00D44E29" w:rsidRPr="00227B56">
        <w:rPr>
          <w:rFonts w:ascii="Arial" w:hAnsi="Arial" w:cs="Arial"/>
          <w:noProof/>
          <w:color w:val="auto"/>
          <w:sz w:val="18"/>
          <w:szCs w:val="18"/>
        </w:rPr>
        <w:t>(Whitehead, 1997)</w:t>
      </w:r>
      <w:r w:rsidR="00D44E29" w:rsidRPr="00227B56">
        <w:rPr>
          <w:rFonts w:ascii="Arial" w:hAnsi="Arial" w:cs="Arial"/>
          <w:color w:val="auto"/>
          <w:sz w:val="18"/>
          <w:szCs w:val="18"/>
        </w:rPr>
        <w:fldChar w:fldCharType="end"/>
      </w:r>
      <w:r w:rsidR="00D44E29" w:rsidRPr="00227B56">
        <w:rPr>
          <w:rFonts w:ascii="Arial" w:hAnsi="Arial" w:cs="Arial"/>
          <w:color w:val="auto"/>
          <w:sz w:val="18"/>
          <w:szCs w:val="18"/>
        </w:rPr>
        <w:t xml:space="preserve"> </w:t>
      </w:r>
      <w:r w:rsidRPr="00227B56">
        <w:rPr>
          <w:rFonts w:ascii="Arial" w:hAnsi="Arial" w:cs="Arial"/>
          <w:color w:val="auto"/>
          <w:sz w:val="18"/>
          <w:szCs w:val="18"/>
        </w:rPr>
        <w:t xml:space="preserve">. </w:t>
      </w:r>
      <w:r w:rsidR="005569F2" w:rsidRPr="00227B56">
        <w:rPr>
          <w:rFonts w:ascii="Arial" w:hAnsi="Arial" w:cs="Arial"/>
          <w:color w:val="auto"/>
          <w:sz w:val="18"/>
          <w:szCs w:val="18"/>
        </w:rPr>
        <w:fldChar w:fldCharType="begin"/>
      </w:r>
      <w:r w:rsidR="005569F2" w:rsidRPr="00227B56">
        <w:rPr>
          <w:rFonts w:ascii="Arial" w:hAnsi="Arial" w:cs="Arial"/>
          <w:color w:val="auto"/>
          <w:sz w:val="18"/>
          <w:szCs w:val="18"/>
        </w:rPr>
        <w:instrText xml:space="preserve"> ADDIN EN.CITE &lt;EndNote&gt;&lt;Cite&gt;&lt;Author&gt;Alaribe&lt;/Author&gt;&lt;Year&gt;2017&lt;/Year&gt;&lt;RecNum&gt;35&lt;/RecNum&gt;&lt;DisplayText&gt;(Alaribe, 2017)&lt;/DisplayText&gt;&lt;record&gt;&lt;rec-number&gt;35&lt;/rec-number&gt;&lt;foreign-keys&gt;&lt;key app="EN" db-id="5e92v09p8etvzgez9wrxxxrwdarzwpd05awa" timestamp="1548339691"&gt;35&lt;/key&gt;&lt;/foreign-keys&gt;&lt;ref-type name="Thesis"&gt;32&lt;/ref-type&gt;&lt;contributors&gt;&lt;authors&gt;&lt;author&gt;Alaribe, Uloma Grace&lt;/author&gt;&lt;/authors&gt;&lt;/contributors&gt;&lt;titles&gt;&lt;title&gt;The Implication of 25 Billion Recapitalization Policy of Central Bank of Nigeria (CBN) on Nigerian Economy&lt;/title&gt;&lt;/titles&gt;&lt;dates&gt;&lt;year&gt;2017&lt;/year&gt;&lt;/dates&gt;&lt;urls&gt;&lt;/urls&gt;&lt;/record&gt;&lt;/Cite&gt;&lt;/EndNote&gt;</w:instrText>
      </w:r>
      <w:r w:rsidR="005569F2" w:rsidRPr="00227B56">
        <w:rPr>
          <w:rFonts w:ascii="Arial" w:hAnsi="Arial" w:cs="Arial"/>
          <w:color w:val="auto"/>
          <w:sz w:val="18"/>
          <w:szCs w:val="18"/>
        </w:rPr>
        <w:fldChar w:fldCharType="separate"/>
      </w:r>
      <w:r w:rsidR="005569F2" w:rsidRPr="00227B56">
        <w:rPr>
          <w:rFonts w:ascii="Arial" w:hAnsi="Arial" w:cs="Arial"/>
          <w:noProof/>
          <w:color w:val="auto"/>
          <w:sz w:val="18"/>
          <w:szCs w:val="18"/>
        </w:rPr>
        <w:t>(Alaribe, 2017)</w:t>
      </w:r>
      <w:r w:rsidR="005569F2" w:rsidRPr="00227B56">
        <w:rPr>
          <w:rFonts w:ascii="Arial" w:hAnsi="Arial" w:cs="Arial"/>
          <w:color w:val="auto"/>
          <w:sz w:val="18"/>
          <w:szCs w:val="18"/>
        </w:rPr>
        <w:fldChar w:fldCharType="end"/>
      </w:r>
      <w:r w:rsidRPr="00227B56">
        <w:rPr>
          <w:rFonts w:ascii="Arial" w:hAnsi="Arial" w:cs="Arial"/>
          <w:color w:val="auto"/>
          <w:sz w:val="18"/>
          <w:szCs w:val="18"/>
        </w:rPr>
        <w:t xml:space="preserve"> continues the argument by stating that  the scope of banks activities enlarges when there is  an increase in the capital base of banks, </w:t>
      </w:r>
      <w:r w:rsidR="0030080F" w:rsidRPr="00227B56">
        <w:rPr>
          <w:rFonts w:ascii="Arial" w:hAnsi="Arial" w:cs="Arial"/>
          <w:color w:val="auto"/>
          <w:sz w:val="18"/>
          <w:szCs w:val="18"/>
        </w:rPr>
        <w:t>it</w:t>
      </w:r>
      <w:r w:rsidRPr="00227B56">
        <w:rPr>
          <w:rFonts w:ascii="Arial" w:hAnsi="Arial" w:cs="Arial"/>
          <w:color w:val="auto"/>
          <w:sz w:val="18"/>
          <w:szCs w:val="18"/>
        </w:rPr>
        <w:t xml:space="preserve"> also improve performance of banks within the industry, reduce risk, ensure quality asset management as well as puts banks in a strong liquidity position .Whitehead (2005) in another context claims that if sufficiently capitalized, banks will have the following advantage over less-financed or inadequately finance banks; be more competitive more products on offer both local and offshore’ wider network cover, price products competitively, and finance a large number of diverse transactions across sectors. Also, on asset management, capitalized banks will be likely to off their clients with longer loan repayment periods and have more efficient systems as compared to other banks with the help of new information technology systems. to reduce excessive risk taking by shareholders adequate capitalization can be used as a tool, this will ensure the spread of risk between the owners and the depositors henceforth limiting the risk of the banks collapsing; the is bank by a research on Financial Markets and Policy conducted by the Kenya Centre for Research. In another view it acts as a buffer against financial costs of financial distress thereby reducing the probability of bank insolvency. Nevertheless, some scholars have argued that capital requirements are huge cost to banks which cause some but to fold-up and forcibly merge against their will. Imposing higher capital requirement constrain banks’ competitive pressure due to competition on loans, deposits as well as sources of debt and equity investment </w:t>
      </w:r>
      <w:r w:rsidR="0030080F" w:rsidRPr="00227B56">
        <w:rPr>
          <w:rFonts w:ascii="Arial" w:hAnsi="Arial" w:cs="Arial"/>
          <w:color w:val="auto"/>
          <w:sz w:val="18"/>
          <w:szCs w:val="18"/>
        </w:rPr>
        <w:fldChar w:fldCharType="begin"/>
      </w:r>
      <w:r w:rsidR="0030080F" w:rsidRPr="00227B56">
        <w:rPr>
          <w:rFonts w:ascii="Arial" w:hAnsi="Arial" w:cs="Arial"/>
          <w:color w:val="auto"/>
          <w:sz w:val="18"/>
          <w:szCs w:val="18"/>
        </w:rPr>
        <w:instrText xml:space="preserve"> ADDIN EN.CITE &lt;EndNote&gt;&lt;Cite&gt;&lt;Author&gt;Bolt&lt;/Author&gt;&lt;Year&gt;2004&lt;/Year&gt;&lt;RecNum&gt;36&lt;/RecNum&gt;&lt;DisplayText&gt;(Bolt &amp;amp; Tieman, 2004)&lt;/DisplayText&gt;&lt;record&gt;&lt;rec-number&gt;36&lt;/rec-number&gt;&lt;foreign-keys&gt;&lt;key app="EN" db-id="5e92v09p8etvzgez9wrxxxrwdarzwpd05awa" timestamp="1548340444"&gt;36&lt;/key&gt;&lt;/foreign-keys&gt;&lt;ref-type name="Journal Article"&gt;17&lt;/ref-type&gt;&lt;contributors&gt;&lt;authors&gt;&lt;author&gt;Bolt, Wilko&lt;/author&gt;&lt;author&gt;Tieman, Alexander F&lt;/author&gt;&lt;/authors&gt;&lt;/contributors&gt;&lt;titles&gt;&lt;title&gt;Banking competition, risk and regulation&lt;/title&gt;&lt;secondary-title&gt;Scandinavian Journal of Economics&lt;/secondary-title&gt;&lt;/titles&gt;&lt;periodical&gt;&lt;full-title&gt;Scandinavian Journal of Economics&lt;/full-title&gt;&lt;/periodical&gt;&lt;pages&gt;783-804&lt;/pages&gt;&lt;volume&gt;106&lt;/volume&gt;&lt;number&gt;4&lt;/number&gt;&lt;dates&gt;&lt;year&gt;2004&lt;/year&gt;&lt;/dates&gt;&lt;isbn&gt;0347-0520&lt;/isbn&gt;&lt;urls&gt;&lt;/urls&gt;&lt;/record&gt;&lt;/Cite&gt;&lt;/EndNote&gt;</w:instrText>
      </w:r>
      <w:r w:rsidR="0030080F" w:rsidRPr="00227B56">
        <w:rPr>
          <w:rFonts w:ascii="Arial" w:hAnsi="Arial" w:cs="Arial"/>
          <w:color w:val="auto"/>
          <w:sz w:val="18"/>
          <w:szCs w:val="18"/>
        </w:rPr>
        <w:fldChar w:fldCharType="separate"/>
      </w:r>
      <w:r w:rsidR="0030080F" w:rsidRPr="00227B56">
        <w:rPr>
          <w:rFonts w:ascii="Arial" w:hAnsi="Arial" w:cs="Arial"/>
          <w:noProof/>
          <w:color w:val="auto"/>
          <w:sz w:val="18"/>
          <w:szCs w:val="18"/>
        </w:rPr>
        <w:t>(Bolt &amp; Tieman, 2004)</w:t>
      </w:r>
      <w:r w:rsidR="0030080F" w:rsidRPr="00227B56">
        <w:rPr>
          <w:rFonts w:ascii="Arial" w:hAnsi="Arial" w:cs="Arial"/>
          <w:color w:val="auto"/>
          <w:sz w:val="18"/>
          <w:szCs w:val="18"/>
        </w:rPr>
        <w:fldChar w:fldCharType="end"/>
      </w:r>
      <w:r w:rsidR="0030080F" w:rsidRPr="00227B56">
        <w:rPr>
          <w:rFonts w:ascii="Arial" w:hAnsi="Arial" w:cs="Arial"/>
          <w:color w:val="auto"/>
          <w:sz w:val="18"/>
          <w:szCs w:val="18"/>
        </w:rPr>
        <w:t xml:space="preserve">. </w:t>
      </w:r>
      <w:r w:rsidRPr="00227B56">
        <w:rPr>
          <w:rFonts w:ascii="Arial" w:hAnsi="Arial" w:cs="Arial"/>
          <w:color w:val="auto"/>
          <w:sz w:val="18"/>
          <w:szCs w:val="18"/>
        </w:rPr>
        <w:t xml:space="preserve">In moments of high capitalizations banks might respond by giving limited credit, reduce their interest rate on deposits and other time deposits in an effort to maintain the required high capital base, this in a way will restrain </w:t>
      </w:r>
      <w:r w:rsidRPr="00227B56">
        <w:rPr>
          <w:rFonts w:ascii="Arial" w:hAnsi="Arial" w:cs="Arial"/>
          <w:color w:val="auto"/>
          <w:sz w:val="18"/>
          <w:szCs w:val="18"/>
        </w:rPr>
        <w:lastRenderedPageBreak/>
        <w:t xml:space="preserve">the operations of the banks. The “too-big-to-fail” syndrome may affect financial institutions with adequate capital and this might lead to riskier investments </w:t>
      </w:r>
      <w:r w:rsidR="00553083" w:rsidRPr="00227B56">
        <w:rPr>
          <w:rFonts w:ascii="Arial" w:hAnsi="Arial" w:cs="Arial"/>
          <w:color w:val="auto"/>
          <w:sz w:val="18"/>
          <w:szCs w:val="18"/>
        </w:rPr>
        <w:fldChar w:fldCharType="begin"/>
      </w:r>
      <w:r w:rsidR="00553083" w:rsidRPr="00227B56">
        <w:rPr>
          <w:rFonts w:ascii="Arial" w:hAnsi="Arial" w:cs="Arial"/>
          <w:color w:val="auto"/>
          <w:sz w:val="18"/>
          <w:szCs w:val="18"/>
        </w:rPr>
        <w:instrText xml:space="preserve"> ADDIN EN.CITE &lt;EndNote&gt;&lt;Cite&gt;&lt;Author&gt;Berger&lt;/Author&gt;&lt;Year&gt;2008&lt;/Year&gt;&lt;RecNum&gt;37&lt;/RecNum&gt;&lt;DisplayText&gt;(T. Berger, 2008)&lt;/DisplayText&gt;&lt;record&gt;&lt;rec-number&gt;37&lt;/rec-number&gt;&lt;foreign-keys&gt;&lt;key app="EN" db-id="5e92v09p8etvzgez9wrxxxrwdarzwpd05awa" timestamp="1548341700"&gt;37&lt;/key&gt;&lt;/foreign-keys&gt;&lt;ref-type name="Journal Article"&gt;17&lt;/ref-type&gt;&lt;contributors&gt;&lt;authors&gt;&lt;author&gt;Berger, Thomas&lt;/author&gt;&lt;/authors&gt;&lt;/contributors&gt;&lt;titles&gt;&lt;title&gt;Concepts of national competitiveness&lt;/title&gt;&lt;secondary-title&gt;Journal of international business and economy&lt;/secondary-title&gt;&lt;/titles&gt;&lt;periodical&gt;&lt;full-title&gt;Journal of international business and economy&lt;/full-title&gt;&lt;/periodical&gt;&lt;pages&gt;91-111&lt;/pages&gt;&lt;volume&gt;9&lt;/volume&gt;&lt;number&gt;1&lt;/number&gt;&lt;dates&gt;&lt;year&gt;2008&lt;/year&gt;&lt;/dates&gt;&lt;urls&gt;&lt;/urls&gt;&lt;/record&gt;&lt;/Cite&gt;&lt;/EndNote&gt;</w:instrText>
      </w:r>
      <w:r w:rsidR="00553083" w:rsidRPr="00227B56">
        <w:rPr>
          <w:rFonts w:ascii="Arial" w:hAnsi="Arial" w:cs="Arial"/>
          <w:color w:val="auto"/>
          <w:sz w:val="18"/>
          <w:szCs w:val="18"/>
        </w:rPr>
        <w:fldChar w:fldCharType="separate"/>
      </w:r>
      <w:r w:rsidR="00553083" w:rsidRPr="00227B56">
        <w:rPr>
          <w:rFonts w:ascii="Arial" w:hAnsi="Arial" w:cs="Arial"/>
          <w:noProof/>
          <w:color w:val="auto"/>
          <w:sz w:val="18"/>
          <w:szCs w:val="18"/>
        </w:rPr>
        <w:t>(T. Berger, 2008)</w:t>
      </w:r>
      <w:r w:rsidR="00553083" w:rsidRPr="00227B56">
        <w:rPr>
          <w:rFonts w:ascii="Arial" w:hAnsi="Arial" w:cs="Arial"/>
          <w:color w:val="auto"/>
          <w:sz w:val="18"/>
          <w:szCs w:val="18"/>
        </w:rPr>
        <w:fldChar w:fldCharType="end"/>
      </w:r>
      <w:r w:rsidR="00553083" w:rsidRPr="00227B56">
        <w:rPr>
          <w:rFonts w:ascii="Arial" w:hAnsi="Arial" w:cs="Arial"/>
          <w:color w:val="auto"/>
          <w:sz w:val="18"/>
          <w:szCs w:val="18"/>
        </w:rPr>
        <w:t>.</w:t>
      </w:r>
      <w:r w:rsidRPr="00227B56">
        <w:rPr>
          <w:rFonts w:ascii="Arial" w:hAnsi="Arial" w:cs="Arial"/>
          <w:color w:val="auto"/>
          <w:sz w:val="18"/>
          <w:szCs w:val="18"/>
        </w:rPr>
        <w:t xml:space="preserve"> </w:t>
      </w:r>
    </w:p>
    <w:p w14:paraId="0A8385C7" w14:textId="3A642841"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Capital requirements and new entrants </w:t>
      </w:r>
    </w:p>
    <w:p w14:paraId="72AFE441" w14:textId="626856B3"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Basel accord aimed at creating equal platform all banks that participate aggressively in the financial Markets. In the case of Ghana, the introduction of new capital minimum of 400million which banks are to meet by the end of 2018 has created serious challenges to both the economy as well as the banking system putting two banks out of business (Capital Bank and UT bank). According to Diamon</w:t>
      </w:r>
      <w:r w:rsidR="001A3EB7" w:rsidRPr="00227B56">
        <w:rPr>
          <w:rFonts w:ascii="Arial" w:hAnsi="Arial" w:cs="Arial"/>
          <w:color w:val="auto"/>
          <w:sz w:val="18"/>
          <w:szCs w:val="18"/>
        </w:rPr>
        <w:t>d</w:t>
      </w:r>
      <w:r w:rsidRPr="00227B56">
        <w:rPr>
          <w:rFonts w:ascii="Arial" w:hAnsi="Arial" w:cs="Arial"/>
          <w:color w:val="auto"/>
          <w:sz w:val="18"/>
          <w:szCs w:val="18"/>
        </w:rPr>
        <w:t xml:space="preserve"> and P. D</w:t>
      </w:r>
      <w:r w:rsidR="001A3EB7" w:rsidRPr="00227B56">
        <w:rPr>
          <w:rFonts w:ascii="Arial" w:hAnsi="Arial" w:cs="Arial"/>
          <w:color w:val="auto"/>
          <w:sz w:val="18"/>
          <w:szCs w:val="18"/>
        </w:rPr>
        <w:t>y</w:t>
      </w:r>
      <w:r w:rsidRPr="00227B56">
        <w:rPr>
          <w:rFonts w:ascii="Arial" w:hAnsi="Arial" w:cs="Arial"/>
          <w:color w:val="auto"/>
          <w:sz w:val="18"/>
          <w:szCs w:val="18"/>
        </w:rPr>
        <w:t>b</w:t>
      </w:r>
      <w:r w:rsidR="001A3EB7" w:rsidRPr="00227B56">
        <w:rPr>
          <w:rFonts w:ascii="Arial" w:hAnsi="Arial" w:cs="Arial"/>
          <w:color w:val="auto"/>
          <w:sz w:val="18"/>
          <w:szCs w:val="18"/>
        </w:rPr>
        <w:t>v</w:t>
      </w:r>
      <w:r w:rsidRPr="00227B56">
        <w:rPr>
          <w:rFonts w:ascii="Arial" w:hAnsi="Arial" w:cs="Arial"/>
          <w:color w:val="auto"/>
          <w:sz w:val="18"/>
          <w:szCs w:val="18"/>
        </w:rPr>
        <w:t>ing (1986) regulatory policy driven solely by macro-economic goals may destroy banks by averting them from providing the services that are major to banks</w:t>
      </w:r>
      <w:r w:rsidR="001A3EB7" w:rsidRPr="00227B56">
        <w:rPr>
          <w:rFonts w:ascii="Arial" w:hAnsi="Arial" w:cs="Arial"/>
          <w:color w:val="auto"/>
          <w:sz w:val="18"/>
          <w:szCs w:val="18"/>
        </w:rPr>
        <w:fldChar w:fldCharType="begin"/>
      </w:r>
      <w:r w:rsidR="001A3EB7" w:rsidRPr="00227B56">
        <w:rPr>
          <w:rFonts w:ascii="Arial" w:hAnsi="Arial" w:cs="Arial"/>
          <w:color w:val="auto"/>
          <w:sz w:val="18"/>
          <w:szCs w:val="18"/>
        </w:rPr>
        <w:instrText xml:space="preserve"> ADDIN EN.CITE &lt;EndNote&gt;&lt;Cite&gt;&lt;Author&gt;Diamond&lt;/Author&gt;&lt;Year&gt;1983&lt;/Year&gt;&lt;RecNum&gt;39&lt;/RecNum&gt;&lt;DisplayText&gt;(Diamond &amp;amp; Dybvig, 1983)&lt;/DisplayText&gt;&lt;record&gt;&lt;rec-number&gt;39&lt;/rec-number&gt;&lt;foreign-keys&gt;&lt;key app="EN" db-id="5e92v09p8etvzgez9wrxxxrwdarzwpd05awa" timestamp="1548342223"&gt;39&lt;/key&gt;&lt;/foreign-keys&gt;&lt;ref-type name="Journal Article"&gt;17&lt;/ref-type&gt;&lt;contributors&gt;&lt;authors&gt;&lt;author&gt;Diamond, Douglas W&lt;/author&gt;&lt;author&gt;Dybvig, Philip H&lt;/author&gt;&lt;/authors&gt;&lt;/contributors&gt;&lt;titles&gt;&lt;title&gt;Bank runs, deposit insurance, and liquidity&lt;/title&gt;&lt;secondary-title&gt;Journal of political economy&lt;/secondary-title&gt;&lt;/titles&gt;&lt;periodical&gt;&lt;full-title&gt;Journal of political economy&lt;/full-title&gt;&lt;/periodical&gt;&lt;pages&gt;401-419&lt;/pages&gt;&lt;volume&gt;91&lt;/volume&gt;&lt;number&gt;3&lt;/number&gt;&lt;dates&gt;&lt;year&gt;1983&lt;/year&gt;&lt;/dates&gt;&lt;isbn&gt;0022-3808&lt;/isbn&gt;&lt;urls&gt;&lt;/urls&gt;&lt;/record&gt;&lt;/Cite&gt;&lt;/EndNote&gt;</w:instrText>
      </w:r>
      <w:r w:rsidR="001A3EB7" w:rsidRPr="00227B56">
        <w:rPr>
          <w:rFonts w:ascii="Arial" w:hAnsi="Arial" w:cs="Arial"/>
          <w:color w:val="auto"/>
          <w:sz w:val="18"/>
          <w:szCs w:val="18"/>
        </w:rPr>
        <w:fldChar w:fldCharType="separate"/>
      </w:r>
      <w:r w:rsidR="001A3EB7" w:rsidRPr="00227B56">
        <w:rPr>
          <w:rFonts w:ascii="Arial" w:hAnsi="Arial" w:cs="Arial"/>
          <w:noProof/>
          <w:color w:val="auto"/>
          <w:sz w:val="18"/>
          <w:szCs w:val="18"/>
        </w:rPr>
        <w:t>(Diamond &amp; Dybvig, 1983)</w:t>
      </w:r>
      <w:r w:rsidR="001A3EB7" w:rsidRPr="00227B56">
        <w:rPr>
          <w:rFonts w:ascii="Arial" w:hAnsi="Arial" w:cs="Arial"/>
          <w:color w:val="auto"/>
          <w:sz w:val="18"/>
          <w:szCs w:val="18"/>
        </w:rPr>
        <w:fldChar w:fldCharType="end"/>
      </w:r>
      <w:r w:rsidRPr="00227B56">
        <w:rPr>
          <w:rFonts w:ascii="Arial" w:hAnsi="Arial" w:cs="Arial"/>
          <w:color w:val="auto"/>
          <w:sz w:val="18"/>
          <w:szCs w:val="18"/>
        </w:rPr>
        <w:t xml:space="preserve">. </w:t>
      </w:r>
    </w:p>
    <w:p w14:paraId="60D47DF5" w14:textId="6D51A36F"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Bank Capitalisation and profitability </w:t>
      </w:r>
    </w:p>
    <w:p w14:paraId="52F11305" w14:textId="34FD5FC0"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The final goal of management of banks is to record profit as the end of the financial year</w:t>
      </w:r>
      <w:r w:rsidRPr="00227B56">
        <w:rPr>
          <w:rFonts w:ascii="Arial" w:hAnsi="Arial" w:cs="Arial"/>
          <w:bCs/>
          <w:color w:val="auto"/>
          <w:sz w:val="18"/>
          <w:szCs w:val="18"/>
        </w:rPr>
        <w:t xml:space="preserve">. In a study conduct by </w:t>
      </w:r>
      <w:r w:rsidRPr="00227B56">
        <w:rPr>
          <w:rFonts w:ascii="Arial" w:hAnsi="Arial" w:cs="Arial"/>
          <w:color w:val="auto"/>
          <w:sz w:val="18"/>
          <w:szCs w:val="18"/>
        </w:rPr>
        <w:t>Berger</w:t>
      </w:r>
      <w:r w:rsidR="00553083" w:rsidRPr="00227B56">
        <w:rPr>
          <w:rFonts w:ascii="Arial" w:hAnsi="Arial" w:cs="Arial"/>
          <w:color w:val="auto"/>
          <w:sz w:val="18"/>
          <w:szCs w:val="18"/>
        </w:rPr>
        <w:t xml:space="preserve"> et al</w:t>
      </w:r>
      <w:r w:rsidRPr="00227B56">
        <w:rPr>
          <w:rFonts w:ascii="Arial" w:hAnsi="Arial" w:cs="Arial"/>
          <w:color w:val="auto"/>
          <w:sz w:val="18"/>
          <w:szCs w:val="18"/>
        </w:rPr>
        <w:t xml:space="preserve"> (1995) in United States for the era from 1983-1992, which was on the relationship between the return on equity and the capital asset ratio for a number of banks and his results depicted that return on equity and capital asset ratio tend to be positively related</w:t>
      </w:r>
      <w:r w:rsidR="00553083" w:rsidRPr="00227B56">
        <w:rPr>
          <w:rFonts w:ascii="Arial" w:hAnsi="Arial" w:cs="Arial"/>
          <w:color w:val="auto"/>
          <w:sz w:val="18"/>
          <w:szCs w:val="18"/>
        </w:rPr>
        <w:t xml:space="preserve"> </w:t>
      </w:r>
      <w:r w:rsidR="00553083" w:rsidRPr="00227B56">
        <w:rPr>
          <w:rFonts w:ascii="Arial" w:hAnsi="Arial" w:cs="Arial"/>
          <w:color w:val="auto"/>
          <w:sz w:val="18"/>
          <w:szCs w:val="18"/>
        </w:rPr>
        <w:fldChar w:fldCharType="begin"/>
      </w:r>
      <w:r w:rsidR="00553083" w:rsidRPr="00227B56">
        <w:rPr>
          <w:rFonts w:ascii="Arial" w:hAnsi="Arial" w:cs="Arial"/>
          <w:color w:val="auto"/>
          <w:sz w:val="18"/>
          <w:szCs w:val="18"/>
        </w:rPr>
        <w:instrText xml:space="preserve"> ADDIN EN.CITE &lt;EndNote&gt;&lt;Cite&gt;&lt;Author&gt;Berger&lt;/Author&gt;&lt;Year&gt;1995&lt;/Year&gt;&lt;RecNum&gt;38&lt;/RecNum&gt;&lt;DisplayText&gt;(A. N. Berger, Herring, &amp;amp; Szegö, 1995)&lt;/DisplayText&gt;&lt;record&gt;&lt;rec-number&gt;38&lt;/rec-number&gt;&lt;foreign-keys&gt;&lt;key app="EN" db-id="5e92v09p8etvzgez9wrxxxrwdarzwpd05awa" timestamp="1548341868"&gt;38&lt;/key&gt;&lt;/foreign-keys&gt;&lt;ref-type name="Journal Article"&gt;17&lt;/ref-type&gt;&lt;contributors&gt;&lt;authors&gt;&lt;author&gt;Berger, Allen N&lt;/author&gt;&lt;author&gt;Herring, Richard J&lt;/author&gt;&lt;author&gt;Szegö, Giorgio P&lt;/author&gt;&lt;/authors&gt;&lt;/contributors&gt;&lt;titles&gt;&lt;title&gt;The role of capital in financial institutions&lt;/title&gt;&lt;secondary-title&gt;Journal of Banking &amp;amp; Finance&lt;/secondary-title&gt;&lt;/titles&gt;&lt;periodical&gt;&lt;full-title&gt;Journal of Banking &amp;amp; Finance&lt;/full-title&gt;&lt;/periodical&gt;&lt;pages&gt;393-430&lt;/pages&gt;&lt;volume&gt;19&lt;/volume&gt;&lt;number&gt;3-4&lt;/number&gt;&lt;dates&gt;&lt;year&gt;1995&lt;/year&gt;&lt;/dates&gt;&lt;isbn&gt;0378-4266&lt;/isbn&gt;&lt;urls&gt;&lt;/urls&gt;&lt;/record&gt;&lt;/Cite&gt;&lt;/EndNote&gt;</w:instrText>
      </w:r>
      <w:r w:rsidR="00553083" w:rsidRPr="00227B56">
        <w:rPr>
          <w:rFonts w:ascii="Arial" w:hAnsi="Arial" w:cs="Arial"/>
          <w:color w:val="auto"/>
          <w:sz w:val="18"/>
          <w:szCs w:val="18"/>
        </w:rPr>
        <w:fldChar w:fldCharType="separate"/>
      </w:r>
      <w:r w:rsidR="00553083" w:rsidRPr="00227B56">
        <w:rPr>
          <w:rFonts w:ascii="Arial" w:hAnsi="Arial" w:cs="Arial"/>
          <w:noProof/>
          <w:color w:val="auto"/>
          <w:sz w:val="18"/>
          <w:szCs w:val="18"/>
        </w:rPr>
        <w:t>(A. N. Berger, Herring, &amp; Szegö, 1995)</w:t>
      </w:r>
      <w:r w:rsidR="00553083" w:rsidRPr="00227B56">
        <w:rPr>
          <w:rFonts w:ascii="Arial" w:hAnsi="Arial" w:cs="Arial"/>
          <w:color w:val="auto"/>
          <w:sz w:val="18"/>
          <w:szCs w:val="18"/>
        </w:rPr>
        <w:fldChar w:fldCharType="end"/>
      </w:r>
      <w:r w:rsidRPr="00227B56">
        <w:rPr>
          <w:rFonts w:ascii="Arial" w:hAnsi="Arial" w:cs="Arial"/>
          <w:color w:val="auto"/>
          <w:sz w:val="18"/>
          <w:szCs w:val="18"/>
        </w:rPr>
        <w:t xml:space="preserve">. Insufficient capital requirements or in ability of a bank to meet the capital requirement might cause deposited to refrain from dealing with the banks which will therefore have an adverse effect on the overall profitability of the bank. </w:t>
      </w:r>
    </w:p>
    <w:p w14:paraId="057379B1" w14:textId="2C7833E6"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color w:val="auto"/>
          <w:sz w:val="18"/>
          <w:szCs w:val="18"/>
        </w:rPr>
        <w:t>This positive correlation between capital and profitability has also been concurred to by Furlong and Keeley (1989), Keeley and Furlong (1990), Berger (199</w:t>
      </w:r>
      <w:r w:rsidR="001A3EB7" w:rsidRPr="00227B56">
        <w:rPr>
          <w:rFonts w:ascii="Arial" w:hAnsi="Arial" w:cs="Arial"/>
          <w:color w:val="auto"/>
          <w:sz w:val="18"/>
          <w:szCs w:val="18"/>
        </w:rPr>
        <w:t>5</w:t>
      </w:r>
      <w:r w:rsidRPr="00227B56">
        <w:rPr>
          <w:rFonts w:ascii="Arial" w:hAnsi="Arial" w:cs="Arial"/>
          <w:color w:val="auto"/>
          <w:sz w:val="18"/>
          <w:szCs w:val="18"/>
        </w:rPr>
        <w:t>) and Kwan and Eisenbe is (2005) who all assert that increase in minimum capital requirements reduce the risk of bank distress which will then result in increased profitability. Various scholars point to the notion that an increase in bank capital results in an increase in banks overall returns. A study carried out in India indicated that banks with higher capital requirements have the ability to absorb unexpected losses easily and have reduced cost of capital which means their profit levels are usually high</w:t>
      </w:r>
      <w:r w:rsidR="001A3EB7" w:rsidRPr="00227B56">
        <w:rPr>
          <w:rFonts w:ascii="Arial" w:hAnsi="Arial" w:cs="Arial"/>
          <w:color w:val="auto"/>
          <w:sz w:val="18"/>
          <w:szCs w:val="18"/>
        </w:rPr>
        <w:fldChar w:fldCharType="begin"/>
      </w:r>
      <w:r w:rsidR="001A3EB7" w:rsidRPr="00227B56">
        <w:rPr>
          <w:rFonts w:ascii="Arial" w:hAnsi="Arial" w:cs="Arial"/>
          <w:color w:val="auto"/>
          <w:sz w:val="18"/>
          <w:szCs w:val="18"/>
        </w:rPr>
        <w:instrText xml:space="preserve"> ADDIN EN.CITE &lt;EndNote&gt;&lt;Cite&gt;&lt;Author&gt;Furlong&lt;/Author&gt;&lt;Year&gt;1989&lt;/Year&gt;&lt;RecNum&gt;42&lt;/RecNum&gt;&lt;DisplayText&gt;(Furlong &amp;amp; Keeley, 1989)&lt;/DisplayText&gt;&lt;record&gt;&lt;rec-number&gt;42&lt;/rec-number&gt;&lt;foreign-keys&gt;&lt;key app="EN" db-id="5e92v09p8etvzgez9wrxxxrwdarzwpd05awa" timestamp="1548342692"&gt;42&lt;/key&gt;&lt;/foreign-keys&gt;&lt;ref-type name="Journal Article"&gt;17&lt;/ref-type&gt;&lt;contributors&gt;&lt;authors&gt;&lt;author&gt;Furlong, Frederick T&lt;/author&gt;&lt;author&gt;Keeley, Michael C&lt;/author&gt;&lt;/authors&gt;&lt;/contributors&gt;&lt;titles&gt;&lt;title&gt;Capital regulation and bank risk-taking: A note&lt;/title&gt;&lt;secondary-title&gt;Journal of banking &amp;amp; finance&lt;/secondary-title&gt;&lt;/titles&gt;&lt;periodical&gt;&lt;full-title&gt;Journal of Banking &amp;amp; Finance&lt;/full-title&gt;&lt;/periodical&gt;&lt;pages&gt;883-891&lt;/pages&gt;&lt;volume&gt;13&lt;/volume&gt;&lt;number&gt;6&lt;/number&gt;&lt;dates&gt;&lt;year&gt;1989&lt;/year&gt;&lt;/dates&gt;&lt;isbn&gt;0378-4266&lt;/isbn&gt;&lt;urls&gt;&lt;/urls&gt;&lt;/record&gt;&lt;/Cite&gt;&lt;/EndNote&gt;</w:instrText>
      </w:r>
      <w:r w:rsidR="001A3EB7" w:rsidRPr="00227B56">
        <w:rPr>
          <w:rFonts w:ascii="Arial" w:hAnsi="Arial" w:cs="Arial"/>
          <w:color w:val="auto"/>
          <w:sz w:val="18"/>
          <w:szCs w:val="18"/>
        </w:rPr>
        <w:fldChar w:fldCharType="separate"/>
      </w:r>
      <w:r w:rsidR="001A3EB7" w:rsidRPr="00227B56">
        <w:rPr>
          <w:rFonts w:ascii="Arial" w:hAnsi="Arial" w:cs="Arial"/>
          <w:noProof/>
          <w:color w:val="auto"/>
          <w:sz w:val="18"/>
          <w:szCs w:val="18"/>
        </w:rPr>
        <w:t>(Furlong &amp; Keeley, 1989)</w:t>
      </w:r>
      <w:r w:rsidR="001A3EB7" w:rsidRPr="00227B56">
        <w:rPr>
          <w:rFonts w:ascii="Arial" w:hAnsi="Arial" w:cs="Arial"/>
          <w:color w:val="auto"/>
          <w:sz w:val="18"/>
          <w:szCs w:val="18"/>
        </w:rPr>
        <w:fldChar w:fldCharType="end"/>
      </w:r>
      <w:r w:rsidR="001A3EB7" w:rsidRPr="00227B56">
        <w:rPr>
          <w:rFonts w:ascii="Arial" w:hAnsi="Arial" w:cs="Arial"/>
          <w:color w:val="auto"/>
          <w:sz w:val="18"/>
          <w:szCs w:val="18"/>
        </w:rPr>
        <w:t xml:space="preserve"> and </w:t>
      </w:r>
      <w:r w:rsidR="001A3EB7" w:rsidRPr="00227B56">
        <w:rPr>
          <w:rFonts w:ascii="Arial" w:hAnsi="Arial" w:cs="Arial"/>
          <w:color w:val="auto"/>
          <w:sz w:val="18"/>
          <w:szCs w:val="18"/>
        </w:rPr>
        <w:fldChar w:fldCharType="begin"/>
      </w:r>
      <w:r w:rsidR="001A3EB7" w:rsidRPr="00227B56">
        <w:rPr>
          <w:rFonts w:ascii="Arial" w:hAnsi="Arial" w:cs="Arial"/>
          <w:color w:val="auto"/>
          <w:sz w:val="18"/>
          <w:szCs w:val="18"/>
        </w:rPr>
        <w:instrText xml:space="preserve"> ADDIN EN.CITE &lt;EndNote&gt;&lt;Cite&gt;&lt;Author&gt;Eisenbeis&lt;/Author&gt;&lt;Year&gt;2005&lt;/Year&gt;&lt;RecNum&gt;43&lt;/RecNum&gt;&lt;DisplayText&gt;(Eisenbeis &amp;amp; Kwan, 2005)&lt;/DisplayText&gt;&lt;record&gt;&lt;rec-number&gt;43&lt;/rec-number&gt;&lt;foreign-keys&gt;&lt;key app="EN" db-id="5e92v09p8etvzgez9wrxxxrwdarzwpd05awa" timestamp="1548342800"&gt;43&lt;/key&gt;&lt;/foreign-keys&gt;&lt;ref-type name="Journal Article"&gt;17&lt;/ref-type&gt;&lt;contributors&gt;&lt;authors&gt;&lt;author&gt;Eisenbeis, RA&lt;/author&gt;&lt;author&gt;Kwan, S&lt;/author&gt;&lt;/authors&gt;&lt;/contributors&gt;&lt;titles&gt;&lt;title&gt;Bank Risk, Capitalization and Inefficiency&lt;/title&gt;&lt;secondary-title&gt;Paper Retrieved on September&lt;/secondary-title&gt;&lt;/titles&gt;&lt;periodical&gt;&lt;full-title&gt;Paper Retrieved on September&lt;/full-title&gt;&lt;/periodical&gt;&lt;pages&gt;2005&lt;/pages&gt;&lt;volume&gt;8&lt;/volume&gt;&lt;dates&gt;&lt;year&gt;2005&lt;/year&gt;&lt;/dates&gt;&lt;urls&gt;&lt;/urls&gt;&lt;/record&gt;&lt;/Cite&gt;&lt;/EndNote&gt;</w:instrText>
      </w:r>
      <w:r w:rsidR="001A3EB7" w:rsidRPr="00227B56">
        <w:rPr>
          <w:rFonts w:ascii="Arial" w:hAnsi="Arial" w:cs="Arial"/>
          <w:color w:val="auto"/>
          <w:sz w:val="18"/>
          <w:szCs w:val="18"/>
        </w:rPr>
        <w:fldChar w:fldCharType="separate"/>
      </w:r>
      <w:r w:rsidR="001A3EB7" w:rsidRPr="00227B56">
        <w:rPr>
          <w:rFonts w:ascii="Arial" w:hAnsi="Arial" w:cs="Arial"/>
          <w:noProof/>
          <w:color w:val="auto"/>
          <w:sz w:val="18"/>
          <w:szCs w:val="18"/>
        </w:rPr>
        <w:t>(Eisenbeis &amp; Kwan, 2005)</w:t>
      </w:r>
      <w:r w:rsidR="001A3EB7" w:rsidRPr="00227B56">
        <w:rPr>
          <w:rFonts w:ascii="Arial" w:hAnsi="Arial" w:cs="Arial"/>
          <w:color w:val="auto"/>
          <w:sz w:val="18"/>
          <w:szCs w:val="18"/>
        </w:rPr>
        <w:fldChar w:fldCharType="end"/>
      </w:r>
      <w:r w:rsidRPr="00227B56">
        <w:rPr>
          <w:rFonts w:ascii="Arial" w:hAnsi="Arial" w:cs="Arial"/>
          <w:color w:val="auto"/>
          <w:sz w:val="18"/>
          <w:szCs w:val="18"/>
        </w:rPr>
        <w:t>. Evidence from studies carried out on United States Banks state that apart from regulatory pressures, a bank’s capital level may depend on their business plan. A bank that intends</w:t>
      </w:r>
      <w:r w:rsidR="00EF4A19" w:rsidRPr="00227B56">
        <w:rPr>
          <w:rFonts w:ascii="Arial" w:hAnsi="Arial" w:cs="Arial"/>
          <w:color w:val="auto"/>
          <w:sz w:val="18"/>
          <w:szCs w:val="18"/>
        </w:rPr>
        <w:t xml:space="preserve"> to take over another bank will</w:t>
      </w:r>
      <w:r w:rsidRPr="00227B56">
        <w:rPr>
          <w:rFonts w:ascii="Arial" w:hAnsi="Arial" w:cs="Arial"/>
          <w:color w:val="auto"/>
          <w:sz w:val="18"/>
          <w:szCs w:val="18"/>
        </w:rPr>
        <w:t xml:space="preserve"> adequately capitalized to impress regulator without necessarily being profitable (Berge et al</w:t>
      </w:r>
      <w:r w:rsidR="001A3EB7" w:rsidRPr="00227B56">
        <w:rPr>
          <w:rFonts w:ascii="Arial" w:hAnsi="Arial" w:cs="Arial"/>
          <w:color w:val="auto"/>
          <w:sz w:val="18"/>
          <w:szCs w:val="18"/>
        </w:rPr>
        <w:t xml:space="preserve"> 1995</w:t>
      </w:r>
      <w:r w:rsidRPr="00227B56">
        <w:rPr>
          <w:rFonts w:ascii="Arial" w:hAnsi="Arial" w:cs="Arial"/>
          <w:color w:val="auto"/>
          <w:sz w:val="18"/>
          <w:szCs w:val="18"/>
        </w:rPr>
        <w:t xml:space="preserve">). </w:t>
      </w:r>
    </w:p>
    <w:p w14:paraId="3A102ABB" w14:textId="17C9AEE4" w:rsidR="00C40CC2" w:rsidRPr="00227B56" w:rsidRDefault="00C40CC2" w:rsidP="00C40CC2">
      <w:pPr>
        <w:pStyle w:val="Default"/>
        <w:spacing w:line="360" w:lineRule="auto"/>
        <w:jc w:val="both"/>
        <w:rPr>
          <w:rFonts w:ascii="Arial" w:hAnsi="Arial" w:cs="Arial"/>
          <w:color w:val="auto"/>
          <w:sz w:val="18"/>
          <w:szCs w:val="18"/>
        </w:rPr>
      </w:pPr>
      <w:r w:rsidRPr="00227B56">
        <w:rPr>
          <w:rFonts w:ascii="Arial" w:hAnsi="Arial" w:cs="Arial"/>
          <w:b/>
          <w:bCs/>
          <w:color w:val="auto"/>
          <w:sz w:val="18"/>
          <w:szCs w:val="18"/>
        </w:rPr>
        <w:t xml:space="preserve">Buffer capital adequacy </w:t>
      </w:r>
    </w:p>
    <w:p w14:paraId="194420F3" w14:textId="2E55BAA1"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Banks keeps internal non-required referred to as a bank’s buffer capital. This type of capital does not fluctuate over time.  Buffer Capital refers to the ratio of excess capital over risk weighted assets.  The buffer theory of Calem and Rob (1986) state that a bank whose capital is close to the regulatory minimum capital ratio may have an incentive to boost capital and reduce risk in order to evade regulatory costs triggered by breach of capital requirements. Some scholars also argue that a bank’s excess capital acts as insurance against costs that may occur due to losses on loans or due to random shocks and the insurance premium is usually equal to the return on equity or interest rate on subordinated debt that the bank pays in order to attract new capital. To know the level of buffer capital required from one period to another, banks needs structures, systems and tools sufficient enough to of accurately assessing the risk innate in the banking portfolios – often at very granular levels</w:t>
      </w:r>
      <w:r w:rsidR="00DA079A" w:rsidRPr="00227B56">
        <w:rPr>
          <w:rFonts w:ascii="Arial" w:hAnsi="Arial" w:cs="Arial"/>
          <w:sz w:val="18"/>
          <w:szCs w:val="18"/>
        </w:rPr>
        <w:t xml:space="preserve"> </w:t>
      </w:r>
      <w:r w:rsidR="00DA079A" w:rsidRPr="00227B56">
        <w:rPr>
          <w:rFonts w:ascii="Arial" w:hAnsi="Arial" w:cs="Arial"/>
          <w:sz w:val="18"/>
          <w:szCs w:val="18"/>
        </w:rPr>
        <w:fldChar w:fldCharType="begin"/>
      </w:r>
      <w:r w:rsidR="00DA079A" w:rsidRPr="00227B56">
        <w:rPr>
          <w:rFonts w:ascii="Arial" w:hAnsi="Arial" w:cs="Arial"/>
          <w:sz w:val="18"/>
          <w:szCs w:val="18"/>
        </w:rPr>
        <w:instrText xml:space="preserve"> ADDIN EN.CITE &lt;EndNote&gt;&lt;Cite&gt;&lt;Author&gt;Rime&lt;/Author&gt;&lt;Year&gt;2001&lt;/Year&gt;&lt;RecNum&gt;44&lt;/RecNum&gt;&lt;DisplayText&gt;(Rime, 2001)&lt;/DisplayText&gt;&lt;record&gt;&lt;rec-number&gt;44&lt;/rec-number&gt;&lt;foreign-keys&gt;&lt;key app="EN" db-id="5e92v09p8etvzgez9wrxxxrwdarzwpd05awa" timestamp="1548342853"&gt;44&lt;/key&gt;&lt;/foreign-keys&gt;&lt;ref-type name="Journal Article"&gt;17&lt;/ref-type&gt;&lt;contributors&gt;&lt;authors&gt;&lt;author&gt;Rime, Bertrand&lt;/author&gt;&lt;/authors&gt;&lt;/contributors&gt;&lt;titles&gt;&lt;title&gt;Capital requirements and bank behaviour: Empirical evidence for Switzerland&lt;/title&gt;&lt;secondary-title&gt;Journal of Banking &amp;amp; Finance&lt;/secondary-title&gt;&lt;/titles&gt;&lt;periodical&gt;&lt;full-title&gt;Journal of Banking &amp;amp; Finance&lt;/full-title&gt;&lt;/periodical&gt;&lt;pages&gt;789-805&lt;/pages&gt;&lt;volume&gt;25&lt;/volume&gt;&lt;number&gt;4&lt;/number&gt;&lt;dates&gt;&lt;year&gt;2001&lt;/year&gt;&lt;/dates&gt;&lt;isbn&gt;0378-4266&lt;/isbn&gt;&lt;urls&gt;&lt;/urls&gt;&lt;/record&gt;&lt;/Cite&gt;&lt;/EndNote&gt;</w:instrText>
      </w:r>
      <w:r w:rsidR="00DA079A" w:rsidRPr="00227B56">
        <w:rPr>
          <w:rFonts w:ascii="Arial" w:hAnsi="Arial" w:cs="Arial"/>
          <w:sz w:val="18"/>
          <w:szCs w:val="18"/>
        </w:rPr>
        <w:fldChar w:fldCharType="separate"/>
      </w:r>
      <w:r w:rsidR="00DA079A" w:rsidRPr="00227B56">
        <w:rPr>
          <w:rFonts w:ascii="Arial" w:hAnsi="Arial" w:cs="Arial"/>
          <w:noProof/>
          <w:sz w:val="18"/>
          <w:szCs w:val="18"/>
        </w:rPr>
        <w:t>(Rime, 2001)</w:t>
      </w:r>
      <w:r w:rsidR="00DA079A" w:rsidRPr="00227B56">
        <w:rPr>
          <w:rFonts w:ascii="Arial" w:hAnsi="Arial" w:cs="Arial"/>
          <w:sz w:val="18"/>
          <w:szCs w:val="18"/>
        </w:rPr>
        <w:fldChar w:fldCharType="end"/>
      </w:r>
      <w:r w:rsidRPr="00227B56">
        <w:rPr>
          <w:rFonts w:ascii="Arial" w:hAnsi="Arial" w:cs="Arial"/>
          <w:sz w:val="18"/>
          <w:szCs w:val="18"/>
        </w:rPr>
        <w:t>. This may demand review of frameworks of banks and considering making the required investments to bring these up to the level capable of accurately quantifying risk exposure. When in the event of economic recession because there is a positive linkage between risk exposure and buffer capital, banks will be force to top up their minimum capital levels.  This exercise will put pressure on banks however</w:t>
      </w:r>
      <w:r w:rsidR="00EF4A19" w:rsidRPr="00227B56">
        <w:rPr>
          <w:rFonts w:ascii="Arial" w:hAnsi="Arial" w:cs="Arial"/>
          <w:sz w:val="18"/>
          <w:szCs w:val="18"/>
        </w:rPr>
        <w:t>,</w:t>
      </w:r>
      <w:r w:rsidRPr="00227B56">
        <w:rPr>
          <w:rFonts w:ascii="Arial" w:hAnsi="Arial" w:cs="Arial"/>
          <w:sz w:val="18"/>
          <w:szCs w:val="18"/>
        </w:rPr>
        <w:t xml:space="preserve"> depositors experience comfort. </w:t>
      </w:r>
    </w:p>
    <w:p w14:paraId="36EED3EB" w14:textId="03960BF7" w:rsidR="00C40CC2" w:rsidRPr="00227B56" w:rsidRDefault="00C40CC2" w:rsidP="00C40CC2">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Empirical Evidence</w:t>
      </w:r>
    </w:p>
    <w:p w14:paraId="03449D9D" w14:textId="77777777"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lastRenderedPageBreak/>
        <w:t>According to Jalloh (2017) in his research “Impact of Capital Adequacy on the Performance of Nigerian Banks using the Basel Accord Framework” banks’ regulators should not only focus on capital adequacy but also on supervisory review and market discipline (1-R</w:t>
      </w:r>
      <w:r w:rsidRPr="00227B56">
        <w:rPr>
          <w:rFonts w:ascii="Arial" w:hAnsi="Arial" w:cs="Arial"/>
          <w:sz w:val="18"/>
          <w:szCs w:val="18"/>
          <w:vertAlign w:val="superscript"/>
        </w:rPr>
        <w:t>2</w:t>
      </w:r>
      <w:r w:rsidRPr="00227B56">
        <w:rPr>
          <w:rFonts w:ascii="Arial" w:hAnsi="Arial" w:cs="Arial"/>
          <w:sz w:val="18"/>
          <w:szCs w:val="18"/>
        </w:rPr>
        <w:t>) to maintain banks’</w:t>
      </w:r>
    </w:p>
    <w:p w14:paraId="7A5F4F32" w14:textId="54DB2102" w:rsidR="00C40CC2" w:rsidRPr="00227B56" w:rsidRDefault="00C40CC2" w:rsidP="00C40CC2">
      <w:pPr>
        <w:spacing w:after="0" w:line="360" w:lineRule="auto"/>
        <w:jc w:val="both"/>
        <w:rPr>
          <w:rFonts w:ascii="Arial" w:hAnsi="Arial" w:cs="Arial"/>
          <w:sz w:val="18"/>
          <w:szCs w:val="18"/>
        </w:rPr>
      </w:pPr>
      <w:r w:rsidRPr="00227B56">
        <w:rPr>
          <w:rFonts w:ascii="Arial" w:hAnsi="Arial" w:cs="Arial"/>
          <w:sz w:val="18"/>
          <w:szCs w:val="18"/>
        </w:rPr>
        <w:t>financial strength and stability in Nigeria</w:t>
      </w:r>
      <w:r w:rsidR="00DA079A" w:rsidRPr="00227B56">
        <w:rPr>
          <w:rFonts w:ascii="Arial" w:hAnsi="Arial" w:cs="Arial"/>
          <w:sz w:val="18"/>
          <w:szCs w:val="18"/>
        </w:rPr>
        <w:t xml:space="preserve"> </w:t>
      </w:r>
      <w:r w:rsidR="00DA079A" w:rsidRPr="00227B56">
        <w:rPr>
          <w:rFonts w:ascii="Arial" w:hAnsi="Arial" w:cs="Arial"/>
          <w:sz w:val="18"/>
          <w:szCs w:val="18"/>
        </w:rPr>
        <w:fldChar w:fldCharType="begin"/>
      </w:r>
      <w:r w:rsidR="00DA079A" w:rsidRPr="00227B56">
        <w:rPr>
          <w:rFonts w:ascii="Arial" w:hAnsi="Arial" w:cs="Arial"/>
          <w:sz w:val="18"/>
          <w:szCs w:val="18"/>
        </w:rPr>
        <w:instrText xml:space="preserve"> ADDIN EN.CITE &lt;EndNote&gt;&lt;Cite&gt;&lt;Author&gt;Jalloh &lt;/Author&gt;&lt;Year&gt;2017&lt;/Year&gt;&lt;RecNum&gt;46&lt;/RecNum&gt;&lt;DisplayText&gt;(Jalloh 2017)&lt;/DisplayText&gt;&lt;record&gt;&lt;rec-number&gt;46&lt;/rec-number&gt;&lt;foreign-keys&gt;&lt;key app="EN" db-id="5e92v09p8etvzgez9wrxxxrwdarzwpd05awa" timestamp="1548343072"&gt;46&lt;/key&gt;&lt;/foreign-keys&gt;&lt;ref-type name="Journal Article"&gt;17&lt;/ref-type&gt;&lt;contributors&gt;&lt;authors&gt;&lt;author&gt; Jalloh ,ABDUL,MAMOUD&lt;/author&gt;&lt;/authors&gt;&lt;/contributors&gt;&lt;titles&gt;&lt;title&gt;Impact of Capital Adequacy on the Performance of Nigerian Banks using the Basel Accord Framework&lt;/title&gt;&lt;/titles&gt;&lt;dates&gt;&lt;year&gt;2017&lt;/year&gt;&lt;/dates&gt;&lt;urls&gt;&lt;/urls&gt;&lt;/record&gt;&lt;/Cite&gt;&lt;/EndNote&gt;</w:instrText>
      </w:r>
      <w:r w:rsidR="00DA079A" w:rsidRPr="00227B56">
        <w:rPr>
          <w:rFonts w:ascii="Arial" w:hAnsi="Arial" w:cs="Arial"/>
          <w:sz w:val="18"/>
          <w:szCs w:val="18"/>
        </w:rPr>
        <w:fldChar w:fldCharType="separate"/>
      </w:r>
      <w:r w:rsidR="00DA079A" w:rsidRPr="00227B56">
        <w:rPr>
          <w:rFonts w:ascii="Arial" w:hAnsi="Arial" w:cs="Arial"/>
          <w:noProof/>
          <w:sz w:val="18"/>
          <w:szCs w:val="18"/>
        </w:rPr>
        <w:t>(Jalloh 2017)</w:t>
      </w:r>
      <w:r w:rsidR="00DA079A" w:rsidRPr="00227B56">
        <w:rPr>
          <w:rFonts w:ascii="Arial" w:hAnsi="Arial" w:cs="Arial"/>
          <w:sz w:val="18"/>
          <w:szCs w:val="18"/>
        </w:rPr>
        <w:fldChar w:fldCharType="end"/>
      </w:r>
      <w:r w:rsidRPr="00227B56">
        <w:rPr>
          <w:rFonts w:ascii="Arial" w:hAnsi="Arial" w:cs="Arial"/>
          <w:sz w:val="18"/>
          <w:szCs w:val="18"/>
        </w:rPr>
        <w:t>.</w:t>
      </w:r>
    </w:p>
    <w:p w14:paraId="356E3617" w14:textId="4E912EAB" w:rsidR="00C40CC2" w:rsidRPr="00227B56" w:rsidRDefault="00C40CC2" w:rsidP="003F10D8">
      <w:pPr>
        <w:autoSpaceDE w:val="0"/>
        <w:autoSpaceDN w:val="0"/>
        <w:adjustRightInd w:val="0"/>
        <w:spacing w:after="0" w:line="360" w:lineRule="auto"/>
        <w:ind w:firstLine="720"/>
        <w:jc w:val="both"/>
        <w:rPr>
          <w:rFonts w:ascii="Arial" w:hAnsi="Arial" w:cs="Arial"/>
          <w:iCs/>
          <w:sz w:val="18"/>
          <w:szCs w:val="18"/>
        </w:rPr>
      </w:pPr>
      <w:r w:rsidRPr="00227B56">
        <w:rPr>
          <w:rFonts w:ascii="Arial" w:hAnsi="Arial" w:cs="Arial"/>
          <w:sz w:val="18"/>
          <w:szCs w:val="18"/>
        </w:rPr>
        <w:t xml:space="preserve">In the case of </w:t>
      </w:r>
      <w:r w:rsidRPr="00227B56">
        <w:rPr>
          <w:rFonts w:ascii="Arial" w:hAnsi="Arial" w:cs="Arial"/>
          <w:iCs/>
          <w:sz w:val="18"/>
          <w:szCs w:val="18"/>
        </w:rPr>
        <w:t>Kenya, the Central Bank of Kenya a</w:t>
      </w:r>
      <w:r w:rsidR="00DA079A" w:rsidRPr="00227B56">
        <w:rPr>
          <w:rFonts w:ascii="Arial" w:hAnsi="Arial" w:cs="Arial"/>
          <w:iCs/>
          <w:sz w:val="18"/>
          <w:szCs w:val="18"/>
        </w:rPr>
        <w:t>s</w:t>
      </w:r>
      <w:r w:rsidRPr="00227B56">
        <w:rPr>
          <w:rFonts w:ascii="Arial" w:hAnsi="Arial" w:cs="Arial"/>
          <w:iCs/>
          <w:sz w:val="18"/>
          <w:szCs w:val="18"/>
        </w:rPr>
        <w:t xml:space="preserve"> opine by Jagongo and Ndede (2017), tended to maintain its rules, so that if banks in Kenya whose capital had fallen below the regulatory thresholds were required to raise additional capital. Their study was guided by the, Economic theory of regulation, the liquidity theory and agency theory</w:t>
      </w:r>
      <w:r w:rsidR="008D7C89" w:rsidRPr="00227B56">
        <w:rPr>
          <w:rFonts w:ascii="Arial" w:hAnsi="Arial" w:cs="Arial"/>
          <w:iCs/>
          <w:sz w:val="18"/>
          <w:szCs w:val="18"/>
        </w:rPr>
        <w:t xml:space="preserve"> </w:t>
      </w:r>
      <w:r w:rsidR="008D7C89" w:rsidRPr="00227B56">
        <w:rPr>
          <w:rFonts w:ascii="Arial" w:hAnsi="Arial" w:cs="Arial"/>
          <w:iCs/>
          <w:sz w:val="18"/>
          <w:szCs w:val="18"/>
        </w:rPr>
        <w:fldChar w:fldCharType="begin"/>
      </w:r>
      <w:r w:rsidR="008D7C89" w:rsidRPr="00227B56">
        <w:rPr>
          <w:rFonts w:ascii="Arial" w:hAnsi="Arial" w:cs="Arial"/>
          <w:iCs/>
          <w:sz w:val="18"/>
          <w:szCs w:val="18"/>
        </w:rPr>
        <w:instrText xml:space="preserve"> ADDIN EN.CITE &lt;EndNote&gt;&lt;Cite&gt;&lt;Author&gt;Jagongo&lt;/Author&gt;&lt;Year&gt;2017&lt;/Year&gt;&lt;RecNum&gt;47&lt;/RecNum&gt;&lt;DisplayText&gt;(Jagongo &amp;amp; Molonko, 2017)&lt;/DisplayText&gt;&lt;record&gt;&lt;rec-number&gt;47&lt;/rec-number&gt;&lt;foreign-keys&gt;&lt;key app="EN" db-id="5e92v09p8etvzgez9wrxxxrwdarzwpd05awa" timestamp="1548343533"&gt;47&lt;/key&gt;&lt;/foreign-keys&gt;&lt;ref-type name="Generic"&gt;13&lt;/ref-type&gt;&lt;contributors&gt;&lt;authors&gt;&lt;author&gt;Jagongo, AO&lt;/author&gt;&lt;author&gt;Molonko, Brenda&lt;/author&gt;&lt;/authors&gt;&lt;/contributors&gt;&lt;titles&gt;&lt;title&gt;Bottom of the Pyramid Strategy and Financial Performance of Commercial Banks: An Assessment of Agency Banking Operations in Kenya&lt;/title&gt;&lt;/titles&gt;&lt;dates&gt;&lt;year&gt;2017&lt;/year&gt;&lt;/dates&gt;&lt;urls&gt;&lt;/urls&gt;&lt;/record&gt;&lt;/Cite&gt;&lt;/EndNote&gt;</w:instrText>
      </w:r>
      <w:r w:rsidR="008D7C89" w:rsidRPr="00227B56">
        <w:rPr>
          <w:rFonts w:ascii="Arial" w:hAnsi="Arial" w:cs="Arial"/>
          <w:iCs/>
          <w:sz w:val="18"/>
          <w:szCs w:val="18"/>
        </w:rPr>
        <w:fldChar w:fldCharType="separate"/>
      </w:r>
      <w:r w:rsidR="008D7C89" w:rsidRPr="00227B56">
        <w:rPr>
          <w:rFonts w:ascii="Arial" w:hAnsi="Arial" w:cs="Arial"/>
          <w:iCs/>
          <w:noProof/>
          <w:sz w:val="18"/>
          <w:szCs w:val="18"/>
        </w:rPr>
        <w:t>(Jagongo &amp; Molonko, 2017)</w:t>
      </w:r>
      <w:r w:rsidR="008D7C89" w:rsidRPr="00227B56">
        <w:rPr>
          <w:rFonts w:ascii="Arial" w:hAnsi="Arial" w:cs="Arial"/>
          <w:iCs/>
          <w:sz w:val="18"/>
          <w:szCs w:val="18"/>
        </w:rPr>
        <w:fldChar w:fldCharType="end"/>
      </w:r>
      <w:r w:rsidRPr="00227B56">
        <w:rPr>
          <w:rFonts w:ascii="Arial" w:hAnsi="Arial" w:cs="Arial"/>
          <w:iCs/>
          <w:sz w:val="18"/>
          <w:szCs w:val="18"/>
        </w:rPr>
        <w:t>.</w:t>
      </w:r>
    </w:p>
    <w:p w14:paraId="601DE3C0" w14:textId="2D75747C" w:rsidR="00C40CC2" w:rsidRPr="00227B56" w:rsidRDefault="00C40CC2" w:rsidP="003F10D8">
      <w:pPr>
        <w:autoSpaceDE w:val="0"/>
        <w:autoSpaceDN w:val="0"/>
        <w:adjustRightInd w:val="0"/>
        <w:spacing w:after="0" w:line="360" w:lineRule="auto"/>
        <w:ind w:firstLine="720"/>
        <w:jc w:val="both"/>
        <w:rPr>
          <w:rFonts w:ascii="Arial" w:hAnsi="Arial" w:cs="Arial"/>
          <w:iCs/>
          <w:sz w:val="18"/>
          <w:szCs w:val="18"/>
        </w:rPr>
      </w:pPr>
      <w:r w:rsidRPr="00227B56">
        <w:rPr>
          <w:rFonts w:ascii="Arial" w:hAnsi="Arial" w:cs="Arial"/>
          <w:iCs/>
          <w:sz w:val="18"/>
          <w:szCs w:val="18"/>
        </w:rPr>
        <w:t>Staikouras and Wood (2004) claim that there exists a positive link between greater equity and profitability among EU banks. Abreu and Mendes (2001) also trace a positive impact of the equity level on profitability</w:t>
      </w:r>
      <w:r w:rsidR="008D7C89" w:rsidRPr="00227B56">
        <w:rPr>
          <w:rFonts w:ascii="Arial" w:hAnsi="Arial" w:cs="Arial"/>
          <w:iCs/>
          <w:sz w:val="18"/>
          <w:szCs w:val="18"/>
        </w:rPr>
        <w:t xml:space="preserve"> </w:t>
      </w:r>
      <w:r w:rsidR="008D7C89" w:rsidRPr="00227B56">
        <w:rPr>
          <w:rFonts w:ascii="Arial" w:hAnsi="Arial" w:cs="Arial"/>
          <w:iCs/>
          <w:sz w:val="18"/>
          <w:szCs w:val="18"/>
        </w:rPr>
        <w:fldChar w:fldCharType="begin"/>
      </w:r>
      <w:r w:rsidR="008D7C89" w:rsidRPr="00227B56">
        <w:rPr>
          <w:rFonts w:ascii="Arial" w:hAnsi="Arial" w:cs="Arial"/>
          <w:iCs/>
          <w:sz w:val="18"/>
          <w:szCs w:val="18"/>
        </w:rPr>
        <w:instrText xml:space="preserve"> ADDIN EN.CITE &lt;EndNote&gt;&lt;Cite&gt;&lt;Author&gt;Anbar&lt;/Author&gt;&lt;Year&gt;2011&lt;/Year&gt;&lt;RecNum&gt;50&lt;/RecNum&gt;&lt;DisplayText&gt;(Anbar &amp;amp; Alper, 2011)&lt;/DisplayText&gt;&lt;record&gt;&lt;rec-number&gt;50&lt;/rec-number&gt;&lt;foreign-keys&gt;&lt;key app="EN" db-id="5e92v09p8etvzgez9wrxxxrwdarzwpd05awa" timestamp="1548343951"&gt;50&lt;/key&gt;&lt;/foreign-keys&gt;&lt;ref-type name="Journal Article"&gt;17&lt;/ref-type&gt;&lt;contributors&gt;&lt;authors&gt;&lt;author&gt;Anbar, Adem&lt;/author&gt;&lt;author&gt;Alper, Deger&lt;/author&gt;&lt;/authors&gt;&lt;/contributors&gt;&lt;titles&gt;&lt;title&gt;Bank specific and macroeconomic determinants of commercial bank profitability: Empirical evidence from Turkey&lt;/title&gt;&lt;/titles&gt;&lt;dates&gt;&lt;year&gt;2011&lt;/year&gt;&lt;/dates&gt;&lt;urls&gt;&lt;/urls&gt;&lt;/record&gt;&lt;/Cite&gt;&lt;/EndNote&gt;</w:instrText>
      </w:r>
      <w:r w:rsidR="008D7C89" w:rsidRPr="00227B56">
        <w:rPr>
          <w:rFonts w:ascii="Arial" w:hAnsi="Arial" w:cs="Arial"/>
          <w:iCs/>
          <w:sz w:val="18"/>
          <w:szCs w:val="18"/>
        </w:rPr>
        <w:fldChar w:fldCharType="separate"/>
      </w:r>
      <w:r w:rsidR="008D7C89" w:rsidRPr="00227B56">
        <w:rPr>
          <w:rFonts w:ascii="Arial" w:hAnsi="Arial" w:cs="Arial"/>
          <w:iCs/>
          <w:noProof/>
          <w:sz w:val="18"/>
          <w:szCs w:val="18"/>
        </w:rPr>
        <w:t>(Anbar &amp; Alper, 2011)</w:t>
      </w:r>
      <w:r w:rsidR="008D7C89" w:rsidRPr="00227B56">
        <w:rPr>
          <w:rFonts w:ascii="Arial" w:hAnsi="Arial" w:cs="Arial"/>
          <w:iCs/>
          <w:sz w:val="18"/>
          <w:szCs w:val="18"/>
        </w:rPr>
        <w:fldChar w:fldCharType="end"/>
      </w:r>
      <w:r w:rsidRPr="00227B56">
        <w:rPr>
          <w:rFonts w:ascii="Arial" w:hAnsi="Arial" w:cs="Arial"/>
          <w:iCs/>
          <w:sz w:val="18"/>
          <w:szCs w:val="18"/>
        </w:rPr>
        <w:t>. Goddard et al., (2004) support a prior finding of a positive relationship between the capital/asset ratio and a bank’s earnings</w:t>
      </w:r>
      <w:r w:rsidR="008D7C89" w:rsidRPr="00227B56">
        <w:rPr>
          <w:rFonts w:ascii="Arial" w:hAnsi="Arial" w:cs="Arial"/>
          <w:iCs/>
          <w:sz w:val="18"/>
          <w:szCs w:val="18"/>
        </w:rPr>
        <w:t xml:space="preserve"> </w:t>
      </w:r>
      <w:r w:rsidR="008D7C89" w:rsidRPr="00227B56">
        <w:rPr>
          <w:rFonts w:ascii="Arial" w:hAnsi="Arial" w:cs="Arial"/>
          <w:iCs/>
          <w:sz w:val="18"/>
          <w:szCs w:val="18"/>
        </w:rPr>
        <w:fldChar w:fldCharType="begin"/>
      </w:r>
      <w:r w:rsidR="00592208" w:rsidRPr="00227B56">
        <w:rPr>
          <w:rFonts w:ascii="Arial" w:hAnsi="Arial" w:cs="Arial"/>
          <w:iCs/>
          <w:sz w:val="18"/>
          <w:szCs w:val="18"/>
        </w:rPr>
        <w:instrText xml:space="preserve"> ADDIN EN.CITE &lt;EndNote&gt;&lt;Cite&gt;&lt;Author&gt;Goddard&lt;/Author&gt;&lt;Year&gt;2004&lt;/Year&gt;&lt;RecNum&gt;51&lt;/RecNum&gt;&lt;DisplayText&gt;(Goddard, Molyneux, &amp;amp; Wilson, 2004)&lt;/DisplayText&gt;&lt;record&gt;&lt;rec-number&gt;51&lt;/rec-number&gt;&lt;foreign-keys&gt;&lt;key app="EN" db-id="5e92v09p8etvzgez9wrxxxrwdarzwpd05awa" timestamp="1548344018"&gt;51&lt;/key&gt;&lt;/foreign-keys&gt;&lt;ref-type name="Journal Article"&gt;17&lt;/ref-type&gt;&lt;contributors&gt;&lt;authors&gt;&lt;author&gt;Goddard, John&lt;/author&gt;&lt;author&gt;Molyneux, Phil&lt;/author&gt;&lt;author&gt;Wilson, John OS&lt;/author&gt;&lt;/authors&gt;&lt;/contributors&gt;&lt;titles&gt;&lt;title&gt;The profitability of European banks: a cross</w:instrText>
      </w:r>
      <w:r w:rsidR="00592208" w:rsidRPr="00227B56">
        <w:rPr>
          <w:rFonts w:ascii="Cambria Math" w:hAnsi="Cambria Math" w:cs="Cambria Math"/>
          <w:iCs/>
          <w:sz w:val="18"/>
          <w:szCs w:val="18"/>
        </w:rPr>
        <w:instrText>‐</w:instrText>
      </w:r>
      <w:r w:rsidR="00592208" w:rsidRPr="00227B56">
        <w:rPr>
          <w:rFonts w:ascii="Arial" w:hAnsi="Arial" w:cs="Arial"/>
          <w:iCs/>
          <w:sz w:val="18"/>
          <w:szCs w:val="18"/>
        </w:rPr>
        <w:instrText>sectional and dynamic panel analysis&lt;/title&gt;&lt;secondary-title&gt;The Manchester School&lt;/secondary-title&gt;&lt;/titles&gt;&lt;periodical&gt;&lt;full-title&gt;The Manchester School&lt;/full-title&gt;&lt;/periodical&gt;&lt;pages&gt;363-381&lt;/pages&gt;&lt;volume&gt;72&lt;/volume&gt;&lt;number&gt;3&lt;/number&gt;&lt;dates&gt;&lt;year&gt;2004&lt;/year&gt;&lt;/dates&gt;&lt;isbn&gt;1463-6786&lt;/isbn&gt;&lt;urls&gt;&lt;/urls&gt;&lt;/record&gt;&lt;/Cite&gt;&lt;/EndNote&gt;</w:instrText>
      </w:r>
      <w:r w:rsidR="008D7C89" w:rsidRPr="00227B56">
        <w:rPr>
          <w:rFonts w:ascii="Arial" w:hAnsi="Arial" w:cs="Arial"/>
          <w:iCs/>
          <w:sz w:val="18"/>
          <w:szCs w:val="18"/>
        </w:rPr>
        <w:fldChar w:fldCharType="separate"/>
      </w:r>
      <w:r w:rsidR="00592208" w:rsidRPr="00227B56">
        <w:rPr>
          <w:rFonts w:ascii="Arial" w:hAnsi="Arial" w:cs="Arial"/>
          <w:iCs/>
          <w:noProof/>
          <w:sz w:val="18"/>
          <w:szCs w:val="18"/>
        </w:rPr>
        <w:t>(Goddard, Molyneux, &amp; Wilson, 2004)</w:t>
      </w:r>
      <w:r w:rsidR="008D7C89" w:rsidRPr="00227B56">
        <w:rPr>
          <w:rFonts w:ascii="Arial" w:hAnsi="Arial" w:cs="Arial"/>
          <w:iCs/>
          <w:sz w:val="18"/>
          <w:szCs w:val="18"/>
        </w:rPr>
        <w:fldChar w:fldCharType="end"/>
      </w:r>
      <w:r w:rsidRPr="00227B56">
        <w:rPr>
          <w:rFonts w:ascii="Arial" w:hAnsi="Arial" w:cs="Arial"/>
          <w:iCs/>
          <w:sz w:val="18"/>
          <w:szCs w:val="18"/>
        </w:rPr>
        <w:t>. However, the direction of the relationship between bank capital and bank profitability cannot be unanimously predicted in advance</w:t>
      </w:r>
      <w:r w:rsidR="008D7C89" w:rsidRPr="00227B56">
        <w:rPr>
          <w:rFonts w:ascii="Arial" w:hAnsi="Arial" w:cs="Arial"/>
          <w:iCs/>
          <w:sz w:val="18"/>
          <w:szCs w:val="18"/>
        </w:rPr>
        <w:t xml:space="preserve"> </w:t>
      </w:r>
      <w:r w:rsidR="008D7C89" w:rsidRPr="00227B56">
        <w:rPr>
          <w:rFonts w:ascii="Arial" w:hAnsi="Arial" w:cs="Arial"/>
          <w:iCs/>
          <w:sz w:val="18"/>
          <w:szCs w:val="18"/>
        </w:rPr>
        <w:fldChar w:fldCharType="begin"/>
      </w:r>
      <w:r w:rsidR="008D7C89" w:rsidRPr="00227B56">
        <w:rPr>
          <w:rFonts w:ascii="Arial" w:hAnsi="Arial" w:cs="Arial"/>
          <w:iCs/>
          <w:sz w:val="18"/>
          <w:szCs w:val="18"/>
        </w:rPr>
        <w:instrText xml:space="preserve"> ADDIN EN.CITE &lt;EndNote&gt;&lt;Cite&gt;&lt;Author&gt;Staikouras&lt;/Author&gt;&lt;Year&gt;2004&lt;/Year&gt;&lt;RecNum&gt;48&lt;/RecNum&gt;&lt;DisplayText&gt;(Staikouras &amp;amp; Wood, 2004)&lt;/DisplayText&gt;&lt;record&gt;&lt;rec-number&gt;48&lt;/rec-number&gt;&lt;foreign-keys&gt;&lt;key app="EN" db-id="5e92v09p8etvzgez9wrxxxrwdarzwpd05awa" timestamp="1548343592"&gt;48&lt;/key&gt;&lt;/foreign-keys&gt;&lt;ref-type name="Journal Article"&gt;17&lt;/ref-type&gt;&lt;contributors&gt;&lt;authors&gt;&lt;author&gt;Staikouras, Christos K&lt;/author&gt;&lt;author&gt;Wood, Geoffrey E&lt;/author&gt;&lt;/authors&gt;&lt;/contributors&gt;&lt;titles&gt;&lt;title&gt;The determinants of European bank profitability&lt;/title&gt;&lt;secondary-title&gt;International business and economics research journal&lt;/secondary-title&gt;&lt;/titles&gt;&lt;periodical&gt;&lt;full-title&gt;International business and economics research journal&lt;/full-title&gt;&lt;/periodical&gt;&lt;pages&gt;57-68&lt;/pages&gt;&lt;volume&gt;3&lt;/volume&gt;&lt;dates&gt;&lt;year&gt;2004&lt;/year&gt;&lt;/dates&gt;&lt;isbn&gt;1535-0754&lt;/isbn&gt;&lt;urls&gt;&lt;/urls&gt;&lt;/record&gt;&lt;/Cite&gt;&lt;/EndNote&gt;</w:instrText>
      </w:r>
      <w:r w:rsidR="008D7C89" w:rsidRPr="00227B56">
        <w:rPr>
          <w:rFonts w:ascii="Arial" w:hAnsi="Arial" w:cs="Arial"/>
          <w:iCs/>
          <w:sz w:val="18"/>
          <w:szCs w:val="18"/>
        </w:rPr>
        <w:fldChar w:fldCharType="separate"/>
      </w:r>
      <w:r w:rsidR="008D7C89" w:rsidRPr="00227B56">
        <w:rPr>
          <w:rFonts w:ascii="Arial" w:hAnsi="Arial" w:cs="Arial"/>
          <w:iCs/>
          <w:noProof/>
          <w:sz w:val="18"/>
          <w:szCs w:val="18"/>
        </w:rPr>
        <w:t>(Staikouras &amp; Wood, 2004)</w:t>
      </w:r>
      <w:r w:rsidR="008D7C89" w:rsidRPr="00227B56">
        <w:rPr>
          <w:rFonts w:ascii="Arial" w:hAnsi="Arial" w:cs="Arial"/>
          <w:iCs/>
          <w:sz w:val="18"/>
          <w:szCs w:val="18"/>
        </w:rPr>
        <w:fldChar w:fldCharType="end"/>
      </w:r>
      <w:r w:rsidRPr="00227B56">
        <w:rPr>
          <w:rFonts w:ascii="Arial" w:hAnsi="Arial" w:cs="Arial"/>
          <w:iCs/>
          <w:sz w:val="18"/>
          <w:szCs w:val="18"/>
        </w:rPr>
        <w:t>.</w:t>
      </w:r>
    </w:p>
    <w:p w14:paraId="75B71CF4" w14:textId="24824CA4" w:rsidR="00C40CC2" w:rsidRPr="00227B56" w:rsidRDefault="00C40CC2" w:rsidP="003F10D8">
      <w:pPr>
        <w:spacing w:after="0" w:line="360" w:lineRule="auto"/>
        <w:ind w:firstLine="720"/>
        <w:jc w:val="both"/>
        <w:rPr>
          <w:rFonts w:ascii="Arial" w:hAnsi="Arial" w:cs="Arial"/>
          <w:sz w:val="18"/>
          <w:szCs w:val="18"/>
          <w:shd w:val="clear" w:color="auto" w:fill="FFFFFF"/>
        </w:rPr>
      </w:pPr>
      <w:r w:rsidRPr="00227B56">
        <w:rPr>
          <w:rStyle w:val="Emphasis"/>
          <w:rFonts w:ascii="Arial" w:hAnsi="Arial" w:cs="Arial"/>
          <w:i w:val="0"/>
          <w:sz w:val="18"/>
          <w:szCs w:val="18"/>
          <w:shd w:val="clear" w:color="auto" w:fill="FFFFFF"/>
        </w:rPr>
        <w:t xml:space="preserve">So </w:t>
      </w:r>
      <w:r w:rsidR="00DA5ABC" w:rsidRPr="00227B56">
        <w:rPr>
          <w:rStyle w:val="Emphasis"/>
          <w:rFonts w:ascii="Arial" w:hAnsi="Arial" w:cs="Arial"/>
          <w:i w:val="0"/>
          <w:sz w:val="18"/>
          <w:szCs w:val="18"/>
          <w:shd w:val="clear" w:color="auto" w:fill="FFFFFF"/>
        </w:rPr>
        <w:t>far,</w:t>
      </w:r>
      <w:r w:rsidRPr="00227B56">
        <w:rPr>
          <w:rStyle w:val="Emphasis"/>
          <w:rFonts w:ascii="Arial" w:hAnsi="Arial" w:cs="Arial"/>
          <w:i w:val="0"/>
          <w:sz w:val="18"/>
          <w:szCs w:val="18"/>
          <w:shd w:val="clear" w:color="auto" w:fill="FFFFFF"/>
        </w:rPr>
        <w:t xml:space="preserve"> only C Barnor and TA Odonkor (2012) have investigated Capital Adequacy and the Performance of Ghanaian Banks.</w:t>
      </w:r>
      <w:r w:rsidRPr="00227B56">
        <w:rPr>
          <w:rStyle w:val="Emphasis"/>
          <w:rFonts w:ascii="Arial" w:hAnsi="Arial" w:cs="Arial"/>
          <w:sz w:val="18"/>
          <w:szCs w:val="18"/>
          <w:shd w:val="clear" w:color="auto" w:fill="FFFFFF"/>
        </w:rPr>
        <w:t xml:space="preserve"> </w:t>
      </w:r>
      <w:r w:rsidRPr="00227B56">
        <w:rPr>
          <w:rFonts w:ascii="Arial" w:hAnsi="Arial" w:cs="Arial"/>
          <w:sz w:val="18"/>
          <w:szCs w:val="18"/>
          <w:shd w:val="clear" w:color="auto" w:fill="FFFFFF"/>
        </w:rPr>
        <w:t xml:space="preserve">Their study used a panel data methodology constructed from the financial statements of 21 commercial banks out of the 25 banks in Ghana covering the periods of 2000-2010. Their study findings indicated a negative and insignificant relationship between capital adequacy </w:t>
      </w:r>
      <w:r w:rsidR="00DA5ABC" w:rsidRPr="00227B56">
        <w:rPr>
          <w:rFonts w:ascii="Arial" w:hAnsi="Arial" w:cs="Arial"/>
          <w:sz w:val="18"/>
          <w:szCs w:val="18"/>
          <w:shd w:val="clear" w:color="auto" w:fill="FFFFFF"/>
        </w:rPr>
        <w:t>ratios</w:t>
      </w:r>
      <w:r w:rsidRPr="00227B56">
        <w:rPr>
          <w:rFonts w:ascii="Arial" w:hAnsi="Arial" w:cs="Arial"/>
          <w:sz w:val="18"/>
          <w:szCs w:val="18"/>
          <w:shd w:val="clear" w:color="auto" w:fill="FFFFFF"/>
        </w:rPr>
        <w:t xml:space="preserve"> (CAR)</w:t>
      </w:r>
      <w:r w:rsidR="00CF76FD" w:rsidRPr="00227B56">
        <w:rPr>
          <w:rFonts w:ascii="Arial" w:hAnsi="Arial" w:cs="Arial"/>
          <w:sz w:val="18"/>
          <w:szCs w:val="18"/>
          <w:shd w:val="clear" w:color="auto" w:fill="FFFFFF"/>
        </w:rPr>
        <w:t xml:space="preserve">, </w:t>
      </w:r>
      <w:r w:rsidRPr="00227B56">
        <w:rPr>
          <w:rFonts w:ascii="Arial" w:hAnsi="Arial" w:cs="Arial"/>
          <w:sz w:val="18"/>
          <w:szCs w:val="18"/>
          <w:shd w:val="clear" w:color="auto" w:fill="FFFFFF"/>
        </w:rPr>
        <w:t xml:space="preserve">bank performance (Return on Assets (ROA)) but observed a negative but significant relationship between capital adequacy ratio (CAR) and performance (Return on Equity). Which implies that, as more capital is set aside as a buffer for banks safety; it affects the performance of Ghanaian banks. </w:t>
      </w:r>
    </w:p>
    <w:p w14:paraId="636B2509" w14:textId="77777777" w:rsidR="00EF4A19" w:rsidRPr="00227B56" w:rsidRDefault="00EF4A19" w:rsidP="00C40CC2">
      <w:pPr>
        <w:spacing w:after="0" w:line="360" w:lineRule="auto"/>
        <w:jc w:val="both"/>
        <w:rPr>
          <w:rStyle w:val="Emphasis"/>
          <w:rFonts w:ascii="Arial" w:hAnsi="Arial" w:cs="Arial"/>
          <w:i w:val="0"/>
          <w:sz w:val="18"/>
          <w:szCs w:val="18"/>
          <w:shd w:val="clear" w:color="auto" w:fill="FFFFFF"/>
        </w:rPr>
      </w:pPr>
    </w:p>
    <w:p w14:paraId="4CF26D3B" w14:textId="198E2C89" w:rsidR="00C40CC2" w:rsidRPr="00227B56" w:rsidRDefault="00C40CC2" w:rsidP="00D40B7B">
      <w:pPr>
        <w:pStyle w:val="Heading1"/>
        <w:spacing w:before="0" w:beforeAutospacing="0" w:after="0" w:afterAutospacing="0" w:line="360" w:lineRule="auto"/>
        <w:rPr>
          <w:rFonts w:ascii="Arial" w:hAnsi="Arial" w:cs="Arial"/>
          <w:sz w:val="18"/>
          <w:szCs w:val="18"/>
        </w:rPr>
      </w:pPr>
      <w:r w:rsidRPr="00227B56">
        <w:rPr>
          <w:rFonts w:ascii="Arial" w:hAnsi="Arial" w:cs="Arial"/>
          <w:sz w:val="18"/>
          <w:szCs w:val="18"/>
        </w:rPr>
        <w:t>Methodology</w:t>
      </w:r>
    </w:p>
    <w:p w14:paraId="6BF34A8A" w14:textId="2B778950" w:rsidR="00CF76FD" w:rsidRPr="00227B56" w:rsidRDefault="00CF76FD" w:rsidP="00D40B7B">
      <w:pPr>
        <w:pStyle w:val="Heading2"/>
        <w:spacing w:after="0" w:afterAutospacing="0" w:line="360" w:lineRule="auto"/>
        <w:rPr>
          <w:rFonts w:ascii="Arial" w:hAnsi="Arial" w:cs="Arial"/>
          <w:sz w:val="18"/>
          <w:szCs w:val="18"/>
        </w:rPr>
      </w:pPr>
      <w:r w:rsidRPr="00227B56">
        <w:rPr>
          <w:rFonts w:ascii="Arial" w:hAnsi="Arial" w:cs="Arial"/>
          <w:sz w:val="18"/>
          <w:szCs w:val="18"/>
        </w:rPr>
        <w:t>Research design</w:t>
      </w:r>
    </w:p>
    <w:p w14:paraId="54473106" w14:textId="46F16C0C" w:rsidR="00CF76FD" w:rsidRPr="00227B56" w:rsidRDefault="00CF76FD" w:rsidP="007817DA">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According to the nature of research problem and the research perspective, a rese</w:t>
      </w:r>
      <w:r w:rsidR="00EF4A19" w:rsidRPr="00227B56">
        <w:rPr>
          <w:rFonts w:ascii="Arial" w:hAnsi="Arial" w:cs="Arial"/>
          <w:sz w:val="18"/>
          <w:szCs w:val="18"/>
        </w:rPr>
        <w:t xml:space="preserve">arch design and method to be considered, in research is </w:t>
      </w:r>
      <w:r w:rsidRPr="00227B56">
        <w:rPr>
          <w:rFonts w:ascii="Arial" w:hAnsi="Arial" w:cs="Arial"/>
          <w:sz w:val="18"/>
          <w:szCs w:val="18"/>
        </w:rPr>
        <w:t>based on the both of quantitative and qualitative or a combination of these two approaches, a mixed method approach.</w:t>
      </w:r>
    </w:p>
    <w:p w14:paraId="474C1C7C" w14:textId="4A7FCCBC" w:rsidR="00CF76FD" w:rsidRPr="00227B56" w:rsidRDefault="00CF76FD" w:rsidP="00D40B7B">
      <w:pPr>
        <w:pStyle w:val="Heading2"/>
        <w:rPr>
          <w:rFonts w:ascii="Arial" w:hAnsi="Arial" w:cs="Arial"/>
          <w:sz w:val="18"/>
          <w:szCs w:val="18"/>
        </w:rPr>
      </w:pPr>
      <w:r w:rsidRPr="00227B56">
        <w:rPr>
          <w:rFonts w:ascii="Arial" w:hAnsi="Arial" w:cs="Arial"/>
          <w:sz w:val="18"/>
          <w:szCs w:val="18"/>
        </w:rPr>
        <w:t xml:space="preserve">Target population and sample size </w:t>
      </w:r>
    </w:p>
    <w:p w14:paraId="4DED932B" w14:textId="5BC4F8BB" w:rsidR="00CF76FD" w:rsidRPr="00227B56" w:rsidRDefault="00CF76FD" w:rsidP="00CF76FD">
      <w:pPr>
        <w:autoSpaceDE w:val="0"/>
        <w:autoSpaceDN w:val="0"/>
        <w:adjustRightInd w:val="0"/>
        <w:spacing w:after="0" w:line="360" w:lineRule="auto"/>
        <w:jc w:val="both"/>
        <w:rPr>
          <w:rFonts w:ascii="Arial" w:eastAsia="TimesNewRomanPSMT" w:hAnsi="Arial" w:cs="Arial"/>
          <w:sz w:val="18"/>
          <w:szCs w:val="18"/>
        </w:rPr>
      </w:pPr>
      <w:r w:rsidRPr="00227B56">
        <w:rPr>
          <w:rFonts w:ascii="Arial" w:hAnsi="Arial" w:cs="Arial"/>
          <w:sz w:val="18"/>
          <w:szCs w:val="18"/>
        </w:rPr>
        <w:t xml:space="preserve">The study targeted all universal banks listed on the Ghana Stock Exchange. </w:t>
      </w:r>
      <w:r w:rsidR="00DA5ABC" w:rsidRPr="00227B56">
        <w:rPr>
          <w:rFonts w:ascii="Arial" w:hAnsi="Arial" w:cs="Arial"/>
          <w:sz w:val="18"/>
          <w:szCs w:val="18"/>
        </w:rPr>
        <w:t>Eight</w:t>
      </w:r>
      <w:r w:rsidR="00DA5ABC">
        <w:rPr>
          <w:rFonts w:ascii="Arial" w:hAnsi="Arial" w:cs="Arial"/>
          <w:sz w:val="18"/>
          <w:szCs w:val="18"/>
        </w:rPr>
        <w:t xml:space="preserve"> commercial banks were listed as</w:t>
      </w:r>
      <w:r w:rsidRPr="00227B56">
        <w:rPr>
          <w:rFonts w:ascii="Arial" w:hAnsi="Arial" w:cs="Arial"/>
          <w:sz w:val="18"/>
          <w:szCs w:val="18"/>
        </w:rPr>
        <w:t xml:space="preserve"> at the time of the stu</w:t>
      </w:r>
      <w:r w:rsidR="00DA5ABC">
        <w:rPr>
          <w:rFonts w:ascii="Arial" w:hAnsi="Arial" w:cs="Arial"/>
          <w:sz w:val="18"/>
          <w:szCs w:val="18"/>
        </w:rPr>
        <w:t>dy. We will be able</w:t>
      </w:r>
      <w:r w:rsidRPr="00227B56">
        <w:rPr>
          <w:rFonts w:ascii="Arial" w:hAnsi="Arial" w:cs="Arial"/>
          <w:sz w:val="18"/>
          <w:szCs w:val="18"/>
        </w:rPr>
        <w:t xml:space="preserve"> get access to their data. The data were taken from websites of the banks under study. Secondary data sources are considered in order to avoid sampling biases. The sample for this study considers only </w:t>
      </w:r>
      <w:r w:rsidR="00DA5ABC" w:rsidRPr="00227B56">
        <w:rPr>
          <w:rFonts w:ascii="Arial" w:hAnsi="Arial" w:cs="Arial"/>
          <w:sz w:val="18"/>
          <w:szCs w:val="18"/>
        </w:rPr>
        <w:t>five</w:t>
      </w:r>
      <w:r w:rsidRPr="00227B56">
        <w:rPr>
          <w:rFonts w:ascii="Arial" w:hAnsi="Arial" w:cs="Arial"/>
          <w:sz w:val="18"/>
          <w:szCs w:val="18"/>
        </w:rPr>
        <w:t xml:space="preserve"> of the universal banks listed on the Ghana Stock Exchange as at 31 December 2017. The final selected banks include; Ecobank Ghana Limited, adb Bank Ghana Limited, CAL Bank Ghana Limited, GCB Bank Ghana Limited and Access Bank Ghana Limited. These banks were selected because they had significant international operations during the period under review was selected with another reason being that, Basel Accord applies majorly to international deposit money banks. Therefore, only these banks’ financial statements covering the </w:t>
      </w:r>
      <w:r w:rsidR="00DA5ABC" w:rsidRPr="00227B56">
        <w:rPr>
          <w:rFonts w:ascii="Arial" w:hAnsi="Arial" w:cs="Arial"/>
          <w:sz w:val="18"/>
          <w:szCs w:val="18"/>
        </w:rPr>
        <w:t>period</w:t>
      </w:r>
      <w:r w:rsidRPr="00227B56">
        <w:rPr>
          <w:rFonts w:ascii="Arial" w:hAnsi="Arial" w:cs="Arial"/>
          <w:sz w:val="18"/>
          <w:szCs w:val="18"/>
        </w:rPr>
        <w:t xml:space="preserve"> 2008 to 2017 were collated. </w:t>
      </w:r>
      <w:r w:rsidRPr="00227B56">
        <w:rPr>
          <w:rFonts w:ascii="Arial" w:eastAsia="TimesNewRomanPSMT" w:hAnsi="Arial" w:cs="Arial"/>
          <w:sz w:val="18"/>
          <w:szCs w:val="18"/>
        </w:rPr>
        <w:t xml:space="preserve">The Basel Capital Accord is an international standard for calculating the capital adequacy ratio. In its analysis in </w:t>
      </w:r>
      <w:r w:rsidR="00DA5ABC" w:rsidRPr="00227B56">
        <w:rPr>
          <w:rFonts w:ascii="Arial" w:eastAsia="TimesNewRomanPSMT" w:hAnsi="Arial" w:cs="Arial"/>
          <w:sz w:val="18"/>
          <w:szCs w:val="18"/>
        </w:rPr>
        <w:t>1999,</w:t>
      </w:r>
      <w:r w:rsidRPr="00227B56">
        <w:rPr>
          <w:rFonts w:ascii="Arial" w:eastAsia="TimesNewRomanPSMT" w:hAnsi="Arial" w:cs="Arial"/>
          <w:sz w:val="18"/>
          <w:szCs w:val="18"/>
        </w:rPr>
        <w:t xml:space="preserve"> the accord incorporated various variables that affect a bank’s soundness and safety in its framework.</w:t>
      </w:r>
      <w:r w:rsidRPr="00227B56">
        <w:rPr>
          <w:rFonts w:ascii="Arial" w:hAnsi="Arial" w:cs="Arial"/>
          <w:sz w:val="18"/>
          <w:szCs w:val="18"/>
        </w:rPr>
        <w:t xml:space="preserve"> </w:t>
      </w:r>
      <w:r w:rsidRPr="00227B56">
        <w:rPr>
          <w:rFonts w:ascii="Arial" w:eastAsia="TimesNewRomanPSMT" w:hAnsi="Arial" w:cs="Arial"/>
          <w:sz w:val="18"/>
          <w:szCs w:val="18"/>
        </w:rPr>
        <w:t>The framework considers a bank's capital adequacy, asset quality, management, earnings, profitability, liquidity and sensitivity to market risk. These elements correspond to our listed variables for this research.</w:t>
      </w:r>
    </w:p>
    <w:p w14:paraId="261C13B3" w14:textId="49E8FE15" w:rsidR="007640E4" w:rsidRPr="00227B56" w:rsidRDefault="009F0BC2" w:rsidP="009F0BC2">
      <w:pPr>
        <w:pStyle w:val="Heading4"/>
        <w:rPr>
          <w:rFonts w:ascii="Arial" w:hAnsi="Arial" w:cs="Arial"/>
          <w:color w:val="auto"/>
          <w:sz w:val="18"/>
          <w:szCs w:val="18"/>
        </w:rPr>
      </w:pPr>
      <w:r w:rsidRPr="00227B56">
        <w:rPr>
          <w:rFonts w:ascii="Arial" w:hAnsi="Arial" w:cs="Arial"/>
          <w:color w:val="auto"/>
          <w:sz w:val="18"/>
          <w:szCs w:val="18"/>
        </w:rPr>
        <w:lastRenderedPageBreak/>
        <w:t xml:space="preserve">Table </w:t>
      </w:r>
      <w:r w:rsidR="00581B16" w:rsidRPr="00227B56">
        <w:rPr>
          <w:rFonts w:ascii="Arial" w:hAnsi="Arial" w:cs="Arial"/>
          <w:color w:val="auto"/>
          <w:sz w:val="18"/>
          <w:szCs w:val="18"/>
        </w:rPr>
        <w:t>3</w:t>
      </w:r>
    </w:p>
    <w:p w14:paraId="10E3B8CB" w14:textId="34CFE1F4" w:rsidR="003643C9" w:rsidRPr="00227B56" w:rsidRDefault="003643C9" w:rsidP="007640E4">
      <w:pPr>
        <w:pStyle w:val="Heading4"/>
        <w:rPr>
          <w:rFonts w:ascii="Arial" w:hAnsi="Arial" w:cs="Arial"/>
          <w:color w:val="auto"/>
          <w:sz w:val="18"/>
          <w:szCs w:val="18"/>
        </w:rPr>
      </w:pPr>
      <w:r w:rsidRPr="00227B56">
        <w:rPr>
          <w:rFonts w:ascii="Arial" w:hAnsi="Arial" w:cs="Arial"/>
          <w:color w:val="auto"/>
          <w:sz w:val="18"/>
          <w:szCs w:val="18"/>
        </w:rPr>
        <w:t>Profile of selected Universal banks as of 2017</w:t>
      </w:r>
    </w:p>
    <w:tbl>
      <w:tblPr>
        <w:tblStyle w:val="TableGrid"/>
        <w:tblW w:w="9576" w:type="dxa"/>
        <w:jc w:val="center"/>
        <w:tblLook w:val="04A0" w:firstRow="1" w:lastRow="0" w:firstColumn="1" w:lastColumn="0" w:noHBand="0" w:noVBand="1"/>
      </w:tblPr>
      <w:tblGrid>
        <w:gridCol w:w="2201"/>
        <w:gridCol w:w="1726"/>
        <w:gridCol w:w="1812"/>
        <w:gridCol w:w="1909"/>
        <w:gridCol w:w="1928"/>
      </w:tblGrid>
      <w:tr w:rsidR="0051261F" w:rsidRPr="00227B56" w14:paraId="439F7134" w14:textId="77777777" w:rsidTr="00FF2067">
        <w:trPr>
          <w:trHeight w:val="413"/>
          <w:jc w:val="center"/>
        </w:trPr>
        <w:tc>
          <w:tcPr>
            <w:tcW w:w="2201" w:type="dxa"/>
          </w:tcPr>
          <w:p w14:paraId="2B40E52B" w14:textId="77777777" w:rsidR="0051261F" w:rsidRPr="00227B56" w:rsidRDefault="0051261F" w:rsidP="00FF2067">
            <w:pPr>
              <w:spacing w:after="160" w:line="259" w:lineRule="auto"/>
              <w:rPr>
                <w:rFonts w:ascii="Arial" w:hAnsi="Arial" w:cs="Arial"/>
                <w:b/>
                <w:sz w:val="18"/>
                <w:szCs w:val="18"/>
              </w:rPr>
            </w:pPr>
            <w:r w:rsidRPr="00227B56">
              <w:rPr>
                <w:rFonts w:ascii="Arial" w:hAnsi="Arial" w:cs="Arial"/>
                <w:b/>
                <w:sz w:val="18"/>
                <w:szCs w:val="18"/>
              </w:rPr>
              <w:t xml:space="preserve">Name </w:t>
            </w:r>
          </w:p>
        </w:tc>
        <w:tc>
          <w:tcPr>
            <w:tcW w:w="1726" w:type="dxa"/>
          </w:tcPr>
          <w:p w14:paraId="73A47770"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b/>
                <w:bCs/>
                <w:sz w:val="18"/>
                <w:szCs w:val="18"/>
              </w:rPr>
              <w:t>Date Incorporated</w:t>
            </w:r>
          </w:p>
        </w:tc>
        <w:tc>
          <w:tcPr>
            <w:tcW w:w="1812" w:type="dxa"/>
          </w:tcPr>
          <w:p w14:paraId="0786F535"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b/>
                <w:bCs/>
                <w:sz w:val="18"/>
                <w:szCs w:val="18"/>
              </w:rPr>
              <w:t>Date Listed</w:t>
            </w:r>
          </w:p>
        </w:tc>
        <w:tc>
          <w:tcPr>
            <w:tcW w:w="1909" w:type="dxa"/>
          </w:tcPr>
          <w:p w14:paraId="5F79ACEC"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b/>
                <w:bCs/>
                <w:sz w:val="18"/>
                <w:szCs w:val="18"/>
              </w:rPr>
              <w:t>Issued Shares (GH) (Mil.)</w:t>
            </w:r>
          </w:p>
        </w:tc>
        <w:tc>
          <w:tcPr>
            <w:tcW w:w="1928" w:type="dxa"/>
          </w:tcPr>
          <w:p w14:paraId="59EBBC30" w14:textId="7647ED7F"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Type of services</w:t>
            </w:r>
          </w:p>
        </w:tc>
      </w:tr>
      <w:tr w:rsidR="0051261F" w:rsidRPr="00227B56" w14:paraId="033AF3A0" w14:textId="77777777" w:rsidTr="00FF2067">
        <w:trPr>
          <w:trHeight w:val="659"/>
          <w:jc w:val="center"/>
        </w:trPr>
        <w:tc>
          <w:tcPr>
            <w:tcW w:w="2201" w:type="dxa"/>
          </w:tcPr>
          <w:p w14:paraId="56C6A3B8"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Ecobank Ghana Limited</w:t>
            </w:r>
          </w:p>
        </w:tc>
        <w:tc>
          <w:tcPr>
            <w:tcW w:w="1726" w:type="dxa"/>
          </w:tcPr>
          <w:p w14:paraId="1D839CCB"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Feb 19,1990</w:t>
            </w:r>
          </w:p>
        </w:tc>
        <w:tc>
          <w:tcPr>
            <w:tcW w:w="1812" w:type="dxa"/>
          </w:tcPr>
          <w:p w14:paraId="5D22CE25"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July, 2006</w:t>
            </w:r>
          </w:p>
        </w:tc>
        <w:tc>
          <w:tcPr>
            <w:tcW w:w="1909" w:type="dxa"/>
          </w:tcPr>
          <w:p w14:paraId="1B4B3656"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293.23</w:t>
            </w:r>
          </w:p>
        </w:tc>
        <w:tc>
          <w:tcPr>
            <w:tcW w:w="1928" w:type="dxa"/>
          </w:tcPr>
          <w:p w14:paraId="2F70535D"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Financial Services-Banking</w:t>
            </w:r>
          </w:p>
        </w:tc>
      </w:tr>
      <w:tr w:rsidR="0051261F" w:rsidRPr="00227B56" w14:paraId="1934CAA4" w14:textId="77777777" w:rsidTr="00FF2067">
        <w:trPr>
          <w:trHeight w:val="979"/>
          <w:jc w:val="center"/>
        </w:trPr>
        <w:tc>
          <w:tcPr>
            <w:tcW w:w="2201" w:type="dxa"/>
          </w:tcPr>
          <w:p w14:paraId="07A0F6A1"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adb Bank Ghana Limited</w:t>
            </w:r>
          </w:p>
        </w:tc>
        <w:tc>
          <w:tcPr>
            <w:tcW w:w="1726" w:type="dxa"/>
          </w:tcPr>
          <w:p w14:paraId="45222621"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1965</w:t>
            </w:r>
          </w:p>
        </w:tc>
        <w:tc>
          <w:tcPr>
            <w:tcW w:w="1812" w:type="dxa"/>
          </w:tcPr>
          <w:p w14:paraId="4A1D8DD4"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December 12, 2016</w:t>
            </w:r>
          </w:p>
        </w:tc>
        <w:tc>
          <w:tcPr>
            <w:tcW w:w="1909" w:type="dxa"/>
          </w:tcPr>
          <w:p w14:paraId="6AD6E45E"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N/A</w:t>
            </w:r>
          </w:p>
        </w:tc>
        <w:tc>
          <w:tcPr>
            <w:tcW w:w="1928" w:type="dxa"/>
          </w:tcPr>
          <w:p w14:paraId="5103C8A2"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Banking and Other Banking-Related Activities</w:t>
            </w:r>
          </w:p>
        </w:tc>
      </w:tr>
      <w:tr w:rsidR="0051261F" w:rsidRPr="00227B56" w14:paraId="31A7C954" w14:textId="77777777" w:rsidTr="00FF2067">
        <w:trPr>
          <w:trHeight w:val="659"/>
          <w:jc w:val="center"/>
        </w:trPr>
        <w:tc>
          <w:tcPr>
            <w:tcW w:w="2201" w:type="dxa"/>
          </w:tcPr>
          <w:p w14:paraId="194EBC9D"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Cal Bank Ghana Limited</w:t>
            </w:r>
          </w:p>
        </w:tc>
        <w:tc>
          <w:tcPr>
            <w:tcW w:w="1726" w:type="dxa"/>
          </w:tcPr>
          <w:p w14:paraId="7CA68E00"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N/A</w:t>
            </w:r>
          </w:p>
        </w:tc>
        <w:tc>
          <w:tcPr>
            <w:tcW w:w="1812" w:type="dxa"/>
          </w:tcPr>
          <w:p w14:paraId="1CA29455"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November 5, 2004</w:t>
            </w:r>
          </w:p>
        </w:tc>
        <w:tc>
          <w:tcPr>
            <w:tcW w:w="1909" w:type="dxa"/>
          </w:tcPr>
          <w:p w14:paraId="24213DF3"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 xml:space="preserve">548.26 </w:t>
            </w:r>
          </w:p>
        </w:tc>
        <w:tc>
          <w:tcPr>
            <w:tcW w:w="1928" w:type="dxa"/>
          </w:tcPr>
          <w:p w14:paraId="2A52482E"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Financial Services-Banking</w:t>
            </w:r>
          </w:p>
        </w:tc>
      </w:tr>
      <w:tr w:rsidR="0051261F" w:rsidRPr="00227B56" w14:paraId="122F5FC8" w14:textId="77777777" w:rsidTr="00FF2067">
        <w:trPr>
          <w:trHeight w:val="659"/>
          <w:jc w:val="center"/>
        </w:trPr>
        <w:tc>
          <w:tcPr>
            <w:tcW w:w="2201" w:type="dxa"/>
          </w:tcPr>
          <w:p w14:paraId="0CE37356"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GCB Bank Ghana Limited</w:t>
            </w:r>
          </w:p>
        </w:tc>
        <w:tc>
          <w:tcPr>
            <w:tcW w:w="1726" w:type="dxa"/>
          </w:tcPr>
          <w:p w14:paraId="0CCC593A"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17th May. 1996</w:t>
            </w:r>
          </w:p>
        </w:tc>
        <w:tc>
          <w:tcPr>
            <w:tcW w:w="1812" w:type="dxa"/>
          </w:tcPr>
          <w:p w14:paraId="1687B547"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17th May. 1996</w:t>
            </w:r>
          </w:p>
        </w:tc>
        <w:tc>
          <w:tcPr>
            <w:tcW w:w="1909" w:type="dxa"/>
          </w:tcPr>
          <w:p w14:paraId="6F4228E6"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‎265.00</w:t>
            </w:r>
          </w:p>
        </w:tc>
        <w:tc>
          <w:tcPr>
            <w:tcW w:w="1928" w:type="dxa"/>
          </w:tcPr>
          <w:p w14:paraId="58280407"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Banking and related services</w:t>
            </w:r>
          </w:p>
        </w:tc>
      </w:tr>
      <w:tr w:rsidR="0051261F" w:rsidRPr="00227B56" w14:paraId="16A286F1" w14:textId="77777777" w:rsidTr="00FF2067">
        <w:trPr>
          <w:trHeight w:val="642"/>
          <w:jc w:val="center"/>
        </w:trPr>
        <w:tc>
          <w:tcPr>
            <w:tcW w:w="2201" w:type="dxa"/>
          </w:tcPr>
          <w:p w14:paraId="3E7A29F6"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Access Bank Ghana Limited</w:t>
            </w:r>
          </w:p>
        </w:tc>
        <w:tc>
          <w:tcPr>
            <w:tcW w:w="1726" w:type="dxa"/>
          </w:tcPr>
          <w:p w14:paraId="6FA8A5F2"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N/A</w:t>
            </w:r>
          </w:p>
        </w:tc>
        <w:tc>
          <w:tcPr>
            <w:tcW w:w="1812" w:type="dxa"/>
          </w:tcPr>
          <w:p w14:paraId="33F31E1D"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N/A</w:t>
            </w:r>
          </w:p>
        </w:tc>
        <w:tc>
          <w:tcPr>
            <w:tcW w:w="1909" w:type="dxa"/>
          </w:tcPr>
          <w:p w14:paraId="10D71947"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N/A</w:t>
            </w:r>
          </w:p>
        </w:tc>
        <w:tc>
          <w:tcPr>
            <w:tcW w:w="1928" w:type="dxa"/>
          </w:tcPr>
          <w:p w14:paraId="26F16AFF" w14:textId="77777777" w:rsidR="0051261F" w:rsidRPr="00227B56" w:rsidRDefault="0051261F" w:rsidP="00FF2067">
            <w:pPr>
              <w:spacing w:after="160" w:line="259" w:lineRule="auto"/>
              <w:rPr>
                <w:rFonts w:ascii="Arial" w:hAnsi="Arial" w:cs="Arial"/>
                <w:sz w:val="18"/>
                <w:szCs w:val="18"/>
              </w:rPr>
            </w:pPr>
            <w:r w:rsidRPr="00227B56">
              <w:rPr>
                <w:rFonts w:ascii="Arial" w:hAnsi="Arial" w:cs="Arial"/>
                <w:sz w:val="18"/>
                <w:szCs w:val="18"/>
              </w:rPr>
              <w:t>Financial Services-Banking</w:t>
            </w:r>
          </w:p>
        </w:tc>
      </w:tr>
    </w:tbl>
    <w:p w14:paraId="1939EC92" w14:textId="04F91A68" w:rsidR="003643C9" w:rsidRPr="00227B56" w:rsidRDefault="0051261F" w:rsidP="003643C9">
      <w:pPr>
        <w:spacing w:after="0" w:line="360" w:lineRule="auto"/>
        <w:jc w:val="both"/>
        <w:rPr>
          <w:rFonts w:ascii="Arial" w:hAnsi="Arial" w:cs="Arial"/>
          <w:sz w:val="18"/>
          <w:szCs w:val="18"/>
        </w:rPr>
      </w:pPr>
      <w:r w:rsidRPr="00227B56">
        <w:rPr>
          <w:rFonts w:ascii="Arial" w:hAnsi="Arial" w:cs="Arial"/>
          <w:sz w:val="18"/>
          <w:szCs w:val="18"/>
        </w:rPr>
        <w:t>Author’s own work</w:t>
      </w:r>
    </w:p>
    <w:p w14:paraId="39C36407" w14:textId="676EBF68" w:rsidR="003643C9" w:rsidRPr="00227B56" w:rsidRDefault="003643C9" w:rsidP="00EF4A19">
      <w:pPr>
        <w:pStyle w:val="Heading2"/>
        <w:spacing w:after="0" w:afterAutospacing="0" w:line="360" w:lineRule="auto"/>
        <w:rPr>
          <w:rFonts w:ascii="Arial" w:hAnsi="Arial" w:cs="Arial"/>
          <w:sz w:val="18"/>
          <w:szCs w:val="18"/>
        </w:rPr>
      </w:pPr>
      <w:r w:rsidRPr="00227B56">
        <w:rPr>
          <w:rFonts w:ascii="Arial" w:hAnsi="Arial" w:cs="Arial"/>
          <w:sz w:val="18"/>
          <w:szCs w:val="18"/>
        </w:rPr>
        <w:t>Model specification</w:t>
      </w:r>
    </w:p>
    <w:p w14:paraId="17E1349E" w14:textId="77777777" w:rsidR="003643C9" w:rsidRPr="00227B56" w:rsidRDefault="003643C9" w:rsidP="00EF4A19">
      <w:pPr>
        <w:autoSpaceDE w:val="0"/>
        <w:autoSpaceDN w:val="0"/>
        <w:adjustRightInd w:val="0"/>
        <w:spacing w:after="0" w:line="360" w:lineRule="auto"/>
        <w:rPr>
          <w:rFonts w:ascii="Arial" w:hAnsi="Arial" w:cs="Arial"/>
          <w:sz w:val="18"/>
          <w:szCs w:val="18"/>
        </w:rPr>
      </w:pPr>
      <w:r w:rsidRPr="00227B56">
        <w:rPr>
          <w:rFonts w:ascii="Arial" w:hAnsi="Arial" w:cs="Arial"/>
          <w:sz w:val="18"/>
          <w:szCs w:val="18"/>
        </w:rPr>
        <w:t>This paper employs ordinary least square (OLS) regression model to analyze the panel data and examine the</w:t>
      </w:r>
    </w:p>
    <w:p w14:paraId="401F1573" w14:textId="35AC3D3C" w:rsidR="003643C9" w:rsidRPr="00227B56" w:rsidRDefault="003643C9" w:rsidP="00EF4A19">
      <w:pPr>
        <w:spacing w:line="360" w:lineRule="auto"/>
        <w:rPr>
          <w:rFonts w:ascii="Arial" w:hAnsi="Arial" w:cs="Arial"/>
          <w:sz w:val="18"/>
          <w:szCs w:val="18"/>
        </w:rPr>
      </w:pPr>
      <w:r w:rsidRPr="00227B56">
        <w:rPr>
          <w:rFonts w:ascii="Arial" w:hAnsi="Arial" w:cs="Arial"/>
          <w:sz w:val="18"/>
          <w:szCs w:val="18"/>
        </w:rPr>
        <w:t>effects of firm specific factors and macroeconomics on profitability of insurers.</w:t>
      </w:r>
    </w:p>
    <w:p w14:paraId="6CB5FF32" w14:textId="14FCE50F" w:rsidR="00992E66" w:rsidRPr="00227B56" w:rsidRDefault="00992E66" w:rsidP="00992E66">
      <w:pPr>
        <w:autoSpaceDE w:val="0"/>
        <w:autoSpaceDN w:val="0"/>
        <w:adjustRightInd w:val="0"/>
        <w:spacing w:after="0" w:line="360" w:lineRule="auto"/>
        <w:rPr>
          <w:rFonts w:ascii="Arial" w:hAnsi="Arial" w:cs="Arial"/>
          <w:sz w:val="18"/>
          <w:szCs w:val="18"/>
        </w:rPr>
      </w:pPr>
      <w:r w:rsidRPr="00227B56">
        <w:rPr>
          <w:rFonts w:ascii="Arial" w:hAnsi="Arial" w:cs="Arial"/>
          <w:sz w:val="18"/>
          <w:szCs w:val="18"/>
        </w:rPr>
        <w:t>The Following baseline model was used,</w:t>
      </w:r>
    </w:p>
    <w:p w14:paraId="3057A206" w14:textId="2E31298F" w:rsidR="005F407C" w:rsidRPr="00227B56" w:rsidRDefault="00992E66" w:rsidP="001E1417">
      <w:pPr>
        <w:autoSpaceDE w:val="0"/>
        <w:autoSpaceDN w:val="0"/>
        <w:adjustRightInd w:val="0"/>
        <w:spacing w:after="0" w:line="360" w:lineRule="auto"/>
        <w:jc w:val="center"/>
        <w:rPr>
          <w:rFonts w:ascii="Arial" w:hAnsi="Arial" w:cs="Arial"/>
          <w:b/>
          <w:i/>
          <w:iCs/>
          <w:sz w:val="20"/>
          <w:szCs w:val="18"/>
        </w:rPr>
      </w:pPr>
      <w:r w:rsidRPr="00227B56">
        <w:rPr>
          <w:rFonts w:ascii="Arial" w:hAnsi="Arial" w:cs="Arial"/>
          <w:b/>
          <w:i/>
          <w:iCs/>
          <w:sz w:val="20"/>
          <w:szCs w:val="18"/>
        </w:rPr>
        <w:t>Y</w:t>
      </w:r>
      <w:r w:rsidRPr="00227B56">
        <w:rPr>
          <w:rFonts w:ascii="Arial" w:hAnsi="Arial" w:cs="Arial"/>
          <w:b/>
          <w:sz w:val="20"/>
          <w:szCs w:val="18"/>
        </w:rPr>
        <w:t xml:space="preserve">it </w:t>
      </w:r>
      <w:r w:rsidRPr="00227B56">
        <w:rPr>
          <w:rFonts w:ascii="Arial" w:hAnsi="Arial" w:cs="Arial"/>
          <w:b/>
          <w:i/>
          <w:iCs/>
          <w:sz w:val="20"/>
          <w:szCs w:val="18"/>
        </w:rPr>
        <w:t>= b0 + b1 (X1</w:t>
      </w:r>
      <w:r w:rsidRPr="00227B56">
        <w:rPr>
          <w:rFonts w:ascii="Arial" w:hAnsi="Arial" w:cs="Arial"/>
          <w:b/>
          <w:sz w:val="20"/>
          <w:szCs w:val="18"/>
        </w:rPr>
        <w:t xml:space="preserve">it) </w:t>
      </w:r>
      <w:r w:rsidRPr="00227B56">
        <w:rPr>
          <w:rFonts w:ascii="Arial" w:hAnsi="Arial" w:cs="Arial"/>
          <w:b/>
          <w:i/>
          <w:iCs/>
          <w:sz w:val="20"/>
          <w:szCs w:val="18"/>
        </w:rPr>
        <w:t>+ b2 (X2</w:t>
      </w:r>
      <w:r w:rsidRPr="00227B56">
        <w:rPr>
          <w:rFonts w:ascii="Arial" w:hAnsi="Arial" w:cs="Arial"/>
          <w:b/>
          <w:sz w:val="20"/>
          <w:szCs w:val="18"/>
        </w:rPr>
        <w:t xml:space="preserve">it) </w:t>
      </w:r>
      <w:r w:rsidRPr="00227B56">
        <w:rPr>
          <w:rFonts w:ascii="Arial" w:hAnsi="Arial" w:cs="Arial"/>
          <w:b/>
          <w:i/>
          <w:iCs/>
          <w:sz w:val="20"/>
          <w:szCs w:val="18"/>
        </w:rPr>
        <w:t>+ b3 (X3</w:t>
      </w:r>
      <w:r w:rsidRPr="00227B56">
        <w:rPr>
          <w:rFonts w:ascii="Arial" w:hAnsi="Arial" w:cs="Arial"/>
          <w:b/>
          <w:sz w:val="20"/>
          <w:szCs w:val="18"/>
        </w:rPr>
        <w:t xml:space="preserve">it) </w:t>
      </w:r>
      <w:r w:rsidRPr="00227B56">
        <w:rPr>
          <w:rFonts w:ascii="Arial" w:hAnsi="Arial" w:cs="Arial"/>
          <w:b/>
          <w:i/>
          <w:iCs/>
          <w:sz w:val="20"/>
          <w:szCs w:val="18"/>
        </w:rPr>
        <w:t>+ e</w:t>
      </w:r>
    </w:p>
    <w:p w14:paraId="2F141AE2" w14:textId="656808B3" w:rsidR="00C66153" w:rsidRPr="00227B56" w:rsidRDefault="00C66153" w:rsidP="00C66153">
      <w:pPr>
        <w:autoSpaceDE w:val="0"/>
        <w:autoSpaceDN w:val="0"/>
        <w:adjustRightInd w:val="0"/>
        <w:spacing w:after="0" w:line="240" w:lineRule="auto"/>
        <w:rPr>
          <w:rFonts w:ascii="Arial" w:eastAsia="TimesNewRomanPSMT" w:hAnsi="Arial" w:cs="Arial"/>
          <w:sz w:val="18"/>
          <w:szCs w:val="18"/>
        </w:rPr>
      </w:pPr>
      <w:r w:rsidRPr="00227B56">
        <w:rPr>
          <w:rFonts w:ascii="Arial" w:eastAsia="TimesNewRomanPSMT" w:hAnsi="Arial" w:cs="Arial"/>
          <w:sz w:val="18"/>
          <w:szCs w:val="18"/>
        </w:rPr>
        <w:t xml:space="preserve">Where ROA is return on assets, Xit is dependent variables for banks “i” at time “t”, C is constant, β is the coefficient and </w:t>
      </w:r>
      <w:r w:rsidRPr="00227B56">
        <w:rPr>
          <w:rFonts w:ascii="Arial" w:eastAsia="TimesNewRomanPSMT" w:hAnsi="Arial" w:cs="Arial"/>
          <w:i/>
          <w:sz w:val="18"/>
          <w:szCs w:val="18"/>
        </w:rPr>
        <w:t>e</w:t>
      </w:r>
      <w:r w:rsidRPr="00227B56">
        <w:rPr>
          <w:rFonts w:ascii="Arial" w:eastAsia="TimesNewRomanPSMT" w:hAnsi="Arial" w:cs="Arial"/>
          <w:sz w:val="18"/>
          <w:szCs w:val="18"/>
        </w:rPr>
        <w:t xml:space="preserve"> is the error term.</w:t>
      </w:r>
    </w:p>
    <w:p w14:paraId="6322BB14" w14:textId="4ACBBB3E" w:rsidR="00C66153" w:rsidRPr="00227B56" w:rsidRDefault="00C66153" w:rsidP="00C66153">
      <w:pPr>
        <w:autoSpaceDE w:val="0"/>
        <w:autoSpaceDN w:val="0"/>
        <w:adjustRightInd w:val="0"/>
        <w:spacing w:after="0" w:line="240" w:lineRule="auto"/>
        <w:rPr>
          <w:rFonts w:ascii="Arial" w:eastAsia="TimesNewRomanPSMT" w:hAnsi="Arial" w:cs="Arial"/>
          <w:sz w:val="18"/>
          <w:szCs w:val="18"/>
        </w:rPr>
      </w:pPr>
      <w:r w:rsidRPr="00227B56">
        <w:rPr>
          <w:rFonts w:ascii="Arial" w:eastAsia="TimesNewRomanPSMT" w:hAnsi="Arial" w:cs="Arial"/>
          <w:sz w:val="18"/>
          <w:szCs w:val="18"/>
        </w:rPr>
        <w:t>The final model will be</w:t>
      </w:r>
    </w:p>
    <w:p w14:paraId="60F2F3C2" w14:textId="22CE2A35" w:rsidR="00C11253" w:rsidRPr="00227B56" w:rsidRDefault="0033349A" w:rsidP="001E1417">
      <w:pPr>
        <w:spacing w:after="0" w:line="360" w:lineRule="auto"/>
        <w:jc w:val="center"/>
        <w:rPr>
          <w:rFonts w:ascii="Arial" w:hAnsi="Arial" w:cs="Arial"/>
          <w:b/>
          <w:sz w:val="20"/>
          <w:szCs w:val="18"/>
        </w:rPr>
      </w:pPr>
      <w:r w:rsidRPr="00227B56">
        <w:rPr>
          <w:rFonts w:ascii="Arial" w:hAnsi="Arial" w:cs="Arial"/>
          <w:b/>
          <w:sz w:val="20"/>
          <w:szCs w:val="18"/>
        </w:rPr>
        <w:t>TAB</w:t>
      </w:r>
      <w:r w:rsidRPr="00227B56">
        <w:rPr>
          <w:rFonts w:ascii="Arial" w:hAnsi="Arial" w:cs="Arial"/>
          <w:b/>
          <w:sz w:val="20"/>
          <w:szCs w:val="18"/>
          <w:vertAlign w:val="subscript"/>
        </w:rPr>
        <w:t>i,t</w:t>
      </w:r>
      <w:r w:rsidRPr="00227B56">
        <w:rPr>
          <w:rFonts w:ascii="Arial" w:hAnsi="Arial" w:cs="Arial"/>
          <w:b/>
          <w:sz w:val="20"/>
          <w:szCs w:val="18"/>
        </w:rPr>
        <w:t>= α</w:t>
      </w:r>
      <w:r w:rsidRPr="00227B56">
        <w:rPr>
          <w:rFonts w:ascii="Arial" w:hAnsi="Arial" w:cs="Arial"/>
          <w:b/>
          <w:sz w:val="20"/>
          <w:szCs w:val="18"/>
          <w:vertAlign w:val="subscript"/>
        </w:rPr>
        <w:t>i</w:t>
      </w:r>
      <w:r w:rsidRPr="00227B56">
        <w:rPr>
          <w:rFonts w:ascii="Arial" w:hAnsi="Arial" w:cs="Arial"/>
          <w:b/>
          <w:sz w:val="20"/>
          <w:szCs w:val="18"/>
        </w:rPr>
        <w:t xml:space="preserve">+α </w:t>
      </w:r>
      <w:r w:rsidRPr="00227B56">
        <w:rPr>
          <w:rFonts w:ascii="Cambria Math" w:hAnsi="Cambria Math" w:cs="Cambria Math"/>
          <w:b/>
          <w:sz w:val="20"/>
          <w:szCs w:val="18"/>
        </w:rPr>
        <w:t>⋅</w:t>
      </w:r>
      <w:r w:rsidRPr="00227B56">
        <w:rPr>
          <w:rFonts w:ascii="Arial" w:hAnsi="Arial" w:cs="Arial"/>
          <w:b/>
          <w:sz w:val="20"/>
          <w:szCs w:val="18"/>
        </w:rPr>
        <w:t>NPA</w:t>
      </w:r>
      <w:r w:rsidRPr="00227B56">
        <w:rPr>
          <w:rFonts w:ascii="Arial" w:hAnsi="Arial" w:cs="Arial"/>
          <w:b/>
          <w:sz w:val="20"/>
          <w:szCs w:val="18"/>
          <w:vertAlign w:val="subscript"/>
        </w:rPr>
        <w:t xml:space="preserve">i,t </w:t>
      </w:r>
      <w:r w:rsidRPr="00227B56">
        <w:rPr>
          <w:rFonts w:ascii="Arial" w:hAnsi="Arial" w:cs="Arial"/>
          <w:b/>
          <w:sz w:val="20"/>
          <w:szCs w:val="18"/>
        </w:rPr>
        <w:t xml:space="preserve">+α </w:t>
      </w:r>
      <w:r w:rsidRPr="00227B56">
        <w:rPr>
          <w:rFonts w:ascii="Cambria Math" w:hAnsi="Cambria Math" w:cs="Cambria Math"/>
          <w:b/>
          <w:sz w:val="20"/>
          <w:szCs w:val="18"/>
        </w:rPr>
        <w:t>⋅</w:t>
      </w:r>
      <w:r w:rsidRPr="00227B56">
        <w:rPr>
          <w:rFonts w:ascii="Arial" w:hAnsi="Arial" w:cs="Arial"/>
          <w:b/>
          <w:sz w:val="20"/>
          <w:szCs w:val="18"/>
        </w:rPr>
        <w:t>BTC</w:t>
      </w:r>
      <w:r w:rsidRPr="00227B56">
        <w:rPr>
          <w:rFonts w:ascii="Arial" w:hAnsi="Arial" w:cs="Arial"/>
          <w:b/>
          <w:sz w:val="20"/>
          <w:szCs w:val="18"/>
          <w:vertAlign w:val="subscript"/>
        </w:rPr>
        <w:t xml:space="preserve">i,t </w:t>
      </w:r>
      <w:r w:rsidRPr="00227B56">
        <w:rPr>
          <w:rFonts w:ascii="Arial" w:hAnsi="Arial" w:cs="Arial"/>
          <w:b/>
          <w:sz w:val="20"/>
          <w:szCs w:val="18"/>
        </w:rPr>
        <w:t>+ α. BOL</w:t>
      </w:r>
      <w:r w:rsidRPr="00227B56">
        <w:rPr>
          <w:rFonts w:ascii="Arial" w:hAnsi="Arial" w:cs="Arial"/>
          <w:b/>
          <w:sz w:val="20"/>
          <w:szCs w:val="18"/>
          <w:vertAlign w:val="subscript"/>
        </w:rPr>
        <w:t>i,t</w:t>
      </w:r>
      <w:r w:rsidRPr="00227B56">
        <w:rPr>
          <w:rFonts w:ascii="Arial" w:hAnsi="Arial" w:cs="Arial"/>
          <w:b/>
          <w:sz w:val="20"/>
          <w:szCs w:val="18"/>
        </w:rPr>
        <w:t>+ ε</w:t>
      </w:r>
      <w:r w:rsidRPr="00227B56">
        <w:rPr>
          <w:rFonts w:ascii="Arial" w:hAnsi="Arial" w:cs="Arial"/>
          <w:b/>
          <w:sz w:val="20"/>
          <w:szCs w:val="18"/>
          <w:vertAlign w:val="subscript"/>
        </w:rPr>
        <w:t>i,t</w:t>
      </w:r>
      <w:r w:rsidRPr="00227B56">
        <w:rPr>
          <w:rFonts w:ascii="Arial" w:hAnsi="Arial" w:cs="Arial"/>
          <w:b/>
          <w:sz w:val="20"/>
          <w:szCs w:val="18"/>
        </w:rPr>
        <w:t>”………………………………</w:t>
      </w:r>
      <w:r w:rsidR="00C11253" w:rsidRPr="00227B56">
        <w:rPr>
          <w:rFonts w:ascii="Arial" w:hAnsi="Arial" w:cs="Arial"/>
          <w:b/>
          <w:sz w:val="20"/>
          <w:szCs w:val="18"/>
        </w:rPr>
        <w:t>equation 1</w:t>
      </w:r>
    </w:p>
    <w:p w14:paraId="0C3AF016" w14:textId="38744E77" w:rsidR="002A4100" w:rsidRPr="00227B56" w:rsidRDefault="002A4100" w:rsidP="002A4100">
      <w:pPr>
        <w:spacing w:after="0" w:line="360" w:lineRule="auto"/>
        <w:jc w:val="both"/>
        <w:rPr>
          <w:rFonts w:ascii="Arial" w:hAnsi="Arial" w:cs="Arial"/>
          <w:sz w:val="18"/>
          <w:szCs w:val="18"/>
        </w:rPr>
      </w:pPr>
      <w:r w:rsidRPr="00227B56">
        <w:rPr>
          <w:rFonts w:ascii="Arial" w:hAnsi="Arial" w:cs="Arial"/>
          <w:sz w:val="18"/>
          <w:szCs w:val="18"/>
        </w:rPr>
        <w:t>Wh</w:t>
      </w:r>
      <w:r w:rsidR="00C66153" w:rsidRPr="00227B56">
        <w:rPr>
          <w:rFonts w:ascii="Arial" w:hAnsi="Arial" w:cs="Arial"/>
          <w:sz w:val="18"/>
          <w:szCs w:val="18"/>
        </w:rPr>
        <w:t>ere</w:t>
      </w:r>
    </w:p>
    <w:p w14:paraId="11BCB402" w14:textId="77777777" w:rsidR="00FA6814" w:rsidRPr="00227B56" w:rsidRDefault="00FA6814" w:rsidP="00FA6814">
      <w:pPr>
        <w:spacing w:after="0" w:line="360" w:lineRule="auto"/>
        <w:jc w:val="both"/>
        <w:rPr>
          <w:rFonts w:ascii="Arial" w:hAnsi="Arial" w:cs="Arial"/>
          <w:i/>
          <w:sz w:val="18"/>
          <w:szCs w:val="18"/>
        </w:rPr>
      </w:pPr>
      <w:r w:rsidRPr="00227B56">
        <w:rPr>
          <w:rFonts w:ascii="Arial" w:hAnsi="Arial" w:cs="Arial"/>
          <w:i/>
          <w:sz w:val="18"/>
          <w:szCs w:val="18"/>
        </w:rPr>
        <w:t>TAB= Total Asset Base</w:t>
      </w:r>
    </w:p>
    <w:p w14:paraId="78703DC7" w14:textId="16B44586" w:rsidR="002A4100" w:rsidRPr="00227B56" w:rsidRDefault="002A4100" w:rsidP="002A4100">
      <w:pPr>
        <w:spacing w:after="0" w:line="360" w:lineRule="auto"/>
        <w:jc w:val="both"/>
        <w:rPr>
          <w:rFonts w:ascii="Arial" w:hAnsi="Arial" w:cs="Arial"/>
          <w:i/>
          <w:sz w:val="18"/>
          <w:szCs w:val="18"/>
        </w:rPr>
      </w:pPr>
      <w:r w:rsidRPr="00227B56">
        <w:rPr>
          <w:rFonts w:ascii="Arial" w:hAnsi="Arial" w:cs="Arial"/>
          <w:i/>
          <w:sz w:val="18"/>
          <w:szCs w:val="18"/>
        </w:rPr>
        <w:t>NPA=Net profit After tax</w:t>
      </w:r>
    </w:p>
    <w:p w14:paraId="1CDBD2DD" w14:textId="0E70BAE9" w:rsidR="002A4100" w:rsidRPr="00227B56" w:rsidRDefault="002A4100" w:rsidP="002A4100">
      <w:pPr>
        <w:spacing w:after="0" w:line="360" w:lineRule="auto"/>
        <w:jc w:val="both"/>
        <w:rPr>
          <w:rFonts w:ascii="Arial" w:hAnsi="Arial" w:cs="Arial"/>
          <w:i/>
          <w:sz w:val="18"/>
          <w:szCs w:val="18"/>
        </w:rPr>
      </w:pPr>
      <w:r w:rsidRPr="00227B56">
        <w:rPr>
          <w:rFonts w:ascii="Arial" w:hAnsi="Arial" w:cs="Arial"/>
          <w:i/>
          <w:sz w:val="18"/>
          <w:szCs w:val="18"/>
        </w:rPr>
        <w:t>B</w:t>
      </w:r>
      <w:r w:rsidR="00247B4A" w:rsidRPr="00227B56">
        <w:rPr>
          <w:rFonts w:ascii="Arial" w:hAnsi="Arial" w:cs="Arial"/>
          <w:i/>
          <w:sz w:val="18"/>
          <w:szCs w:val="18"/>
        </w:rPr>
        <w:t>T</w:t>
      </w:r>
      <w:r w:rsidR="00702B7D" w:rsidRPr="00227B56">
        <w:rPr>
          <w:rFonts w:ascii="Arial" w:hAnsi="Arial" w:cs="Arial"/>
          <w:i/>
          <w:sz w:val="18"/>
          <w:szCs w:val="18"/>
        </w:rPr>
        <w:t>C</w:t>
      </w:r>
      <w:r w:rsidRPr="00227B56">
        <w:rPr>
          <w:rFonts w:ascii="Arial" w:hAnsi="Arial" w:cs="Arial"/>
          <w:i/>
          <w:sz w:val="18"/>
          <w:szCs w:val="18"/>
        </w:rPr>
        <w:t>= Bank</w:t>
      </w:r>
      <w:r w:rsidR="006F21DD" w:rsidRPr="00227B56">
        <w:rPr>
          <w:rFonts w:ascii="Arial" w:hAnsi="Arial" w:cs="Arial"/>
          <w:i/>
          <w:sz w:val="18"/>
          <w:szCs w:val="18"/>
        </w:rPr>
        <w:t>’</w:t>
      </w:r>
      <w:r w:rsidRPr="00227B56">
        <w:rPr>
          <w:rFonts w:ascii="Arial" w:hAnsi="Arial" w:cs="Arial"/>
          <w:i/>
          <w:sz w:val="18"/>
          <w:szCs w:val="18"/>
        </w:rPr>
        <w:t xml:space="preserve">s Total </w:t>
      </w:r>
      <w:r w:rsidR="00702B7D" w:rsidRPr="00227B56">
        <w:rPr>
          <w:rFonts w:ascii="Arial" w:hAnsi="Arial" w:cs="Arial"/>
          <w:i/>
          <w:sz w:val="18"/>
          <w:szCs w:val="18"/>
        </w:rPr>
        <w:t>Capital</w:t>
      </w:r>
    </w:p>
    <w:p w14:paraId="2965B77B" w14:textId="15BF23B9" w:rsidR="006F21DD" w:rsidRPr="00227B56" w:rsidRDefault="006F21DD" w:rsidP="002A4100">
      <w:pPr>
        <w:spacing w:after="0" w:line="360" w:lineRule="auto"/>
        <w:jc w:val="both"/>
        <w:rPr>
          <w:rFonts w:ascii="Arial" w:hAnsi="Arial" w:cs="Arial"/>
          <w:i/>
          <w:sz w:val="18"/>
          <w:szCs w:val="18"/>
        </w:rPr>
      </w:pPr>
      <w:r w:rsidRPr="00227B56">
        <w:rPr>
          <w:rFonts w:ascii="Arial" w:hAnsi="Arial" w:cs="Arial"/>
          <w:i/>
          <w:sz w:val="18"/>
          <w:szCs w:val="18"/>
        </w:rPr>
        <w:t>T</w:t>
      </w:r>
      <w:r w:rsidR="00702B7D" w:rsidRPr="00227B56">
        <w:rPr>
          <w:rFonts w:ascii="Arial" w:hAnsi="Arial" w:cs="Arial"/>
          <w:i/>
          <w:sz w:val="18"/>
          <w:szCs w:val="18"/>
        </w:rPr>
        <w:t>O</w:t>
      </w:r>
      <w:r w:rsidRPr="00227B56">
        <w:rPr>
          <w:rFonts w:ascii="Arial" w:hAnsi="Arial" w:cs="Arial"/>
          <w:i/>
          <w:sz w:val="18"/>
          <w:szCs w:val="18"/>
        </w:rPr>
        <w:t>L=</w:t>
      </w:r>
      <w:r w:rsidR="00247B4A" w:rsidRPr="00227B56">
        <w:rPr>
          <w:rFonts w:ascii="Arial" w:hAnsi="Arial" w:cs="Arial"/>
          <w:i/>
          <w:sz w:val="18"/>
          <w:szCs w:val="18"/>
        </w:rPr>
        <w:t>Bank’s Outstanding</w:t>
      </w:r>
      <w:r w:rsidRPr="00227B56">
        <w:rPr>
          <w:rFonts w:ascii="Arial" w:hAnsi="Arial" w:cs="Arial"/>
          <w:i/>
          <w:sz w:val="18"/>
          <w:szCs w:val="18"/>
        </w:rPr>
        <w:t xml:space="preserve"> Loans</w:t>
      </w:r>
    </w:p>
    <w:p w14:paraId="11F0296C" w14:textId="0EE5EE12" w:rsidR="00DA19B9" w:rsidRPr="00227B56" w:rsidRDefault="00DA19B9" w:rsidP="00EF4A19">
      <w:pPr>
        <w:pStyle w:val="Heading1"/>
        <w:spacing w:after="0" w:afterAutospacing="0" w:line="360" w:lineRule="auto"/>
        <w:rPr>
          <w:rFonts w:ascii="Arial" w:hAnsi="Arial" w:cs="Arial"/>
          <w:sz w:val="18"/>
          <w:szCs w:val="18"/>
        </w:rPr>
      </w:pPr>
      <w:r w:rsidRPr="00227B56">
        <w:rPr>
          <w:rFonts w:ascii="Arial" w:hAnsi="Arial" w:cs="Arial"/>
          <w:sz w:val="18"/>
          <w:szCs w:val="18"/>
        </w:rPr>
        <w:t xml:space="preserve">Findings, results and discussion </w:t>
      </w:r>
    </w:p>
    <w:p w14:paraId="60028082" w14:textId="0DBF4C91" w:rsidR="00FA6814" w:rsidRPr="00227B56" w:rsidRDefault="00704240" w:rsidP="00EF4A19">
      <w:pPr>
        <w:pStyle w:val="Heading2"/>
        <w:spacing w:after="0" w:afterAutospacing="0" w:line="360" w:lineRule="auto"/>
        <w:rPr>
          <w:rFonts w:ascii="Arial" w:hAnsi="Arial" w:cs="Arial"/>
          <w:sz w:val="18"/>
          <w:szCs w:val="18"/>
        </w:rPr>
      </w:pPr>
      <w:r w:rsidRPr="00227B56">
        <w:rPr>
          <w:rFonts w:ascii="Arial" w:hAnsi="Arial" w:cs="Arial"/>
          <w:sz w:val="18"/>
          <w:szCs w:val="18"/>
        </w:rPr>
        <w:t>T</w:t>
      </w:r>
      <w:r w:rsidR="00FA6814" w:rsidRPr="00227B56">
        <w:rPr>
          <w:rFonts w:ascii="Arial" w:hAnsi="Arial" w:cs="Arial"/>
          <w:sz w:val="18"/>
          <w:szCs w:val="18"/>
        </w:rPr>
        <w:t>esting autocorrelation problem</w:t>
      </w:r>
    </w:p>
    <w:p w14:paraId="5B08F489" w14:textId="7DEB42F0" w:rsidR="00FA6814" w:rsidRPr="00227B56" w:rsidRDefault="00FA6814" w:rsidP="00FA6814">
      <w:pPr>
        <w:spacing w:after="0" w:line="360" w:lineRule="auto"/>
        <w:jc w:val="both"/>
        <w:rPr>
          <w:rFonts w:ascii="Arial" w:hAnsi="Arial" w:cs="Arial"/>
          <w:sz w:val="18"/>
          <w:szCs w:val="18"/>
        </w:rPr>
      </w:pPr>
      <w:r w:rsidRPr="00227B56">
        <w:rPr>
          <w:rFonts w:ascii="Arial" w:hAnsi="Arial" w:cs="Arial"/>
          <w:sz w:val="18"/>
          <w:szCs w:val="18"/>
        </w:rPr>
        <w:t xml:space="preserve">Durbin-Watson test is a statistical </w:t>
      </w:r>
      <w:r w:rsidR="00DA5ABC" w:rsidRPr="00227B56">
        <w:rPr>
          <w:rFonts w:ascii="Arial" w:hAnsi="Arial" w:cs="Arial"/>
          <w:sz w:val="18"/>
          <w:szCs w:val="18"/>
        </w:rPr>
        <w:t>test, which</w:t>
      </w:r>
      <w:r w:rsidRPr="00227B56">
        <w:rPr>
          <w:rFonts w:ascii="Arial" w:hAnsi="Arial" w:cs="Arial"/>
          <w:sz w:val="18"/>
          <w:szCs w:val="18"/>
        </w:rPr>
        <w:t xml:space="preserve"> determines the autocorrelation using the regression. Using the Durbin-Watson test, we tried to determine whether there is a link between bank’s capital and Bank’s performance (ROA Return on Asset or Net Profit Margin) in Ghana. For the calculations we used the " Stata: Software for Statistics and Data Science" version 14(Stata 14); regression analysis method that calculates a measure of representativeness, called coefficient of determination. The coefficient of determination </w:t>
      </w:r>
      <w:r w:rsidRPr="00227B56">
        <w:rPr>
          <w:rFonts w:ascii="Arial" w:hAnsi="Arial" w:cs="Arial"/>
          <w:b/>
          <w:sz w:val="18"/>
          <w:szCs w:val="18"/>
        </w:rPr>
        <w:t xml:space="preserve">r </w:t>
      </w:r>
      <w:r w:rsidRPr="00227B56">
        <w:rPr>
          <w:rFonts w:ascii="Arial" w:hAnsi="Arial" w:cs="Arial"/>
          <w:b/>
          <w:sz w:val="18"/>
          <w:szCs w:val="18"/>
          <w:vertAlign w:val="superscript"/>
        </w:rPr>
        <w:t>2</w:t>
      </w:r>
      <w:r w:rsidRPr="00227B56">
        <w:rPr>
          <w:rFonts w:ascii="Arial" w:hAnsi="Arial" w:cs="Arial"/>
          <w:sz w:val="18"/>
          <w:szCs w:val="18"/>
        </w:rPr>
        <w:t xml:space="preserve">, measures the percentage of variation of the independent variables based on the deviation of the dependent variable. The values obtained for the Durbin-Watson, are generally between 0 and 4. Indicator value 2 indicates that there is an autocorrelation between variables. Values </w:t>
      </w:r>
      <w:r w:rsidRPr="00227B56">
        <w:rPr>
          <w:rFonts w:ascii="Arial" w:hAnsi="Arial" w:cs="Arial"/>
          <w:sz w:val="18"/>
          <w:szCs w:val="18"/>
        </w:rPr>
        <w:lastRenderedPageBreak/>
        <w:t xml:space="preserve">between 0 and 2 show a positive autocorrelation and a value of the between 2 and 4, shows the negative autocorrelation. </w:t>
      </w:r>
    </w:p>
    <w:p w14:paraId="019A0889" w14:textId="77777777" w:rsidR="00FA6814" w:rsidRPr="00227B56" w:rsidRDefault="00FA6814" w:rsidP="00FA6814">
      <w:pPr>
        <w:autoSpaceDE w:val="0"/>
        <w:autoSpaceDN w:val="0"/>
        <w:adjustRightInd w:val="0"/>
        <w:spacing w:after="0" w:line="360" w:lineRule="auto"/>
        <w:jc w:val="both"/>
        <w:rPr>
          <w:rFonts w:ascii="Arial" w:hAnsi="Arial" w:cs="Arial"/>
          <w:sz w:val="18"/>
          <w:szCs w:val="18"/>
        </w:rPr>
      </w:pPr>
      <w:r w:rsidRPr="00227B56">
        <w:rPr>
          <w:rFonts w:ascii="Arial" w:hAnsi="Arial" w:cs="Arial"/>
          <w:sz w:val="18"/>
          <w:szCs w:val="18"/>
        </w:rPr>
        <w:t>The Durbin-Watson is a test of the hypothesis (ρ=0) in the specification:</w:t>
      </w:r>
    </w:p>
    <w:p w14:paraId="0D461E4E" w14:textId="77777777" w:rsidR="00FA6814" w:rsidRPr="00227B56" w:rsidRDefault="00FA6814" w:rsidP="00FA6814">
      <w:pPr>
        <w:autoSpaceDE w:val="0"/>
        <w:autoSpaceDN w:val="0"/>
        <w:adjustRightInd w:val="0"/>
        <w:spacing w:after="0" w:line="360" w:lineRule="auto"/>
        <w:jc w:val="both"/>
        <w:rPr>
          <w:rFonts w:ascii="Arial" w:hAnsi="Arial" w:cs="Arial"/>
          <w:b/>
          <w:i/>
          <w:sz w:val="18"/>
          <w:szCs w:val="18"/>
        </w:rPr>
      </w:pPr>
      <w:r w:rsidRPr="00227B56">
        <w:rPr>
          <w:rFonts w:ascii="Arial" w:hAnsi="Arial" w:cs="Arial"/>
          <w:b/>
          <w:i/>
          <w:sz w:val="18"/>
          <w:szCs w:val="18"/>
        </w:rPr>
        <w:t>uit = ρ uit-1 + εit</w:t>
      </w:r>
    </w:p>
    <w:p w14:paraId="22C57B0F" w14:textId="34721A15" w:rsidR="00FA6814" w:rsidRPr="00227B56" w:rsidRDefault="00FA6814" w:rsidP="00FA7D54">
      <w:pPr>
        <w:autoSpaceDE w:val="0"/>
        <w:autoSpaceDN w:val="0"/>
        <w:adjustRightInd w:val="0"/>
        <w:spacing w:after="0" w:line="360" w:lineRule="auto"/>
        <w:ind w:firstLine="720"/>
        <w:jc w:val="both"/>
        <w:rPr>
          <w:rFonts w:ascii="Arial" w:hAnsi="Arial" w:cs="Arial"/>
          <w:sz w:val="18"/>
          <w:szCs w:val="18"/>
        </w:rPr>
      </w:pPr>
      <w:r w:rsidRPr="00227B56">
        <w:rPr>
          <w:rFonts w:ascii="Arial" w:hAnsi="Arial" w:cs="Arial"/>
          <w:sz w:val="18"/>
          <w:szCs w:val="18"/>
        </w:rPr>
        <w:t xml:space="preserve">If there is no serial correlation, the DW statistic will be around 2. The DW statistic will fall below 2 if there is positive serial correlation (in the worst case, it will be near zero). If there is negative correlation, the statistic will lie somewhere between 2 and 4. A rule of thumb is that test statistic values in the range of 1.5 to 2.5 are relatively normal. The results show that DW statistic in our model equals to </w:t>
      </w:r>
      <w:r w:rsidR="00D84D9F" w:rsidRPr="00227B56">
        <w:rPr>
          <w:rFonts w:ascii="Arial" w:hAnsi="Arial" w:cs="Arial"/>
          <w:sz w:val="18"/>
          <w:szCs w:val="18"/>
        </w:rPr>
        <w:t>1</w:t>
      </w:r>
      <w:r w:rsidRPr="00227B56">
        <w:rPr>
          <w:rFonts w:ascii="Arial" w:hAnsi="Arial" w:cs="Arial"/>
          <w:sz w:val="18"/>
          <w:szCs w:val="18"/>
        </w:rPr>
        <w:t>.</w:t>
      </w:r>
      <w:r w:rsidR="00076677" w:rsidRPr="00227B56">
        <w:rPr>
          <w:rFonts w:ascii="Arial" w:hAnsi="Arial" w:cs="Arial"/>
          <w:sz w:val="18"/>
          <w:szCs w:val="18"/>
        </w:rPr>
        <w:t>45</w:t>
      </w:r>
      <w:r w:rsidRPr="00227B56">
        <w:rPr>
          <w:rFonts w:ascii="Arial" w:hAnsi="Arial" w:cs="Arial"/>
          <w:sz w:val="18"/>
          <w:szCs w:val="18"/>
        </w:rPr>
        <w:t>, which means DW is relatively normal and</w:t>
      </w:r>
      <w:r w:rsidR="00076677" w:rsidRPr="00227B56">
        <w:rPr>
          <w:rFonts w:ascii="Arial" w:hAnsi="Arial" w:cs="Arial"/>
          <w:sz w:val="18"/>
          <w:szCs w:val="18"/>
        </w:rPr>
        <w:t xml:space="preserve"> </w:t>
      </w:r>
      <w:r w:rsidRPr="00227B56">
        <w:rPr>
          <w:rFonts w:ascii="Arial" w:hAnsi="Arial" w:cs="Arial"/>
          <w:sz w:val="18"/>
          <w:szCs w:val="18"/>
        </w:rPr>
        <w:t>there is no serial correlation.</w:t>
      </w:r>
    </w:p>
    <w:p w14:paraId="1AF73A91" w14:textId="04E2D984" w:rsidR="00D84D9F" w:rsidRPr="00227B56" w:rsidRDefault="00DA19B9" w:rsidP="001E1417">
      <w:pPr>
        <w:pStyle w:val="Heading3"/>
        <w:rPr>
          <w:rFonts w:ascii="Arial" w:hAnsi="Arial" w:cs="Arial"/>
          <w:b/>
          <w:i/>
          <w:color w:val="auto"/>
          <w:sz w:val="18"/>
          <w:szCs w:val="18"/>
        </w:rPr>
      </w:pPr>
      <w:r w:rsidRPr="00227B56">
        <w:rPr>
          <w:rFonts w:ascii="Arial" w:hAnsi="Arial" w:cs="Arial"/>
          <w:b/>
          <w:i/>
          <w:color w:val="auto"/>
          <w:sz w:val="18"/>
          <w:szCs w:val="18"/>
        </w:rPr>
        <w:t xml:space="preserve"> </w:t>
      </w:r>
      <w:r w:rsidR="00076677" w:rsidRPr="00227B56">
        <w:rPr>
          <w:rFonts w:ascii="Arial" w:hAnsi="Arial" w:cs="Arial"/>
          <w:b/>
          <w:i/>
          <w:color w:val="auto"/>
          <w:sz w:val="18"/>
          <w:szCs w:val="18"/>
        </w:rPr>
        <w:t>Durbin Watson Results</w:t>
      </w:r>
    </w:p>
    <w:p w14:paraId="0B55A427" w14:textId="5831AD84" w:rsidR="00D84D9F" w:rsidRPr="00227B56" w:rsidRDefault="00D84D9F" w:rsidP="001E1417">
      <w:pPr>
        <w:spacing w:after="0" w:line="240" w:lineRule="auto"/>
        <w:jc w:val="center"/>
        <w:rPr>
          <w:rFonts w:ascii="Arial" w:hAnsi="Arial" w:cs="Arial"/>
          <w:b/>
          <w:sz w:val="20"/>
          <w:szCs w:val="18"/>
        </w:rPr>
      </w:pPr>
      <w:r w:rsidRPr="00227B56">
        <w:rPr>
          <w:rFonts w:ascii="Arial" w:hAnsi="Arial" w:cs="Arial"/>
          <w:b/>
          <w:sz w:val="20"/>
          <w:szCs w:val="18"/>
        </w:rPr>
        <w:t>Number of gaps in sample:  2</w:t>
      </w:r>
    </w:p>
    <w:p w14:paraId="04DA8224" w14:textId="77777777" w:rsidR="001E1417" w:rsidRPr="00227B56" w:rsidRDefault="001E1417" w:rsidP="001E1417">
      <w:pPr>
        <w:spacing w:after="0" w:line="240" w:lineRule="auto"/>
        <w:jc w:val="center"/>
        <w:rPr>
          <w:rFonts w:ascii="Arial" w:hAnsi="Arial" w:cs="Arial"/>
          <w:b/>
          <w:sz w:val="20"/>
          <w:szCs w:val="18"/>
        </w:rPr>
      </w:pPr>
    </w:p>
    <w:p w14:paraId="2F56FD49" w14:textId="16CE1D91" w:rsidR="00D84D9F" w:rsidRPr="00227B56" w:rsidRDefault="00D84D9F" w:rsidP="001E1417">
      <w:pPr>
        <w:spacing w:after="0" w:line="240" w:lineRule="auto"/>
        <w:jc w:val="center"/>
        <w:rPr>
          <w:rFonts w:ascii="Arial" w:hAnsi="Arial" w:cs="Arial"/>
          <w:b/>
          <w:sz w:val="20"/>
          <w:szCs w:val="18"/>
        </w:rPr>
      </w:pPr>
      <w:r w:rsidRPr="00227B56">
        <w:rPr>
          <w:rFonts w:ascii="Arial" w:hAnsi="Arial" w:cs="Arial"/>
          <w:b/>
          <w:sz w:val="20"/>
          <w:szCs w:val="18"/>
        </w:rPr>
        <w:t xml:space="preserve">Durbin-Watson d-statistic (4,   48) </w:t>
      </w:r>
      <w:r w:rsidR="00CF00B7" w:rsidRPr="00227B56">
        <w:rPr>
          <w:rFonts w:ascii="Arial" w:hAnsi="Arial" w:cs="Arial"/>
          <w:b/>
          <w:sz w:val="20"/>
          <w:szCs w:val="18"/>
        </w:rPr>
        <w:t>= 1.447586</w:t>
      </w:r>
    </w:p>
    <w:p w14:paraId="5FF1BECD" w14:textId="77777777" w:rsidR="001E1417" w:rsidRPr="00227B56" w:rsidRDefault="001E1417" w:rsidP="00D84D9F">
      <w:pPr>
        <w:spacing w:after="0" w:line="240" w:lineRule="auto"/>
        <w:jc w:val="both"/>
        <w:rPr>
          <w:rFonts w:ascii="Arial" w:hAnsi="Arial" w:cs="Arial"/>
          <w:sz w:val="20"/>
          <w:szCs w:val="18"/>
        </w:rPr>
      </w:pPr>
    </w:p>
    <w:p w14:paraId="29011F2D" w14:textId="577FFE56" w:rsidR="00193A7F" w:rsidRPr="00227B56" w:rsidRDefault="00193A7F" w:rsidP="00DA19B9">
      <w:pPr>
        <w:pStyle w:val="Heading3"/>
        <w:rPr>
          <w:rFonts w:ascii="Arial" w:hAnsi="Arial" w:cs="Arial"/>
          <w:b/>
          <w:i/>
          <w:color w:val="auto"/>
          <w:sz w:val="18"/>
          <w:szCs w:val="18"/>
        </w:rPr>
      </w:pPr>
      <w:r w:rsidRPr="00227B56">
        <w:rPr>
          <w:rFonts w:ascii="Arial" w:hAnsi="Arial" w:cs="Arial"/>
          <w:b/>
          <w:i/>
          <w:color w:val="auto"/>
          <w:sz w:val="18"/>
          <w:szCs w:val="18"/>
        </w:rPr>
        <w:t xml:space="preserve">Testing for Heteroskedasticity </w:t>
      </w:r>
    </w:p>
    <w:p w14:paraId="54F1D130" w14:textId="77777777" w:rsidR="00AF08C5" w:rsidRPr="00227B56" w:rsidRDefault="00E307D0" w:rsidP="0071755E">
      <w:pPr>
        <w:pStyle w:val="NoSpacing"/>
        <w:spacing w:line="360" w:lineRule="auto"/>
        <w:jc w:val="both"/>
        <w:rPr>
          <w:rFonts w:ascii="Arial" w:hAnsi="Arial" w:cs="Arial"/>
          <w:sz w:val="18"/>
          <w:szCs w:val="18"/>
        </w:rPr>
      </w:pPr>
      <w:r w:rsidRPr="00227B56">
        <w:rPr>
          <w:rFonts w:ascii="Arial" w:hAnsi="Arial" w:cs="Arial"/>
          <w:sz w:val="18"/>
          <w:szCs w:val="18"/>
        </w:rPr>
        <w:t>Heteroskedasticity occurs when the variance of the error te</w:t>
      </w:r>
      <w:r w:rsidR="001E1417" w:rsidRPr="00227B56">
        <w:rPr>
          <w:rFonts w:ascii="Arial" w:hAnsi="Arial" w:cs="Arial"/>
          <w:sz w:val="18"/>
          <w:szCs w:val="18"/>
        </w:rPr>
        <w:t>rms differ across observations. The model now becomes Yi = b 0 + b 1Xi + ei.</w:t>
      </w:r>
      <w:r w:rsidRPr="00227B56">
        <w:rPr>
          <w:rFonts w:ascii="Arial" w:hAnsi="Arial" w:cs="Arial"/>
          <w:sz w:val="18"/>
          <w:szCs w:val="18"/>
        </w:rPr>
        <w:t xml:space="preserve"> </w:t>
      </w:r>
      <w:r w:rsidR="00832D59" w:rsidRPr="00227B56">
        <w:rPr>
          <w:rFonts w:ascii="Arial" w:hAnsi="Arial" w:cs="Arial"/>
          <w:sz w:val="18"/>
          <w:szCs w:val="18"/>
        </w:rPr>
        <w:t>The Breusch–Pagan test tests for conditional heteroskedasticity. It is a chi-squared test: the test statistic is nχ2 with k degrees of freedom. It tests the null hypothesis of homoskedasticity. If the Chi Squared value is significant with p-value below an appropriate threshold (e.g. p&lt;0.05) then the null hypothesis of homoskedasticity is rejected and heteroskedasticity assumed.</w:t>
      </w:r>
    </w:p>
    <w:p w14:paraId="73CE66F7" w14:textId="57F208C0" w:rsidR="00193A7F" w:rsidRPr="00227B56" w:rsidRDefault="00193A7F" w:rsidP="002A4100">
      <w:pPr>
        <w:spacing w:after="0" w:line="360" w:lineRule="auto"/>
        <w:jc w:val="both"/>
        <w:rPr>
          <w:rFonts w:ascii="Arial" w:hAnsi="Arial" w:cs="Arial"/>
          <w:sz w:val="18"/>
          <w:szCs w:val="24"/>
        </w:rPr>
      </w:pPr>
    </w:p>
    <w:p w14:paraId="1AE7ED70" w14:textId="2F5780E1" w:rsidR="001E1417" w:rsidRPr="00227B56" w:rsidRDefault="00ED4BC8" w:rsidP="002A4100">
      <w:pPr>
        <w:spacing w:after="0" w:line="360" w:lineRule="auto"/>
        <w:jc w:val="both"/>
        <w:rPr>
          <w:rFonts w:ascii="Arial" w:hAnsi="Arial" w:cs="Arial"/>
          <w:b/>
          <w:sz w:val="18"/>
          <w:szCs w:val="24"/>
        </w:rPr>
      </w:pPr>
      <w:r w:rsidRPr="00227B56">
        <w:rPr>
          <w:rFonts w:ascii="Arial" w:hAnsi="Arial" w:cs="Arial"/>
          <w:b/>
          <w:sz w:val="18"/>
          <w:szCs w:val="24"/>
        </w:rPr>
        <w:t xml:space="preserve">Test of Heteroscedasticity: </w:t>
      </w:r>
      <w:r w:rsidR="001E1417" w:rsidRPr="00227B56">
        <w:rPr>
          <w:rFonts w:ascii="Arial" w:hAnsi="Arial" w:cs="Arial"/>
          <w:b/>
          <w:sz w:val="18"/>
          <w:szCs w:val="24"/>
        </w:rPr>
        <w:t>Breusch-Pagen/ Cook-Weisberg tes</w:t>
      </w:r>
      <w:r w:rsidRPr="00227B56">
        <w:rPr>
          <w:rFonts w:ascii="Arial" w:hAnsi="Arial" w:cs="Arial"/>
          <w:b/>
          <w:sz w:val="18"/>
          <w:szCs w:val="24"/>
        </w:rPr>
        <w:t>t</w:t>
      </w:r>
      <w:r w:rsidR="001E1417" w:rsidRPr="00227B56">
        <w:rPr>
          <w:rFonts w:ascii="Arial" w:hAnsi="Arial" w:cs="Arial"/>
          <w:b/>
          <w:sz w:val="18"/>
          <w:szCs w:val="24"/>
        </w:rPr>
        <w:t xml:space="preserve"> for heteroscedasticity</w:t>
      </w:r>
    </w:p>
    <w:p w14:paraId="46E96F9E" w14:textId="21731491" w:rsidR="00ED4BC8" w:rsidRPr="00227B56" w:rsidRDefault="00ED4BC8" w:rsidP="0071755E">
      <w:pPr>
        <w:pStyle w:val="Heading4"/>
        <w:rPr>
          <w:b/>
          <w:color w:val="auto"/>
        </w:rPr>
      </w:pPr>
      <w:r w:rsidRPr="00227B56">
        <w:rPr>
          <w:b/>
          <w:color w:val="auto"/>
        </w:rPr>
        <w:t>Test Results</w:t>
      </w:r>
    </w:p>
    <w:p w14:paraId="1FB87ECE" w14:textId="49FB4095" w:rsidR="001E1417" w:rsidRPr="00227B56" w:rsidRDefault="001E1417" w:rsidP="002A4100">
      <w:pPr>
        <w:spacing w:after="0" w:line="360" w:lineRule="auto"/>
        <w:jc w:val="both"/>
        <w:rPr>
          <w:rFonts w:ascii="Arial" w:hAnsi="Arial" w:cs="Arial"/>
          <w:sz w:val="18"/>
          <w:szCs w:val="24"/>
        </w:rPr>
      </w:pPr>
      <w:r w:rsidRPr="00227B56">
        <w:rPr>
          <w:rFonts w:ascii="Arial" w:hAnsi="Arial" w:cs="Arial"/>
          <w:sz w:val="18"/>
          <w:szCs w:val="24"/>
        </w:rPr>
        <w:t>Chi 2 (1) =1.07</w:t>
      </w:r>
    </w:p>
    <w:p w14:paraId="08411455" w14:textId="533C7CC3" w:rsidR="001E1417" w:rsidRPr="00227B56" w:rsidRDefault="001E1417" w:rsidP="002A4100">
      <w:pPr>
        <w:spacing w:after="0" w:line="360" w:lineRule="auto"/>
        <w:jc w:val="both"/>
        <w:rPr>
          <w:rFonts w:ascii="Arial" w:hAnsi="Arial" w:cs="Arial"/>
          <w:b/>
          <w:i/>
          <w:sz w:val="18"/>
          <w:szCs w:val="24"/>
        </w:rPr>
      </w:pPr>
      <w:r w:rsidRPr="00227B56">
        <w:rPr>
          <w:rFonts w:ascii="Arial" w:hAnsi="Arial" w:cs="Arial"/>
          <w:sz w:val="18"/>
          <w:szCs w:val="24"/>
        </w:rPr>
        <w:t>Prob&gt; Chi2 =0.3014</w:t>
      </w:r>
    </w:p>
    <w:p w14:paraId="5D563AE5" w14:textId="528B23EC" w:rsidR="00DA19B9" w:rsidRPr="00227B56" w:rsidRDefault="00DA19B9" w:rsidP="00992E66">
      <w:pPr>
        <w:spacing w:after="0" w:line="360" w:lineRule="auto"/>
        <w:jc w:val="both"/>
        <w:rPr>
          <w:rFonts w:ascii="Arial" w:hAnsi="Arial" w:cs="Arial"/>
          <w:sz w:val="18"/>
          <w:szCs w:val="18"/>
        </w:rPr>
      </w:pPr>
    </w:p>
    <w:p w14:paraId="3737351F" w14:textId="1F3B3905" w:rsidR="00DA19B9" w:rsidRPr="00227B56" w:rsidRDefault="00DA19B9" w:rsidP="007640E4">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Regression Analysis </w:t>
      </w:r>
    </w:p>
    <w:p w14:paraId="13779946" w14:textId="501E5888" w:rsidR="00EF548A" w:rsidRPr="00227B56" w:rsidRDefault="00EF548A" w:rsidP="007640E4">
      <w:pPr>
        <w:spacing w:after="0" w:line="360" w:lineRule="auto"/>
        <w:jc w:val="both"/>
        <w:rPr>
          <w:rFonts w:ascii="Arial" w:hAnsi="Arial" w:cs="Arial"/>
          <w:sz w:val="18"/>
          <w:szCs w:val="18"/>
        </w:rPr>
      </w:pPr>
      <w:r w:rsidRPr="00227B56">
        <w:rPr>
          <w:rFonts w:ascii="Arial" w:hAnsi="Arial" w:cs="Arial"/>
          <w:sz w:val="18"/>
          <w:szCs w:val="18"/>
        </w:rPr>
        <w:t>Considering our multiple regression model “</w:t>
      </w:r>
      <w:r w:rsidR="00C74F7D" w:rsidRPr="00227B56">
        <w:rPr>
          <w:rFonts w:ascii="Arial" w:hAnsi="Arial" w:cs="Arial"/>
          <w:b/>
          <w:sz w:val="18"/>
          <w:szCs w:val="18"/>
        </w:rPr>
        <w:t>TAB</w:t>
      </w:r>
      <w:r w:rsidR="00C74F7D" w:rsidRPr="00227B56">
        <w:rPr>
          <w:rFonts w:ascii="Arial" w:hAnsi="Arial" w:cs="Arial"/>
          <w:b/>
          <w:sz w:val="18"/>
          <w:szCs w:val="18"/>
          <w:vertAlign w:val="subscript"/>
        </w:rPr>
        <w:t>i,t</w:t>
      </w:r>
      <w:r w:rsidRPr="00227B56">
        <w:rPr>
          <w:rFonts w:ascii="Arial" w:hAnsi="Arial" w:cs="Arial"/>
          <w:b/>
          <w:sz w:val="18"/>
          <w:szCs w:val="18"/>
        </w:rPr>
        <w:t>= α</w:t>
      </w:r>
      <w:r w:rsidR="00C74F7D" w:rsidRPr="00227B56">
        <w:rPr>
          <w:rFonts w:ascii="Arial" w:hAnsi="Arial" w:cs="Arial"/>
          <w:b/>
          <w:sz w:val="18"/>
          <w:szCs w:val="18"/>
          <w:vertAlign w:val="subscript"/>
        </w:rPr>
        <w:t>i</w:t>
      </w:r>
      <w:r w:rsidRPr="00227B56">
        <w:rPr>
          <w:rFonts w:ascii="Arial" w:hAnsi="Arial" w:cs="Arial"/>
          <w:b/>
          <w:sz w:val="18"/>
          <w:szCs w:val="18"/>
        </w:rPr>
        <w:t xml:space="preserve">+α </w:t>
      </w:r>
      <w:r w:rsidRPr="00227B56">
        <w:rPr>
          <w:rFonts w:ascii="Cambria Math" w:hAnsi="Cambria Math" w:cs="Cambria Math"/>
          <w:b/>
          <w:sz w:val="18"/>
          <w:szCs w:val="18"/>
        </w:rPr>
        <w:t>⋅</w:t>
      </w:r>
      <w:r w:rsidR="00C74F7D" w:rsidRPr="00227B56">
        <w:rPr>
          <w:rFonts w:ascii="Arial" w:hAnsi="Arial" w:cs="Arial"/>
          <w:b/>
          <w:sz w:val="18"/>
          <w:szCs w:val="18"/>
        </w:rPr>
        <w:t>NPA</w:t>
      </w:r>
      <w:r w:rsidR="00C74F7D" w:rsidRPr="00227B56">
        <w:rPr>
          <w:rFonts w:ascii="Arial" w:hAnsi="Arial" w:cs="Arial"/>
          <w:b/>
          <w:sz w:val="18"/>
          <w:szCs w:val="18"/>
          <w:vertAlign w:val="subscript"/>
        </w:rPr>
        <w:t>i,t</w:t>
      </w:r>
      <w:r w:rsidRPr="00227B56">
        <w:rPr>
          <w:rFonts w:ascii="Arial" w:hAnsi="Arial" w:cs="Arial"/>
          <w:b/>
          <w:sz w:val="18"/>
          <w:szCs w:val="18"/>
          <w:vertAlign w:val="subscript"/>
        </w:rPr>
        <w:t xml:space="preserve"> </w:t>
      </w:r>
      <w:r w:rsidRPr="00227B56">
        <w:rPr>
          <w:rFonts w:ascii="Arial" w:hAnsi="Arial" w:cs="Arial"/>
          <w:b/>
          <w:sz w:val="18"/>
          <w:szCs w:val="18"/>
        </w:rPr>
        <w:t xml:space="preserve">+α </w:t>
      </w:r>
      <w:r w:rsidRPr="00227B56">
        <w:rPr>
          <w:rFonts w:ascii="Cambria Math" w:hAnsi="Cambria Math" w:cs="Cambria Math"/>
          <w:b/>
          <w:sz w:val="18"/>
          <w:szCs w:val="18"/>
        </w:rPr>
        <w:t>⋅</w:t>
      </w:r>
      <w:r w:rsidRPr="00227B56">
        <w:rPr>
          <w:rFonts w:ascii="Arial" w:hAnsi="Arial" w:cs="Arial"/>
          <w:b/>
          <w:sz w:val="18"/>
          <w:szCs w:val="18"/>
        </w:rPr>
        <w:t>B</w:t>
      </w:r>
      <w:r w:rsidR="00C74F7D" w:rsidRPr="00227B56">
        <w:rPr>
          <w:rFonts w:ascii="Arial" w:hAnsi="Arial" w:cs="Arial"/>
          <w:b/>
          <w:sz w:val="18"/>
          <w:szCs w:val="18"/>
        </w:rPr>
        <w:t>TC</w:t>
      </w:r>
      <w:r w:rsidR="00C74F7D" w:rsidRPr="00227B56">
        <w:rPr>
          <w:rFonts w:ascii="Arial" w:hAnsi="Arial" w:cs="Arial"/>
          <w:b/>
          <w:sz w:val="18"/>
          <w:szCs w:val="18"/>
          <w:vertAlign w:val="subscript"/>
        </w:rPr>
        <w:t>i,t</w:t>
      </w:r>
      <w:r w:rsidRPr="00227B56">
        <w:rPr>
          <w:rFonts w:ascii="Arial" w:hAnsi="Arial" w:cs="Arial"/>
          <w:b/>
          <w:sz w:val="18"/>
          <w:szCs w:val="18"/>
          <w:vertAlign w:val="subscript"/>
        </w:rPr>
        <w:t xml:space="preserve"> </w:t>
      </w:r>
      <w:r w:rsidRPr="00227B56">
        <w:rPr>
          <w:rFonts w:ascii="Arial" w:hAnsi="Arial" w:cs="Arial"/>
          <w:b/>
          <w:sz w:val="18"/>
          <w:szCs w:val="18"/>
        </w:rPr>
        <w:t>+ α. BOL</w:t>
      </w:r>
      <w:r w:rsidR="00C74F7D" w:rsidRPr="00227B56">
        <w:rPr>
          <w:rFonts w:ascii="Arial" w:hAnsi="Arial" w:cs="Arial"/>
          <w:b/>
          <w:sz w:val="18"/>
          <w:szCs w:val="18"/>
          <w:vertAlign w:val="subscript"/>
        </w:rPr>
        <w:t>i,t</w:t>
      </w:r>
      <w:r w:rsidRPr="00227B56">
        <w:rPr>
          <w:rFonts w:ascii="Arial" w:hAnsi="Arial" w:cs="Arial"/>
          <w:b/>
          <w:sz w:val="18"/>
          <w:szCs w:val="18"/>
        </w:rPr>
        <w:t>+ ε</w:t>
      </w:r>
      <w:r w:rsidR="00C74F7D" w:rsidRPr="00227B56">
        <w:rPr>
          <w:rFonts w:ascii="Arial" w:hAnsi="Arial" w:cs="Arial"/>
          <w:b/>
          <w:sz w:val="18"/>
          <w:szCs w:val="18"/>
          <w:vertAlign w:val="subscript"/>
        </w:rPr>
        <w:t>i,t</w:t>
      </w:r>
      <w:r w:rsidRPr="00227B56">
        <w:rPr>
          <w:rFonts w:ascii="Arial" w:hAnsi="Arial" w:cs="Arial"/>
          <w:b/>
          <w:sz w:val="18"/>
          <w:szCs w:val="18"/>
        </w:rPr>
        <w:t xml:space="preserve">” </w:t>
      </w:r>
      <w:r w:rsidRPr="00227B56">
        <w:rPr>
          <w:rFonts w:ascii="Arial" w:hAnsi="Arial" w:cs="Arial"/>
          <w:sz w:val="18"/>
          <w:szCs w:val="18"/>
        </w:rPr>
        <w:t>We would run a regression and correlation analysis and discuss</w:t>
      </w:r>
      <w:r w:rsidR="00935CCD" w:rsidRPr="00227B56">
        <w:rPr>
          <w:rFonts w:ascii="Arial" w:hAnsi="Arial" w:cs="Arial"/>
          <w:sz w:val="18"/>
          <w:szCs w:val="18"/>
        </w:rPr>
        <w:t xml:space="preserve"> </w:t>
      </w:r>
      <w:r w:rsidRPr="00227B56">
        <w:rPr>
          <w:rFonts w:ascii="Arial" w:hAnsi="Arial" w:cs="Arial"/>
          <w:sz w:val="18"/>
          <w:szCs w:val="18"/>
        </w:rPr>
        <w:t xml:space="preserve">our finding relating it to our hypothesis </w:t>
      </w:r>
    </w:p>
    <w:p w14:paraId="1E7D4076" w14:textId="164A6064" w:rsidR="0037002A" w:rsidRPr="00227B56" w:rsidRDefault="00935CCD" w:rsidP="0037002A">
      <w:pPr>
        <w:spacing w:after="0" w:line="360" w:lineRule="auto"/>
        <w:jc w:val="both"/>
        <w:rPr>
          <w:rFonts w:ascii="Arial" w:hAnsi="Arial" w:cs="Arial"/>
          <w:sz w:val="18"/>
          <w:szCs w:val="18"/>
        </w:rPr>
      </w:pPr>
      <w:r w:rsidRPr="00227B56">
        <w:rPr>
          <w:rFonts w:ascii="Arial" w:hAnsi="Arial" w:cs="Arial"/>
          <w:sz w:val="18"/>
          <w:szCs w:val="18"/>
        </w:rPr>
        <w:t>However, let’s look at the</w:t>
      </w:r>
      <w:r w:rsidR="0037002A" w:rsidRPr="00227B56">
        <w:rPr>
          <w:rFonts w:ascii="Arial" w:hAnsi="Arial" w:cs="Arial"/>
          <w:sz w:val="18"/>
          <w:szCs w:val="18"/>
        </w:rPr>
        <w:t xml:space="preserve"> sum</w:t>
      </w:r>
      <w:r w:rsidRPr="00227B56">
        <w:rPr>
          <w:rFonts w:ascii="Arial" w:hAnsi="Arial" w:cs="Arial"/>
          <w:sz w:val="18"/>
          <w:szCs w:val="18"/>
        </w:rPr>
        <w:t xml:space="preserve"> statistics of our observation, mean, standard deviation, minimum, maximum values of both our dependent and independent variables</w:t>
      </w:r>
      <w:r w:rsidR="0051261F" w:rsidRPr="00227B56">
        <w:rPr>
          <w:rFonts w:ascii="Arial" w:hAnsi="Arial" w:cs="Arial"/>
          <w:sz w:val="18"/>
          <w:szCs w:val="18"/>
        </w:rPr>
        <w:t>.</w:t>
      </w:r>
    </w:p>
    <w:p w14:paraId="11E2DF12" w14:textId="7BF36404" w:rsidR="00935CCD" w:rsidRPr="00227B56" w:rsidRDefault="0051261F" w:rsidP="007640E4">
      <w:pPr>
        <w:pStyle w:val="Heading4"/>
        <w:spacing w:line="360" w:lineRule="auto"/>
        <w:rPr>
          <w:rFonts w:ascii="Arial" w:hAnsi="Arial" w:cs="Arial"/>
          <w:b/>
          <w:color w:val="auto"/>
          <w:sz w:val="18"/>
          <w:szCs w:val="18"/>
        </w:rPr>
      </w:pPr>
      <w:r w:rsidRPr="00227B56">
        <w:rPr>
          <w:rFonts w:ascii="Arial" w:hAnsi="Arial" w:cs="Arial"/>
          <w:b/>
          <w:color w:val="auto"/>
          <w:sz w:val="18"/>
          <w:szCs w:val="18"/>
        </w:rPr>
        <w:t>T</w:t>
      </w:r>
      <w:r w:rsidR="00935CCD" w:rsidRPr="00227B56">
        <w:rPr>
          <w:rFonts w:ascii="Arial" w:hAnsi="Arial" w:cs="Arial"/>
          <w:b/>
          <w:color w:val="auto"/>
          <w:sz w:val="18"/>
          <w:szCs w:val="18"/>
        </w:rPr>
        <w:t>able</w:t>
      </w:r>
      <w:r w:rsidRPr="00227B56">
        <w:rPr>
          <w:rFonts w:ascii="Arial" w:hAnsi="Arial" w:cs="Arial"/>
          <w:b/>
          <w:color w:val="auto"/>
          <w:sz w:val="18"/>
          <w:szCs w:val="18"/>
        </w:rPr>
        <w:t xml:space="preserve"> </w:t>
      </w:r>
      <w:r w:rsidR="00581B16" w:rsidRPr="00227B56">
        <w:rPr>
          <w:rFonts w:ascii="Arial" w:hAnsi="Arial" w:cs="Arial"/>
          <w:b/>
          <w:color w:val="auto"/>
          <w:sz w:val="18"/>
          <w:szCs w:val="18"/>
        </w:rPr>
        <w:t>4</w:t>
      </w:r>
    </w:p>
    <w:p w14:paraId="5D6F7B9D" w14:textId="0F19A17B" w:rsidR="0072587D" w:rsidRPr="00227B56" w:rsidRDefault="0071755E" w:rsidP="004B2EFD">
      <w:pPr>
        <w:spacing w:after="0" w:line="360" w:lineRule="auto"/>
        <w:jc w:val="center"/>
        <w:rPr>
          <w:rFonts w:ascii="Arial" w:hAnsi="Arial" w:cs="Arial"/>
          <w:b/>
          <w:sz w:val="18"/>
          <w:szCs w:val="18"/>
        </w:rPr>
      </w:pPr>
      <w:r w:rsidRPr="00227B56">
        <w:rPr>
          <w:rFonts w:ascii="Arial" w:hAnsi="Arial" w:cs="Arial"/>
          <w:b/>
          <w:sz w:val="18"/>
          <w:szCs w:val="18"/>
        </w:rPr>
        <w:t>Statistical Analysis</w:t>
      </w:r>
    </w:p>
    <w:tbl>
      <w:tblPr>
        <w:tblStyle w:val="TableGrid"/>
        <w:tblW w:w="0" w:type="auto"/>
        <w:tblLook w:val="04A0" w:firstRow="1" w:lastRow="0" w:firstColumn="1" w:lastColumn="0" w:noHBand="0" w:noVBand="1"/>
      </w:tblPr>
      <w:tblGrid>
        <w:gridCol w:w="9350"/>
      </w:tblGrid>
      <w:tr w:rsidR="00227B56" w:rsidRPr="00227B56" w14:paraId="122F4063" w14:textId="77777777" w:rsidTr="004B2EFD">
        <w:tc>
          <w:tcPr>
            <w:tcW w:w="9350" w:type="dxa"/>
          </w:tcPr>
          <w:p w14:paraId="3A240060" w14:textId="77777777" w:rsidR="004B2EFD" w:rsidRPr="00227B56" w:rsidRDefault="004B2EF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TOTALCAPITAL |         50    3.64e+08    2.87e+08      85360   1.11e+09</w:t>
            </w:r>
          </w:p>
        </w:tc>
      </w:tr>
      <w:tr w:rsidR="00227B56" w:rsidRPr="00227B56" w14:paraId="77C19832" w14:textId="77777777" w:rsidTr="004B2EFD">
        <w:tc>
          <w:tcPr>
            <w:tcW w:w="9350" w:type="dxa"/>
          </w:tcPr>
          <w:p w14:paraId="39C5E3D1" w14:textId="77777777" w:rsidR="004B2EFD" w:rsidRPr="00227B56" w:rsidRDefault="004B2EF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lnTAB |         50    21.40252    .8077848   19.64122   22.98066</w:t>
            </w:r>
          </w:p>
        </w:tc>
      </w:tr>
      <w:tr w:rsidR="00227B56" w:rsidRPr="00227B56" w14:paraId="597BBA41" w14:textId="77777777" w:rsidTr="004B2EFD">
        <w:tc>
          <w:tcPr>
            <w:tcW w:w="9350" w:type="dxa"/>
          </w:tcPr>
          <w:p w14:paraId="58F8BD1C" w14:textId="77777777" w:rsidR="004B2EFD" w:rsidRPr="00227B56" w:rsidRDefault="004B2EF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lnNPA |         48    17.79147     1.10071   15.93213   19.60707</w:t>
            </w:r>
          </w:p>
        </w:tc>
      </w:tr>
      <w:tr w:rsidR="00227B56" w:rsidRPr="00227B56" w14:paraId="3016D794" w14:textId="77777777" w:rsidTr="004B2EFD">
        <w:tc>
          <w:tcPr>
            <w:tcW w:w="9350" w:type="dxa"/>
          </w:tcPr>
          <w:p w14:paraId="7AA53CB5" w14:textId="77777777" w:rsidR="004B2EFD" w:rsidRPr="00227B56" w:rsidRDefault="004B2EF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lnBOL |         50    20.67605    .7312505   19.06746   22.24183</w:t>
            </w:r>
          </w:p>
        </w:tc>
      </w:tr>
      <w:tr w:rsidR="00227B56" w:rsidRPr="00227B56" w14:paraId="2E050ED9" w14:textId="77777777" w:rsidTr="004B2EFD">
        <w:tc>
          <w:tcPr>
            <w:tcW w:w="9350" w:type="dxa"/>
          </w:tcPr>
          <w:p w14:paraId="77590AED" w14:textId="77777777" w:rsidR="004B2EFD" w:rsidRPr="00227B56" w:rsidRDefault="004B2EF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lnBTC |         50    19.28281    1.388422   11.35463   20.83046</w:t>
            </w:r>
          </w:p>
        </w:tc>
      </w:tr>
      <w:tr w:rsidR="00227B56" w:rsidRPr="00227B56" w14:paraId="5902DC78" w14:textId="77777777" w:rsidTr="004B2EFD">
        <w:tc>
          <w:tcPr>
            <w:tcW w:w="9350" w:type="dxa"/>
          </w:tcPr>
          <w:p w14:paraId="43E8E76B" w14:textId="77777777" w:rsidR="004B2EFD" w:rsidRPr="00227B56" w:rsidRDefault="004B2EF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Time |         50        25.5    14.57738          1         50</w:t>
            </w:r>
          </w:p>
        </w:tc>
      </w:tr>
    </w:tbl>
    <w:p w14:paraId="781064FA" w14:textId="00EBC1D3" w:rsidR="00935CCD" w:rsidRPr="00227B56" w:rsidRDefault="00935CCD" w:rsidP="0037002A">
      <w:pPr>
        <w:spacing w:after="0" w:line="360" w:lineRule="auto"/>
        <w:jc w:val="both"/>
        <w:rPr>
          <w:rFonts w:ascii="Arial" w:hAnsi="Arial" w:cs="Arial"/>
          <w:sz w:val="18"/>
          <w:szCs w:val="18"/>
        </w:rPr>
      </w:pPr>
    </w:p>
    <w:p w14:paraId="16929A20" w14:textId="04FDFC8B" w:rsidR="00935CCD" w:rsidRPr="00227B56" w:rsidRDefault="00935CCD" w:rsidP="0037002A">
      <w:pPr>
        <w:spacing w:after="0" w:line="360" w:lineRule="auto"/>
        <w:jc w:val="both"/>
        <w:rPr>
          <w:rFonts w:ascii="Arial" w:hAnsi="Arial" w:cs="Arial"/>
          <w:sz w:val="18"/>
          <w:szCs w:val="18"/>
        </w:rPr>
      </w:pPr>
      <w:r w:rsidRPr="00227B56">
        <w:rPr>
          <w:rFonts w:ascii="Arial" w:hAnsi="Arial" w:cs="Arial"/>
          <w:sz w:val="18"/>
          <w:szCs w:val="18"/>
        </w:rPr>
        <w:t xml:space="preserve">The number observations for all variable is 50 except </w:t>
      </w:r>
      <w:r w:rsidR="0072587D" w:rsidRPr="00227B56">
        <w:rPr>
          <w:rFonts w:ascii="Arial" w:hAnsi="Arial" w:cs="Arial"/>
          <w:sz w:val="18"/>
          <w:szCs w:val="18"/>
        </w:rPr>
        <w:t>lnNPA (the</w:t>
      </w:r>
      <w:r w:rsidRPr="00227B56">
        <w:rPr>
          <w:rFonts w:ascii="Arial" w:hAnsi="Arial" w:cs="Arial"/>
          <w:sz w:val="18"/>
          <w:szCs w:val="18"/>
        </w:rPr>
        <w:t xml:space="preserve"> </w:t>
      </w:r>
      <w:r w:rsidR="0072587D" w:rsidRPr="00227B56">
        <w:rPr>
          <w:rFonts w:ascii="Arial" w:hAnsi="Arial" w:cs="Arial"/>
          <w:sz w:val="18"/>
          <w:szCs w:val="18"/>
        </w:rPr>
        <w:t>natural of</w:t>
      </w:r>
      <w:r w:rsidRPr="00227B56">
        <w:rPr>
          <w:rFonts w:ascii="Arial" w:hAnsi="Arial" w:cs="Arial"/>
          <w:sz w:val="18"/>
          <w:szCs w:val="18"/>
        </w:rPr>
        <w:t xml:space="preserve"> net profit after tax)</w:t>
      </w:r>
      <w:r w:rsidR="0072587D" w:rsidRPr="00227B56">
        <w:rPr>
          <w:rFonts w:ascii="Arial" w:hAnsi="Arial" w:cs="Arial"/>
          <w:sz w:val="18"/>
          <w:szCs w:val="18"/>
        </w:rPr>
        <w:t xml:space="preserve"> this because from the original data one bank record losses for two years in a row</w:t>
      </w:r>
      <w:r w:rsidRPr="00227B56">
        <w:rPr>
          <w:rFonts w:ascii="Arial" w:hAnsi="Arial" w:cs="Arial"/>
          <w:sz w:val="18"/>
          <w:szCs w:val="18"/>
        </w:rPr>
        <w:t xml:space="preserve">. the natural logarithm of the explanatory and the dependent </w:t>
      </w:r>
      <w:r w:rsidRPr="00227B56">
        <w:rPr>
          <w:rFonts w:ascii="Arial" w:hAnsi="Arial" w:cs="Arial"/>
          <w:sz w:val="18"/>
          <w:szCs w:val="18"/>
        </w:rPr>
        <w:lastRenderedPageBreak/>
        <w:t>variable was generate</w:t>
      </w:r>
      <w:r w:rsidR="0072587D" w:rsidRPr="00227B56">
        <w:rPr>
          <w:rFonts w:ascii="Arial" w:hAnsi="Arial" w:cs="Arial"/>
          <w:sz w:val="18"/>
          <w:szCs w:val="18"/>
        </w:rPr>
        <w:t>d</w:t>
      </w:r>
      <w:r w:rsidRPr="00227B56">
        <w:rPr>
          <w:rFonts w:ascii="Arial" w:hAnsi="Arial" w:cs="Arial"/>
          <w:sz w:val="18"/>
          <w:szCs w:val="18"/>
        </w:rPr>
        <w:t xml:space="preserve"> to bring all the variable to a common </w:t>
      </w:r>
      <w:r w:rsidR="0072587D" w:rsidRPr="00227B56">
        <w:rPr>
          <w:rFonts w:ascii="Arial" w:hAnsi="Arial" w:cs="Arial"/>
          <w:sz w:val="18"/>
          <w:szCs w:val="18"/>
        </w:rPr>
        <w:t>base</w:t>
      </w:r>
      <w:r w:rsidRPr="00227B56">
        <w:rPr>
          <w:rFonts w:ascii="Arial" w:hAnsi="Arial" w:cs="Arial"/>
          <w:sz w:val="18"/>
          <w:szCs w:val="18"/>
        </w:rPr>
        <w:t>.</w:t>
      </w:r>
      <w:r w:rsidR="0072587D" w:rsidRPr="00227B56">
        <w:rPr>
          <w:rFonts w:ascii="Arial" w:hAnsi="Arial" w:cs="Arial"/>
          <w:sz w:val="18"/>
          <w:szCs w:val="18"/>
        </w:rPr>
        <w:t xml:space="preserve"> Because the years is not in a sequential order, </w:t>
      </w:r>
      <w:r w:rsidR="00C74F7D" w:rsidRPr="00227B56">
        <w:rPr>
          <w:rFonts w:ascii="Arial" w:hAnsi="Arial" w:cs="Arial"/>
          <w:sz w:val="18"/>
          <w:szCs w:val="18"/>
        </w:rPr>
        <w:t>we time-set our data by creating a time dummy variable called Time.</w:t>
      </w:r>
    </w:p>
    <w:p w14:paraId="4BE2493F" w14:textId="0FC57D55" w:rsidR="00C86C92" w:rsidRPr="00227B56" w:rsidRDefault="00DA19B9" w:rsidP="007640E4">
      <w:pPr>
        <w:pStyle w:val="Heading2"/>
        <w:spacing w:before="0" w:beforeAutospacing="0" w:after="0" w:afterAutospacing="0" w:line="360" w:lineRule="auto"/>
        <w:rPr>
          <w:rFonts w:ascii="Arial" w:hAnsi="Arial" w:cs="Arial"/>
          <w:i/>
          <w:sz w:val="18"/>
          <w:szCs w:val="18"/>
        </w:rPr>
      </w:pPr>
      <w:r w:rsidRPr="00227B56">
        <w:rPr>
          <w:rFonts w:ascii="Arial" w:hAnsi="Arial" w:cs="Arial"/>
          <w:i/>
          <w:sz w:val="18"/>
          <w:szCs w:val="18"/>
        </w:rPr>
        <w:t xml:space="preserve">4.2.1 </w:t>
      </w:r>
      <w:r w:rsidR="00CF2FFA" w:rsidRPr="00227B56">
        <w:rPr>
          <w:rFonts w:ascii="Arial" w:hAnsi="Arial" w:cs="Arial"/>
          <w:i/>
          <w:sz w:val="18"/>
          <w:szCs w:val="18"/>
        </w:rPr>
        <w:t>Regression Model</w:t>
      </w:r>
    </w:p>
    <w:p w14:paraId="461EC08A" w14:textId="2C978551" w:rsidR="0037002A" w:rsidRPr="00227B56" w:rsidRDefault="00C74F7D" w:rsidP="0037002A">
      <w:pPr>
        <w:spacing w:after="0" w:line="360" w:lineRule="auto"/>
        <w:jc w:val="both"/>
        <w:rPr>
          <w:rFonts w:ascii="Arial" w:hAnsi="Arial" w:cs="Arial"/>
          <w:sz w:val="18"/>
          <w:szCs w:val="18"/>
        </w:rPr>
      </w:pPr>
      <w:r w:rsidRPr="00227B56">
        <w:rPr>
          <w:rFonts w:ascii="Arial" w:hAnsi="Arial" w:cs="Arial"/>
          <w:sz w:val="18"/>
          <w:szCs w:val="18"/>
        </w:rPr>
        <w:t>Our original equation will be modified because of the introduction of natural logarithm of the varib</w:t>
      </w:r>
      <w:r w:rsidR="00C86C92" w:rsidRPr="00227B56">
        <w:rPr>
          <w:rFonts w:ascii="Arial" w:hAnsi="Arial" w:cs="Arial"/>
          <w:sz w:val="18"/>
          <w:szCs w:val="18"/>
        </w:rPr>
        <w:t>a</w:t>
      </w:r>
      <w:r w:rsidRPr="00227B56">
        <w:rPr>
          <w:rFonts w:ascii="Arial" w:hAnsi="Arial" w:cs="Arial"/>
          <w:sz w:val="18"/>
          <w:szCs w:val="18"/>
        </w:rPr>
        <w:t>les.</w:t>
      </w:r>
    </w:p>
    <w:p w14:paraId="30DFBE1D" w14:textId="12BC4BEE" w:rsidR="00C74F7D" w:rsidRPr="00227B56" w:rsidRDefault="00C74F7D" w:rsidP="0037002A">
      <w:pPr>
        <w:spacing w:after="0" w:line="360" w:lineRule="auto"/>
        <w:jc w:val="both"/>
        <w:rPr>
          <w:rFonts w:ascii="Arial" w:hAnsi="Arial" w:cs="Arial"/>
          <w:b/>
          <w:sz w:val="18"/>
          <w:szCs w:val="18"/>
        </w:rPr>
      </w:pPr>
      <w:r w:rsidRPr="00227B56">
        <w:rPr>
          <w:rFonts w:ascii="Arial" w:hAnsi="Arial" w:cs="Arial"/>
          <w:sz w:val="18"/>
          <w:szCs w:val="18"/>
        </w:rPr>
        <w:t>“</w:t>
      </w:r>
      <w:r w:rsidRPr="00227B56">
        <w:rPr>
          <w:rFonts w:ascii="Arial" w:hAnsi="Arial" w:cs="Arial"/>
          <w:b/>
          <w:sz w:val="18"/>
          <w:szCs w:val="18"/>
        </w:rPr>
        <w:t>TAB</w:t>
      </w:r>
      <w:r w:rsidRPr="00227B56">
        <w:rPr>
          <w:rFonts w:ascii="Arial" w:hAnsi="Arial" w:cs="Arial"/>
          <w:b/>
          <w:sz w:val="18"/>
          <w:szCs w:val="18"/>
          <w:vertAlign w:val="subscript"/>
        </w:rPr>
        <w:t>i,t</w:t>
      </w:r>
      <w:r w:rsidRPr="00227B56">
        <w:rPr>
          <w:rFonts w:ascii="Arial" w:hAnsi="Arial" w:cs="Arial"/>
          <w:b/>
          <w:sz w:val="18"/>
          <w:szCs w:val="18"/>
        </w:rPr>
        <w:t>= α</w:t>
      </w:r>
      <w:r w:rsidRPr="00227B56">
        <w:rPr>
          <w:rFonts w:ascii="Arial" w:hAnsi="Arial" w:cs="Arial"/>
          <w:b/>
          <w:sz w:val="18"/>
          <w:szCs w:val="18"/>
          <w:vertAlign w:val="subscript"/>
        </w:rPr>
        <w:t>i</w:t>
      </w:r>
      <w:r w:rsidRPr="00227B56">
        <w:rPr>
          <w:rFonts w:ascii="Arial" w:hAnsi="Arial" w:cs="Arial"/>
          <w:b/>
          <w:sz w:val="18"/>
          <w:szCs w:val="18"/>
        </w:rPr>
        <w:t xml:space="preserve">+α </w:t>
      </w:r>
      <w:r w:rsidRPr="00227B56">
        <w:rPr>
          <w:rFonts w:ascii="Cambria Math" w:hAnsi="Cambria Math" w:cs="Cambria Math"/>
          <w:b/>
          <w:sz w:val="18"/>
          <w:szCs w:val="18"/>
        </w:rPr>
        <w:t>⋅</w:t>
      </w:r>
      <w:r w:rsidRPr="00227B56">
        <w:rPr>
          <w:rFonts w:ascii="Arial" w:hAnsi="Arial" w:cs="Arial"/>
          <w:b/>
          <w:sz w:val="18"/>
          <w:szCs w:val="18"/>
        </w:rPr>
        <w:t>NPA</w:t>
      </w:r>
      <w:r w:rsidRPr="00227B56">
        <w:rPr>
          <w:rFonts w:ascii="Arial" w:hAnsi="Arial" w:cs="Arial"/>
          <w:b/>
          <w:sz w:val="18"/>
          <w:szCs w:val="18"/>
          <w:vertAlign w:val="subscript"/>
        </w:rPr>
        <w:t xml:space="preserve">i,t </w:t>
      </w:r>
      <w:r w:rsidRPr="00227B56">
        <w:rPr>
          <w:rFonts w:ascii="Arial" w:hAnsi="Arial" w:cs="Arial"/>
          <w:b/>
          <w:sz w:val="18"/>
          <w:szCs w:val="18"/>
        </w:rPr>
        <w:t xml:space="preserve">+α </w:t>
      </w:r>
      <w:r w:rsidRPr="00227B56">
        <w:rPr>
          <w:rFonts w:ascii="Cambria Math" w:hAnsi="Cambria Math" w:cs="Cambria Math"/>
          <w:b/>
          <w:sz w:val="18"/>
          <w:szCs w:val="18"/>
        </w:rPr>
        <w:t>⋅</w:t>
      </w:r>
      <w:r w:rsidRPr="00227B56">
        <w:rPr>
          <w:rFonts w:ascii="Arial" w:hAnsi="Arial" w:cs="Arial"/>
          <w:b/>
          <w:sz w:val="18"/>
          <w:szCs w:val="18"/>
        </w:rPr>
        <w:t>BTC</w:t>
      </w:r>
      <w:r w:rsidRPr="00227B56">
        <w:rPr>
          <w:rFonts w:ascii="Arial" w:hAnsi="Arial" w:cs="Arial"/>
          <w:b/>
          <w:sz w:val="18"/>
          <w:szCs w:val="18"/>
          <w:vertAlign w:val="subscript"/>
        </w:rPr>
        <w:t xml:space="preserve">i,t </w:t>
      </w:r>
      <w:r w:rsidRPr="00227B56">
        <w:rPr>
          <w:rFonts w:ascii="Arial" w:hAnsi="Arial" w:cs="Arial"/>
          <w:b/>
          <w:sz w:val="18"/>
          <w:szCs w:val="18"/>
        </w:rPr>
        <w:t>+ α. BOL</w:t>
      </w:r>
      <w:r w:rsidRPr="00227B56">
        <w:rPr>
          <w:rFonts w:ascii="Arial" w:hAnsi="Arial" w:cs="Arial"/>
          <w:b/>
          <w:sz w:val="18"/>
          <w:szCs w:val="18"/>
          <w:vertAlign w:val="subscript"/>
        </w:rPr>
        <w:t>i,t</w:t>
      </w:r>
      <w:r w:rsidRPr="00227B56">
        <w:rPr>
          <w:rFonts w:ascii="Arial" w:hAnsi="Arial" w:cs="Arial"/>
          <w:b/>
          <w:sz w:val="18"/>
          <w:szCs w:val="18"/>
        </w:rPr>
        <w:t>+ ε</w:t>
      </w:r>
      <w:r w:rsidRPr="00227B56">
        <w:rPr>
          <w:rFonts w:ascii="Arial" w:hAnsi="Arial" w:cs="Arial"/>
          <w:b/>
          <w:sz w:val="18"/>
          <w:szCs w:val="18"/>
          <w:vertAlign w:val="subscript"/>
        </w:rPr>
        <w:t>i,t</w:t>
      </w:r>
      <w:r w:rsidRPr="00227B56">
        <w:rPr>
          <w:rFonts w:ascii="Arial" w:hAnsi="Arial" w:cs="Arial"/>
          <w:b/>
          <w:sz w:val="18"/>
          <w:szCs w:val="18"/>
        </w:rPr>
        <w:t>”………………………………equation 1</w:t>
      </w:r>
    </w:p>
    <w:p w14:paraId="5CB99238" w14:textId="78751919" w:rsidR="00C74F7D" w:rsidRPr="00227B56" w:rsidRDefault="00C74F7D" w:rsidP="0037002A">
      <w:pPr>
        <w:spacing w:after="0" w:line="360" w:lineRule="auto"/>
        <w:jc w:val="both"/>
        <w:rPr>
          <w:rFonts w:ascii="Arial" w:hAnsi="Arial" w:cs="Arial"/>
          <w:b/>
          <w:sz w:val="18"/>
          <w:szCs w:val="18"/>
        </w:rPr>
      </w:pPr>
      <w:r w:rsidRPr="00227B56">
        <w:rPr>
          <w:rFonts w:ascii="Arial" w:hAnsi="Arial" w:cs="Arial"/>
          <w:sz w:val="18"/>
          <w:szCs w:val="18"/>
        </w:rPr>
        <w:t>“</w:t>
      </w:r>
      <w:r w:rsidRPr="00227B56">
        <w:rPr>
          <w:rFonts w:ascii="Arial" w:hAnsi="Arial" w:cs="Arial"/>
          <w:b/>
          <w:sz w:val="18"/>
          <w:szCs w:val="18"/>
        </w:rPr>
        <w:t>lnTAB</w:t>
      </w:r>
      <w:r w:rsidRPr="00227B56">
        <w:rPr>
          <w:rFonts w:ascii="Arial" w:hAnsi="Arial" w:cs="Arial"/>
          <w:b/>
          <w:sz w:val="18"/>
          <w:szCs w:val="18"/>
          <w:vertAlign w:val="subscript"/>
        </w:rPr>
        <w:t>i,t</w:t>
      </w:r>
      <w:r w:rsidRPr="00227B56">
        <w:rPr>
          <w:rFonts w:ascii="Arial" w:hAnsi="Arial" w:cs="Arial"/>
          <w:b/>
          <w:sz w:val="18"/>
          <w:szCs w:val="18"/>
        </w:rPr>
        <w:t>= α</w:t>
      </w:r>
      <w:r w:rsidRPr="00227B56">
        <w:rPr>
          <w:rFonts w:ascii="Arial" w:hAnsi="Arial" w:cs="Arial"/>
          <w:b/>
          <w:sz w:val="18"/>
          <w:szCs w:val="18"/>
          <w:vertAlign w:val="subscript"/>
        </w:rPr>
        <w:t>i</w:t>
      </w:r>
      <w:r w:rsidRPr="00227B56">
        <w:rPr>
          <w:rFonts w:ascii="Arial" w:hAnsi="Arial" w:cs="Arial"/>
          <w:b/>
          <w:sz w:val="18"/>
          <w:szCs w:val="18"/>
        </w:rPr>
        <w:t xml:space="preserve">+α </w:t>
      </w:r>
      <w:r w:rsidRPr="00227B56">
        <w:rPr>
          <w:rFonts w:ascii="Cambria Math" w:hAnsi="Cambria Math" w:cs="Cambria Math"/>
          <w:b/>
          <w:sz w:val="18"/>
          <w:szCs w:val="18"/>
        </w:rPr>
        <w:t>⋅</w:t>
      </w:r>
      <w:r w:rsidRPr="00227B56">
        <w:rPr>
          <w:rFonts w:ascii="Arial" w:hAnsi="Arial" w:cs="Arial"/>
          <w:b/>
          <w:sz w:val="18"/>
          <w:szCs w:val="18"/>
        </w:rPr>
        <w:t>lnNPA</w:t>
      </w:r>
      <w:r w:rsidRPr="00227B56">
        <w:rPr>
          <w:rFonts w:ascii="Arial" w:hAnsi="Arial" w:cs="Arial"/>
          <w:b/>
          <w:sz w:val="18"/>
          <w:szCs w:val="18"/>
          <w:vertAlign w:val="subscript"/>
        </w:rPr>
        <w:t xml:space="preserve">i,t </w:t>
      </w:r>
      <w:r w:rsidRPr="00227B56">
        <w:rPr>
          <w:rFonts w:ascii="Arial" w:hAnsi="Arial" w:cs="Arial"/>
          <w:b/>
          <w:sz w:val="18"/>
          <w:szCs w:val="18"/>
        </w:rPr>
        <w:t xml:space="preserve">+α </w:t>
      </w:r>
      <w:r w:rsidRPr="00227B56">
        <w:rPr>
          <w:rFonts w:ascii="Cambria Math" w:hAnsi="Cambria Math" w:cs="Cambria Math"/>
          <w:b/>
          <w:sz w:val="18"/>
          <w:szCs w:val="18"/>
        </w:rPr>
        <w:t>⋅</w:t>
      </w:r>
      <w:r w:rsidRPr="00227B56">
        <w:rPr>
          <w:rFonts w:ascii="Arial" w:hAnsi="Arial" w:cs="Arial"/>
          <w:b/>
          <w:sz w:val="18"/>
          <w:szCs w:val="18"/>
        </w:rPr>
        <w:t>lnBTC</w:t>
      </w:r>
      <w:r w:rsidRPr="00227B56">
        <w:rPr>
          <w:rFonts w:ascii="Arial" w:hAnsi="Arial" w:cs="Arial"/>
          <w:b/>
          <w:sz w:val="18"/>
          <w:szCs w:val="18"/>
          <w:vertAlign w:val="subscript"/>
        </w:rPr>
        <w:t xml:space="preserve">i,t </w:t>
      </w:r>
      <w:r w:rsidRPr="00227B56">
        <w:rPr>
          <w:rFonts w:ascii="Arial" w:hAnsi="Arial" w:cs="Arial"/>
          <w:b/>
          <w:sz w:val="18"/>
          <w:szCs w:val="18"/>
        </w:rPr>
        <w:t>+ α. lnBOL</w:t>
      </w:r>
      <w:r w:rsidRPr="00227B56">
        <w:rPr>
          <w:rFonts w:ascii="Arial" w:hAnsi="Arial" w:cs="Arial"/>
          <w:b/>
          <w:sz w:val="18"/>
          <w:szCs w:val="18"/>
          <w:vertAlign w:val="subscript"/>
        </w:rPr>
        <w:t>i,t</w:t>
      </w:r>
      <w:r w:rsidRPr="00227B56">
        <w:rPr>
          <w:rFonts w:ascii="Arial" w:hAnsi="Arial" w:cs="Arial"/>
          <w:b/>
          <w:sz w:val="18"/>
          <w:szCs w:val="18"/>
        </w:rPr>
        <w:t>+ ε</w:t>
      </w:r>
      <w:r w:rsidRPr="00227B56">
        <w:rPr>
          <w:rFonts w:ascii="Arial" w:hAnsi="Arial" w:cs="Arial"/>
          <w:b/>
          <w:sz w:val="18"/>
          <w:szCs w:val="18"/>
          <w:vertAlign w:val="subscript"/>
        </w:rPr>
        <w:t>i,t</w:t>
      </w:r>
      <w:r w:rsidRPr="00227B56">
        <w:rPr>
          <w:rFonts w:ascii="Arial" w:hAnsi="Arial" w:cs="Arial"/>
          <w:b/>
          <w:sz w:val="18"/>
          <w:szCs w:val="18"/>
        </w:rPr>
        <w:t>”………………………equation 2</w:t>
      </w:r>
    </w:p>
    <w:p w14:paraId="3F50B963" w14:textId="4D8AE606" w:rsidR="00C74F7D" w:rsidRPr="00227B56" w:rsidRDefault="00C74F7D" w:rsidP="0037002A">
      <w:pPr>
        <w:spacing w:after="0" w:line="360" w:lineRule="auto"/>
        <w:jc w:val="both"/>
        <w:rPr>
          <w:rFonts w:ascii="Arial" w:hAnsi="Arial" w:cs="Arial"/>
          <w:sz w:val="18"/>
          <w:szCs w:val="18"/>
        </w:rPr>
      </w:pPr>
      <w:r w:rsidRPr="00227B56">
        <w:rPr>
          <w:rFonts w:ascii="Arial" w:hAnsi="Arial" w:cs="Arial"/>
          <w:sz w:val="18"/>
          <w:szCs w:val="18"/>
        </w:rPr>
        <w:t xml:space="preserve">We will therefore run the second </w:t>
      </w:r>
      <w:r w:rsidR="00E1147D" w:rsidRPr="00227B56">
        <w:rPr>
          <w:rFonts w:ascii="Arial" w:hAnsi="Arial" w:cs="Arial"/>
          <w:sz w:val="18"/>
          <w:szCs w:val="18"/>
        </w:rPr>
        <w:t>regression</w:t>
      </w:r>
      <w:r w:rsidRPr="00227B56">
        <w:rPr>
          <w:rFonts w:ascii="Arial" w:hAnsi="Arial" w:cs="Arial"/>
          <w:sz w:val="18"/>
          <w:szCs w:val="18"/>
        </w:rPr>
        <w:t xml:space="preserve"> model for our an</w:t>
      </w:r>
      <w:r w:rsidR="00E1147D" w:rsidRPr="00227B56">
        <w:rPr>
          <w:rFonts w:ascii="Arial" w:hAnsi="Arial" w:cs="Arial"/>
          <w:sz w:val="18"/>
          <w:szCs w:val="18"/>
        </w:rPr>
        <w:t>alysis.</w:t>
      </w:r>
    </w:p>
    <w:p w14:paraId="26D8ECC4" w14:textId="147D41E5" w:rsidR="00484C3C" w:rsidRPr="00227B56" w:rsidRDefault="0051261F" w:rsidP="00484C3C">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Table </w:t>
      </w:r>
      <w:r w:rsidR="00581B16" w:rsidRPr="00227B56">
        <w:rPr>
          <w:rFonts w:ascii="Courier New" w:hAnsi="Courier New" w:cs="Courier New"/>
          <w:sz w:val="18"/>
          <w:szCs w:val="18"/>
        </w:rPr>
        <w:t>5</w:t>
      </w:r>
    </w:p>
    <w:p w14:paraId="3E851502" w14:textId="358EED2D" w:rsidR="0071755E" w:rsidRPr="00227B56" w:rsidRDefault="0071755E" w:rsidP="0071755E">
      <w:pPr>
        <w:spacing w:after="0" w:line="360" w:lineRule="auto"/>
        <w:jc w:val="center"/>
        <w:rPr>
          <w:rFonts w:ascii="Courier New" w:hAnsi="Courier New" w:cs="Courier New"/>
          <w:b/>
          <w:sz w:val="18"/>
          <w:szCs w:val="18"/>
        </w:rPr>
      </w:pPr>
      <w:r w:rsidRPr="00227B56">
        <w:rPr>
          <w:rFonts w:ascii="Courier New" w:hAnsi="Courier New" w:cs="Courier New"/>
          <w:b/>
          <w:sz w:val="18"/>
          <w:szCs w:val="18"/>
        </w:rPr>
        <w:t>Anova Analysis of the Variable</w:t>
      </w:r>
    </w:p>
    <w:p w14:paraId="6FDFC638" w14:textId="77777777"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Number of obs   =        48</w:t>
      </w:r>
    </w:p>
    <w:p w14:paraId="76C4546B" w14:textId="77777777"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F(3, 44)        =    108.80</w:t>
      </w:r>
    </w:p>
    <w:p w14:paraId="64E7734C" w14:textId="77777777"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Prob &gt; F        =    0.0000</w:t>
      </w:r>
    </w:p>
    <w:p w14:paraId="1E3F1024" w14:textId="77777777"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R-squared       =    0.8812</w:t>
      </w:r>
    </w:p>
    <w:p w14:paraId="745AED45" w14:textId="77777777"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Adj R-squared   =    0.8731</w:t>
      </w:r>
    </w:p>
    <w:p w14:paraId="5F4D791C" w14:textId="77777777"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Root MSE        =     .2929</w:t>
      </w:r>
    </w:p>
    <w:p w14:paraId="340C623F" w14:textId="77777777" w:rsidR="00B8443D" w:rsidRPr="00227B56" w:rsidRDefault="00484C3C" w:rsidP="00484C3C">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w:t>
      </w:r>
    </w:p>
    <w:tbl>
      <w:tblPr>
        <w:tblStyle w:val="TableGrid"/>
        <w:tblW w:w="0" w:type="auto"/>
        <w:tblLook w:val="04A0" w:firstRow="1" w:lastRow="0" w:firstColumn="1" w:lastColumn="0" w:noHBand="0" w:noVBand="1"/>
      </w:tblPr>
      <w:tblGrid>
        <w:gridCol w:w="1892"/>
        <w:gridCol w:w="1535"/>
        <w:gridCol w:w="1147"/>
        <w:gridCol w:w="1818"/>
      </w:tblGrid>
      <w:tr w:rsidR="00227B56" w:rsidRPr="00227B56" w14:paraId="5FBDA298" w14:textId="3FE56AF5" w:rsidTr="00B8443D">
        <w:trPr>
          <w:trHeight w:val="379"/>
        </w:trPr>
        <w:tc>
          <w:tcPr>
            <w:tcW w:w="1892" w:type="dxa"/>
          </w:tcPr>
          <w:p w14:paraId="2ADF9E03" w14:textId="55CA0DA5" w:rsidR="00B8443D" w:rsidRPr="00227B56" w:rsidRDefault="00B8443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Source       </w:t>
            </w:r>
          </w:p>
        </w:tc>
        <w:tc>
          <w:tcPr>
            <w:tcW w:w="1535" w:type="dxa"/>
          </w:tcPr>
          <w:p w14:paraId="5BA69C20" w14:textId="33E30449" w:rsidR="00B8443D" w:rsidRPr="00227B56" w:rsidRDefault="00B8443D" w:rsidP="00B8443D">
            <w:pPr>
              <w:spacing w:line="360" w:lineRule="auto"/>
              <w:ind w:left="147"/>
              <w:jc w:val="both"/>
              <w:rPr>
                <w:rFonts w:ascii="Courier New" w:hAnsi="Courier New" w:cs="Courier New"/>
                <w:sz w:val="18"/>
                <w:szCs w:val="18"/>
              </w:rPr>
            </w:pPr>
            <w:r w:rsidRPr="00227B56">
              <w:rPr>
                <w:rFonts w:ascii="Courier New" w:hAnsi="Courier New" w:cs="Courier New"/>
                <w:sz w:val="18"/>
                <w:szCs w:val="18"/>
              </w:rPr>
              <w:t>SS</w:t>
            </w:r>
          </w:p>
        </w:tc>
        <w:tc>
          <w:tcPr>
            <w:tcW w:w="1147" w:type="dxa"/>
          </w:tcPr>
          <w:p w14:paraId="756B0C49" w14:textId="10390A7F" w:rsidR="00B8443D" w:rsidRPr="00227B56" w:rsidRDefault="00B8443D" w:rsidP="00B8443D">
            <w:pPr>
              <w:spacing w:line="360" w:lineRule="auto"/>
              <w:ind w:left="116"/>
              <w:jc w:val="both"/>
              <w:rPr>
                <w:rFonts w:ascii="Courier New" w:hAnsi="Courier New" w:cs="Courier New"/>
                <w:sz w:val="18"/>
                <w:szCs w:val="18"/>
              </w:rPr>
            </w:pPr>
            <w:r w:rsidRPr="00227B56">
              <w:rPr>
                <w:rFonts w:ascii="Courier New" w:hAnsi="Courier New" w:cs="Courier New"/>
                <w:sz w:val="18"/>
                <w:szCs w:val="18"/>
              </w:rPr>
              <w:t xml:space="preserve">   df</w:t>
            </w:r>
          </w:p>
        </w:tc>
        <w:tc>
          <w:tcPr>
            <w:tcW w:w="1818" w:type="dxa"/>
          </w:tcPr>
          <w:p w14:paraId="5F45055B" w14:textId="47F13F37" w:rsidR="00B8443D" w:rsidRPr="00227B56" w:rsidRDefault="00B8443D" w:rsidP="00B8443D">
            <w:pPr>
              <w:spacing w:line="360" w:lineRule="auto"/>
              <w:ind w:left="46"/>
              <w:jc w:val="both"/>
              <w:rPr>
                <w:rFonts w:ascii="Courier New" w:hAnsi="Courier New" w:cs="Courier New"/>
                <w:sz w:val="18"/>
                <w:szCs w:val="18"/>
              </w:rPr>
            </w:pPr>
            <w:r w:rsidRPr="00227B56">
              <w:rPr>
                <w:rFonts w:ascii="Courier New" w:hAnsi="Courier New" w:cs="Courier New"/>
                <w:sz w:val="18"/>
                <w:szCs w:val="18"/>
              </w:rPr>
              <w:t xml:space="preserve">   MS </w:t>
            </w:r>
          </w:p>
        </w:tc>
      </w:tr>
      <w:tr w:rsidR="00227B56" w:rsidRPr="00227B56" w14:paraId="4C7B9393" w14:textId="48EF2FB2" w:rsidTr="00B8443D">
        <w:trPr>
          <w:trHeight w:val="379"/>
        </w:trPr>
        <w:tc>
          <w:tcPr>
            <w:tcW w:w="1892" w:type="dxa"/>
          </w:tcPr>
          <w:p w14:paraId="09138254" w14:textId="51E96B65" w:rsidR="00B8443D" w:rsidRPr="00227B56" w:rsidRDefault="00B8443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Model </w:t>
            </w:r>
          </w:p>
        </w:tc>
        <w:tc>
          <w:tcPr>
            <w:tcW w:w="1535" w:type="dxa"/>
          </w:tcPr>
          <w:p w14:paraId="64787EDD" w14:textId="748BF67A" w:rsidR="00B8443D" w:rsidRPr="00227B56" w:rsidRDefault="00B8443D" w:rsidP="00B8443D">
            <w:pPr>
              <w:spacing w:line="360" w:lineRule="auto"/>
              <w:ind w:left="45"/>
              <w:jc w:val="both"/>
              <w:rPr>
                <w:rFonts w:ascii="Courier New" w:hAnsi="Courier New" w:cs="Courier New"/>
                <w:sz w:val="18"/>
                <w:szCs w:val="18"/>
              </w:rPr>
            </w:pPr>
            <w:r w:rsidRPr="00227B56">
              <w:rPr>
                <w:rFonts w:ascii="Courier New" w:hAnsi="Courier New" w:cs="Courier New"/>
                <w:sz w:val="18"/>
                <w:szCs w:val="18"/>
              </w:rPr>
              <w:t>28.0011304</w:t>
            </w:r>
          </w:p>
        </w:tc>
        <w:tc>
          <w:tcPr>
            <w:tcW w:w="1147" w:type="dxa"/>
          </w:tcPr>
          <w:p w14:paraId="582393B8" w14:textId="4991423A" w:rsidR="00B8443D" w:rsidRPr="00227B56" w:rsidRDefault="00B8443D" w:rsidP="00B8443D">
            <w:pPr>
              <w:spacing w:line="360" w:lineRule="auto"/>
              <w:ind w:left="14"/>
              <w:jc w:val="both"/>
              <w:rPr>
                <w:rFonts w:ascii="Courier New" w:hAnsi="Courier New" w:cs="Courier New"/>
                <w:sz w:val="18"/>
                <w:szCs w:val="18"/>
              </w:rPr>
            </w:pPr>
            <w:r w:rsidRPr="00227B56">
              <w:rPr>
                <w:rFonts w:ascii="Courier New" w:hAnsi="Courier New" w:cs="Courier New"/>
                <w:sz w:val="18"/>
                <w:szCs w:val="18"/>
              </w:rPr>
              <w:t xml:space="preserve">     3</w:t>
            </w:r>
          </w:p>
        </w:tc>
        <w:tc>
          <w:tcPr>
            <w:tcW w:w="1818" w:type="dxa"/>
          </w:tcPr>
          <w:p w14:paraId="1B058BF2" w14:textId="29040436" w:rsidR="00B8443D" w:rsidRPr="00227B56" w:rsidRDefault="00B8443D" w:rsidP="00B8443D">
            <w:pPr>
              <w:spacing w:line="360" w:lineRule="auto"/>
              <w:ind w:left="59"/>
              <w:jc w:val="both"/>
              <w:rPr>
                <w:rFonts w:ascii="Courier New" w:hAnsi="Courier New" w:cs="Courier New"/>
                <w:sz w:val="18"/>
                <w:szCs w:val="18"/>
              </w:rPr>
            </w:pPr>
            <w:r w:rsidRPr="00227B56">
              <w:rPr>
                <w:rFonts w:ascii="Courier New" w:hAnsi="Courier New" w:cs="Courier New"/>
                <w:sz w:val="18"/>
                <w:szCs w:val="18"/>
              </w:rPr>
              <w:t xml:space="preserve">9.33371015  </w:t>
            </w:r>
          </w:p>
        </w:tc>
      </w:tr>
      <w:tr w:rsidR="00227B56" w:rsidRPr="00227B56" w14:paraId="1CF9BE90" w14:textId="77BB4B85" w:rsidTr="00B8443D">
        <w:trPr>
          <w:trHeight w:val="363"/>
        </w:trPr>
        <w:tc>
          <w:tcPr>
            <w:tcW w:w="1892" w:type="dxa"/>
          </w:tcPr>
          <w:p w14:paraId="3BD95E0C" w14:textId="17EE9FF0" w:rsidR="00B8443D" w:rsidRPr="00227B56" w:rsidRDefault="00B8443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Residual </w:t>
            </w:r>
          </w:p>
        </w:tc>
        <w:tc>
          <w:tcPr>
            <w:tcW w:w="1535" w:type="dxa"/>
          </w:tcPr>
          <w:p w14:paraId="4DD06C6D" w14:textId="635526A1" w:rsidR="00B8443D" w:rsidRPr="00227B56" w:rsidRDefault="00B8443D" w:rsidP="00B8443D">
            <w:pPr>
              <w:spacing w:line="360" w:lineRule="auto"/>
              <w:ind w:left="45"/>
              <w:jc w:val="both"/>
              <w:rPr>
                <w:rFonts w:ascii="Courier New" w:hAnsi="Courier New" w:cs="Courier New"/>
                <w:sz w:val="18"/>
                <w:szCs w:val="18"/>
              </w:rPr>
            </w:pPr>
            <w:r w:rsidRPr="00227B56">
              <w:rPr>
                <w:rFonts w:ascii="Courier New" w:hAnsi="Courier New" w:cs="Courier New"/>
                <w:sz w:val="18"/>
                <w:szCs w:val="18"/>
              </w:rPr>
              <w:t>3.77468009</w:t>
            </w:r>
          </w:p>
        </w:tc>
        <w:tc>
          <w:tcPr>
            <w:tcW w:w="1147" w:type="dxa"/>
          </w:tcPr>
          <w:p w14:paraId="0E7C794E" w14:textId="76FED445" w:rsidR="00B8443D" w:rsidRPr="00227B56" w:rsidRDefault="00B8443D" w:rsidP="00B8443D">
            <w:pPr>
              <w:spacing w:line="360" w:lineRule="auto"/>
              <w:ind w:left="14"/>
              <w:jc w:val="both"/>
              <w:rPr>
                <w:rFonts w:ascii="Courier New" w:hAnsi="Courier New" w:cs="Courier New"/>
                <w:sz w:val="18"/>
                <w:szCs w:val="18"/>
              </w:rPr>
            </w:pPr>
            <w:r w:rsidRPr="00227B56">
              <w:rPr>
                <w:rFonts w:ascii="Courier New" w:hAnsi="Courier New" w:cs="Courier New"/>
                <w:sz w:val="18"/>
                <w:szCs w:val="18"/>
              </w:rPr>
              <w:t xml:space="preserve">     44</w:t>
            </w:r>
          </w:p>
        </w:tc>
        <w:tc>
          <w:tcPr>
            <w:tcW w:w="1818" w:type="dxa"/>
          </w:tcPr>
          <w:p w14:paraId="674D27BF" w14:textId="38D7DB1E" w:rsidR="00B8443D" w:rsidRPr="00227B56" w:rsidRDefault="00B8443D" w:rsidP="00B8443D">
            <w:pPr>
              <w:spacing w:line="360" w:lineRule="auto"/>
              <w:ind w:left="59"/>
              <w:jc w:val="both"/>
              <w:rPr>
                <w:rFonts w:ascii="Courier New" w:hAnsi="Courier New" w:cs="Courier New"/>
                <w:sz w:val="18"/>
                <w:szCs w:val="18"/>
              </w:rPr>
            </w:pPr>
            <w:r w:rsidRPr="00227B56">
              <w:rPr>
                <w:rFonts w:ascii="Courier New" w:hAnsi="Courier New" w:cs="Courier New"/>
                <w:sz w:val="18"/>
                <w:szCs w:val="18"/>
              </w:rPr>
              <w:t xml:space="preserve">.085788184  </w:t>
            </w:r>
          </w:p>
        </w:tc>
      </w:tr>
      <w:tr w:rsidR="00227B56" w:rsidRPr="00227B56" w14:paraId="74B53FD0" w14:textId="1B5EE03D" w:rsidTr="00B8443D">
        <w:trPr>
          <w:trHeight w:val="379"/>
        </w:trPr>
        <w:tc>
          <w:tcPr>
            <w:tcW w:w="1892" w:type="dxa"/>
          </w:tcPr>
          <w:p w14:paraId="341069BD" w14:textId="4F6B91CA" w:rsidR="00B8443D" w:rsidRPr="00227B56" w:rsidRDefault="00B8443D" w:rsidP="00721FB8">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Total </w:t>
            </w:r>
          </w:p>
        </w:tc>
        <w:tc>
          <w:tcPr>
            <w:tcW w:w="1535" w:type="dxa"/>
          </w:tcPr>
          <w:p w14:paraId="1E8ECB1D" w14:textId="00596260" w:rsidR="00B8443D" w:rsidRPr="00227B56" w:rsidRDefault="00B8443D" w:rsidP="00B8443D">
            <w:pPr>
              <w:spacing w:line="360" w:lineRule="auto"/>
              <w:ind w:left="45"/>
              <w:jc w:val="both"/>
              <w:rPr>
                <w:rFonts w:ascii="Courier New" w:hAnsi="Courier New" w:cs="Courier New"/>
                <w:sz w:val="18"/>
                <w:szCs w:val="18"/>
              </w:rPr>
            </w:pPr>
            <w:r w:rsidRPr="00227B56">
              <w:rPr>
                <w:rFonts w:ascii="Courier New" w:hAnsi="Courier New" w:cs="Courier New"/>
                <w:sz w:val="18"/>
                <w:szCs w:val="18"/>
              </w:rPr>
              <w:t>31.7758105</w:t>
            </w:r>
          </w:p>
        </w:tc>
        <w:tc>
          <w:tcPr>
            <w:tcW w:w="1147" w:type="dxa"/>
          </w:tcPr>
          <w:p w14:paraId="6671F3A2" w14:textId="12AB3C90" w:rsidR="00B8443D" w:rsidRPr="00227B56" w:rsidRDefault="00B8443D" w:rsidP="00B8443D">
            <w:pPr>
              <w:spacing w:line="360" w:lineRule="auto"/>
              <w:ind w:left="14"/>
              <w:jc w:val="both"/>
              <w:rPr>
                <w:rFonts w:ascii="Courier New" w:hAnsi="Courier New" w:cs="Courier New"/>
                <w:sz w:val="18"/>
                <w:szCs w:val="18"/>
              </w:rPr>
            </w:pPr>
            <w:r w:rsidRPr="00227B56">
              <w:rPr>
                <w:rFonts w:ascii="Courier New" w:hAnsi="Courier New" w:cs="Courier New"/>
                <w:sz w:val="18"/>
                <w:szCs w:val="18"/>
              </w:rPr>
              <w:t xml:space="preserve">     47  </w:t>
            </w:r>
          </w:p>
        </w:tc>
        <w:tc>
          <w:tcPr>
            <w:tcW w:w="1818" w:type="dxa"/>
          </w:tcPr>
          <w:p w14:paraId="21CD3611" w14:textId="30755467" w:rsidR="00B8443D" w:rsidRPr="00227B56" w:rsidRDefault="00B8443D" w:rsidP="00B8443D">
            <w:pPr>
              <w:spacing w:line="360" w:lineRule="auto"/>
              <w:ind w:left="14"/>
              <w:jc w:val="both"/>
              <w:rPr>
                <w:rFonts w:ascii="Courier New" w:hAnsi="Courier New" w:cs="Courier New"/>
                <w:sz w:val="18"/>
                <w:szCs w:val="18"/>
              </w:rPr>
            </w:pPr>
            <w:r w:rsidRPr="00227B56">
              <w:rPr>
                <w:rFonts w:ascii="Courier New" w:hAnsi="Courier New" w:cs="Courier New"/>
                <w:sz w:val="18"/>
                <w:szCs w:val="18"/>
              </w:rPr>
              <w:t xml:space="preserve">.676081075  </w:t>
            </w:r>
          </w:p>
        </w:tc>
      </w:tr>
    </w:tbl>
    <w:p w14:paraId="56678FD2" w14:textId="3402F0E1" w:rsidR="00B8443D" w:rsidRPr="00227B56" w:rsidRDefault="00B8443D" w:rsidP="00B8443D">
      <w:pPr>
        <w:spacing w:after="0" w:line="360" w:lineRule="auto"/>
        <w:jc w:val="both"/>
        <w:rPr>
          <w:rFonts w:ascii="Courier New" w:hAnsi="Courier New" w:cs="Courier New"/>
          <w:sz w:val="18"/>
          <w:szCs w:val="18"/>
        </w:rPr>
      </w:pPr>
      <w:r w:rsidRPr="00227B56">
        <w:rPr>
          <w:rFonts w:ascii="Courier New" w:hAnsi="Courier New" w:cs="Courier New"/>
          <w:sz w:val="18"/>
          <w:szCs w:val="18"/>
        </w:rPr>
        <w:t xml:space="preserve">     </w:t>
      </w:r>
    </w:p>
    <w:p w14:paraId="7B981CC6" w14:textId="008CAA3C" w:rsidR="00484C3C" w:rsidRPr="00227B56" w:rsidRDefault="00484C3C" w:rsidP="00484C3C">
      <w:pPr>
        <w:spacing w:after="0" w:line="360" w:lineRule="auto"/>
        <w:jc w:val="both"/>
        <w:rPr>
          <w:rFonts w:ascii="Arial" w:hAnsi="Arial" w:cs="Arial"/>
          <w:sz w:val="18"/>
          <w:szCs w:val="18"/>
        </w:rPr>
      </w:pPr>
    </w:p>
    <w:tbl>
      <w:tblPr>
        <w:tblStyle w:val="TableGrid"/>
        <w:tblpPr w:leftFromText="180" w:rightFromText="180" w:vertAnchor="text" w:horzAnchor="margin" w:tblpY="227"/>
        <w:tblW w:w="0" w:type="auto"/>
        <w:tblLook w:val="04A0" w:firstRow="1" w:lastRow="0" w:firstColumn="1" w:lastColumn="0" w:noHBand="0" w:noVBand="1"/>
      </w:tblPr>
      <w:tblGrid>
        <w:gridCol w:w="9350"/>
      </w:tblGrid>
      <w:tr w:rsidR="00227B56" w:rsidRPr="00227B56" w14:paraId="28C51C87" w14:textId="77777777" w:rsidTr="00FA7D54">
        <w:tc>
          <w:tcPr>
            <w:tcW w:w="9350" w:type="dxa"/>
          </w:tcPr>
          <w:p w14:paraId="58A40E4A" w14:textId="77777777" w:rsidR="00FA7D54" w:rsidRPr="00227B56" w:rsidRDefault="00FA7D54" w:rsidP="00FA7D54">
            <w:pPr>
              <w:spacing w:line="360" w:lineRule="auto"/>
              <w:jc w:val="both"/>
              <w:rPr>
                <w:rFonts w:ascii="Courier New" w:hAnsi="Courier New" w:cs="Courier New"/>
                <w:b/>
                <w:sz w:val="18"/>
                <w:szCs w:val="18"/>
              </w:rPr>
            </w:pPr>
            <w:r w:rsidRPr="00227B56">
              <w:rPr>
                <w:rFonts w:ascii="Courier New" w:hAnsi="Courier New" w:cs="Courier New"/>
                <w:b/>
                <w:sz w:val="18"/>
                <w:szCs w:val="18"/>
              </w:rPr>
              <w:t xml:space="preserve">       lnTAB |      Coef.   Std. Err.      t    P&gt;|t|     [95% Conf. Interval]</w:t>
            </w:r>
          </w:p>
        </w:tc>
      </w:tr>
      <w:tr w:rsidR="00227B56" w:rsidRPr="00227B56" w14:paraId="498EC74F" w14:textId="77777777" w:rsidTr="00FA7D54">
        <w:tc>
          <w:tcPr>
            <w:tcW w:w="9350" w:type="dxa"/>
          </w:tcPr>
          <w:p w14:paraId="2CE4333F" w14:textId="77777777" w:rsidR="00FA7D54" w:rsidRPr="00227B56" w:rsidRDefault="00FA7D54" w:rsidP="00FA7D54">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w:t>
            </w:r>
            <w:r w:rsidRPr="00227B56">
              <w:rPr>
                <w:rFonts w:ascii="Courier New" w:hAnsi="Courier New" w:cs="Courier New"/>
                <w:b/>
                <w:sz w:val="18"/>
                <w:szCs w:val="18"/>
              </w:rPr>
              <w:t>lnNPA</w:t>
            </w:r>
            <w:r w:rsidRPr="00227B56">
              <w:rPr>
                <w:rFonts w:ascii="Courier New" w:hAnsi="Courier New" w:cs="Courier New"/>
                <w:sz w:val="18"/>
                <w:szCs w:val="18"/>
              </w:rPr>
              <w:t xml:space="preserve"> |   .1693486   .0593597     2.85   0.007     .0497171    .2889802</w:t>
            </w:r>
          </w:p>
        </w:tc>
      </w:tr>
      <w:tr w:rsidR="00227B56" w:rsidRPr="00227B56" w14:paraId="43580B1C" w14:textId="77777777" w:rsidTr="00FA7D54">
        <w:tc>
          <w:tcPr>
            <w:tcW w:w="9350" w:type="dxa"/>
          </w:tcPr>
          <w:p w14:paraId="05811039" w14:textId="77777777" w:rsidR="00FA7D54" w:rsidRPr="00227B56" w:rsidRDefault="00FA7D54" w:rsidP="00FA7D54">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w:t>
            </w:r>
            <w:r w:rsidRPr="00227B56">
              <w:rPr>
                <w:rFonts w:ascii="Courier New" w:hAnsi="Courier New" w:cs="Courier New"/>
                <w:b/>
                <w:sz w:val="18"/>
                <w:szCs w:val="18"/>
              </w:rPr>
              <w:t>lnBOL</w:t>
            </w:r>
            <w:r w:rsidRPr="00227B56">
              <w:rPr>
                <w:rFonts w:ascii="Courier New" w:hAnsi="Courier New" w:cs="Courier New"/>
                <w:sz w:val="18"/>
                <w:szCs w:val="18"/>
              </w:rPr>
              <w:t xml:space="preserve"> |   .6510734   .0961956     6.77   0.000     .4572039    .8449429</w:t>
            </w:r>
          </w:p>
        </w:tc>
      </w:tr>
      <w:tr w:rsidR="00227B56" w:rsidRPr="00227B56" w14:paraId="0F3A6D43" w14:textId="77777777" w:rsidTr="00FA7D54">
        <w:tc>
          <w:tcPr>
            <w:tcW w:w="9350" w:type="dxa"/>
          </w:tcPr>
          <w:p w14:paraId="23AF180D" w14:textId="77777777" w:rsidR="00FA7D54" w:rsidRPr="00227B56" w:rsidRDefault="00FA7D54" w:rsidP="00FA7D54">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w:t>
            </w:r>
            <w:r w:rsidRPr="00227B56">
              <w:rPr>
                <w:rFonts w:ascii="Courier New" w:hAnsi="Courier New" w:cs="Courier New"/>
                <w:b/>
                <w:sz w:val="18"/>
                <w:szCs w:val="18"/>
              </w:rPr>
              <w:t>lnBTC</w:t>
            </w:r>
            <w:r w:rsidRPr="00227B56">
              <w:rPr>
                <w:rFonts w:ascii="Courier New" w:hAnsi="Courier New" w:cs="Courier New"/>
                <w:sz w:val="18"/>
                <w:szCs w:val="18"/>
              </w:rPr>
              <w:t xml:space="preserve"> |   .1278055    .041187     3.10   0.003     .0447986    .2108123</w:t>
            </w:r>
          </w:p>
        </w:tc>
      </w:tr>
      <w:tr w:rsidR="00227B56" w:rsidRPr="00227B56" w14:paraId="3E8A4DF1" w14:textId="77777777" w:rsidTr="00FA7D54">
        <w:tc>
          <w:tcPr>
            <w:tcW w:w="9350" w:type="dxa"/>
          </w:tcPr>
          <w:p w14:paraId="4F7E6234" w14:textId="77777777" w:rsidR="00FA7D54" w:rsidRPr="00227B56" w:rsidRDefault="00FA7D54" w:rsidP="00FA7D54">
            <w:pPr>
              <w:spacing w:line="360" w:lineRule="auto"/>
              <w:jc w:val="both"/>
              <w:rPr>
                <w:rFonts w:ascii="Courier New" w:hAnsi="Courier New" w:cs="Courier New"/>
                <w:sz w:val="18"/>
                <w:szCs w:val="18"/>
              </w:rPr>
            </w:pPr>
            <w:r w:rsidRPr="00227B56">
              <w:rPr>
                <w:rFonts w:ascii="Courier New" w:hAnsi="Courier New" w:cs="Courier New"/>
                <w:sz w:val="18"/>
                <w:szCs w:val="18"/>
              </w:rPr>
              <w:t xml:space="preserve">       _cons |   2.458002   1.244109     1.98   0.054    -.0493363    4.965339</w:t>
            </w:r>
          </w:p>
        </w:tc>
      </w:tr>
    </w:tbl>
    <w:p w14:paraId="2F6B7D77" w14:textId="620DB9CE" w:rsidR="004B2EFD" w:rsidRPr="00227B56" w:rsidRDefault="004B2EFD" w:rsidP="00484C3C">
      <w:pPr>
        <w:spacing w:after="0" w:line="360" w:lineRule="auto"/>
        <w:jc w:val="both"/>
        <w:rPr>
          <w:rFonts w:ascii="Courier New" w:hAnsi="Courier New" w:cs="Courier New"/>
          <w:b/>
          <w:sz w:val="18"/>
          <w:szCs w:val="18"/>
        </w:rPr>
      </w:pPr>
      <w:r w:rsidRPr="00227B56">
        <w:rPr>
          <w:rFonts w:ascii="Arial" w:hAnsi="Arial" w:cs="Arial"/>
          <w:b/>
          <w:sz w:val="18"/>
          <w:szCs w:val="18"/>
        </w:rPr>
        <w:t xml:space="preserve">                                                            </w:t>
      </w:r>
      <w:r w:rsidRPr="00227B56">
        <w:rPr>
          <w:rFonts w:ascii="Courier New" w:hAnsi="Courier New" w:cs="Courier New"/>
          <w:b/>
          <w:sz w:val="18"/>
          <w:szCs w:val="18"/>
        </w:rPr>
        <w:t>Regression Analysis</w:t>
      </w:r>
    </w:p>
    <w:p w14:paraId="439E0D72" w14:textId="7AD987C7" w:rsidR="00FA7D54" w:rsidRPr="00227B56" w:rsidRDefault="00FA7D54" w:rsidP="00484C3C">
      <w:pPr>
        <w:spacing w:after="0" w:line="360" w:lineRule="auto"/>
        <w:jc w:val="both"/>
        <w:rPr>
          <w:rFonts w:ascii="Courier New" w:hAnsi="Courier New" w:cs="Courier New"/>
          <w:b/>
          <w:sz w:val="18"/>
          <w:szCs w:val="18"/>
        </w:rPr>
      </w:pPr>
      <w:r w:rsidRPr="00227B56">
        <w:rPr>
          <w:rFonts w:ascii="Courier New" w:hAnsi="Courier New" w:cs="Courier New"/>
          <w:b/>
          <w:sz w:val="18"/>
          <w:szCs w:val="18"/>
        </w:rPr>
        <w:t>Authors’ Own work</w:t>
      </w:r>
    </w:p>
    <w:p w14:paraId="3130D4F5" w14:textId="2BDF7CE1" w:rsidR="00FA7D54" w:rsidRPr="00227B56" w:rsidRDefault="009F51E9" w:rsidP="00FA7D54">
      <w:pPr>
        <w:pStyle w:val="Heading3"/>
        <w:rPr>
          <w:rFonts w:ascii="Arial" w:hAnsi="Arial" w:cs="Arial"/>
          <w:b/>
          <w:i/>
          <w:color w:val="auto"/>
          <w:sz w:val="18"/>
          <w:szCs w:val="18"/>
        </w:rPr>
      </w:pPr>
      <w:r w:rsidRPr="00227B56">
        <w:rPr>
          <w:rFonts w:ascii="Arial" w:hAnsi="Arial" w:cs="Arial"/>
          <w:b/>
          <w:i/>
          <w:color w:val="auto"/>
          <w:sz w:val="18"/>
          <w:szCs w:val="18"/>
        </w:rPr>
        <w:t xml:space="preserve">Number of Observation </w:t>
      </w:r>
    </w:p>
    <w:p w14:paraId="6D33A804" w14:textId="20735B51" w:rsidR="009F51E9" w:rsidRPr="00227B56" w:rsidRDefault="009F51E9" w:rsidP="009F51E9">
      <w:pPr>
        <w:spacing w:after="0" w:line="360" w:lineRule="auto"/>
        <w:rPr>
          <w:rFonts w:ascii="Arial" w:hAnsi="Arial" w:cs="Arial"/>
          <w:sz w:val="18"/>
          <w:szCs w:val="18"/>
        </w:rPr>
      </w:pPr>
      <w:r w:rsidRPr="00227B56">
        <w:rPr>
          <w:rFonts w:ascii="Arial" w:hAnsi="Arial" w:cs="Arial"/>
          <w:sz w:val="18"/>
          <w:szCs w:val="18"/>
        </w:rPr>
        <w:t>F</w:t>
      </w:r>
      <w:r w:rsidR="00FA7D54" w:rsidRPr="00227B56">
        <w:rPr>
          <w:rFonts w:ascii="Arial" w:hAnsi="Arial" w:cs="Arial"/>
          <w:sz w:val="18"/>
          <w:szCs w:val="18"/>
        </w:rPr>
        <w:t xml:space="preserve">rom the regression analysis in </w:t>
      </w:r>
      <w:r w:rsidR="00FA7D54" w:rsidRPr="00227B56">
        <w:rPr>
          <w:rFonts w:ascii="Arial" w:hAnsi="Arial" w:cs="Arial"/>
          <w:b/>
          <w:sz w:val="18"/>
          <w:szCs w:val="18"/>
        </w:rPr>
        <w:t>T</w:t>
      </w:r>
      <w:r w:rsidRPr="00227B56">
        <w:rPr>
          <w:rFonts w:ascii="Arial" w:hAnsi="Arial" w:cs="Arial"/>
          <w:b/>
          <w:sz w:val="18"/>
          <w:szCs w:val="18"/>
        </w:rPr>
        <w:t xml:space="preserve">able </w:t>
      </w:r>
      <w:r w:rsidR="00581B16" w:rsidRPr="00227B56">
        <w:rPr>
          <w:rFonts w:ascii="Arial" w:hAnsi="Arial" w:cs="Arial"/>
          <w:b/>
          <w:sz w:val="18"/>
          <w:szCs w:val="18"/>
        </w:rPr>
        <w:t>5</w:t>
      </w:r>
      <w:r w:rsidR="00581B16" w:rsidRPr="00227B56">
        <w:rPr>
          <w:rFonts w:ascii="Arial" w:hAnsi="Arial" w:cs="Arial"/>
          <w:sz w:val="18"/>
          <w:szCs w:val="18"/>
        </w:rPr>
        <w:t xml:space="preserve"> </w:t>
      </w:r>
      <w:r w:rsidRPr="00227B56">
        <w:rPr>
          <w:rFonts w:ascii="Arial" w:hAnsi="Arial" w:cs="Arial"/>
          <w:sz w:val="18"/>
          <w:szCs w:val="18"/>
        </w:rPr>
        <w:t>the number of observations for the regress variables are 48 instead of 50 because we recorded negative values for one variable in two continues years. The R</w:t>
      </w:r>
      <w:r w:rsidRPr="00227B56">
        <w:rPr>
          <w:rFonts w:ascii="Arial" w:hAnsi="Arial" w:cs="Arial"/>
          <w:sz w:val="18"/>
          <w:szCs w:val="18"/>
          <w:vertAlign w:val="superscript"/>
        </w:rPr>
        <w:t xml:space="preserve">2 </w:t>
      </w:r>
      <w:r w:rsidRPr="00227B56">
        <w:rPr>
          <w:rFonts w:ascii="Arial" w:hAnsi="Arial" w:cs="Arial"/>
          <w:sz w:val="18"/>
          <w:szCs w:val="18"/>
        </w:rPr>
        <w:t>or R-square value for our model is 0.8812</w:t>
      </w:r>
      <w:r w:rsidR="00FA7D54" w:rsidRPr="00227B56">
        <w:rPr>
          <w:rFonts w:ascii="Arial" w:hAnsi="Arial" w:cs="Arial"/>
          <w:sz w:val="18"/>
          <w:szCs w:val="18"/>
        </w:rPr>
        <w:t>. This mean our model is able to explain 87.3 percent of the situation we are researching about.</w:t>
      </w:r>
    </w:p>
    <w:p w14:paraId="10CCF7D4" w14:textId="3A2C098E" w:rsidR="00C74F7D" w:rsidRPr="00227B56" w:rsidRDefault="00484C3C" w:rsidP="0037002A">
      <w:pPr>
        <w:spacing w:after="0" w:line="360" w:lineRule="auto"/>
        <w:jc w:val="both"/>
        <w:rPr>
          <w:rFonts w:ascii="Arial" w:hAnsi="Arial" w:cs="Arial"/>
          <w:sz w:val="18"/>
          <w:szCs w:val="18"/>
        </w:rPr>
      </w:pPr>
      <w:r w:rsidRPr="00227B56">
        <w:rPr>
          <w:rFonts w:ascii="Arial" w:hAnsi="Arial" w:cs="Arial"/>
          <w:sz w:val="18"/>
          <w:szCs w:val="18"/>
        </w:rPr>
        <w:t>Our model will be</w:t>
      </w:r>
    </w:p>
    <w:p w14:paraId="46775305" w14:textId="6AB8B6C3" w:rsidR="00B8443D" w:rsidRPr="00227B56" w:rsidRDefault="00B8443D" w:rsidP="0037002A">
      <w:pPr>
        <w:spacing w:after="0" w:line="360" w:lineRule="auto"/>
        <w:jc w:val="both"/>
        <w:rPr>
          <w:rFonts w:ascii="Arial" w:hAnsi="Arial" w:cs="Arial"/>
          <w:sz w:val="18"/>
          <w:szCs w:val="18"/>
        </w:rPr>
      </w:pPr>
    </w:p>
    <w:p w14:paraId="4B484FC6" w14:textId="77777777" w:rsidR="00B8443D" w:rsidRPr="00227B56" w:rsidRDefault="00B8443D" w:rsidP="0037002A">
      <w:pPr>
        <w:spacing w:after="0" w:line="360" w:lineRule="auto"/>
        <w:jc w:val="both"/>
        <w:rPr>
          <w:rFonts w:ascii="Arial" w:hAnsi="Arial" w:cs="Arial"/>
          <w:sz w:val="18"/>
          <w:szCs w:val="18"/>
        </w:rPr>
      </w:pPr>
    </w:p>
    <w:p w14:paraId="319D5728" w14:textId="7C1C5B41" w:rsidR="00A11887" w:rsidRPr="00227B56" w:rsidRDefault="00484C3C" w:rsidP="0051261F">
      <w:pPr>
        <w:spacing w:after="0" w:line="480" w:lineRule="auto"/>
        <w:rPr>
          <w:rFonts w:ascii="Arial" w:hAnsi="Arial" w:cs="Arial"/>
          <w:b/>
          <w:i/>
          <w:sz w:val="18"/>
          <w:szCs w:val="18"/>
        </w:rPr>
      </w:pPr>
      <w:r w:rsidRPr="00227B56">
        <w:rPr>
          <w:rFonts w:ascii="Arial" w:hAnsi="Arial" w:cs="Arial"/>
          <w:b/>
          <w:i/>
          <w:sz w:val="18"/>
          <w:szCs w:val="18"/>
        </w:rPr>
        <w:t>“lnTAB</w:t>
      </w:r>
      <w:r w:rsidRPr="00227B56">
        <w:rPr>
          <w:rFonts w:ascii="Arial" w:hAnsi="Arial" w:cs="Arial"/>
          <w:b/>
          <w:i/>
          <w:sz w:val="18"/>
          <w:szCs w:val="18"/>
          <w:vertAlign w:val="subscript"/>
        </w:rPr>
        <w:t>i,t</w:t>
      </w:r>
      <w:r w:rsidRPr="00227B56">
        <w:rPr>
          <w:rFonts w:ascii="Arial" w:hAnsi="Arial" w:cs="Arial"/>
          <w:b/>
          <w:i/>
          <w:sz w:val="18"/>
          <w:szCs w:val="18"/>
        </w:rPr>
        <w:t>= 2.45</w:t>
      </w:r>
      <w:r w:rsidR="00A11887" w:rsidRPr="00227B56">
        <w:rPr>
          <w:rFonts w:ascii="Arial" w:hAnsi="Arial" w:cs="Arial"/>
          <w:b/>
          <w:i/>
          <w:sz w:val="18"/>
          <w:szCs w:val="18"/>
        </w:rPr>
        <w:t>8</w:t>
      </w:r>
      <w:r w:rsidRPr="00227B56">
        <w:rPr>
          <w:rFonts w:ascii="Arial" w:hAnsi="Arial" w:cs="Arial"/>
          <w:b/>
          <w:i/>
          <w:sz w:val="18"/>
          <w:szCs w:val="18"/>
          <w:vertAlign w:val="subscript"/>
        </w:rPr>
        <w:t>i</w:t>
      </w:r>
      <w:r w:rsidRPr="00227B56">
        <w:rPr>
          <w:rFonts w:ascii="Arial" w:hAnsi="Arial" w:cs="Arial"/>
          <w:b/>
          <w:i/>
          <w:sz w:val="18"/>
          <w:szCs w:val="18"/>
        </w:rPr>
        <w:t>+0.169</w:t>
      </w:r>
      <w:r w:rsidR="00A11887" w:rsidRPr="00227B56">
        <w:rPr>
          <w:rFonts w:ascii="Arial" w:hAnsi="Arial" w:cs="Arial"/>
          <w:b/>
          <w:i/>
          <w:sz w:val="18"/>
          <w:szCs w:val="18"/>
        </w:rPr>
        <w:t>3</w:t>
      </w:r>
      <w:r w:rsidRPr="00227B56">
        <w:rPr>
          <w:rFonts w:ascii="Arial" w:hAnsi="Arial" w:cs="Arial"/>
          <w:b/>
          <w:i/>
          <w:sz w:val="18"/>
          <w:szCs w:val="18"/>
        </w:rPr>
        <w:t xml:space="preserve"> </w:t>
      </w:r>
      <w:r w:rsidRPr="00227B56">
        <w:rPr>
          <w:rFonts w:ascii="Cambria Math" w:hAnsi="Cambria Math" w:cs="Cambria Math"/>
          <w:b/>
          <w:i/>
          <w:sz w:val="18"/>
          <w:szCs w:val="18"/>
        </w:rPr>
        <w:t>⋅</w:t>
      </w:r>
      <w:r w:rsidRPr="00227B56">
        <w:rPr>
          <w:rFonts w:ascii="Arial" w:hAnsi="Arial" w:cs="Arial"/>
          <w:b/>
          <w:i/>
          <w:sz w:val="18"/>
          <w:szCs w:val="18"/>
        </w:rPr>
        <w:t>lnNPA</w:t>
      </w:r>
      <w:r w:rsidRPr="00227B56">
        <w:rPr>
          <w:rFonts w:ascii="Arial" w:hAnsi="Arial" w:cs="Arial"/>
          <w:b/>
          <w:i/>
          <w:sz w:val="18"/>
          <w:szCs w:val="18"/>
          <w:vertAlign w:val="subscript"/>
        </w:rPr>
        <w:t xml:space="preserve">i,t </w:t>
      </w:r>
      <w:r w:rsidRPr="00227B56">
        <w:rPr>
          <w:rFonts w:ascii="Arial" w:hAnsi="Arial" w:cs="Arial"/>
          <w:b/>
          <w:i/>
          <w:sz w:val="18"/>
          <w:szCs w:val="18"/>
        </w:rPr>
        <w:t>+</w:t>
      </w:r>
      <w:r w:rsidRPr="00227B56">
        <w:rPr>
          <w:rFonts w:ascii="Arial" w:hAnsi="Arial" w:cs="Arial"/>
          <w:b/>
          <w:i/>
          <w:sz w:val="18"/>
          <w:szCs w:val="18"/>
          <w:vertAlign w:val="subscript"/>
        </w:rPr>
        <w:t xml:space="preserve"> </w:t>
      </w:r>
      <w:r w:rsidRPr="00227B56">
        <w:rPr>
          <w:rFonts w:ascii="Arial" w:hAnsi="Arial" w:cs="Arial"/>
          <w:b/>
          <w:i/>
          <w:sz w:val="18"/>
          <w:szCs w:val="18"/>
        </w:rPr>
        <w:t xml:space="preserve"> 0.65</w:t>
      </w:r>
      <w:r w:rsidR="00A11887" w:rsidRPr="00227B56">
        <w:rPr>
          <w:rFonts w:ascii="Arial" w:hAnsi="Arial" w:cs="Arial"/>
          <w:b/>
          <w:i/>
          <w:sz w:val="18"/>
          <w:szCs w:val="18"/>
        </w:rPr>
        <w:t xml:space="preserve">10 </w:t>
      </w:r>
      <w:r w:rsidR="00A11887" w:rsidRPr="00227B56">
        <w:rPr>
          <w:rFonts w:ascii="Cambria Math" w:hAnsi="Cambria Math" w:cs="Cambria Math"/>
          <w:b/>
          <w:i/>
          <w:sz w:val="18"/>
          <w:szCs w:val="18"/>
        </w:rPr>
        <w:t>⋅</w:t>
      </w:r>
      <w:r w:rsidRPr="00227B56">
        <w:rPr>
          <w:rFonts w:ascii="Arial" w:hAnsi="Arial" w:cs="Arial"/>
          <w:b/>
          <w:i/>
          <w:sz w:val="18"/>
          <w:szCs w:val="18"/>
        </w:rPr>
        <w:t>lnBOL</w:t>
      </w:r>
      <w:r w:rsidRPr="00227B56">
        <w:rPr>
          <w:rFonts w:ascii="Arial" w:hAnsi="Arial" w:cs="Arial"/>
          <w:b/>
          <w:i/>
          <w:sz w:val="18"/>
          <w:szCs w:val="18"/>
          <w:vertAlign w:val="subscript"/>
        </w:rPr>
        <w:t>i,t</w:t>
      </w:r>
      <w:r w:rsidR="00A11887" w:rsidRPr="00227B56">
        <w:rPr>
          <w:rFonts w:ascii="Arial" w:hAnsi="Arial" w:cs="Arial"/>
          <w:b/>
          <w:i/>
          <w:sz w:val="18"/>
          <w:szCs w:val="18"/>
        </w:rPr>
        <w:t xml:space="preserve">+0.1278 </w:t>
      </w:r>
      <w:r w:rsidR="00A11887" w:rsidRPr="00227B56">
        <w:rPr>
          <w:rFonts w:ascii="Cambria Math" w:hAnsi="Cambria Math" w:cs="Cambria Math"/>
          <w:b/>
          <w:i/>
          <w:sz w:val="18"/>
          <w:szCs w:val="18"/>
        </w:rPr>
        <w:t>⋅</w:t>
      </w:r>
      <w:r w:rsidR="00A11887" w:rsidRPr="00227B56">
        <w:rPr>
          <w:rFonts w:ascii="Arial" w:hAnsi="Arial" w:cs="Arial"/>
          <w:b/>
          <w:i/>
          <w:sz w:val="18"/>
          <w:szCs w:val="18"/>
        </w:rPr>
        <w:t>lnBTC</w:t>
      </w:r>
      <w:r w:rsidR="00A11887" w:rsidRPr="00227B56">
        <w:rPr>
          <w:rFonts w:ascii="Arial" w:hAnsi="Arial" w:cs="Arial"/>
          <w:b/>
          <w:i/>
          <w:sz w:val="18"/>
          <w:szCs w:val="18"/>
          <w:vertAlign w:val="subscript"/>
        </w:rPr>
        <w:t xml:space="preserve">i,t </w:t>
      </w:r>
      <w:r w:rsidRPr="00227B56">
        <w:rPr>
          <w:rFonts w:ascii="Arial" w:hAnsi="Arial" w:cs="Arial"/>
          <w:b/>
          <w:i/>
          <w:sz w:val="18"/>
          <w:szCs w:val="18"/>
        </w:rPr>
        <w:t>+ ε</w:t>
      </w:r>
      <w:r w:rsidRPr="00227B56">
        <w:rPr>
          <w:rFonts w:ascii="Arial" w:hAnsi="Arial" w:cs="Arial"/>
          <w:b/>
          <w:i/>
          <w:sz w:val="18"/>
          <w:szCs w:val="18"/>
          <w:vertAlign w:val="subscript"/>
        </w:rPr>
        <w:t>i,t</w:t>
      </w:r>
      <w:r w:rsidRPr="00227B56">
        <w:rPr>
          <w:rFonts w:ascii="Arial" w:hAnsi="Arial" w:cs="Arial"/>
          <w:b/>
          <w:i/>
          <w:sz w:val="18"/>
          <w:szCs w:val="18"/>
        </w:rPr>
        <w:t xml:space="preserve">”……equation </w:t>
      </w:r>
      <w:r w:rsidR="00A11887" w:rsidRPr="00227B56">
        <w:rPr>
          <w:rFonts w:ascii="Arial" w:hAnsi="Arial" w:cs="Arial"/>
          <w:b/>
          <w:i/>
          <w:sz w:val="18"/>
          <w:szCs w:val="18"/>
        </w:rPr>
        <w:t>3</w:t>
      </w:r>
    </w:p>
    <w:p w14:paraId="7A458FF2" w14:textId="19A4579A" w:rsidR="00D02AB6" w:rsidRPr="00227B56" w:rsidRDefault="00D02AB6" w:rsidP="0051261F">
      <w:pPr>
        <w:spacing w:after="0" w:line="480" w:lineRule="auto"/>
        <w:rPr>
          <w:rFonts w:ascii="Arial" w:hAnsi="Arial" w:cs="Arial"/>
          <w:sz w:val="18"/>
          <w:szCs w:val="18"/>
        </w:rPr>
      </w:pPr>
      <w:r w:rsidRPr="00227B56">
        <w:rPr>
          <w:rFonts w:ascii="Arial" w:hAnsi="Arial" w:cs="Arial"/>
          <w:sz w:val="18"/>
          <w:szCs w:val="18"/>
        </w:rPr>
        <w:t xml:space="preserve">                  (t=1.98)        (t=2.85)           (t=6.77)                t=0.1278 </w:t>
      </w:r>
    </w:p>
    <w:p w14:paraId="63DB999A" w14:textId="34FB4444" w:rsidR="00D02AB6" w:rsidRPr="00227B56" w:rsidRDefault="00D02AB6" w:rsidP="0051261F">
      <w:pPr>
        <w:spacing w:after="0" w:line="480" w:lineRule="auto"/>
        <w:rPr>
          <w:rFonts w:ascii="Arial" w:hAnsi="Arial" w:cs="Arial"/>
          <w:sz w:val="18"/>
          <w:szCs w:val="18"/>
        </w:rPr>
      </w:pPr>
      <w:r w:rsidRPr="00227B56">
        <w:rPr>
          <w:rFonts w:ascii="Arial" w:hAnsi="Arial" w:cs="Arial"/>
          <w:sz w:val="18"/>
          <w:szCs w:val="18"/>
        </w:rPr>
        <w:t>R</w:t>
      </w:r>
      <w:r w:rsidRPr="00227B56">
        <w:rPr>
          <w:rFonts w:ascii="Arial" w:hAnsi="Arial" w:cs="Arial"/>
          <w:sz w:val="18"/>
          <w:szCs w:val="18"/>
          <w:vertAlign w:val="superscript"/>
        </w:rPr>
        <w:t>2</w:t>
      </w:r>
      <w:r w:rsidR="00B8443D" w:rsidRPr="00227B56">
        <w:rPr>
          <w:rFonts w:ascii="Arial" w:hAnsi="Arial" w:cs="Arial"/>
          <w:sz w:val="18"/>
          <w:szCs w:val="18"/>
        </w:rPr>
        <w:t xml:space="preserve"> (R-squared)</w:t>
      </w:r>
      <w:r w:rsidRPr="00227B56">
        <w:rPr>
          <w:rFonts w:ascii="Arial" w:hAnsi="Arial" w:cs="Arial"/>
          <w:sz w:val="18"/>
          <w:szCs w:val="18"/>
        </w:rPr>
        <w:t xml:space="preserve"> =   0.8812</w:t>
      </w:r>
      <w:r w:rsidR="0051261F" w:rsidRPr="00227B56">
        <w:rPr>
          <w:rFonts w:ascii="Arial" w:hAnsi="Arial" w:cs="Arial"/>
          <w:sz w:val="18"/>
          <w:szCs w:val="18"/>
        </w:rPr>
        <w:t xml:space="preserve">         </w:t>
      </w:r>
      <w:r w:rsidRPr="00227B56">
        <w:rPr>
          <w:rFonts w:ascii="Arial" w:hAnsi="Arial" w:cs="Arial"/>
          <w:sz w:val="18"/>
          <w:szCs w:val="18"/>
        </w:rPr>
        <w:t>Adjusted R</w:t>
      </w:r>
      <w:r w:rsidRPr="00227B56">
        <w:rPr>
          <w:rFonts w:ascii="Arial" w:hAnsi="Arial" w:cs="Arial"/>
          <w:sz w:val="18"/>
          <w:szCs w:val="18"/>
          <w:vertAlign w:val="superscript"/>
        </w:rPr>
        <w:t>2</w:t>
      </w:r>
      <w:r w:rsidRPr="00227B56">
        <w:rPr>
          <w:rFonts w:ascii="Arial" w:hAnsi="Arial" w:cs="Arial"/>
          <w:sz w:val="18"/>
          <w:szCs w:val="18"/>
        </w:rPr>
        <w:t xml:space="preserve"> (R-squared)</w:t>
      </w:r>
      <w:r w:rsidR="00B8443D" w:rsidRPr="00227B56">
        <w:rPr>
          <w:rFonts w:ascii="Arial" w:hAnsi="Arial" w:cs="Arial"/>
          <w:sz w:val="18"/>
          <w:szCs w:val="18"/>
        </w:rPr>
        <w:t xml:space="preserve"> </w:t>
      </w:r>
      <w:r w:rsidRPr="00227B56">
        <w:rPr>
          <w:rFonts w:ascii="Arial" w:hAnsi="Arial" w:cs="Arial"/>
          <w:sz w:val="18"/>
          <w:szCs w:val="18"/>
        </w:rPr>
        <w:t>=</w:t>
      </w:r>
      <w:r w:rsidR="00B8443D" w:rsidRPr="00227B56">
        <w:rPr>
          <w:rFonts w:ascii="Arial" w:hAnsi="Arial" w:cs="Arial"/>
          <w:sz w:val="18"/>
          <w:szCs w:val="18"/>
        </w:rPr>
        <w:t xml:space="preserve"> </w:t>
      </w:r>
      <w:r w:rsidRPr="00227B56">
        <w:rPr>
          <w:rFonts w:ascii="Arial" w:hAnsi="Arial" w:cs="Arial"/>
          <w:sz w:val="18"/>
          <w:szCs w:val="18"/>
        </w:rPr>
        <w:t xml:space="preserve">0.8731   </w:t>
      </w:r>
      <w:r w:rsidR="0051261F" w:rsidRPr="00227B56">
        <w:rPr>
          <w:rFonts w:ascii="Arial" w:hAnsi="Arial" w:cs="Arial"/>
          <w:sz w:val="18"/>
          <w:szCs w:val="18"/>
        </w:rPr>
        <w:t>F=</w:t>
      </w:r>
      <w:r w:rsidR="00B8443D" w:rsidRPr="00227B56">
        <w:rPr>
          <w:rFonts w:ascii="Arial" w:hAnsi="Arial" w:cs="Arial"/>
          <w:sz w:val="18"/>
          <w:szCs w:val="18"/>
        </w:rPr>
        <w:t xml:space="preserve"> </w:t>
      </w:r>
      <w:r w:rsidR="0051261F" w:rsidRPr="00227B56">
        <w:rPr>
          <w:rFonts w:ascii="Arial" w:hAnsi="Arial" w:cs="Arial"/>
          <w:sz w:val="18"/>
          <w:szCs w:val="18"/>
        </w:rPr>
        <w:t>108.80</w:t>
      </w:r>
    </w:p>
    <w:p w14:paraId="1E2E3BF0" w14:textId="5B231F37" w:rsidR="00A11887" w:rsidRPr="00227B56" w:rsidRDefault="00D02AB6" w:rsidP="00DA19B9">
      <w:pPr>
        <w:pStyle w:val="Heading3"/>
        <w:rPr>
          <w:rFonts w:ascii="Arial" w:hAnsi="Arial" w:cs="Arial"/>
          <w:b/>
          <w:i/>
          <w:color w:val="auto"/>
          <w:sz w:val="18"/>
          <w:szCs w:val="18"/>
        </w:rPr>
      </w:pPr>
      <w:r w:rsidRPr="00227B56">
        <w:rPr>
          <w:rFonts w:ascii="Arial" w:hAnsi="Arial" w:cs="Arial"/>
          <w:b/>
          <w:i/>
          <w:color w:val="auto"/>
          <w:sz w:val="18"/>
          <w:szCs w:val="18"/>
        </w:rPr>
        <w:lastRenderedPageBreak/>
        <w:t>Bank’s capital</w:t>
      </w:r>
      <w:r w:rsidR="005E5C91" w:rsidRPr="00227B56">
        <w:rPr>
          <w:rFonts w:ascii="Arial" w:hAnsi="Arial" w:cs="Arial"/>
          <w:b/>
          <w:i/>
          <w:color w:val="auto"/>
          <w:sz w:val="18"/>
          <w:szCs w:val="18"/>
        </w:rPr>
        <w:t xml:space="preserve"> has no significant impact on</w:t>
      </w:r>
      <w:r w:rsidRPr="00227B56">
        <w:rPr>
          <w:rFonts w:ascii="Arial" w:hAnsi="Arial" w:cs="Arial"/>
          <w:b/>
          <w:i/>
          <w:color w:val="auto"/>
          <w:sz w:val="18"/>
          <w:szCs w:val="18"/>
        </w:rPr>
        <w:t xml:space="preserve"> and bank’s performance</w:t>
      </w:r>
      <w:r w:rsidR="00DA19B9" w:rsidRPr="00227B56">
        <w:rPr>
          <w:rFonts w:ascii="Arial" w:hAnsi="Arial" w:cs="Arial"/>
          <w:b/>
          <w:i/>
          <w:color w:val="auto"/>
          <w:sz w:val="18"/>
          <w:szCs w:val="18"/>
        </w:rPr>
        <w:t>.</w:t>
      </w:r>
    </w:p>
    <w:p w14:paraId="35235556" w14:textId="585CC043" w:rsidR="00C2131D" w:rsidRPr="00227B56" w:rsidRDefault="004D3697" w:rsidP="00C2131D">
      <w:pPr>
        <w:spacing w:after="0" w:line="360" w:lineRule="auto"/>
        <w:jc w:val="both"/>
        <w:rPr>
          <w:rFonts w:ascii="Arial" w:hAnsi="Arial" w:cs="Arial"/>
          <w:sz w:val="18"/>
          <w:szCs w:val="18"/>
        </w:rPr>
      </w:pPr>
      <w:r w:rsidRPr="00227B56">
        <w:rPr>
          <w:rFonts w:ascii="Arial" w:hAnsi="Arial" w:cs="Arial"/>
          <w:sz w:val="18"/>
          <w:szCs w:val="18"/>
        </w:rPr>
        <w:t xml:space="preserve">The regression result in </w:t>
      </w:r>
      <w:r w:rsidR="005E5C91" w:rsidRPr="00227B56">
        <w:rPr>
          <w:rFonts w:ascii="Arial" w:hAnsi="Arial" w:cs="Arial"/>
          <w:sz w:val="18"/>
          <w:szCs w:val="18"/>
        </w:rPr>
        <w:t>“</w:t>
      </w:r>
      <w:r w:rsidRPr="00227B56">
        <w:rPr>
          <w:rFonts w:ascii="Arial" w:hAnsi="Arial" w:cs="Arial"/>
          <w:sz w:val="18"/>
          <w:szCs w:val="18"/>
        </w:rPr>
        <w:t>table</w:t>
      </w:r>
      <w:r w:rsidR="005E5C91" w:rsidRPr="00227B56">
        <w:rPr>
          <w:rFonts w:ascii="Arial" w:hAnsi="Arial" w:cs="Arial"/>
          <w:sz w:val="18"/>
          <w:szCs w:val="18"/>
        </w:rPr>
        <w:t xml:space="preserve"> 6”</w:t>
      </w:r>
      <w:r w:rsidRPr="00227B56">
        <w:rPr>
          <w:rFonts w:ascii="Arial" w:hAnsi="Arial" w:cs="Arial"/>
          <w:sz w:val="18"/>
          <w:szCs w:val="18"/>
        </w:rPr>
        <w:t xml:space="preserve"> shows banks</w:t>
      </w:r>
      <w:r w:rsidR="005E5C91" w:rsidRPr="00227B56">
        <w:rPr>
          <w:rFonts w:ascii="Arial" w:hAnsi="Arial" w:cs="Arial"/>
          <w:sz w:val="18"/>
          <w:szCs w:val="18"/>
        </w:rPr>
        <w:t>’</w:t>
      </w:r>
      <w:r w:rsidRPr="00227B56">
        <w:rPr>
          <w:rFonts w:ascii="Arial" w:hAnsi="Arial" w:cs="Arial"/>
          <w:sz w:val="18"/>
          <w:szCs w:val="18"/>
        </w:rPr>
        <w:t xml:space="preserve"> capital </w:t>
      </w:r>
      <w:r w:rsidR="005E5C91" w:rsidRPr="00227B56">
        <w:rPr>
          <w:rFonts w:ascii="Arial" w:hAnsi="Arial" w:cs="Arial"/>
          <w:sz w:val="18"/>
          <w:szCs w:val="18"/>
        </w:rPr>
        <w:t>have positive impact on banks’</w:t>
      </w:r>
      <w:r w:rsidRPr="00227B56">
        <w:rPr>
          <w:rFonts w:ascii="Arial" w:hAnsi="Arial" w:cs="Arial"/>
          <w:sz w:val="18"/>
          <w:szCs w:val="18"/>
        </w:rPr>
        <w:t xml:space="preserve"> performance as proxied by </w:t>
      </w:r>
      <w:r w:rsidR="00976C99" w:rsidRPr="00227B56">
        <w:rPr>
          <w:rFonts w:ascii="Arial" w:hAnsi="Arial" w:cs="Arial"/>
          <w:sz w:val="18"/>
          <w:szCs w:val="18"/>
        </w:rPr>
        <w:t>t</w:t>
      </w:r>
      <w:r w:rsidRPr="00227B56">
        <w:rPr>
          <w:rFonts w:ascii="Arial" w:hAnsi="Arial" w:cs="Arial"/>
          <w:sz w:val="18"/>
          <w:szCs w:val="18"/>
        </w:rPr>
        <w:t xml:space="preserve">otal </w:t>
      </w:r>
      <w:r w:rsidR="00976C99" w:rsidRPr="00227B56">
        <w:rPr>
          <w:rFonts w:ascii="Arial" w:hAnsi="Arial" w:cs="Arial"/>
          <w:sz w:val="18"/>
          <w:szCs w:val="18"/>
        </w:rPr>
        <w:t>a</w:t>
      </w:r>
      <w:r w:rsidRPr="00227B56">
        <w:rPr>
          <w:rFonts w:ascii="Arial" w:hAnsi="Arial" w:cs="Arial"/>
          <w:sz w:val="18"/>
          <w:szCs w:val="18"/>
        </w:rPr>
        <w:t xml:space="preserve">ssets </w:t>
      </w:r>
      <w:r w:rsidR="005E5C91" w:rsidRPr="00227B56">
        <w:rPr>
          <w:rFonts w:ascii="Arial" w:hAnsi="Arial" w:cs="Arial"/>
          <w:sz w:val="18"/>
          <w:szCs w:val="18"/>
        </w:rPr>
        <w:t xml:space="preserve">base </w:t>
      </w:r>
      <w:r w:rsidRPr="00227B56">
        <w:rPr>
          <w:rFonts w:ascii="Arial" w:hAnsi="Arial" w:cs="Arial"/>
          <w:sz w:val="18"/>
          <w:szCs w:val="18"/>
        </w:rPr>
        <w:t>of the bank. The coeffiecent value shows the direction and the impact of the relationship between the two variable</w:t>
      </w:r>
      <w:r w:rsidR="00976C99" w:rsidRPr="00227B56">
        <w:rPr>
          <w:rFonts w:ascii="Arial" w:hAnsi="Arial" w:cs="Arial"/>
          <w:sz w:val="18"/>
          <w:szCs w:val="18"/>
        </w:rPr>
        <w:t>s</w:t>
      </w:r>
      <w:r w:rsidR="005E5C91" w:rsidRPr="00227B56">
        <w:rPr>
          <w:rFonts w:ascii="Arial" w:hAnsi="Arial" w:cs="Arial"/>
          <w:sz w:val="18"/>
          <w:szCs w:val="18"/>
        </w:rPr>
        <w:t xml:space="preserve">. </w:t>
      </w:r>
      <w:r w:rsidR="00976C99" w:rsidRPr="00227B56">
        <w:rPr>
          <w:rFonts w:ascii="Arial" w:hAnsi="Arial" w:cs="Arial"/>
          <w:sz w:val="18"/>
          <w:szCs w:val="18"/>
        </w:rPr>
        <w:t>In this case, the coefficient</w:t>
      </w:r>
      <w:r w:rsidRPr="00227B56">
        <w:rPr>
          <w:rFonts w:ascii="Arial" w:hAnsi="Arial" w:cs="Arial"/>
          <w:sz w:val="18"/>
          <w:szCs w:val="18"/>
        </w:rPr>
        <w:t xml:space="preserve"> is </w:t>
      </w:r>
      <w:r w:rsidR="00057AED" w:rsidRPr="00227B56">
        <w:rPr>
          <w:rFonts w:ascii="Arial" w:hAnsi="Arial" w:cs="Arial"/>
          <w:sz w:val="18"/>
          <w:szCs w:val="18"/>
        </w:rPr>
        <w:t>positive 0.1278</w:t>
      </w:r>
      <w:r w:rsidRPr="00227B56">
        <w:rPr>
          <w:rFonts w:ascii="Arial" w:hAnsi="Arial" w:cs="Arial"/>
          <w:sz w:val="18"/>
          <w:szCs w:val="18"/>
        </w:rPr>
        <w:t xml:space="preserve"> and </w:t>
      </w:r>
      <w:r w:rsidR="00976C99" w:rsidRPr="00227B56">
        <w:rPr>
          <w:rFonts w:ascii="Arial" w:hAnsi="Arial" w:cs="Arial"/>
          <w:sz w:val="18"/>
          <w:szCs w:val="18"/>
        </w:rPr>
        <w:t xml:space="preserve">with </w:t>
      </w:r>
      <w:r w:rsidRPr="00227B56">
        <w:rPr>
          <w:rFonts w:ascii="Arial" w:hAnsi="Arial" w:cs="Arial"/>
          <w:sz w:val="18"/>
          <w:szCs w:val="18"/>
        </w:rPr>
        <w:t>significant p-value of 0.0</w:t>
      </w:r>
      <w:r w:rsidR="00057AED" w:rsidRPr="00227B56">
        <w:rPr>
          <w:rFonts w:ascii="Arial" w:hAnsi="Arial" w:cs="Arial"/>
          <w:sz w:val="18"/>
          <w:szCs w:val="18"/>
        </w:rPr>
        <w:t>54</w:t>
      </w:r>
      <w:r w:rsidRPr="00227B56">
        <w:rPr>
          <w:rFonts w:ascii="Arial" w:hAnsi="Arial" w:cs="Arial"/>
          <w:sz w:val="18"/>
          <w:szCs w:val="18"/>
        </w:rPr>
        <w:t>. This</w:t>
      </w:r>
      <w:r w:rsidR="00057AED" w:rsidRPr="00227B56">
        <w:rPr>
          <w:rFonts w:ascii="Arial" w:hAnsi="Arial" w:cs="Arial"/>
          <w:sz w:val="18"/>
          <w:szCs w:val="18"/>
        </w:rPr>
        <w:t xml:space="preserve"> </w:t>
      </w:r>
      <w:r w:rsidRPr="00227B56">
        <w:rPr>
          <w:rFonts w:ascii="Arial" w:hAnsi="Arial" w:cs="Arial"/>
          <w:sz w:val="18"/>
          <w:szCs w:val="18"/>
        </w:rPr>
        <w:t xml:space="preserve">is an indication that when the </w:t>
      </w:r>
      <w:r w:rsidR="00976C99" w:rsidRPr="00227B56">
        <w:rPr>
          <w:rFonts w:ascii="Arial" w:hAnsi="Arial" w:cs="Arial"/>
          <w:sz w:val="18"/>
          <w:szCs w:val="18"/>
        </w:rPr>
        <w:t xml:space="preserve">banks’ </w:t>
      </w:r>
      <w:r w:rsidR="00057AED" w:rsidRPr="00227B56">
        <w:rPr>
          <w:rFonts w:ascii="Arial" w:hAnsi="Arial" w:cs="Arial"/>
          <w:sz w:val="18"/>
          <w:szCs w:val="18"/>
        </w:rPr>
        <w:t>capital</w:t>
      </w:r>
      <w:r w:rsidR="00976C99" w:rsidRPr="00227B56">
        <w:rPr>
          <w:rFonts w:ascii="Arial" w:hAnsi="Arial" w:cs="Arial"/>
          <w:sz w:val="18"/>
          <w:szCs w:val="18"/>
        </w:rPr>
        <w:t xml:space="preserve"> (lnBTC)</w:t>
      </w:r>
      <w:r w:rsidRPr="00227B56">
        <w:rPr>
          <w:rFonts w:ascii="Arial" w:hAnsi="Arial" w:cs="Arial"/>
          <w:sz w:val="18"/>
          <w:szCs w:val="18"/>
        </w:rPr>
        <w:t xml:space="preserve"> increases, its </w:t>
      </w:r>
      <w:r w:rsidR="008A24BB" w:rsidRPr="00227B56">
        <w:rPr>
          <w:rFonts w:ascii="Arial" w:hAnsi="Arial" w:cs="Arial"/>
          <w:sz w:val="18"/>
          <w:szCs w:val="18"/>
        </w:rPr>
        <w:t>Total</w:t>
      </w:r>
      <w:r w:rsidRPr="00227B56">
        <w:rPr>
          <w:rFonts w:ascii="Arial" w:hAnsi="Arial" w:cs="Arial"/>
          <w:sz w:val="18"/>
          <w:szCs w:val="18"/>
        </w:rPr>
        <w:t xml:space="preserve"> assets</w:t>
      </w:r>
      <w:r w:rsidR="008A24BB" w:rsidRPr="00227B56">
        <w:rPr>
          <w:rFonts w:ascii="Arial" w:hAnsi="Arial" w:cs="Arial"/>
          <w:sz w:val="18"/>
          <w:szCs w:val="18"/>
        </w:rPr>
        <w:t xml:space="preserve"> base </w:t>
      </w:r>
      <w:r w:rsidR="00976C99" w:rsidRPr="00227B56">
        <w:rPr>
          <w:rFonts w:ascii="Arial" w:hAnsi="Arial" w:cs="Arial"/>
          <w:sz w:val="18"/>
          <w:szCs w:val="18"/>
        </w:rPr>
        <w:t xml:space="preserve">(lnTAB) </w:t>
      </w:r>
      <w:r w:rsidR="008A24BB" w:rsidRPr="00227B56">
        <w:rPr>
          <w:rFonts w:ascii="Arial" w:hAnsi="Arial" w:cs="Arial"/>
          <w:sz w:val="18"/>
          <w:szCs w:val="18"/>
        </w:rPr>
        <w:t>of the banks</w:t>
      </w:r>
      <w:r w:rsidRPr="00227B56">
        <w:rPr>
          <w:rFonts w:ascii="Arial" w:hAnsi="Arial" w:cs="Arial"/>
          <w:sz w:val="18"/>
          <w:szCs w:val="18"/>
        </w:rPr>
        <w:t xml:space="preserve"> will </w:t>
      </w:r>
      <w:r w:rsidR="00057AED" w:rsidRPr="00227B56">
        <w:rPr>
          <w:rFonts w:ascii="Arial" w:hAnsi="Arial" w:cs="Arial"/>
          <w:sz w:val="18"/>
          <w:szCs w:val="18"/>
        </w:rPr>
        <w:t>rise</w:t>
      </w:r>
      <w:r w:rsidR="008A24BB" w:rsidRPr="00227B56">
        <w:rPr>
          <w:rFonts w:ascii="Arial" w:hAnsi="Arial" w:cs="Arial"/>
          <w:sz w:val="18"/>
          <w:szCs w:val="18"/>
        </w:rPr>
        <w:t xml:space="preserve"> by 12.7percent</w:t>
      </w:r>
      <w:r w:rsidRPr="00227B56">
        <w:rPr>
          <w:rFonts w:ascii="Arial" w:hAnsi="Arial" w:cs="Arial"/>
          <w:sz w:val="18"/>
          <w:szCs w:val="18"/>
        </w:rPr>
        <w:t>.</w:t>
      </w:r>
      <w:r w:rsidR="00976C99" w:rsidRPr="00227B56">
        <w:rPr>
          <w:rFonts w:ascii="Arial" w:hAnsi="Arial" w:cs="Arial"/>
          <w:sz w:val="18"/>
          <w:szCs w:val="18"/>
        </w:rPr>
        <w:t xml:space="preserve"> </w:t>
      </w:r>
      <w:r w:rsidR="00C2131D" w:rsidRPr="00227B56">
        <w:rPr>
          <w:rFonts w:ascii="Arial" w:hAnsi="Arial" w:cs="Arial"/>
          <w:sz w:val="18"/>
          <w:szCs w:val="18"/>
        </w:rPr>
        <w:t xml:space="preserve">This is in line with </w:t>
      </w:r>
      <w:r w:rsidR="00C2131D" w:rsidRPr="00227B56">
        <w:rPr>
          <w:rFonts w:ascii="Arial" w:hAnsi="Arial" w:cs="Arial"/>
          <w:iCs/>
          <w:sz w:val="18"/>
          <w:szCs w:val="18"/>
        </w:rPr>
        <w:t>Goddard et al., (2004) prior finding of a positive relationship between the capital/asset ratio and a bank’s earnings</w:t>
      </w:r>
      <w:r w:rsidR="00D02AB6" w:rsidRPr="00227B56">
        <w:rPr>
          <w:rFonts w:ascii="Arial" w:hAnsi="Arial" w:cs="Arial"/>
          <w:iCs/>
          <w:sz w:val="18"/>
          <w:szCs w:val="18"/>
        </w:rPr>
        <w:t>.</w:t>
      </w:r>
      <w:r w:rsidR="0033349A" w:rsidRPr="00227B56">
        <w:rPr>
          <w:rFonts w:ascii="Arial" w:hAnsi="Arial" w:cs="Arial"/>
          <w:iCs/>
          <w:sz w:val="18"/>
          <w:szCs w:val="18"/>
        </w:rPr>
        <w:t xml:space="preserve"> </w:t>
      </w:r>
      <w:r w:rsidR="00D02AB6" w:rsidRPr="00227B56">
        <w:rPr>
          <w:rFonts w:ascii="Arial" w:hAnsi="Arial" w:cs="Arial"/>
          <w:iCs/>
          <w:sz w:val="18"/>
          <w:szCs w:val="18"/>
        </w:rPr>
        <w:t>We therefore reject the null hypotheses which states that</w:t>
      </w:r>
      <w:r w:rsidR="00D02AB6" w:rsidRPr="00227B56">
        <w:rPr>
          <w:rFonts w:ascii="Arial" w:hAnsi="Arial" w:cs="Arial"/>
          <w:sz w:val="18"/>
          <w:szCs w:val="18"/>
        </w:rPr>
        <w:t xml:space="preserve"> “</w:t>
      </w:r>
      <w:r w:rsidR="00D02AB6" w:rsidRPr="00227B56">
        <w:rPr>
          <w:rFonts w:ascii="Arial" w:hAnsi="Arial" w:cs="Arial"/>
          <w:b/>
          <w:i/>
          <w:sz w:val="18"/>
          <w:szCs w:val="18"/>
        </w:rPr>
        <w:t xml:space="preserve">Bank’s capital </w:t>
      </w:r>
      <w:r w:rsidR="005E5C91" w:rsidRPr="00227B56">
        <w:rPr>
          <w:rFonts w:ascii="Arial" w:hAnsi="Arial" w:cs="Arial"/>
          <w:b/>
          <w:i/>
          <w:sz w:val="18"/>
          <w:szCs w:val="18"/>
        </w:rPr>
        <w:t>has no significant impact on</w:t>
      </w:r>
      <w:r w:rsidR="00D02AB6" w:rsidRPr="00227B56">
        <w:rPr>
          <w:rFonts w:ascii="Arial" w:hAnsi="Arial" w:cs="Arial"/>
          <w:b/>
          <w:i/>
          <w:sz w:val="18"/>
          <w:szCs w:val="18"/>
        </w:rPr>
        <w:t xml:space="preserve"> bank’s performance”</w:t>
      </w:r>
      <w:r w:rsidR="00D02AB6" w:rsidRPr="00227B56">
        <w:rPr>
          <w:rFonts w:ascii="Arial" w:hAnsi="Arial" w:cs="Arial"/>
          <w:b/>
          <w:sz w:val="18"/>
          <w:szCs w:val="18"/>
        </w:rPr>
        <w:t xml:space="preserve"> </w:t>
      </w:r>
      <w:r w:rsidR="00D02AB6" w:rsidRPr="00227B56">
        <w:rPr>
          <w:rFonts w:ascii="Arial" w:hAnsi="Arial" w:cs="Arial"/>
          <w:sz w:val="18"/>
          <w:szCs w:val="18"/>
        </w:rPr>
        <w:t>and accept the alternative hypothesis which shows that there is a positive significant relationship</w:t>
      </w:r>
      <w:r w:rsidR="00D02AB6" w:rsidRPr="00227B56">
        <w:rPr>
          <w:rFonts w:ascii="Arial" w:hAnsi="Arial" w:cs="Arial"/>
          <w:i/>
          <w:sz w:val="18"/>
          <w:szCs w:val="18"/>
        </w:rPr>
        <w:t>.</w:t>
      </w:r>
      <w:r w:rsidR="00C2131D" w:rsidRPr="00227B56">
        <w:rPr>
          <w:rFonts w:ascii="Arial" w:hAnsi="Arial" w:cs="Arial"/>
          <w:iCs/>
          <w:sz w:val="18"/>
          <w:szCs w:val="18"/>
        </w:rPr>
        <w:t xml:space="preserve"> </w:t>
      </w:r>
      <w:r w:rsidR="00C2131D" w:rsidRPr="00227B56">
        <w:rPr>
          <w:rFonts w:ascii="Arial" w:hAnsi="Arial" w:cs="Arial"/>
          <w:sz w:val="18"/>
          <w:szCs w:val="18"/>
        </w:rPr>
        <w:t>W</w:t>
      </w:r>
      <w:r w:rsidR="00976C99" w:rsidRPr="00227B56">
        <w:rPr>
          <w:rFonts w:ascii="Arial" w:hAnsi="Arial" w:cs="Arial"/>
          <w:sz w:val="18"/>
          <w:szCs w:val="18"/>
        </w:rPr>
        <w:t>ith lnNPA</w:t>
      </w:r>
      <w:r w:rsidR="00C2131D" w:rsidRPr="00227B56">
        <w:rPr>
          <w:rFonts w:ascii="Arial" w:hAnsi="Arial" w:cs="Arial"/>
          <w:sz w:val="18"/>
          <w:szCs w:val="18"/>
        </w:rPr>
        <w:t>,</w:t>
      </w:r>
      <w:r w:rsidR="00976C99" w:rsidRPr="00227B56">
        <w:rPr>
          <w:rFonts w:ascii="Arial" w:hAnsi="Arial" w:cs="Arial"/>
          <w:sz w:val="18"/>
          <w:szCs w:val="18"/>
        </w:rPr>
        <w:t xml:space="preserve"> that is Net-profit After tax, the coefficient is 0.1651, which expresses positive </w:t>
      </w:r>
      <w:r w:rsidR="00891F4B" w:rsidRPr="00227B56">
        <w:rPr>
          <w:rFonts w:ascii="Arial" w:hAnsi="Arial" w:cs="Arial"/>
          <w:sz w:val="18"/>
          <w:szCs w:val="18"/>
        </w:rPr>
        <w:t>influence</w:t>
      </w:r>
      <w:r w:rsidR="00976C99" w:rsidRPr="00227B56">
        <w:rPr>
          <w:rFonts w:ascii="Arial" w:hAnsi="Arial" w:cs="Arial"/>
          <w:sz w:val="18"/>
          <w:szCs w:val="18"/>
        </w:rPr>
        <w:t xml:space="preserve"> the variable</w:t>
      </w:r>
      <w:r w:rsidR="00891F4B" w:rsidRPr="00227B56">
        <w:rPr>
          <w:rFonts w:ascii="Arial" w:hAnsi="Arial" w:cs="Arial"/>
          <w:sz w:val="18"/>
          <w:szCs w:val="18"/>
        </w:rPr>
        <w:t xml:space="preserve"> has on</w:t>
      </w:r>
      <w:r w:rsidR="00976C99" w:rsidRPr="00227B56">
        <w:rPr>
          <w:rFonts w:ascii="Arial" w:hAnsi="Arial" w:cs="Arial"/>
          <w:sz w:val="18"/>
          <w:szCs w:val="18"/>
        </w:rPr>
        <w:t xml:space="preserve"> dependent variable total asset base</w:t>
      </w:r>
      <w:r w:rsidR="00496E23" w:rsidRPr="00227B56">
        <w:rPr>
          <w:rFonts w:ascii="Arial" w:hAnsi="Arial" w:cs="Arial"/>
          <w:sz w:val="18"/>
          <w:szCs w:val="18"/>
        </w:rPr>
        <w:t>. It means a change in the independent variable will cause</w:t>
      </w:r>
      <w:r w:rsidR="00F27438" w:rsidRPr="00227B56">
        <w:rPr>
          <w:rFonts w:ascii="Arial" w:hAnsi="Arial" w:cs="Arial"/>
          <w:sz w:val="18"/>
          <w:szCs w:val="18"/>
        </w:rPr>
        <w:t xml:space="preserve"> 16.93 percentage change in the dependent variable lnTAB</w:t>
      </w:r>
      <w:r w:rsidR="00C2131D" w:rsidRPr="00227B56">
        <w:rPr>
          <w:rFonts w:ascii="Arial" w:hAnsi="Arial" w:cs="Arial"/>
          <w:sz w:val="18"/>
          <w:szCs w:val="18"/>
        </w:rPr>
        <w:t xml:space="preserve">. An increase in the independent variable lnNPA is expected to cause a rise in the dependent variable. </w:t>
      </w:r>
    </w:p>
    <w:p w14:paraId="76625F7E" w14:textId="5BEB270A" w:rsidR="00D02AB6" w:rsidRPr="00227B56" w:rsidRDefault="00D02AB6" w:rsidP="00DA19B9">
      <w:pPr>
        <w:pStyle w:val="Heading3"/>
        <w:rPr>
          <w:rFonts w:ascii="Arial" w:hAnsi="Arial" w:cs="Arial"/>
          <w:b/>
          <w:i/>
          <w:color w:val="auto"/>
          <w:sz w:val="18"/>
          <w:szCs w:val="18"/>
        </w:rPr>
      </w:pPr>
      <w:r w:rsidRPr="00227B56">
        <w:rPr>
          <w:rFonts w:ascii="Arial" w:hAnsi="Arial" w:cs="Arial"/>
          <w:b/>
          <w:i/>
          <w:color w:val="auto"/>
          <w:sz w:val="18"/>
          <w:szCs w:val="18"/>
        </w:rPr>
        <w:t>H2</w:t>
      </w:r>
      <w:r w:rsidR="00DA5ABC">
        <w:rPr>
          <w:rFonts w:ascii="Arial" w:hAnsi="Arial" w:cs="Arial"/>
          <w:b/>
          <w:i/>
          <w:color w:val="auto"/>
          <w:sz w:val="18"/>
          <w:szCs w:val="18"/>
        </w:rPr>
        <w:t>:</w:t>
      </w:r>
      <w:r w:rsidRPr="00227B56">
        <w:rPr>
          <w:rFonts w:ascii="Arial" w:hAnsi="Arial" w:cs="Arial"/>
          <w:b/>
          <w:i/>
          <w:color w:val="auto"/>
          <w:sz w:val="18"/>
          <w:szCs w:val="18"/>
        </w:rPr>
        <w:t xml:space="preserve"> There is no significant </w:t>
      </w:r>
      <w:r w:rsidR="00891F4B" w:rsidRPr="00227B56">
        <w:rPr>
          <w:rFonts w:ascii="Arial" w:hAnsi="Arial" w:cs="Arial"/>
          <w:b/>
          <w:i/>
          <w:color w:val="auto"/>
          <w:sz w:val="18"/>
          <w:szCs w:val="18"/>
        </w:rPr>
        <w:t>influence</w:t>
      </w:r>
      <w:r w:rsidRPr="00227B56">
        <w:rPr>
          <w:rFonts w:ascii="Arial" w:hAnsi="Arial" w:cs="Arial"/>
          <w:b/>
          <w:i/>
          <w:color w:val="auto"/>
          <w:sz w:val="18"/>
          <w:szCs w:val="18"/>
        </w:rPr>
        <w:t xml:space="preserve"> </w:t>
      </w:r>
      <w:r w:rsidR="00891F4B" w:rsidRPr="00227B56">
        <w:rPr>
          <w:rFonts w:ascii="Arial" w:hAnsi="Arial" w:cs="Arial"/>
          <w:b/>
          <w:i/>
          <w:color w:val="auto"/>
          <w:sz w:val="18"/>
          <w:szCs w:val="18"/>
        </w:rPr>
        <w:t xml:space="preserve">that </w:t>
      </w:r>
      <w:r w:rsidRPr="00227B56">
        <w:rPr>
          <w:rFonts w:ascii="Arial" w:hAnsi="Arial" w:cs="Arial"/>
          <w:b/>
          <w:i/>
          <w:color w:val="auto"/>
          <w:sz w:val="18"/>
          <w:szCs w:val="18"/>
        </w:rPr>
        <w:t>banks</w:t>
      </w:r>
      <w:r w:rsidR="00C11253" w:rsidRPr="00227B56">
        <w:rPr>
          <w:rFonts w:ascii="Arial" w:hAnsi="Arial" w:cs="Arial"/>
          <w:b/>
          <w:i/>
          <w:color w:val="auto"/>
          <w:sz w:val="18"/>
          <w:szCs w:val="18"/>
        </w:rPr>
        <w:t>’</w:t>
      </w:r>
      <w:r w:rsidRPr="00227B56">
        <w:rPr>
          <w:rFonts w:ascii="Arial" w:hAnsi="Arial" w:cs="Arial"/>
          <w:b/>
          <w:i/>
          <w:color w:val="auto"/>
          <w:sz w:val="18"/>
          <w:szCs w:val="18"/>
        </w:rPr>
        <w:t xml:space="preserve"> </w:t>
      </w:r>
      <w:r w:rsidR="00C11253" w:rsidRPr="00227B56">
        <w:rPr>
          <w:rFonts w:ascii="Arial" w:hAnsi="Arial" w:cs="Arial"/>
          <w:b/>
          <w:i/>
          <w:color w:val="auto"/>
          <w:sz w:val="18"/>
          <w:szCs w:val="18"/>
        </w:rPr>
        <w:t>asset base</w:t>
      </w:r>
      <w:r w:rsidRPr="00227B56">
        <w:rPr>
          <w:rFonts w:ascii="Arial" w:hAnsi="Arial" w:cs="Arial"/>
          <w:b/>
          <w:i/>
          <w:color w:val="auto"/>
          <w:sz w:val="18"/>
          <w:szCs w:val="18"/>
        </w:rPr>
        <w:t xml:space="preserve"> </w:t>
      </w:r>
      <w:r w:rsidR="00891F4B" w:rsidRPr="00227B56">
        <w:rPr>
          <w:rFonts w:ascii="Arial" w:hAnsi="Arial" w:cs="Arial"/>
          <w:b/>
          <w:i/>
          <w:color w:val="auto"/>
          <w:sz w:val="18"/>
          <w:szCs w:val="18"/>
        </w:rPr>
        <w:t xml:space="preserve">has on </w:t>
      </w:r>
      <w:r w:rsidRPr="00227B56">
        <w:rPr>
          <w:rFonts w:ascii="Arial" w:hAnsi="Arial" w:cs="Arial"/>
          <w:b/>
          <w:i/>
          <w:color w:val="auto"/>
          <w:sz w:val="18"/>
          <w:szCs w:val="18"/>
        </w:rPr>
        <w:t>Credit/loan advancement</w:t>
      </w:r>
    </w:p>
    <w:p w14:paraId="5B296904" w14:textId="6745994D" w:rsidR="008A24BB" w:rsidRPr="00227B56" w:rsidRDefault="0033349A" w:rsidP="00C11253">
      <w:pPr>
        <w:spacing w:after="0" w:line="360" w:lineRule="auto"/>
        <w:jc w:val="both"/>
        <w:rPr>
          <w:rFonts w:ascii="Arial" w:hAnsi="Arial" w:cs="Arial"/>
          <w:sz w:val="18"/>
          <w:szCs w:val="18"/>
        </w:rPr>
      </w:pPr>
      <w:r w:rsidRPr="00227B56">
        <w:rPr>
          <w:rFonts w:ascii="Arial" w:hAnsi="Arial" w:cs="Arial"/>
          <w:sz w:val="18"/>
          <w:szCs w:val="18"/>
        </w:rPr>
        <w:t>As the empirical finding suggest there are positive statistically significant relationship between commercial bank lending and its size</w:t>
      </w:r>
      <w:r w:rsidR="00C11253" w:rsidRPr="00227B56">
        <w:rPr>
          <w:rFonts w:ascii="Arial" w:hAnsi="Arial" w:cs="Arial"/>
          <w:sz w:val="18"/>
          <w:szCs w:val="18"/>
        </w:rPr>
        <w:t xml:space="preserve"> (total Asset Base)</w:t>
      </w:r>
      <w:r w:rsidRPr="00227B56">
        <w:rPr>
          <w:rFonts w:ascii="Arial" w:hAnsi="Arial" w:cs="Arial"/>
          <w:sz w:val="18"/>
          <w:szCs w:val="18"/>
        </w:rPr>
        <w:t xml:space="preserve"> which is consistent to Cole et al. (2004) and </w:t>
      </w:r>
      <w:r w:rsidR="003F10D8" w:rsidRPr="00227B56">
        <w:rPr>
          <w:rFonts w:ascii="Arial" w:hAnsi="Arial" w:cs="Arial"/>
          <w:sz w:val="18"/>
          <w:szCs w:val="20"/>
          <w:shd w:val="clear" w:color="auto" w:fill="FFFFFF"/>
        </w:rPr>
        <w:t xml:space="preserve">Dietrich &amp; Wanzenried and (2009) </w:t>
      </w:r>
      <w:r w:rsidRPr="00227B56">
        <w:rPr>
          <w:rFonts w:ascii="Arial" w:hAnsi="Arial" w:cs="Arial"/>
          <w:sz w:val="18"/>
          <w:szCs w:val="18"/>
        </w:rPr>
        <w:t xml:space="preserve">finding. The study also finds statistically significant positive </w:t>
      </w:r>
      <w:r w:rsidR="00891F4B" w:rsidRPr="00227B56">
        <w:rPr>
          <w:rFonts w:ascii="Arial" w:hAnsi="Arial" w:cs="Arial"/>
          <w:sz w:val="18"/>
          <w:szCs w:val="18"/>
        </w:rPr>
        <w:t>impact that</w:t>
      </w:r>
      <w:r w:rsidRPr="00227B56">
        <w:rPr>
          <w:rFonts w:ascii="Arial" w:hAnsi="Arial" w:cs="Arial"/>
          <w:sz w:val="18"/>
          <w:szCs w:val="18"/>
        </w:rPr>
        <w:t xml:space="preserve"> </w:t>
      </w:r>
      <w:r w:rsidR="00C11253" w:rsidRPr="00227B56">
        <w:rPr>
          <w:rFonts w:ascii="Arial" w:hAnsi="Arial" w:cs="Arial"/>
          <w:sz w:val="18"/>
          <w:szCs w:val="18"/>
        </w:rPr>
        <w:t>listed universal bank</w:t>
      </w:r>
      <w:r w:rsidRPr="00227B56">
        <w:rPr>
          <w:rFonts w:ascii="Arial" w:hAnsi="Arial" w:cs="Arial"/>
          <w:sz w:val="18"/>
          <w:szCs w:val="18"/>
        </w:rPr>
        <w:t xml:space="preserve"> </w:t>
      </w:r>
      <w:r w:rsidR="00C11253" w:rsidRPr="00227B56">
        <w:rPr>
          <w:rFonts w:ascii="Arial" w:hAnsi="Arial" w:cs="Arial"/>
          <w:sz w:val="18"/>
          <w:szCs w:val="18"/>
        </w:rPr>
        <w:t>outstanding loans</w:t>
      </w:r>
      <w:r w:rsidRPr="00227B56">
        <w:rPr>
          <w:rFonts w:ascii="Arial" w:hAnsi="Arial" w:cs="Arial"/>
          <w:sz w:val="18"/>
          <w:szCs w:val="18"/>
        </w:rPr>
        <w:t xml:space="preserve"> </w:t>
      </w:r>
      <w:r w:rsidR="00891F4B" w:rsidRPr="00227B56">
        <w:rPr>
          <w:rFonts w:ascii="Arial" w:hAnsi="Arial" w:cs="Arial"/>
          <w:sz w:val="18"/>
          <w:szCs w:val="18"/>
        </w:rPr>
        <w:t>has on its</w:t>
      </w:r>
      <w:r w:rsidRPr="00227B56">
        <w:rPr>
          <w:rFonts w:ascii="Arial" w:hAnsi="Arial" w:cs="Arial"/>
          <w:sz w:val="18"/>
          <w:szCs w:val="18"/>
        </w:rPr>
        <w:t xml:space="preserve"> </w:t>
      </w:r>
      <w:r w:rsidR="00C11253" w:rsidRPr="00227B56">
        <w:rPr>
          <w:rFonts w:ascii="Arial" w:hAnsi="Arial" w:cs="Arial"/>
          <w:sz w:val="18"/>
          <w:szCs w:val="18"/>
        </w:rPr>
        <w:t>total asset base from the regression table</w:t>
      </w:r>
      <w:r w:rsidR="00891F4B" w:rsidRPr="00227B56">
        <w:rPr>
          <w:rFonts w:ascii="Arial" w:hAnsi="Arial" w:cs="Arial"/>
          <w:sz w:val="18"/>
          <w:szCs w:val="18"/>
        </w:rPr>
        <w:t xml:space="preserve"> (table</w:t>
      </w:r>
      <w:r w:rsidR="00C11253" w:rsidRPr="00227B56">
        <w:rPr>
          <w:rFonts w:ascii="Arial" w:hAnsi="Arial" w:cs="Arial"/>
          <w:sz w:val="18"/>
          <w:szCs w:val="18"/>
        </w:rPr>
        <w:t xml:space="preserve"> </w:t>
      </w:r>
      <w:r w:rsidR="00891F4B" w:rsidRPr="00227B56">
        <w:rPr>
          <w:rFonts w:ascii="Arial" w:hAnsi="Arial" w:cs="Arial"/>
          <w:sz w:val="18"/>
          <w:szCs w:val="18"/>
        </w:rPr>
        <w:t xml:space="preserve">6) </w:t>
      </w:r>
      <w:r w:rsidR="00C11253" w:rsidRPr="00227B56">
        <w:rPr>
          <w:rFonts w:ascii="Arial" w:hAnsi="Arial" w:cs="Arial"/>
          <w:sz w:val="18"/>
          <w:szCs w:val="18"/>
        </w:rPr>
        <w:t xml:space="preserve">the </w:t>
      </w:r>
      <w:r w:rsidR="00891F4B" w:rsidRPr="00227B56">
        <w:rPr>
          <w:rFonts w:ascii="Arial" w:hAnsi="Arial" w:cs="Arial"/>
          <w:sz w:val="18"/>
          <w:szCs w:val="18"/>
        </w:rPr>
        <w:t xml:space="preserve">impact is positive </w:t>
      </w:r>
      <w:r w:rsidR="00C11253" w:rsidRPr="00227B56">
        <w:rPr>
          <w:rFonts w:ascii="Arial" w:hAnsi="Arial" w:cs="Arial"/>
          <w:sz w:val="18"/>
          <w:szCs w:val="18"/>
        </w:rPr>
        <w:t xml:space="preserve">between total asset base and banks’ outstanding loans with a coefficient of 0.6510. </w:t>
      </w:r>
      <w:r w:rsidR="00DA5ABC" w:rsidRPr="00227B56">
        <w:rPr>
          <w:rFonts w:ascii="Arial" w:hAnsi="Arial" w:cs="Arial"/>
          <w:sz w:val="18"/>
          <w:szCs w:val="18"/>
        </w:rPr>
        <w:t>This</w:t>
      </w:r>
      <w:r w:rsidR="00C11253" w:rsidRPr="00227B56">
        <w:rPr>
          <w:rFonts w:ascii="Arial" w:hAnsi="Arial" w:cs="Arial"/>
          <w:sz w:val="18"/>
          <w:szCs w:val="18"/>
        </w:rPr>
        <w:t xml:space="preserve"> means that a change (increase) in banks’ lending will cause a positive</w:t>
      </w:r>
      <w:r w:rsidR="00DA5ABC">
        <w:rPr>
          <w:rFonts w:ascii="Arial" w:hAnsi="Arial" w:cs="Arial"/>
          <w:sz w:val="18"/>
          <w:szCs w:val="18"/>
        </w:rPr>
        <w:t xml:space="preserve"> </w:t>
      </w:r>
      <w:r w:rsidR="00C11253" w:rsidRPr="00227B56">
        <w:rPr>
          <w:rFonts w:ascii="Arial" w:hAnsi="Arial" w:cs="Arial"/>
          <w:sz w:val="18"/>
          <w:szCs w:val="18"/>
        </w:rPr>
        <w:t>(rise) in banks total asset base.</w:t>
      </w:r>
    </w:p>
    <w:p w14:paraId="378333A6" w14:textId="7AA44023" w:rsidR="00C11253" w:rsidRPr="00227B56" w:rsidRDefault="00C11253" w:rsidP="00C11253">
      <w:pPr>
        <w:spacing w:after="0" w:line="360" w:lineRule="auto"/>
        <w:jc w:val="both"/>
        <w:rPr>
          <w:rFonts w:ascii="Arial" w:hAnsi="Arial" w:cs="Arial"/>
          <w:sz w:val="18"/>
          <w:szCs w:val="18"/>
        </w:rPr>
      </w:pPr>
      <w:r w:rsidRPr="00227B56">
        <w:rPr>
          <w:rFonts w:ascii="Arial" w:hAnsi="Arial" w:cs="Arial"/>
          <w:sz w:val="18"/>
          <w:szCs w:val="18"/>
        </w:rPr>
        <w:t xml:space="preserve">We can therefore reject the null </w:t>
      </w:r>
      <w:r w:rsidR="00535390" w:rsidRPr="00227B56">
        <w:rPr>
          <w:rFonts w:ascii="Arial" w:hAnsi="Arial" w:cs="Arial"/>
          <w:sz w:val="18"/>
          <w:szCs w:val="18"/>
        </w:rPr>
        <w:t>hypothesis, which states that, “There is no significant relation between banks’ asset base and Credit/loan advancement”,</w:t>
      </w:r>
      <w:r w:rsidRPr="00227B56">
        <w:rPr>
          <w:rFonts w:ascii="Arial" w:hAnsi="Arial" w:cs="Arial"/>
          <w:b/>
          <w:i/>
          <w:sz w:val="18"/>
          <w:szCs w:val="18"/>
        </w:rPr>
        <w:t xml:space="preserve"> </w:t>
      </w:r>
      <w:r w:rsidRPr="00227B56">
        <w:rPr>
          <w:rFonts w:ascii="Arial" w:hAnsi="Arial" w:cs="Arial"/>
          <w:sz w:val="18"/>
          <w:szCs w:val="18"/>
        </w:rPr>
        <w:t>and accept the altern</w:t>
      </w:r>
      <w:r w:rsidR="00535390" w:rsidRPr="00227B56">
        <w:rPr>
          <w:rFonts w:ascii="Arial" w:hAnsi="Arial" w:cs="Arial"/>
          <w:sz w:val="18"/>
          <w:szCs w:val="18"/>
        </w:rPr>
        <w:t>ative hypothesis, which</w:t>
      </w:r>
      <w:r w:rsidRPr="00227B56">
        <w:rPr>
          <w:rFonts w:ascii="Arial" w:hAnsi="Arial" w:cs="Arial"/>
          <w:sz w:val="18"/>
          <w:szCs w:val="18"/>
        </w:rPr>
        <w:t xml:space="preserve"> is line with the research that</w:t>
      </w:r>
      <w:r w:rsidR="00535390" w:rsidRPr="00227B56">
        <w:rPr>
          <w:rFonts w:ascii="Arial" w:hAnsi="Arial" w:cs="Arial"/>
          <w:sz w:val="18"/>
          <w:szCs w:val="18"/>
        </w:rPr>
        <w:t>,</w:t>
      </w:r>
      <w:r w:rsidRPr="00227B56">
        <w:rPr>
          <w:rFonts w:ascii="Arial" w:hAnsi="Arial" w:cs="Arial"/>
          <w:sz w:val="18"/>
          <w:szCs w:val="18"/>
        </w:rPr>
        <w:t xml:space="preserve"> </w:t>
      </w:r>
      <w:r w:rsidR="00535390" w:rsidRPr="00227B56">
        <w:rPr>
          <w:rFonts w:ascii="Arial" w:hAnsi="Arial" w:cs="Arial"/>
          <w:sz w:val="18"/>
          <w:szCs w:val="18"/>
        </w:rPr>
        <w:t>“</w:t>
      </w:r>
      <w:r w:rsidRPr="00227B56">
        <w:rPr>
          <w:rFonts w:ascii="Arial" w:hAnsi="Arial" w:cs="Arial"/>
          <w:sz w:val="18"/>
          <w:szCs w:val="18"/>
        </w:rPr>
        <w:t xml:space="preserve">there is a positive significant between banks’ asset base and Credit/loan advancement”   </w:t>
      </w:r>
    </w:p>
    <w:p w14:paraId="1FC87AF3" w14:textId="0E771CFA" w:rsidR="009F51E9" w:rsidRPr="00227B56" w:rsidRDefault="00DA19B9" w:rsidP="00DA19B9">
      <w:pPr>
        <w:pStyle w:val="Heading3"/>
        <w:rPr>
          <w:rFonts w:ascii="Arial" w:hAnsi="Arial" w:cs="Arial"/>
          <w:b/>
          <w:i/>
          <w:color w:val="auto"/>
          <w:sz w:val="18"/>
          <w:szCs w:val="18"/>
        </w:rPr>
      </w:pPr>
      <w:r w:rsidRPr="00227B56">
        <w:rPr>
          <w:rFonts w:ascii="Arial" w:hAnsi="Arial" w:cs="Arial"/>
          <w:b/>
          <w:i/>
          <w:color w:val="auto"/>
          <w:sz w:val="18"/>
          <w:szCs w:val="18"/>
        </w:rPr>
        <w:t xml:space="preserve"> </w:t>
      </w:r>
      <w:r w:rsidR="009F51E9" w:rsidRPr="00227B56">
        <w:rPr>
          <w:rFonts w:ascii="Arial" w:hAnsi="Arial" w:cs="Arial"/>
          <w:b/>
          <w:i/>
          <w:color w:val="auto"/>
          <w:sz w:val="18"/>
          <w:szCs w:val="18"/>
        </w:rPr>
        <w:t>H3 -The size of capital requirements is not positively correlated with bank performance</w:t>
      </w:r>
    </w:p>
    <w:p w14:paraId="67AD8ADE" w14:textId="01D8A025" w:rsidR="009F51E9" w:rsidRPr="00227B56" w:rsidRDefault="009F51E9" w:rsidP="009F51E9">
      <w:pPr>
        <w:spacing w:after="0" w:line="360" w:lineRule="auto"/>
        <w:jc w:val="both"/>
        <w:rPr>
          <w:rFonts w:ascii="Arial" w:hAnsi="Arial" w:cs="Arial"/>
          <w:sz w:val="18"/>
          <w:szCs w:val="18"/>
        </w:rPr>
      </w:pPr>
      <w:r w:rsidRPr="00227B56">
        <w:rPr>
          <w:rFonts w:ascii="Arial" w:hAnsi="Arial" w:cs="Arial"/>
          <w:sz w:val="18"/>
          <w:szCs w:val="18"/>
        </w:rPr>
        <w:t>We therefore run a correlational analysis for both the dependent and the predictor variables.</w:t>
      </w:r>
    </w:p>
    <w:p w14:paraId="5F59CF83" w14:textId="03A946AD" w:rsidR="007640E4" w:rsidRPr="00227B56" w:rsidRDefault="007640E4" w:rsidP="0057791D">
      <w:pPr>
        <w:pStyle w:val="Heading4"/>
        <w:rPr>
          <w:rFonts w:ascii="Arial" w:hAnsi="Arial" w:cs="Arial"/>
          <w:b/>
          <w:color w:val="auto"/>
          <w:sz w:val="18"/>
          <w:szCs w:val="18"/>
        </w:rPr>
      </w:pPr>
      <w:r w:rsidRPr="00227B56">
        <w:rPr>
          <w:rFonts w:ascii="Arial" w:hAnsi="Arial" w:cs="Arial"/>
          <w:b/>
          <w:color w:val="auto"/>
          <w:sz w:val="18"/>
          <w:szCs w:val="18"/>
        </w:rPr>
        <w:t xml:space="preserve">Table </w:t>
      </w:r>
      <w:r w:rsidR="00581B16" w:rsidRPr="00227B56">
        <w:rPr>
          <w:rFonts w:ascii="Arial" w:hAnsi="Arial" w:cs="Arial"/>
          <w:b/>
          <w:color w:val="auto"/>
          <w:sz w:val="18"/>
          <w:szCs w:val="18"/>
        </w:rPr>
        <w:t>6</w:t>
      </w:r>
    </w:p>
    <w:p w14:paraId="5C3E7D30" w14:textId="5C2AA78E" w:rsidR="009F51E9" w:rsidRPr="00227B56" w:rsidRDefault="004B2EFD" w:rsidP="00FA7D54">
      <w:pPr>
        <w:spacing w:after="0" w:line="360" w:lineRule="auto"/>
        <w:jc w:val="center"/>
        <w:rPr>
          <w:rFonts w:ascii="Arial" w:hAnsi="Arial" w:cs="Arial"/>
          <w:b/>
          <w:sz w:val="18"/>
          <w:szCs w:val="18"/>
        </w:rPr>
      </w:pPr>
      <w:r w:rsidRPr="00227B56">
        <w:rPr>
          <w:rFonts w:ascii="Arial" w:hAnsi="Arial" w:cs="Arial"/>
          <w:b/>
          <w:sz w:val="18"/>
          <w:szCs w:val="18"/>
        </w:rPr>
        <w:t>Correlational Analysis</w:t>
      </w:r>
    </w:p>
    <w:tbl>
      <w:tblPr>
        <w:tblStyle w:val="TableGrid"/>
        <w:tblW w:w="0" w:type="auto"/>
        <w:tblLook w:val="04A0" w:firstRow="1" w:lastRow="0" w:firstColumn="1" w:lastColumn="0" w:noHBand="0" w:noVBand="1"/>
      </w:tblPr>
      <w:tblGrid>
        <w:gridCol w:w="1334"/>
        <w:gridCol w:w="1008"/>
        <w:gridCol w:w="1008"/>
        <w:gridCol w:w="979"/>
        <w:gridCol w:w="2716"/>
      </w:tblGrid>
      <w:tr w:rsidR="00227B56" w:rsidRPr="00227B56" w14:paraId="270D439B" w14:textId="37F4F473" w:rsidTr="00B8443D">
        <w:trPr>
          <w:trHeight w:val="366"/>
        </w:trPr>
        <w:tc>
          <w:tcPr>
            <w:tcW w:w="1334" w:type="dxa"/>
          </w:tcPr>
          <w:p w14:paraId="5ED83244" w14:textId="68B4AB4E"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 xml:space="preserve">                 </w:t>
            </w:r>
          </w:p>
        </w:tc>
        <w:tc>
          <w:tcPr>
            <w:tcW w:w="1008" w:type="dxa"/>
          </w:tcPr>
          <w:p w14:paraId="10228B41" w14:textId="24647F7B" w:rsidR="00B8443D" w:rsidRPr="00227B56" w:rsidRDefault="00B8443D" w:rsidP="00B8443D">
            <w:pPr>
              <w:spacing w:line="360" w:lineRule="auto"/>
              <w:ind w:left="45"/>
              <w:jc w:val="both"/>
              <w:rPr>
                <w:rFonts w:ascii="Arial" w:hAnsi="Arial" w:cs="Arial"/>
                <w:sz w:val="18"/>
                <w:szCs w:val="18"/>
              </w:rPr>
            </w:pPr>
            <w:r w:rsidRPr="00227B56">
              <w:rPr>
                <w:rFonts w:ascii="Arial" w:hAnsi="Arial" w:cs="Arial"/>
                <w:sz w:val="18"/>
                <w:szCs w:val="18"/>
              </w:rPr>
              <w:t>lnTAB</w:t>
            </w:r>
          </w:p>
        </w:tc>
        <w:tc>
          <w:tcPr>
            <w:tcW w:w="1008" w:type="dxa"/>
          </w:tcPr>
          <w:p w14:paraId="00785D55" w14:textId="3EC113D4"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lnNPA</w:t>
            </w:r>
          </w:p>
        </w:tc>
        <w:tc>
          <w:tcPr>
            <w:tcW w:w="979" w:type="dxa"/>
          </w:tcPr>
          <w:p w14:paraId="4595EE19" w14:textId="63F45D43"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lnBOL</w:t>
            </w:r>
          </w:p>
        </w:tc>
        <w:tc>
          <w:tcPr>
            <w:tcW w:w="2716" w:type="dxa"/>
          </w:tcPr>
          <w:p w14:paraId="4B52B545" w14:textId="58E78995"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lnBTC</w:t>
            </w:r>
          </w:p>
        </w:tc>
      </w:tr>
      <w:tr w:rsidR="00227B56" w:rsidRPr="00227B56" w14:paraId="65693A58" w14:textId="7B6060B9" w:rsidTr="00B8443D">
        <w:trPr>
          <w:trHeight w:val="366"/>
        </w:trPr>
        <w:tc>
          <w:tcPr>
            <w:tcW w:w="1334" w:type="dxa"/>
          </w:tcPr>
          <w:p w14:paraId="53F7D312" w14:textId="38D07122"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 xml:space="preserve">       lnTAB </w:t>
            </w:r>
          </w:p>
        </w:tc>
        <w:tc>
          <w:tcPr>
            <w:tcW w:w="1008" w:type="dxa"/>
          </w:tcPr>
          <w:p w14:paraId="1CE705BD" w14:textId="7DFF02A1" w:rsidR="00B8443D" w:rsidRPr="00227B56" w:rsidRDefault="00B8443D" w:rsidP="00B8443D">
            <w:pPr>
              <w:spacing w:line="360" w:lineRule="auto"/>
              <w:ind w:left="19"/>
              <w:jc w:val="both"/>
              <w:rPr>
                <w:rFonts w:ascii="Arial" w:hAnsi="Arial" w:cs="Arial"/>
                <w:sz w:val="18"/>
                <w:szCs w:val="18"/>
              </w:rPr>
            </w:pPr>
            <w:r w:rsidRPr="00227B56">
              <w:rPr>
                <w:rFonts w:ascii="Arial" w:hAnsi="Arial" w:cs="Arial"/>
                <w:sz w:val="18"/>
                <w:szCs w:val="18"/>
              </w:rPr>
              <w:t>1.0000</w:t>
            </w:r>
          </w:p>
        </w:tc>
        <w:tc>
          <w:tcPr>
            <w:tcW w:w="1008" w:type="dxa"/>
          </w:tcPr>
          <w:p w14:paraId="4528561E" w14:textId="4D56FAF9" w:rsidR="00B8443D" w:rsidRPr="00227B56" w:rsidRDefault="00B8443D" w:rsidP="00B8443D">
            <w:pPr>
              <w:spacing w:line="360" w:lineRule="auto"/>
              <w:jc w:val="both"/>
              <w:rPr>
                <w:rFonts w:ascii="Arial" w:hAnsi="Arial" w:cs="Arial"/>
                <w:sz w:val="18"/>
                <w:szCs w:val="18"/>
              </w:rPr>
            </w:pPr>
          </w:p>
        </w:tc>
        <w:tc>
          <w:tcPr>
            <w:tcW w:w="979" w:type="dxa"/>
          </w:tcPr>
          <w:p w14:paraId="58BAC781" w14:textId="77777777" w:rsidR="00B8443D" w:rsidRPr="00227B56" w:rsidRDefault="00B8443D" w:rsidP="00B8443D">
            <w:pPr>
              <w:spacing w:line="360" w:lineRule="auto"/>
              <w:jc w:val="both"/>
              <w:rPr>
                <w:rFonts w:ascii="Arial" w:hAnsi="Arial" w:cs="Arial"/>
                <w:sz w:val="18"/>
                <w:szCs w:val="18"/>
              </w:rPr>
            </w:pPr>
          </w:p>
        </w:tc>
        <w:tc>
          <w:tcPr>
            <w:tcW w:w="2716" w:type="dxa"/>
          </w:tcPr>
          <w:p w14:paraId="3B6B9750" w14:textId="540180E6" w:rsidR="00B8443D" w:rsidRPr="00227B56" w:rsidRDefault="00B8443D" w:rsidP="00B8443D">
            <w:pPr>
              <w:spacing w:line="360" w:lineRule="auto"/>
              <w:jc w:val="both"/>
              <w:rPr>
                <w:rFonts w:ascii="Arial" w:hAnsi="Arial" w:cs="Arial"/>
                <w:sz w:val="18"/>
                <w:szCs w:val="18"/>
              </w:rPr>
            </w:pPr>
          </w:p>
        </w:tc>
      </w:tr>
      <w:tr w:rsidR="00227B56" w:rsidRPr="00227B56" w14:paraId="6A4FF8DD" w14:textId="6E719D33" w:rsidTr="00B8443D">
        <w:trPr>
          <w:trHeight w:val="366"/>
        </w:trPr>
        <w:tc>
          <w:tcPr>
            <w:tcW w:w="1334" w:type="dxa"/>
          </w:tcPr>
          <w:p w14:paraId="10F035E3" w14:textId="78CC6A01"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 xml:space="preserve">       lnNPA </w:t>
            </w:r>
          </w:p>
        </w:tc>
        <w:tc>
          <w:tcPr>
            <w:tcW w:w="1008" w:type="dxa"/>
          </w:tcPr>
          <w:p w14:paraId="46CF5456" w14:textId="232D767D" w:rsidR="00B8443D" w:rsidRPr="00227B56" w:rsidRDefault="00B8443D" w:rsidP="00B8443D">
            <w:pPr>
              <w:spacing w:line="360" w:lineRule="auto"/>
              <w:ind w:left="19"/>
              <w:jc w:val="both"/>
              <w:rPr>
                <w:rFonts w:ascii="Arial" w:hAnsi="Arial" w:cs="Arial"/>
                <w:sz w:val="18"/>
                <w:szCs w:val="18"/>
              </w:rPr>
            </w:pPr>
            <w:r w:rsidRPr="00227B56">
              <w:rPr>
                <w:rFonts w:ascii="Arial" w:hAnsi="Arial" w:cs="Arial"/>
                <w:sz w:val="18"/>
                <w:szCs w:val="18"/>
              </w:rPr>
              <w:t>0.7967</w:t>
            </w:r>
          </w:p>
        </w:tc>
        <w:tc>
          <w:tcPr>
            <w:tcW w:w="1008" w:type="dxa"/>
          </w:tcPr>
          <w:p w14:paraId="6BF27CF2" w14:textId="2DA8FBC4"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1.0000</w:t>
            </w:r>
          </w:p>
        </w:tc>
        <w:tc>
          <w:tcPr>
            <w:tcW w:w="979" w:type="dxa"/>
          </w:tcPr>
          <w:p w14:paraId="6EF976B8" w14:textId="77777777" w:rsidR="00B8443D" w:rsidRPr="00227B56" w:rsidRDefault="00B8443D" w:rsidP="00B8443D">
            <w:pPr>
              <w:spacing w:line="360" w:lineRule="auto"/>
              <w:jc w:val="both"/>
              <w:rPr>
                <w:rFonts w:ascii="Arial" w:hAnsi="Arial" w:cs="Arial"/>
                <w:sz w:val="18"/>
                <w:szCs w:val="18"/>
              </w:rPr>
            </w:pPr>
          </w:p>
        </w:tc>
        <w:tc>
          <w:tcPr>
            <w:tcW w:w="2716" w:type="dxa"/>
          </w:tcPr>
          <w:p w14:paraId="17A89229" w14:textId="57017BDB" w:rsidR="00B8443D" w:rsidRPr="00227B56" w:rsidRDefault="00B8443D" w:rsidP="00B8443D">
            <w:pPr>
              <w:spacing w:line="360" w:lineRule="auto"/>
              <w:jc w:val="both"/>
              <w:rPr>
                <w:rFonts w:ascii="Arial" w:hAnsi="Arial" w:cs="Arial"/>
                <w:sz w:val="18"/>
                <w:szCs w:val="18"/>
              </w:rPr>
            </w:pPr>
          </w:p>
        </w:tc>
      </w:tr>
      <w:tr w:rsidR="00227B56" w:rsidRPr="00227B56" w14:paraId="5BF18534" w14:textId="27D4C8ED" w:rsidTr="00B8443D">
        <w:trPr>
          <w:trHeight w:val="382"/>
        </w:trPr>
        <w:tc>
          <w:tcPr>
            <w:tcW w:w="1334" w:type="dxa"/>
          </w:tcPr>
          <w:p w14:paraId="190B275B" w14:textId="0868D721"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 xml:space="preserve">       lnBOL </w:t>
            </w:r>
          </w:p>
        </w:tc>
        <w:tc>
          <w:tcPr>
            <w:tcW w:w="1008" w:type="dxa"/>
          </w:tcPr>
          <w:p w14:paraId="7EFF03B3" w14:textId="5E3DF467" w:rsidR="00B8443D" w:rsidRPr="00227B56" w:rsidRDefault="00B8443D" w:rsidP="00B8443D">
            <w:pPr>
              <w:spacing w:line="360" w:lineRule="auto"/>
              <w:ind w:left="19"/>
              <w:jc w:val="both"/>
              <w:rPr>
                <w:rFonts w:ascii="Arial" w:hAnsi="Arial" w:cs="Arial"/>
                <w:sz w:val="18"/>
                <w:szCs w:val="18"/>
              </w:rPr>
            </w:pPr>
            <w:r w:rsidRPr="00227B56">
              <w:rPr>
                <w:rFonts w:ascii="Arial" w:hAnsi="Arial" w:cs="Arial"/>
                <w:sz w:val="18"/>
                <w:szCs w:val="18"/>
              </w:rPr>
              <w:t>0.9080</w:t>
            </w:r>
          </w:p>
        </w:tc>
        <w:tc>
          <w:tcPr>
            <w:tcW w:w="1008" w:type="dxa"/>
          </w:tcPr>
          <w:p w14:paraId="70B36344" w14:textId="138561A0"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0.7497</w:t>
            </w:r>
          </w:p>
        </w:tc>
        <w:tc>
          <w:tcPr>
            <w:tcW w:w="979" w:type="dxa"/>
          </w:tcPr>
          <w:p w14:paraId="1A93868A" w14:textId="4B506314"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1.0000</w:t>
            </w:r>
          </w:p>
        </w:tc>
        <w:tc>
          <w:tcPr>
            <w:tcW w:w="2716" w:type="dxa"/>
          </w:tcPr>
          <w:p w14:paraId="292CF993" w14:textId="6530C21C" w:rsidR="00B8443D" w:rsidRPr="00227B56" w:rsidRDefault="00B8443D" w:rsidP="00B8443D">
            <w:pPr>
              <w:spacing w:line="360" w:lineRule="auto"/>
              <w:jc w:val="both"/>
              <w:rPr>
                <w:rFonts w:ascii="Arial" w:hAnsi="Arial" w:cs="Arial"/>
                <w:sz w:val="18"/>
                <w:szCs w:val="18"/>
              </w:rPr>
            </w:pPr>
          </w:p>
        </w:tc>
      </w:tr>
      <w:tr w:rsidR="00227B56" w:rsidRPr="00227B56" w14:paraId="40C6AB15" w14:textId="5BA07480" w:rsidTr="00B8443D">
        <w:trPr>
          <w:trHeight w:val="366"/>
        </w:trPr>
        <w:tc>
          <w:tcPr>
            <w:tcW w:w="1334" w:type="dxa"/>
          </w:tcPr>
          <w:p w14:paraId="5B90101A" w14:textId="4A725162"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 xml:space="preserve">       lnBTC </w:t>
            </w:r>
          </w:p>
        </w:tc>
        <w:tc>
          <w:tcPr>
            <w:tcW w:w="1008" w:type="dxa"/>
          </w:tcPr>
          <w:p w14:paraId="0297369D" w14:textId="77E58AB5" w:rsidR="00B8443D" w:rsidRPr="00227B56" w:rsidRDefault="00B8443D" w:rsidP="00B8443D">
            <w:pPr>
              <w:spacing w:line="360" w:lineRule="auto"/>
              <w:ind w:left="19"/>
              <w:jc w:val="both"/>
              <w:rPr>
                <w:rFonts w:ascii="Arial" w:hAnsi="Arial" w:cs="Arial"/>
                <w:sz w:val="18"/>
                <w:szCs w:val="18"/>
              </w:rPr>
            </w:pPr>
            <w:r w:rsidRPr="00227B56">
              <w:rPr>
                <w:rFonts w:ascii="Arial" w:hAnsi="Arial" w:cs="Arial"/>
                <w:sz w:val="18"/>
                <w:szCs w:val="18"/>
              </w:rPr>
              <w:t>0.7464</w:t>
            </w:r>
          </w:p>
        </w:tc>
        <w:tc>
          <w:tcPr>
            <w:tcW w:w="1008" w:type="dxa"/>
          </w:tcPr>
          <w:p w14:paraId="6C8B37CA" w14:textId="352C6122"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0.5778</w:t>
            </w:r>
          </w:p>
        </w:tc>
        <w:tc>
          <w:tcPr>
            <w:tcW w:w="979" w:type="dxa"/>
          </w:tcPr>
          <w:p w14:paraId="39F53070" w14:textId="6EA8C628"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0.6695</w:t>
            </w:r>
          </w:p>
        </w:tc>
        <w:tc>
          <w:tcPr>
            <w:tcW w:w="2716" w:type="dxa"/>
          </w:tcPr>
          <w:p w14:paraId="35A22D17" w14:textId="17FC0269" w:rsidR="00B8443D" w:rsidRPr="00227B56" w:rsidRDefault="00B8443D" w:rsidP="00721FB8">
            <w:pPr>
              <w:spacing w:line="360" w:lineRule="auto"/>
              <w:jc w:val="both"/>
              <w:rPr>
                <w:rFonts w:ascii="Arial" w:hAnsi="Arial" w:cs="Arial"/>
                <w:sz w:val="18"/>
                <w:szCs w:val="18"/>
              </w:rPr>
            </w:pPr>
            <w:r w:rsidRPr="00227B56">
              <w:rPr>
                <w:rFonts w:ascii="Arial" w:hAnsi="Arial" w:cs="Arial"/>
                <w:sz w:val="18"/>
                <w:szCs w:val="18"/>
              </w:rPr>
              <w:t xml:space="preserve">1.0000 </w:t>
            </w:r>
          </w:p>
        </w:tc>
      </w:tr>
    </w:tbl>
    <w:p w14:paraId="2BE9F560" w14:textId="5A270A7E" w:rsidR="00C11253" w:rsidRPr="00227B56" w:rsidRDefault="00FA7D54" w:rsidP="00C11253">
      <w:pPr>
        <w:spacing w:after="0" w:line="360" w:lineRule="auto"/>
        <w:jc w:val="both"/>
        <w:rPr>
          <w:rFonts w:ascii="Arial" w:hAnsi="Arial" w:cs="Arial"/>
          <w:sz w:val="18"/>
          <w:szCs w:val="18"/>
        </w:rPr>
      </w:pPr>
      <w:r w:rsidRPr="00227B56">
        <w:rPr>
          <w:rFonts w:ascii="Arial" w:hAnsi="Arial" w:cs="Arial"/>
          <w:sz w:val="18"/>
          <w:szCs w:val="18"/>
        </w:rPr>
        <w:t>Authors’ Own work</w:t>
      </w:r>
    </w:p>
    <w:p w14:paraId="3E39BEA2" w14:textId="75C18B4D" w:rsidR="00484C3C" w:rsidRPr="00227B56" w:rsidRDefault="00FA7D54" w:rsidP="00FA7D54">
      <w:pPr>
        <w:spacing w:after="0" w:line="360" w:lineRule="auto"/>
        <w:ind w:firstLine="720"/>
        <w:jc w:val="both"/>
        <w:rPr>
          <w:rFonts w:ascii="Arial" w:hAnsi="Arial" w:cs="Arial"/>
          <w:sz w:val="18"/>
          <w:szCs w:val="18"/>
        </w:rPr>
      </w:pPr>
      <w:r w:rsidRPr="00227B56">
        <w:rPr>
          <w:rFonts w:ascii="Arial" w:hAnsi="Arial" w:cs="Arial"/>
          <w:sz w:val="18"/>
          <w:szCs w:val="18"/>
        </w:rPr>
        <w:t>We reject the null</w:t>
      </w:r>
      <w:r w:rsidR="00A76C40" w:rsidRPr="00227B56">
        <w:rPr>
          <w:rFonts w:ascii="Arial" w:hAnsi="Arial" w:cs="Arial"/>
          <w:sz w:val="18"/>
          <w:szCs w:val="18"/>
        </w:rPr>
        <w:t xml:space="preserve"> hypot</w:t>
      </w:r>
      <w:r w:rsidRPr="00227B56">
        <w:rPr>
          <w:rFonts w:ascii="Arial" w:hAnsi="Arial" w:cs="Arial"/>
          <w:sz w:val="18"/>
          <w:szCs w:val="18"/>
        </w:rPr>
        <w:t>hesis that “</w:t>
      </w:r>
      <w:r w:rsidRPr="00227B56">
        <w:rPr>
          <w:rFonts w:ascii="Arial" w:hAnsi="Arial" w:cs="Arial"/>
          <w:b/>
          <w:i/>
          <w:sz w:val="18"/>
          <w:szCs w:val="18"/>
        </w:rPr>
        <w:t>The size of capital requirements is not positively correlated with bank performance</w:t>
      </w:r>
      <w:r w:rsidRPr="00227B56">
        <w:rPr>
          <w:rFonts w:ascii="Arial" w:hAnsi="Arial" w:cs="Arial"/>
          <w:sz w:val="18"/>
          <w:szCs w:val="18"/>
        </w:rPr>
        <w:t>”, looking at the result of the analysis</w:t>
      </w:r>
      <w:r w:rsidR="00A76C40" w:rsidRPr="00227B56">
        <w:rPr>
          <w:rFonts w:ascii="Arial" w:hAnsi="Arial" w:cs="Arial"/>
          <w:sz w:val="18"/>
          <w:szCs w:val="18"/>
        </w:rPr>
        <w:t xml:space="preserve"> </w:t>
      </w:r>
      <w:r w:rsidRPr="00227B56">
        <w:rPr>
          <w:rFonts w:ascii="Arial" w:hAnsi="Arial" w:cs="Arial"/>
          <w:sz w:val="18"/>
          <w:szCs w:val="18"/>
        </w:rPr>
        <w:t>because;</w:t>
      </w:r>
      <w:r w:rsidR="00A76C40" w:rsidRPr="00227B56">
        <w:rPr>
          <w:rFonts w:ascii="Arial" w:hAnsi="Arial" w:cs="Arial"/>
          <w:sz w:val="18"/>
          <w:szCs w:val="18"/>
        </w:rPr>
        <w:t xml:space="preserve"> Banks’ capital is positively correlation with banks’ performance using total asset base as proxy. This research indicates that Banks’ net-profit after tax, Banks’ outstanding loans and Banks’ total capital positively affect the financial performance of universal banks, a finding that is similar to the one of Demiurge-Kunt (1999).</w:t>
      </w:r>
    </w:p>
    <w:p w14:paraId="717BEB4E" w14:textId="53FE733A" w:rsidR="00812C4D" w:rsidRPr="00227B56" w:rsidRDefault="00812C4D" w:rsidP="0057791D">
      <w:pPr>
        <w:pStyle w:val="Heading2"/>
        <w:spacing w:before="0" w:beforeAutospacing="0" w:after="0" w:afterAutospacing="0" w:line="360" w:lineRule="auto"/>
        <w:rPr>
          <w:rFonts w:ascii="Arial" w:hAnsi="Arial" w:cs="Arial"/>
          <w:sz w:val="18"/>
          <w:szCs w:val="18"/>
        </w:rPr>
      </w:pPr>
      <w:r w:rsidRPr="00227B56">
        <w:rPr>
          <w:rFonts w:ascii="Arial" w:hAnsi="Arial" w:cs="Arial"/>
          <w:sz w:val="18"/>
          <w:szCs w:val="18"/>
        </w:rPr>
        <w:t xml:space="preserve">Conclusion </w:t>
      </w:r>
    </w:p>
    <w:p w14:paraId="41D48ACC" w14:textId="3767EFE0" w:rsidR="00FA7D54" w:rsidRPr="00227B56" w:rsidRDefault="00CF2FFA" w:rsidP="00992E66">
      <w:pPr>
        <w:spacing w:after="0" w:line="360" w:lineRule="auto"/>
        <w:jc w:val="both"/>
        <w:rPr>
          <w:rFonts w:ascii="Arial" w:hAnsi="Arial" w:cs="Arial"/>
          <w:sz w:val="18"/>
          <w:szCs w:val="18"/>
        </w:rPr>
      </w:pPr>
      <w:r w:rsidRPr="00227B56">
        <w:rPr>
          <w:rFonts w:ascii="Arial" w:hAnsi="Arial" w:cs="Arial"/>
          <w:sz w:val="18"/>
          <w:szCs w:val="18"/>
          <w:shd w:val="clear" w:color="auto" w:fill="FFFFFF"/>
        </w:rPr>
        <w:t xml:space="preserve">The capital adequacy </w:t>
      </w:r>
      <w:r w:rsidR="00D40B7B" w:rsidRPr="00227B56">
        <w:rPr>
          <w:rFonts w:ascii="Arial" w:hAnsi="Arial" w:cs="Arial"/>
          <w:sz w:val="18"/>
          <w:szCs w:val="18"/>
          <w:shd w:val="clear" w:color="auto" w:fill="FFFFFF"/>
        </w:rPr>
        <w:t>and minimum capital requirement determine</w:t>
      </w:r>
      <w:r w:rsidRPr="00227B56">
        <w:rPr>
          <w:rFonts w:ascii="Arial" w:hAnsi="Arial" w:cs="Arial"/>
          <w:sz w:val="18"/>
          <w:szCs w:val="18"/>
          <w:shd w:val="clear" w:color="auto" w:fill="FFFFFF"/>
        </w:rPr>
        <w:t xml:space="preserve"> the amount of capital a bank retains compared to its risk. National regulators such the </w:t>
      </w:r>
      <w:r w:rsidR="00E74A7B" w:rsidRPr="00227B56">
        <w:rPr>
          <w:rFonts w:ascii="Arial" w:hAnsi="Arial" w:cs="Arial"/>
          <w:sz w:val="18"/>
          <w:szCs w:val="18"/>
          <w:shd w:val="clear" w:color="auto" w:fill="FFFFFF"/>
        </w:rPr>
        <w:t>B</w:t>
      </w:r>
      <w:r w:rsidRPr="00227B56">
        <w:rPr>
          <w:rFonts w:ascii="Arial" w:hAnsi="Arial" w:cs="Arial"/>
          <w:sz w:val="18"/>
          <w:szCs w:val="18"/>
          <w:shd w:val="clear" w:color="auto" w:fill="FFFFFF"/>
        </w:rPr>
        <w:t xml:space="preserve">ank of </w:t>
      </w:r>
      <w:r w:rsidR="00E74A7B" w:rsidRPr="00227B56">
        <w:rPr>
          <w:rFonts w:ascii="Arial" w:hAnsi="Arial" w:cs="Arial"/>
          <w:sz w:val="18"/>
          <w:szCs w:val="18"/>
          <w:shd w:val="clear" w:color="auto" w:fill="FFFFFF"/>
        </w:rPr>
        <w:t>G</w:t>
      </w:r>
      <w:r w:rsidRPr="00227B56">
        <w:rPr>
          <w:rFonts w:ascii="Arial" w:hAnsi="Arial" w:cs="Arial"/>
          <w:sz w:val="18"/>
          <w:szCs w:val="18"/>
          <w:shd w:val="clear" w:color="auto" w:fill="FFFFFF"/>
        </w:rPr>
        <w:t xml:space="preserve">hana must track the </w:t>
      </w:r>
      <w:r w:rsidR="00E74A7B" w:rsidRPr="00227B56">
        <w:rPr>
          <w:rFonts w:ascii="Arial" w:hAnsi="Arial" w:cs="Arial"/>
          <w:sz w:val="18"/>
          <w:szCs w:val="18"/>
          <w:shd w:val="clear" w:color="auto" w:fill="FFFFFF"/>
        </w:rPr>
        <w:t>capital adequacy</w:t>
      </w:r>
      <w:r w:rsidRPr="00227B56">
        <w:rPr>
          <w:rFonts w:ascii="Arial" w:hAnsi="Arial" w:cs="Arial"/>
          <w:sz w:val="18"/>
          <w:szCs w:val="18"/>
          <w:shd w:val="clear" w:color="auto" w:fill="FFFFFF"/>
        </w:rPr>
        <w:t xml:space="preserve"> of banks</w:t>
      </w:r>
      <w:r w:rsidR="00E74A7B" w:rsidRPr="00227B56">
        <w:rPr>
          <w:rFonts w:ascii="Arial" w:hAnsi="Arial" w:cs="Arial"/>
          <w:sz w:val="18"/>
          <w:szCs w:val="18"/>
          <w:shd w:val="clear" w:color="auto" w:fill="FFFFFF"/>
        </w:rPr>
        <w:t xml:space="preserve"> under its jurisdiction to</w:t>
      </w:r>
      <w:r w:rsidRPr="00227B56">
        <w:rPr>
          <w:rFonts w:ascii="Arial" w:hAnsi="Arial" w:cs="Arial"/>
          <w:sz w:val="18"/>
          <w:szCs w:val="18"/>
          <w:shd w:val="clear" w:color="auto" w:fill="FFFFFF"/>
        </w:rPr>
        <w:t xml:space="preserve"> determine how effectively it can sustain a reasonable amount of loss. The </w:t>
      </w:r>
      <w:r w:rsidR="00E74A7B" w:rsidRPr="00227B56">
        <w:rPr>
          <w:rFonts w:ascii="Arial" w:hAnsi="Arial" w:cs="Arial"/>
          <w:sz w:val="18"/>
          <w:szCs w:val="18"/>
          <w:shd w:val="clear" w:color="auto" w:fill="FFFFFF"/>
        </w:rPr>
        <w:t xml:space="preserve">capital adequacy and minimum capital </w:t>
      </w:r>
      <w:r w:rsidR="00E74A7B" w:rsidRPr="00227B56">
        <w:rPr>
          <w:rFonts w:ascii="Arial" w:hAnsi="Arial" w:cs="Arial"/>
          <w:sz w:val="18"/>
          <w:szCs w:val="18"/>
          <w:shd w:val="clear" w:color="auto" w:fill="FFFFFF"/>
        </w:rPr>
        <w:lastRenderedPageBreak/>
        <w:t>requirement</w:t>
      </w:r>
      <w:r w:rsidRPr="00227B56">
        <w:rPr>
          <w:rFonts w:ascii="Arial" w:hAnsi="Arial" w:cs="Arial"/>
          <w:sz w:val="18"/>
          <w:szCs w:val="18"/>
          <w:shd w:val="clear" w:color="auto" w:fill="FFFFFF"/>
        </w:rPr>
        <w:t xml:space="preserve"> is </w:t>
      </w:r>
      <w:r w:rsidR="00E74A7B" w:rsidRPr="00227B56">
        <w:rPr>
          <w:rFonts w:ascii="Arial" w:hAnsi="Arial" w:cs="Arial"/>
          <w:sz w:val="18"/>
          <w:szCs w:val="18"/>
          <w:shd w:val="clear" w:color="auto" w:fill="FFFFFF"/>
        </w:rPr>
        <w:t>vital</w:t>
      </w:r>
      <w:r w:rsidRPr="00227B56">
        <w:rPr>
          <w:rFonts w:ascii="Arial" w:hAnsi="Arial" w:cs="Arial"/>
          <w:sz w:val="18"/>
          <w:szCs w:val="18"/>
          <w:shd w:val="clear" w:color="auto" w:fill="FFFFFF"/>
        </w:rPr>
        <w:t xml:space="preserve"> to shareholders because it is an important </w:t>
      </w:r>
      <w:r w:rsidR="00E74A7B" w:rsidRPr="00227B56">
        <w:rPr>
          <w:rFonts w:ascii="Arial" w:hAnsi="Arial" w:cs="Arial"/>
          <w:sz w:val="18"/>
          <w:szCs w:val="18"/>
          <w:shd w:val="clear" w:color="auto" w:fill="FFFFFF"/>
        </w:rPr>
        <w:t>indicator</w:t>
      </w:r>
      <w:r w:rsidRPr="00227B56">
        <w:rPr>
          <w:rFonts w:ascii="Arial" w:hAnsi="Arial" w:cs="Arial"/>
          <w:sz w:val="18"/>
          <w:szCs w:val="18"/>
          <w:shd w:val="clear" w:color="auto" w:fill="FFFFFF"/>
        </w:rPr>
        <w:t xml:space="preserve"> of the financial soundness of a bank.</w:t>
      </w:r>
      <w:r w:rsidR="00E74A7B" w:rsidRPr="00227B56">
        <w:rPr>
          <w:rFonts w:ascii="Arial" w:hAnsi="Arial" w:cs="Arial"/>
          <w:sz w:val="18"/>
          <w:szCs w:val="18"/>
          <w:shd w:val="clear" w:color="auto" w:fill="FFFFFF"/>
        </w:rPr>
        <w:t xml:space="preserve"> </w:t>
      </w:r>
      <w:r w:rsidR="00812C4D" w:rsidRPr="00227B56">
        <w:rPr>
          <w:rFonts w:ascii="Arial" w:hAnsi="Arial" w:cs="Arial"/>
          <w:sz w:val="18"/>
          <w:szCs w:val="18"/>
        </w:rPr>
        <w:t xml:space="preserve">After applying the Durbin-Watson test, based on data </w:t>
      </w:r>
      <w:r w:rsidR="00EE3599" w:rsidRPr="00227B56">
        <w:rPr>
          <w:rFonts w:ascii="Arial" w:hAnsi="Arial" w:cs="Arial"/>
          <w:sz w:val="18"/>
          <w:szCs w:val="18"/>
        </w:rPr>
        <w:t>from the</w:t>
      </w:r>
      <w:r w:rsidR="00812C4D" w:rsidRPr="00227B56">
        <w:rPr>
          <w:rFonts w:ascii="Arial" w:hAnsi="Arial" w:cs="Arial"/>
          <w:sz w:val="18"/>
          <w:szCs w:val="18"/>
        </w:rPr>
        <w:t xml:space="preserve"> period </w:t>
      </w:r>
      <w:r w:rsidR="00EE3599" w:rsidRPr="00227B56">
        <w:rPr>
          <w:rFonts w:ascii="Arial" w:hAnsi="Arial" w:cs="Arial"/>
          <w:sz w:val="18"/>
          <w:szCs w:val="18"/>
        </w:rPr>
        <w:t>200</w:t>
      </w:r>
      <w:r w:rsidR="005D658B" w:rsidRPr="00227B56">
        <w:rPr>
          <w:rFonts w:ascii="Arial" w:hAnsi="Arial" w:cs="Arial"/>
          <w:sz w:val="18"/>
          <w:szCs w:val="18"/>
        </w:rPr>
        <w:t>8</w:t>
      </w:r>
      <w:r w:rsidR="00812C4D" w:rsidRPr="00227B56">
        <w:rPr>
          <w:rFonts w:ascii="Arial" w:hAnsi="Arial" w:cs="Arial"/>
          <w:sz w:val="18"/>
          <w:szCs w:val="18"/>
        </w:rPr>
        <w:t>-20</w:t>
      </w:r>
      <w:r w:rsidR="00EE3599" w:rsidRPr="00227B56">
        <w:rPr>
          <w:rFonts w:ascii="Arial" w:hAnsi="Arial" w:cs="Arial"/>
          <w:sz w:val="18"/>
          <w:szCs w:val="18"/>
        </w:rPr>
        <w:t>17</w:t>
      </w:r>
      <w:r w:rsidR="00812C4D" w:rsidRPr="00227B56">
        <w:rPr>
          <w:rFonts w:ascii="Arial" w:hAnsi="Arial" w:cs="Arial"/>
          <w:sz w:val="18"/>
          <w:szCs w:val="18"/>
        </w:rPr>
        <w:t xml:space="preserve">, we </w:t>
      </w:r>
      <w:r w:rsidR="00EE3599" w:rsidRPr="00227B56">
        <w:rPr>
          <w:rFonts w:ascii="Arial" w:hAnsi="Arial" w:cs="Arial"/>
          <w:sz w:val="18"/>
          <w:szCs w:val="18"/>
        </w:rPr>
        <w:t>checked</w:t>
      </w:r>
      <w:r w:rsidR="005D658B" w:rsidRPr="00227B56">
        <w:rPr>
          <w:rFonts w:ascii="Arial" w:hAnsi="Arial" w:cs="Arial"/>
          <w:sz w:val="18"/>
          <w:szCs w:val="18"/>
        </w:rPr>
        <w:t xml:space="preserve"> with multiple OLS regression to see</w:t>
      </w:r>
      <w:r w:rsidR="00812C4D" w:rsidRPr="00227B56">
        <w:rPr>
          <w:rFonts w:ascii="Arial" w:hAnsi="Arial" w:cs="Arial"/>
          <w:sz w:val="18"/>
          <w:szCs w:val="18"/>
        </w:rPr>
        <w:t xml:space="preserve"> whether the </w:t>
      </w:r>
      <w:r w:rsidR="00EE3599" w:rsidRPr="00227B56">
        <w:rPr>
          <w:rFonts w:ascii="Arial" w:hAnsi="Arial" w:cs="Arial"/>
          <w:sz w:val="18"/>
          <w:szCs w:val="18"/>
        </w:rPr>
        <w:t>Banks’ Capital</w:t>
      </w:r>
      <w:r w:rsidR="00812C4D" w:rsidRPr="00227B56">
        <w:rPr>
          <w:rFonts w:ascii="Arial" w:hAnsi="Arial" w:cs="Arial"/>
          <w:sz w:val="18"/>
          <w:szCs w:val="18"/>
        </w:rPr>
        <w:t xml:space="preserve"> influences the</w:t>
      </w:r>
      <w:r w:rsidR="00EE3599" w:rsidRPr="00227B56">
        <w:rPr>
          <w:rFonts w:ascii="Arial" w:hAnsi="Arial" w:cs="Arial"/>
          <w:sz w:val="18"/>
          <w:szCs w:val="18"/>
        </w:rPr>
        <w:t xml:space="preserve">ir Performances, </w:t>
      </w:r>
      <w:r w:rsidR="005D658B" w:rsidRPr="00227B56">
        <w:rPr>
          <w:rFonts w:ascii="Arial" w:hAnsi="Arial" w:cs="Arial"/>
          <w:sz w:val="18"/>
          <w:szCs w:val="18"/>
        </w:rPr>
        <w:t xml:space="preserve">considering </w:t>
      </w:r>
      <w:r w:rsidR="00EE3599" w:rsidRPr="00227B56">
        <w:rPr>
          <w:rFonts w:ascii="Arial" w:hAnsi="Arial" w:cs="Arial"/>
          <w:sz w:val="18"/>
          <w:szCs w:val="18"/>
        </w:rPr>
        <w:t xml:space="preserve">selected </w:t>
      </w:r>
      <w:r w:rsidR="005D658B" w:rsidRPr="00227B56">
        <w:rPr>
          <w:rFonts w:ascii="Arial" w:hAnsi="Arial" w:cs="Arial"/>
          <w:sz w:val="18"/>
          <w:szCs w:val="18"/>
        </w:rPr>
        <w:t xml:space="preserve">universal </w:t>
      </w:r>
      <w:r w:rsidR="00EE3599" w:rsidRPr="00227B56">
        <w:rPr>
          <w:rFonts w:ascii="Arial" w:hAnsi="Arial" w:cs="Arial"/>
          <w:sz w:val="18"/>
          <w:szCs w:val="18"/>
        </w:rPr>
        <w:t xml:space="preserve">banks </w:t>
      </w:r>
      <w:r w:rsidR="005D658B" w:rsidRPr="00227B56">
        <w:rPr>
          <w:rFonts w:ascii="Arial" w:hAnsi="Arial" w:cs="Arial"/>
          <w:sz w:val="18"/>
          <w:szCs w:val="18"/>
        </w:rPr>
        <w:t>listed on the Ghana Stock Exchange</w:t>
      </w:r>
      <w:r w:rsidR="00812C4D" w:rsidRPr="00227B56">
        <w:rPr>
          <w:rFonts w:ascii="Arial" w:hAnsi="Arial" w:cs="Arial"/>
          <w:sz w:val="18"/>
          <w:szCs w:val="18"/>
        </w:rPr>
        <w:t xml:space="preserve">. From the calculations made, it revealed that </w:t>
      </w:r>
      <w:r w:rsidR="00EE3599" w:rsidRPr="00227B56">
        <w:rPr>
          <w:rFonts w:ascii="Arial" w:hAnsi="Arial" w:cs="Arial"/>
          <w:sz w:val="18"/>
          <w:szCs w:val="18"/>
        </w:rPr>
        <w:t xml:space="preserve">between Bank capital </w:t>
      </w:r>
      <w:r w:rsidR="00891F4B" w:rsidRPr="00227B56">
        <w:rPr>
          <w:rFonts w:ascii="Arial" w:hAnsi="Arial" w:cs="Arial"/>
          <w:sz w:val="18"/>
          <w:szCs w:val="18"/>
        </w:rPr>
        <w:t>has a positive impact on</w:t>
      </w:r>
      <w:r w:rsidR="00812C4D" w:rsidRPr="00227B56">
        <w:rPr>
          <w:rFonts w:ascii="Arial" w:hAnsi="Arial" w:cs="Arial"/>
          <w:sz w:val="18"/>
          <w:szCs w:val="18"/>
        </w:rPr>
        <w:t xml:space="preserve"> </w:t>
      </w:r>
      <w:r w:rsidR="00891F4B" w:rsidRPr="00227B56">
        <w:rPr>
          <w:rFonts w:ascii="Arial" w:hAnsi="Arial" w:cs="Arial"/>
          <w:sz w:val="18"/>
          <w:szCs w:val="18"/>
        </w:rPr>
        <w:t>b</w:t>
      </w:r>
      <w:r w:rsidR="00EE3599" w:rsidRPr="00227B56">
        <w:rPr>
          <w:rFonts w:ascii="Arial" w:hAnsi="Arial" w:cs="Arial"/>
          <w:sz w:val="18"/>
          <w:szCs w:val="18"/>
        </w:rPr>
        <w:t>ank</w:t>
      </w:r>
      <w:r w:rsidR="00CF00B7" w:rsidRPr="00227B56">
        <w:rPr>
          <w:rFonts w:ascii="Arial" w:hAnsi="Arial" w:cs="Arial"/>
          <w:sz w:val="18"/>
          <w:szCs w:val="18"/>
        </w:rPr>
        <w:t>’s</w:t>
      </w:r>
      <w:r w:rsidR="00EE3599" w:rsidRPr="00227B56">
        <w:rPr>
          <w:rFonts w:ascii="Arial" w:hAnsi="Arial" w:cs="Arial"/>
          <w:sz w:val="18"/>
          <w:szCs w:val="18"/>
        </w:rPr>
        <w:t xml:space="preserve"> performance</w:t>
      </w:r>
      <w:r w:rsidR="00891F4B" w:rsidRPr="00227B56">
        <w:rPr>
          <w:rFonts w:ascii="Arial" w:hAnsi="Arial" w:cs="Arial"/>
          <w:sz w:val="18"/>
          <w:szCs w:val="18"/>
        </w:rPr>
        <w:t xml:space="preserve"> (using total asset base as proxy of performance).</w:t>
      </w:r>
      <w:r w:rsidR="005D658B" w:rsidRPr="00227B56">
        <w:rPr>
          <w:rFonts w:ascii="Arial" w:hAnsi="Arial" w:cs="Arial"/>
          <w:sz w:val="18"/>
          <w:szCs w:val="18"/>
        </w:rPr>
        <w:t xml:space="preserve"> </w:t>
      </w:r>
      <w:r w:rsidR="00812C4D" w:rsidRPr="00227B56">
        <w:rPr>
          <w:rFonts w:ascii="Arial" w:hAnsi="Arial" w:cs="Arial"/>
          <w:sz w:val="18"/>
          <w:szCs w:val="18"/>
        </w:rPr>
        <w:t xml:space="preserve"> </w:t>
      </w:r>
    </w:p>
    <w:p w14:paraId="59D1671C" w14:textId="4A6FA83A" w:rsidR="00812C4D" w:rsidRPr="00227B56" w:rsidRDefault="00812C4D" w:rsidP="00FA7D54">
      <w:pPr>
        <w:spacing w:after="0" w:line="360" w:lineRule="auto"/>
        <w:ind w:firstLine="720"/>
        <w:jc w:val="both"/>
        <w:rPr>
          <w:rFonts w:ascii="Arial" w:hAnsi="Arial" w:cs="Arial"/>
          <w:sz w:val="18"/>
          <w:szCs w:val="18"/>
        </w:rPr>
      </w:pPr>
      <w:r w:rsidRPr="00227B56">
        <w:rPr>
          <w:rFonts w:ascii="Arial" w:hAnsi="Arial" w:cs="Arial"/>
          <w:sz w:val="18"/>
          <w:szCs w:val="18"/>
        </w:rPr>
        <w:t xml:space="preserve">Moreover, </w:t>
      </w:r>
      <w:r w:rsidR="00EE3599" w:rsidRPr="00227B56">
        <w:rPr>
          <w:rFonts w:ascii="Arial" w:hAnsi="Arial" w:cs="Arial"/>
          <w:sz w:val="18"/>
          <w:szCs w:val="18"/>
        </w:rPr>
        <w:t>Banks’ Perform</w:t>
      </w:r>
      <w:r w:rsidR="00B8443D" w:rsidRPr="00227B56">
        <w:rPr>
          <w:rFonts w:ascii="Arial" w:hAnsi="Arial" w:cs="Arial"/>
          <w:sz w:val="18"/>
          <w:szCs w:val="18"/>
        </w:rPr>
        <w:t>ance is</w:t>
      </w:r>
      <w:r w:rsidRPr="00227B56">
        <w:rPr>
          <w:rFonts w:ascii="Arial" w:hAnsi="Arial" w:cs="Arial"/>
          <w:sz w:val="18"/>
          <w:szCs w:val="18"/>
        </w:rPr>
        <w:t xml:space="preserve"> influence </w:t>
      </w:r>
      <w:r w:rsidR="005D658B" w:rsidRPr="00227B56">
        <w:rPr>
          <w:rFonts w:ascii="Arial" w:hAnsi="Arial" w:cs="Arial"/>
          <w:sz w:val="18"/>
          <w:szCs w:val="18"/>
        </w:rPr>
        <w:t>by</w:t>
      </w:r>
      <w:r w:rsidRPr="00227B56">
        <w:rPr>
          <w:rFonts w:ascii="Arial" w:hAnsi="Arial" w:cs="Arial"/>
          <w:sz w:val="18"/>
          <w:szCs w:val="18"/>
        </w:rPr>
        <w:t xml:space="preserve"> </w:t>
      </w:r>
      <w:r w:rsidR="00EE3599" w:rsidRPr="00227B56">
        <w:rPr>
          <w:rFonts w:ascii="Arial" w:hAnsi="Arial" w:cs="Arial"/>
          <w:sz w:val="18"/>
          <w:szCs w:val="18"/>
        </w:rPr>
        <w:t xml:space="preserve">Banks total </w:t>
      </w:r>
      <w:r w:rsidR="005D658B" w:rsidRPr="00227B56">
        <w:rPr>
          <w:rFonts w:ascii="Arial" w:hAnsi="Arial" w:cs="Arial"/>
          <w:sz w:val="18"/>
          <w:szCs w:val="18"/>
        </w:rPr>
        <w:t>outstanding loan and net-profit after tax</w:t>
      </w:r>
      <w:r w:rsidRPr="00227B56">
        <w:rPr>
          <w:rFonts w:ascii="Arial" w:hAnsi="Arial" w:cs="Arial"/>
          <w:sz w:val="18"/>
          <w:szCs w:val="18"/>
        </w:rPr>
        <w:t xml:space="preserve">. From the analysis, we can affirm that </w:t>
      </w:r>
      <w:r w:rsidR="00EE3599" w:rsidRPr="00227B56">
        <w:rPr>
          <w:rFonts w:ascii="Arial" w:hAnsi="Arial" w:cs="Arial"/>
          <w:sz w:val="18"/>
          <w:szCs w:val="18"/>
        </w:rPr>
        <w:t>Capital adequacy</w:t>
      </w:r>
      <w:r w:rsidRPr="00227B56">
        <w:rPr>
          <w:rFonts w:ascii="Arial" w:hAnsi="Arial" w:cs="Arial"/>
          <w:sz w:val="18"/>
          <w:szCs w:val="18"/>
        </w:rPr>
        <w:t xml:space="preserve"> in </w:t>
      </w:r>
      <w:r w:rsidR="00DA5ABC" w:rsidRPr="00227B56">
        <w:rPr>
          <w:rFonts w:ascii="Arial" w:hAnsi="Arial" w:cs="Arial"/>
          <w:sz w:val="18"/>
          <w:szCs w:val="18"/>
        </w:rPr>
        <w:t>banks’</w:t>
      </w:r>
      <w:r w:rsidRPr="00227B56">
        <w:rPr>
          <w:rFonts w:ascii="Arial" w:hAnsi="Arial" w:cs="Arial"/>
          <w:sz w:val="18"/>
          <w:szCs w:val="18"/>
        </w:rPr>
        <w:t xml:space="preserve"> </w:t>
      </w:r>
      <w:r w:rsidR="005D658B" w:rsidRPr="00227B56">
        <w:rPr>
          <w:rFonts w:ascii="Arial" w:hAnsi="Arial" w:cs="Arial"/>
          <w:sz w:val="18"/>
          <w:szCs w:val="18"/>
        </w:rPr>
        <w:t>influenced performance</w:t>
      </w:r>
      <w:r w:rsidR="00EE3599" w:rsidRPr="00227B56">
        <w:rPr>
          <w:rFonts w:ascii="Arial" w:hAnsi="Arial" w:cs="Arial"/>
          <w:sz w:val="18"/>
          <w:szCs w:val="18"/>
        </w:rPr>
        <w:t xml:space="preserve"> </w:t>
      </w:r>
      <w:r w:rsidR="005D658B" w:rsidRPr="00227B56">
        <w:rPr>
          <w:rFonts w:ascii="Arial" w:hAnsi="Arial" w:cs="Arial"/>
          <w:sz w:val="18"/>
          <w:szCs w:val="18"/>
        </w:rPr>
        <w:t xml:space="preserve">of </w:t>
      </w:r>
      <w:r w:rsidR="00891F4B" w:rsidRPr="00227B56">
        <w:rPr>
          <w:rFonts w:ascii="Arial" w:hAnsi="Arial" w:cs="Arial"/>
          <w:sz w:val="18"/>
          <w:szCs w:val="18"/>
        </w:rPr>
        <w:t>b</w:t>
      </w:r>
      <w:r w:rsidR="00EE3599" w:rsidRPr="00227B56">
        <w:rPr>
          <w:rFonts w:ascii="Arial" w:hAnsi="Arial" w:cs="Arial"/>
          <w:sz w:val="18"/>
          <w:szCs w:val="18"/>
        </w:rPr>
        <w:t>anks</w:t>
      </w:r>
      <w:r w:rsidR="00891F4B" w:rsidRPr="00227B56">
        <w:rPr>
          <w:rFonts w:ascii="Arial" w:hAnsi="Arial" w:cs="Arial"/>
          <w:sz w:val="18"/>
          <w:szCs w:val="18"/>
        </w:rPr>
        <w:t xml:space="preserve"> in Ghana</w:t>
      </w:r>
      <w:r w:rsidRPr="00227B56">
        <w:rPr>
          <w:rFonts w:ascii="Arial" w:hAnsi="Arial" w:cs="Arial"/>
          <w:sz w:val="18"/>
          <w:szCs w:val="18"/>
        </w:rPr>
        <w:t>. As a result of the research, we support the fact</w:t>
      </w:r>
      <w:r w:rsidR="00891F4B" w:rsidRPr="00227B56">
        <w:rPr>
          <w:rFonts w:ascii="Arial" w:hAnsi="Arial" w:cs="Arial"/>
          <w:sz w:val="18"/>
          <w:szCs w:val="18"/>
        </w:rPr>
        <w:t xml:space="preserve"> made by the BASEL </w:t>
      </w:r>
      <w:r w:rsidR="00915286" w:rsidRPr="00227B56">
        <w:rPr>
          <w:rFonts w:ascii="Arial" w:hAnsi="Arial" w:cs="Arial"/>
          <w:sz w:val="18"/>
          <w:szCs w:val="18"/>
        </w:rPr>
        <w:t>framework</w:t>
      </w:r>
      <w:r w:rsidRPr="00227B56">
        <w:rPr>
          <w:rFonts w:ascii="Arial" w:hAnsi="Arial" w:cs="Arial"/>
          <w:sz w:val="18"/>
          <w:szCs w:val="18"/>
        </w:rPr>
        <w:t xml:space="preserve"> that </w:t>
      </w:r>
      <w:r w:rsidR="00891F4B" w:rsidRPr="00227B56">
        <w:rPr>
          <w:rFonts w:ascii="Arial" w:hAnsi="Arial" w:cs="Arial"/>
          <w:sz w:val="18"/>
          <w:szCs w:val="18"/>
        </w:rPr>
        <w:t>b</w:t>
      </w:r>
      <w:r w:rsidR="00EE3599" w:rsidRPr="00227B56">
        <w:rPr>
          <w:rFonts w:ascii="Arial" w:hAnsi="Arial" w:cs="Arial"/>
          <w:sz w:val="18"/>
          <w:szCs w:val="18"/>
        </w:rPr>
        <w:t>ank</w:t>
      </w:r>
      <w:r w:rsidR="00891F4B" w:rsidRPr="00227B56">
        <w:rPr>
          <w:rFonts w:ascii="Arial" w:hAnsi="Arial" w:cs="Arial"/>
          <w:sz w:val="18"/>
          <w:szCs w:val="18"/>
        </w:rPr>
        <w:t>s c</w:t>
      </w:r>
      <w:r w:rsidR="00EE3599" w:rsidRPr="00227B56">
        <w:rPr>
          <w:rFonts w:ascii="Arial" w:hAnsi="Arial" w:cs="Arial"/>
          <w:sz w:val="18"/>
          <w:szCs w:val="18"/>
        </w:rPr>
        <w:t xml:space="preserve">apital </w:t>
      </w:r>
      <w:r w:rsidRPr="00227B56">
        <w:rPr>
          <w:rFonts w:ascii="Arial" w:hAnsi="Arial" w:cs="Arial"/>
          <w:sz w:val="18"/>
          <w:szCs w:val="18"/>
        </w:rPr>
        <w:t xml:space="preserve">can be considered an active factor in the </w:t>
      </w:r>
      <w:r w:rsidR="00EE3599" w:rsidRPr="00227B56">
        <w:rPr>
          <w:rFonts w:ascii="Arial" w:hAnsi="Arial" w:cs="Arial"/>
          <w:sz w:val="18"/>
          <w:szCs w:val="18"/>
        </w:rPr>
        <w:t xml:space="preserve">performance, </w:t>
      </w:r>
      <w:r w:rsidR="005D658B" w:rsidRPr="00227B56">
        <w:rPr>
          <w:rFonts w:ascii="Arial" w:hAnsi="Arial" w:cs="Arial"/>
          <w:sz w:val="18"/>
          <w:szCs w:val="18"/>
        </w:rPr>
        <w:t xml:space="preserve">banks </w:t>
      </w:r>
      <w:r w:rsidR="00EE3599" w:rsidRPr="00227B56">
        <w:rPr>
          <w:rFonts w:ascii="Arial" w:hAnsi="Arial" w:cs="Arial"/>
          <w:sz w:val="18"/>
          <w:szCs w:val="18"/>
        </w:rPr>
        <w:t xml:space="preserve">safety and </w:t>
      </w:r>
      <w:r w:rsidR="005D658B" w:rsidRPr="00227B56">
        <w:rPr>
          <w:rFonts w:ascii="Arial" w:hAnsi="Arial" w:cs="Arial"/>
          <w:sz w:val="18"/>
          <w:szCs w:val="18"/>
        </w:rPr>
        <w:t xml:space="preserve">banks </w:t>
      </w:r>
      <w:r w:rsidR="00EE3599" w:rsidRPr="00227B56">
        <w:rPr>
          <w:rFonts w:ascii="Arial" w:hAnsi="Arial" w:cs="Arial"/>
          <w:sz w:val="18"/>
          <w:szCs w:val="18"/>
        </w:rPr>
        <w:t>soundness</w:t>
      </w:r>
      <w:r w:rsidR="00A51DFC" w:rsidRPr="00227B56">
        <w:rPr>
          <w:rFonts w:ascii="Arial" w:hAnsi="Arial" w:cs="Arial"/>
          <w:sz w:val="18"/>
          <w:szCs w:val="18"/>
        </w:rPr>
        <w:t xml:space="preserve"> </w:t>
      </w:r>
      <w:r w:rsidR="00A51DFC" w:rsidRPr="00227B56">
        <w:rPr>
          <w:rFonts w:ascii="Arial" w:hAnsi="Arial" w:cs="Arial"/>
          <w:sz w:val="18"/>
          <w:szCs w:val="18"/>
        </w:rPr>
        <w:fldChar w:fldCharType="begin"/>
      </w:r>
      <w:r w:rsidR="00A51DFC" w:rsidRPr="00227B56">
        <w:rPr>
          <w:rFonts w:ascii="Arial" w:hAnsi="Arial" w:cs="Arial"/>
          <w:sz w:val="18"/>
          <w:szCs w:val="18"/>
        </w:rPr>
        <w:instrText xml:space="preserve"> ADDIN EN.CITE &lt;EndNote&gt;&lt;Cite&gt;&lt;Author&gt;Claessens&lt;/Author&gt;&lt;Year&gt;2001&lt;/Year&gt;&lt;RecNum&gt;52&lt;/RecNum&gt;&lt;DisplayText&gt;(Claessens, Demirgüç-Kunt, &amp;amp; Huizinga, 2001)&lt;/DisplayText&gt;&lt;record&gt;&lt;rec-number&gt;52&lt;/rec-number&gt;&lt;foreign-keys&gt;&lt;key app="EN" db-id="5e92v09p8etvzgez9wrxxxrwdarzwpd05awa" timestamp="1548679806"&gt;52&lt;/key&gt;&lt;/foreign-keys&gt;&lt;ref-type name="Journal Article"&gt;17&lt;/ref-type&gt;&lt;contributors&gt;&lt;authors&gt;&lt;author&gt;Claessens, Stijn&lt;/author&gt;&lt;author&gt;Demirgüç-Kunt, Aslι&lt;/author&gt;&lt;author&gt;Huizinga, Harry&lt;/author&gt;&lt;/authors&gt;&lt;/contributors&gt;&lt;titles&gt;&lt;title&gt;How does foreign entry affect domestic banking markets?&lt;/title&gt;&lt;secondary-title&gt;Journal of Banking &amp;amp; Finance&lt;/secondary-title&gt;&lt;/titles&gt;&lt;periodical&gt;&lt;full-title&gt;Journal of Banking &amp;amp; Finance&lt;/full-title&gt;&lt;/periodical&gt;&lt;pages&gt;891-911&lt;/pages&gt;&lt;volume&gt;25&lt;/volume&gt;&lt;number&gt;5&lt;/number&gt;&lt;dates&gt;&lt;year&gt;2001&lt;/year&gt;&lt;/dates&gt;&lt;isbn&gt;0378-4266&lt;/isbn&gt;&lt;urls&gt;&lt;/urls&gt;&lt;/record&gt;&lt;/Cite&gt;&lt;/EndNote&gt;</w:instrText>
      </w:r>
      <w:r w:rsidR="00A51DFC" w:rsidRPr="00227B56">
        <w:rPr>
          <w:rFonts w:ascii="Arial" w:hAnsi="Arial" w:cs="Arial"/>
          <w:sz w:val="18"/>
          <w:szCs w:val="18"/>
        </w:rPr>
        <w:fldChar w:fldCharType="separate"/>
      </w:r>
      <w:r w:rsidR="00A51DFC" w:rsidRPr="00227B56">
        <w:rPr>
          <w:rFonts w:ascii="Arial" w:hAnsi="Arial" w:cs="Arial"/>
          <w:noProof/>
          <w:sz w:val="18"/>
          <w:szCs w:val="18"/>
        </w:rPr>
        <w:t>(Claessens, Demirgüç-Kunt, &amp; Huizinga, 2001)</w:t>
      </w:r>
      <w:r w:rsidR="00A51DFC" w:rsidRPr="00227B56">
        <w:rPr>
          <w:rFonts w:ascii="Arial" w:hAnsi="Arial" w:cs="Arial"/>
          <w:sz w:val="18"/>
          <w:szCs w:val="18"/>
        </w:rPr>
        <w:fldChar w:fldCharType="end"/>
      </w:r>
      <w:r w:rsidR="005D658B" w:rsidRPr="00227B56">
        <w:rPr>
          <w:rFonts w:ascii="Arial" w:hAnsi="Arial" w:cs="Arial"/>
          <w:sz w:val="18"/>
          <w:szCs w:val="18"/>
        </w:rPr>
        <w:t>. These</w:t>
      </w:r>
      <w:r w:rsidR="00EE3599" w:rsidRPr="00227B56">
        <w:rPr>
          <w:rFonts w:ascii="Arial" w:hAnsi="Arial" w:cs="Arial"/>
          <w:sz w:val="18"/>
          <w:szCs w:val="18"/>
        </w:rPr>
        <w:t xml:space="preserve"> </w:t>
      </w:r>
      <w:r w:rsidR="00915286" w:rsidRPr="00227B56">
        <w:rPr>
          <w:rFonts w:ascii="Arial" w:hAnsi="Arial" w:cs="Arial"/>
          <w:sz w:val="18"/>
          <w:szCs w:val="18"/>
        </w:rPr>
        <w:t xml:space="preserve">findings </w:t>
      </w:r>
      <w:r w:rsidR="00EE3599" w:rsidRPr="00227B56">
        <w:rPr>
          <w:rFonts w:ascii="Arial" w:hAnsi="Arial" w:cs="Arial"/>
          <w:sz w:val="18"/>
          <w:szCs w:val="18"/>
        </w:rPr>
        <w:t>will help bank</w:t>
      </w:r>
      <w:r w:rsidR="00915286" w:rsidRPr="00227B56">
        <w:rPr>
          <w:rFonts w:ascii="Arial" w:hAnsi="Arial" w:cs="Arial"/>
          <w:sz w:val="18"/>
          <w:szCs w:val="18"/>
        </w:rPr>
        <w:t>s in Ghana</w:t>
      </w:r>
      <w:r w:rsidR="00EE3599" w:rsidRPr="00227B56">
        <w:rPr>
          <w:rFonts w:ascii="Arial" w:hAnsi="Arial" w:cs="Arial"/>
          <w:sz w:val="18"/>
          <w:szCs w:val="18"/>
        </w:rPr>
        <w:t xml:space="preserve"> to be more </w:t>
      </w:r>
      <w:r w:rsidR="00915286" w:rsidRPr="00227B56">
        <w:rPr>
          <w:rFonts w:ascii="Arial" w:hAnsi="Arial" w:cs="Arial"/>
          <w:sz w:val="18"/>
          <w:szCs w:val="18"/>
        </w:rPr>
        <w:t>prepare for future capital requirement adjustments</w:t>
      </w:r>
      <w:r w:rsidRPr="00227B56">
        <w:rPr>
          <w:rFonts w:ascii="Arial" w:hAnsi="Arial" w:cs="Arial"/>
          <w:sz w:val="18"/>
          <w:szCs w:val="18"/>
        </w:rPr>
        <w:t xml:space="preserve">. In the case of </w:t>
      </w:r>
      <w:r w:rsidR="00EE3599" w:rsidRPr="00227B56">
        <w:rPr>
          <w:rFonts w:ascii="Arial" w:hAnsi="Arial" w:cs="Arial"/>
          <w:sz w:val="18"/>
          <w:szCs w:val="18"/>
        </w:rPr>
        <w:t>the selected banks</w:t>
      </w:r>
      <w:r w:rsidR="00915286" w:rsidRPr="00227B56">
        <w:rPr>
          <w:rFonts w:ascii="Arial" w:hAnsi="Arial" w:cs="Arial"/>
          <w:sz w:val="18"/>
          <w:szCs w:val="18"/>
        </w:rPr>
        <w:t>, the revelation is that</w:t>
      </w:r>
      <w:r w:rsidR="00EE3599" w:rsidRPr="00227B56">
        <w:rPr>
          <w:rFonts w:ascii="Arial" w:hAnsi="Arial" w:cs="Arial"/>
          <w:sz w:val="18"/>
          <w:szCs w:val="18"/>
        </w:rPr>
        <w:t xml:space="preserve"> capital, asset</w:t>
      </w:r>
      <w:r w:rsidR="00517B55" w:rsidRPr="00227B56">
        <w:rPr>
          <w:rFonts w:ascii="Arial" w:hAnsi="Arial" w:cs="Arial"/>
          <w:sz w:val="18"/>
          <w:szCs w:val="18"/>
        </w:rPr>
        <w:t xml:space="preserve"> and loans</w:t>
      </w:r>
      <w:r w:rsidRPr="00227B56">
        <w:rPr>
          <w:rFonts w:ascii="Arial" w:hAnsi="Arial" w:cs="Arial"/>
          <w:sz w:val="18"/>
          <w:szCs w:val="18"/>
        </w:rPr>
        <w:t xml:space="preserve"> are an </w:t>
      </w:r>
      <w:r w:rsidR="00DA5ABC" w:rsidRPr="00227B56">
        <w:rPr>
          <w:rFonts w:ascii="Arial" w:hAnsi="Arial" w:cs="Arial"/>
          <w:sz w:val="18"/>
          <w:szCs w:val="18"/>
        </w:rPr>
        <w:t>element, which conditions the performance of banks,</w:t>
      </w:r>
      <w:r w:rsidR="00915286" w:rsidRPr="00227B56">
        <w:rPr>
          <w:rFonts w:ascii="Arial" w:hAnsi="Arial" w:cs="Arial"/>
          <w:sz w:val="18"/>
          <w:szCs w:val="18"/>
        </w:rPr>
        <w:t xml:space="preserve"> and t</w:t>
      </w:r>
      <w:r w:rsidR="00517B55" w:rsidRPr="00227B56">
        <w:rPr>
          <w:rFonts w:ascii="Arial" w:hAnsi="Arial" w:cs="Arial"/>
          <w:sz w:val="18"/>
          <w:szCs w:val="18"/>
        </w:rPr>
        <w:t xml:space="preserve">hey must sever as indicators when planning for or </w:t>
      </w:r>
      <w:r w:rsidRPr="00227B56">
        <w:rPr>
          <w:rFonts w:ascii="Arial" w:hAnsi="Arial" w:cs="Arial"/>
          <w:sz w:val="18"/>
          <w:szCs w:val="18"/>
        </w:rPr>
        <w:t xml:space="preserve">restructuring program of </w:t>
      </w:r>
      <w:r w:rsidR="00517B55" w:rsidRPr="00227B56">
        <w:rPr>
          <w:rFonts w:ascii="Arial" w:hAnsi="Arial" w:cs="Arial"/>
          <w:sz w:val="18"/>
          <w:szCs w:val="18"/>
        </w:rPr>
        <w:t>capital requirement and or capital adequacy</w:t>
      </w:r>
      <w:r w:rsidRPr="00227B56">
        <w:rPr>
          <w:rFonts w:ascii="Arial" w:hAnsi="Arial" w:cs="Arial"/>
          <w:sz w:val="18"/>
          <w:szCs w:val="18"/>
        </w:rPr>
        <w:t>.</w:t>
      </w:r>
    </w:p>
    <w:p w14:paraId="1D780B7E" w14:textId="77777777" w:rsidR="00C40CC2" w:rsidRPr="00227B56" w:rsidRDefault="00C40CC2" w:rsidP="00C40CC2">
      <w:pPr>
        <w:spacing w:after="0" w:line="360" w:lineRule="auto"/>
        <w:jc w:val="both"/>
        <w:rPr>
          <w:rFonts w:ascii="Arial" w:eastAsia="Times New Roman" w:hAnsi="Arial" w:cs="Arial"/>
          <w:kern w:val="36"/>
          <w:sz w:val="18"/>
          <w:szCs w:val="18"/>
        </w:rPr>
      </w:pPr>
    </w:p>
    <w:p w14:paraId="215D9513" w14:textId="33764B35" w:rsidR="00C40CC2" w:rsidRPr="00227B56" w:rsidRDefault="00456B1F" w:rsidP="00C40CC2">
      <w:pPr>
        <w:spacing w:after="0" w:line="360" w:lineRule="auto"/>
        <w:jc w:val="both"/>
        <w:rPr>
          <w:rFonts w:ascii="Arial" w:eastAsia="Times New Roman" w:hAnsi="Arial" w:cs="Arial"/>
          <w:b/>
          <w:kern w:val="36"/>
          <w:sz w:val="18"/>
          <w:szCs w:val="18"/>
        </w:rPr>
      </w:pPr>
      <w:r w:rsidRPr="00227B56">
        <w:rPr>
          <w:rFonts w:ascii="Arial" w:eastAsia="Times New Roman" w:hAnsi="Arial" w:cs="Arial"/>
          <w:b/>
          <w:kern w:val="36"/>
          <w:sz w:val="18"/>
          <w:szCs w:val="18"/>
        </w:rPr>
        <w:t>References</w:t>
      </w:r>
    </w:p>
    <w:p w14:paraId="65EF45D4" w14:textId="5EDB8312" w:rsidR="00CB347C" w:rsidRPr="00227B56" w:rsidRDefault="00C40CC2" w:rsidP="00CB347C">
      <w:pPr>
        <w:pStyle w:val="EndNoteBibliography"/>
        <w:spacing w:after="0"/>
        <w:ind w:left="720" w:hanging="720"/>
        <w:rPr>
          <w:rFonts w:ascii="Arial" w:hAnsi="Arial" w:cs="Arial"/>
          <w:sz w:val="18"/>
          <w:szCs w:val="18"/>
        </w:rPr>
      </w:pPr>
      <w:r w:rsidRPr="00227B56">
        <w:rPr>
          <w:rFonts w:ascii="Arial" w:eastAsia="Times New Roman" w:hAnsi="Arial" w:cs="Arial"/>
          <w:kern w:val="36"/>
          <w:sz w:val="18"/>
          <w:szCs w:val="18"/>
        </w:rPr>
        <w:fldChar w:fldCharType="begin"/>
      </w:r>
      <w:r w:rsidRPr="00227B56">
        <w:rPr>
          <w:rFonts w:ascii="Arial" w:eastAsia="Times New Roman" w:hAnsi="Arial" w:cs="Arial"/>
          <w:kern w:val="36"/>
          <w:sz w:val="18"/>
          <w:szCs w:val="18"/>
        </w:rPr>
        <w:instrText xml:space="preserve"> ADDIN EN.REFLIST </w:instrText>
      </w:r>
      <w:r w:rsidRPr="00227B56">
        <w:rPr>
          <w:rFonts w:ascii="Arial" w:eastAsia="Times New Roman" w:hAnsi="Arial" w:cs="Arial"/>
          <w:kern w:val="36"/>
          <w:sz w:val="18"/>
          <w:szCs w:val="18"/>
        </w:rPr>
        <w:fldChar w:fldCharType="separate"/>
      </w:r>
      <w:r w:rsidR="00CB347C" w:rsidRPr="00227B56">
        <w:rPr>
          <w:rFonts w:ascii="Arial" w:hAnsi="Arial" w:cs="Arial"/>
          <w:sz w:val="18"/>
          <w:szCs w:val="18"/>
        </w:rPr>
        <w:t xml:space="preserve">Abdul. (2017). Risk-taking behavior and capital adequacy in a mixed banking system: new evidence from Malaysia using dynamic OLS and two-step dynamic system GMM estimators. </w:t>
      </w:r>
      <w:r w:rsidR="00CB347C" w:rsidRPr="00227B56">
        <w:rPr>
          <w:rFonts w:ascii="Arial" w:hAnsi="Arial" w:cs="Arial"/>
          <w:i/>
          <w:sz w:val="18"/>
          <w:szCs w:val="18"/>
        </w:rPr>
        <w:t>Emerging Markets Finance and Trade, 53</w:t>
      </w:r>
      <w:r w:rsidR="00CB347C" w:rsidRPr="00227B56">
        <w:rPr>
          <w:rFonts w:ascii="Arial" w:hAnsi="Arial" w:cs="Arial"/>
          <w:sz w:val="18"/>
          <w:szCs w:val="18"/>
        </w:rPr>
        <w:t xml:space="preserve">(1), 180-198. </w:t>
      </w:r>
    </w:p>
    <w:p w14:paraId="264044DF" w14:textId="25B8F5A5" w:rsidR="003F10D8" w:rsidRPr="00227B56" w:rsidRDefault="003F10D8" w:rsidP="00CB347C">
      <w:pPr>
        <w:pStyle w:val="EndNoteBibliography"/>
        <w:spacing w:after="0"/>
        <w:ind w:left="720" w:hanging="720"/>
        <w:rPr>
          <w:rFonts w:ascii="Arial" w:hAnsi="Arial" w:cs="Arial"/>
          <w:sz w:val="18"/>
          <w:szCs w:val="18"/>
        </w:rPr>
      </w:pPr>
      <w:r w:rsidRPr="00227B56">
        <w:rPr>
          <w:rFonts w:ascii="Arial" w:hAnsi="Arial" w:cs="Arial"/>
          <w:sz w:val="18"/>
          <w:szCs w:val="18"/>
          <w:shd w:val="clear" w:color="auto" w:fill="FFFFFF"/>
        </w:rPr>
        <w:t>Abreu, M., &amp; Mendes, V. (2001, May). Commercial bank interest margins and profitability: evidence for some EU countries. In </w:t>
      </w:r>
      <w:r w:rsidRPr="00227B56">
        <w:rPr>
          <w:rFonts w:ascii="Arial" w:hAnsi="Arial" w:cs="Arial"/>
          <w:i/>
          <w:iCs/>
          <w:sz w:val="18"/>
          <w:szCs w:val="18"/>
          <w:shd w:val="clear" w:color="auto" w:fill="FFFFFF"/>
        </w:rPr>
        <w:t>Pan-European Conference Jointly Organised by the IEFS-UK &amp; University of Macedonia Economic &amp; Social Sciences, Thessaloniki, Greece, May</w:t>
      </w:r>
      <w:r w:rsidRPr="00227B56">
        <w:rPr>
          <w:rFonts w:ascii="Arial" w:hAnsi="Arial" w:cs="Arial"/>
          <w:sz w:val="18"/>
          <w:szCs w:val="18"/>
          <w:shd w:val="clear" w:color="auto" w:fill="FFFFFF"/>
        </w:rPr>
        <w:t> (pp. 17-20).</w:t>
      </w:r>
    </w:p>
    <w:p w14:paraId="20207D55"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Alaribe, U. G. (2017). </w:t>
      </w:r>
      <w:r w:rsidRPr="00227B56">
        <w:rPr>
          <w:rFonts w:ascii="Arial" w:hAnsi="Arial" w:cs="Arial"/>
          <w:i/>
          <w:sz w:val="18"/>
          <w:szCs w:val="18"/>
        </w:rPr>
        <w:t>The Implication of 25 Billion Recapitalization Policy of Central Bank of Nigeria (CBN) on Nigerian Economy.</w:t>
      </w:r>
      <w:r w:rsidRPr="00227B56">
        <w:rPr>
          <w:rFonts w:ascii="Arial" w:hAnsi="Arial" w:cs="Arial"/>
          <w:sz w:val="18"/>
          <w:szCs w:val="18"/>
        </w:rPr>
        <w:t xml:space="preserve">   </w:t>
      </w:r>
    </w:p>
    <w:p w14:paraId="34419888"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Anbar, A., &amp; Alper, D. (2011). Bank specific and macroeconomic determinants of commercial bank profitability: Empirical evidence from Turkey. </w:t>
      </w:r>
    </w:p>
    <w:p w14:paraId="3E9D4311" w14:textId="6766E72D"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Balin, B. J. (2008). Basel I, Basel II, and emerging markets: A nontechnical analysis. </w:t>
      </w:r>
    </w:p>
    <w:p w14:paraId="60E2677A" w14:textId="77777777" w:rsidR="003F10D8" w:rsidRPr="00227B56" w:rsidRDefault="003F10D8" w:rsidP="003F10D8">
      <w:pPr>
        <w:pStyle w:val="EndNoteBibliography"/>
        <w:spacing w:after="0"/>
        <w:ind w:left="720" w:hanging="720"/>
        <w:rPr>
          <w:rFonts w:ascii="Arial" w:hAnsi="Arial" w:cs="Arial"/>
          <w:sz w:val="18"/>
          <w:szCs w:val="18"/>
          <w:shd w:val="clear" w:color="auto" w:fill="FFFFFF"/>
        </w:rPr>
      </w:pPr>
      <w:r w:rsidRPr="00227B56">
        <w:rPr>
          <w:rFonts w:ascii="Arial" w:hAnsi="Arial" w:cs="Arial"/>
          <w:sz w:val="18"/>
          <w:szCs w:val="18"/>
          <w:shd w:val="clear" w:color="auto" w:fill="FFFFFF"/>
        </w:rPr>
        <w:t>Barnor, C., &amp; Odonkor, T. A. (2012). Capital adequacy and the performance of Ghanaian banks. </w:t>
      </w:r>
      <w:r w:rsidRPr="00227B56">
        <w:rPr>
          <w:rFonts w:ascii="Arial" w:hAnsi="Arial" w:cs="Arial"/>
          <w:i/>
          <w:iCs/>
          <w:sz w:val="18"/>
          <w:szCs w:val="18"/>
          <w:shd w:val="clear" w:color="auto" w:fill="FFFFFF"/>
        </w:rPr>
        <w:t>Journal of Business Research</w:t>
      </w:r>
      <w:r w:rsidRPr="00227B56">
        <w:rPr>
          <w:rFonts w:ascii="Arial" w:hAnsi="Arial" w:cs="Arial"/>
          <w:sz w:val="18"/>
          <w:szCs w:val="18"/>
          <w:shd w:val="clear" w:color="auto" w:fill="FFFFFF"/>
        </w:rPr>
        <w:t>, </w:t>
      </w:r>
      <w:r w:rsidRPr="00227B56">
        <w:rPr>
          <w:rFonts w:ascii="Arial" w:hAnsi="Arial" w:cs="Arial"/>
          <w:i/>
          <w:iCs/>
          <w:sz w:val="18"/>
          <w:szCs w:val="18"/>
          <w:shd w:val="clear" w:color="auto" w:fill="FFFFFF"/>
        </w:rPr>
        <w:t>6</w:t>
      </w:r>
      <w:r w:rsidRPr="00227B56">
        <w:rPr>
          <w:rFonts w:ascii="Arial" w:hAnsi="Arial" w:cs="Arial"/>
          <w:sz w:val="18"/>
          <w:szCs w:val="18"/>
          <w:shd w:val="clear" w:color="auto" w:fill="FFFFFF"/>
        </w:rPr>
        <w:t>(1-2), 105-117.</w:t>
      </w:r>
    </w:p>
    <w:p w14:paraId="7AE506AC"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Barr, M. S., &amp; Miller, G. P. (2006). Global administrative law: the view from Basel. </w:t>
      </w:r>
      <w:r w:rsidRPr="00227B56">
        <w:rPr>
          <w:rFonts w:ascii="Arial" w:hAnsi="Arial" w:cs="Arial"/>
          <w:i/>
          <w:sz w:val="18"/>
          <w:szCs w:val="18"/>
        </w:rPr>
        <w:t>European Journal of International Law, 17</w:t>
      </w:r>
      <w:r w:rsidRPr="00227B56">
        <w:rPr>
          <w:rFonts w:ascii="Arial" w:hAnsi="Arial" w:cs="Arial"/>
          <w:sz w:val="18"/>
          <w:szCs w:val="18"/>
        </w:rPr>
        <w:t xml:space="preserve">(1), 15-46. </w:t>
      </w:r>
    </w:p>
    <w:p w14:paraId="3C979936"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Berger, A. N., Herring, R. J., &amp; Szegö, G. P. (1995). The role of capital in financial institutions. </w:t>
      </w:r>
      <w:r w:rsidRPr="00227B56">
        <w:rPr>
          <w:rFonts w:ascii="Arial" w:hAnsi="Arial" w:cs="Arial"/>
          <w:i/>
          <w:sz w:val="18"/>
          <w:szCs w:val="18"/>
        </w:rPr>
        <w:t>Journal of Banking &amp; Finance, 19</w:t>
      </w:r>
      <w:r w:rsidRPr="00227B56">
        <w:rPr>
          <w:rFonts w:ascii="Arial" w:hAnsi="Arial" w:cs="Arial"/>
          <w:sz w:val="18"/>
          <w:szCs w:val="18"/>
        </w:rPr>
        <w:t xml:space="preserve">(3-4), 393-430. </w:t>
      </w:r>
    </w:p>
    <w:p w14:paraId="31991DE7"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Berger, T. (2008). Concepts of national competitiveness. </w:t>
      </w:r>
      <w:r w:rsidRPr="00227B56">
        <w:rPr>
          <w:rFonts w:ascii="Arial" w:hAnsi="Arial" w:cs="Arial"/>
          <w:i/>
          <w:sz w:val="18"/>
          <w:szCs w:val="18"/>
        </w:rPr>
        <w:t>Journal of international business and economy, 9</w:t>
      </w:r>
      <w:r w:rsidRPr="00227B56">
        <w:rPr>
          <w:rFonts w:ascii="Arial" w:hAnsi="Arial" w:cs="Arial"/>
          <w:sz w:val="18"/>
          <w:szCs w:val="18"/>
        </w:rPr>
        <w:t xml:space="preserve">(1), 91-111. </w:t>
      </w:r>
    </w:p>
    <w:p w14:paraId="1BDAD13B"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Blinder, A. S., et al. (2008). Central bank communication and monetary policy: A survey of theory and evidence. </w:t>
      </w:r>
      <w:r w:rsidRPr="00227B56">
        <w:rPr>
          <w:rFonts w:ascii="Arial" w:hAnsi="Arial" w:cs="Arial"/>
          <w:i/>
          <w:sz w:val="18"/>
          <w:szCs w:val="18"/>
        </w:rPr>
        <w:t>Journal of economic literature, 46</w:t>
      </w:r>
      <w:r w:rsidRPr="00227B56">
        <w:rPr>
          <w:rFonts w:ascii="Arial" w:hAnsi="Arial" w:cs="Arial"/>
          <w:sz w:val="18"/>
          <w:szCs w:val="18"/>
        </w:rPr>
        <w:t xml:space="preserve">(4), 910-945. </w:t>
      </w:r>
    </w:p>
    <w:p w14:paraId="73D0D4EB" w14:textId="402AB538"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Bolt, W., &amp; Tieman, A. F. (2004). Banking competition, risk and regulation. </w:t>
      </w:r>
      <w:r w:rsidRPr="00227B56">
        <w:rPr>
          <w:rFonts w:ascii="Arial" w:hAnsi="Arial" w:cs="Arial"/>
          <w:i/>
          <w:sz w:val="18"/>
          <w:szCs w:val="18"/>
        </w:rPr>
        <w:t>Scandinavian Journal of Economics, 106</w:t>
      </w:r>
      <w:r w:rsidRPr="00227B56">
        <w:rPr>
          <w:rFonts w:ascii="Arial" w:hAnsi="Arial" w:cs="Arial"/>
          <w:sz w:val="18"/>
          <w:szCs w:val="18"/>
        </w:rPr>
        <w:t xml:space="preserve">(4), 783-804. </w:t>
      </w:r>
    </w:p>
    <w:p w14:paraId="6BA74402"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Choudhry, M. (2012). </w:t>
      </w:r>
      <w:r w:rsidRPr="00227B56">
        <w:rPr>
          <w:rFonts w:ascii="Arial" w:hAnsi="Arial" w:cs="Arial"/>
          <w:i/>
          <w:sz w:val="18"/>
          <w:szCs w:val="18"/>
        </w:rPr>
        <w:t>The principles of banking</w:t>
      </w:r>
      <w:r w:rsidRPr="00227B56">
        <w:rPr>
          <w:rFonts w:ascii="Arial" w:hAnsi="Arial" w:cs="Arial"/>
          <w:sz w:val="18"/>
          <w:szCs w:val="18"/>
        </w:rPr>
        <w:t>: John Wiley &amp; Sons.</w:t>
      </w:r>
    </w:p>
    <w:p w14:paraId="264BAE01" w14:textId="116A4A84"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Claessens, S., Demirgüç-Kunt, A., &amp; Huizinga, H. (2001). How does foreign entry affect domestic banking markets? </w:t>
      </w:r>
      <w:r w:rsidRPr="00227B56">
        <w:rPr>
          <w:rFonts w:ascii="Arial" w:hAnsi="Arial" w:cs="Arial"/>
          <w:i/>
          <w:sz w:val="18"/>
          <w:szCs w:val="18"/>
        </w:rPr>
        <w:t>Journal of Banking &amp; Finance, 25</w:t>
      </w:r>
      <w:r w:rsidRPr="00227B56">
        <w:rPr>
          <w:rFonts w:ascii="Arial" w:hAnsi="Arial" w:cs="Arial"/>
          <w:sz w:val="18"/>
          <w:szCs w:val="18"/>
        </w:rPr>
        <w:t xml:space="preserve">(5), 891-911. </w:t>
      </w:r>
    </w:p>
    <w:p w14:paraId="26C5CE28" w14:textId="77777777" w:rsidR="00012763" w:rsidRPr="00227B56" w:rsidRDefault="00012763" w:rsidP="00012763">
      <w:pPr>
        <w:pStyle w:val="EndNoteBibliography"/>
        <w:spacing w:after="0"/>
        <w:ind w:left="720" w:hanging="720"/>
        <w:rPr>
          <w:rFonts w:ascii="Arial" w:hAnsi="Arial" w:cs="Arial"/>
          <w:sz w:val="18"/>
          <w:szCs w:val="18"/>
        </w:rPr>
      </w:pPr>
      <w:r w:rsidRPr="00227B56">
        <w:rPr>
          <w:rFonts w:ascii="Arial" w:hAnsi="Arial" w:cs="Arial"/>
          <w:sz w:val="18"/>
          <w:szCs w:val="18"/>
          <w:shd w:val="clear" w:color="auto" w:fill="FFFFFF"/>
        </w:rPr>
        <w:t>Cole et al. (2004). Banking reform in lndia. In </w:t>
      </w:r>
      <w:r w:rsidRPr="00227B56">
        <w:rPr>
          <w:rFonts w:ascii="Arial" w:hAnsi="Arial" w:cs="Arial"/>
          <w:i/>
          <w:iCs/>
          <w:sz w:val="18"/>
          <w:szCs w:val="18"/>
          <w:shd w:val="clear" w:color="auto" w:fill="FFFFFF"/>
        </w:rPr>
        <w:t>India Policy Forum</w:t>
      </w:r>
      <w:r w:rsidRPr="00227B56">
        <w:rPr>
          <w:rFonts w:ascii="Arial" w:hAnsi="Arial" w:cs="Arial"/>
          <w:sz w:val="18"/>
          <w:szCs w:val="18"/>
          <w:shd w:val="clear" w:color="auto" w:fill="FFFFFF"/>
        </w:rPr>
        <w:t> (Vol. 1, pp. 277-332).</w:t>
      </w:r>
    </w:p>
    <w:p w14:paraId="273331DC" w14:textId="17908596" w:rsidR="00CB347C" w:rsidRPr="00227B56" w:rsidRDefault="00CB347C" w:rsidP="00012763">
      <w:pPr>
        <w:pStyle w:val="EndNoteBibliography"/>
        <w:spacing w:after="0"/>
        <w:ind w:left="720" w:hanging="720"/>
        <w:rPr>
          <w:rFonts w:ascii="Arial" w:hAnsi="Arial" w:cs="Arial"/>
          <w:sz w:val="18"/>
          <w:szCs w:val="18"/>
        </w:rPr>
      </w:pPr>
      <w:r w:rsidRPr="00227B56">
        <w:rPr>
          <w:rFonts w:ascii="Arial" w:hAnsi="Arial" w:cs="Arial"/>
          <w:sz w:val="18"/>
          <w:szCs w:val="18"/>
        </w:rPr>
        <w:t xml:space="preserve">Demirgüç-Kunt, A., &amp; Huizinga, H. (2010). Bank activity and funding strategies: The impact on risk and returns. </w:t>
      </w:r>
      <w:r w:rsidRPr="00227B56">
        <w:rPr>
          <w:rFonts w:ascii="Arial" w:hAnsi="Arial" w:cs="Arial"/>
          <w:i/>
          <w:sz w:val="18"/>
          <w:szCs w:val="18"/>
        </w:rPr>
        <w:t>Journal of Financial Economics, 98</w:t>
      </w:r>
      <w:r w:rsidRPr="00227B56">
        <w:rPr>
          <w:rFonts w:ascii="Arial" w:hAnsi="Arial" w:cs="Arial"/>
          <w:sz w:val="18"/>
          <w:szCs w:val="18"/>
        </w:rPr>
        <w:t xml:space="preserve">(3), 626-650. </w:t>
      </w:r>
    </w:p>
    <w:p w14:paraId="061CA8ED" w14:textId="16D0D498"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Diamond, D. W., &amp; Dybvig, P. H. (1983). Bank runs, deposit insurance, and liquidity. </w:t>
      </w:r>
      <w:r w:rsidRPr="00227B56">
        <w:rPr>
          <w:rFonts w:ascii="Arial" w:hAnsi="Arial" w:cs="Arial"/>
          <w:i/>
          <w:sz w:val="18"/>
          <w:szCs w:val="18"/>
        </w:rPr>
        <w:t>Journal of political economy, 91</w:t>
      </w:r>
      <w:r w:rsidRPr="00227B56">
        <w:rPr>
          <w:rFonts w:ascii="Arial" w:hAnsi="Arial" w:cs="Arial"/>
          <w:sz w:val="18"/>
          <w:szCs w:val="18"/>
        </w:rPr>
        <w:t xml:space="preserve">(3), 401-419. </w:t>
      </w:r>
    </w:p>
    <w:p w14:paraId="014A5A2E" w14:textId="77777777" w:rsidR="003F10D8" w:rsidRPr="00227B56" w:rsidRDefault="003F10D8" w:rsidP="00012763">
      <w:pPr>
        <w:pStyle w:val="EndNoteBibliography"/>
        <w:spacing w:after="0"/>
        <w:ind w:left="720" w:hanging="720"/>
        <w:rPr>
          <w:rFonts w:ascii="Arial" w:hAnsi="Arial" w:cs="Arial"/>
          <w:sz w:val="18"/>
          <w:szCs w:val="18"/>
          <w:shd w:val="clear" w:color="auto" w:fill="FFFFFF"/>
        </w:rPr>
      </w:pPr>
      <w:r w:rsidRPr="00227B56">
        <w:rPr>
          <w:rFonts w:ascii="Arial" w:hAnsi="Arial" w:cs="Arial"/>
          <w:sz w:val="18"/>
          <w:szCs w:val="18"/>
          <w:shd w:val="clear" w:color="auto" w:fill="FFFFFF"/>
        </w:rPr>
        <w:t>Dietrich, A., &amp; Wanzenried, G. (2009). What determines the profitability of commercial banks? New evidence from Switzerland. In </w:t>
      </w:r>
      <w:r w:rsidRPr="00227B56">
        <w:rPr>
          <w:rFonts w:ascii="Arial" w:hAnsi="Arial" w:cs="Arial"/>
          <w:i/>
          <w:iCs/>
          <w:sz w:val="18"/>
          <w:szCs w:val="18"/>
          <w:shd w:val="clear" w:color="auto" w:fill="FFFFFF"/>
        </w:rPr>
        <w:t>12th conference of the Swiss society for financial market researches, Geneva</w:t>
      </w:r>
      <w:r w:rsidRPr="00227B56">
        <w:rPr>
          <w:rFonts w:ascii="Arial" w:hAnsi="Arial" w:cs="Arial"/>
          <w:sz w:val="18"/>
          <w:szCs w:val="18"/>
          <w:shd w:val="clear" w:color="auto" w:fill="FFFFFF"/>
        </w:rPr>
        <w:t> (pp. 2-39).</w:t>
      </w:r>
    </w:p>
    <w:p w14:paraId="71D14B21"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Eisenbeis, R., &amp; Kwan, S. (2005). Bank Risk, Capitalization and Inefficiency. </w:t>
      </w:r>
      <w:r w:rsidRPr="00227B56">
        <w:rPr>
          <w:rFonts w:ascii="Arial" w:hAnsi="Arial" w:cs="Arial"/>
          <w:i/>
          <w:sz w:val="18"/>
          <w:szCs w:val="18"/>
        </w:rPr>
        <w:t>Paper Retrieved on September, 8</w:t>
      </w:r>
      <w:r w:rsidRPr="00227B56">
        <w:rPr>
          <w:rFonts w:ascii="Arial" w:hAnsi="Arial" w:cs="Arial"/>
          <w:sz w:val="18"/>
          <w:szCs w:val="18"/>
        </w:rPr>
        <w:t xml:space="preserve">, 2005. </w:t>
      </w:r>
    </w:p>
    <w:p w14:paraId="0523900D"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Ejoh, N., &amp; Iwara, U. (2014). The Impact of Capital Adequacy on Deposit Money Banks’ Profitability in Nigeria. </w:t>
      </w:r>
      <w:r w:rsidRPr="00227B56">
        <w:rPr>
          <w:rFonts w:ascii="Arial" w:hAnsi="Arial" w:cs="Arial"/>
          <w:i/>
          <w:sz w:val="18"/>
          <w:szCs w:val="18"/>
        </w:rPr>
        <w:t>Research Journal of Finance and Accounting ISSN 2222-1697 (Paper) ISSN 2222-2847 (Online), 5</w:t>
      </w:r>
      <w:r w:rsidRPr="00227B56">
        <w:rPr>
          <w:rFonts w:ascii="Arial" w:hAnsi="Arial" w:cs="Arial"/>
          <w:sz w:val="18"/>
          <w:szCs w:val="18"/>
        </w:rPr>
        <w:t xml:space="preserve">(12). </w:t>
      </w:r>
    </w:p>
    <w:p w14:paraId="57E4C193"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Elliott et al. (2015). Shadow banking in China: A primer. </w:t>
      </w:r>
      <w:r w:rsidRPr="00227B56">
        <w:rPr>
          <w:rFonts w:ascii="Arial" w:hAnsi="Arial" w:cs="Arial"/>
          <w:i/>
          <w:sz w:val="18"/>
          <w:szCs w:val="18"/>
        </w:rPr>
        <w:t>Economic Studies at Brookings, 3</w:t>
      </w:r>
      <w:r w:rsidRPr="00227B56">
        <w:rPr>
          <w:rFonts w:ascii="Arial" w:hAnsi="Arial" w:cs="Arial"/>
          <w:sz w:val="18"/>
          <w:szCs w:val="18"/>
        </w:rPr>
        <w:t xml:space="preserve">, 1-7. </w:t>
      </w:r>
    </w:p>
    <w:p w14:paraId="3E2DF878"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Eyo, E. I., &amp; Offiong, A. I. (2015). Effect of capital adequacy on the performance of Access bank PLC (1999-2012). </w:t>
      </w:r>
      <w:r w:rsidRPr="00227B56">
        <w:rPr>
          <w:rFonts w:ascii="Arial" w:hAnsi="Arial" w:cs="Arial"/>
          <w:i/>
          <w:sz w:val="18"/>
          <w:szCs w:val="18"/>
        </w:rPr>
        <w:t>International Journal of Trade, Economics and Finance, 6</w:t>
      </w:r>
      <w:r w:rsidRPr="00227B56">
        <w:rPr>
          <w:rFonts w:ascii="Arial" w:hAnsi="Arial" w:cs="Arial"/>
          <w:sz w:val="18"/>
          <w:szCs w:val="18"/>
        </w:rPr>
        <w:t xml:space="preserve">(6), 308-313. </w:t>
      </w:r>
    </w:p>
    <w:p w14:paraId="619C6184"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Ezeoha, A. E. (2006). Regulating Internet Banking in Nigeria: some success prescriptions–part 2. </w:t>
      </w:r>
      <w:r w:rsidRPr="00227B56">
        <w:rPr>
          <w:rFonts w:ascii="Arial" w:hAnsi="Arial" w:cs="Arial"/>
          <w:i/>
          <w:sz w:val="18"/>
          <w:szCs w:val="18"/>
        </w:rPr>
        <w:t>Journal of Internet Banking and Commerce, 11</w:t>
      </w:r>
      <w:r w:rsidRPr="00227B56">
        <w:rPr>
          <w:rFonts w:ascii="Arial" w:hAnsi="Arial" w:cs="Arial"/>
          <w:sz w:val="18"/>
          <w:szCs w:val="18"/>
        </w:rPr>
        <w:t xml:space="preserve">(1), 35-47. </w:t>
      </w:r>
    </w:p>
    <w:p w14:paraId="454DD80A"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lastRenderedPageBreak/>
        <w:t xml:space="preserve">Furlong, F. T., &amp; Keeley, M. C. (1989). Capital regulation and bank risk-taking: A note. </w:t>
      </w:r>
      <w:r w:rsidRPr="00227B56">
        <w:rPr>
          <w:rFonts w:ascii="Arial" w:hAnsi="Arial" w:cs="Arial"/>
          <w:i/>
          <w:sz w:val="18"/>
          <w:szCs w:val="18"/>
        </w:rPr>
        <w:t>Journal of Banking &amp; Finance, 13</w:t>
      </w:r>
      <w:r w:rsidRPr="00227B56">
        <w:rPr>
          <w:rFonts w:ascii="Arial" w:hAnsi="Arial" w:cs="Arial"/>
          <w:sz w:val="18"/>
          <w:szCs w:val="18"/>
        </w:rPr>
        <w:t xml:space="preserve">(6), 883-891. </w:t>
      </w:r>
    </w:p>
    <w:p w14:paraId="783CE7E6"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Goddard et al. (2004). Dynamics of growth and profitability in banking. </w:t>
      </w:r>
      <w:r w:rsidRPr="00227B56">
        <w:rPr>
          <w:rFonts w:ascii="Arial" w:hAnsi="Arial" w:cs="Arial"/>
          <w:i/>
          <w:sz w:val="18"/>
          <w:szCs w:val="18"/>
        </w:rPr>
        <w:t>Journal of Money, Credit and Banking</w:t>
      </w:r>
      <w:r w:rsidRPr="00227B56">
        <w:rPr>
          <w:rFonts w:ascii="Arial" w:hAnsi="Arial" w:cs="Arial"/>
          <w:sz w:val="18"/>
          <w:szCs w:val="18"/>
        </w:rPr>
        <w:t xml:space="preserve">, 1069-1090. </w:t>
      </w:r>
    </w:p>
    <w:p w14:paraId="3AD3C7D0"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Goddard, J., Molyneux, P., &amp; Wilson, J. O. (2004). The profitability of European banks: a cross</w:t>
      </w:r>
      <w:r w:rsidRPr="00227B56">
        <w:rPr>
          <w:rFonts w:ascii="Cambria Math" w:hAnsi="Cambria Math" w:cs="Cambria Math"/>
          <w:sz w:val="18"/>
          <w:szCs w:val="18"/>
        </w:rPr>
        <w:t>‐</w:t>
      </w:r>
      <w:r w:rsidRPr="00227B56">
        <w:rPr>
          <w:rFonts w:ascii="Arial" w:hAnsi="Arial" w:cs="Arial"/>
          <w:sz w:val="18"/>
          <w:szCs w:val="18"/>
        </w:rPr>
        <w:t xml:space="preserve">sectional and dynamic panel analysis. </w:t>
      </w:r>
      <w:r w:rsidRPr="00227B56">
        <w:rPr>
          <w:rFonts w:ascii="Arial" w:hAnsi="Arial" w:cs="Arial"/>
          <w:i/>
          <w:sz w:val="18"/>
          <w:szCs w:val="18"/>
        </w:rPr>
        <w:t>The Manchester School, 72</w:t>
      </w:r>
      <w:r w:rsidRPr="00227B56">
        <w:rPr>
          <w:rFonts w:ascii="Arial" w:hAnsi="Arial" w:cs="Arial"/>
          <w:sz w:val="18"/>
          <w:szCs w:val="18"/>
        </w:rPr>
        <w:t xml:space="preserve">(3), 363-381. </w:t>
      </w:r>
    </w:p>
    <w:p w14:paraId="3774900A"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Jagongo, A., &amp; Molonko, B. (2017). Bottom of the Pyramid Strategy and Financial Performance of Commercial Banks: An Assessment of Agency Banking Operations in Kenya.</w:t>
      </w:r>
    </w:p>
    <w:p w14:paraId="189CE16D"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Jalloh , A., MAMOUD. (2017). Impact of Capital Adequacy on the Performance of Nigerian Banks using the Basel Accord Framework. </w:t>
      </w:r>
    </w:p>
    <w:p w14:paraId="4E9B2464"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Kashyap, A. K., Rajan, R., &amp; Stein, J. C. (2002). Banks as liquidity providers: An explanation for the coexistence of lending and deposit</w:t>
      </w:r>
      <w:r w:rsidRPr="00227B56">
        <w:rPr>
          <w:rFonts w:ascii="Cambria Math" w:hAnsi="Cambria Math" w:cs="Cambria Math"/>
          <w:sz w:val="18"/>
          <w:szCs w:val="18"/>
        </w:rPr>
        <w:t>‐</w:t>
      </w:r>
      <w:r w:rsidRPr="00227B56">
        <w:rPr>
          <w:rFonts w:ascii="Arial" w:hAnsi="Arial" w:cs="Arial"/>
          <w:sz w:val="18"/>
          <w:szCs w:val="18"/>
        </w:rPr>
        <w:t xml:space="preserve">taking. </w:t>
      </w:r>
      <w:r w:rsidRPr="00227B56">
        <w:rPr>
          <w:rFonts w:ascii="Arial" w:hAnsi="Arial" w:cs="Arial"/>
          <w:i/>
          <w:sz w:val="18"/>
          <w:szCs w:val="18"/>
        </w:rPr>
        <w:t>The Journal of Finance, 57</w:t>
      </w:r>
      <w:r w:rsidRPr="00227B56">
        <w:rPr>
          <w:rFonts w:ascii="Arial" w:hAnsi="Arial" w:cs="Arial"/>
          <w:sz w:val="18"/>
          <w:szCs w:val="18"/>
        </w:rPr>
        <w:t xml:space="preserve">(1), 33-73. </w:t>
      </w:r>
    </w:p>
    <w:p w14:paraId="76DE7C8F" w14:textId="401C56A6"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Keitany, N. J. (2013). The Relationship Between Loan Default and the Financial Performance of Saccos in Kenya. </w:t>
      </w:r>
      <w:r w:rsidRPr="00227B56">
        <w:rPr>
          <w:rFonts w:ascii="Arial" w:hAnsi="Arial" w:cs="Arial"/>
          <w:i/>
          <w:sz w:val="18"/>
          <w:szCs w:val="18"/>
        </w:rPr>
        <w:t>Nairobi: University of Nairobi</w:t>
      </w:r>
      <w:r w:rsidRPr="00227B56">
        <w:rPr>
          <w:rFonts w:ascii="Arial" w:hAnsi="Arial" w:cs="Arial"/>
          <w:sz w:val="18"/>
          <w:szCs w:val="18"/>
        </w:rPr>
        <w:t xml:space="preserve">. </w:t>
      </w:r>
    </w:p>
    <w:p w14:paraId="1A34F380" w14:textId="3130E994" w:rsidR="00227B56" w:rsidRPr="00227B56" w:rsidRDefault="00227B56" w:rsidP="00CB347C">
      <w:pPr>
        <w:pStyle w:val="EndNoteBibliography"/>
        <w:spacing w:after="0"/>
        <w:ind w:left="720" w:hanging="720"/>
        <w:rPr>
          <w:rFonts w:ascii="Arial" w:hAnsi="Arial" w:cs="Arial"/>
          <w:sz w:val="18"/>
          <w:szCs w:val="18"/>
        </w:rPr>
      </w:pPr>
      <w:r w:rsidRPr="00227B56">
        <w:rPr>
          <w:rFonts w:ascii="Arial" w:hAnsi="Arial" w:cs="Arial"/>
          <w:sz w:val="18"/>
          <w:szCs w:val="18"/>
          <w:shd w:val="clear" w:color="auto" w:fill="FFFFFF"/>
        </w:rPr>
        <w:t>Mwenda, K. K. (2000). INTRODUCTION: CONTEXT OF THE STUDY. In </w:t>
      </w:r>
      <w:r w:rsidRPr="00227B56">
        <w:rPr>
          <w:rFonts w:ascii="Arial" w:hAnsi="Arial" w:cs="Arial"/>
          <w:i/>
          <w:iCs/>
          <w:sz w:val="18"/>
          <w:szCs w:val="18"/>
          <w:shd w:val="clear" w:color="auto" w:fill="FFFFFF"/>
        </w:rPr>
        <w:t>Banking Supervision &amp; Systemic Bank Restructuring</w:t>
      </w:r>
      <w:r w:rsidRPr="00227B56">
        <w:rPr>
          <w:rFonts w:ascii="Arial" w:hAnsi="Arial" w:cs="Arial"/>
          <w:sz w:val="18"/>
          <w:szCs w:val="18"/>
          <w:shd w:val="clear" w:color="auto" w:fill="FFFFFF"/>
        </w:rPr>
        <w:t> (pp. 25-32). Routledge-Cavendish</w:t>
      </w:r>
    </w:p>
    <w:p w14:paraId="2A4F9C82"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Nzotta, S. (2004). Money, banking and finance: Theory and practice. </w:t>
      </w:r>
      <w:r w:rsidRPr="00227B56">
        <w:rPr>
          <w:rFonts w:ascii="Arial" w:hAnsi="Arial" w:cs="Arial"/>
          <w:i/>
          <w:sz w:val="18"/>
          <w:szCs w:val="18"/>
        </w:rPr>
        <w:t>Owerri: Hudson—Jude Nigeria Publishers</w:t>
      </w:r>
      <w:r w:rsidRPr="00227B56">
        <w:rPr>
          <w:rFonts w:ascii="Arial" w:hAnsi="Arial" w:cs="Arial"/>
          <w:sz w:val="18"/>
          <w:szCs w:val="18"/>
        </w:rPr>
        <w:t xml:space="preserve">. </w:t>
      </w:r>
    </w:p>
    <w:p w14:paraId="562308C1"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Oyetan, J. (1997). Packaging banks for successful recapitalization. </w:t>
      </w:r>
      <w:r w:rsidRPr="00227B56">
        <w:rPr>
          <w:rFonts w:ascii="Arial" w:hAnsi="Arial" w:cs="Arial"/>
          <w:i/>
          <w:sz w:val="18"/>
          <w:szCs w:val="18"/>
        </w:rPr>
        <w:t>The Nigerian Banker, Jan-June</w:t>
      </w:r>
      <w:r w:rsidRPr="00227B56">
        <w:rPr>
          <w:rFonts w:ascii="Arial" w:hAnsi="Arial" w:cs="Arial"/>
          <w:sz w:val="18"/>
          <w:szCs w:val="18"/>
        </w:rPr>
        <w:t xml:space="preserve">, 21-24. </w:t>
      </w:r>
    </w:p>
    <w:p w14:paraId="226FC20A"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Rime, B. (2001). Capital requirements and bank behaviour: Empirical evidence for Switzerland. </w:t>
      </w:r>
      <w:r w:rsidRPr="00227B56">
        <w:rPr>
          <w:rFonts w:ascii="Arial" w:hAnsi="Arial" w:cs="Arial"/>
          <w:i/>
          <w:sz w:val="18"/>
          <w:szCs w:val="18"/>
        </w:rPr>
        <w:t>Journal of Banking &amp; Finance, 25</w:t>
      </w:r>
      <w:r w:rsidRPr="00227B56">
        <w:rPr>
          <w:rFonts w:ascii="Arial" w:hAnsi="Arial" w:cs="Arial"/>
          <w:sz w:val="18"/>
          <w:szCs w:val="18"/>
        </w:rPr>
        <w:t xml:space="preserve">(4), 789-805. </w:t>
      </w:r>
    </w:p>
    <w:p w14:paraId="4436BFB7"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Rose-Ackerman, S. (2010). Putting cost-benefit analysis in its place: Rethinking regulatory review. </w:t>
      </w:r>
      <w:r w:rsidRPr="00227B56">
        <w:rPr>
          <w:rFonts w:ascii="Arial" w:hAnsi="Arial" w:cs="Arial"/>
          <w:i/>
          <w:sz w:val="18"/>
          <w:szCs w:val="18"/>
        </w:rPr>
        <w:t>U. Miami L. Rev., 65</w:t>
      </w:r>
      <w:r w:rsidRPr="00227B56">
        <w:rPr>
          <w:rFonts w:ascii="Arial" w:hAnsi="Arial" w:cs="Arial"/>
          <w:sz w:val="18"/>
          <w:szCs w:val="18"/>
        </w:rPr>
        <w:t xml:space="preserve">, 335. </w:t>
      </w:r>
    </w:p>
    <w:p w14:paraId="4A0C9E6B"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Soludo, C. C. (2004). </w:t>
      </w:r>
      <w:r w:rsidRPr="00227B56">
        <w:rPr>
          <w:rFonts w:ascii="Arial" w:hAnsi="Arial" w:cs="Arial"/>
          <w:i/>
          <w:sz w:val="18"/>
          <w:szCs w:val="18"/>
        </w:rPr>
        <w:t>Consolidating the Nigerian banking industry to meet the development challenges of the 21st century.</w:t>
      </w:r>
      <w:r w:rsidRPr="00227B56">
        <w:rPr>
          <w:rFonts w:ascii="Arial" w:hAnsi="Arial" w:cs="Arial"/>
          <w:sz w:val="18"/>
          <w:szCs w:val="18"/>
        </w:rPr>
        <w:t xml:space="preserve"> Paper presented at the Being an address delivered to the Special Meeting of the Bankers Committee, held on July.</w:t>
      </w:r>
    </w:p>
    <w:p w14:paraId="17D99C19"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Staikouras, C. K., &amp; Wood, G. E. (2004). The determinants of European bank profitability. </w:t>
      </w:r>
      <w:r w:rsidRPr="00227B56">
        <w:rPr>
          <w:rFonts w:ascii="Arial" w:hAnsi="Arial" w:cs="Arial"/>
          <w:i/>
          <w:sz w:val="18"/>
          <w:szCs w:val="18"/>
        </w:rPr>
        <w:t>International business and economics research journal, 3</w:t>
      </w:r>
      <w:r w:rsidRPr="00227B56">
        <w:rPr>
          <w:rFonts w:ascii="Arial" w:hAnsi="Arial" w:cs="Arial"/>
          <w:sz w:val="18"/>
          <w:szCs w:val="18"/>
        </w:rPr>
        <w:t xml:space="preserve">, 57-68. </w:t>
      </w:r>
    </w:p>
    <w:p w14:paraId="7EFF171F"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Tahyar et al. (2010). </w:t>
      </w:r>
      <w:r w:rsidRPr="00227B56">
        <w:rPr>
          <w:rFonts w:ascii="Arial" w:hAnsi="Arial" w:cs="Arial"/>
          <w:i/>
          <w:sz w:val="18"/>
          <w:szCs w:val="18"/>
        </w:rPr>
        <w:t>Collins Amendment Sets Minimum Capital Requirements.</w:t>
      </w:r>
      <w:r w:rsidRPr="00227B56">
        <w:rPr>
          <w:rFonts w:ascii="Arial" w:hAnsi="Arial" w:cs="Arial"/>
          <w:sz w:val="18"/>
          <w:szCs w:val="18"/>
        </w:rPr>
        <w:t xml:space="preserve"> Paper presented at the The Harvard Law School Forum on Corporate Governance and Financial Regulation.</w:t>
      </w:r>
    </w:p>
    <w:p w14:paraId="44912CCD"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Thakor, A. V. (1996). Capital requirements, monetary policy, and aggregate bank lending: theory and empirical evidence. </w:t>
      </w:r>
      <w:r w:rsidRPr="00227B56">
        <w:rPr>
          <w:rFonts w:ascii="Arial" w:hAnsi="Arial" w:cs="Arial"/>
          <w:i/>
          <w:sz w:val="18"/>
          <w:szCs w:val="18"/>
        </w:rPr>
        <w:t>The Journal of Finance, 51</w:t>
      </w:r>
      <w:r w:rsidRPr="00227B56">
        <w:rPr>
          <w:rFonts w:ascii="Arial" w:hAnsi="Arial" w:cs="Arial"/>
          <w:sz w:val="18"/>
          <w:szCs w:val="18"/>
        </w:rPr>
        <w:t xml:space="preserve">(1), 279-324. </w:t>
      </w:r>
    </w:p>
    <w:p w14:paraId="36DEF92A" w14:textId="77777777" w:rsidR="00CB347C" w:rsidRPr="00227B56" w:rsidRDefault="00CB347C" w:rsidP="00CB347C">
      <w:pPr>
        <w:pStyle w:val="EndNoteBibliography"/>
        <w:spacing w:after="0"/>
        <w:ind w:left="720" w:hanging="720"/>
        <w:rPr>
          <w:rFonts w:ascii="Arial" w:hAnsi="Arial" w:cs="Arial"/>
          <w:sz w:val="18"/>
          <w:szCs w:val="18"/>
        </w:rPr>
      </w:pPr>
      <w:r w:rsidRPr="00227B56">
        <w:rPr>
          <w:rFonts w:ascii="Arial" w:hAnsi="Arial" w:cs="Arial"/>
          <w:sz w:val="18"/>
          <w:szCs w:val="18"/>
        </w:rPr>
        <w:t xml:space="preserve">Torbira, L., &amp; Zaagha, A. S. (2016). Capital adequacy measures and bank financial performance in Nigeria: A cointegration analysis. </w:t>
      </w:r>
      <w:r w:rsidRPr="00227B56">
        <w:rPr>
          <w:rFonts w:ascii="Arial" w:hAnsi="Arial" w:cs="Arial"/>
          <w:i/>
          <w:sz w:val="18"/>
          <w:szCs w:val="18"/>
        </w:rPr>
        <w:t>Journal of Finance and Economic Research, 3</w:t>
      </w:r>
      <w:r w:rsidRPr="00227B56">
        <w:rPr>
          <w:rFonts w:ascii="Arial" w:hAnsi="Arial" w:cs="Arial"/>
          <w:sz w:val="18"/>
          <w:szCs w:val="18"/>
        </w:rPr>
        <w:t xml:space="preserve">(1), 15-34. </w:t>
      </w:r>
    </w:p>
    <w:p w14:paraId="635F8FDD" w14:textId="69745E2F" w:rsidR="00CB347C" w:rsidRPr="00227B56" w:rsidRDefault="00CB347C" w:rsidP="00CB347C">
      <w:pPr>
        <w:pStyle w:val="EndNoteBibliography"/>
        <w:ind w:left="720" w:hanging="720"/>
        <w:rPr>
          <w:rFonts w:ascii="Arial" w:hAnsi="Arial" w:cs="Arial"/>
          <w:sz w:val="18"/>
          <w:szCs w:val="18"/>
        </w:rPr>
      </w:pPr>
      <w:r w:rsidRPr="00227B56">
        <w:rPr>
          <w:rFonts w:ascii="Arial" w:hAnsi="Arial" w:cs="Arial"/>
          <w:sz w:val="18"/>
          <w:szCs w:val="18"/>
        </w:rPr>
        <w:t>Whitehead, L. (1997). Models of central banking: How much convergence in neodemocracies: Oxford, Nuffield College.</w:t>
      </w:r>
    </w:p>
    <w:p w14:paraId="38F68254" w14:textId="3F16A909" w:rsidR="00915286" w:rsidRPr="00227B56" w:rsidRDefault="00C40CC2" w:rsidP="00915286">
      <w:pPr>
        <w:spacing w:after="0" w:line="360" w:lineRule="auto"/>
        <w:jc w:val="both"/>
        <w:rPr>
          <w:rFonts w:ascii="Arial" w:eastAsia="Times New Roman" w:hAnsi="Arial" w:cs="Arial"/>
          <w:kern w:val="36"/>
          <w:sz w:val="18"/>
          <w:szCs w:val="18"/>
        </w:rPr>
      </w:pPr>
      <w:r w:rsidRPr="00227B56">
        <w:rPr>
          <w:rFonts w:ascii="Arial" w:eastAsia="Times New Roman" w:hAnsi="Arial" w:cs="Arial"/>
          <w:kern w:val="36"/>
          <w:sz w:val="18"/>
          <w:szCs w:val="18"/>
        </w:rPr>
        <w:fldChar w:fldCharType="end"/>
      </w:r>
      <w:hyperlink r:id="rId8" w:history="1">
        <w:r w:rsidR="00915286" w:rsidRPr="00227B56">
          <w:rPr>
            <w:rStyle w:val="Hyperlink"/>
            <w:rFonts w:ascii="Arial" w:eastAsia="Times New Roman" w:hAnsi="Arial" w:cs="Arial"/>
            <w:color w:val="auto"/>
            <w:kern w:val="36"/>
            <w:sz w:val="18"/>
            <w:szCs w:val="18"/>
            <w:u w:val="none"/>
          </w:rPr>
          <w:t>Http://www.annualreportsghana.com/home/documents/annual-reports/companies/2009</w:t>
        </w:r>
      </w:hyperlink>
      <w:r w:rsidR="00915286" w:rsidRPr="00227B56">
        <w:rPr>
          <w:rFonts w:ascii="Arial" w:eastAsia="Times New Roman" w:hAnsi="Arial" w:cs="Arial"/>
          <w:kern w:val="36"/>
          <w:sz w:val="18"/>
          <w:szCs w:val="18"/>
        </w:rPr>
        <w:t xml:space="preserve"> </w:t>
      </w:r>
    </w:p>
    <w:p w14:paraId="63F2B2AB" w14:textId="0C29FD7B" w:rsidR="00915286" w:rsidRPr="00227B56" w:rsidRDefault="00751A04" w:rsidP="00915286">
      <w:pPr>
        <w:spacing w:after="0" w:line="360" w:lineRule="auto"/>
        <w:jc w:val="both"/>
        <w:rPr>
          <w:rFonts w:ascii="Arial" w:eastAsia="Times New Roman" w:hAnsi="Arial" w:cs="Arial"/>
          <w:kern w:val="36"/>
          <w:sz w:val="18"/>
          <w:szCs w:val="18"/>
        </w:rPr>
      </w:pPr>
      <w:hyperlink r:id="rId9" w:history="1">
        <w:r w:rsidR="00915286" w:rsidRPr="00227B56">
          <w:rPr>
            <w:rStyle w:val="Hyperlink"/>
            <w:rFonts w:ascii="Arial" w:eastAsia="Times New Roman" w:hAnsi="Arial" w:cs="Arial"/>
            <w:color w:val="auto"/>
            <w:kern w:val="36"/>
            <w:sz w:val="18"/>
            <w:szCs w:val="18"/>
            <w:u w:val="none"/>
          </w:rPr>
          <w:t>Https://www.marketscreener.com/ecobank-ghana-limited</w:t>
        </w:r>
      </w:hyperlink>
      <w:r w:rsidR="00915286" w:rsidRPr="00227B56">
        <w:rPr>
          <w:rFonts w:ascii="Arial" w:eastAsia="Times New Roman" w:hAnsi="Arial" w:cs="Arial"/>
          <w:kern w:val="36"/>
          <w:sz w:val="18"/>
          <w:szCs w:val="18"/>
        </w:rPr>
        <w:t xml:space="preserve"> </w:t>
      </w:r>
    </w:p>
    <w:p w14:paraId="0A5F6168" w14:textId="6625FEEF" w:rsidR="00915286" w:rsidRPr="00227B56" w:rsidRDefault="00751A04" w:rsidP="00915286">
      <w:pPr>
        <w:spacing w:after="0" w:line="360" w:lineRule="auto"/>
        <w:jc w:val="both"/>
        <w:rPr>
          <w:rFonts w:ascii="Arial" w:eastAsia="Times New Roman" w:hAnsi="Arial" w:cs="Arial"/>
          <w:kern w:val="36"/>
          <w:sz w:val="18"/>
          <w:szCs w:val="18"/>
        </w:rPr>
      </w:pPr>
      <w:hyperlink r:id="rId10" w:history="1">
        <w:r w:rsidR="00915286" w:rsidRPr="00227B56">
          <w:rPr>
            <w:rStyle w:val="Hyperlink"/>
            <w:rFonts w:ascii="Arial" w:eastAsia="Times New Roman" w:hAnsi="Arial" w:cs="Arial"/>
            <w:color w:val="auto"/>
            <w:kern w:val="36"/>
            <w:sz w:val="18"/>
            <w:szCs w:val="18"/>
            <w:u w:val="none"/>
          </w:rPr>
          <w:t>Http://www.annualreportsghana.com/home/documents/gse-filings/2011/pr---056-ebg-results-for</w:t>
        </w:r>
      </w:hyperlink>
      <w:r w:rsidR="00915286" w:rsidRPr="00227B56">
        <w:rPr>
          <w:rFonts w:ascii="Arial" w:eastAsia="Times New Roman" w:hAnsi="Arial" w:cs="Arial"/>
          <w:kern w:val="36"/>
          <w:sz w:val="18"/>
          <w:szCs w:val="18"/>
        </w:rPr>
        <w:t xml:space="preserve"> </w:t>
      </w:r>
    </w:p>
    <w:p w14:paraId="288E6730" w14:textId="283EC02E" w:rsidR="00915286" w:rsidRPr="00227B56" w:rsidRDefault="00915286" w:rsidP="00915286">
      <w:pPr>
        <w:spacing w:after="0" w:line="360" w:lineRule="auto"/>
        <w:jc w:val="both"/>
        <w:rPr>
          <w:rFonts w:ascii="Arial" w:eastAsia="Times New Roman" w:hAnsi="Arial" w:cs="Arial"/>
          <w:kern w:val="36"/>
          <w:sz w:val="18"/>
          <w:szCs w:val="18"/>
        </w:rPr>
      </w:pPr>
      <w:r w:rsidRPr="00227B56">
        <w:rPr>
          <w:rFonts w:ascii="Arial" w:eastAsia="Times New Roman" w:hAnsi="Arial" w:cs="Arial"/>
          <w:kern w:val="36"/>
          <w:sz w:val="18"/>
          <w:szCs w:val="18"/>
        </w:rPr>
        <w:t>Https://africanfinancials.com/document/gh-ebg-2009-ar-00/</w:t>
      </w:r>
    </w:p>
    <w:p w14:paraId="7A196DE2" w14:textId="4DBB3C61" w:rsidR="00915286" w:rsidRPr="00227B56" w:rsidRDefault="00915286" w:rsidP="00915286">
      <w:pPr>
        <w:spacing w:after="0" w:line="360" w:lineRule="auto"/>
        <w:jc w:val="both"/>
        <w:rPr>
          <w:rFonts w:ascii="Arial" w:eastAsia="Times New Roman" w:hAnsi="Arial" w:cs="Arial"/>
          <w:kern w:val="36"/>
          <w:sz w:val="18"/>
          <w:szCs w:val="18"/>
        </w:rPr>
      </w:pPr>
      <w:r w:rsidRPr="00227B56">
        <w:rPr>
          <w:rFonts w:ascii="Arial" w:eastAsia="Times New Roman" w:hAnsi="Arial" w:cs="Arial"/>
          <w:kern w:val="36"/>
          <w:sz w:val="18"/>
          <w:szCs w:val="18"/>
        </w:rPr>
        <w:t>Https://calbank.net/financials/annual-reports/</w:t>
      </w:r>
    </w:p>
    <w:p w14:paraId="7295802B" w14:textId="09F4DB9C" w:rsidR="00C40CC2" w:rsidRPr="00227B56" w:rsidRDefault="00915286" w:rsidP="00227B56">
      <w:pPr>
        <w:spacing w:after="0" w:line="360" w:lineRule="auto"/>
        <w:jc w:val="both"/>
        <w:rPr>
          <w:rFonts w:ascii="Arial" w:eastAsia="Times New Roman" w:hAnsi="Arial" w:cs="Arial"/>
          <w:kern w:val="36"/>
          <w:sz w:val="18"/>
          <w:szCs w:val="18"/>
        </w:rPr>
      </w:pPr>
      <w:r w:rsidRPr="00227B56">
        <w:rPr>
          <w:rFonts w:ascii="Arial" w:eastAsia="Times New Roman" w:hAnsi="Arial" w:cs="Arial"/>
          <w:kern w:val="36"/>
          <w:sz w:val="18"/>
          <w:szCs w:val="18"/>
        </w:rPr>
        <w:t>Https://africanfinancials.com/document/gh-scb-2017-ar-00/</w:t>
      </w:r>
    </w:p>
    <w:p w14:paraId="379EB7A9" w14:textId="60E35445" w:rsidR="00782AF5" w:rsidRPr="00227B56" w:rsidRDefault="00751A04">
      <w:pPr>
        <w:rPr>
          <w:rFonts w:ascii="Arial" w:hAnsi="Arial" w:cs="Arial"/>
          <w:sz w:val="18"/>
          <w:szCs w:val="18"/>
        </w:rPr>
      </w:pPr>
      <w:hyperlink r:id="rId11" w:history="1">
        <w:r w:rsidR="00012763" w:rsidRPr="00227B56">
          <w:rPr>
            <w:rStyle w:val="Hyperlink"/>
            <w:rFonts w:ascii="Arial" w:hAnsi="Arial" w:cs="Arial"/>
            <w:color w:val="auto"/>
            <w:sz w:val="18"/>
            <w:szCs w:val="18"/>
            <w:u w:val="none"/>
          </w:rPr>
          <w:t>https://www.bog.gov.gh/privatecontent/Banking_Supervision/Basel%20II%20-%20BOG%20CRD%20Final%2027%20June%202018%20%20Basel%20Committee%20BSD.pdf</w:t>
        </w:r>
      </w:hyperlink>
    </w:p>
    <w:p w14:paraId="1EF67534" w14:textId="6A1E39EA" w:rsidR="00012763" w:rsidRPr="00227B56" w:rsidRDefault="00012763">
      <w:pPr>
        <w:rPr>
          <w:rFonts w:ascii="Arial" w:hAnsi="Arial" w:cs="Arial"/>
          <w:sz w:val="18"/>
          <w:szCs w:val="18"/>
        </w:rPr>
      </w:pPr>
    </w:p>
    <w:sectPr w:rsidR="00012763" w:rsidRPr="00227B56" w:rsidSect="00DE7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C8DE" w14:textId="77777777" w:rsidR="00751A04" w:rsidRDefault="00751A04" w:rsidP="00B3223F">
      <w:pPr>
        <w:spacing w:after="0" w:line="240" w:lineRule="auto"/>
      </w:pPr>
      <w:r>
        <w:separator/>
      </w:r>
    </w:p>
  </w:endnote>
  <w:endnote w:type="continuationSeparator" w:id="0">
    <w:p w14:paraId="35326A6B" w14:textId="77777777" w:rsidR="00751A04" w:rsidRDefault="00751A04" w:rsidP="00B3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2E92" w14:textId="77777777" w:rsidR="00751A04" w:rsidRDefault="00751A04" w:rsidP="00B3223F">
      <w:pPr>
        <w:spacing w:after="0" w:line="240" w:lineRule="auto"/>
      </w:pPr>
      <w:r>
        <w:separator/>
      </w:r>
    </w:p>
  </w:footnote>
  <w:footnote w:type="continuationSeparator" w:id="0">
    <w:p w14:paraId="5699EA9A" w14:textId="77777777" w:rsidR="00751A04" w:rsidRDefault="00751A04" w:rsidP="00B32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490"/>
    <w:multiLevelType w:val="multilevel"/>
    <w:tmpl w:val="35C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41394"/>
    <w:multiLevelType w:val="hybridMultilevel"/>
    <w:tmpl w:val="910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31507"/>
    <w:multiLevelType w:val="hybridMultilevel"/>
    <w:tmpl w:val="E4C613E8"/>
    <w:lvl w:ilvl="0" w:tplc="2A6E1388">
      <w:start w:val="1"/>
      <w:numFmt w:val="bullet"/>
      <w:lvlText w:val=""/>
      <w:lvlJc w:val="left"/>
      <w:pPr>
        <w:tabs>
          <w:tab w:val="num" w:pos="720"/>
        </w:tabs>
        <w:ind w:left="720" w:hanging="360"/>
      </w:pPr>
      <w:rPr>
        <w:rFonts w:ascii="Wingdings 2" w:hAnsi="Wingdings 2" w:hint="default"/>
      </w:rPr>
    </w:lvl>
    <w:lvl w:ilvl="1" w:tplc="9942EE82" w:tentative="1">
      <w:start w:val="1"/>
      <w:numFmt w:val="bullet"/>
      <w:lvlText w:val=""/>
      <w:lvlJc w:val="left"/>
      <w:pPr>
        <w:tabs>
          <w:tab w:val="num" w:pos="1440"/>
        </w:tabs>
        <w:ind w:left="1440" w:hanging="360"/>
      </w:pPr>
      <w:rPr>
        <w:rFonts w:ascii="Wingdings 2" w:hAnsi="Wingdings 2" w:hint="default"/>
      </w:rPr>
    </w:lvl>
    <w:lvl w:ilvl="2" w:tplc="A436472E" w:tentative="1">
      <w:start w:val="1"/>
      <w:numFmt w:val="bullet"/>
      <w:lvlText w:val=""/>
      <w:lvlJc w:val="left"/>
      <w:pPr>
        <w:tabs>
          <w:tab w:val="num" w:pos="2160"/>
        </w:tabs>
        <w:ind w:left="2160" w:hanging="360"/>
      </w:pPr>
      <w:rPr>
        <w:rFonts w:ascii="Wingdings 2" w:hAnsi="Wingdings 2" w:hint="default"/>
      </w:rPr>
    </w:lvl>
    <w:lvl w:ilvl="3" w:tplc="FC7CABA8" w:tentative="1">
      <w:start w:val="1"/>
      <w:numFmt w:val="bullet"/>
      <w:lvlText w:val=""/>
      <w:lvlJc w:val="left"/>
      <w:pPr>
        <w:tabs>
          <w:tab w:val="num" w:pos="2880"/>
        </w:tabs>
        <w:ind w:left="2880" w:hanging="360"/>
      </w:pPr>
      <w:rPr>
        <w:rFonts w:ascii="Wingdings 2" w:hAnsi="Wingdings 2" w:hint="default"/>
      </w:rPr>
    </w:lvl>
    <w:lvl w:ilvl="4" w:tplc="CEB8EF68" w:tentative="1">
      <w:start w:val="1"/>
      <w:numFmt w:val="bullet"/>
      <w:lvlText w:val=""/>
      <w:lvlJc w:val="left"/>
      <w:pPr>
        <w:tabs>
          <w:tab w:val="num" w:pos="3600"/>
        </w:tabs>
        <w:ind w:left="3600" w:hanging="360"/>
      </w:pPr>
      <w:rPr>
        <w:rFonts w:ascii="Wingdings 2" w:hAnsi="Wingdings 2" w:hint="default"/>
      </w:rPr>
    </w:lvl>
    <w:lvl w:ilvl="5" w:tplc="1B38761C" w:tentative="1">
      <w:start w:val="1"/>
      <w:numFmt w:val="bullet"/>
      <w:lvlText w:val=""/>
      <w:lvlJc w:val="left"/>
      <w:pPr>
        <w:tabs>
          <w:tab w:val="num" w:pos="4320"/>
        </w:tabs>
        <w:ind w:left="4320" w:hanging="360"/>
      </w:pPr>
      <w:rPr>
        <w:rFonts w:ascii="Wingdings 2" w:hAnsi="Wingdings 2" w:hint="default"/>
      </w:rPr>
    </w:lvl>
    <w:lvl w:ilvl="6" w:tplc="7548B840" w:tentative="1">
      <w:start w:val="1"/>
      <w:numFmt w:val="bullet"/>
      <w:lvlText w:val=""/>
      <w:lvlJc w:val="left"/>
      <w:pPr>
        <w:tabs>
          <w:tab w:val="num" w:pos="5040"/>
        </w:tabs>
        <w:ind w:left="5040" w:hanging="360"/>
      </w:pPr>
      <w:rPr>
        <w:rFonts w:ascii="Wingdings 2" w:hAnsi="Wingdings 2" w:hint="default"/>
      </w:rPr>
    </w:lvl>
    <w:lvl w:ilvl="7" w:tplc="26C47064" w:tentative="1">
      <w:start w:val="1"/>
      <w:numFmt w:val="bullet"/>
      <w:lvlText w:val=""/>
      <w:lvlJc w:val="left"/>
      <w:pPr>
        <w:tabs>
          <w:tab w:val="num" w:pos="5760"/>
        </w:tabs>
        <w:ind w:left="5760" w:hanging="360"/>
      </w:pPr>
      <w:rPr>
        <w:rFonts w:ascii="Wingdings 2" w:hAnsi="Wingdings 2" w:hint="default"/>
      </w:rPr>
    </w:lvl>
    <w:lvl w:ilvl="8" w:tplc="0F02FB0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4FE2BB7"/>
    <w:multiLevelType w:val="hybridMultilevel"/>
    <w:tmpl w:val="AD44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92v09p8etvzgez9wrxxxrwdarzwpd05awa&quot;&gt;My EndNote Library&lt;record-ids&gt;&lt;item&gt;9&lt;/item&gt;&lt;item&gt;10&lt;/item&gt;&lt;item&gt;13&lt;/item&gt;&lt;item&gt;14&lt;/item&gt;&lt;item&gt;15&lt;/item&gt;&lt;item&gt;16&lt;/item&gt;&lt;item&gt;17&lt;/item&gt;&lt;item&gt;18&lt;/item&gt;&lt;item&gt;20&lt;/item&gt;&lt;item&gt;33&lt;/item&gt;&lt;item&gt;34&lt;/item&gt;&lt;item&gt;35&lt;/item&gt;&lt;item&gt;36&lt;/item&gt;&lt;item&gt;37&lt;/item&gt;&lt;item&gt;38&lt;/item&gt;&lt;item&gt;39&lt;/item&gt;&lt;item&gt;42&lt;/item&gt;&lt;item&gt;43&lt;/item&gt;&lt;item&gt;44&lt;/item&gt;&lt;item&gt;46&lt;/item&gt;&lt;item&gt;47&lt;/item&gt;&lt;item&gt;48&lt;/item&gt;&lt;item&gt;50&lt;/item&gt;&lt;item&gt;51&lt;/item&gt;&lt;item&gt;52&lt;/item&gt;&lt;item&gt;71&lt;/item&gt;&lt;item&gt;73&lt;/item&gt;&lt;item&gt;75&lt;/item&gt;&lt;/record-ids&gt;&lt;/item&gt;&lt;/Libraries&gt;"/>
  </w:docVars>
  <w:rsids>
    <w:rsidRoot w:val="00C40CC2"/>
    <w:rsid w:val="00002FCE"/>
    <w:rsid w:val="00012763"/>
    <w:rsid w:val="00055E90"/>
    <w:rsid w:val="00057AED"/>
    <w:rsid w:val="00076677"/>
    <w:rsid w:val="000B67D3"/>
    <w:rsid w:val="000D2C5D"/>
    <w:rsid w:val="000E0900"/>
    <w:rsid w:val="000E7A36"/>
    <w:rsid w:val="000F668F"/>
    <w:rsid w:val="001158F5"/>
    <w:rsid w:val="00192CAA"/>
    <w:rsid w:val="00193A7F"/>
    <w:rsid w:val="001A3EB7"/>
    <w:rsid w:val="001C64FC"/>
    <w:rsid w:val="001E1417"/>
    <w:rsid w:val="001F08DE"/>
    <w:rsid w:val="001F7352"/>
    <w:rsid w:val="00227B56"/>
    <w:rsid w:val="00247B4A"/>
    <w:rsid w:val="00270316"/>
    <w:rsid w:val="002A11C5"/>
    <w:rsid w:val="002A4100"/>
    <w:rsid w:val="002B4FC0"/>
    <w:rsid w:val="002B75C6"/>
    <w:rsid w:val="0030080F"/>
    <w:rsid w:val="0033349A"/>
    <w:rsid w:val="00344E7E"/>
    <w:rsid w:val="003643C9"/>
    <w:rsid w:val="0037002A"/>
    <w:rsid w:val="003A313D"/>
    <w:rsid w:val="003B08B5"/>
    <w:rsid w:val="003B60C2"/>
    <w:rsid w:val="003F10D8"/>
    <w:rsid w:val="0041692E"/>
    <w:rsid w:val="00434B4B"/>
    <w:rsid w:val="00452F06"/>
    <w:rsid w:val="00456B1F"/>
    <w:rsid w:val="00484C3C"/>
    <w:rsid w:val="00485234"/>
    <w:rsid w:val="00496E23"/>
    <w:rsid w:val="004B2EFD"/>
    <w:rsid w:val="004D3697"/>
    <w:rsid w:val="004D660B"/>
    <w:rsid w:val="005062C1"/>
    <w:rsid w:val="00506E72"/>
    <w:rsid w:val="0051261F"/>
    <w:rsid w:val="00517B55"/>
    <w:rsid w:val="00535390"/>
    <w:rsid w:val="00553083"/>
    <w:rsid w:val="0055550A"/>
    <w:rsid w:val="005569F2"/>
    <w:rsid w:val="005574E6"/>
    <w:rsid w:val="0057791D"/>
    <w:rsid w:val="00581B16"/>
    <w:rsid w:val="00592208"/>
    <w:rsid w:val="005B56E0"/>
    <w:rsid w:val="005C3FD9"/>
    <w:rsid w:val="005D49E6"/>
    <w:rsid w:val="005D658B"/>
    <w:rsid w:val="005E5C91"/>
    <w:rsid w:val="005F407C"/>
    <w:rsid w:val="005F5689"/>
    <w:rsid w:val="006119DB"/>
    <w:rsid w:val="0063691C"/>
    <w:rsid w:val="006427E4"/>
    <w:rsid w:val="006444CC"/>
    <w:rsid w:val="00685955"/>
    <w:rsid w:val="006F21DD"/>
    <w:rsid w:val="00702B7D"/>
    <w:rsid w:val="00704240"/>
    <w:rsid w:val="0070524E"/>
    <w:rsid w:val="0071755E"/>
    <w:rsid w:val="00721FB8"/>
    <w:rsid w:val="0072587D"/>
    <w:rsid w:val="0074589D"/>
    <w:rsid w:val="00751A04"/>
    <w:rsid w:val="007640E4"/>
    <w:rsid w:val="007817DA"/>
    <w:rsid w:val="00782AF5"/>
    <w:rsid w:val="007C48CB"/>
    <w:rsid w:val="007C745A"/>
    <w:rsid w:val="007E09B6"/>
    <w:rsid w:val="00812C4D"/>
    <w:rsid w:val="00832D59"/>
    <w:rsid w:val="00862F6D"/>
    <w:rsid w:val="00891F4B"/>
    <w:rsid w:val="008A24BB"/>
    <w:rsid w:val="008C08D7"/>
    <w:rsid w:val="008C5D48"/>
    <w:rsid w:val="008D7C89"/>
    <w:rsid w:val="008E5361"/>
    <w:rsid w:val="008F2D76"/>
    <w:rsid w:val="00905962"/>
    <w:rsid w:val="00915286"/>
    <w:rsid w:val="00935CCD"/>
    <w:rsid w:val="009711BA"/>
    <w:rsid w:val="00976C99"/>
    <w:rsid w:val="00992E66"/>
    <w:rsid w:val="009A7125"/>
    <w:rsid w:val="009B3A49"/>
    <w:rsid w:val="009C1F13"/>
    <w:rsid w:val="009F0BC2"/>
    <w:rsid w:val="009F51E9"/>
    <w:rsid w:val="00A104A7"/>
    <w:rsid w:val="00A11887"/>
    <w:rsid w:val="00A2035B"/>
    <w:rsid w:val="00A51DFC"/>
    <w:rsid w:val="00A76C40"/>
    <w:rsid w:val="00AD0788"/>
    <w:rsid w:val="00AE2685"/>
    <w:rsid w:val="00AF08C5"/>
    <w:rsid w:val="00B3223F"/>
    <w:rsid w:val="00B8443D"/>
    <w:rsid w:val="00C046D3"/>
    <w:rsid w:val="00C11253"/>
    <w:rsid w:val="00C200A4"/>
    <w:rsid w:val="00C2131D"/>
    <w:rsid w:val="00C3184A"/>
    <w:rsid w:val="00C40CC2"/>
    <w:rsid w:val="00C46B80"/>
    <w:rsid w:val="00C66153"/>
    <w:rsid w:val="00C71C06"/>
    <w:rsid w:val="00C74F7D"/>
    <w:rsid w:val="00C86C92"/>
    <w:rsid w:val="00CB31B5"/>
    <w:rsid w:val="00CB347C"/>
    <w:rsid w:val="00CB458A"/>
    <w:rsid w:val="00CC4645"/>
    <w:rsid w:val="00CE12EF"/>
    <w:rsid w:val="00CF00B7"/>
    <w:rsid w:val="00CF2FFA"/>
    <w:rsid w:val="00CF76FD"/>
    <w:rsid w:val="00D02AB6"/>
    <w:rsid w:val="00D13198"/>
    <w:rsid w:val="00D40B7B"/>
    <w:rsid w:val="00D44E29"/>
    <w:rsid w:val="00D5303C"/>
    <w:rsid w:val="00D660B8"/>
    <w:rsid w:val="00D84D9F"/>
    <w:rsid w:val="00DA079A"/>
    <w:rsid w:val="00DA19B9"/>
    <w:rsid w:val="00DA5ABC"/>
    <w:rsid w:val="00DE7030"/>
    <w:rsid w:val="00DE7F87"/>
    <w:rsid w:val="00E1147D"/>
    <w:rsid w:val="00E11665"/>
    <w:rsid w:val="00E16DDF"/>
    <w:rsid w:val="00E307D0"/>
    <w:rsid w:val="00E74A7B"/>
    <w:rsid w:val="00E86D41"/>
    <w:rsid w:val="00E951B4"/>
    <w:rsid w:val="00EA6D2D"/>
    <w:rsid w:val="00EB2543"/>
    <w:rsid w:val="00EB3CE6"/>
    <w:rsid w:val="00ED4BC8"/>
    <w:rsid w:val="00EE3599"/>
    <w:rsid w:val="00EF13DE"/>
    <w:rsid w:val="00EF4A19"/>
    <w:rsid w:val="00EF548A"/>
    <w:rsid w:val="00F27438"/>
    <w:rsid w:val="00F63FA6"/>
    <w:rsid w:val="00F76410"/>
    <w:rsid w:val="00F91F8C"/>
    <w:rsid w:val="00FA6814"/>
    <w:rsid w:val="00FA7D54"/>
    <w:rsid w:val="00FC04CB"/>
    <w:rsid w:val="00FD592C"/>
    <w:rsid w:val="00FD6C0B"/>
    <w:rsid w:val="00FF2067"/>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33AA"/>
  <w15:chartTrackingRefBased/>
  <w15:docId w15:val="{243260CE-08A1-4561-B184-2269A7B4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B5"/>
  </w:style>
  <w:style w:type="paragraph" w:styleId="Heading1">
    <w:name w:val="heading 1"/>
    <w:basedOn w:val="Normal"/>
    <w:link w:val="Heading1Char"/>
    <w:uiPriority w:val="9"/>
    <w:qFormat/>
    <w:rsid w:val="00C40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0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0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0C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CB3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1B5"/>
  </w:style>
  <w:style w:type="character" w:customStyle="1" w:styleId="Heading1Char">
    <w:name w:val="Heading 1 Char"/>
    <w:basedOn w:val="DefaultParagraphFont"/>
    <w:link w:val="Heading1"/>
    <w:uiPriority w:val="9"/>
    <w:rsid w:val="00C40C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0C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0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0CC2"/>
    <w:rPr>
      <w:rFonts w:asciiTheme="majorHAnsi" w:eastAsiaTheme="majorEastAsia" w:hAnsiTheme="majorHAnsi" w:cstheme="majorBidi"/>
      <w:i/>
      <w:iCs/>
      <w:color w:val="2F5496" w:themeColor="accent1" w:themeShade="BF"/>
    </w:rPr>
  </w:style>
  <w:style w:type="paragraph" w:styleId="NoSpacing">
    <w:name w:val="No Spacing"/>
    <w:uiPriority w:val="1"/>
    <w:qFormat/>
    <w:rsid w:val="00C40CC2"/>
    <w:pPr>
      <w:spacing w:after="0" w:line="240" w:lineRule="auto"/>
    </w:pPr>
  </w:style>
  <w:style w:type="paragraph" w:customStyle="1" w:styleId="Default">
    <w:name w:val="Default"/>
    <w:rsid w:val="00C40C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0CC2"/>
    <w:pPr>
      <w:ind w:left="720"/>
      <w:contextualSpacing/>
    </w:pPr>
  </w:style>
  <w:style w:type="character" w:styleId="Hyperlink">
    <w:name w:val="Hyperlink"/>
    <w:basedOn w:val="DefaultParagraphFont"/>
    <w:uiPriority w:val="99"/>
    <w:unhideWhenUsed/>
    <w:rsid w:val="00C40CC2"/>
    <w:rPr>
      <w:color w:val="0563C1" w:themeColor="hyperlink"/>
      <w:u w:val="single"/>
    </w:rPr>
  </w:style>
  <w:style w:type="character" w:customStyle="1" w:styleId="UnresolvedMention">
    <w:name w:val="Unresolved Mention"/>
    <w:basedOn w:val="DefaultParagraphFont"/>
    <w:uiPriority w:val="99"/>
    <w:semiHidden/>
    <w:unhideWhenUsed/>
    <w:rsid w:val="00C40CC2"/>
    <w:rPr>
      <w:color w:val="605E5C"/>
      <w:shd w:val="clear" w:color="auto" w:fill="E1DFDD"/>
    </w:rPr>
  </w:style>
  <w:style w:type="paragraph" w:customStyle="1" w:styleId="EndNoteBibliographyTitle">
    <w:name w:val="EndNote Bibliography Title"/>
    <w:basedOn w:val="Normal"/>
    <w:link w:val="EndNoteBibliographyTitleChar"/>
    <w:rsid w:val="00C40C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40CC2"/>
    <w:rPr>
      <w:rFonts w:ascii="Calibri" w:hAnsi="Calibri" w:cs="Calibri"/>
      <w:noProof/>
    </w:rPr>
  </w:style>
  <w:style w:type="paragraph" w:customStyle="1" w:styleId="EndNoteBibliography">
    <w:name w:val="EndNote Bibliography"/>
    <w:basedOn w:val="Normal"/>
    <w:link w:val="EndNoteBibliographyChar"/>
    <w:rsid w:val="00C40CC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40CC2"/>
    <w:rPr>
      <w:rFonts w:ascii="Calibri" w:hAnsi="Calibri" w:cs="Calibri"/>
      <w:noProof/>
    </w:rPr>
  </w:style>
  <w:style w:type="character" w:styleId="Emphasis">
    <w:name w:val="Emphasis"/>
    <w:basedOn w:val="DefaultParagraphFont"/>
    <w:uiPriority w:val="20"/>
    <w:qFormat/>
    <w:rsid w:val="00C40CC2"/>
    <w:rPr>
      <w:i/>
      <w:iCs/>
    </w:rPr>
  </w:style>
  <w:style w:type="paragraph" w:styleId="NormalWeb">
    <w:name w:val="Normal (Web)"/>
    <w:basedOn w:val="Normal"/>
    <w:uiPriority w:val="99"/>
    <w:unhideWhenUsed/>
    <w:rsid w:val="00C40C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4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E0900"/>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0900"/>
    <w:rPr>
      <w:rFonts w:ascii="Times New Roman" w:eastAsia="Times New Roman" w:hAnsi="Times New Roman" w:cs="Times New Roman"/>
      <w:sz w:val="16"/>
      <w:szCs w:val="16"/>
    </w:rPr>
  </w:style>
  <w:style w:type="paragraph" w:customStyle="1" w:styleId="Text">
    <w:name w:val="Text"/>
    <w:basedOn w:val="Normal"/>
    <w:rsid w:val="000E0900"/>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322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23F"/>
    <w:rPr>
      <w:sz w:val="20"/>
      <w:szCs w:val="20"/>
    </w:rPr>
  </w:style>
  <w:style w:type="character" w:styleId="EndnoteReference">
    <w:name w:val="endnote reference"/>
    <w:basedOn w:val="DefaultParagraphFont"/>
    <w:uiPriority w:val="99"/>
    <w:semiHidden/>
    <w:unhideWhenUsed/>
    <w:rsid w:val="00B3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1902">
      <w:bodyDiv w:val="1"/>
      <w:marLeft w:val="0"/>
      <w:marRight w:val="0"/>
      <w:marTop w:val="0"/>
      <w:marBottom w:val="0"/>
      <w:divBdr>
        <w:top w:val="none" w:sz="0" w:space="0" w:color="auto"/>
        <w:left w:val="none" w:sz="0" w:space="0" w:color="auto"/>
        <w:bottom w:val="none" w:sz="0" w:space="0" w:color="auto"/>
        <w:right w:val="none" w:sz="0" w:space="0" w:color="auto"/>
      </w:divBdr>
    </w:div>
    <w:div w:id="1021860733">
      <w:bodyDiv w:val="1"/>
      <w:marLeft w:val="0"/>
      <w:marRight w:val="0"/>
      <w:marTop w:val="0"/>
      <w:marBottom w:val="0"/>
      <w:divBdr>
        <w:top w:val="none" w:sz="0" w:space="0" w:color="auto"/>
        <w:left w:val="none" w:sz="0" w:space="0" w:color="auto"/>
        <w:bottom w:val="none" w:sz="0" w:space="0" w:color="auto"/>
        <w:right w:val="none" w:sz="0" w:space="0" w:color="auto"/>
      </w:divBdr>
      <w:divsChild>
        <w:div w:id="51531678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lreportsghana.com/home/documents/annual-reports/companies/2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g.gov.gh/privatecontent/Banking_Supervision/Basel%20II%20-%20BOG%20CRD%20Final%2027%20June%202018%20%20Basel%20Committee%20BSD.pdf" TargetMode="External"/><Relationship Id="rId5" Type="http://schemas.openxmlformats.org/officeDocument/2006/relationships/webSettings" Target="webSettings.xml"/><Relationship Id="rId10" Type="http://schemas.openxmlformats.org/officeDocument/2006/relationships/hyperlink" Target="Http://www.annualreportsghana.com/home/documents/gse-filings/2011/pr---056-ebg-results-for" TargetMode="External"/><Relationship Id="rId4" Type="http://schemas.openxmlformats.org/officeDocument/2006/relationships/settings" Target="settings.xml"/><Relationship Id="rId9" Type="http://schemas.openxmlformats.org/officeDocument/2006/relationships/hyperlink" Target="Https://www.marketscreener.com/ecobank-ghana-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8B73-576C-4E87-90BD-F62EFD52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12000</Words>
  <Characters>68401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Atuahene Sampson</dc:creator>
  <cp:keywords/>
  <dc:description/>
  <cp:lastModifiedBy>Atuahene Sampson</cp:lastModifiedBy>
  <cp:revision>9</cp:revision>
  <dcterms:created xsi:type="dcterms:W3CDTF">2019-03-02T16:18:00Z</dcterms:created>
  <dcterms:modified xsi:type="dcterms:W3CDTF">2019-04-02T09:27:00Z</dcterms:modified>
</cp:coreProperties>
</file>