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90" w:rsidRPr="0074575E" w:rsidRDefault="00E0421E" w:rsidP="00013673">
      <w:pPr>
        <w:spacing w:line="480" w:lineRule="auto"/>
        <w:jc w:val="center"/>
        <w:outlineLvl w:val="0"/>
      </w:pPr>
      <w:r w:rsidRPr="0074575E">
        <w:t>ABSTRACT</w:t>
      </w:r>
    </w:p>
    <w:p w:rsidR="00594590" w:rsidRPr="0074575E" w:rsidRDefault="000D2688" w:rsidP="00837A7C">
      <w:pPr>
        <w:spacing w:line="480" w:lineRule="auto"/>
      </w:pPr>
      <w:r w:rsidRPr="0074575E">
        <w:t>The purpose of the study is to assess</w:t>
      </w:r>
      <w:r w:rsidR="00594590" w:rsidRPr="0074575E">
        <w:t xml:space="preserve"> the quality of healthcare service for patients with sensory and physical disabilities</w:t>
      </w:r>
      <w:r w:rsidR="00122149" w:rsidRPr="0074575E">
        <w:t xml:space="preserve"> in Inland Empire, California</w:t>
      </w:r>
      <w:r w:rsidR="00594590" w:rsidRPr="0074575E">
        <w:t xml:space="preserve">. </w:t>
      </w:r>
      <w:r w:rsidR="002314C6" w:rsidRPr="0074575E">
        <w:t>Quantitative analysis of the existing data</w:t>
      </w:r>
      <w:r w:rsidR="00594590" w:rsidRPr="0074575E">
        <w:t xml:space="preserve"> </w:t>
      </w:r>
      <w:r w:rsidR="002314C6" w:rsidRPr="0074575E">
        <w:t xml:space="preserve">with </w:t>
      </w:r>
      <w:r w:rsidR="00885CB2" w:rsidRPr="0074575E">
        <w:t>sample size of 36 online</w:t>
      </w:r>
      <w:r w:rsidR="00594590" w:rsidRPr="0074575E">
        <w:t xml:space="preserve"> studies and 45 hospital patient records</w:t>
      </w:r>
      <w:r w:rsidR="00436F91" w:rsidRPr="0074575E">
        <w:t xml:space="preserve"> were</w:t>
      </w:r>
      <w:r w:rsidR="008F3280" w:rsidRPr="0074575E">
        <w:t xml:space="preserve"> used in the study</w:t>
      </w:r>
      <w:r w:rsidR="00594590" w:rsidRPr="0074575E">
        <w:t xml:space="preserve">. The </w:t>
      </w:r>
      <w:r w:rsidR="0087547A" w:rsidRPr="0074575E">
        <w:t xml:space="preserve">results of the study showed that the </w:t>
      </w:r>
      <w:r w:rsidR="00594590" w:rsidRPr="0074575E">
        <w:t>highest proportion of healthcare staff have negative attitude towards patients with sens</w:t>
      </w:r>
      <w:r w:rsidR="009A5FA8" w:rsidRPr="0074575E">
        <w:t xml:space="preserve">ory and physical disabilities. </w:t>
      </w:r>
      <w:r w:rsidR="004D1EA3" w:rsidRPr="0074575E">
        <w:t xml:space="preserve">I </w:t>
      </w:r>
      <w:r w:rsidR="00013673" w:rsidRPr="0074575E">
        <w:t xml:space="preserve">also </w:t>
      </w:r>
      <w:r w:rsidR="009A5FA8" w:rsidRPr="0074575E">
        <w:t>observed that a</w:t>
      </w:r>
      <w:r w:rsidR="00013673" w:rsidRPr="0074575E">
        <w:t xml:space="preserve"> significant</w:t>
      </w:r>
      <w:r w:rsidR="00594590" w:rsidRPr="0074575E">
        <w:t xml:space="preserve"> high proportion of the members of the healthcare staff believe</w:t>
      </w:r>
      <w:r w:rsidR="00837A7C" w:rsidRPr="0074575E">
        <w:t>d</w:t>
      </w:r>
      <w:r w:rsidR="00594590" w:rsidRPr="0074575E">
        <w:t xml:space="preserve"> that patients with disabilities do not adhere</w:t>
      </w:r>
      <w:r w:rsidR="00911EDF" w:rsidRPr="0074575E">
        <w:t xml:space="preserve"> to instructions (51%, </w:t>
      </w:r>
      <w:r w:rsidR="00243318" w:rsidRPr="0074575E">
        <w:rPr>
          <w:i/>
        </w:rPr>
        <w:t>p</w:t>
      </w:r>
      <w:r w:rsidR="0074575E">
        <w:t xml:space="preserve"> </w:t>
      </w:r>
      <w:r w:rsidR="00911EDF" w:rsidRPr="0074575E">
        <w:t xml:space="preserve">=0.03) and are hard to </w:t>
      </w:r>
      <w:r w:rsidR="00837A7C" w:rsidRPr="0074575E">
        <w:t xml:space="preserve">be </w:t>
      </w:r>
      <w:r w:rsidR="00911EDF" w:rsidRPr="0074575E">
        <w:t xml:space="preserve">communicated with </w:t>
      </w:r>
      <w:r w:rsidR="00594590" w:rsidRPr="0074575E">
        <w:t xml:space="preserve">(65% </w:t>
      </w:r>
      <w:r w:rsidR="00243318" w:rsidRPr="0074575E">
        <w:rPr>
          <w:i/>
        </w:rPr>
        <w:t>p</w:t>
      </w:r>
      <w:r w:rsidR="0074575E">
        <w:t xml:space="preserve"> </w:t>
      </w:r>
      <w:r w:rsidR="00594590" w:rsidRPr="0074575E">
        <w:t>=0.03).</w:t>
      </w:r>
      <w:r w:rsidR="00013673" w:rsidRPr="0074575E">
        <w:t xml:space="preserve"> Also, I</w:t>
      </w:r>
      <w:r w:rsidR="004D1EA3" w:rsidRPr="0074575E">
        <w:t xml:space="preserve"> </w:t>
      </w:r>
      <w:r w:rsidR="00911EDF" w:rsidRPr="0074575E">
        <w:t>observed that</w:t>
      </w:r>
      <w:r w:rsidR="00594590" w:rsidRPr="0074575E">
        <w:t xml:space="preserve"> </w:t>
      </w:r>
      <w:r w:rsidR="00911EDF" w:rsidRPr="0074575E">
        <w:t>t</w:t>
      </w:r>
      <w:r w:rsidR="00594590" w:rsidRPr="0074575E">
        <w:t xml:space="preserve">here is </w:t>
      </w:r>
      <w:r w:rsidR="00911EDF" w:rsidRPr="0074575E">
        <w:t xml:space="preserve">a </w:t>
      </w:r>
      <w:r w:rsidR="00594590" w:rsidRPr="0074575E">
        <w:t>deficit in the facilities, staff and funds dire</w:t>
      </w:r>
      <w:r w:rsidR="00F2056A" w:rsidRPr="0074575E">
        <w:t>cted towards</w:t>
      </w:r>
      <w:r w:rsidR="00295426" w:rsidRPr="0074575E">
        <w:t xml:space="preserve"> hiring </w:t>
      </w:r>
      <w:r w:rsidR="00594590" w:rsidRPr="0074575E">
        <w:t xml:space="preserve">staff and purchase of facilities for the patients with sensory and physical disabilities. </w:t>
      </w:r>
      <w:r w:rsidR="004D1EA3" w:rsidRPr="0074575E">
        <w:t>I</w:t>
      </w:r>
      <w:r w:rsidR="00594590" w:rsidRPr="0074575E">
        <w:t xml:space="preserve"> concluded that </w:t>
      </w:r>
      <w:r w:rsidR="000910A8" w:rsidRPr="0074575E">
        <w:t xml:space="preserve">more resources should be channeled towards the acquisition </w:t>
      </w:r>
      <w:r w:rsidR="00295426" w:rsidRPr="0074575E">
        <w:t xml:space="preserve">of </w:t>
      </w:r>
      <w:r w:rsidR="000910A8" w:rsidRPr="0074575E">
        <w:t xml:space="preserve">necessary facilities and hiring and training of the staff </w:t>
      </w:r>
      <w:r w:rsidR="00340EAF" w:rsidRPr="0074575E">
        <w:t>so as to</w:t>
      </w:r>
      <w:r w:rsidR="00960893" w:rsidRPr="0074575E">
        <w:t xml:space="preserve"> enhance the </w:t>
      </w:r>
      <w:r w:rsidR="00594590" w:rsidRPr="0074575E">
        <w:t>quality of healthcare service deliv</w:t>
      </w:r>
      <w:r w:rsidR="00960893" w:rsidRPr="0074575E">
        <w:t xml:space="preserve">ered to patient with </w:t>
      </w:r>
      <w:r w:rsidR="009D54C3" w:rsidRPr="0074575E">
        <w:t>disabilities</w:t>
      </w:r>
      <w:r w:rsidR="00960893" w:rsidRPr="0074575E">
        <w:t xml:space="preserve">. </w:t>
      </w:r>
    </w:p>
    <w:p w:rsidR="00295426" w:rsidRPr="0074575E" w:rsidRDefault="00295426" w:rsidP="00837A7C">
      <w:pPr>
        <w:spacing w:line="480" w:lineRule="auto"/>
      </w:pPr>
    </w:p>
    <w:p w:rsidR="00DC4397" w:rsidRPr="0074575E" w:rsidRDefault="00243318" w:rsidP="00295426">
      <w:pPr>
        <w:spacing w:line="480" w:lineRule="auto"/>
      </w:pPr>
      <w:r w:rsidRPr="0074575E">
        <w:rPr>
          <w:i/>
        </w:rPr>
        <w:t>Keywords:</w:t>
      </w:r>
      <w:r w:rsidR="00594590" w:rsidRPr="0074575E">
        <w:t xml:space="preserve"> Physical </w:t>
      </w:r>
      <w:r w:rsidR="009D54C3" w:rsidRPr="0074575E">
        <w:t>disabilities</w:t>
      </w:r>
      <w:r w:rsidR="00594590" w:rsidRPr="0074575E">
        <w:t xml:space="preserve">; Sensory </w:t>
      </w:r>
      <w:r w:rsidR="009D54C3" w:rsidRPr="0074575E">
        <w:t>disabilities</w:t>
      </w:r>
      <w:r w:rsidR="00594590" w:rsidRPr="0074575E">
        <w:t>; Quality healthcare service; Negative attitude</w:t>
      </w:r>
    </w:p>
    <w:p w:rsidR="00DC4397" w:rsidRPr="0074575E" w:rsidRDefault="00DC4397" w:rsidP="00223558">
      <w:pPr>
        <w:spacing w:line="480" w:lineRule="auto"/>
        <w:jc w:val="center"/>
        <w:sectPr w:rsidR="00DC4397" w:rsidRPr="0074575E" w:rsidSect="000F5E35">
          <w:headerReference w:type="even" r:id="rId8"/>
          <w:headerReference w:type="default" r:id="rId9"/>
          <w:footerReference w:type="default" r:id="rId10"/>
          <w:pgSz w:w="12240" w:h="15840"/>
          <w:pgMar w:top="2160" w:right="2160" w:bottom="2160" w:left="2160" w:header="720" w:footer="720" w:gutter="0"/>
          <w:pgNumType w:start="1"/>
          <w:cols w:space="720"/>
          <w:titlePg/>
          <w:docGrid w:linePitch="360"/>
        </w:sectPr>
      </w:pPr>
    </w:p>
    <w:p w:rsidR="00F103A7" w:rsidRPr="0074575E" w:rsidRDefault="00E0421E" w:rsidP="009D54C3">
      <w:pPr>
        <w:spacing w:line="480" w:lineRule="auto"/>
        <w:jc w:val="center"/>
        <w:outlineLvl w:val="0"/>
      </w:pPr>
      <w:r w:rsidRPr="0074575E">
        <w:lastRenderedPageBreak/>
        <w:t>INTRODUCTION</w:t>
      </w:r>
    </w:p>
    <w:p w:rsidR="00A51C37" w:rsidRPr="0074575E" w:rsidRDefault="00D97010" w:rsidP="00223558">
      <w:pPr>
        <w:spacing w:line="480" w:lineRule="auto"/>
        <w:ind w:firstLine="720"/>
      </w:pPr>
      <w:r w:rsidRPr="0074575E">
        <w:t>The Centers for Disease Control and Prevention approximates that about 20 % of Americans are affected with some form of disabilities.</w:t>
      </w:r>
      <w:r w:rsidRPr="0074575E">
        <w:rPr>
          <w:vertAlign w:val="superscript"/>
        </w:rPr>
        <w:t xml:space="preserve">1, </w:t>
      </w:r>
      <w:r w:rsidR="00242ADD" w:rsidRPr="0074575E">
        <w:rPr>
          <w:vertAlign w:val="superscript"/>
        </w:rPr>
        <w:t>2</w:t>
      </w:r>
      <w:r w:rsidRPr="0074575E">
        <w:t xml:space="preserve"> </w:t>
      </w:r>
      <w:r w:rsidR="001563B5" w:rsidRPr="0074575E">
        <w:t>People with disabilities</w:t>
      </w:r>
      <w:r w:rsidR="000264AA" w:rsidRPr="0074575E">
        <w:t xml:space="preserve"> constitute those with </w:t>
      </w:r>
      <w:r w:rsidR="00316B9D" w:rsidRPr="0074575E">
        <w:t xml:space="preserve">physical, mental and sensory </w:t>
      </w:r>
      <w:r w:rsidR="00D718A6" w:rsidRPr="0074575E">
        <w:t>impairment</w:t>
      </w:r>
      <w:r w:rsidR="00EA3708" w:rsidRPr="0074575E">
        <w:t>s</w:t>
      </w:r>
      <w:r w:rsidR="009F2946" w:rsidRPr="0074575E">
        <w:t xml:space="preserve">, which </w:t>
      </w:r>
      <w:r w:rsidR="00D718A6" w:rsidRPr="0074575E">
        <w:t>affect their active participatio</w:t>
      </w:r>
      <w:r w:rsidR="00BC365A" w:rsidRPr="0074575E">
        <w:t>n in normal daily activities</w:t>
      </w:r>
      <w:r w:rsidR="00E346E6" w:rsidRPr="0074575E">
        <w:t>.</w:t>
      </w:r>
      <w:r w:rsidR="00220A5E" w:rsidRPr="0074575E">
        <w:rPr>
          <w:vertAlign w:val="superscript"/>
        </w:rPr>
        <w:t>3</w:t>
      </w:r>
      <w:r w:rsidR="00B70014" w:rsidRPr="0074575E">
        <w:t xml:space="preserve"> </w:t>
      </w:r>
    </w:p>
    <w:p w:rsidR="000C4120" w:rsidRPr="0074575E" w:rsidRDefault="00FA2E08" w:rsidP="00F24FCE">
      <w:pPr>
        <w:spacing w:line="480" w:lineRule="auto"/>
        <w:ind w:firstLine="720"/>
      </w:pPr>
      <w:r w:rsidRPr="0074575E">
        <w:t>P</w:t>
      </w:r>
      <w:r w:rsidR="005C7F9D" w:rsidRPr="0074575E">
        <w:t xml:space="preserve">atients with disabilities have </w:t>
      </w:r>
      <w:r w:rsidR="004364DF" w:rsidRPr="0074575E">
        <w:t xml:space="preserve">various </w:t>
      </w:r>
      <w:r w:rsidR="005C7F9D" w:rsidRPr="0074575E">
        <w:t>c</w:t>
      </w:r>
      <w:r w:rsidR="0098073D" w:rsidRPr="0074575E">
        <w:t xml:space="preserve">hallenges in accessing </w:t>
      </w:r>
      <w:r w:rsidR="005C7F9D" w:rsidRPr="0074575E">
        <w:t>health care</w:t>
      </w:r>
      <w:r w:rsidR="00832487" w:rsidRPr="0074575E">
        <w:t xml:space="preserve"> service</w:t>
      </w:r>
      <w:r w:rsidR="005C7F9D" w:rsidRPr="0074575E">
        <w:t>.</w:t>
      </w:r>
      <w:r w:rsidR="00832487" w:rsidRPr="0074575E">
        <w:rPr>
          <w:vertAlign w:val="superscript"/>
        </w:rPr>
        <w:t>4</w:t>
      </w:r>
      <w:r w:rsidR="00C27D41" w:rsidRPr="0074575E">
        <w:t xml:space="preserve"> The</w:t>
      </w:r>
      <w:r w:rsidR="00CA73FA" w:rsidRPr="0074575E">
        <w:t>se</w:t>
      </w:r>
      <w:r w:rsidR="0098073D" w:rsidRPr="0074575E">
        <w:t xml:space="preserve"> challenges </w:t>
      </w:r>
      <w:r w:rsidR="001F68FB" w:rsidRPr="0074575E">
        <w:t>include the</w:t>
      </w:r>
      <w:r w:rsidR="00CA73FA" w:rsidRPr="0074575E">
        <w:t xml:space="preserve"> physical, medical equipment, and communication</w:t>
      </w:r>
      <w:r w:rsidR="003657A2" w:rsidRPr="0074575E">
        <w:t xml:space="preserve"> barriers </w:t>
      </w:r>
      <w:r w:rsidR="001F68FB" w:rsidRPr="0074575E">
        <w:t>.</w:t>
      </w:r>
      <w:r w:rsidR="009E6FC5" w:rsidRPr="0074575E">
        <w:rPr>
          <w:vertAlign w:val="superscript"/>
        </w:rPr>
        <w:t>5, 6, 7</w:t>
      </w:r>
      <w:r w:rsidR="00374D70" w:rsidRPr="0074575E">
        <w:t xml:space="preserve"> The attitude of the healthcare staff towards the patients with </w:t>
      </w:r>
      <w:r w:rsidR="009D54C3" w:rsidRPr="0074575E">
        <w:t>disabilities</w:t>
      </w:r>
      <w:r w:rsidR="00374D70" w:rsidRPr="0074575E">
        <w:t xml:space="preserve"> also presents a challenge in the provision of quality health care services to the patients .</w:t>
      </w:r>
      <w:r w:rsidR="009B7A46" w:rsidRPr="0074575E">
        <w:rPr>
          <w:vertAlign w:val="superscript"/>
        </w:rPr>
        <w:t xml:space="preserve">8, </w:t>
      </w:r>
      <w:r w:rsidR="009C7F4C" w:rsidRPr="0074575E">
        <w:rPr>
          <w:vertAlign w:val="superscript"/>
        </w:rPr>
        <w:t xml:space="preserve">9, 10, </w:t>
      </w:r>
      <w:r w:rsidR="00211414" w:rsidRPr="0074575E">
        <w:rPr>
          <w:vertAlign w:val="superscript"/>
        </w:rPr>
        <w:t>11</w:t>
      </w:r>
      <w:r w:rsidR="00E40BC2" w:rsidRPr="0074575E">
        <w:t xml:space="preserve"> </w:t>
      </w:r>
      <w:r w:rsidR="00D746B7" w:rsidRPr="0074575E">
        <w:t>Negative attitude of the staff towards the patients with disability presents a ma</w:t>
      </w:r>
      <w:r w:rsidR="00E0421E" w:rsidRPr="0074575E">
        <w:t xml:space="preserve">jor barrier in the provision of </w:t>
      </w:r>
      <w:r w:rsidR="00D746B7" w:rsidRPr="0074575E">
        <w:t xml:space="preserve">health care service </w:t>
      </w:r>
      <w:r w:rsidR="00E0421E" w:rsidRPr="0074575E">
        <w:t xml:space="preserve">to </w:t>
      </w:r>
      <w:r w:rsidR="00D746B7" w:rsidRPr="0074575E">
        <w:t xml:space="preserve">this </w:t>
      </w:r>
      <w:r w:rsidR="00EA41FE" w:rsidRPr="0074575E">
        <w:t>group of patients.</w:t>
      </w:r>
      <w:r w:rsidR="00124BA2" w:rsidRPr="0074575E">
        <w:t xml:space="preserve"> </w:t>
      </w:r>
      <w:r w:rsidR="009561F4" w:rsidRPr="0074575E">
        <w:t xml:space="preserve">As indicated by Ali et al., </w:t>
      </w:r>
      <w:r w:rsidR="009561F4" w:rsidRPr="0074575E">
        <w:rPr>
          <w:vertAlign w:val="superscript"/>
        </w:rPr>
        <w:t>6</w:t>
      </w:r>
      <w:r w:rsidR="009561F4" w:rsidRPr="0074575E">
        <w:t xml:space="preserve"> patients with disability are frequently subjected to negative staff attitude. Ali et al. </w:t>
      </w:r>
      <w:r w:rsidR="009561F4" w:rsidRPr="0074575E">
        <w:rPr>
          <w:vertAlign w:val="superscript"/>
        </w:rPr>
        <w:t>6</w:t>
      </w:r>
      <w:r w:rsidR="009561F4" w:rsidRPr="0074575E">
        <w:t xml:space="preserve"> observed that the lack of sufficient staff training on the relevant communication and techniques required in handling the patient with disability is the major cause of the negative attitude toward patients with disabilities.</w:t>
      </w:r>
      <w:r w:rsidR="009561F4" w:rsidRPr="0074575E">
        <w:rPr>
          <w:i/>
        </w:rPr>
        <w:t xml:space="preserve"> </w:t>
      </w:r>
      <w:r w:rsidR="009561F4" w:rsidRPr="0074575E">
        <w:t xml:space="preserve">The various indicators of </w:t>
      </w:r>
      <w:r w:rsidR="00F24FCE" w:rsidRPr="0074575E">
        <w:t xml:space="preserve">negative attitudes </w:t>
      </w:r>
      <w:r w:rsidR="00052A40" w:rsidRPr="0074575E">
        <w:t>are</w:t>
      </w:r>
      <w:r w:rsidR="00F24FCE" w:rsidRPr="0074575E">
        <w:t xml:space="preserve"> presented in Appendix III. </w:t>
      </w:r>
      <w:r w:rsidR="009561F4" w:rsidRPr="0074575E">
        <w:rPr>
          <w:i/>
        </w:rPr>
        <w:t xml:space="preserve"> </w:t>
      </w:r>
      <w:r w:rsidR="006A2C33" w:rsidRPr="0074575E">
        <w:t>These challenges, when left unaddressed</w:t>
      </w:r>
      <w:r w:rsidR="00BF7217" w:rsidRPr="0074575E">
        <w:t>,</w:t>
      </w:r>
      <w:r w:rsidR="006A2C33" w:rsidRPr="0074575E">
        <w:t xml:space="preserve"> result</w:t>
      </w:r>
      <w:r w:rsidR="006B40F2" w:rsidRPr="0074575E">
        <w:t xml:space="preserve"> in </w:t>
      </w:r>
      <w:r w:rsidR="00BA507B" w:rsidRPr="0074575E">
        <w:t>disparities</w:t>
      </w:r>
      <w:r w:rsidR="00A970F6" w:rsidRPr="0074575E">
        <w:t xml:space="preserve"> in the </w:t>
      </w:r>
      <w:r w:rsidR="006B40F2" w:rsidRPr="0074575E">
        <w:t>delivery</w:t>
      </w:r>
      <w:r w:rsidR="006A2C33" w:rsidRPr="0074575E">
        <w:t xml:space="preserve"> of health care services</w:t>
      </w:r>
      <w:r w:rsidR="00BB2376" w:rsidRPr="0074575E">
        <w:t xml:space="preserve"> to </w:t>
      </w:r>
      <w:r w:rsidR="00811B21" w:rsidRPr="0074575E">
        <w:t>patients with disabilities</w:t>
      </w:r>
      <w:r w:rsidR="006A2C33" w:rsidRPr="0074575E">
        <w:t>.</w:t>
      </w:r>
      <w:r w:rsidR="00211414" w:rsidRPr="0074575E">
        <w:rPr>
          <w:vertAlign w:val="superscript"/>
        </w:rPr>
        <w:t xml:space="preserve">12, 13, 10, </w:t>
      </w:r>
      <w:proofErr w:type="gramStart"/>
      <w:r w:rsidR="00E57767" w:rsidRPr="0074575E">
        <w:rPr>
          <w:vertAlign w:val="superscript"/>
        </w:rPr>
        <w:t>14</w:t>
      </w:r>
      <w:proofErr w:type="gramEnd"/>
      <w:r w:rsidR="00BF4953" w:rsidRPr="0074575E">
        <w:t>.</w:t>
      </w:r>
    </w:p>
    <w:p w:rsidR="003C4AC6" w:rsidRPr="0074575E" w:rsidRDefault="0024624D" w:rsidP="00645625">
      <w:pPr>
        <w:spacing w:line="480" w:lineRule="auto"/>
        <w:ind w:firstLine="720"/>
      </w:pPr>
      <w:r w:rsidRPr="0074575E">
        <w:t>It is important for the</w:t>
      </w:r>
      <w:r w:rsidR="000C4120" w:rsidRPr="0074575E">
        <w:t xml:space="preserve"> federal and state governments </w:t>
      </w:r>
      <w:r w:rsidR="00DA5B43" w:rsidRPr="0074575E">
        <w:t>to</w:t>
      </w:r>
      <w:r w:rsidR="000C4120" w:rsidRPr="0074575E">
        <w:t xml:space="preserve"> work toward</w:t>
      </w:r>
      <w:r w:rsidR="004D1EA3" w:rsidRPr="0074575E">
        <w:t xml:space="preserve">s </w:t>
      </w:r>
      <w:r w:rsidR="000C4120" w:rsidRPr="0074575E">
        <w:t>addressing the disparity</w:t>
      </w:r>
      <w:r w:rsidR="004D1EA3" w:rsidRPr="0074575E">
        <w:t xml:space="preserve"> </w:t>
      </w:r>
      <w:r w:rsidR="00DA5B43" w:rsidRPr="0074575E">
        <w:t>in health care provision to patients with disabilities</w:t>
      </w:r>
      <w:r w:rsidR="006E587A" w:rsidRPr="0074575E">
        <w:t xml:space="preserve">. </w:t>
      </w:r>
      <w:r w:rsidR="008D54E2" w:rsidRPr="0074575E">
        <w:t xml:space="preserve"> </w:t>
      </w:r>
      <w:r w:rsidR="006E587A" w:rsidRPr="0074575E">
        <w:t xml:space="preserve">The </w:t>
      </w:r>
      <w:r w:rsidR="006E587A" w:rsidRPr="0074575E">
        <w:lastRenderedPageBreak/>
        <w:t>potential disparities are based on the understanding that the resulting unfair difference from the challenges stated above can be avoided.</w:t>
      </w:r>
      <w:r w:rsidR="006E587A" w:rsidRPr="0074575E">
        <w:rPr>
          <w:vertAlign w:val="superscript"/>
        </w:rPr>
        <w:t>15</w:t>
      </w:r>
      <w:r w:rsidR="006E587A" w:rsidRPr="0074575E">
        <w:t xml:space="preserve"> The disparity can be</w:t>
      </w:r>
      <w:r w:rsidR="00CB10B7" w:rsidRPr="0074575E">
        <w:t xml:space="preserve"> addressed by</w:t>
      </w:r>
      <w:r w:rsidR="000C4120" w:rsidRPr="0074575E">
        <w:t xml:space="preserve"> improving the access to care services and training the healthcare staff on skills on how to handle patients with </w:t>
      </w:r>
      <w:r w:rsidR="001546E8" w:rsidRPr="0074575E">
        <w:t>various disabilities</w:t>
      </w:r>
      <w:r w:rsidR="000C4120" w:rsidRPr="0074575E">
        <w:t>.</w:t>
      </w:r>
      <w:r w:rsidR="00354AB3" w:rsidRPr="0074575E">
        <w:rPr>
          <w:vertAlign w:val="superscript"/>
        </w:rPr>
        <w:t>1</w:t>
      </w:r>
      <w:r w:rsidR="006E6FDA" w:rsidRPr="0074575E">
        <w:t xml:space="preserve"> </w:t>
      </w:r>
      <w:r w:rsidR="001F651E" w:rsidRPr="0074575E">
        <w:t>The</w:t>
      </w:r>
      <w:r w:rsidR="006E6FDA" w:rsidRPr="0074575E">
        <w:t xml:space="preserve"> </w:t>
      </w:r>
      <w:r w:rsidR="00A03AF6" w:rsidRPr="0074575E">
        <w:t xml:space="preserve">various </w:t>
      </w:r>
      <w:r w:rsidR="00E26C9C" w:rsidRPr="0074575E">
        <w:t>strategies and polic</w:t>
      </w:r>
      <w:r w:rsidR="00373324" w:rsidRPr="0074575E">
        <w:t>i</w:t>
      </w:r>
      <w:r w:rsidR="00E26C9C" w:rsidRPr="0074575E">
        <w:t>es that have been</w:t>
      </w:r>
      <w:r w:rsidR="006E6FDA" w:rsidRPr="0074575E">
        <w:t xml:space="preserve"> </w:t>
      </w:r>
      <w:r w:rsidR="001546E8" w:rsidRPr="0074575E">
        <w:t xml:space="preserve">put </w:t>
      </w:r>
      <w:r w:rsidR="006E6FDA" w:rsidRPr="0074575E">
        <w:t>in place</w:t>
      </w:r>
      <w:r w:rsidR="00E26C9C" w:rsidRPr="0074575E">
        <w:t xml:space="preserve"> emphasize</w:t>
      </w:r>
      <w:r w:rsidR="00A221C7" w:rsidRPr="0074575E">
        <w:t xml:space="preserve"> on the need to increase </w:t>
      </w:r>
      <w:r w:rsidR="0008424B" w:rsidRPr="0074575E">
        <w:t xml:space="preserve">adaptive </w:t>
      </w:r>
      <w:r w:rsidR="00F62180" w:rsidRPr="0074575E">
        <w:t xml:space="preserve">equipment and </w:t>
      </w:r>
      <w:r w:rsidR="0008424B" w:rsidRPr="0074575E">
        <w:t>enhance profession</w:t>
      </w:r>
      <w:r w:rsidR="009F63C6" w:rsidRPr="0074575E">
        <w:t>al ability</w:t>
      </w:r>
      <w:r w:rsidR="00F62180" w:rsidRPr="0074575E">
        <w:t xml:space="preserve"> and specialized care for the</w:t>
      </w:r>
      <w:r w:rsidR="001546E8" w:rsidRPr="0074575E">
        <w:t xml:space="preserve"> patients with</w:t>
      </w:r>
      <w:r w:rsidR="00F62180" w:rsidRPr="0074575E">
        <w:t xml:space="preserve"> disabilities.</w:t>
      </w:r>
      <w:r w:rsidR="00573DD1" w:rsidRPr="0074575E">
        <w:rPr>
          <w:vertAlign w:val="superscript"/>
        </w:rPr>
        <w:t>1</w:t>
      </w:r>
      <w:r w:rsidR="00C74ACD" w:rsidRPr="0074575E">
        <w:rPr>
          <w:vertAlign w:val="superscript"/>
        </w:rPr>
        <w:t>6</w:t>
      </w:r>
      <w:r w:rsidR="00573DD1" w:rsidRPr="0074575E">
        <w:rPr>
          <w:vertAlign w:val="superscript"/>
        </w:rPr>
        <w:t>,</w:t>
      </w:r>
      <w:r w:rsidR="004924A6" w:rsidRPr="0074575E">
        <w:rPr>
          <w:vertAlign w:val="superscript"/>
        </w:rPr>
        <w:t xml:space="preserve"> </w:t>
      </w:r>
      <w:r w:rsidR="00573DD1" w:rsidRPr="0074575E">
        <w:rPr>
          <w:vertAlign w:val="superscript"/>
        </w:rPr>
        <w:t xml:space="preserve">17, </w:t>
      </w:r>
      <w:r w:rsidR="009C7880" w:rsidRPr="0074575E">
        <w:rPr>
          <w:vertAlign w:val="superscript"/>
        </w:rPr>
        <w:t>18</w:t>
      </w:r>
      <w:r w:rsidR="0055465A" w:rsidRPr="0074575E">
        <w:rPr>
          <w:vertAlign w:val="superscript"/>
        </w:rPr>
        <w:t xml:space="preserve">, 19 </w:t>
      </w:r>
      <w:r w:rsidR="00564C88" w:rsidRPr="0074575E">
        <w:t xml:space="preserve">However, </w:t>
      </w:r>
      <w:r w:rsidR="002F7056" w:rsidRPr="0074575E">
        <w:t xml:space="preserve">bureaucracies, </w:t>
      </w:r>
      <w:r w:rsidR="004455D5" w:rsidRPr="0074575E">
        <w:t>tedious procedur</w:t>
      </w:r>
      <w:r w:rsidR="009D6720" w:rsidRPr="0074575E">
        <w:t>al processes</w:t>
      </w:r>
      <w:r w:rsidR="002F7056" w:rsidRPr="0074575E">
        <w:t xml:space="preserve"> and prohibitive implementation costs</w:t>
      </w:r>
      <w:r w:rsidR="00BB2376" w:rsidRPr="0074575E">
        <w:t xml:space="preserve"> affect</w:t>
      </w:r>
      <w:r w:rsidR="009D6720" w:rsidRPr="0074575E">
        <w:t xml:space="preserve"> the </w:t>
      </w:r>
      <w:r w:rsidR="00053C74" w:rsidRPr="0074575E">
        <w:t>pace</w:t>
      </w:r>
      <w:r w:rsidR="009D6720" w:rsidRPr="0074575E">
        <w:t xml:space="preserve"> and the successful implementation of the </w:t>
      </w:r>
      <w:r w:rsidR="00D822D7" w:rsidRPr="0074575E">
        <w:t>proposed strategies and</w:t>
      </w:r>
      <w:r w:rsidR="00053C74" w:rsidRPr="0074575E">
        <w:t xml:space="preserve"> </w:t>
      </w:r>
      <w:r w:rsidR="00564C88" w:rsidRPr="0074575E">
        <w:t>policies</w:t>
      </w:r>
      <w:r w:rsidR="00A55FD2" w:rsidRPr="0074575E">
        <w:t>.</w:t>
      </w:r>
      <w:r w:rsidR="002B05D8" w:rsidRPr="0074575E">
        <w:rPr>
          <w:vertAlign w:val="superscript"/>
        </w:rPr>
        <w:t>2</w:t>
      </w:r>
      <w:r w:rsidR="00F41367" w:rsidRPr="0074575E">
        <w:rPr>
          <w:vertAlign w:val="superscript"/>
        </w:rPr>
        <w:t xml:space="preserve">0, </w:t>
      </w:r>
      <w:r w:rsidR="00A06B77" w:rsidRPr="0074575E">
        <w:rPr>
          <w:vertAlign w:val="superscript"/>
        </w:rPr>
        <w:t>2</w:t>
      </w:r>
      <w:r w:rsidR="00F41367" w:rsidRPr="0074575E">
        <w:rPr>
          <w:vertAlign w:val="superscript"/>
        </w:rPr>
        <w:t>1</w:t>
      </w:r>
      <w:r w:rsidR="00B21F6D" w:rsidRPr="0074575E">
        <w:rPr>
          <w:vertAlign w:val="superscript"/>
        </w:rPr>
        <w:t xml:space="preserve"> </w:t>
      </w:r>
      <w:r w:rsidR="000D4411" w:rsidRPr="0074575E">
        <w:t>There is a need, there</w:t>
      </w:r>
      <w:r w:rsidR="00AB19E3" w:rsidRPr="0074575E">
        <w:t xml:space="preserve">fore, </w:t>
      </w:r>
      <w:r w:rsidR="007D3E15" w:rsidRPr="0074575E">
        <w:t>to</w:t>
      </w:r>
      <w:r w:rsidR="003C5B9E" w:rsidRPr="0074575E">
        <w:t xml:space="preserve"> evaluate the</w:t>
      </w:r>
      <w:r w:rsidR="006B61A0" w:rsidRPr="0074575E">
        <w:t xml:space="preserve"> level of </w:t>
      </w:r>
      <w:r w:rsidR="00C4308F" w:rsidRPr="0074575E">
        <w:t xml:space="preserve">implementation </w:t>
      </w:r>
      <w:r w:rsidR="00497548" w:rsidRPr="0074575E">
        <w:t>o</w:t>
      </w:r>
      <w:r w:rsidR="007D3E15" w:rsidRPr="0074575E">
        <w:t xml:space="preserve">f the proposed strategies </w:t>
      </w:r>
      <w:r w:rsidR="006F3E92" w:rsidRPr="0074575E">
        <w:t xml:space="preserve">so as to identify the potential </w:t>
      </w:r>
      <w:r w:rsidR="004F57CC" w:rsidRPr="0074575E">
        <w:t>challenges and</w:t>
      </w:r>
      <w:r w:rsidR="00F71036" w:rsidRPr="0074575E">
        <w:t xml:space="preserve"> areas for further improvement.</w:t>
      </w:r>
    </w:p>
    <w:p w:rsidR="00A97D33" w:rsidRPr="0074575E" w:rsidRDefault="007C52BF" w:rsidP="00A55FD2">
      <w:pPr>
        <w:spacing w:line="480" w:lineRule="auto"/>
        <w:ind w:firstLine="720"/>
      </w:pPr>
      <w:r w:rsidRPr="0074575E">
        <w:t>The assessment of the</w:t>
      </w:r>
      <w:r w:rsidR="005B2490" w:rsidRPr="0074575E">
        <w:t xml:space="preserve"> level of adoption of the </w:t>
      </w:r>
      <w:r w:rsidR="00072057" w:rsidRPr="0074575E">
        <w:t>proposed strategies</w:t>
      </w:r>
      <w:r w:rsidR="005B2490" w:rsidRPr="0074575E">
        <w:t xml:space="preserve"> and policies in the health care sector can be done through </w:t>
      </w:r>
      <w:r w:rsidR="00564C88" w:rsidRPr="0074575E">
        <w:t>the</w:t>
      </w:r>
      <w:r w:rsidR="000468D2" w:rsidRPr="0074575E">
        <w:t xml:space="preserve"> evaluation of the quality of health care</w:t>
      </w:r>
      <w:r w:rsidR="0013505D" w:rsidRPr="0074575E">
        <w:t xml:space="preserve"> services</w:t>
      </w:r>
      <w:r w:rsidR="00C6119D" w:rsidRPr="0074575E">
        <w:t xml:space="preserve"> for patients with disabilities</w:t>
      </w:r>
      <w:r w:rsidR="00564C88" w:rsidRPr="0074575E">
        <w:t xml:space="preserve">. </w:t>
      </w:r>
      <w:r w:rsidR="004D1EA3" w:rsidRPr="0074575E">
        <w:t>I assessed</w:t>
      </w:r>
      <w:r w:rsidR="004E3F6E" w:rsidRPr="0074575E">
        <w:t xml:space="preserve"> the quality of healthcare service for </w:t>
      </w:r>
      <w:r w:rsidR="003B7CBE" w:rsidRPr="0074575E">
        <w:t>patients with</w:t>
      </w:r>
      <w:r w:rsidR="002C36DC" w:rsidRPr="0074575E">
        <w:t xml:space="preserve"> disabilities with focus on those with</w:t>
      </w:r>
      <w:r w:rsidR="003B7CBE" w:rsidRPr="0074575E">
        <w:t xml:space="preserve"> sensory and physical disabilities </w:t>
      </w:r>
      <w:r w:rsidR="004E3F6E" w:rsidRPr="0074575E">
        <w:t xml:space="preserve">by </w:t>
      </w:r>
      <w:r w:rsidR="0065039D" w:rsidRPr="0074575E">
        <w:t>answering</w:t>
      </w:r>
      <w:r w:rsidR="00A97D33" w:rsidRPr="0074575E">
        <w:t xml:space="preserve"> the following</w:t>
      </w:r>
      <w:r w:rsidR="0065039D" w:rsidRPr="0074575E">
        <w:t xml:space="preserve"> research questions</w:t>
      </w:r>
      <w:r w:rsidR="00A97D33" w:rsidRPr="0074575E">
        <w:t>:</w:t>
      </w:r>
    </w:p>
    <w:p w:rsidR="003462BE" w:rsidRPr="0074575E" w:rsidRDefault="00A97D33">
      <w:pPr>
        <w:numPr>
          <w:ilvl w:val="0"/>
          <w:numId w:val="4"/>
        </w:numPr>
        <w:spacing w:line="480" w:lineRule="auto"/>
        <w:ind w:left="936"/>
      </w:pPr>
      <w:r w:rsidRPr="0074575E">
        <w:t>What is</w:t>
      </w:r>
      <w:r w:rsidR="00AB1427" w:rsidRPr="0074575E">
        <w:t xml:space="preserve"> </w:t>
      </w:r>
      <w:r w:rsidR="001B45B1" w:rsidRPr="0074575E">
        <w:t xml:space="preserve">the </w:t>
      </w:r>
      <w:r w:rsidR="004A642C" w:rsidRPr="0074575E">
        <w:t>trend</w:t>
      </w:r>
      <w:r w:rsidR="001B45B1" w:rsidRPr="0074575E">
        <w:t xml:space="preserve"> </w:t>
      </w:r>
      <w:r w:rsidR="004A642C" w:rsidRPr="0074575E">
        <w:t xml:space="preserve">in the proportion of </w:t>
      </w:r>
      <w:r w:rsidR="001B45B1" w:rsidRPr="0074575E">
        <w:t>patients with sensory and physical disabilities</w:t>
      </w:r>
      <w:r w:rsidR="00A53B72" w:rsidRPr="0074575E">
        <w:t xml:space="preserve"> between 2010 and 2015</w:t>
      </w:r>
      <w:r w:rsidR="00012BF1" w:rsidRPr="0074575E">
        <w:t>?</w:t>
      </w:r>
    </w:p>
    <w:p w:rsidR="003462BE" w:rsidRPr="0074575E" w:rsidRDefault="00012BF1">
      <w:pPr>
        <w:numPr>
          <w:ilvl w:val="0"/>
          <w:numId w:val="4"/>
        </w:numPr>
        <w:spacing w:line="480" w:lineRule="auto"/>
        <w:ind w:left="936"/>
      </w:pPr>
      <w:r w:rsidRPr="0074575E">
        <w:t>H</w:t>
      </w:r>
      <w:r w:rsidR="001B45B1" w:rsidRPr="0074575E">
        <w:t>ow</w:t>
      </w:r>
      <w:r w:rsidRPr="0074575E">
        <w:t xml:space="preserve"> </w:t>
      </w:r>
      <w:r w:rsidR="00B92AB4" w:rsidRPr="0074575E">
        <w:t>does the healthcare staff perceive</w:t>
      </w:r>
      <w:r w:rsidR="00AC79D4" w:rsidRPr="0074575E">
        <w:t xml:space="preserve"> patients with sensory and physical disabilities</w:t>
      </w:r>
      <w:r w:rsidRPr="0074575E">
        <w:t>?</w:t>
      </w:r>
    </w:p>
    <w:p w:rsidR="003462BE" w:rsidRPr="0074575E" w:rsidRDefault="004B79F7">
      <w:pPr>
        <w:numPr>
          <w:ilvl w:val="0"/>
          <w:numId w:val="4"/>
        </w:numPr>
        <w:spacing w:line="480" w:lineRule="auto"/>
        <w:ind w:left="936"/>
      </w:pPr>
      <w:r w:rsidRPr="0074575E">
        <w:lastRenderedPageBreak/>
        <w:t>Are the h</w:t>
      </w:r>
      <w:r w:rsidR="00AC79D4" w:rsidRPr="0074575E">
        <w:t>ealthcare facilities</w:t>
      </w:r>
      <w:r w:rsidR="00F72A27" w:rsidRPr="0074575E">
        <w:t xml:space="preserve"> equipped with </w:t>
      </w:r>
      <w:r w:rsidR="00AC79D4" w:rsidRPr="0074575E">
        <w:t xml:space="preserve">adequate </w:t>
      </w:r>
      <w:r w:rsidR="00655610" w:rsidRPr="0074575E">
        <w:t>infrastructure and staff to handle the needs of the patients with sensory and physical disabilities</w:t>
      </w:r>
      <w:r w:rsidR="00F72A27" w:rsidRPr="0074575E">
        <w:t>?</w:t>
      </w:r>
      <w:r w:rsidR="00655610" w:rsidRPr="0074575E">
        <w:t xml:space="preserve"> </w:t>
      </w:r>
    </w:p>
    <w:p w:rsidR="00B20F32" w:rsidRPr="0074575E" w:rsidRDefault="00E0421E" w:rsidP="00B20F32">
      <w:pPr>
        <w:spacing w:line="480" w:lineRule="auto"/>
        <w:jc w:val="center"/>
      </w:pPr>
      <w:r w:rsidRPr="0074575E">
        <w:t>METHODOLOGY</w:t>
      </w:r>
    </w:p>
    <w:p w:rsidR="00B20F32" w:rsidRPr="0074575E" w:rsidRDefault="00243318" w:rsidP="00B20F32">
      <w:pPr>
        <w:spacing w:line="480" w:lineRule="auto"/>
        <w:rPr>
          <w:i/>
        </w:rPr>
      </w:pPr>
      <w:r w:rsidRPr="0074575E">
        <w:rPr>
          <w:i/>
        </w:rPr>
        <w:t xml:space="preserve">Research </w:t>
      </w:r>
      <w:r w:rsidR="00B20F32" w:rsidRPr="0074575E">
        <w:rPr>
          <w:i/>
        </w:rPr>
        <w:t>d</w:t>
      </w:r>
      <w:r w:rsidRPr="0074575E">
        <w:rPr>
          <w:i/>
        </w:rPr>
        <w:t xml:space="preserve">esign </w:t>
      </w:r>
    </w:p>
    <w:p w:rsidR="00013673" w:rsidRPr="0074575E" w:rsidRDefault="004D1EA3" w:rsidP="00B20F32">
      <w:pPr>
        <w:spacing w:line="480" w:lineRule="auto"/>
        <w:ind w:firstLine="720"/>
      </w:pPr>
      <w:r w:rsidRPr="0074575E">
        <w:t>I accomplished the goals of this study through quantitative analysis of existing data that I obtained from online databases and hospital records.</w:t>
      </w:r>
      <w:r w:rsidR="00B20F32" w:rsidRPr="0074575E">
        <w:t xml:space="preserve"> Through </w:t>
      </w:r>
      <w:r w:rsidR="00F60617" w:rsidRPr="0074575E">
        <w:t xml:space="preserve">this </w:t>
      </w:r>
      <w:r w:rsidR="00B20F32" w:rsidRPr="0074575E">
        <w:t xml:space="preserve">approach, </w:t>
      </w:r>
      <w:r w:rsidRPr="0074575E">
        <w:t>I</w:t>
      </w:r>
      <w:r w:rsidR="00B20F32" w:rsidRPr="0074575E">
        <w:t xml:space="preserve"> was able to</w:t>
      </w:r>
      <w:r w:rsidR="00A82956" w:rsidRPr="0074575E">
        <w:t xml:space="preserve"> efficiently </w:t>
      </w:r>
      <w:r w:rsidR="00B20F32" w:rsidRPr="0074575E">
        <w:t>carry</w:t>
      </w:r>
      <w:r w:rsidR="00BC6E95" w:rsidRPr="0074575E">
        <w:t xml:space="preserve"> </w:t>
      </w:r>
      <w:r w:rsidR="00B20F32" w:rsidRPr="0074575E">
        <w:t>out contextual assessment of the research questions based on data obtained from different sources.</w:t>
      </w:r>
      <w:r w:rsidR="00B20F32" w:rsidRPr="0074575E">
        <w:rPr>
          <w:vertAlign w:val="superscript"/>
        </w:rPr>
        <w:t>22</w:t>
      </w:r>
      <w:r w:rsidR="00C570D3" w:rsidRPr="0074575E">
        <w:t xml:space="preserve"> </w:t>
      </w:r>
      <w:proofErr w:type="gramStart"/>
      <w:r w:rsidR="001E6E7E" w:rsidRPr="0074575E">
        <w:t>The</w:t>
      </w:r>
      <w:proofErr w:type="gramEnd"/>
      <w:r w:rsidR="001E6E7E" w:rsidRPr="0074575E">
        <w:t xml:space="preserve"> existing data </w:t>
      </w:r>
      <w:r w:rsidRPr="0074575E">
        <w:t xml:space="preserve">I </w:t>
      </w:r>
      <w:r w:rsidR="001E6E7E" w:rsidRPr="0074575E">
        <w:t>used in this study were the hospital records and online studie</w:t>
      </w:r>
      <w:r w:rsidR="00052C15" w:rsidRPr="0074575E">
        <w:t xml:space="preserve">s. </w:t>
      </w:r>
      <w:r w:rsidRPr="0074575E">
        <w:t>I</w:t>
      </w:r>
      <w:r w:rsidR="00B20F32" w:rsidRPr="0074575E">
        <w:t xml:space="preserve"> obtained </w:t>
      </w:r>
      <w:r w:rsidRPr="0074575E">
        <w:t xml:space="preserve">the </w:t>
      </w:r>
      <w:r w:rsidR="00B20F32" w:rsidRPr="0074575E">
        <w:t xml:space="preserve">hospital records from nine selected hospitals. </w:t>
      </w:r>
      <w:r w:rsidR="00ED34CE" w:rsidRPr="0074575E">
        <w:t xml:space="preserve">The records </w:t>
      </w:r>
      <w:r w:rsidRPr="0074575E">
        <w:t xml:space="preserve">I </w:t>
      </w:r>
      <w:r w:rsidR="00ED34CE" w:rsidRPr="0074575E">
        <w:t>obtained were the annual internal records documented separately by the individual hospitals</w:t>
      </w:r>
      <w:r w:rsidR="00B673E9" w:rsidRPr="0074575E">
        <w:t xml:space="preserve">. </w:t>
      </w:r>
      <w:r w:rsidR="00B20F32" w:rsidRPr="0074575E">
        <w:t xml:space="preserve">The selection of the hospitals </w:t>
      </w:r>
      <w:r w:rsidRPr="0074575E">
        <w:t xml:space="preserve">in this study </w:t>
      </w:r>
      <w:r w:rsidR="00B20F32" w:rsidRPr="0074575E">
        <w:t xml:space="preserve">was based on their willingness to participate in the study. </w:t>
      </w:r>
      <w:r w:rsidRPr="0074575E">
        <w:t>I</w:t>
      </w:r>
      <w:r w:rsidR="00B20F32" w:rsidRPr="0074575E">
        <w:t xml:space="preserve"> only considered the public and private hospitals found in Inland Empire, California. The selection of the online databases </w:t>
      </w:r>
      <w:r w:rsidRPr="0074575E">
        <w:t xml:space="preserve">in this study </w:t>
      </w:r>
      <w:r w:rsidR="00B20F32" w:rsidRPr="0074575E">
        <w:t xml:space="preserve">was based on stringent inclusion criteria. </w:t>
      </w:r>
      <w:r w:rsidRPr="0074575E">
        <w:t>I included</w:t>
      </w:r>
      <w:r w:rsidR="00B20F32" w:rsidRPr="0074575E">
        <w:t xml:space="preserve"> only the databases with relevant primary data collected through a well-designed and executed statistical methodology associated with limited errors and high generalizability.</w:t>
      </w:r>
      <w:r w:rsidR="0025265E" w:rsidRPr="0074575E">
        <w:t xml:space="preserve"> </w:t>
      </w:r>
      <w:r w:rsidRPr="0074575E">
        <w:t>I selected</w:t>
      </w:r>
      <w:r w:rsidR="0025265E" w:rsidRPr="0074575E">
        <w:t xml:space="preserve"> databases that had specific data on </w:t>
      </w:r>
      <w:r w:rsidR="00AD0A20" w:rsidRPr="0074575E">
        <w:t xml:space="preserve">the proportion of patients with sensory and physical disabilities </w:t>
      </w:r>
      <w:r w:rsidR="00A7516C" w:rsidRPr="0074575E">
        <w:t xml:space="preserve">admitted </w:t>
      </w:r>
      <w:r w:rsidR="00BF4953" w:rsidRPr="0074575E">
        <w:t>in the Inland Empire, California</w:t>
      </w:r>
      <w:r w:rsidR="00A7516C" w:rsidRPr="0074575E">
        <w:t xml:space="preserve"> </w:t>
      </w:r>
      <w:r w:rsidR="00BF4953" w:rsidRPr="0074575E">
        <w:t>hospitals</w:t>
      </w:r>
      <w:r w:rsidR="007341DE" w:rsidRPr="0074575E">
        <w:t xml:space="preserve"> and </w:t>
      </w:r>
      <w:r w:rsidR="00DA0685" w:rsidRPr="0074575E">
        <w:t xml:space="preserve">the </w:t>
      </w:r>
      <w:r w:rsidR="00387B6D" w:rsidRPr="0074575E">
        <w:lastRenderedPageBreak/>
        <w:t xml:space="preserve">healthcare staff </w:t>
      </w:r>
      <w:r w:rsidR="00DA0685" w:rsidRPr="0074575E">
        <w:t>perception of patients with disabilities</w:t>
      </w:r>
      <w:r w:rsidR="00314558" w:rsidRPr="0074575E">
        <w:t>. I considered only</w:t>
      </w:r>
      <w:r w:rsidR="0025265E" w:rsidRPr="0074575E">
        <w:t xml:space="preserve"> databases</w:t>
      </w:r>
      <w:r w:rsidR="007341DE" w:rsidRPr="0074575E">
        <w:t xml:space="preserve"> with data published b</w:t>
      </w:r>
      <w:r w:rsidR="00373324" w:rsidRPr="0074575E">
        <w:t>etween</w:t>
      </w:r>
      <w:r w:rsidR="007341DE" w:rsidRPr="0074575E">
        <w:t xml:space="preserve"> 2010</w:t>
      </w:r>
      <w:r w:rsidR="00373324" w:rsidRPr="0074575E">
        <w:t xml:space="preserve"> and 2015</w:t>
      </w:r>
      <w:r w:rsidR="0025265E" w:rsidRPr="0074575E">
        <w:t>.</w:t>
      </w:r>
      <w:r w:rsidR="00BF4953" w:rsidRPr="0074575E">
        <w:t xml:space="preserve"> </w:t>
      </w:r>
    </w:p>
    <w:p w:rsidR="00B20F32" w:rsidRPr="0074575E" w:rsidRDefault="00B20F32" w:rsidP="00B20F32">
      <w:pPr>
        <w:spacing w:line="480" w:lineRule="auto"/>
        <w:ind w:firstLine="720"/>
      </w:pPr>
      <w:r w:rsidRPr="0074575E">
        <w:t>For this study, only those databases managed by the government or by nationally recognized institutions were considered. The databases that met the study’s</w:t>
      </w:r>
      <w:r w:rsidR="00FC0D69" w:rsidRPr="0074575E">
        <w:t xml:space="preserve"> selection included the Health M</w:t>
      </w:r>
      <w:r w:rsidRPr="0074575E">
        <w:t>anagement database (Proquest), National Information Center on Health Services Research and Heal</w:t>
      </w:r>
      <w:r w:rsidR="00FC0D69" w:rsidRPr="0074575E">
        <w:t>th Care Technology, Agency for Healthcare Research and Q</w:t>
      </w:r>
      <w:r w:rsidRPr="0074575E">
        <w:t xml:space="preserve">uality database and Medicare Provider Analysis and Review database. From the selected national databases, </w:t>
      </w:r>
      <w:r w:rsidR="00314558" w:rsidRPr="0074575E">
        <w:t>I</w:t>
      </w:r>
      <w:r w:rsidRPr="0074575E">
        <w:t xml:space="preserve"> only retrieved relevant data for Inland Empire</w:t>
      </w:r>
      <w:r w:rsidR="00FC0D69" w:rsidRPr="0074575E">
        <w:t>, California</w:t>
      </w:r>
      <w:r w:rsidRPr="0074575E">
        <w:t xml:space="preserve">. The use of more than one database on this research enabled </w:t>
      </w:r>
      <w:r w:rsidR="00373324" w:rsidRPr="0074575E">
        <w:t xml:space="preserve">me </w:t>
      </w:r>
      <w:r w:rsidRPr="0074575E">
        <w:t xml:space="preserve">to overcome the challenge of unavailability of relevant data for Inland Empire. </w:t>
      </w:r>
    </w:p>
    <w:p w:rsidR="00B20F32" w:rsidRPr="0074575E" w:rsidRDefault="00243318" w:rsidP="00B20F32">
      <w:pPr>
        <w:spacing w:line="480" w:lineRule="auto"/>
        <w:rPr>
          <w:i/>
        </w:rPr>
      </w:pPr>
      <w:r w:rsidRPr="0074575E">
        <w:rPr>
          <w:i/>
        </w:rPr>
        <w:t xml:space="preserve">Data </w:t>
      </w:r>
      <w:r w:rsidR="00B20F32" w:rsidRPr="0074575E">
        <w:rPr>
          <w:i/>
        </w:rPr>
        <w:t>c</w:t>
      </w:r>
      <w:r w:rsidRPr="0074575E">
        <w:rPr>
          <w:i/>
        </w:rPr>
        <w:t xml:space="preserve">ollection </w:t>
      </w:r>
    </w:p>
    <w:p w:rsidR="00314558" w:rsidRPr="0074575E" w:rsidRDefault="00B20F32" w:rsidP="00B20F32">
      <w:pPr>
        <w:spacing w:line="480" w:lineRule="auto"/>
        <w:ind w:firstLine="720"/>
      </w:pPr>
      <w:r w:rsidRPr="0074575E">
        <w:t>The collection of the data was guided by the study’s research questions s</w:t>
      </w:r>
      <w:r w:rsidR="00314558" w:rsidRPr="0074575E">
        <w:t xml:space="preserve">o as to limit the occurrence of </w:t>
      </w:r>
      <w:r w:rsidR="00013673" w:rsidRPr="0074575E">
        <w:t xml:space="preserve">personal </w:t>
      </w:r>
      <w:r w:rsidR="00314558" w:rsidRPr="0074575E">
        <w:t>bias</w:t>
      </w:r>
      <w:r w:rsidRPr="0074575E">
        <w:t xml:space="preserve"> in the collection of data. From the hospital records, </w:t>
      </w:r>
      <w:r w:rsidR="00314558" w:rsidRPr="0074575E">
        <w:t xml:space="preserve">I obtained </w:t>
      </w:r>
      <w:r w:rsidRPr="0074575E">
        <w:t>data on the number of patients with disabilities and the budgetary allocation towards development of infrastructure for the patients with physical and sensory disabilities</w:t>
      </w:r>
      <w:r w:rsidR="00314558" w:rsidRPr="0074575E">
        <w:t>.</w:t>
      </w:r>
    </w:p>
    <w:p w:rsidR="00B20F32" w:rsidRPr="0074575E" w:rsidRDefault="00314558" w:rsidP="00B20F32">
      <w:pPr>
        <w:spacing w:line="480" w:lineRule="auto"/>
        <w:ind w:firstLine="720"/>
      </w:pPr>
      <w:r w:rsidRPr="0074575E">
        <w:t>I also obtained budgetary allocation</w:t>
      </w:r>
      <w:r w:rsidR="00D30D22" w:rsidRPr="0074575E">
        <w:t xml:space="preserve"> from the yearly projection of hospital expenditure on infrastructure for the patients with physical and sensory disabilities</w:t>
      </w:r>
      <w:r w:rsidR="00243318" w:rsidRPr="0074575E">
        <w:t xml:space="preserve">. </w:t>
      </w:r>
      <w:r w:rsidR="002A52EB" w:rsidRPr="0074575E">
        <w:t>The data on the projection was obtained from the records documented by the individual hospital.</w:t>
      </w:r>
      <w:r w:rsidR="00D30D22" w:rsidRPr="0074575E">
        <w:t xml:space="preserve"> </w:t>
      </w:r>
      <w:r w:rsidRPr="0074575E">
        <w:t>I obtained d</w:t>
      </w:r>
      <w:r w:rsidR="00B20F32" w:rsidRPr="0074575E">
        <w:t xml:space="preserve">ata on existing facilities for the patients </w:t>
      </w:r>
      <w:r w:rsidR="00B20F32" w:rsidRPr="0074575E">
        <w:lastRenderedPageBreak/>
        <w:t>with physical and sensory</w:t>
      </w:r>
      <w:r w:rsidRPr="0074575E">
        <w:t xml:space="preserve"> disabilities </w:t>
      </w:r>
      <w:r w:rsidR="00B20F32" w:rsidRPr="0074575E">
        <w:t xml:space="preserve">from the selected hospital records. To </w:t>
      </w:r>
      <w:r w:rsidRPr="0074575E">
        <w:t>facilitate the retrieval of these</w:t>
      </w:r>
      <w:r w:rsidR="00B20F32" w:rsidRPr="0074575E">
        <w:t xml:space="preserve"> data from the hospital records, </w:t>
      </w:r>
      <w:r w:rsidRPr="0074575E">
        <w:t>I</w:t>
      </w:r>
      <w:r w:rsidR="00B20F32" w:rsidRPr="0074575E">
        <w:t xml:space="preserve"> developed leading questions for each research question. Some of the leading que</w:t>
      </w:r>
      <w:r w:rsidR="00F651DC" w:rsidRPr="0074575E">
        <w:t>stions included the following: W</w:t>
      </w:r>
      <w:r w:rsidR="00FC0D69" w:rsidRPr="0074575E">
        <w:t>hat is the total number of</w:t>
      </w:r>
      <w:r w:rsidR="00B20F32" w:rsidRPr="0074575E">
        <w:t xml:space="preserve"> patients with physical </w:t>
      </w:r>
      <w:r w:rsidR="00F651DC" w:rsidRPr="0074575E">
        <w:t>and sensory disabilities? H</w:t>
      </w:r>
      <w:r w:rsidR="00B20F32" w:rsidRPr="0074575E">
        <w:t xml:space="preserve">ow many hospital staff </w:t>
      </w:r>
      <w:r w:rsidR="00FC0D69" w:rsidRPr="0074575E">
        <w:t>is</w:t>
      </w:r>
      <w:r w:rsidR="00B20F32" w:rsidRPr="0074575E">
        <w:t xml:space="preserve"> specially trained to handle the patients with phys</w:t>
      </w:r>
      <w:r w:rsidR="00F651DC" w:rsidRPr="0074575E">
        <w:t>ical and sensory disabilities? H</w:t>
      </w:r>
      <w:r w:rsidR="00B20F32" w:rsidRPr="0074575E">
        <w:t xml:space="preserve">ow many mobility and hearing aids are there? Based on these leading questions, </w:t>
      </w:r>
      <w:r w:rsidRPr="0074575E">
        <w:t>I</w:t>
      </w:r>
      <w:r w:rsidR="00B20F32" w:rsidRPr="0074575E">
        <w:t xml:space="preserve"> performed a manual search for the required data in the hospital records</w:t>
      </w:r>
      <w:r w:rsidR="00841BED" w:rsidRPr="0074575E">
        <w:t xml:space="preserve"> obtained from internal </w:t>
      </w:r>
      <w:r w:rsidR="00345DB9" w:rsidRPr="0074575E">
        <w:t>annual records document by each of the selected hospital</w:t>
      </w:r>
      <w:r w:rsidR="00B33C9B" w:rsidRPr="0074575E">
        <w:t xml:space="preserve">. </w:t>
      </w:r>
      <w:r w:rsidRPr="0074575E">
        <w:t>I used specific keywords</w:t>
      </w:r>
      <w:r w:rsidR="00B20F32" w:rsidRPr="0074575E">
        <w:t xml:space="preserve"> to obtain the required data from the selected databases. The keywords included </w:t>
      </w:r>
      <w:r w:rsidR="00243318" w:rsidRPr="0074575E">
        <w:t xml:space="preserve">patients with disabilities, health care quality, health care disparity, </w:t>
      </w:r>
      <w:r w:rsidR="00B20F32" w:rsidRPr="0074575E">
        <w:t>healthcare</w:t>
      </w:r>
      <w:r w:rsidR="00243318" w:rsidRPr="0074575E">
        <w:t xml:space="preserve"> staff attitude, staff perception </w:t>
      </w:r>
      <w:r w:rsidR="00B20F32" w:rsidRPr="0074575E">
        <w:t>and</w:t>
      </w:r>
      <w:r w:rsidR="00243318" w:rsidRPr="0074575E">
        <w:t xml:space="preserve"> patients with sensory and physical disabilities</w:t>
      </w:r>
      <w:r w:rsidR="00B20F32" w:rsidRPr="0074575E">
        <w:t>. Based on these keywords</w:t>
      </w:r>
      <w:r w:rsidR="00FC0D69" w:rsidRPr="0074575E">
        <w:t>,</w:t>
      </w:r>
      <w:r w:rsidR="00A7516C" w:rsidRPr="0074575E">
        <w:t xml:space="preserve"> </w:t>
      </w:r>
      <w:r w:rsidRPr="0074575E">
        <w:t>I</w:t>
      </w:r>
      <w:r w:rsidR="00B20F32" w:rsidRPr="0074575E">
        <w:t xml:space="preserve"> was able to retrieve studies that answered research question</w:t>
      </w:r>
      <w:r w:rsidR="000E4700" w:rsidRPr="0074575E">
        <w:t>s</w:t>
      </w:r>
      <w:r w:rsidR="00B20F32" w:rsidRPr="0074575E">
        <w:t xml:space="preserve"> raised. Through </w:t>
      </w:r>
      <w:r w:rsidR="00AA11F4" w:rsidRPr="0074575E">
        <w:t>these data retrieval criteria,</w:t>
      </w:r>
      <w:r w:rsidR="00B20F32" w:rsidRPr="0074575E">
        <w:t xml:space="preserve"> </w:t>
      </w:r>
      <w:r w:rsidRPr="0074575E">
        <w:t>I</w:t>
      </w:r>
      <w:r w:rsidR="00B20F32" w:rsidRPr="0074575E">
        <w:t xml:space="preserve"> obtained a total of 36 online studies</w:t>
      </w:r>
      <w:r w:rsidR="00877A09" w:rsidRPr="0074575E">
        <w:t xml:space="preserve"> (</w:t>
      </w:r>
      <w:r w:rsidR="00635956" w:rsidRPr="0074575E">
        <w:t>Appendix II</w:t>
      </w:r>
      <w:r w:rsidR="00877A09" w:rsidRPr="0074575E">
        <w:t>)</w:t>
      </w:r>
      <w:r w:rsidR="00B20F32" w:rsidRPr="0074575E">
        <w:t>.</w:t>
      </w:r>
      <w:r w:rsidR="00D44CB5" w:rsidRPr="0074575E">
        <w:t xml:space="preserve"> </w:t>
      </w:r>
      <w:r w:rsidR="00B20F32" w:rsidRPr="0074575E">
        <w:t xml:space="preserve">To ensure that sufficient data for each research question was obtained, </w:t>
      </w:r>
      <w:r w:rsidRPr="0074575E">
        <w:t>I</w:t>
      </w:r>
      <w:r w:rsidR="00B20F32" w:rsidRPr="0074575E">
        <w:t xml:space="preserve"> carried out the collection of data in a back and forth manner with subsequent open coding and determination of relationships. This collection process was carried out until no new relationships were observed from the data. </w:t>
      </w:r>
    </w:p>
    <w:p w:rsidR="00B20F32" w:rsidRPr="0074575E" w:rsidRDefault="00243318" w:rsidP="00B20F32">
      <w:pPr>
        <w:spacing w:line="480" w:lineRule="auto"/>
        <w:rPr>
          <w:i/>
        </w:rPr>
      </w:pPr>
      <w:r w:rsidRPr="0074575E">
        <w:rPr>
          <w:i/>
        </w:rPr>
        <w:t xml:space="preserve">Data </w:t>
      </w:r>
      <w:r w:rsidR="00B20F32" w:rsidRPr="0074575E">
        <w:rPr>
          <w:i/>
        </w:rPr>
        <w:t>a</w:t>
      </w:r>
      <w:r w:rsidRPr="0074575E">
        <w:rPr>
          <w:i/>
        </w:rPr>
        <w:t>nalysis</w:t>
      </w:r>
    </w:p>
    <w:p w:rsidR="00F26363" w:rsidRPr="0074575E" w:rsidRDefault="00314558" w:rsidP="00F651DC">
      <w:pPr>
        <w:spacing w:line="480" w:lineRule="auto"/>
        <w:ind w:firstLine="720"/>
        <w:outlineLvl w:val="0"/>
      </w:pPr>
      <w:r w:rsidRPr="0074575E">
        <w:t>I coded the obtained data</w:t>
      </w:r>
      <w:r w:rsidR="00B20F32" w:rsidRPr="0074575E">
        <w:t xml:space="preserve"> based on line-by-line open coding. </w:t>
      </w:r>
      <w:r w:rsidR="00D06DF1" w:rsidRPr="0074575E">
        <w:t>The data that</w:t>
      </w:r>
      <w:r w:rsidR="00AB6EAF" w:rsidRPr="0074575E">
        <w:t xml:space="preserve"> </w:t>
      </w:r>
      <w:r w:rsidR="00CB6D23" w:rsidRPr="0074575E">
        <w:t xml:space="preserve">were </w:t>
      </w:r>
      <w:r w:rsidR="00D06DF1" w:rsidRPr="0074575E">
        <w:t>open coded</w:t>
      </w:r>
      <w:r w:rsidR="00243318" w:rsidRPr="0074575E">
        <w:t xml:space="preserve"> </w:t>
      </w:r>
      <w:r w:rsidR="00AB6EAF" w:rsidRPr="0074575E">
        <w:t xml:space="preserve">included the data </w:t>
      </w:r>
      <w:r w:rsidR="00DC70AC" w:rsidRPr="0074575E">
        <w:t xml:space="preserve">from the online studies </w:t>
      </w:r>
      <w:r w:rsidR="00E02F6B" w:rsidRPr="0074575E">
        <w:t xml:space="preserve">such as the various </w:t>
      </w:r>
      <w:r w:rsidR="00E02F6B" w:rsidRPr="0074575E">
        <w:lastRenderedPageBreak/>
        <w:t>description</w:t>
      </w:r>
      <w:r w:rsidR="00DC70AC" w:rsidRPr="0074575E">
        <w:t xml:space="preserve">s associated with the themes of interest as laid out in the study objectives. </w:t>
      </w:r>
      <w:r w:rsidR="00B20F32" w:rsidRPr="0074575E">
        <w:t xml:space="preserve">This coding process resulted in several descriptive data groups, which </w:t>
      </w:r>
      <w:r w:rsidRPr="0074575E">
        <w:t>I</w:t>
      </w:r>
      <w:r w:rsidR="00B20F32" w:rsidRPr="0074575E">
        <w:t xml:space="preserve"> sorted out and grouped base</w:t>
      </w:r>
      <w:r w:rsidR="00B33F87" w:rsidRPr="0074575E">
        <w:t>d on the research questions. I then tested the</w:t>
      </w:r>
      <w:r w:rsidR="00B20F32" w:rsidRPr="0074575E">
        <w:t xml:space="preserve"> dat</w:t>
      </w:r>
      <w:r w:rsidR="00B33F87" w:rsidRPr="0074575E">
        <w:t xml:space="preserve">a in each group </w:t>
      </w:r>
      <w:r w:rsidR="00B20F32" w:rsidRPr="0074575E">
        <w:t>for normality using Kolmogorov</w:t>
      </w:r>
      <w:r w:rsidR="00B20F32" w:rsidRPr="0074575E">
        <w:rPr>
          <w:rFonts w:ascii="American Typewriter" w:hAnsi="American Typewriter" w:cs="American Typewriter"/>
        </w:rPr>
        <w:t xml:space="preserve"> </w:t>
      </w:r>
      <w:r w:rsidR="00B20F32" w:rsidRPr="0074575E">
        <w:t xml:space="preserve">Smirnov procedure. </w:t>
      </w:r>
      <w:r w:rsidR="00B33F87" w:rsidRPr="0074575E">
        <w:t>I analyzed t</w:t>
      </w:r>
      <w:r w:rsidR="00B20F32" w:rsidRPr="0074575E">
        <w:t>he trend in the proportion of patients with sensory and ph</w:t>
      </w:r>
      <w:r w:rsidR="00B33F87" w:rsidRPr="0074575E">
        <w:t>ysical disabilities</w:t>
      </w:r>
      <w:r w:rsidR="00B20F32" w:rsidRPr="0074575E">
        <w:t xml:space="preserve"> us</w:t>
      </w:r>
      <w:r w:rsidR="00741C9F" w:rsidRPr="0074575E">
        <w:t>ing descriptive statistics through the determination of the</w:t>
      </w:r>
      <w:r w:rsidR="00370D28" w:rsidRPr="0074575E">
        <w:t xml:space="preserve"> percentages of the different cases of disabilities per year between </w:t>
      </w:r>
      <w:r w:rsidR="00195E71" w:rsidRPr="0074575E">
        <w:t xml:space="preserve">the </w:t>
      </w:r>
      <w:r w:rsidR="00FC0D69" w:rsidRPr="0074575E">
        <w:t>years</w:t>
      </w:r>
      <w:r w:rsidR="00195E71" w:rsidRPr="0074575E">
        <w:t xml:space="preserve"> 2010 to 2015</w:t>
      </w:r>
      <w:r w:rsidR="00B33F87" w:rsidRPr="0074575E">
        <w:t>. I determined the</w:t>
      </w:r>
      <w:r w:rsidR="00B20F32" w:rsidRPr="0074575E">
        <w:t xml:space="preserve"> perception of the healthcare staff towards the patients with sensory and ph</w:t>
      </w:r>
      <w:r w:rsidR="00B33F87" w:rsidRPr="0074575E">
        <w:t xml:space="preserve">ysical disabilities </w:t>
      </w:r>
      <w:r w:rsidR="00B20F32" w:rsidRPr="0074575E">
        <w:t>by first identifying the various themes rega</w:t>
      </w:r>
      <w:r w:rsidR="00B33F87" w:rsidRPr="0074575E">
        <w:t>rding perception after which I expressed the</w:t>
      </w:r>
      <w:r w:rsidR="00B20F32" w:rsidRPr="0074575E">
        <w:t xml:space="preserve"> frequency of the themes in </w:t>
      </w:r>
      <w:r w:rsidR="00B33F87" w:rsidRPr="0074575E">
        <w:t>the collected data</w:t>
      </w:r>
      <w:r w:rsidR="00B20F32" w:rsidRPr="0074575E">
        <w:t xml:space="preserve"> in p</w:t>
      </w:r>
      <w:r w:rsidR="00B33F87" w:rsidRPr="0074575E">
        <w:t>ercentages. I determined</w:t>
      </w:r>
      <w:r w:rsidR="00B20F32" w:rsidRPr="0074575E">
        <w:t xml:space="preserve"> whether healthcare facilities are equipped with adequate infrastructure and staff to handle the needs of the patients with sensory and physical disabilities by comparing the patient population and the available facilities. Based on this comparison</w:t>
      </w:r>
      <w:r w:rsidR="00C95678" w:rsidRPr="0074575E">
        <w:t>,</w:t>
      </w:r>
      <w:r w:rsidR="00B20F32" w:rsidRPr="0074575E">
        <w:t xml:space="preserve"> </w:t>
      </w:r>
      <w:r w:rsidR="00B33F87" w:rsidRPr="0074575E">
        <w:t>I obtained</w:t>
      </w:r>
      <w:r w:rsidR="00B20F32" w:rsidRPr="0074575E">
        <w:t xml:space="preserve"> the percentage deficit in specific facilities a</w:t>
      </w:r>
      <w:r w:rsidR="00B33F87" w:rsidRPr="0074575E">
        <w:t>nd health care staff. I used c</w:t>
      </w:r>
      <w:r w:rsidR="00B20F32" w:rsidRPr="0074575E">
        <w:t>orre</w:t>
      </w:r>
      <w:r w:rsidR="00B33F87" w:rsidRPr="0074575E">
        <w:t xml:space="preserve">lation statistics </w:t>
      </w:r>
      <w:r w:rsidR="00B20F32" w:rsidRPr="0074575E">
        <w:t xml:space="preserve">to determine the impact of quality of health care service on the recovery rate of the patients with physical and sensory disabilities. </w:t>
      </w:r>
      <w:r w:rsidR="00B33F87" w:rsidRPr="0074575E">
        <w:t>I used Statistical Package for the Social Sciences {SPSS} version 23 software to conduct the data analysis</w:t>
      </w:r>
      <w:r w:rsidR="00B20F32" w:rsidRPr="0074575E">
        <w:t xml:space="preserve">. All analysis was carried out at 5% level of significance and the determination of the values that are significantly different at </w:t>
      </w:r>
      <w:r w:rsidR="00243318" w:rsidRPr="0074575E">
        <w:t>p</w:t>
      </w:r>
      <w:r w:rsidR="00B20F32" w:rsidRPr="0074575E">
        <w:t xml:space="preserve">=0.05 was done using the </w:t>
      </w:r>
      <w:proofErr w:type="spellStart"/>
      <w:r w:rsidR="00B20F32" w:rsidRPr="0074575E">
        <w:t>Tukey</w:t>
      </w:r>
      <w:proofErr w:type="spellEnd"/>
      <w:r w:rsidR="00B20F32" w:rsidRPr="0074575E">
        <w:t xml:space="preserve"> procedure.</w:t>
      </w:r>
    </w:p>
    <w:p w:rsidR="00A46DC9" w:rsidRPr="0074575E" w:rsidRDefault="00E0421E" w:rsidP="009D54C3">
      <w:pPr>
        <w:spacing w:line="480" w:lineRule="auto"/>
        <w:jc w:val="center"/>
        <w:outlineLvl w:val="0"/>
      </w:pPr>
      <w:r w:rsidRPr="0074575E">
        <w:t>RESULTS</w:t>
      </w:r>
    </w:p>
    <w:p w:rsidR="00937F7C" w:rsidRPr="0074575E" w:rsidRDefault="00B33F87" w:rsidP="00223558">
      <w:pPr>
        <w:spacing w:line="480" w:lineRule="auto"/>
        <w:ind w:firstLine="720"/>
      </w:pPr>
      <w:r w:rsidRPr="0074575E">
        <w:lastRenderedPageBreak/>
        <w:t>I</w:t>
      </w:r>
      <w:r w:rsidR="004104D7" w:rsidRPr="0074575E">
        <w:t xml:space="preserve"> evaluated a total of 45 hospital records and </w:t>
      </w:r>
      <w:r w:rsidR="000666D6" w:rsidRPr="0074575E">
        <w:t xml:space="preserve">36 online databases studies concerning </w:t>
      </w:r>
      <w:r w:rsidR="00CE65F5" w:rsidRPr="0074575E">
        <w:t xml:space="preserve">health care provision to </w:t>
      </w:r>
      <w:r w:rsidR="000666D6" w:rsidRPr="0074575E">
        <w:t>patients with physical and sensory disabilities. The</w:t>
      </w:r>
      <w:r w:rsidR="008D3868" w:rsidRPr="0074575E">
        <w:t xml:space="preserve"> selected data records were those between the</w:t>
      </w:r>
      <w:r w:rsidR="00236423" w:rsidRPr="0074575E">
        <w:t xml:space="preserve"> year 2010 and 2015.</w:t>
      </w:r>
      <w:r w:rsidR="00E42A6D" w:rsidRPr="0074575E">
        <w:t xml:space="preserve"> </w:t>
      </w:r>
      <w:r w:rsidR="005C3493" w:rsidRPr="0074575E">
        <w:t>The</w:t>
      </w:r>
      <w:r w:rsidR="00747F2F" w:rsidRPr="0074575E">
        <w:t xml:space="preserve"> study outcome indicated that</w:t>
      </w:r>
      <w:r w:rsidR="007D1752" w:rsidRPr="0074575E">
        <w:t xml:space="preserve"> the major physical </w:t>
      </w:r>
      <w:r w:rsidR="00F2056A" w:rsidRPr="0074575E">
        <w:t>disabilities were</w:t>
      </w:r>
      <w:r w:rsidR="008F5FDE" w:rsidRPr="0074575E">
        <w:t xml:space="preserve"> associated with impaired movement with an average of 3300 cases per hospital. T</w:t>
      </w:r>
      <w:r w:rsidR="005C1885" w:rsidRPr="0074575E">
        <w:t xml:space="preserve">he major sensory disabilities </w:t>
      </w:r>
      <w:r w:rsidR="008D7154" w:rsidRPr="0074575E">
        <w:t>that were</w:t>
      </w:r>
      <w:r w:rsidR="005C1885" w:rsidRPr="0074575E">
        <w:t xml:space="preserve"> established</w:t>
      </w:r>
      <w:r w:rsidR="008D7154" w:rsidRPr="0074575E">
        <w:t xml:space="preserve"> </w:t>
      </w:r>
      <w:r w:rsidR="009B73E1" w:rsidRPr="0074575E">
        <w:t>from retrieved hospital records was established</w:t>
      </w:r>
      <w:r w:rsidR="005C1885" w:rsidRPr="0074575E">
        <w:t xml:space="preserve"> to be vision</w:t>
      </w:r>
      <w:r w:rsidR="009B73E1" w:rsidRPr="0074575E">
        <w:t xml:space="preserve"> </w:t>
      </w:r>
      <w:r w:rsidR="005C1885" w:rsidRPr="0074575E">
        <w:t xml:space="preserve">and hearing </w:t>
      </w:r>
      <w:r w:rsidR="000F0617" w:rsidRPr="0074575E">
        <w:t xml:space="preserve">impairment </w:t>
      </w:r>
      <w:r w:rsidR="005C1885" w:rsidRPr="0074575E">
        <w:t xml:space="preserve">that contributed to </w:t>
      </w:r>
      <w:r w:rsidR="00525670" w:rsidRPr="0074575E">
        <w:t xml:space="preserve">an average of 1278 and 4600 cases per hospital </w:t>
      </w:r>
      <w:r w:rsidR="000F0617" w:rsidRPr="0074575E">
        <w:t xml:space="preserve">respectively </w:t>
      </w:r>
      <w:r w:rsidR="00525670" w:rsidRPr="0074575E">
        <w:t xml:space="preserve">in every year. </w:t>
      </w:r>
      <w:r w:rsidR="003462BE" w:rsidRPr="0074575E">
        <w:t>T</w:t>
      </w:r>
      <w:r w:rsidR="00F71071" w:rsidRPr="0074575E">
        <w:t xml:space="preserve">he trend in the proportion of patients with physical and </w:t>
      </w:r>
      <w:r w:rsidR="00236423" w:rsidRPr="0074575E">
        <w:t xml:space="preserve">sensory disabilities showed </w:t>
      </w:r>
      <w:r w:rsidR="008D3868" w:rsidRPr="0074575E">
        <w:t xml:space="preserve">that </w:t>
      </w:r>
      <w:r w:rsidR="006F5E95" w:rsidRPr="0074575E">
        <w:t xml:space="preserve">the patients with impaired hearing made up the highest proportion of the hospital patients as indicated by a proportion of </w:t>
      </w:r>
      <w:r w:rsidR="001E14C6" w:rsidRPr="0074575E">
        <w:t xml:space="preserve">44%, 47%, 39%, 45% and 44% for the years 2010, 2011, </w:t>
      </w:r>
      <w:r w:rsidR="003758A7" w:rsidRPr="0074575E">
        <w:t xml:space="preserve">2013, </w:t>
      </w:r>
      <w:r w:rsidR="00BB05BB" w:rsidRPr="0074575E">
        <w:t xml:space="preserve">2014 and </w:t>
      </w:r>
      <w:r w:rsidR="000B53B8" w:rsidRPr="0074575E">
        <w:t>2015 respectively. From the year</w:t>
      </w:r>
      <w:r w:rsidR="00BB05BB" w:rsidRPr="0074575E">
        <w:t xml:space="preserve"> 2010 to 2015</w:t>
      </w:r>
      <w:r w:rsidR="0058716B" w:rsidRPr="0074575E">
        <w:t>,</w:t>
      </w:r>
      <w:r w:rsidR="00BB05BB" w:rsidRPr="0074575E">
        <w:t xml:space="preserve"> the proportion of patients with physical </w:t>
      </w:r>
      <w:r w:rsidR="009D54C3" w:rsidRPr="0074575E">
        <w:t>disabilities</w:t>
      </w:r>
      <w:r w:rsidR="00BB05BB" w:rsidRPr="0074575E">
        <w:t xml:space="preserve"> was established to be </w:t>
      </w:r>
      <w:r w:rsidR="00716D9C" w:rsidRPr="0074575E">
        <w:t xml:space="preserve">34%, 25%, 31%, 39% and 33% respectively. </w:t>
      </w:r>
      <w:r w:rsidR="003844E3" w:rsidRPr="0074575E">
        <w:t xml:space="preserve">The proportion of the patients with hearing </w:t>
      </w:r>
      <w:r w:rsidR="009D54C3" w:rsidRPr="0074575E">
        <w:t>disabilities</w:t>
      </w:r>
      <w:r w:rsidR="003844E3" w:rsidRPr="0074575E">
        <w:t xml:space="preserve"> </w:t>
      </w:r>
      <w:r w:rsidR="007A28C4" w:rsidRPr="0074575E">
        <w:t>from 2010 to 2015 was established to be 16%, 13%, 15%, 12% and 11% res</w:t>
      </w:r>
      <w:r w:rsidR="001A1CAF" w:rsidRPr="0074575E">
        <w:t>pectively as shown in Figure 1.</w:t>
      </w:r>
      <w:r w:rsidR="006F5E95" w:rsidRPr="0074575E">
        <w:t xml:space="preserve"> </w:t>
      </w:r>
    </w:p>
    <w:p w:rsidR="0039110B" w:rsidRPr="0074575E" w:rsidRDefault="00243318" w:rsidP="0058716B">
      <w:pPr>
        <w:spacing w:line="480" w:lineRule="auto"/>
      </w:pPr>
      <w:r w:rsidRPr="0074575E">
        <w:t xml:space="preserve">The </w:t>
      </w:r>
      <w:r w:rsidR="0039110B" w:rsidRPr="0074575E">
        <w:t>attitude</w:t>
      </w:r>
      <w:r w:rsidRPr="0074575E">
        <w:t xml:space="preserve"> of </w:t>
      </w:r>
      <w:r w:rsidR="0039110B" w:rsidRPr="0074575E">
        <w:t xml:space="preserve">healthcare staff towards the patients with physical and sensory </w:t>
      </w:r>
      <w:r w:rsidR="009D54C3" w:rsidRPr="0074575E">
        <w:t>disabilities</w:t>
      </w:r>
    </w:p>
    <w:p w:rsidR="00937F7C" w:rsidRPr="0074575E" w:rsidRDefault="00DD6C0F" w:rsidP="00223558">
      <w:pPr>
        <w:spacing w:line="480" w:lineRule="auto"/>
        <w:ind w:firstLine="720"/>
      </w:pPr>
      <w:r w:rsidRPr="0074575E">
        <w:t>The</w:t>
      </w:r>
      <w:r w:rsidR="00B94412" w:rsidRPr="0074575E">
        <w:t xml:space="preserve"> outcome on how members</w:t>
      </w:r>
      <w:r w:rsidR="00734BCA" w:rsidRPr="0074575E">
        <w:t xml:space="preserve"> of</w:t>
      </w:r>
      <w:r w:rsidR="00B94412" w:rsidRPr="0074575E">
        <w:t xml:space="preserve"> </w:t>
      </w:r>
      <w:r w:rsidRPr="0074575E">
        <w:t xml:space="preserve">healthcare </w:t>
      </w:r>
      <w:r w:rsidR="00B94412" w:rsidRPr="0074575E">
        <w:t>staff perceive</w:t>
      </w:r>
      <w:r w:rsidRPr="0074575E">
        <w:t xml:space="preserve"> </w:t>
      </w:r>
      <w:r w:rsidR="00E74B70" w:rsidRPr="0074575E">
        <w:t xml:space="preserve">patients with physical and sensory </w:t>
      </w:r>
      <w:r w:rsidR="009D54C3" w:rsidRPr="0074575E">
        <w:t>disabilities</w:t>
      </w:r>
      <w:r w:rsidR="00734BCA" w:rsidRPr="0074575E">
        <w:t xml:space="preserve"> was assessed by establishing </w:t>
      </w:r>
      <w:r w:rsidR="00E74B70" w:rsidRPr="0074575E">
        <w:t xml:space="preserve">the percentage of </w:t>
      </w:r>
      <w:r w:rsidR="00D85279" w:rsidRPr="0074575E">
        <w:t xml:space="preserve">healthcare staff </w:t>
      </w:r>
      <w:r w:rsidR="00E100AD" w:rsidRPr="0074575E">
        <w:t xml:space="preserve">that </w:t>
      </w:r>
      <w:r w:rsidR="004A5DC6" w:rsidRPr="0074575E">
        <w:t xml:space="preserve">responded </w:t>
      </w:r>
      <w:r w:rsidR="00D85279" w:rsidRPr="0074575E">
        <w:t>positive</w:t>
      </w:r>
      <w:r w:rsidR="004A5DC6" w:rsidRPr="0074575E">
        <w:t>ly</w:t>
      </w:r>
      <w:r w:rsidR="00D85279" w:rsidRPr="0074575E">
        <w:t xml:space="preserve"> or negative</w:t>
      </w:r>
      <w:r w:rsidR="004A5DC6" w:rsidRPr="0074575E">
        <w:t>ly</w:t>
      </w:r>
      <w:r w:rsidR="00D85279" w:rsidRPr="0074575E">
        <w:t xml:space="preserve"> to</w:t>
      </w:r>
      <w:r w:rsidR="004C4C21" w:rsidRPr="0074575E">
        <w:t xml:space="preserve"> five</w:t>
      </w:r>
      <w:r w:rsidR="00874F90" w:rsidRPr="0074575E">
        <w:t xml:space="preserve"> questions items </w:t>
      </w:r>
      <w:r w:rsidR="00506F4C" w:rsidRPr="0074575E">
        <w:t>on</w:t>
      </w:r>
      <w:r w:rsidR="00874F90" w:rsidRPr="0074575E">
        <w:t xml:space="preserve"> </w:t>
      </w:r>
      <w:r w:rsidR="00874F90" w:rsidRPr="0074575E">
        <w:lastRenderedPageBreak/>
        <w:t xml:space="preserve">attitude. </w:t>
      </w:r>
      <w:r w:rsidR="00BF38BD" w:rsidRPr="0074575E">
        <w:t xml:space="preserve">The first question item was on whether the healthcare staff </w:t>
      </w:r>
      <w:r w:rsidR="00582047" w:rsidRPr="0074575E">
        <w:t xml:space="preserve">regarded the handling of </w:t>
      </w:r>
      <w:r w:rsidR="002923FC" w:rsidRPr="0074575E">
        <w:t xml:space="preserve">patients with physical and sensory </w:t>
      </w:r>
      <w:r w:rsidR="009D54C3" w:rsidRPr="0074575E">
        <w:t>disabilities</w:t>
      </w:r>
      <w:r w:rsidR="00582047" w:rsidRPr="0074575E">
        <w:t xml:space="preserve"> to be easy</w:t>
      </w:r>
      <w:r w:rsidR="002923FC" w:rsidRPr="0074575E">
        <w:t>. The results</w:t>
      </w:r>
      <w:r w:rsidR="00AB1C26" w:rsidRPr="0074575E">
        <w:t xml:space="preserve"> presented in Table 1</w:t>
      </w:r>
      <w:r w:rsidR="00FE526A" w:rsidRPr="0074575E">
        <w:t xml:space="preserve"> indicate</w:t>
      </w:r>
      <w:r w:rsidR="00C543D0" w:rsidRPr="0074575E">
        <w:t xml:space="preserve"> that </w:t>
      </w:r>
      <w:r w:rsidR="002923FC" w:rsidRPr="0074575E">
        <w:t xml:space="preserve">significantly high percentage of the </w:t>
      </w:r>
      <w:r w:rsidR="00BA22BF" w:rsidRPr="0074575E">
        <w:t xml:space="preserve">members of </w:t>
      </w:r>
      <w:r w:rsidR="002923FC" w:rsidRPr="0074575E">
        <w:t xml:space="preserve">staff </w:t>
      </w:r>
      <w:r w:rsidR="005619CA" w:rsidRPr="0074575E">
        <w:t xml:space="preserve">do not think that it is easy to attend to patients with </w:t>
      </w:r>
      <w:r w:rsidR="009D54C3" w:rsidRPr="0074575E">
        <w:t>disabilities</w:t>
      </w:r>
      <w:r w:rsidR="005619CA" w:rsidRPr="0074575E">
        <w:t xml:space="preserve"> (</w:t>
      </w:r>
      <w:r w:rsidR="00BF700A" w:rsidRPr="0074575E">
        <w:t>57%,</w:t>
      </w:r>
      <w:r w:rsidR="00BF700A" w:rsidRPr="0074575E">
        <w:rPr>
          <w:i/>
        </w:rPr>
        <w:t xml:space="preserve"> </w:t>
      </w:r>
      <w:r w:rsidR="00243318" w:rsidRPr="0074575E">
        <w:rPr>
          <w:i/>
        </w:rPr>
        <w:t>p</w:t>
      </w:r>
      <w:r w:rsidR="0074575E">
        <w:t xml:space="preserve"> </w:t>
      </w:r>
      <w:r w:rsidR="00BF700A" w:rsidRPr="0074575E">
        <w:t>=0.003).</w:t>
      </w:r>
      <w:r w:rsidR="00666F13" w:rsidRPr="0074575E">
        <w:t xml:space="preserve"> The percentage </w:t>
      </w:r>
      <w:r w:rsidR="00DF768D" w:rsidRPr="0074575E">
        <w:t xml:space="preserve">of </w:t>
      </w:r>
      <w:r w:rsidR="00152E48" w:rsidRPr="0074575E">
        <w:t>health care staff that r</w:t>
      </w:r>
      <w:r w:rsidR="00CC7497" w:rsidRPr="0074575E">
        <w:t xml:space="preserve">egarded the handling of patients with physical and sensory </w:t>
      </w:r>
      <w:r w:rsidR="009D54C3" w:rsidRPr="0074575E">
        <w:t>disabilities</w:t>
      </w:r>
      <w:r w:rsidR="00CC7497" w:rsidRPr="0074575E">
        <w:t xml:space="preserve"> to be easy was s</w:t>
      </w:r>
      <w:r w:rsidR="00932684" w:rsidRPr="0074575E">
        <w:t>ignificantl</w:t>
      </w:r>
      <w:r w:rsidR="00665EAF" w:rsidRPr="0074575E">
        <w:t xml:space="preserve">y low (39%, </w:t>
      </w:r>
      <w:r w:rsidR="00243318" w:rsidRPr="0074575E">
        <w:rPr>
          <w:i/>
        </w:rPr>
        <w:t>p</w:t>
      </w:r>
      <w:r w:rsidR="0074575E" w:rsidRPr="0074575E">
        <w:rPr>
          <w:i/>
        </w:rPr>
        <w:t xml:space="preserve"> </w:t>
      </w:r>
      <w:r w:rsidR="00665EAF" w:rsidRPr="0074575E">
        <w:t>=0.04</w:t>
      </w:r>
      <w:r w:rsidR="00932684" w:rsidRPr="0074575E">
        <w:t>) compared to</w:t>
      </w:r>
      <w:r w:rsidR="006373EC" w:rsidRPr="0074575E">
        <w:t xml:space="preserve"> the proportion</w:t>
      </w:r>
      <w:r w:rsidR="00DD480E" w:rsidRPr="0074575E">
        <w:t xml:space="preserve"> of the staff that regarded </w:t>
      </w:r>
      <w:r w:rsidR="00D4743A" w:rsidRPr="0074575E">
        <w:t xml:space="preserve">the easy of handling the patients with </w:t>
      </w:r>
      <w:r w:rsidR="009D54C3" w:rsidRPr="0074575E">
        <w:t>disabilities</w:t>
      </w:r>
      <w:r w:rsidR="00DD480E" w:rsidRPr="0074575E">
        <w:t xml:space="preserve"> to be similar to that</w:t>
      </w:r>
      <w:r w:rsidR="00F90623" w:rsidRPr="0074575E">
        <w:t xml:space="preserve"> of normal patients (4%, </w:t>
      </w:r>
      <w:r w:rsidR="00243318" w:rsidRPr="0074575E">
        <w:rPr>
          <w:i/>
        </w:rPr>
        <w:t>p</w:t>
      </w:r>
      <w:r w:rsidR="0074575E" w:rsidRPr="0074575E">
        <w:rPr>
          <w:i/>
        </w:rPr>
        <w:t xml:space="preserve"> </w:t>
      </w:r>
      <w:r w:rsidR="00F90623" w:rsidRPr="0074575E">
        <w:t>=0.01</w:t>
      </w:r>
      <w:r w:rsidR="00DD480E" w:rsidRPr="0074575E">
        <w:t xml:space="preserve">). </w:t>
      </w:r>
      <w:r w:rsidR="003F5F53" w:rsidRPr="0074575E">
        <w:t xml:space="preserve">Regarding the second question item, significantly high number of staff members indicated that </w:t>
      </w:r>
      <w:r w:rsidR="007B587B" w:rsidRPr="0074575E">
        <w:t xml:space="preserve">patients with </w:t>
      </w:r>
      <w:r w:rsidR="009D54C3" w:rsidRPr="0074575E">
        <w:t>disabilities</w:t>
      </w:r>
      <w:r w:rsidR="007B587B" w:rsidRPr="0074575E">
        <w:t xml:space="preserve"> do not adhere to instructions (</w:t>
      </w:r>
      <w:r w:rsidR="00FB7F2D" w:rsidRPr="0074575E">
        <w:t>51%,</w:t>
      </w:r>
      <w:r w:rsidR="00FB7F2D" w:rsidRPr="0074575E">
        <w:rPr>
          <w:i/>
        </w:rPr>
        <w:t xml:space="preserve"> </w:t>
      </w:r>
      <w:r w:rsidR="00243318" w:rsidRPr="0074575E">
        <w:rPr>
          <w:i/>
        </w:rPr>
        <w:t>p</w:t>
      </w:r>
      <w:r w:rsidR="0074575E">
        <w:t xml:space="preserve"> </w:t>
      </w:r>
      <w:r w:rsidR="00FB7F2D" w:rsidRPr="0074575E">
        <w:t>=0.0</w:t>
      </w:r>
      <w:r w:rsidR="00665EAF" w:rsidRPr="0074575E">
        <w:t>3</w:t>
      </w:r>
      <w:r w:rsidR="00C37757" w:rsidRPr="0074575E">
        <w:t xml:space="preserve">). The proportion </w:t>
      </w:r>
      <w:r w:rsidR="00DE13F8" w:rsidRPr="0074575E">
        <w:t xml:space="preserve">of the staff </w:t>
      </w:r>
      <w:r w:rsidR="00C37757" w:rsidRPr="0074575E">
        <w:t xml:space="preserve">that indicated that the patients with </w:t>
      </w:r>
      <w:r w:rsidR="009D54C3" w:rsidRPr="0074575E">
        <w:t>disabilities</w:t>
      </w:r>
      <w:r w:rsidR="00C37757" w:rsidRPr="0074575E">
        <w:t xml:space="preserve"> adhere to instructions (20</w:t>
      </w:r>
      <w:r w:rsidR="00AA441E" w:rsidRPr="0074575E">
        <w:t xml:space="preserve">%) and those that responded that adherence to instructions by the patients with </w:t>
      </w:r>
      <w:r w:rsidR="009D54C3" w:rsidRPr="0074575E">
        <w:t>disabilities</w:t>
      </w:r>
      <w:r w:rsidR="00AA441E" w:rsidRPr="0074575E">
        <w:t xml:space="preserve"> is the </w:t>
      </w:r>
      <w:r w:rsidR="00C777E8" w:rsidRPr="0074575E">
        <w:t>same as for the normal patients</w:t>
      </w:r>
      <w:r w:rsidR="00696D2A" w:rsidRPr="0074575E">
        <w:t xml:space="preserve"> (29%) was not significantly </w:t>
      </w:r>
      <w:r w:rsidR="00DE13F8" w:rsidRPr="0074575E">
        <w:t xml:space="preserve">different </w:t>
      </w:r>
      <w:r w:rsidR="00696D2A" w:rsidRPr="0074575E">
        <w:t xml:space="preserve">at </w:t>
      </w:r>
      <w:r w:rsidR="00243318" w:rsidRPr="0074575E">
        <w:rPr>
          <w:i/>
        </w:rPr>
        <w:t>p</w:t>
      </w:r>
      <w:r w:rsidR="0074575E">
        <w:t xml:space="preserve"> </w:t>
      </w:r>
      <w:r w:rsidR="00696D2A" w:rsidRPr="0074575E">
        <w:t xml:space="preserve">=0.05. The result on the third question item revealed that a significantly high </w:t>
      </w:r>
      <w:r w:rsidR="00C02AF2" w:rsidRPr="0074575E">
        <w:t xml:space="preserve">percentage (65% </w:t>
      </w:r>
      <w:r w:rsidR="00243318" w:rsidRPr="0074575E">
        <w:rPr>
          <w:i/>
        </w:rPr>
        <w:t>p</w:t>
      </w:r>
      <w:r w:rsidR="0074575E">
        <w:t xml:space="preserve"> </w:t>
      </w:r>
      <w:r w:rsidR="00F90623" w:rsidRPr="0074575E">
        <w:t>=0.03</w:t>
      </w:r>
      <w:r w:rsidR="00C02AF2" w:rsidRPr="0074575E">
        <w:t>) of the</w:t>
      </w:r>
      <w:r w:rsidR="00696D2A" w:rsidRPr="0074575E">
        <w:t xml:space="preserve"> members of health care staff </w:t>
      </w:r>
      <w:r w:rsidR="00F24A11" w:rsidRPr="0074575E">
        <w:t xml:space="preserve">perceive the patients with </w:t>
      </w:r>
      <w:r w:rsidR="009D54C3" w:rsidRPr="0074575E">
        <w:t>disabilities</w:t>
      </w:r>
      <w:r w:rsidR="00F24A11" w:rsidRPr="0074575E">
        <w:t xml:space="preserve"> to </w:t>
      </w:r>
      <w:r w:rsidR="008B29C6" w:rsidRPr="0074575E">
        <w:t xml:space="preserve">be </w:t>
      </w:r>
      <w:r w:rsidR="00824234" w:rsidRPr="0074575E">
        <w:t xml:space="preserve">hard to </w:t>
      </w:r>
      <w:r w:rsidR="0058716B" w:rsidRPr="0074575E">
        <w:t>be communicated</w:t>
      </w:r>
      <w:r w:rsidR="00824234" w:rsidRPr="0074575E">
        <w:t xml:space="preserve"> with</w:t>
      </w:r>
      <w:r w:rsidR="00282C8D" w:rsidRPr="0074575E">
        <w:t xml:space="preserve">. Regarding the fourth </w:t>
      </w:r>
      <w:r w:rsidR="00364CE8" w:rsidRPr="0074575E">
        <w:t xml:space="preserve">question item, it was established that the proportion of </w:t>
      </w:r>
      <w:r w:rsidR="00BE2C8D" w:rsidRPr="0074575E">
        <w:t xml:space="preserve">health care staff that apportion more time and attention to the patients with physical and sensory </w:t>
      </w:r>
      <w:r w:rsidR="009D54C3" w:rsidRPr="0074575E">
        <w:t>disabilities</w:t>
      </w:r>
      <w:r w:rsidR="00BE2C8D" w:rsidRPr="0074575E">
        <w:t xml:space="preserve"> (46%) is not significantly</w:t>
      </w:r>
      <w:r w:rsidR="005A4EC9" w:rsidRPr="0074575E">
        <w:t xml:space="preserve"> different from those that apportion</w:t>
      </w:r>
      <w:r w:rsidR="00BE2C8D" w:rsidRPr="0074575E">
        <w:t xml:space="preserve"> equal time</w:t>
      </w:r>
      <w:r w:rsidR="005A4EC9" w:rsidRPr="0074575E">
        <w:t xml:space="preserve"> to the </w:t>
      </w:r>
      <w:r w:rsidR="005A44FF" w:rsidRPr="0074575E">
        <w:t xml:space="preserve">patient with </w:t>
      </w:r>
      <w:r w:rsidR="009D54C3" w:rsidRPr="0074575E">
        <w:t>disabilities</w:t>
      </w:r>
      <w:r w:rsidR="00BE2C8D" w:rsidRPr="0074575E">
        <w:t xml:space="preserve"> as the normal patients (</w:t>
      </w:r>
      <w:r w:rsidR="00AE491F" w:rsidRPr="0074575E">
        <w:t xml:space="preserve">51%). </w:t>
      </w:r>
      <w:r w:rsidR="00993AD3" w:rsidRPr="0074575E">
        <w:t xml:space="preserve">The result on the </w:t>
      </w:r>
      <w:r w:rsidR="00B5771C" w:rsidRPr="0074575E">
        <w:t>fifth question item showed</w:t>
      </w:r>
      <w:r w:rsidR="00F2751E" w:rsidRPr="0074575E">
        <w:t xml:space="preserve"> that a significantly </w:t>
      </w:r>
      <w:r w:rsidR="00F2751E" w:rsidRPr="0074575E">
        <w:lastRenderedPageBreak/>
        <w:t xml:space="preserve">high </w:t>
      </w:r>
      <w:r w:rsidR="00B5771C" w:rsidRPr="0074575E">
        <w:t xml:space="preserve">proportion of the healthcare staff members perceive that the patients with physical and </w:t>
      </w:r>
      <w:r w:rsidR="00416B9E" w:rsidRPr="0074575E">
        <w:t xml:space="preserve">sensory </w:t>
      </w:r>
      <w:r w:rsidR="009D54C3" w:rsidRPr="0074575E">
        <w:t>disabilities</w:t>
      </w:r>
      <w:r w:rsidR="00416B9E" w:rsidRPr="0074575E">
        <w:t xml:space="preserve"> </w:t>
      </w:r>
      <w:r w:rsidR="007675D0" w:rsidRPr="0074575E">
        <w:t xml:space="preserve">complicate their work (63%, </w:t>
      </w:r>
      <w:r w:rsidR="00243318" w:rsidRPr="0074575E">
        <w:rPr>
          <w:i/>
        </w:rPr>
        <w:t>p</w:t>
      </w:r>
      <w:r w:rsidR="0074575E">
        <w:t xml:space="preserve"> </w:t>
      </w:r>
      <w:r w:rsidR="007675D0" w:rsidRPr="0074575E">
        <w:t>=0.004</w:t>
      </w:r>
      <w:r w:rsidR="00B20AEA" w:rsidRPr="0074575E">
        <w:t>)</w:t>
      </w:r>
      <w:r w:rsidR="00AB1C26" w:rsidRPr="0074575E">
        <w:t xml:space="preserve"> as shown in Table 1</w:t>
      </w:r>
      <w:r w:rsidR="00294A2A" w:rsidRPr="0074575E">
        <w:t xml:space="preserve">. </w:t>
      </w:r>
    </w:p>
    <w:p w:rsidR="00E521A9" w:rsidRPr="0074575E" w:rsidRDefault="00E521A9" w:rsidP="00223558">
      <w:pPr>
        <w:spacing w:line="480" w:lineRule="auto"/>
      </w:pPr>
      <w:r w:rsidRPr="0074575E">
        <w:t>Assessment of the facilities</w:t>
      </w:r>
      <w:r w:rsidR="00066834" w:rsidRPr="0074575E">
        <w:t xml:space="preserve"> and staff suitability to handle the needs of patients with physical and sensory </w:t>
      </w:r>
      <w:r w:rsidR="009D54C3" w:rsidRPr="0074575E">
        <w:t>disabilities</w:t>
      </w:r>
    </w:p>
    <w:p w:rsidR="00937F7C" w:rsidRPr="0074575E" w:rsidRDefault="00B33F87" w:rsidP="00223558">
      <w:pPr>
        <w:spacing w:line="480" w:lineRule="auto"/>
        <w:ind w:firstLine="720"/>
      </w:pPr>
      <w:r w:rsidRPr="0074575E">
        <w:t>I</w:t>
      </w:r>
      <w:r w:rsidR="00F16381" w:rsidRPr="0074575E">
        <w:t xml:space="preserve"> evaluated the existing data to determine whether the health care facilities in the </w:t>
      </w:r>
      <w:r w:rsidR="00FA4ECD" w:rsidRPr="0074575E">
        <w:t>study area are well equipped</w:t>
      </w:r>
      <w:r w:rsidR="00561E39" w:rsidRPr="0074575E">
        <w:t xml:space="preserve"> to handle the needs of</w:t>
      </w:r>
      <w:r w:rsidR="00FA4ECD" w:rsidRPr="0074575E">
        <w:t xml:space="preserve"> patients with physical and sensory </w:t>
      </w:r>
      <w:r w:rsidR="009D54C3" w:rsidRPr="0074575E">
        <w:t>disabilities</w:t>
      </w:r>
      <w:r w:rsidR="00A430D6" w:rsidRPr="0074575E">
        <w:t xml:space="preserve">. The results </w:t>
      </w:r>
      <w:r w:rsidR="00F06A92" w:rsidRPr="0074575E">
        <w:t>presented in Table 2 indicate</w:t>
      </w:r>
      <w:r w:rsidR="00A430D6" w:rsidRPr="0074575E">
        <w:t xml:space="preserve"> that the</w:t>
      </w:r>
      <w:r w:rsidR="008E1CEF" w:rsidRPr="0074575E">
        <w:t xml:space="preserve"> hospitals did</w:t>
      </w:r>
      <w:r w:rsidR="0046506D" w:rsidRPr="0074575E">
        <w:t xml:space="preserve"> not have sufficient </w:t>
      </w:r>
      <w:r w:rsidR="00B95ADF" w:rsidRPr="0074575E">
        <w:t>facilities for</w:t>
      </w:r>
      <w:r w:rsidR="008A455E" w:rsidRPr="0074575E">
        <w:t xml:space="preserve"> patients with disabil</w:t>
      </w:r>
      <w:r w:rsidR="00944B09" w:rsidRPr="0074575E">
        <w:t xml:space="preserve">ities </w:t>
      </w:r>
      <w:r w:rsidR="00D237A1" w:rsidRPr="0074575E">
        <w:t>as indicated by average defici</w:t>
      </w:r>
      <w:r w:rsidR="00944B09" w:rsidRPr="0074575E">
        <w:t xml:space="preserve">t </w:t>
      </w:r>
      <w:r w:rsidR="004008EC" w:rsidRPr="0074575E">
        <w:t xml:space="preserve">of 66.67%, 33.33%, 62.92%, 40% and 71.43% </w:t>
      </w:r>
      <w:r w:rsidR="008A455E" w:rsidRPr="0074575E">
        <w:t>in the number of wheelchairs, accessible toilets, specialist beds, voice announcement tools</w:t>
      </w:r>
      <w:r w:rsidR="004008EC" w:rsidRPr="0074575E">
        <w:t xml:space="preserve"> and </w:t>
      </w:r>
      <w:r w:rsidR="003462BE" w:rsidRPr="0074575E">
        <w:t>Braille</w:t>
      </w:r>
      <w:r w:rsidR="004008EC" w:rsidRPr="0074575E">
        <w:t xml:space="preserve"> equipment </w:t>
      </w:r>
      <w:r w:rsidR="00944B09" w:rsidRPr="0074575E">
        <w:t xml:space="preserve">per hospital respectively. </w:t>
      </w:r>
      <w:r w:rsidR="00967FD2" w:rsidRPr="0074575E">
        <w:t xml:space="preserve">The </w:t>
      </w:r>
      <w:r w:rsidR="00B95ADF" w:rsidRPr="0074575E">
        <w:t xml:space="preserve">results also indicated that the </w:t>
      </w:r>
      <w:r w:rsidR="00967FD2" w:rsidRPr="0074575E">
        <w:t xml:space="preserve">hospitals have insufficient staff with expertise in dealing with </w:t>
      </w:r>
      <w:r w:rsidR="00A008D8" w:rsidRPr="0074575E">
        <w:t xml:space="preserve">patients with physical and sensory </w:t>
      </w:r>
      <w:r w:rsidR="009D54C3" w:rsidRPr="0074575E">
        <w:t>disabilities</w:t>
      </w:r>
      <w:r w:rsidR="00D237A1" w:rsidRPr="0074575E">
        <w:t xml:space="preserve"> as indicated </w:t>
      </w:r>
      <w:r w:rsidR="008E1CEF" w:rsidRPr="0074575E">
        <w:t xml:space="preserve">by the </w:t>
      </w:r>
      <w:r w:rsidR="00D237A1" w:rsidRPr="0074575E">
        <w:t>average defici</w:t>
      </w:r>
      <w:r w:rsidR="00A008D8" w:rsidRPr="0074575E">
        <w:t xml:space="preserve">t of 76.67%, 84% and 42.86% in the number of </w:t>
      </w:r>
      <w:r w:rsidR="002372CC" w:rsidRPr="0074575E">
        <w:t xml:space="preserve">sign language interpreters, </w:t>
      </w:r>
      <w:r w:rsidR="00B317F7" w:rsidRPr="0074575E">
        <w:t>s</w:t>
      </w:r>
      <w:r w:rsidR="002372CC" w:rsidRPr="0074575E">
        <w:t xml:space="preserve">taff with knowledge of </w:t>
      </w:r>
      <w:r w:rsidR="003462BE" w:rsidRPr="0074575E">
        <w:t>Braille</w:t>
      </w:r>
      <w:r w:rsidR="002372CC" w:rsidRPr="0074575E">
        <w:t xml:space="preserve"> information and </w:t>
      </w:r>
      <w:r w:rsidR="00751631" w:rsidRPr="0074575E">
        <w:t>hospital volunteer to escort patients with sensory impairment</w:t>
      </w:r>
      <w:r w:rsidR="00727A7C" w:rsidRPr="0074575E">
        <w:t xml:space="preserve"> r</w:t>
      </w:r>
      <w:r w:rsidR="00A008D8" w:rsidRPr="0074575E">
        <w:t>espectively</w:t>
      </w:r>
      <w:r w:rsidR="00727A7C" w:rsidRPr="0074575E">
        <w:t>.</w:t>
      </w:r>
      <w:r w:rsidR="006D4457" w:rsidRPr="0074575E">
        <w:t xml:space="preserve"> The </w:t>
      </w:r>
      <w:r w:rsidR="00B853B4" w:rsidRPr="0074575E">
        <w:t xml:space="preserve">results also </w:t>
      </w:r>
      <w:r w:rsidR="00A83DBA" w:rsidRPr="0074575E">
        <w:t xml:space="preserve">indicated that there is </w:t>
      </w:r>
      <w:r w:rsidR="00F200D0" w:rsidRPr="0074575E">
        <w:t xml:space="preserve">an average </w:t>
      </w:r>
      <w:r w:rsidR="00A83DBA" w:rsidRPr="0074575E">
        <w:t>defici</w:t>
      </w:r>
      <w:r w:rsidR="00B853B4" w:rsidRPr="0074575E">
        <w:t xml:space="preserve">t </w:t>
      </w:r>
      <w:r w:rsidR="00A83DBA" w:rsidRPr="0074575E">
        <w:t xml:space="preserve">of 70% and 50% in the budgetary allocation to </w:t>
      </w:r>
      <w:r w:rsidR="00B317F7" w:rsidRPr="0074575E">
        <w:t xml:space="preserve">the </w:t>
      </w:r>
      <w:r w:rsidR="00F200D0" w:rsidRPr="0074575E">
        <w:t xml:space="preserve">purchase of facilities for patients with disabilities and </w:t>
      </w:r>
      <w:r w:rsidR="005A3179" w:rsidRPr="0074575E">
        <w:t>h</w:t>
      </w:r>
      <w:r w:rsidR="00F200D0" w:rsidRPr="0074575E">
        <w:t>iring and training of staff on handling of patients with disabilities</w:t>
      </w:r>
      <w:r w:rsidR="000C4591" w:rsidRPr="0074575E">
        <w:t xml:space="preserve"> as indicated in T</w:t>
      </w:r>
      <w:r w:rsidR="005A3179" w:rsidRPr="0074575E">
        <w:t xml:space="preserve">able </w:t>
      </w:r>
      <w:r w:rsidR="00F06A92" w:rsidRPr="0074575E">
        <w:t>2</w:t>
      </w:r>
      <w:r w:rsidR="005A3179" w:rsidRPr="0074575E">
        <w:t xml:space="preserve">. </w:t>
      </w:r>
    </w:p>
    <w:p w:rsidR="0034693F" w:rsidRPr="0074575E" w:rsidRDefault="00961F7D" w:rsidP="00223558">
      <w:pPr>
        <w:spacing w:line="480" w:lineRule="auto"/>
        <w:ind w:firstLine="720"/>
      </w:pPr>
      <w:r w:rsidRPr="0074575E">
        <w:lastRenderedPageBreak/>
        <w:t>I</w:t>
      </w:r>
      <w:r w:rsidR="00BC3635" w:rsidRPr="0074575E">
        <w:t xml:space="preserve"> also sought to evaluate how the </w:t>
      </w:r>
      <w:r w:rsidR="00E9147E" w:rsidRPr="0074575E">
        <w:t>quality of health care service affects the recovery rate of the patients</w:t>
      </w:r>
      <w:r w:rsidR="00DC388E" w:rsidRPr="0074575E">
        <w:t xml:space="preserve"> with physical and sensory </w:t>
      </w:r>
      <w:r w:rsidR="009D54C3" w:rsidRPr="0074575E">
        <w:t>disabilities</w:t>
      </w:r>
      <w:r w:rsidR="00E9147E" w:rsidRPr="0074575E">
        <w:t xml:space="preserve">. </w:t>
      </w:r>
      <w:r w:rsidRPr="0074575E">
        <w:t>I determined the</w:t>
      </w:r>
      <w:r w:rsidR="00E9147E" w:rsidRPr="0074575E">
        <w:t xml:space="preserve"> quality of health care service</w:t>
      </w:r>
      <w:r w:rsidR="00DC388E" w:rsidRPr="0074575E">
        <w:t xml:space="preserve"> by considering the attitude of the healthcare staff towards patients with physical and sensory </w:t>
      </w:r>
      <w:r w:rsidR="009D54C3" w:rsidRPr="0074575E">
        <w:t>disabilities</w:t>
      </w:r>
      <w:r w:rsidR="00DC388E" w:rsidRPr="0074575E">
        <w:t xml:space="preserve"> and the </w:t>
      </w:r>
      <w:r w:rsidR="00B76C40" w:rsidRPr="0074575E">
        <w:t xml:space="preserve">facilities and staff suitability to handle the needs of patients with physical and sensory </w:t>
      </w:r>
      <w:r w:rsidR="009D54C3" w:rsidRPr="0074575E">
        <w:t>disabilities</w:t>
      </w:r>
      <w:r w:rsidR="00B76C40" w:rsidRPr="0074575E">
        <w:t xml:space="preserve">. The Pearson’s correlation results </w:t>
      </w:r>
      <w:r w:rsidR="00F80B07" w:rsidRPr="0074575E">
        <w:t xml:space="preserve">indicated that there is a positive correlation between the </w:t>
      </w:r>
      <w:r w:rsidR="00B266A1" w:rsidRPr="0074575E">
        <w:t xml:space="preserve">quality of health care service </w:t>
      </w:r>
      <w:r w:rsidR="00F80B07" w:rsidRPr="0074575E">
        <w:t>and</w:t>
      </w:r>
      <w:r w:rsidR="00B266A1" w:rsidRPr="0074575E">
        <w:t xml:space="preserve"> the recovery rate of the patients with physical and sensory </w:t>
      </w:r>
      <w:r w:rsidR="009D54C3" w:rsidRPr="0074575E">
        <w:t>disabilities</w:t>
      </w:r>
      <w:r w:rsidR="00F80B07" w:rsidRPr="0074575E">
        <w:t xml:space="preserve"> as</w:t>
      </w:r>
      <w:r w:rsidR="00B266A1" w:rsidRPr="0074575E">
        <w:t xml:space="preserve"> </w:t>
      </w:r>
      <w:r w:rsidR="00F80B07" w:rsidRPr="0074575E">
        <w:t xml:space="preserve">indicated by the </w:t>
      </w:r>
      <w:r w:rsidR="007607F2" w:rsidRPr="0074575E">
        <w:t>Pearson’s</w:t>
      </w:r>
      <w:r w:rsidR="005202A1" w:rsidRPr="0074575E">
        <w:t xml:space="preserve"> correlation factor of </w:t>
      </w:r>
      <w:r w:rsidR="00EE0825" w:rsidRPr="0074575E">
        <w:t>r=</w:t>
      </w:r>
      <w:r w:rsidR="005202A1" w:rsidRPr="0074575E">
        <w:t xml:space="preserve">0.481. The correlation was </w:t>
      </w:r>
      <w:r w:rsidR="007607F2" w:rsidRPr="0074575E">
        <w:t xml:space="preserve">established to be significant at </w:t>
      </w:r>
      <w:r w:rsidR="00243318" w:rsidRPr="0074575E">
        <w:rPr>
          <w:i/>
        </w:rPr>
        <w:t>p</w:t>
      </w:r>
      <w:r w:rsidR="0074575E">
        <w:t xml:space="preserve"> </w:t>
      </w:r>
      <w:r w:rsidR="007607F2" w:rsidRPr="0074575E">
        <w:t>=0.043</w:t>
      </w:r>
      <w:r w:rsidR="00665D7C" w:rsidRPr="0074575E">
        <w:t xml:space="preserve"> as shown in T</w:t>
      </w:r>
      <w:r w:rsidR="00E66A15" w:rsidRPr="0074575E">
        <w:t>able 3</w:t>
      </w:r>
      <w:r w:rsidR="007607F2" w:rsidRPr="0074575E">
        <w:t xml:space="preserve">. </w:t>
      </w:r>
      <w:r w:rsidR="00F80B07" w:rsidRPr="0074575E">
        <w:t xml:space="preserve"> </w:t>
      </w:r>
    </w:p>
    <w:p w:rsidR="00292356" w:rsidRPr="0074575E" w:rsidRDefault="00292356" w:rsidP="009D54C3">
      <w:pPr>
        <w:spacing w:line="480" w:lineRule="auto"/>
        <w:jc w:val="center"/>
        <w:outlineLvl w:val="0"/>
      </w:pPr>
      <w:r w:rsidRPr="0074575E">
        <w:t xml:space="preserve">Discussion </w:t>
      </w:r>
    </w:p>
    <w:p w:rsidR="00CB6D75" w:rsidRPr="0074575E" w:rsidRDefault="00961F7D" w:rsidP="00223558">
      <w:pPr>
        <w:spacing w:line="480" w:lineRule="auto"/>
        <w:ind w:firstLine="720"/>
      </w:pPr>
      <w:r w:rsidRPr="0074575E">
        <w:t xml:space="preserve">In this study, I aimed to assess </w:t>
      </w:r>
      <w:r w:rsidR="003B7CBE" w:rsidRPr="0074575E">
        <w:t xml:space="preserve">the quality of healthcare service for </w:t>
      </w:r>
      <w:r w:rsidR="00EE0825" w:rsidRPr="0074575E">
        <w:t xml:space="preserve">patients with sensory and physical disabilities </w:t>
      </w:r>
      <w:r w:rsidR="003B7CBE" w:rsidRPr="0074575E">
        <w:t xml:space="preserve">by evaluating the attitude of the healthcare staff towards the patients and </w:t>
      </w:r>
      <w:r w:rsidR="009E474A" w:rsidRPr="0074575E">
        <w:t xml:space="preserve">assessing </w:t>
      </w:r>
      <w:r w:rsidR="003B7CBE" w:rsidRPr="0074575E">
        <w:t xml:space="preserve">the facilities and staff suitability to handle the needs of patients with physical and sensory </w:t>
      </w:r>
      <w:r w:rsidR="009D54C3" w:rsidRPr="0074575E">
        <w:t>disabilities</w:t>
      </w:r>
      <w:r w:rsidR="009E474A" w:rsidRPr="0074575E">
        <w:t>. It is evident from the study that the</w:t>
      </w:r>
      <w:r w:rsidR="00964F2A" w:rsidRPr="0074575E">
        <w:t xml:space="preserve"> provision of quality service to the patients with sensory and physical dis</w:t>
      </w:r>
      <w:r w:rsidR="00FC728D" w:rsidRPr="0074575E">
        <w:t xml:space="preserve">abilities is yet to be achieved. The study showed that the </w:t>
      </w:r>
      <w:r w:rsidR="009E474A" w:rsidRPr="0074575E">
        <w:t xml:space="preserve">highest proportion of healthcare staff have a negative </w:t>
      </w:r>
      <w:r w:rsidR="00531155" w:rsidRPr="0074575E">
        <w:t xml:space="preserve">attitude towards patients with sensory and physical disabilities as indicated by </w:t>
      </w:r>
      <w:r w:rsidR="00CB6D75" w:rsidRPr="0074575E">
        <w:t>high pe</w:t>
      </w:r>
      <w:r w:rsidR="007E6449" w:rsidRPr="0074575E">
        <w:t xml:space="preserve">rcentage of responses. These high </w:t>
      </w:r>
      <w:r w:rsidR="00CB6D23" w:rsidRPr="0074575E">
        <w:t>percentages</w:t>
      </w:r>
      <w:r w:rsidR="007E6449" w:rsidRPr="0074575E">
        <w:t xml:space="preserve"> of responses suggest</w:t>
      </w:r>
      <w:r w:rsidR="00CB6D75" w:rsidRPr="0074575E">
        <w:t xml:space="preserve"> that the patients with disabilities</w:t>
      </w:r>
      <w:r w:rsidR="000C4591" w:rsidRPr="0074575E">
        <w:t xml:space="preserve"> do not adhere to instructions, </w:t>
      </w:r>
      <w:r w:rsidR="00CB6D75" w:rsidRPr="0074575E">
        <w:t xml:space="preserve">hard to communicate with and complicate the work of </w:t>
      </w:r>
      <w:r w:rsidR="00CB6D75" w:rsidRPr="0074575E">
        <w:lastRenderedPageBreak/>
        <w:t>the healthcare staff. The study also indicated that there is deficit in the facilities, staff</w:t>
      </w:r>
      <w:r w:rsidR="000C4591" w:rsidRPr="0074575E">
        <w:t xml:space="preserve"> and funds directed towards </w:t>
      </w:r>
      <w:r w:rsidR="00CB6D75" w:rsidRPr="0074575E">
        <w:t>h</w:t>
      </w:r>
      <w:r w:rsidR="000C4591" w:rsidRPr="0074575E">
        <w:t xml:space="preserve">iring </w:t>
      </w:r>
      <w:r w:rsidR="00CB6D75" w:rsidRPr="0074575E">
        <w:t>staff and purchase of facilities for the patients with sensory and physical disabilities</w:t>
      </w:r>
      <w:r w:rsidR="000D2688" w:rsidRPr="0074575E">
        <w:t>.</w:t>
      </w:r>
    </w:p>
    <w:p w:rsidR="00995429" w:rsidRPr="0074575E" w:rsidRDefault="00FD715C" w:rsidP="00223558">
      <w:pPr>
        <w:spacing w:line="480" w:lineRule="auto"/>
        <w:ind w:firstLine="720"/>
      </w:pPr>
      <w:r w:rsidRPr="0074575E">
        <w:t xml:space="preserve">It </w:t>
      </w:r>
      <w:r w:rsidR="007E6449" w:rsidRPr="0074575E">
        <w:t xml:space="preserve">is </w:t>
      </w:r>
      <w:r w:rsidRPr="0074575E">
        <w:t>evident from the study res</w:t>
      </w:r>
      <w:r w:rsidR="00184EBA" w:rsidRPr="0074575E">
        <w:t xml:space="preserve">ults that a high proportion of </w:t>
      </w:r>
      <w:r w:rsidR="001139E4" w:rsidRPr="0074575E">
        <w:t xml:space="preserve">healthcare staff </w:t>
      </w:r>
      <w:r w:rsidR="000C4591" w:rsidRPr="0074575E">
        <w:t>has</w:t>
      </w:r>
      <w:r w:rsidR="001139E4" w:rsidRPr="0074575E">
        <w:t xml:space="preserve"> </w:t>
      </w:r>
      <w:r w:rsidR="00855D71" w:rsidRPr="0074575E">
        <w:t xml:space="preserve">a negative attitude towards </w:t>
      </w:r>
      <w:r w:rsidR="001139E4" w:rsidRPr="0074575E">
        <w:t xml:space="preserve">patients with sensory and physical </w:t>
      </w:r>
      <w:r w:rsidR="009D54C3" w:rsidRPr="0074575E">
        <w:t>disabilities</w:t>
      </w:r>
      <w:r w:rsidR="001139E4" w:rsidRPr="0074575E">
        <w:t>.</w:t>
      </w:r>
      <w:r w:rsidR="00952A32" w:rsidRPr="0074575E">
        <w:t xml:space="preserve"> Negative attitude of the health care pr</w:t>
      </w:r>
      <w:r w:rsidR="00855D71" w:rsidRPr="0074575E">
        <w:t>oviders towards the patient</w:t>
      </w:r>
      <w:r w:rsidR="00952A32" w:rsidRPr="0074575E">
        <w:t xml:space="preserve"> leads t</w:t>
      </w:r>
      <w:r w:rsidR="007E6449" w:rsidRPr="0074575E">
        <w:t xml:space="preserve">o the provision of poor quality </w:t>
      </w:r>
      <w:r w:rsidR="00A71EBE" w:rsidRPr="0074575E">
        <w:t>service</w:t>
      </w:r>
      <w:r w:rsidR="003C44D0" w:rsidRPr="0074575E">
        <w:t>.</w:t>
      </w:r>
      <w:r w:rsidR="00C850B9" w:rsidRPr="0074575E">
        <w:rPr>
          <w:vertAlign w:val="superscript"/>
        </w:rPr>
        <w:t>23</w:t>
      </w:r>
      <w:r w:rsidR="001139E4" w:rsidRPr="0074575E">
        <w:t xml:space="preserve"> </w:t>
      </w:r>
      <w:proofErr w:type="gramStart"/>
      <w:r w:rsidR="0097116E" w:rsidRPr="0074575E">
        <w:t>As</w:t>
      </w:r>
      <w:proofErr w:type="gramEnd"/>
      <w:r w:rsidR="0097116E" w:rsidRPr="0074575E">
        <w:t xml:space="preserve"> observed in the study, the negative attitude is mainly associated with the fact </w:t>
      </w:r>
      <w:r w:rsidR="000C4591" w:rsidRPr="0074575E">
        <w:t>that</w:t>
      </w:r>
      <w:r w:rsidR="00953517" w:rsidRPr="0074575E">
        <w:t xml:space="preserve"> healthcare staff regard the handling of patients wi</w:t>
      </w:r>
      <w:r w:rsidR="00F62D25" w:rsidRPr="0074575E">
        <w:t xml:space="preserve">th </w:t>
      </w:r>
      <w:r w:rsidR="009D54C3" w:rsidRPr="0074575E">
        <w:t>disabilities</w:t>
      </w:r>
      <w:r w:rsidR="00F62D25" w:rsidRPr="0074575E">
        <w:t xml:space="preserve"> to be complicated. </w:t>
      </w:r>
      <w:r w:rsidR="004C1B80" w:rsidRPr="0074575E">
        <w:t>A</w:t>
      </w:r>
      <w:r w:rsidR="00F62D25" w:rsidRPr="0074575E">
        <w:t>ccording to</w:t>
      </w:r>
      <w:r w:rsidR="00A1283A" w:rsidRPr="0074575E">
        <w:t xml:space="preserve"> Needleman</w:t>
      </w:r>
      <w:r w:rsidR="00F62D25" w:rsidRPr="0074575E">
        <w:t xml:space="preserve"> </w:t>
      </w:r>
      <w:r w:rsidR="00A71EBE" w:rsidRPr="0074575E">
        <w:t>et al.</w:t>
      </w:r>
      <w:proofErr w:type="gramStart"/>
      <w:r w:rsidR="000C4591" w:rsidRPr="0074575E">
        <w:t>,</w:t>
      </w:r>
      <w:r w:rsidR="00134AF8" w:rsidRPr="0074575E">
        <w:rPr>
          <w:vertAlign w:val="superscript"/>
        </w:rPr>
        <w:t>24</w:t>
      </w:r>
      <w:proofErr w:type="gramEnd"/>
      <w:r w:rsidR="004C1B80" w:rsidRPr="0074575E">
        <w:t xml:space="preserve"> the ease of handling</w:t>
      </w:r>
      <w:r w:rsidR="00F62D25" w:rsidRPr="0074575E">
        <w:t xml:space="preserve"> patient with </w:t>
      </w:r>
      <w:r w:rsidR="009D54C3" w:rsidRPr="0074575E">
        <w:t>disabilities</w:t>
      </w:r>
      <w:r w:rsidR="000D2688" w:rsidRPr="0074575E">
        <w:t xml:space="preserve"> depends</w:t>
      </w:r>
      <w:r w:rsidR="00F62D25" w:rsidRPr="0074575E">
        <w:t xml:space="preserve"> on the preparedness </w:t>
      </w:r>
      <w:r w:rsidR="00A33059" w:rsidRPr="0074575E">
        <w:t xml:space="preserve">and the expertise </w:t>
      </w:r>
      <w:r w:rsidR="00F62D25" w:rsidRPr="0074575E">
        <w:t>of the hospital</w:t>
      </w:r>
      <w:r w:rsidR="009D2C47" w:rsidRPr="0074575E">
        <w:t xml:space="preserve"> staff. </w:t>
      </w:r>
      <w:proofErr w:type="spellStart"/>
      <w:r w:rsidR="00A71EBE" w:rsidRPr="0074575E">
        <w:t>Iacono</w:t>
      </w:r>
      <w:proofErr w:type="spellEnd"/>
      <w:r w:rsidR="00A71EBE" w:rsidRPr="0074575E">
        <w:t xml:space="preserve"> </w:t>
      </w:r>
      <w:proofErr w:type="gramStart"/>
      <w:r w:rsidR="00A71EBE" w:rsidRPr="0074575E">
        <w:t>et</w:t>
      </w:r>
      <w:proofErr w:type="gramEnd"/>
      <w:r w:rsidR="00A71EBE" w:rsidRPr="0074575E">
        <w:t xml:space="preserve"> al.</w:t>
      </w:r>
      <w:r w:rsidR="00134AF8" w:rsidRPr="0074575E">
        <w:rPr>
          <w:vertAlign w:val="superscript"/>
        </w:rPr>
        <w:t>25</w:t>
      </w:r>
      <w:r w:rsidR="00FF0486" w:rsidRPr="0074575E">
        <w:t xml:space="preserve"> a</w:t>
      </w:r>
      <w:r w:rsidR="009D2C47" w:rsidRPr="0074575E">
        <w:t xml:space="preserve">lso </w:t>
      </w:r>
      <w:r w:rsidR="00A33059" w:rsidRPr="0074575E">
        <w:t xml:space="preserve">indicated that </w:t>
      </w:r>
      <w:r w:rsidR="00961B40" w:rsidRPr="0074575E">
        <w:t xml:space="preserve">the </w:t>
      </w:r>
      <w:r w:rsidR="00276CC4" w:rsidRPr="0074575E">
        <w:t>handing of patients with sensory disabilities with</w:t>
      </w:r>
      <w:r w:rsidR="00961B40" w:rsidRPr="0074575E">
        <w:t>out</w:t>
      </w:r>
      <w:r w:rsidR="00276CC4" w:rsidRPr="0074575E">
        <w:t xml:space="preserve"> </w:t>
      </w:r>
      <w:r w:rsidR="00A33059" w:rsidRPr="0074575E">
        <w:t xml:space="preserve">the necessary training </w:t>
      </w:r>
      <w:r w:rsidR="00276CC4" w:rsidRPr="0074575E">
        <w:t xml:space="preserve">results in the provision of poor quality service. </w:t>
      </w:r>
      <w:r w:rsidR="00257144" w:rsidRPr="0074575E">
        <w:t>Based on the</w:t>
      </w:r>
      <w:r w:rsidR="00996CAB" w:rsidRPr="0074575E">
        <w:t xml:space="preserve"> outcome of this study, the</w:t>
      </w:r>
      <w:r w:rsidR="00EE56E5" w:rsidRPr="0074575E">
        <w:t xml:space="preserve"> negative attitude of the healthcare staff towards the patients with </w:t>
      </w:r>
      <w:r w:rsidR="009D54C3" w:rsidRPr="0074575E">
        <w:t>disabilities</w:t>
      </w:r>
      <w:r w:rsidR="00EE56E5" w:rsidRPr="0074575E">
        <w:t xml:space="preserve"> is </w:t>
      </w:r>
      <w:r w:rsidR="002E3CA7" w:rsidRPr="0074575E">
        <w:t xml:space="preserve">also </w:t>
      </w:r>
      <w:r w:rsidR="00EE56E5" w:rsidRPr="0074575E">
        <w:t xml:space="preserve">associated with </w:t>
      </w:r>
      <w:r w:rsidR="002E3CA7" w:rsidRPr="0074575E">
        <w:t xml:space="preserve">the </w:t>
      </w:r>
      <w:r w:rsidR="00EE56E5" w:rsidRPr="0074575E">
        <w:t xml:space="preserve">perception among the healthcare practitioners that </w:t>
      </w:r>
      <w:r w:rsidR="00A5533F" w:rsidRPr="0074575E">
        <w:t>the patients do not adhere to instructions. It should, however</w:t>
      </w:r>
      <w:r w:rsidR="000C4591" w:rsidRPr="0074575E">
        <w:t>,</w:t>
      </w:r>
      <w:r w:rsidR="00A5533F" w:rsidRPr="0074575E">
        <w:t xml:space="preserve"> be noted that </w:t>
      </w:r>
      <w:r w:rsidR="007F38CF" w:rsidRPr="0074575E">
        <w:t>it is the responsibility of the healthcare provider to devi</w:t>
      </w:r>
      <w:r w:rsidR="002E3CA7" w:rsidRPr="0074575E">
        <w:t>se</w:t>
      </w:r>
      <w:r w:rsidR="00F821CB" w:rsidRPr="0074575E">
        <w:t xml:space="preserve"> treatment and care plan</w:t>
      </w:r>
      <w:r w:rsidR="002E3CA7" w:rsidRPr="0074575E">
        <w:t>s</w:t>
      </w:r>
      <w:r w:rsidR="00F821CB" w:rsidRPr="0074575E">
        <w:t xml:space="preserve"> that</w:t>
      </w:r>
      <w:r w:rsidR="007F38CF" w:rsidRPr="0074575E">
        <w:t xml:space="preserve"> </w:t>
      </w:r>
      <w:r w:rsidR="002E3CA7" w:rsidRPr="0074575E">
        <w:t xml:space="preserve">are </w:t>
      </w:r>
      <w:r w:rsidR="007F38CF" w:rsidRPr="0074575E">
        <w:t xml:space="preserve">suitable and well understood by the patient </w:t>
      </w:r>
      <w:r w:rsidR="006405E2" w:rsidRPr="0074575E">
        <w:t>.</w:t>
      </w:r>
      <w:r w:rsidR="00134AF8" w:rsidRPr="0074575E">
        <w:rPr>
          <w:vertAlign w:val="superscript"/>
        </w:rPr>
        <w:t>26</w:t>
      </w:r>
    </w:p>
    <w:p w:rsidR="00F26E12" w:rsidRPr="0074575E" w:rsidRDefault="007F38CF" w:rsidP="00223558">
      <w:pPr>
        <w:spacing w:line="480" w:lineRule="auto"/>
        <w:ind w:firstLine="720"/>
      </w:pPr>
      <w:r w:rsidRPr="0074575E">
        <w:t xml:space="preserve">The </w:t>
      </w:r>
      <w:r w:rsidR="006E30DF" w:rsidRPr="0074575E">
        <w:t xml:space="preserve">inability </w:t>
      </w:r>
      <w:r w:rsidRPr="0074575E">
        <w:t xml:space="preserve">of the patients to adhere to the treatment instructions has been mainly linked to the </w:t>
      </w:r>
      <w:r w:rsidR="00CD1854" w:rsidRPr="0074575E">
        <w:t>failure of the healthcare staff to c</w:t>
      </w:r>
      <w:r w:rsidR="00A71EBE" w:rsidRPr="0074575E">
        <w:t>ommunicate well to the patient.</w:t>
      </w:r>
      <w:r w:rsidR="00134AF8" w:rsidRPr="0074575E">
        <w:rPr>
          <w:vertAlign w:val="superscript"/>
        </w:rPr>
        <w:t>27</w:t>
      </w:r>
      <w:r w:rsidR="00CD1854" w:rsidRPr="0074575E">
        <w:t xml:space="preserve"> According to </w:t>
      </w:r>
      <w:r w:rsidR="00A71EBE" w:rsidRPr="0074575E">
        <w:t>Flores</w:t>
      </w:r>
      <w:proofErr w:type="gramStart"/>
      <w:r w:rsidR="000C4591" w:rsidRPr="0074575E">
        <w:t>,</w:t>
      </w:r>
      <w:r w:rsidR="00134AF8" w:rsidRPr="0074575E">
        <w:rPr>
          <w:vertAlign w:val="superscript"/>
        </w:rPr>
        <w:t>28</w:t>
      </w:r>
      <w:proofErr w:type="gramEnd"/>
      <w:r w:rsidR="0002361C" w:rsidRPr="0074575E">
        <w:t xml:space="preserve"> </w:t>
      </w:r>
      <w:r w:rsidR="00C01758" w:rsidRPr="0074575E">
        <w:t>one</w:t>
      </w:r>
      <w:r w:rsidR="0002361C" w:rsidRPr="0074575E">
        <w:t xml:space="preserve"> of the impediments to the provision of </w:t>
      </w:r>
      <w:r w:rsidR="0002361C" w:rsidRPr="0074575E">
        <w:lastRenderedPageBreak/>
        <w:t>quality health service is the poor communication between the patient and the healthcare provider</w:t>
      </w:r>
      <w:r w:rsidR="00995429" w:rsidRPr="0074575E">
        <w:t xml:space="preserve">. </w:t>
      </w:r>
      <w:r w:rsidR="008B4050" w:rsidRPr="0074575E">
        <w:t xml:space="preserve">As indicated in the study, the </w:t>
      </w:r>
      <w:r w:rsidR="005D5B58" w:rsidRPr="0074575E">
        <w:t xml:space="preserve">high </w:t>
      </w:r>
      <w:r w:rsidR="00F40FC0" w:rsidRPr="0074575E">
        <w:t>percentages of healthcare staff lack</w:t>
      </w:r>
      <w:r w:rsidR="00263365" w:rsidRPr="0074575E">
        <w:t xml:space="preserve"> the required expertise to communicate with patients with </w:t>
      </w:r>
      <w:r w:rsidR="009D54C3" w:rsidRPr="0074575E">
        <w:t>disabilities</w:t>
      </w:r>
      <w:r w:rsidR="00263365" w:rsidRPr="0074575E">
        <w:t>.</w:t>
      </w:r>
      <w:r w:rsidR="00272F32" w:rsidRPr="0074575E">
        <w:t xml:space="preserve"> </w:t>
      </w:r>
      <w:r w:rsidR="00952A32" w:rsidRPr="0074575E">
        <w:t>As indicated by</w:t>
      </w:r>
      <w:r w:rsidR="00036F94" w:rsidRPr="0074575E">
        <w:t xml:space="preserve"> </w:t>
      </w:r>
      <w:r w:rsidR="00103F9B" w:rsidRPr="0074575E">
        <w:t>Krimshtein</w:t>
      </w:r>
      <w:proofErr w:type="gramStart"/>
      <w:r w:rsidR="00295426" w:rsidRPr="0074575E">
        <w:t>,</w:t>
      </w:r>
      <w:r w:rsidR="00AF1A23" w:rsidRPr="0074575E">
        <w:rPr>
          <w:vertAlign w:val="superscript"/>
        </w:rPr>
        <w:t>27</w:t>
      </w:r>
      <w:proofErr w:type="gramEnd"/>
      <w:r w:rsidR="00205147" w:rsidRPr="0074575E">
        <w:t xml:space="preserve"> it is important for the healthcare providers to develop the required skills </w:t>
      </w:r>
      <w:r w:rsidR="00453DB6" w:rsidRPr="0074575E">
        <w:t>on</w:t>
      </w:r>
      <w:r w:rsidR="00205147" w:rsidRPr="0074575E">
        <w:t xml:space="preserve"> </w:t>
      </w:r>
      <w:r w:rsidR="00453DB6" w:rsidRPr="0074575E">
        <w:t xml:space="preserve">communication to enable them discharge quality healthcare service. </w:t>
      </w:r>
      <w:r w:rsidR="00325696" w:rsidRPr="0074575E">
        <w:t>Luparel</w:t>
      </w:r>
      <w:r w:rsidR="00FF0C1F" w:rsidRPr="0074575E">
        <w:t>l</w:t>
      </w:r>
      <w:r w:rsidR="00AF1A23" w:rsidRPr="0074575E">
        <w:rPr>
          <w:vertAlign w:val="superscript"/>
        </w:rPr>
        <w:t>29</w:t>
      </w:r>
      <w:r w:rsidR="00325696" w:rsidRPr="0074575E">
        <w:t xml:space="preserve"> </w:t>
      </w:r>
      <w:r w:rsidR="00FF0C1F" w:rsidRPr="0074575E">
        <w:t xml:space="preserve">indicated </w:t>
      </w:r>
      <w:r w:rsidR="00687135" w:rsidRPr="0074575E">
        <w:t xml:space="preserve">that poor communication impact negatively on the quality of the healthcare service by </w:t>
      </w:r>
      <w:r w:rsidR="004F42E8" w:rsidRPr="0074575E">
        <w:t xml:space="preserve">impeding the </w:t>
      </w:r>
      <w:r w:rsidR="00FF0C1F" w:rsidRPr="0074575E">
        <w:t xml:space="preserve">exchange of </w:t>
      </w:r>
      <w:r w:rsidR="000D2688" w:rsidRPr="0074575E">
        <w:t xml:space="preserve">information </w:t>
      </w:r>
      <w:r w:rsidR="004F42E8" w:rsidRPr="0074575E">
        <w:t xml:space="preserve">between the patient and healthcare provider. </w:t>
      </w:r>
      <w:r w:rsidR="00272F32" w:rsidRPr="0074575E">
        <w:t xml:space="preserve">Therefore, the management </w:t>
      </w:r>
      <w:r w:rsidR="008E1CEF" w:rsidRPr="0074575E">
        <w:t>should</w:t>
      </w:r>
      <w:r w:rsidR="00272F32" w:rsidRPr="0074575E">
        <w:t xml:space="preserve"> put in place</w:t>
      </w:r>
      <w:r w:rsidR="00295426" w:rsidRPr="0074575E">
        <w:t xml:space="preserve"> strategies such as training </w:t>
      </w:r>
      <w:r w:rsidR="00272F32" w:rsidRPr="0074575E">
        <w:t>the staff on how to communicate and handle the patients with sens</w:t>
      </w:r>
      <w:r w:rsidR="00FB3338" w:rsidRPr="0074575E">
        <w:t>ory and physical disabilities</w:t>
      </w:r>
      <w:r w:rsidR="00272F32" w:rsidRPr="0074575E">
        <w:t xml:space="preserve">. </w:t>
      </w:r>
    </w:p>
    <w:p w:rsidR="0016556D" w:rsidRPr="0074575E" w:rsidRDefault="00AF7537" w:rsidP="00223558">
      <w:pPr>
        <w:spacing w:line="480" w:lineRule="auto"/>
        <w:ind w:firstLine="720"/>
      </w:pPr>
      <w:r w:rsidRPr="0074575E">
        <w:t xml:space="preserve">The study </w:t>
      </w:r>
      <w:r w:rsidR="00A92623" w:rsidRPr="0074575E">
        <w:t>has also shown</w:t>
      </w:r>
      <w:r w:rsidRPr="0074575E">
        <w:t xml:space="preserve"> that there is deficit in the provision of facilities</w:t>
      </w:r>
      <w:r w:rsidR="00A92623" w:rsidRPr="0074575E">
        <w:t xml:space="preserve"> for the patients with sensory and physical disabilities. The </w:t>
      </w:r>
      <w:r w:rsidR="00F40FC0" w:rsidRPr="0074575E">
        <w:t>findings of this study corroborate</w:t>
      </w:r>
      <w:r w:rsidR="00A92623" w:rsidRPr="0074575E">
        <w:t xml:space="preserve"> those of early study by </w:t>
      </w:r>
      <w:r w:rsidR="008E1CEF" w:rsidRPr="0074575E">
        <w:t>People</w:t>
      </w:r>
      <w:r w:rsidR="00A676F5" w:rsidRPr="0074575E">
        <w:t>,</w:t>
      </w:r>
      <w:r w:rsidR="00A676F5" w:rsidRPr="0074575E">
        <w:rPr>
          <w:vertAlign w:val="superscript"/>
        </w:rPr>
        <w:t xml:space="preserve"> 30</w:t>
      </w:r>
      <w:r w:rsidR="00AE222B" w:rsidRPr="0074575E">
        <w:t xml:space="preserve"> which</w:t>
      </w:r>
      <w:r w:rsidR="00117FD1" w:rsidRPr="0074575E">
        <w:t xml:space="preserve"> indicated that there is a disparity in the provision of hospital equipment for the patients with disabilities. Studies have s</w:t>
      </w:r>
      <w:r w:rsidR="00E02B52" w:rsidRPr="0074575E">
        <w:t>uggested</w:t>
      </w:r>
      <w:r w:rsidR="00117FD1" w:rsidRPr="0074575E">
        <w:t xml:space="preserve"> that </w:t>
      </w:r>
      <w:r w:rsidR="00E02B52" w:rsidRPr="0074575E">
        <w:t xml:space="preserve">the healthcare managers should direct more resources towards the </w:t>
      </w:r>
      <w:r w:rsidR="00BD252F" w:rsidRPr="0074575E">
        <w:t>acquisition</w:t>
      </w:r>
      <w:r w:rsidR="00F40FC0" w:rsidRPr="0074575E">
        <w:t xml:space="preserve"> of</w:t>
      </w:r>
      <w:r w:rsidR="00BD252F" w:rsidRPr="0074575E">
        <w:t xml:space="preserve"> necessary facilities and hiring of staff to meet the needs of patients with sen</w:t>
      </w:r>
      <w:r w:rsidR="00A71EBE" w:rsidRPr="0074575E">
        <w:t xml:space="preserve">sory and physical disabilities </w:t>
      </w:r>
      <w:r w:rsidR="008E11C1" w:rsidRPr="0074575E">
        <w:rPr>
          <w:vertAlign w:val="superscript"/>
        </w:rPr>
        <w:t>1,</w:t>
      </w:r>
      <w:r w:rsidR="00DA20B9" w:rsidRPr="0074575E">
        <w:rPr>
          <w:vertAlign w:val="superscript"/>
        </w:rPr>
        <w:t xml:space="preserve"> </w:t>
      </w:r>
      <w:r w:rsidR="00911079" w:rsidRPr="0074575E">
        <w:rPr>
          <w:vertAlign w:val="superscript"/>
        </w:rPr>
        <w:t>31</w:t>
      </w:r>
      <w:r w:rsidR="00F70D5B" w:rsidRPr="0074575E">
        <w:rPr>
          <w:vertAlign w:val="superscript"/>
        </w:rPr>
        <w:t>,</w:t>
      </w:r>
      <w:r w:rsidR="00974943" w:rsidRPr="0074575E">
        <w:rPr>
          <w:vertAlign w:val="superscript"/>
        </w:rPr>
        <w:t xml:space="preserve"> </w:t>
      </w:r>
      <w:r w:rsidR="00911079" w:rsidRPr="0074575E">
        <w:rPr>
          <w:vertAlign w:val="superscript"/>
        </w:rPr>
        <w:t>12</w:t>
      </w:r>
      <w:r w:rsidR="00BD252F" w:rsidRPr="0074575E">
        <w:t xml:space="preserve"> The </w:t>
      </w:r>
      <w:r w:rsidR="009E6453" w:rsidRPr="0074575E">
        <w:t>outcome of this study supports</w:t>
      </w:r>
      <w:r w:rsidR="00EB1F2D" w:rsidRPr="0074575E">
        <w:t xml:space="preserve"> the</w:t>
      </w:r>
      <w:r w:rsidR="00BD252F" w:rsidRPr="0074575E">
        <w:t xml:space="preserve"> recommendation </w:t>
      </w:r>
      <w:r w:rsidR="00EB1F2D" w:rsidRPr="0074575E">
        <w:t>of the mention</w:t>
      </w:r>
      <w:r w:rsidR="00826D0D" w:rsidRPr="0074575E">
        <w:t>ed</w:t>
      </w:r>
      <w:r w:rsidR="00EB1F2D" w:rsidRPr="0074575E">
        <w:t xml:space="preserve"> studies</w:t>
      </w:r>
      <w:r w:rsidR="00911079" w:rsidRPr="0074575E">
        <w:rPr>
          <w:vertAlign w:val="superscript"/>
        </w:rPr>
        <w:t>31</w:t>
      </w:r>
      <w:r w:rsidR="00F70D5B" w:rsidRPr="0074575E">
        <w:rPr>
          <w:vertAlign w:val="superscript"/>
        </w:rPr>
        <w:t>,</w:t>
      </w:r>
      <w:r w:rsidR="00826D0D" w:rsidRPr="0074575E">
        <w:rPr>
          <w:vertAlign w:val="superscript"/>
        </w:rPr>
        <w:t xml:space="preserve"> </w:t>
      </w:r>
      <w:r w:rsidR="00911079" w:rsidRPr="0074575E">
        <w:rPr>
          <w:vertAlign w:val="superscript"/>
        </w:rPr>
        <w:t>12</w:t>
      </w:r>
      <w:r w:rsidR="00243318" w:rsidRPr="0074575E">
        <w:rPr>
          <w:vertAlign w:val="superscript"/>
        </w:rPr>
        <w:t xml:space="preserve"> </w:t>
      </w:r>
      <w:r w:rsidR="009A40E6" w:rsidRPr="0074575E">
        <w:t xml:space="preserve">considering </w:t>
      </w:r>
      <w:r w:rsidR="00EB1F2D" w:rsidRPr="0074575E">
        <w:t>the outcome of the</w:t>
      </w:r>
      <w:r w:rsidR="001837D8" w:rsidRPr="0074575E">
        <w:t xml:space="preserve"> study, which </w:t>
      </w:r>
      <w:r w:rsidR="009E6453" w:rsidRPr="0074575E">
        <w:t>indicates</w:t>
      </w:r>
      <w:r w:rsidR="009A40E6" w:rsidRPr="0074575E">
        <w:t xml:space="preserve"> </w:t>
      </w:r>
      <w:r w:rsidR="00EB1F2D" w:rsidRPr="0074575E">
        <w:t xml:space="preserve">that </w:t>
      </w:r>
      <w:r w:rsidR="00BD252F" w:rsidRPr="0074575E">
        <w:t xml:space="preserve">the managers </w:t>
      </w:r>
      <w:r w:rsidR="00DB1C30" w:rsidRPr="0074575E">
        <w:t>do not allocate sufficient funds to meet the needs of the patients</w:t>
      </w:r>
      <w:r w:rsidR="0082297A" w:rsidRPr="0074575E">
        <w:t xml:space="preserve"> with disabilities.</w:t>
      </w:r>
      <w:r w:rsidR="0020692E" w:rsidRPr="0074575E">
        <w:t xml:space="preserve"> </w:t>
      </w:r>
    </w:p>
    <w:p w:rsidR="00A351D1" w:rsidRPr="0074575E" w:rsidRDefault="00E0421E" w:rsidP="009D54C3">
      <w:pPr>
        <w:spacing w:line="480" w:lineRule="auto"/>
        <w:jc w:val="center"/>
        <w:outlineLvl w:val="0"/>
      </w:pPr>
      <w:r w:rsidRPr="0074575E">
        <w:t>CONCLUSION</w:t>
      </w:r>
    </w:p>
    <w:p w:rsidR="003462BE" w:rsidRPr="0074575E" w:rsidRDefault="00DB1C30">
      <w:pPr>
        <w:spacing w:line="480" w:lineRule="auto"/>
      </w:pPr>
      <w:r w:rsidRPr="0074575E">
        <w:lastRenderedPageBreak/>
        <w:t xml:space="preserve">It is evident from the study that </w:t>
      </w:r>
      <w:r w:rsidR="00B834CD" w:rsidRPr="0074575E">
        <w:t>the quality of healthcare service</w:t>
      </w:r>
      <w:r w:rsidR="00D75CC9" w:rsidRPr="0074575E">
        <w:t xml:space="preserve"> for </w:t>
      </w:r>
      <w:r w:rsidR="00F63A63" w:rsidRPr="0074575E">
        <w:t xml:space="preserve">patients with sensory and physical disabilities needs to </w:t>
      </w:r>
      <w:r w:rsidR="00291AC6" w:rsidRPr="0074575E">
        <w:t xml:space="preserve">be </w:t>
      </w:r>
      <w:r w:rsidR="004114E6" w:rsidRPr="0074575E">
        <w:t>enhance</w:t>
      </w:r>
      <w:r w:rsidR="00291AC6" w:rsidRPr="0074575E">
        <w:t>d</w:t>
      </w:r>
      <w:r w:rsidR="00F63A63" w:rsidRPr="0074575E">
        <w:t xml:space="preserve"> with particular emphasis on training of the staff and </w:t>
      </w:r>
      <w:r w:rsidR="00D75CC9" w:rsidRPr="0074575E">
        <w:t>allocation of</w:t>
      </w:r>
      <w:r w:rsidR="00044B82" w:rsidRPr="0074575E">
        <w:t xml:space="preserve"> more resources to meet the needs of patients with sensory and physical disabilities</w:t>
      </w:r>
      <w:r w:rsidR="00577CC5" w:rsidRPr="0074575E">
        <w:t>.</w:t>
      </w:r>
      <w:r w:rsidR="00291AC6" w:rsidRPr="0074575E">
        <w:t xml:space="preserve"> </w:t>
      </w:r>
      <w:r w:rsidR="00D75CC9" w:rsidRPr="0074575E">
        <w:t>According to the study, the current situation is</w:t>
      </w:r>
      <w:r w:rsidR="008F7FFB" w:rsidRPr="0074575E">
        <w:t xml:space="preserve"> marked by insufficient alloca</w:t>
      </w:r>
      <w:r w:rsidR="00A676F5" w:rsidRPr="0074575E">
        <w:t xml:space="preserve">tion of funds towards hiring </w:t>
      </w:r>
      <w:r w:rsidR="008F7FFB" w:rsidRPr="0074575E">
        <w:t xml:space="preserve">more staff and acquisition of </w:t>
      </w:r>
      <w:r w:rsidR="00E74A28" w:rsidRPr="0074575E">
        <w:t xml:space="preserve">appropriate facilities despite the evidence that the hospitals are not adequately staffed and lack enough facilities. It is, therefore, recommended that </w:t>
      </w:r>
      <w:r w:rsidR="00411DC8" w:rsidRPr="0074575E">
        <w:t>t</w:t>
      </w:r>
      <w:r w:rsidR="00E74A28" w:rsidRPr="0074575E">
        <w:t xml:space="preserve">he managers of health care facilities </w:t>
      </w:r>
      <w:r w:rsidR="00842CE6" w:rsidRPr="0074575E">
        <w:t xml:space="preserve">should direct more resources towards the acquisition </w:t>
      </w:r>
      <w:r w:rsidR="00A676F5" w:rsidRPr="0074575E">
        <w:t xml:space="preserve">of </w:t>
      </w:r>
      <w:r w:rsidR="00842CE6" w:rsidRPr="0074575E">
        <w:t>necessary facilities and hiring of staff to meet the needs of patients with sens</w:t>
      </w:r>
      <w:r w:rsidR="006C5DC0" w:rsidRPr="0074575E">
        <w:t>ory and physical disabilities.</w:t>
      </w:r>
      <w:r w:rsidR="0020692E" w:rsidRPr="0074575E">
        <w:t xml:space="preserve"> </w:t>
      </w:r>
    </w:p>
    <w:p w:rsidR="00BF4953" w:rsidRPr="0074575E" w:rsidRDefault="00BF4953" w:rsidP="0058716B">
      <w:pPr>
        <w:spacing w:line="480" w:lineRule="auto"/>
      </w:pPr>
    </w:p>
    <w:p w:rsidR="00BF4953" w:rsidRPr="0074575E" w:rsidRDefault="00BF4953" w:rsidP="0058716B">
      <w:pPr>
        <w:spacing w:line="480" w:lineRule="auto"/>
      </w:pPr>
    </w:p>
    <w:p w:rsidR="00BF4953" w:rsidRPr="0074575E" w:rsidRDefault="00BF4953" w:rsidP="0058716B">
      <w:pPr>
        <w:spacing w:line="480" w:lineRule="auto"/>
      </w:pPr>
    </w:p>
    <w:p w:rsidR="00BF4953" w:rsidRPr="0074575E" w:rsidRDefault="00BF4953" w:rsidP="0058716B">
      <w:pPr>
        <w:spacing w:line="480" w:lineRule="auto"/>
      </w:pPr>
    </w:p>
    <w:p w:rsidR="00BF4953" w:rsidRDefault="00BF4953" w:rsidP="0058716B">
      <w:pPr>
        <w:spacing w:line="480" w:lineRule="auto"/>
      </w:pPr>
    </w:p>
    <w:p w:rsidR="0074575E" w:rsidRDefault="0074575E" w:rsidP="0058716B">
      <w:pPr>
        <w:spacing w:line="480" w:lineRule="auto"/>
      </w:pPr>
    </w:p>
    <w:p w:rsidR="0074575E" w:rsidRDefault="0074575E" w:rsidP="0058716B">
      <w:pPr>
        <w:spacing w:line="480" w:lineRule="auto"/>
      </w:pPr>
    </w:p>
    <w:p w:rsidR="0074575E" w:rsidRDefault="0074575E" w:rsidP="0058716B">
      <w:pPr>
        <w:spacing w:line="480" w:lineRule="auto"/>
      </w:pPr>
    </w:p>
    <w:p w:rsidR="0074575E" w:rsidRDefault="0074575E" w:rsidP="0058716B">
      <w:pPr>
        <w:spacing w:line="480" w:lineRule="auto"/>
      </w:pPr>
    </w:p>
    <w:p w:rsidR="0074575E" w:rsidRDefault="0074575E" w:rsidP="0058716B">
      <w:pPr>
        <w:spacing w:line="480" w:lineRule="auto"/>
      </w:pPr>
    </w:p>
    <w:p w:rsidR="0074575E" w:rsidRPr="0074575E" w:rsidRDefault="0074575E" w:rsidP="0058716B">
      <w:pPr>
        <w:spacing w:line="480" w:lineRule="auto"/>
      </w:pPr>
    </w:p>
    <w:p w:rsidR="00DB1C30" w:rsidRPr="0074575E" w:rsidRDefault="000D2688" w:rsidP="009D54C3">
      <w:pPr>
        <w:spacing w:line="480" w:lineRule="auto"/>
        <w:outlineLvl w:val="0"/>
      </w:pPr>
      <w:r w:rsidRPr="0074575E">
        <w:lastRenderedPageBreak/>
        <w:t xml:space="preserve">                                                  </w:t>
      </w:r>
      <w:r w:rsidR="00E0421E" w:rsidRPr="0074575E">
        <w:t>REFERENCES</w:t>
      </w:r>
    </w:p>
    <w:p w:rsidR="00871BE8" w:rsidRPr="0074575E" w:rsidRDefault="00871BE8" w:rsidP="00871BE8">
      <w:pPr>
        <w:numPr>
          <w:ilvl w:val="0"/>
          <w:numId w:val="3"/>
        </w:numPr>
        <w:spacing w:line="480" w:lineRule="auto"/>
        <w:ind w:left="360" w:hanging="720"/>
        <w:contextualSpacing/>
      </w:pPr>
      <w:r w:rsidRPr="0074575E">
        <w:t xml:space="preserve">Hatton C, </w:t>
      </w:r>
      <w:proofErr w:type="spellStart"/>
      <w:r w:rsidRPr="0074575E">
        <w:t>Bonardi</w:t>
      </w:r>
      <w:proofErr w:type="spellEnd"/>
      <w:r w:rsidRPr="0074575E">
        <w:t xml:space="preserve"> A, Emerson E, Fox MH, Glover G, </w:t>
      </w:r>
      <w:proofErr w:type="spellStart"/>
      <w:r w:rsidRPr="0074575E">
        <w:t>Krahn</w:t>
      </w:r>
      <w:proofErr w:type="spellEnd"/>
      <w:r w:rsidRPr="0074575E">
        <w:t xml:space="preserve"> GL, Ouellette-Kuntz H, Turner S. Chapter Four-Health Surveillance and People with Intellectual Disabilities. </w:t>
      </w:r>
      <w:proofErr w:type="spellStart"/>
      <w:r w:rsidRPr="0074575E">
        <w:rPr>
          <w:i/>
        </w:rPr>
        <w:t>Int</w:t>
      </w:r>
      <w:proofErr w:type="spellEnd"/>
      <w:r w:rsidRPr="0074575E">
        <w:rPr>
          <w:i/>
        </w:rPr>
        <w:t xml:space="preserve"> Rev Res Dev </w:t>
      </w:r>
      <w:proofErr w:type="spellStart"/>
      <w:r w:rsidRPr="0074575E">
        <w:rPr>
          <w:i/>
        </w:rPr>
        <w:t>Disabil</w:t>
      </w:r>
      <w:proofErr w:type="spellEnd"/>
      <w:r w:rsidRPr="0074575E">
        <w:t>; 2015; 31(48):73-114.</w:t>
      </w:r>
    </w:p>
    <w:p w:rsidR="00871BE8" w:rsidRPr="0074575E" w:rsidRDefault="00871BE8" w:rsidP="00871BE8">
      <w:pPr>
        <w:numPr>
          <w:ilvl w:val="0"/>
          <w:numId w:val="3"/>
        </w:numPr>
        <w:spacing w:line="480" w:lineRule="auto"/>
        <w:ind w:left="360" w:hanging="720"/>
        <w:contextualSpacing/>
      </w:pPr>
      <w:r w:rsidRPr="0074575E">
        <w:t xml:space="preserve">World Health Organization, World Report on </w:t>
      </w:r>
      <w:r w:rsidR="009D54C3" w:rsidRPr="0074575E">
        <w:t>Disabilities</w:t>
      </w:r>
      <w:r w:rsidRPr="0074575E">
        <w:t xml:space="preserve">: </w:t>
      </w:r>
      <w:hyperlink r:id="rId11" w:history="1">
        <w:r w:rsidRPr="0074575E">
          <w:t>http://www.refworld.org/docid/50854a322.html</w:t>
        </w:r>
      </w:hyperlink>
      <w:r w:rsidRPr="0074575E">
        <w:t xml:space="preserve"> Accessed [August 25, 2016].</w:t>
      </w:r>
    </w:p>
    <w:p w:rsidR="00871BE8" w:rsidRPr="0074575E" w:rsidRDefault="00871BE8" w:rsidP="00871BE8">
      <w:pPr>
        <w:numPr>
          <w:ilvl w:val="0"/>
          <w:numId w:val="3"/>
        </w:numPr>
        <w:spacing w:line="480" w:lineRule="auto"/>
        <w:ind w:left="360" w:hanging="720"/>
        <w:contextualSpacing/>
      </w:pPr>
      <w:r w:rsidRPr="0074575E">
        <w:t xml:space="preserve">United Nations, United Nations Convention on the Rights of Persons with Disabilities: </w:t>
      </w:r>
      <w:hyperlink r:id="rId12" w:history="1">
        <w:r w:rsidRPr="0074575E">
          <w:t>http://www.un.org/disabilities/documents/convention/convention</w:t>
        </w:r>
      </w:hyperlink>
      <w:r w:rsidRPr="0074575E">
        <w:t xml:space="preserve"> Accessed [August 25, 2016]. </w:t>
      </w:r>
    </w:p>
    <w:p w:rsidR="00871BE8" w:rsidRPr="0074575E" w:rsidRDefault="00871BE8" w:rsidP="00871BE8">
      <w:pPr>
        <w:numPr>
          <w:ilvl w:val="0"/>
          <w:numId w:val="3"/>
        </w:numPr>
        <w:spacing w:line="480" w:lineRule="auto"/>
        <w:ind w:left="360" w:hanging="720"/>
        <w:contextualSpacing/>
      </w:pPr>
      <w:proofErr w:type="spellStart"/>
      <w:r w:rsidRPr="0074575E">
        <w:rPr>
          <w:color w:val="1A1A1A"/>
        </w:rPr>
        <w:t>Thew</w:t>
      </w:r>
      <w:proofErr w:type="spellEnd"/>
      <w:r w:rsidRPr="0074575E">
        <w:rPr>
          <w:color w:val="1A1A1A"/>
        </w:rPr>
        <w:t xml:space="preserve">, D., Smith, S. R., Chang, C., &amp; Starr, M. M. (2012). The deaf strong hospital program: a model of diversity and inclusion training for first-year medical students. </w:t>
      </w:r>
      <w:r w:rsidRPr="0074575E">
        <w:rPr>
          <w:i/>
          <w:iCs/>
          <w:color w:val="1A1A1A"/>
        </w:rPr>
        <w:t>Academic medicine: journal of the Association of American Medical Colleges</w:t>
      </w:r>
      <w:r w:rsidRPr="0074575E">
        <w:rPr>
          <w:color w:val="1A1A1A"/>
        </w:rPr>
        <w:t xml:space="preserve">, </w:t>
      </w:r>
      <w:r w:rsidRPr="0074575E">
        <w:rPr>
          <w:i/>
          <w:iCs/>
          <w:color w:val="1A1A1A"/>
        </w:rPr>
        <w:t>87</w:t>
      </w:r>
      <w:r w:rsidRPr="0074575E">
        <w:rPr>
          <w:color w:val="1A1A1A"/>
        </w:rPr>
        <w:t>(11), 1496.</w:t>
      </w:r>
    </w:p>
    <w:p w:rsidR="00B43940" w:rsidRPr="0074575E" w:rsidRDefault="00871BE8" w:rsidP="00B43940">
      <w:pPr>
        <w:numPr>
          <w:ilvl w:val="0"/>
          <w:numId w:val="3"/>
        </w:numPr>
        <w:spacing w:line="480" w:lineRule="auto"/>
        <w:ind w:left="360" w:hanging="720"/>
        <w:contextualSpacing/>
      </w:pPr>
      <w:r w:rsidRPr="0074575E">
        <w:t xml:space="preserve">World Health Organization. (2013). </w:t>
      </w:r>
      <w:r w:rsidR="009D54C3" w:rsidRPr="0074575E">
        <w:t>Disabilities</w:t>
      </w:r>
      <w:r w:rsidRPr="0074575E">
        <w:t xml:space="preserve"> and health. http://www.who.int/mediacentre/factsheets/fs352/en/index.html Accessed</w:t>
      </w:r>
      <w:r w:rsidRPr="0074575E">
        <w:rPr>
          <w:rStyle w:val="Hyperlink"/>
        </w:rPr>
        <w:t xml:space="preserve"> </w:t>
      </w:r>
      <w:r w:rsidRPr="0074575E">
        <w:t>[December 2, 2016]</w:t>
      </w:r>
      <w:r w:rsidR="00B43940" w:rsidRPr="0074575E">
        <w:t xml:space="preserve"> </w:t>
      </w:r>
    </w:p>
    <w:p w:rsidR="00B43940" w:rsidRPr="0074575E" w:rsidRDefault="00B43940" w:rsidP="00B43940">
      <w:pPr>
        <w:numPr>
          <w:ilvl w:val="0"/>
          <w:numId w:val="3"/>
        </w:numPr>
        <w:spacing w:line="480" w:lineRule="auto"/>
        <w:ind w:left="360" w:hanging="720"/>
        <w:contextualSpacing/>
      </w:pPr>
      <w:r w:rsidRPr="0074575E">
        <w:rPr>
          <w:color w:val="1A1A1A"/>
        </w:rPr>
        <w:t xml:space="preserve">Ali, A., </w:t>
      </w:r>
      <w:proofErr w:type="spellStart"/>
      <w:r w:rsidRPr="0074575E">
        <w:rPr>
          <w:color w:val="1A1A1A"/>
        </w:rPr>
        <w:t>Scior</w:t>
      </w:r>
      <w:proofErr w:type="spellEnd"/>
      <w:r w:rsidRPr="0074575E">
        <w:rPr>
          <w:color w:val="1A1A1A"/>
        </w:rPr>
        <w:t xml:space="preserve">, K., </w:t>
      </w:r>
      <w:proofErr w:type="spellStart"/>
      <w:r w:rsidRPr="0074575E">
        <w:rPr>
          <w:color w:val="1A1A1A"/>
        </w:rPr>
        <w:t>Ratti</w:t>
      </w:r>
      <w:proofErr w:type="spellEnd"/>
      <w:r w:rsidRPr="0074575E">
        <w:rPr>
          <w:color w:val="1A1A1A"/>
        </w:rPr>
        <w:t xml:space="preserve">, V., </w:t>
      </w:r>
      <w:proofErr w:type="spellStart"/>
      <w:r w:rsidRPr="0074575E">
        <w:rPr>
          <w:color w:val="1A1A1A"/>
        </w:rPr>
        <w:t>Strydom</w:t>
      </w:r>
      <w:proofErr w:type="spellEnd"/>
      <w:r w:rsidRPr="0074575E">
        <w:rPr>
          <w:color w:val="1A1A1A"/>
        </w:rPr>
        <w:t xml:space="preserve">, A., King, M., &amp; </w:t>
      </w:r>
      <w:proofErr w:type="spellStart"/>
      <w:r w:rsidRPr="0074575E">
        <w:rPr>
          <w:color w:val="1A1A1A"/>
        </w:rPr>
        <w:t>Hassiotis</w:t>
      </w:r>
      <w:proofErr w:type="spellEnd"/>
      <w:r w:rsidRPr="0074575E">
        <w:rPr>
          <w:color w:val="1A1A1A"/>
        </w:rPr>
        <w:t xml:space="preserve">, A. (2013). Discrimination and other barriers to accessing health care: perspectives of patients with mild and moderate intellectual disability and their </w:t>
      </w:r>
      <w:proofErr w:type="spellStart"/>
      <w:r w:rsidRPr="0074575E">
        <w:rPr>
          <w:color w:val="1A1A1A"/>
        </w:rPr>
        <w:t>carers</w:t>
      </w:r>
      <w:proofErr w:type="spellEnd"/>
      <w:r w:rsidRPr="0074575E">
        <w:rPr>
          <w:color w:val="1A1A1A"/>
        </w:rPr>
        <w:t xml:space="preserve">. </w:t>
      </w:r>
      <w:proofErr w:type="spellStart"/>
      <w:r w:rsidRPr="0074575E">
        <w:rPr>
          <w:i/>
          <w:iCs/>
          <w:color w:val="1A1A1A"/>
        </w:rPr>
        <w:t>PloS</w:t>
      </w:r>
      <w:proofErr w:type="spellEnd"/>
      <w:r w:rsidRPr="0074575E">
        <w:rPr>
          <w:i/>
          <w:iCs/>
          <w:color w:val="1A1A1A"/>
        </w:rPr>
        <w:t xml:space="preserve"> one</w:t>
      </w:r>
      <w:r w:rsidRPr="0074575E">
        <w:rPr>
          <w:color w:val="1A1A1A"/>
        </w:rPr>
        <w:t xml:space="preserve">, </w:t>
      </w:r>
      <w:r w:rsidRPr="0074575E">
        <w:rPr>
          <w:i/>
          <w:iCs/>
          <w:color w:val="1A1A1A"/>
        </w:rPr>
        <w:t>8</w:t>
      </w:r>
      <w:r w:rsidRPr="0074575E">
        <w:rPr>
          <w:color w:val="1A1A1A"/>
        </w:rPr>
        <w:t>(8), e70855.</w:t>
      </w:r>
    </w:p>
    <w:p w:rsidR="00871BE8" w:rsidRPr="0074575E" w:rsidRDefault="00871BE8" w:rsidP="00871BE8">
      <w:pPr>
        <w:numPr>
          <w:ilvl w:val="0"/>
          <w:numId w:val="3"/>
        </w:numPr>
        <w:spacing w:line="480" w:lineRule="auto"/>
        <w:ind w:left="360" w:hanging="720"/>
        <w:contextualSpacing/>
      </w:pPr>
      <w:proofErr w:type="spellStart"/>
      <w:r w:rsidRPr="0074575E">
        <w:rPr>
          <w:color w:val="1A1A1A"/>
        </w:rPr>
        <w:lastRenderedPageBreak/>
        <w:t>Lagu</w:t>
      </w:r>
      <w:proofErr w:type="spellEnd"/>
      <w:r w:rsidRPr="0074575E">
        <w:rPr>
          <w:color w:val="1A1A1A"/>
        </w:rPr>
        <w:t xml:space="preserve">, T., Hannon, N. S., Rothberg, M. B., Wells, A. S., Green, K. L., Windom, M. O., &amp; </w:t>
      </w:r>
      <w:proofErr w:type="spellStart"/>
      <w:r w:rsidRPr="0074575E">
        <w:rPr>
          <w:color w:val="1A1A1A"/>
        </w:rPr>
        <w:t>Lindenauer</w:t>
      </w:r>
      <w:proofErr w:type="spellEnd"/>
      <w:r w:rsidRPr="0074575E">
        <w:rPr>
          <w:color w:val="1A1A1A"/>
        </w:rPr>
        <w:t xml:space="preserve">, P. K. (2013). Access to subspecialty care for patients with mobility impairment: a survey. </w:t>
      </w:r>
      <w:r w:rsidRPr="0074575E">
        <w:rPr>
          <w:i/>
          <w:iCs/>
          <w:color w:val="1A1A1A"/>
        </w:rPr>
        <w:t>Annals of internal medicine</w:t>
      </w:r>
      <w:r w:rsidRPr="0074575E">
        <w:rPr>
          <w:color w:val="1A1A1A"/>
        </w:rPr>
        <w:t xml:space="preserve">, </w:t>
      </w:r>
      <w:r w:rsidRPr="0074575E">
        <w:rPr>
          <w:i/>
          <w:iCs/>
          <w:color w:val="1A1A1A"/>
        </w:rPr>
        <w:t>158</w:t>
      </w:r>
      <w:r w:rsidRPr="0074575E">
        <w:rPr>
          <w:color w:val="1A1A1A"/>
        </w:rPr>
        <w:t>(6), 441-446</w:t>
      </w:r>
    </w:p>
    <w:p w:rsidR="00871BE8" w:rsidRPr="0074575E" w:rsidRDefault="00871BE8" w:rsidP="00871BE8">
      <w:pPr>
        <w:numPr>
          <w:ilvl w:val="0"/>
          <w:numId w:val="3"/>
        </w:numPr>
        <w:spacing w:line="480" w:lineRule="auto"/>
        <w:ind w:left="360" w:hanging="720"/>
        <w:contextualSpacing/>
      </w:pPr>
      <w:r w:rsidRPr="0074575E">
        <w:t xml:space="preserve">Lewis S, </w:t>
      </w:r>
      <w:proofErr w:type="spellStart"/>
      <w:r w:rsidRPr="0074575E">
        <w:t>Stenfert</w:t>
      </w:r>
      <w:r w:rsidRPr="0074575E">
        <w:rPr>
          <w:rFonts w:ascii="American Typewriter" w:hAnsi="American Typewriter" w:cs="American Typewriter"/>
        </w:rPr>
        <w:t>‐</w:t>
      </w:r>
      <w:r w:rsidRPr="0074575E">
        <w:t>Kroese</w:t>
      </w:r>
      <w:proofErr w:type="spellEnd"/>
      <w:r w:rsidRPr="0074575E">
        <w:t xml:space="preserve"> B. An investigation of nursing staff attitudes and emotional reactions towards patients with intellectual </w:t>
      </w:r>
      <w:r w:rsidR="009D54C3" w:rsidRPr="0074575E">
        <w:t>disabilities</w:t>
      </w:r>
      <w:r w:rsidRPr="0074575E">
        <w:t xml:space="preserve"> in a general hospital setting</w:t>
      </w:r>
      <w:r w:rsidRPr="0074575E">
        <w:rPr>
          <w:i/>
        </w:rPr>
        <w:t xml:space="preserve">. J </w:t>
      </w:r>
      <w:proofErr w:type="spellStart"/>
      <w:r w:rsidRPr="0074575E">
        <w:rPr>
          <w:i/>
        </w:rPr>
        <w:t>Appl</w:t>
      </w:r>
      <w:proofErr w:type="spellEnd"/>
      <w:r w:rsidRPr="0074575E">
        <w:rPr>
          <w:i/>
        </w:rPr>
        <w:t xml:space="preserve"> Res Intellect </w:t>
      </w:r>
      <w:proofErr w:type="spellStart"/>
      <w:r w:rsidRPr="0074575E">
        <w:rPr>
          <w:i/>
        </w:rPr>
        <w:t>Disabil</w:t>
      </w:r>
      <w:proofErr w:type="spellEnd"/>
      <w:r w:rsidRPr="0074575E">
        <w:t>; 2010; 23(4):355-65</w:t>
      </w:r>
    </w:p>
    <w:p w:rsidR="00871BE8" w:rsidRPr="0074575E" w:rsidRDefault="00871BE8" w:rsidP="00871BE8">
      <w:pPr>
        <w:numPr>
          <w:ilvl w:val="0"/>
          <w:numId w:val="3"/>
        </w:numPr>
        <w:spacing w:line="480" w:lineRule="auto"/>
        <w:ind w:left="360" w:hanging="720"/>
        <w:contextualSpacing/>
      </w:pPr>
      <w:r w:rsidRPr="0074575E">
        <w:rPr>
          <w:color w:val="1A1A1A"/>
        </w:rPr>
        <w:t xml:space="preserve">Morrison, E. H., George, V., &amp; </w:t>
      </w:r>
      <w:proofErr w:type="spellStart"/>
      <w:r w:rsidRPr="0074575E">
        <w:rPr>
          <w:color w:val="1A1A1A"/>
        </w:rPr>
        <w:t>Mosqueda</w:t>
      </w:r>
      <w:proofErr w:type="spellEnd"/>
      <w:r w:rsidRPr="0074575E">
        <w:rPr>
          <w:color w:val="1A1A1A"/>
        </w:rPr>
        <w:t xml:space="preserve">, L. (2008). Primary care for adults with physical disabilities: perceptions from consumer and provider focus groups. </w:t>
      </w:r>
      <w:r w:rsidRPr="0074575E">
        <w:rPr>
          <w:i/>
          <w:iCs/>
          <w:color w:val="1A1A1A"/>
        </w:rPr>
        <w:t>Family medicine</w:t>
      </w:r>
      <w:r w:rsidRPr="0074575E">
        <w:rPr>
          <w:color w:val="1A1A1A"/>
        </w:rPr>
        <w:t xml:space="preserve">, </w:t>
      </w:r>
      <w:r w:rsidRPr="0074575E">
        <w:rPr>
          <w:i/>
          <w:iCs/>
          <w:color w:val="1A1A1A"/>
        </w:rPr>
        <w:t>40</w:t>
      </w:r>
      <w:r w:rsidRPr="0074575E">
        <w:rPr>
          <w:color w:val="1A1A1A"/>
        </w:rPr>
        <w:t>(9)</w:t>
      </w:r>
      <w:r w:rsidRPr="0074575E">
        <w:t>.</w:t>
      </w:r>
    </w:p>
    <w:p w:rsidR="00871BE8" w:rsidRPr="0074575E" w:rsidRDefault="00871BE8" w:rsidP="00871BE8">
      <w:pPr>
        <w:numPr>
          <w:ilvl w:val="0"/>
          <w:numId w:val="3"/>
        </w:numPr>
        <w:spacing w:line="480" w:lineRule="auto"/>
        <w:ind w:left="360" w:hanging="720"/>
        <w:contextualSpacing/>
      </w:pPr>
      <w:proofErr w:type="spellStart"/>
      <w:r w:rsidRPr="0074575E">
        <w:rPr>
          <w:color w:val="1A1A1A"/>
        </w:rPr>
        <w:t>O'Day</w:t>
      </w:r>
      <w:proofErr w:type="spellEnd"/>
      <w:r w:rsidRPr="0074575E">
        <w:rPr>
          <w:color w:val="1A1A1A"/>
        </w:rPr>
        <w:t xml:space="preserve">, B., Killeen, M. B., Sutton, J., &amp; </w:t>
      </w:r>
      <w:proofErr w:type="spellStart"/>
      <w:r w:rsidRPr="0074575E">
        <w:rPr>
          <w:color w:val="1A1A1A"/>
        </w:rPr>
        <w:t>Iezzoni</w:t>
      </w:r>
      <w:proofErr w:type="spellEnd"/>
      <w:r w:rsidRPr="0074575E">
        <w:rPr>
          <w:color w:val="1A1A1A"/>
        </w:rPr>
        <w:t xml:space="preserve">, L. I. (2005). Primary care experiences of people with psychiatric disabilities: barriers to care and potential solutions. </w:t>
      </w:r>
      <w:r w:rsidRPr="0074575E">
        <w:rPr>
          <w:i/>
          <w:iCs/>
          <w:color w:val="1A1A1A"/>
        </w:rPr>
        <w:t>Psychiatric rehabilitation journal</w:t>
      </w:r>
      <w:r w:rsidRPr="0074575E">
        <w:rPr>
          <w:color w:val="1A1A1A"/>
        </w:rPr>
        <w:t xml:space="preserve">, </w:t>
      </w:r>
      <w:r w:rsidRPr="0074575E">
        <w:rPr>
          <w:i/>
          <w:iCs/>
          <w:color w:val="1A1A1A"/>
        </w:rPr>
        <w:t>28</w:t>
      </w:r>
      <w:r w:rsidRPr="0074575E">
        <w:rPr>
          <w:color w:val="1A1A1A"/>
        </w:rPr>
        <w:t>(4), 339.</w:t>
      </w:r>
    </w:p>
    <w:p w:rsidR="00871BE8" w:rsidRPr="0074575E" w:rsidRDefault="00871BE8" w:rsidP="00871BE8">
      <w:pPr>
        <w:numPr>
          <w:ilvl w:val="0"/>
          <w:numId w:val="3"/>
        </w:numPr>
        <w:spacing w:line="480" w:lineRule="auto"/>
        <w:ind w:left="360" w:hanging="720"/>
        <w:contextualSpacing/>
      </w:pPr>
      <w:r w:rsidRPr="0074575E">
        <w:rPr>
          <w:color w:val="1A1A1A"/>
        </w:rPr>
        <w:t xml:space="preserve">Bachman, S. S., </w:t>
      </w:r>
      <w:proofErr w:type="spellStart"/>
      <w:r w:rsidRPr="0074575E">
        <w:rPr>
          <w:color w:val="1A1A1A"/>
        </w:rPr>
        <w:t>Vedrani</w:t>
      </w:r>
      <w:proofErr w:type="spellEnd"/>
      <w:r w:rsidRPr="0074575E">
        <w:rPr>
          <w:color w:val="1A1A1A"/>
        </w:rPr>
        <w:t xml:space="preserve">, M., </w:t>
      </w:r>
      <w:proofErr w:type="spellStart"/>
      <w:r w:rsidRPr="0074575E">
        <w:rPr>
          <w:color w:val="1A1A1A"/>
        </w:rPr>
        <w:t>Drainoni</w:t>
      </w:r>
      <w:proofErr w:type="spellEnd"/>
      <w:r w:rsidRPr="0074575E">
        <w:rPr>
          <w:color w:val="1A1A1A"/>
        </w:rPr>
        <w:t xml:space="preserve">, M. L., Tobias, C., &amp; </w:t>
      </w:r>
      <w:proofErr w:type="spellStart"/>
      <w:r w:rsidRPr="0074575E">
        <w:rPr>
          <w:color w:val="1A1A1A"/>
        </w:rPr>
        <w:t>Maisels</w:t>
      </w:r>
      <w:proofErr w:type="spellEnd"/>
      <w:r w:rsidRPr="0074575E">
        <w:rPr>
          <w:color w:val="1A1A1A"/>
        </w:rPr>
        <w:t xml:space="preserve">, L. (2006). Provider perceptions of their capacity to offer accessible health care for people with disabilities. </w:t>
      </w:r>
      <w:r w:rsidRPr="0074575E">
        <w:rPr>
          <w:i/>
          <w:iCs/>
          <w:color w:val="1A1A1A"/>
        </w:rPr>
        <w:t xml:space="preserve">Journal of </w:t>
      </w:r>
      <w:r w:rsidR="009D54C3" w:rsidRPr="0074575E">
        <w:rPr>
          <w:i/>
          <w:iCs/>
          <w:color w:val="1A1A1A"/>
        </w:rPr>
        <w:t>disabilities</w:t>
      </w:r>
      <w:r w:rsidRPr="0074575E">
        <w:rPr>
          <w:i/>
          <w:iCs/>
          <w:color w:val="1A1A1A"/>
        </w:rPr>
        <w:t xml:space="preserve"> policy studies</w:t>
      </w:r>
      <w:r w:rsidRPr="0074575E">
        <w:rPr>
          <w:color w:val="1A1A1A"/>
        </w:rPr>
        <w:t xml:space="preserve">, </w:t>
      </w:r>
      <w:r w:rsidRPr="0074575E">
        <w:rPr>
          <w:i/>
          <w:iCs/>
          <w:color w:val="1A1A1A"/>
        </w:rPr>
        <w:t>17</w:t>
      </w:r>
      <w:r w:rsidRPr="0074575E">
        <w:rPr>
          <w:color w:val="1A1A1A"/>
        </w:rPr>
        <w:t>(3), 130-136.</w:t>
      </w:r>
    </w:p>
    <w:p w:rsidR="00871BE8" w:rsidRPr="0074575E" w:rsidRDefault="00871BE8" w:rsidP="00871BE8">
      <w:pPr>
        <w:numPr>
          <w:ilvl w:val="0"/>
          <w:numId w:val="3"/>
        </w:numPr>
        <w:spacing w:line="480" w:lineRule="auto"/>
        <w:ind w:left="360" w:hanging="720"/>
        <w:contextualSpacing/>
      </w:pPr>
      <w:proofErr w:type="spellStart"/>
      <w:r w:rsidRPr="0074575E">
        <w:t>Kirschner</w:t>
      </w:r>
      <w:proofErr w:type="spellEnd"/>
      <w:r w:rsidRPr="0074575E">
        <w:t xml:space="preserve"> KL, </w:t>
      </w:r>
      <w:proofErr w:type="spellStart"/>
      <w:r w:rsidRPr="0074575E">
        <w:t>Breslin</w:t>
      </w:r>
      <w:proofErr w:type="spellEnd"/>
      <w:r w:rsidRPr="0074575E">
        <w:t xml:space="preserve"> ML, </w:t>
      </w:r>
      <w:proofErr w:type="spellStart"/>
      <w:r w:rsidRPr="0074575E">
        <w:t>Iezzoni</w:t>
      </w:r>
      <w:proofErr w:type="spellEnd"/>
      <w:r w:rsidRPr="0074575E">
        <w:t xml:space="preserve"> LI. Structural impairments that limit access to health care for patients with disabilities. </w:t>
      </w:r>
      <w:proofErr w:type="spellStart"/>
      <w:r w:rsidRPr="0074575E">
        <w:rPr>
          <w:i/>
        </w:rPr>
        <w:t>Jama</w:t>
      </w:r>
      <w:proofErr w:type="spellEnd"/>
      <w:r w:rsidRPr="0074575E">
        <w:t>; 2007; 297(10):1121-5.</w:t>
      </w:r>
    </w:p>
    <w:p w:rsidR="00871BE8" w:rsidRPr="0074575E" w:rsidRDefault="00871BE8" w:rsidP="00871BE8">
      <w:pPr>
        <w:numPr>
          <w:ilvl w:val="0"/>
          <w:numId w:val="3"/>
        </w:numPr>
        <w:spacing w:line="480" w:lineRule="auto"/>
        <w:ind w:left="360" w:hanging="720"/>
        <w:contextualSpacing/>
      </w:pPr>
      <w:proofErr w:type="spellStart"/>
      <w:r w:rsidRPr="0074575E">
        <w:rPr>
          <w:color w:val="1A1A1A"/>
        </w:rPr>
        <w:t>Iezzoni</w:t>
      </w:r>
      <w:proofErr w:type="spellEnd"/>
      <w:r w:rsidRPr="0074575E">
        <w:rPr>
          <w:color w:val="1A1A1A"/>
        </w:rPr>
        <w:t xml:space="preserve">, L. I., &amp; </w:t>
      </w:r>
      <w:proofErr w:type="spellStart"/>
      <w:r w:rsidRPr="0074575E">
        <w:rPr>
          <w:color w:val="1A1A1A"/>
        </w:rPr>
        <w:t>O'Day</w:t>
      </w:r>
      <w:proofErr w:type="spellEnd"/>
      <w:r w:rsidRPr="0074575E">
        <w:rPr>
          <w:color w:val="1A1A1A"/>
        </w:rPr>
        <w:t xml:space="preserve">, B. (2006). </w:t>
      </w:r>
      <w:r w:rsidRPr="0074575E">
        <w:rPr>
          <w:i/>
          <w:iCs/>
          <w:color w:val="1A1A1A"/>
        </w:rPr>
        <w:t>More than ramps: a guide to improving health care quality and access for people with disabilities</w:t>
      </w:r>
      <w:r w:rsidRPr="0074575E">
        <w:rPr>
          <w:color w:val="1A1A1A"/>
        </w:rPr>
        <w:t>. Oxford University Press, USA.</w:t>
      </w:r>
    </w:p>
    <w:p w:rsidR="00871BE8" w:rsidRPr="0074575E" w:rsidRDefault="00871BE8" w:rsidP="00871BE8">
      <w:pPr>
        <w:numPr>
          <w:ilvl w:val="0"/>
          <w:numId w:val="3"/>
        </w:numPr>
        <w:spacing w:line="480" w:lineRule="auto"/>
        <w:ind w:left="360" w:hanging="720"/>
        <w:contextualSpacing/>
      </w:pPr>
      <w:r w:rsidRPr="0074575E">
        <w:rPr>
          <w:color w:val="1A1A1A"/>
        </w:rPr>
        <w:lastRenderedPageBreak/>
        <w:t xml:space="preserve">Jones, G. C., &amp; Sinclair, L. B. (2008). Multiple health disparities among minority adults with mobility limitations: An application of the ICF framework and codes. </w:t>
      </w:r>
      <w:r w:rsidR="009D54C3" w:rsidRPr="0074575E">
        <w:rPr>
          <w:i/>
          <w:iCs/>
          <w:color w:val="1A1A1A"/>
        </w:rPr>
        <w:t>Disabilities</w:t>
      </w:r>
      <w:r w:rsidRPr="0074575E">
        <w:rPr>
          <w:i/>
          <w:iCs/>
          <w:color w:val="1A1A1A"/>
        </w:rPr>
        <w:t xml:space="preserve"> and Rehabilitation</w:t>
      </w:r>
      <w:r w:rsidRPr="0074575E">
        <w:rPr>
          <w:color w:val="1A1A1A"/>
        </w:rPr>
        <w:t xml:space="preserve">, </w:t>
      </w:r>
      <w:r w:rsidRPr="0074575E">
        <w:rPr>
          <w:i/>
          <w:iCs/>
          <w:color w:val="1A1A1A"/>
        </w:rPr>
        <w:t>30</w:t>
      </w:r>
      <w:r w:rsidRPr="0074575E">
        <w:rPr>
          <w:color w:val="1A1A1A"/>
        </w:rPr>
        <w:t>(12-13), 901-915.</w:t>
      </w:r>
    </w:p>
    <w:p w:rsidR="00871BE8" w:rsidRPr="0074575E" w:rsidRDefault="00871BE8" w:rsidP="00871BE8">
      <w:pPr>
        <w:numPr>
          <w:ilvl w:val="0"/>
          <w:numId w:val="3"/>
        </w:numPr>
        <w:spacing w:line="480" w:lineRule="auto"/>
        <w:ind w:left="360" w:hanging="720"/>
        <w:contextualSpacing/>
      </w:pPr>
      <w:r w:rsidRPr="0074575E">
        <w:rPr>
          <w:color w:val="1A1A1A"/>
        </w:rPr>
        <w:t>Goode, T. D., Carter-</w:t>
      </w:r>
      <w:proofErr w:type="spellStart"/>
      <w:r w:rsidRPr="0074575E">
        <w:rPr>
          <w:color w:val="1A1A1A"/>
        </w:rPr>
        <w:t>Pokras</w:t>
      </w:r>
      <w:proofErr w:type="spellEnd"/>
      <w:r w:rsidRPr="0074575E">
        <w:rPr>
          <w:color w:val="1A1A1A"/>
        </w:rPr>
        <w:t xml:space="preserve">, O. D., Horner-Johnson, W., &amp; Yee, S. (2014). Parallel tracks: Reflections on the need for collaborative health disparities research on race/ethnicity and </w:t>
      </w:r>
      <w:r w:rsidR="009D54C3" w:rsidRPr="0074575E">
        <w:rPr>
          <w:color w:val="1A1A1A"/>
        </w:rPr>
        <w:t>disabilities</w:t>
      </w:r>
      <w:r w:rsidRPr="0074575E">
        <w:rPr>
          <w:color w:val="1A1A1A"/>
        </w:rPr>
        <w:t xml:space="preserve">. </w:t>
      </w:r>
      <w:r w:rsidRPr="0074575E">
        <w:rPr>
          <w:i/>
          <w:iCs/>
          <w:color w:val="1A1A1A"/>
        </w:rPr>
        <w:t>Medical care</w:t>
      </w:r>
      <w:r w:rsidRPr="0074575E">
        <w:rPr>
          <w:color w:val="1A1A1A"/>
        </w:rPr>
        <w:t xml:space="preserve">, </w:t>
      </w:r>
      <w:r w:rsidRPr="0074575E">
        <w:rPr>
          <w:i/>
          <w:iCs/>
          <w:color w:val="1A1A1A"/>
        </w:rPr>
        <w:t>52</w:t>
      </w:r>
      <w:r w:rsidRPr="0074575E">
        <w:rPr>
          <w:color w:val="1A1A1A"/>
        </w:rPr>
        <w:t>(10 0 3), S3.</w:t>
      </w:r>
    </w:p>
    <w:p w:rsidR="00871BE8" w:rsidRPr="0074575E" w:rsidRDefault="00871BE8" w:rsidP="00871BE8">
      <w:pPr>
        <w:numPr>
          <w:ilvl w:val="0"/>
          <w:numId w:val="3"/>
        </w:numPr>
        <w:spacing w:line="480" w:lineRule="auto"/>
        <w:ind w:left="360" w:hanging="720"/>
        <w:contextualSpacing/>
      </w:pPr>
      <w:r w:rsidRPr="0074575E">
        <w:t xml:space="preserve">Hill JC, Fritz JM. Psychosocial influences on low back pain, </w:t>
      </w:r>
      <w:r w:rsidR="009D54C3" w:rsidRPr="0074575E">
        <w:t>disabilities</w:t>
      </w:r>
      <w:r w:rsidRPr="0074575E">
        <w:t xml:space="preserve">, and response to treatment. </w:t>
      </w:r>
      <w:r w:rsidRPr="0074575E">
        <w:rPr>
          <w:i/>
        </w:rPr>
        <w:t>Physical therapy</w:t>
      </w:r>
      <w:r w:rsidRPr="0074575E">
        <w:t>; 201; 91(5):712-21.</w:t>
      </w:r>
    </w:p>
    <w:p w:rsidR="00871BE8" w:rsidRPr="0074575E" w:rsidRDefault="00871BE8" w:rsidP="00871BE8">
      <w:pPr>
        <w:numPr>
          <w:ilvl w:val="0"/>
          <w:numId w:val="3"/>
        </w:numPr>
        <w:spacing w:line="480" w:lineRule="auto"/>
        <w:ind w:left="360" w:hanging="720"/>
        <w:contextualSpacing/>
      </w:pPr>
      <w:proofErr w:type="spellStart"/>
      <w:r w:rsidRPr="0074575E">
        <w:rPr>
          <w:color w:val="1A1A1A"/>
        </w:rPr>
        <w:t>Sharby</w:t>
      </w:r>
      <w:proofErr w:type="spellEnd"/>
      <w:r w:rsidRPr="0074575E">
        <w:rPr>
          <w:color w:val="1A1A1A"/>
        </w:rPr>
        <w:t xml:space="preserve">, N., </w:t>
      </w:r>
      <w:proofErr w:type="spellStart"/>
      <w:r w:rsidRPr="0074575E">
        <w:rPr>
          <w:color w:val="1A1A1A"/>
        </w:rPr>
        <w:t>Martire</w:t>
      </w:r>
      <w:proofErr w:type="spellEnd"/>
      <w:r w:rsidRPr="0074575E">
        <w:rPr>
          <w:color w:val="1A1A1A"/>
        </w:rPr>
        <w:t xml:space="preserve">, K., &amp; </w:t>
      </w:r>
      <w:proofErr w:type="spellStart"/>
      <w:r w:rsidRPr="0074575E">
        <w:rPr>
          <w:color w:val="1A1A1A"/>
        </w:rPr>
        <w:t>Iversen</w:t>
      </w:r>
      <w:proofErr w:type="spellEnd"/>
      <w:r w:rsidRPr="0074575E">
        <w:rPr>
          <w:color w:val="1A1A1A"/>
        </w:rPr>
        <w:t xml:space="preserve">, M. D. (2015). Decreasing health disparities for people with disabilities through improved communication strategies and awareness. </w:t>
      </w:r>
      <w:r w:rsidRPr="0074575E">
        <w:rPr>
          <w:i/>
          <w:iCs/>
          <w:color w:val="1A1A1A"/>
        </w:rPr>
        <w:t>International journal of environmental research and public health</w:t>
      </w:r>
      <w:r w:rsidRPr="0074575E">
        <w:rPr>
          <w:color w:val="1A1A1A"/>
        </w:rPr>
        <w:t xml:space="preserve">, </w:t>
      </w:r>
      <w:r w:rsidRPr="0074575E">
        <w:rPr>
          <w:i/>
          <w:iCs/>
          <w:color w:val="1A1A1A"/>
        </w:rPr>
        <w:t>12</w:t>
      </w:r>
      <w:r w:rsidRPr="0074575E">
        <w:rPr>
          <w:color w:val="1A1A1A"/>
        </w:rPr>
        <w:t>(3), 3301-3316.</w:t>
      </w:r>
    </w:p>
    <w:p w:rsidR="00871BE8" w:rsidRPr="0074575E" w:rsidRDefault="00871BE8" w:rsidP="00871BE8">
      <w:pPr>
        <w:numPr>
          <w:ilvl w:val="0"/>
          <w:numId w:val="3"/>
        </w:numPr>
        <w:spacing w:line="480" w:lineRule="auto"/>
        <w:ind w:left="360" w:hanging="720"/>
        <w:contextualSpacing/>
      </w:pPr>
      <w:r w:rsidRPr="0074575E">
        <w:rPr>
          <w:color w:val="1A1A1A"/>
        </w:rPr>
        <w:t xml:space="preserve">US Department of Health and Human Services. (2014). National strategy for quality improvement in health care: 2014 annual progress report to congress. </w:t>
      </w:r>
      <w:hyperlink r:id="rId13" w:history="1">
        <w:r w:rsidRPr="0074575E">
          <w:rPr>
            <w:rStyle w:val="Hyperlink"/>
          </w:rPr>
          <w:t>http://www.ahrq.gov/workingforquality/reports/annual-reports/nqs2014annlrpt.pdf</w:t>
        </w:r>
      </w:hyperlink>
      <w:r w:rsidRPr="0074575E">
        <w:rPr>
          <w:rStyle w:val="Hyperlink"/>
        </w:rPr>
        <w:t xml:space="preserve"> </w:t>
      </w:r>
      <w:r w:rsidRPr="0074575E">
        <w:t>[December 2, 2016].</w:t>
      </w:r>
    </w:p>
    <w:p w:rsidR="00871BE8" w:rsidRPr="0074575E" w:rsidRDefault="00871BE8" w:rsidP="00871BE8">
      <w:pPr>
        <w:numPr>
          <w:ilvl w:val="0"/>
          <w:numId w:val="3"/>
        </w:numPr>
        <w:spacing w:line="480" w:lineRule="auto"/>
        <w:ind w:left="360" w:hanging="720"/>
        <w:contextualSpacing/>
      </w:pPr>
      <w:r w:rsidRPr="0074575E">
        <w:rPr>
          <w:color w:val="1A1A1A"/>
        </w:rPr>
        <w:t xml:space="preserve">Peacock, G., </w:t>
      </w:r>
      <w:proofErr w:type="spellStart"/>
      <w:r w:rsidRPr="0074575E">
        <w:rPr>
          <w:color w:val="1A1A1A"/>
        </w:rPr>
        <w:t>Iezzoni</w:t>
      </w:r>
      <w:proofErr w:type="spellEnd"/>
      <w:r w:rsidRPr="0074575E">
        <w:rPr>
          <w:color w:val="1A1A1A"/>
        </w:rPr>
        <w:t xml:space="preserve">, L. I., &amp; Harkin, T. R. (2015). Health Care for Americans with Disabilities—25 Years after the ADA. </w:t>
      </w:r>
      <w:r w:rsidRPr="0074575E">
        <w:rPr>
          <w:i/>
          <w:iCs/>
          <w:color w:val="1A1A1A"/>
        </w:rPr>
        <w:t>New England Journal of Medicine</w:t>
      </w:r>
      <w:r w:rsidRPr="0074575E">
        <w:rPr>
          <w:color w:val="1A1A1A"/>
        </w:rPr>
        <w:t xml:space="preserve">, </w:t>
      </w:r>
      <w:r w:rsidRPr="0074575E">
        <w:rPr>
          <w:i/>
          <w:iCs/>
          <w:color w:val="1A1A1A"/>
        </w:rPr>
        <w:t>373</w:t>
      </w:r>
      <w:r w:rsidRPr="0074575E">
        <w:rPr>
          <w:color w:val="1A1A1A"/>
        </w:rPr>
        <w:t>(10), 892-893.</w:t>
      </w:r>
    </w:p>
    <w:p w:rsidR="00871BE8" w:rsidRPr="0074575E" w:rsidRDefault="00871BE8" w:rsidP="00871BE8">
      <w:pPr>
        <w:numPr>
          <w:ilvl w:val="0"/>
          <w:numId w:val="3"/>
        </w:numPr>
        <w:spacing w:line="480" w:lineRule="auto"/>
        <w:ind w:left="360" w:hanging="720"/>
        <w:contextualSpacing/>
      </w:pPr>
      <w:r w:rsidRPr="0074575E">
        <w:t xml:space="preserve">Martin AB, </w:t>
      </w:r>
      <w:proofErr w:type="spellStart"/>
      <w:r w:rsidRPr="0074575E">
        <w:t>Lassman</w:t>
      </w:r>
      <w:proofErr w:type="spellEnd"/>
      <w:r w:rsidRPr="0074575E">
        <w:t xml:space="preserve"> D, Washington B, Catlin A, National Health Expenditure Accounts Team. Growth in US health spending remained slow in 2010; health </w:t>
      </w:r>
      <w:r w:rsidRPr="0074575E">
        <w:lastRenderedPageBreak/>
        <w:t xml:space="preserve">share of gross domestic product was unchanged from 2009. </w:t>
      </w:r>
      <w:r w:rsidRPr="0074575E">
        <w:rPr>
          <w:i/>
        </w:rPr>
        <w:t>Health Affairs</w:t>
      </w:r>
      <w:r w:rsidRPr="0074575E">
        <w:t>; 2012; 31(1): 208-19.</w:t>
      </w:r>
    </w:p>
    <w:p w:rsidR="00993DAE" w:rsidRPr="0074575E" w:rsidRDefault="00871BE8" w:rsidP="00993DAE">
      <w:pPr>
        <w:numPr>
          <w:ilvl w:val="0"/>
          <w:numId w:val="3"/>
        </w:numPr>
        <w:spacing w:line="480" w:lineRule="auto"/>
        <w:ind w:left="360" w:hanging="720"/>
        <w:contextualSpacing/>
      </w:pPr>
      <w:r w:rsidRPr="0074575E">
        <w:t xml:space="preserve">Radnor Z. Implementing lean in health care: making the link between the approach, readiness and sustainability. </w:t>
      </w:r>
      <w:proofErr w:type="spellStart"/>
      <w:r w:rsidRPr="0074575E">
        <w:rPr>
          <w:i/>
        </w:rPr>
        <w:t>Int</w:t>
      </w:r>
      <w:proofErr w:type="spellEnd"/>
      <w:r w:rsidRPr="0074575E">
        <w:rPr>
          <w:i/>
        </w:rPr>
        <w:t xml:space="preserve"> J of </w:t>
      </w:r>
      <w:proofErr w:type="spellStart"/>
      <w:r w:rsidRPr="0074575E">
        <w:rPr>
          <w:i/>
        </w:rPr>
        <w:t>Ind</w:t>
      </w:r>
      <w:proofErr w:type="spellEnd"/>
      <w:r w:rsidRPr="0074575E">
        <w:rPr>
          <w:i/>
        </w:rPr>
        <w:t xml:space="preserve"> </w:t>
      </w:r>
      <w:proofErr w:type="spellStart"/>
      <w:r w:rsidRPr="0074575E">
        <w:rPr>
          <w:i/>
        </w:rPr>
        <w:t>Engin</w:t>
      </w:r>
      <w:proofErr w:type="spellEnd"/>
      <w:r w:rsidRPr="0074575E">
        <w:rPr>
          <w:i/>
        </w:rPr>
        <w:t xml:space="preserve"> and </w:t>
      </w:r>
      <w:proofErr w:type="spellStart"/>
      <w:r w:rsidRPr="0074575E">
        <w:rPr>
          <w:i/>
        </w:rPr>
        <w:t>Mgment</w:t>
      </w:r>
      <w:proofErr w:type="spellEnd"/>
      <w:r w:rsidRPr="0074575E">
        <w:t>; 2011; 2(1):1-2.</w:t>
      </w:r>
    </w:p>
    <w:p w:rsidR="00C10316" w:rsidRPr="0074575E" w:rsidRDefault="00C10316" w:rsidP="00993DAE">
      <w:pPr>
        <w:numPr>
          <w:ilvl w:val="0"/>
          <w:numId w:val="3"/>
        </w:numPr>
        <w:spacing w:line="480" w:lineRule="auto"/>
        <w:ind w:left="360" w:hanging="720"/>
        <w:contextualSpacing/>
      </w:pPr>
      <w:proofErr w:type="spellStart"/>
      <w:r w:rsidRPr="0074575E">
        <w:rPr>
          <w:color w:val="1A1A1A"/>
        </w:rPr>
        <w:t>Colford</w:t>
      </w:r>
      <w:proofErr w:type="spellEnd"/>
      <w:r w:rsidRPr="0074575E">
        <w:rPr>
          <w:color w:val="1A1A1A"/>
        </w:rPr>
        <w:t xml:space="preserve">, J. M. (2001). Meta-Analysis, Decision Analysis, and Cost-Effectiveness Analysis: Methods for Quantitative Synthesis in Medicine. </w:t>
      </w:r>
      <w:r w:rsidRPr="0074575E">
        <w:rPr>
          <w:i/>
          <w:iCs/>
          <w:color w:val="1A1A1A"/>
        </w:rPr>
        <w:t>American Journal of Epidemiology</w:t>
      </w:r>
      <w:r w:rsidRPr="0074575E">
        <w:rPr>
          <w:color w:val="1A1A1A"/>
        </w:rPr>
        <w:t xml:space="preserve">, </w:t>
      </w:r>
      <w:r w:rsidRPr="0074575E">
        <w:rPr>
          <w:i/>
          <w:iCs/>
          <w:color w:val="1A1A1A"/>
        </w:rPr>
        <w:t>154</w:t>
      </w:r>
      <w:r w:rsidRPr="0074575E">
        <w:rPr>
          <w:color w:val="1A1A1A"/>
        </w:rPr>
        <w:t>(10), 972-973.</w:t>
      </w:r>
    </w:p>
    <w:p w:rsidR="00871BE8" w:rsidRPr="0074575E" w:rsidRDefault="00871BE8" w:rsidP="00871BE8">
      <w:pPr>
        <w:numPr>
          <w:ilvl w:val="0"/>
          <w:numId w:val="3"/>
        </w:numPr>
        <w:spacing w:line="480" w:lineRule="auto"/>
        <w:ind w:left="360" w:hanging="720"/>
        <w:contextualSpacing/>
      </w:pPr>
      <w:proofErr w:type="spellStart"/>
      <w:r w:rsidRPr="0074575E">
        <w:t>Easterby</w:t>
      </w:r>
      <w:proofErr w:type="spellEnd"/>
      <w:r w:rsidRPr="0074575E">
        <w:t xml:space="preserve">-Smith M, Thorpe R, Jackson PR. </w:t>
      </w:r>
      <w:r w:rsidRPr="0074575E">
        <w:rPr>
          <w:i/>
        </w:rPr>
        <w:t>Management res</w:t>
      </w:r>
      <w:r w:rsidRPr="0074575E">
        <w:t>; 2012; 3: 33-54.</w:t>
      </w:r>
    </w:p>
    <w:p w:rsidR="00871BE8" w:rsidRPr="0074575E" w:rsidRDefault="00871BE8" w:rsidP="00871BE8">
      <w:pPr>
        <w:numPr>
          <w:ilvl w:val="0"/>
          <w:numId w:val="3"/>
        </w:numPr>
        <w:spacing w:line="480" w:lineRule="auto"/>
        <w:ind w:left="360" w:hanging="720"/>
        <w:contextualSpacing/>
      </w:pPr>
      <w:proofErr w:type="spellStart"/>
      <w:r w:rsidRPr="0074575E">
        <w:t>Iloh</w:t>
      </w:r>
      <w:proofErr w:type="spellEnd"/>
      <w:r w:rsidRPr="0074575E">
        <w:t xml:space="preserve">, G. U. P., </w:t>
      </w:r>
      <w:proofErr w:type="spellStart"/>
      <w:r w:rsidRPr="0074575E">
        <w:t>Ofoedu</w:t>
      </w:r>
      <w:proofErr w:type="spellEnd"/>
      <w:r w:rsidRPr="0074575E">
        <w:t xml:space="preserve">, J. N., </w:t>
      </w:r>
      <w:proofErr w:type="spellStart"/>
      <w:r w:rsidRPr="0074575E">
        <w:t>Njoku</w:t>
      </w:r>
      <w:proofErr w:type="spellEnd"/>
      <w:r w:rsidRPr="0074575E">
        <w:t xml:space="preserve">, P. U., </w:t>
      </w:r>
      <w:proofErr w:type="spellStart"/>
      <w:r w:rsidRPr="0074575E">
        <w:t>Odu</w:t>
      </w:r>
      <w:proofErr w:type="spellEnd"/>
      <w:r w:rsidRPr="0074575E">
        <w:t xml:space="preserve">, F. U., </w:t>
      </w:r>
      <w:proofErr w:type="spellStart"/>
      <w:r w:rsidRPr="0074575E">
        <w:t>Ifedigbo</w:t>
      </w:r>
      <w:proofErr w:type="spellEnd"/>
      <w:r w:rsidRPr="0074575E">
        <w:t xml:space="preserve">, C. V., &amp; </w:t>
      </w:r>
      <w:proofErr w:type="spellStart"/>
      <w:r w:rsidRPr="0074575E">
        <w:t>Iwuamanam</w:t>
      </w:r>
      <w:proofErr w:type="spellEnd"/>
      <w:r w:rsidRPr="0074575E">
        <w:t xml:space="preserve">, K. D. Evaluation of patients' satisfaction with quality of care provided at the National Health Insurance Scheme Clinic of a tertiary hospital in South-Eastern Nigeria. </w:t>
      </w:r>
      <w:r w:rsidRPr="0074575E">
        <w:rPr>
          <w:i/>
        </w:rPr>
        <w:t xml:space="preserve">Niger J </w:t>
      </w:r>
      <w:proofErr w:type="spellStart"/>
      <w:r w:rsidRPr="0074575E">
        <w:rPr>
          <w:i/>
        </w:rPr>
        <w:t>Clin</w:t>
      </w:r>
      <w:proofErr w:type="spellEnd"/>
      <w:r w:rsidRPr="0074575E">
        <w:rPr>
          <w:i/>
        </w:rPr>
        <w:t xml:space="preserve"> </w:t>
      </w:r>
      <w:proofErr w:type="spellStart"/>
      <w:r w:rsidRPr="0074575E">
        <w:rPr>
          <w:i/>
        </w:rPr>
        <w:t>Pract</w:t>
      </w:r>
      <w:proofErr w:type="spellEnd"/>
      <w:r w:rsidRPr="0074575E">
        <w:t>; 2012; 15(4): 469-474.</w:t>
      </w:r>
    </w:p>
    <w:p w:rsidR="00871BE8" w:rsidRPr="0074575E" w:rsidRDefault="00871BE8" w:rsidP="00871BE8">
      <w:pPr>
        <w:numPr>
          <w:ilvl w:val="0"/>
          <w:numId w:val="3"/>
        </w:numPr>
        <w:spacing w:line="480" w:lineRule="auto"/>
        <w:ind w:left="360" w:hanging="720"/>
        <w:contextualSpacing/>
      </w:pPr>
      <w:r w:rsidRPr="0074575E">
        <w:t xml:space="preserve">Needleman J, </w:t>
      </w:r>
      <w:proofErr w:type="spellStart"/>
      <w:r w:rsidRPr="0074575E">
        <w:t>Buerhaus</w:t>
      </w:r>
      <w:proofErr w:type="spellEnd"/>
      <w:r w:rsidRPr="0074575E">
        <w:t xml:space="preserve"> P, </w:t>
      </w:r>
      <w:proofErr w:type="spellStart"/>
      <w:r w:rsidRPr="0074575E">
        <w:t>Mattke</w:t>
      </w:r>
      <w:proofErr w:type="spellEnd"/>
      <w:r w:rsidRPr="0074575E">
        <w:t xml:space="preserve"> S, Stewart M, </w:t>
      </w:r>
      <w:proofErr w:type="spellStart"/>
      <w:r w:rsidRPr="0074575E">
        <w:t>Zelevinsky</w:t>
      </w:r>
      <w:proofErr w:type="spellEnd"/>
      <w:r w:rsidRPr="0074575E">
        <w:t xml:space="preserve"> K. Nurse-staffing levels and the quality of care in hospitals. </w:t>
      </w:r>
      <w:r w:rsidRPr="0074575E">
        <w:rPr>
          <w:i/>
        </w:rPr>
        <w:t xml:space="preserve">N </w:t>
      </w:r>
      <w:proofErr w:type="spellStart"/>
      <w:r w:rsidRPr="0074575E">
        <w:rPr>
          <w:i/>
        </w:rPr>
        <w:t>Engl</w:t>
      </w:r>
      <w:proofErr w:type="spellEnd"/>
      <w:r w:rsidRPr="0074575E">
        <w:rPr>
          <w:i/>
        </w:rPr>
        <w:t xml:space="preserve"> J Med Overseas Ed</w:t>
      </w:r>
      <w:r w:rsidRPr="0074575E">
        <w:t>; 2002; (22): 1715-22.</w:t>
      </w:r>
    </w:p>
    <w:p w:rsidR="00871BE8" w:rsidRPr="0074575E" w:rsidRDefault="00871BE8" w:rsidP="00871BE8">
      <w:pPr>
        <w:numPr>
          <w:ilvl w:val="0"/>
          <w:numId w:val="3"/>
        </w:numPr>
        <w:spacing w:line="480" w:lineRule="auto"/>
        <w:ind w:left="360" w:hanging="720"/>
        <w:contextualSpacing/>
      </w:pPr>
      <w:proofErr w:type="spellStart"/>
      <w:r w:rsidRPr="0074575E">
        <w:t>Iacono</w:t>
      </w:r>
      <w:proofErr w:type="spellEnd"/>
      <w:r w:rsidRPr="0074575E">
        <w:t xml:space="preserve"> T, Humphreys J, Davis R, Chandler N. Health care service provision for country people with developmental </w:t>
      </w:r>
      <w:r w:rsidR="009D54C3" w:rsidRPr="0074575E">
        <w:t>disabilities</w:t>
      </w:r>
      <w:r w:rsidRPr="0074575E">
        <w:t xml:space="preserve">: an Australian perspective. </w:t>
      </w:r>
      <w:r w:rsidRPr="0074575E">
        <w:rPr>
          <w:i/>
        </w:rPr>
        <w:t xml:space="preserve">Res Dev </w:t>
      </w:r>
      <w:proofErr w:type="spellStart"/>
      <w:r w:rsidRPr="0074575E">
        <w:rPr>
          <w:i/>
        </w:rPr>
        <w:t>Disabil</w:t>
      </w:r>
      <w:proofErr w:type="spellEnd"/>
      <w:r w:rsidRPr="0074575E">
        <w:t>; 2004; 25(3): 265-84.</w:t>
      </w:r>
    </w:p>
    <w:p w:rsidR="00871BE8" w:rsidRPr="0074575E" w:rsidRDefault="00871BE8" w:rsidP="00871BE8">
      <w:pPr>
        <w:numPr>
          <w:ilvl w:val="0"/>
          <w:numId w:val="3"/>
        </w:numPr>
        <w:spacing w:line="480" w:lineRule="auto"/>
        <w:ind w:left="360" w:hanging="720"/>
        <w:contextualSpacing/>
      </w:pPr>
      <w:r w:rsidRPr="0074575E">
        <w:lastRenderedPageBreak/>
        <w:t xml:space="preserve">Lindberg JO, </w:t>
      </w:r>
      <w:proofErr w:type="spellStart"/>
      <w:r w:rsidRPr="0074575E">
        <w:t>Engström</w:t>
      </w:r>
      <w:proofErr w:type="spellEnd"/>
      <w:r w:rsidRPr="0074575E">
        <w:t xml:space="preserve"> Å. Critical care nurses' experiences</w:t>
      </w:r>
      <w:proofErr w:type="gramStart"/>
      <w:r w:rsidRPr="0074575E">
        <w:t>:“</w:t>
      </w:r>
      <w:proofErr w:type="gramEnd"/>
      <w:r w:rsidRPr="0074575E">
        <w:t xml:space="preserve">A good relationship with the patient is a prerequisite for successful pain relief management”. </w:t>
      </w:r>
      <w:r w:rsidRPr="0074575E">
        <w:rPr>
          <w:i/>
        </w:rPr>
        <w:t>Pain Management Nursing</w:t>
      </w:r>
      <w:r w:rsidRPr="0074575E">
        <w:t>; 2011; 12(3): 163-72.</w:t>
      </w:r>
    </w:p>
    <w:p w:rsidR="00871BE8" w:rsidRPr="0074575E" w:rsidRDefault="00871BE8" w:rsidP="00871BE8">
      <w:pPr>
        <w:numPr>
          <w:ilvl w:val="0"/>
          <w:numId w:val="3"/>
        </w:numPr>
        <w:spacing w:line="480" w:lineRule="auto"/>
        <w:ind w:left="360" w:hanging="720"/>
        <w:contextualSpacing/>
      </w:pPr>
      <w:proofErr w:type="spellStart"/>
      <w:r w:rsidRPr="0074575E">
        <w:t>Krimshtein</w:t>
      </w:r>
      <w:proofErr w:type="spellEnd"/>
      <w:r w:rsidRPr="0074575E">
        <w:t xml:space="preserve"> NS, </w:t>
      </w:r>
      <w:proofErr w:type="spellStart"/>
      <w:r w:rsidRPr="0074575E">
        <w:t>Luhrs</w:t>
      </w:r>
      <w:proofErr w:type="spellEnd"/>
      <w:r w:rsidRPr="0074575E">
        <w:t xml:space="preserve"> CA, </w:t>
      </w:r>
      <w:proofErr w:type="spellStart"/>
      <w:r w:rsidRPr="0074575E">
        <w:t>Puntillo</w:t>
      </w:r>
      <w:proofErr w:type="spellEnd"/>
      <w:r w:rsidRPr="0074575E">
        <w:t xml:space="preserve"> KA, Cortez TB, </w:t>
      </w:r>
      <w:proofErr w:type="spellStart"/>
      <w:r w:rsidRPr="0074575E">
        <w:t>Livote</w:t>
      </w:r>
      <w:proofErr w:type="spellEnd"/>
      <w:r w:rsidRPr="0074575E">
        <w:t xml:space="preserve"> EE, </w:t>
      </w:r>
      <w:proofErr w:type="spellStart"/>
      <w:r w:rsidRPr="0074575E">
        <w:t>Penrod</w:t>
      </w:r>
      <w:proofErr w:type="spellEnd"/>
      <w:r w:rsidRPr="0074575E">
        <w:t xml:space="preserve"> JD, Nelson JE. Training nurses for interdisciplinary communication with families in the intensive care unit: an intervention. </w:t>
      </w:r>
      <w:r w:rsidRPr="0074575E">
        <w:rPr>
          <w:i/>
        </w:rPr>
        <w:t xml:space="preserve">J </w:t>
      </w:r>
      <w:proofErr w:type="spellStart"/>
      <w:r w:rsidRPr="0074575E">
        <w:rPr>
          <w:i/>
        </w:rPr>
        <w:t>Palliat</w:t>
      </w:r>
      <w:proofErr w:type="spellEnd"/>
      <w:r w:rsidRPr="0074575E">
        <w:rPr>
          <w:i/>
        </w:rPr>
        <w:t xml:space="preserve"> Med; </w:t>
      </w:r>
      <w:r w:rsidRPr="0074575E">
        <w:t>2011; 14(12):1325-32.</w:t>
      </w:r>
    </w:p>
    <w:p w:rsidR="00871BE8" w:rsidRPr="0074575E" w:rsidRDefault="00871BE8" w:rsidP="00871BE8">
      <w:pPr>
        <w:numPr>
          <w:ilvl w:val="0"/>
          <w:numId w:val="3"/>
        </w:numPr>
        <w:spacing w:line="480" w:lineRule="auto"/>
        <w:ind w:left="360" w:hanging="720"/>
        <w:contextualSpacing/>
      </w:pPr>
      <w:r w:rsidRPr="0074575E">
        <w:t>Flores G. Language barriers to health care in the United States</w:t>
      </w:r>
      <w:r w:rsidRPr="0074575E">
        <w:rPr>
          <w:i/>
        </w:rPr>
        <w:t xml:space="preserve">. N </w:t>
      </w:r>
      <w:proofErr w:type="spellStart"/>
      <w:r w:rsidRPr="0074575E">
        <w:rPr>
          <w:i/>
        </w:rPr>
        <w:t>Engl</w:t>
      </w:r>
      <w:proofErr w:type="spellEnd"/>
      <w:r w:rsidRPr="0074575E">
        <w:rPr>
          <w:i/>
        </w:rPr>
        <w:t xml:space="preserve"> J Med</w:t>
      </w:r>
      <w:r w:rsidRPr="0074575E">
        <w:t>; 2006; 355(3): 229-31.</w:t>
      </w:r>
    </w:p>
    <w:p w:rsidR="00871BE8" w:rsidRPr="0074575E" w:rsidRDefault="00871BE8" w:rsidP="00871BE8">
      <w:pPr>
        <w:numPr>
          <w:ilvl w:val="0"/>
          <w:numId w:val="3"/>
        </w:numPr>
        <w:spacing w:line="480" w:lineRule="auto"/>
        <w:ind w:left="360" w:hanging="720"/>
        <w:contextualSpacing/>
      </w:pPr>
      <w:proofErr w:type="spellStart"/>
      <w:r w:rsidRPr="0074575E">
        <w:t>Luparell</w:t>
      </w:r>
      <w:proofErr w:type="spellEnd"/>
      <w:r w:rsidRPr="0074575E">
        <w:t xml:space="preserve"> S. Incivility in nursing: The connection between academia and clinical settings. </w:t>
      </w:r>
      <w:proofErr w:type="spellStart"/>
      <w:r w:rsidRPr="0074575E">
        <w:rPr>
          <w:i/>
        </w:rPr>
        <w:t>Crit</w:t>
      </w:r>
      <w:proofErr w:type="spellEnd"/>
      <w:r w:rsidRPr="0074575E">
        <w:rPr>
          <w:i/>
        </w:rPr>
        <w:t xml:space="preserve"> Care Nurse</w:t>
      </w:r>
      <w:r w:rsidRPr="0074575E">
        <w:t>; 2011; 31(2): 92-5.</w:t>
      </w:r>
    </w:p>
    <w:p w:rsidR="00871BE8" w:rsidRPr="0074575E" w:rsidRDefault="00871BE8" w:rsidP="00871BE8">
      <w:pPr>
        <w:numPr>
          <w:ilvl w:val="0"/>
          <w:numId w:val="3"/>
        </w:numPr>
        <w:spacing w:line="480" w:lineRule="auto"/>
        <w:ind w:left="360" w:hanging="720"/>
        <w:contextualSpacing/>
      </w:pPr>
      <w:r w:rsidRPr="0074575E">
        <w:t xml:space="preserve">People H. Conclusion and future directions: </w:t>
      </w:r>
      <w:r w:rsidRPr="0074575E">
        <w:rPr>
          <w:i/>
        </w:rPr>
        <w:t>CDC health disparities and inequalities report—United States</w:t>
      </w:r>
      <w:r w:rsidRPr="0074575E">
        <w:t>. 2013; 62(3): 184.</w:t>
      </w:r>
    </w:p>
    <w:p w:rsidR="00871BE8" w:rsidRPr="0074575E" w:rsidRDefault="00871BE8" w:rsidP="00871BE8">
      <w:pPr>
        <w:numPr>
          <w:ilvl w:val="0"/>
          <w:numId w:val="3"/>
        </w:numPr>
        <w:spacing w:line="480" w:lineRule="auto"/>
        <w:ind w:left="360" w:hanging="720"/>
        <w:contextualSpacing/>
      </w:pPr>
      <w:proofErr w:type="spellStart"/>
      <w:r w:rsidRPr="0074575E">
        <w:t>Noe</w:t>
      </w:r>
      <w:proofErr w:type="spellEnd"/>
      <w:r w:rsidRPr="0074575E">
        <w:t xml:space="preserve"> RA. </w:t>
      </w:r>
      <w:r w:rsidRPr="0074575E">
        <w:rPr>
          <w:i/>
        </w:rPr>
        <w:t>Employee training and development</w:t>
      </w:r>
      <w:r w:rsidRPr="0074575E">
        <w:t>. McGraw-Hill/Irwin; 2010.</w:t>
      </w:r>
    </w:p>
    <w:p w:rsidR="00786E53" w:rsidRPr="0074575E" w:rsidRDefault="00951D08" w:rsidP="00786E53">
      <w:pPr>
        <w:keepNext/>
        <w:spacing w:line="480" w:lineRule="auto"/>
        <w:jc w:val="center"/>
        <w:outlineLvl w:val="0"/>
        <w:rPr>
          <w:noProof/>
        </w:rPr>
      </w:pPr>
      <w:r w:rsidRPr="0074575E">
        <w:rPr>
          <w:noProof/>
        </w:rPr>
        <w:br w:type="page"/>
      </w:r>
      <w:r w:rsidR="00786E53" w:rsidRPr="0074575E">
        <w:rPr>
          <w:noProof/>
        </w:rPr>
        <w:lastRenderedPageBreak/>
        <w:t>Appendix I: Results</w:t>
      </w:r>
    </w:p>
    <w:p w:rsidR="00C8340D" w:rsidRPr="0074575E" w:rsidRDefault="00C8340D" w:rsidP="00786E53">
      <w:pPr>
        <w:keepNext/>
        <w:spacing w:line="480" w:lineRule="auto"/>
        <w:jc w:val="center"/>
        <w:outlineLvl w:val="0"/>
        <w:rPr>
          <w:noProof/>
        </w:rPr>
      </w:pPr>
      <w:r w:rsidRPr="0074575E">
        <w:rPr>
          <w:noProof/>
        </w:rPr>
        <w:t>Tables and Figure</w:t>
      </w:r>
    </w:p>
    <w:p w:rsidR="00C8340D" w:rsidRPr="0074575E" w:rsidRDefault="00C8340D" w:rsidP="00223558">
      <w:pPr>
        <w:keepNext/>
        <w:spacing w:line="480" w:lineRule="auto"/>
        <w:jc w:val="center"/>
        <w:rPr>
          <w:noProof/>
        </w:rPr>
      </w:pPr>
      <w:r w:rsidRPr="0074575E">
        <w:rPr>
          <w:i/>
        </w:rPr>
        <w:t xml:space="preserve">Figure </w:t>
      </w:r>
      <w:r w:rsidR="00F76E66" w:rsidRPr="0074575E">
        <w:rPr>
          <w:i/>
        </w:rPr>
        <w:fldChar w:fldCharType="begin"/>
      </w:r>
      <w:r w:rsidRPr="0074575E">
        <w:rPr>
          <w:i/>
        </w:rPr>
        <w:instrText xml:space="preserve"> SEQ Figure \* ARABIC </w:instrText>
      </w:r>
      <w:r w:rsidR="00F76E66" w:rsidRPr="0074575E">
        <w:rPr>
          <w:i/>
        </w:rPr>
        <w:fldChar w:fldCharType="separate"/>
      </w:r>
      <w:r w:rsidRPr="0074575E">
        <w:rPr>
          <w:i/>
          <w:noProof/>
        </w:rPr>
        <w:t>1</w:t>
      </w:r>
      <w:r w:rsidR="00F76E66" w:rsidRPr="0074575E">
        <w:rPr>
          <w:i/>
        </w:rPr>
        <w:fldChar w:fldCharType="end"/>
      </w:r>
      <w:r w:rsidRPr="0074575E">
        <w:rPr>
          <w:i/>
        </w:rPr>
        <w:t xml:space="preserve">: The trend in the proportion patients with physical and sensory </w:t>
      </w:r>
      <w:r w:rsidR="009D54C3" w:rsidRPr="0074575E">
        <w:rPr>
          <w:i/>
        </w:rPr>
        <w:t>disabilities</w:t>
      </w:r>
    </w:p>
    <w:p w:rsidR="006D1C83" w:rsidRPr="0074575E" w:rsidRDefault="0074575E" w:rsidP="00223558">
      <w:pPr>
        <w:keepNext/>
        <w:spacing w:line="480" w:lineRule="auto"/>
        <w:jc w:val="center"/>
        <w:rPr>
          <w:noProof/>
        </w:rPr>
      </w:pPr>
      <w:r w:rsidRPr="007457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60.65pt;height:216.65pt;visibility:visible" o:gfxdata="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">
            <v:imagedata r:id="rId14" o:title=""/>
            <o:lock v:ext="edit" aspectratio="f"/>
          </v:shape>
        </w:pict>
      </w:r>
    </w:p>
    <w:p w:rsidR="00F76E66" w:rsidRPr="0074575E" w:rsidRDefault="00C8340D">
      <w:pPr>
        <w:pStyle w:val="Caption"/>
        <w:rPr>
          <w:i/>
        </w:rPr>
      </w:pPr>
      <w:r w:rsidRPr="0074575E">
        <w:t xml:space="preserve">   </w:t>
      </w:r>
    </w:p>
    <w:p w:rsidR="00F76E66" w:rsidRPr="0074575E" w:rsidRDefault="00C8340D">
      <w:pPr>
        <w:pStyle w:val="Caption"/>
      </w:pPr>
      <w:r w:rsidRPr="0074575E">
        <w:t xml:space="preserve"> </w:t>
      </w:r>
      <w:r w:rsidR="00BC33E5" w:rsidRPr="0074575E">
        <w:t xml:space="preserve">Table </w:t>
      </w:r>
      <w:r w:rsidR="00F76E66" w:rsidRPr="0074575E">
        <w:fldChar w:fldCharType="begin"/>
      </w:r>
      <w:r w:rsidR="00A463E3" w:rsidRPr="0074575E">
        <w:instrText xml:space="preserve"> SEQ Table \* ARABIC </w:instrText>
      </w:r>
      <w:r w:rsidR="00F76E66" w:rsidRPr="0074575E">
        <w:fldChar w:fldCharType="separate"/>
      </w:r>
      <w:r w:rsidR="00A463E3" w:rsidRPr="0074575E">
        <w:rPr>
          <w:noProof/>
        </w:rPr>
        <w:t>1</w:t>
      </w:r>
      <w:r w:rsidR="00F76E66" w:rsidRPr="0074575E">
        <w:fldChar w:fldCharType="end"/>
      </w:r>
      <w:r w:rsidR="00BC33E5" w:rsidRPr="0074575E">
        <w:t xml:space="preserve">: Perception of the health care </w:t>
      </w:r>
      <w:r w:rsidR="008E1CEF" w:rsidRPr="0074575E">
        <w:t>staff on</w:t>
      </w:r>
      <w:r w:rsidR="00BC33E5" w:rsidRPr="0074575E">
        <w:t xml:space="preserve"> patients with </w:t>
      </w:r>
      <w:r w:rsidR="00290FE0" w:rsidRPr="0074575E">
        <w:t>physical</w:t>
      </w:r>
      <w:r w:rsidR="00BC33E5" w:rsidRPr="0074575E">
        <w:t xml:space="preserve"> and sensory </w:t>
      </w:r>
      <w:r w:rsidR="009D54C3" w:rsidRPr="0074575E">
        <w:t>disabilities</w:t>
      </w:r>
    </w:p>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3"/>
        <w:gridCol w:w="703"/>
        <w:gridCol w:w="1373"/>
        <w:gridCol w:w="2799"/>
      </w:tblGrid>
      <w:tr w:rsidR="00F01CA6" w:rsidRPr="0074575E" w:rsidTr="00460257">
        <w:trPr>
          <w:trHeight w:val="262"/>
          <w:jc w:val="center"/>
        </w:trPr>
        <w:tc>
          <w:tcPr>
            <w:tcW w:w="3423" w:type="dxa"/>
            <w:shd w:val="clear" w:color="auto" w:fill="auto"/>
            <w:noWrap/>
            <w:hideMark/>
          </w:tcPr>
          <w:p w:rsidR="00F01CA6" w:rsidRPr="0074575E" w:rsidRDefault="00F01CA6" w:rsidP="00223558">
            <w:pPr>
              <w:spacing w:line="480" w:lineRule="auto"/>
            </w:pPr>
          </w:p>
        </w:tc>
        <w:tc>
          <w:tcPr>
            <w:tcW w:w="4875" w:type="dxa"/>
            <w:gridSpan w:val="3"/>
            <w:shd w:val="clear" w:color="auto" w:fill="auto"/>
            <w:noWrap/>
            <w:hideMark/>
          </w:tcPr>
          <w:p w:rsidR="00F01CA6" w:rsidRPr="0074575E" w:rsidRDefault="00F01CA6" w:rsidP="00223558">
            <w:pPr>
              <w:spacing w:line="480" w:lineRule="auto"/>
            </w:pPr>
            <w:r w:rsidRPr="0074575E">
              <w:t xml:space="preserve">% Response rate </w:t>
            </w:r>
          </w:p>
        </w:tc>
      </w:tr>
      <w:tr w:rsidR="00F01CA6" w:rsidRPr="0074575E" w:rsidTr="00460257">
        <w:trPr>
          <w:trHeight w:val="262"/>
          <w:jc w:val="center"/>
        </w:trPr>
        <w:tc>
          <w:tcPr>
            <w:tcW w:w="3423" w:type="dxa"/>
            <w:shd w:val="clear" w:color="auto" w:fill="auto"/>
            <w:noWrap/>
            <w:hideMark/>
          </w:tcPr>
          <w:p w:rsidR="00F01CA6" w:rsidRPr="0074575E" w:rsidRDefault="00F01CA6" w:rsidP="00223558">
            <w:pPr>
              <w:spacing w:line="480" w:lineRule="auto"/>
            </w:pPr>
            <w:r w:rsidRPr="0074575E">
              <w:t>Response</w:t>
            </w:r>
          </w:p>
        </w:tc>
        <w:tc>
          <w:tcPr>
            <w:tcW w:w="703" w:type="dxa"/>
            <w:shd w:val="clear" w:color="auto" w:fill="auto"/>
            <w:noWrap/>
            <w:hideMark/>
          </w:tcPr>
          <w:p w:rsidR="00F01CA6" w:rsidRPr="0074575E" w:rsidRDefault="00F01CA6" w:rsidP="00223558">
            <w:pPr>
              <w:spacing w:line="480" w:lineRule="auto"/>
            </w:pPr>
            <w:r w:rsidRPr="0074575E">
              <w:t xml:space="preserve">Yes  </w:t>
            </w:r>
          </w:p>
        </w:tc>
        <w:tc>
          <w:tcPr>
            <w:tcW w:w="1373" w:type="dxa"/>
            <w:shd w:val="clear" w:color="auto" w:fill="auto"/>
            <w:noWrap/>
            <w:hideMark/>
          </w:tcPr>
          <w:p w:rsidR="00F01CA6" w:rsidRPr="0074575E" w:rsidRDefault="00F01CA6" w:rsidP="00223558">
            <w:pPr>
              <w:spacing w:line="480" w:lineRule="auto"/>
            </w:pPr>
            <w:r w:rsidRPr="0074575E">
              <w:t>No</w:t>
            </w:r>
          </w:p>
        </w:tc>
        <w:tc>
          <w:tcPr>
            <w:tcW w:w="2799" w:type="dxa"/>
            <w:shd w:val="clear" w:color="auto" w:fill="auto"/>
            <w:noWrap/>
            <w:hideMark/>
          </w:tcPr>
          <w:p w:rsidR="00F01CA6" w:rsidRPr="0074575E" w:rsidRDefault="00F01CA6" w:rsidP="00223558">
            <w:pPr>
              <w:spacing w:line="480" w:lineRule="auto"/>
            </w:pPr>
            <w:r w:rsidRPr="0074575E">
              <w:t>Same with normal patients</w:t>
            </w:r>
          </w:p>
        </w:tc>
      </w:tr>
      <w:tr w:rsidR="00F01CA6" w:rsidRPr="0074575E" w:rsidTr="00460257">
        <w:trPr>
          <w:trHeight w:val="262"/>
          <w:jc w:val="center"/>
        </w:trPr>
        <w:tc>
          <w:tcPr>
            <w:tcW w:w="3423" w:type="dxa"/>
            <w:shd w:val="clear" w:color="auto" w:fill="auto"/>
            <w:noWrap/>
            <w:hideMark/>
          </w:tcPr>
          <w:p w:rsidR="00F01CA6" w:rsidRPr="0074575E" w:rsidRDefault="00F01CA6" w:rsidP="00223558">
            <w:pPr>
              <w:spacing w:line="480" w:lineRule="auto"/>
            </w:pPr>
            <w:r w:rsidRPr="0074575E">
              <w:t>Easy to attend to</w:t>
            </w:r>
          </w:p>
        </w:tc>
        <w:tc>
          <w:tcPr>
            <w:tcW w:w="703" w:type="dxa"/>
            <w:shd w:val="clear" w:color="auto" w:fill="auto"/>
            <w:noWrap/>
            <w:hideMark/>
          </w:tcPr>
          <w:p w:rsidR="00F01CA6" w:rsidRPr="0074575E" w:rsidRDefault="00C8340D" w:rsidP="00223558">
            <w:pPr>
              <w:spacing w:line="480" w:lineRule="auto"/>
            </w:pPr>
            <w:r w:rsidRPr="0074575E">
              <w:t>39</w:t>
            </w:r>
          </w:p>
        </w:tc>
        <w:tc>
          <w:tcPr>
            <w:tcW w:w="1373" w:type="dxa"/>
            <w:shd w:val="clear" w:color="auto" w:fill="auto"/>
            <w:noWrap/>
            <w:hideMark/>
          </w:tcPr>
          <w:p w:rsidR="00F01CA6" w:rsidRPr="0074575E" w:rsidRDefault="00C8340D" w:rsidP="00223558">
            <w:pPr>
              <w:spacing w:line="480" w:lineRule="auto"/>
            </w:pPr>
            <w:r w:rsidRPr="0074575E">
              <w:t>57</w:t>
            </w:r>
          </w:p>
        </w:tc>
        <w:tc>
          <w:tcPr>
            <w:tcW w:w="2799" w:type="dxa"/>
            <w:shd w:val="clear" w:color="auto" w:fill="auto"/>
            <w:noWrap/>
            <w:hideMark/>
          </w:tcPr>
          <w:p w:rsidR="00F01CA6" w:rsidRPr="0074575E" w:rsidRDefault="00C8340D" w:rsidP="00223558">
            <w:pPr>
              <w:spacing w:line="480" w:lineRule="auto"/>
            </w:pPr>
            <w:r w:rsidRPr="0074575E">
              <w:t>4</w:t>
            </w:r>
          </w:p>
        </w:tc>
      </w:tr>
      <w:tr w:rsidR="00F01CA6" w:rsidRPr="0074575E" w:rsidTr="00460257">
        <w:trPr>
          <w:trHeight w:val="262"/>
          <w:jc w:val="center"/>
        </w:trPr>
        <w:tc>
          <w:tcPr>
            <w:tcW w:w="3423" w:type="dxa"/>
            <w:shd w:val="clear" w:color="auto" w:fill="auto"/>
            <w:noWrap/>
            <w:hideMark/>
          </w:tcPr>
          <w:p w:rsidR="00F01CA6" w:rsidRPr="0074575E" w:rsidRDefault="00F01CA6" w:rsidP="00223558">
            <w:pPr>
              <w:spacing w:line="480" w:lineRule="auto"/>
            </w:pPr>
            <w:r w:rsidRPr="0074575E">
              <w:t>Do not adhere to instructions</w:t>
            </w:r>
          </w:p>
        </w:tc>
        <w:tc>
          <w:tcPr>
            <w:tcW w:w="703" w:type="dxa"/>
            <w:shd w:val="clear" w:color="auto" w:fill="auto"/>
            <w:noWrap/>
            <w:hideMark/>
          </w:tcPr>
          <w:p w:rsidR="00F01CA6" w:rsidRPr="0074575E" w:rsidRDefault="00C8340D" w:rsidP="00223558">
            <w:pPr>
              <w:spacing w:line="480" w:lineRule="auto"/>
            </w:pPr>
            <w:r w:rsidRPr="0074575E">
              <w:t>51</w:t>
            </w:r>
          </w:p>
        </w:tc>
        <w:tc>
          <w:tcPr>
            <w:tcW w:w="1373" w:type="dxa"/>
            <w:shd w:val="clear" w:color="auto" w:fill="auto"/>
            <w:noWrap/>
            <w:hideMark/>
          </w:tcPr>
          <w:p w:rsidR="00F01CA6" w:rsidRPr="0074575E" w:rsidRDefault="00C8340D" w:rsidP="00223558">
            <w:pPr>
              <w:spacing w:line="480" w:lineRule="auto"/>
            </w:pPr>
            <w:r w:rsidRPr="0074575E">
              <w:t>20</w:t>
            </w:r>
          </w:p>
        </w:tc>
        <w:tc>
          <w:tcPr>
            <w:tcW w:w="2799" w:type="dxa"/>
            <w:shd w:val="clear" w:color="auto" w:fill="auto"/>
            <w:noWrap/>
            <w:hideMark/>
          </w:tcPr>
          <w:p w:rsidR="00F01CA6" w:rsidRPr="0074575E" w:rsidRDefault="00C8340D" w:rsidP="00223558">
            <w:pPr>
              <w:spacing w:line="480" w:lineRule="auto"/>
            </w:pPr>
            <w:r w:rsidRPr="0074575E">
              <w:t>29</w:t>
            </w:r>
          </w:p>
        </w:tc>
      </w:tr>
      <w:tr w:rsidR="00F01CA6" w:rsidRPr="0074575E" w:rsidTr="00460257">
        <w:trPr>
          <w:trHeight w:val="262"/>
          <w:jc w:val="center"/>
        </w:trPr>
        <w:tc>
          <w:tcPr>
            <w:tcW w:w="3423" w:type="dxa"/>
            <w:shd w:val="clear" w:color="auto" w:fill="auto"/>
            <w:noWrap/>
            <w:hideMark/>
          </w:tcPr>
          <w:p w:rsidR="00F01CA6" w:rsidRPr="0074575E" w:rsidRDefault="00F01CA6" w:rsidP="00223558">
            <w:pPr>
              <w:spacing w:line="480" w:lineRule="auto"/>
            </w:pPr>
            <w:r w:rsidRPr="0074575E">
              <w:t>Hard to communicate with</w:t>
            </w:r>
          </w:p>
        </w:tc>
        <w:tc>
          <w:tcPr>
            <w:tcW w:w="703" w:type="dxa"/>
            <w:shd w:val="clear" w:color="auto" w:fill="auto"/>
            <w:noWrap/>
            <w:hideMark/>
          </w:tcPr>
          <w:p w:rsidR="00F01CA6" w:rsidRPr="0074575E" w:rsidRDefault="00C8340D" w:rsidP="00223558">
            <w:pPr>
              <w:spacing w:line="480" w:lineRule="auto"/>
            </w:pPr>
            <w:r w:rsidRPr="0074575E">
              <w:t>65</w:t>
            </w:r>
          </w:p>
        </w:tc>
        <w:tc>
          <w:tcPr>
            <w:tcW w:w="1373" w:type="dxa"/>
            <w:shd w:val="clear" w:color="auto" w:fill="auto"/>
            <w:noWrap/>
            <w:hideMark/>
          </w:tcPr>
          <w:p w:rsidR="00F01CA6" w:rsidRPr="0074575E" w:rsidRDefault="00C8340D" w:rsidP="00223558">
            <w:pPr>
              <w:spacing w:line="480" w:lineRule="auto"/>
            </w:pPr>
            <w:r w:rsidRPr="0074575E">
              <w:t>12</w:t>
            </w:r>
          </w:p>
        </w:tc>
        <w:tc>
          <w:tcPr>
            <w:tcW w:w="2799" w:type="dxa"/>
            <w:shd w:val="clear" w:color="auto" w:fill="auto"/>
            <w:noWrap/>
            <w:hideMark/>
          </w:tcPr>
          <w:p w:rsidR="00F01CA6" w:rsidRPr="0074575E" w:rsidRDefault="00C8340D" w:rsidP="00223558">
            <w:pPr>
              <w:spacing w:line="480" w:lineRule="auto"/>
            </w:pPr>
            <w:r w:rsidRPr="0074575E">
              <w:t>23</w:t>
            </w:r>
          </w:p>
        </w:tc>
      </w:tr>
      <w:tr w:rsidR="00F01CA6" w:rsidRPr="0074575E" w:rsidTr="00460257">
        <w:trPr>
          <w:trHeight w:val="262"/>
          <w:jc w:val="center"/>
        </w:trPr>
        <w:tc>
          <w:tcPr>
            <w:tcW w:w="3423" w:type="dxa"/>
            <w:shd w:val="clear" w:color="auto" w:fill="auto"/>
            <w:noWrap/>
            <w:hideMark/>
          </w:tcPr>
          <w:p w:rsidR="00F01CA6" w:rsidRPr="0074575E" w:rsidRDefault="00F01CA6" w:rsidP="00223558">
            <w:pPr>
              <w:spacing w:line="480" w:lineRule="auto"/>
            </w:pPr>
            <w:r w:rsidRPr="0074575E">
              <w:t>Give more time and attention</w:t>
            </w:r>
          </w:p>
        </w:tc>
        <w:tc>
          <w:tcPr>
            <w:tcW w:w="703" w:type="dxa"/>
            <w:shd w:val="clear" w:color="auto" w:fill="auto"/>
            <w:noWrap/>
            <w:hideMark/>
          </w:tcPr>
          <w:p w:rsidR="00F01CA6" w:rsidRPr="0074575E" w:rsidRDefault="00F01CA6" w:rsidP="00223558">
            <w:pPr>
              <w:spacing w:line="480" w:lineRule="auto"/>
            </w:pPr>
            <w:r w:rsidRPr="0074575E">
              <w:t>46</w:t>
            </w:r>
          </w:p>
        </w:tc>
        <w:tc>
          <w:tcPr>
            <w:tcW w:w="1373" w:type="dxa"/>
            <w:shd w:val="clear" w:color="auto" w:fill="auto"/>
            <w:noWrap/>
            <w:hideMark/>
          </w:tcPr>
          <w:p w:rsidR="00F01CA6" w:rsidRPr="0074575E" w:rsidRDefault="00C8340D" w:rsidP="00223558">
            <w:pPr>
              <w:spacing w:line="480" w:lineRule="auto"/>
            </w:pPr>
            <w:r w:rsidRPr="0074575E">
              <w:t>3</w:t>
            </w:r>
          </w:p>
        </w:tc>
        <w:tc>
          <w:tcPr>
            <w:tcW w:w="2799" w:type="dxa"/>
            <w:shd w:val="clear" w:color="auto" w:fill="auto"/>
            <w:noWrap/>
            <w:hideMark/>
          </w:tcPr>
          <w:p w:rsidR="00F01CA6" w:rsidRPr="0074575E" w:rsidRDefault="00C8340D" w:rsidP="00223558">
            <w:pPr>
              <w:spacing w:line="480" w:lineRule="auto"/>
            </w:pPr>
            <w:r w:rsidRPr="0074575E">
              <w:t>51</w:t>
            </w:r>
          </w:p>
        </w:tc>
      </w:tr>
      <w:tr w:rsidR="00F01CA6" w:rsidRPr="0074575E" w:rsidTr="00460257">
        <w:trPr>
          <w:trHeight w:val="262"/>
          <w:jc w:val="center"/>
        </w:trPr>
        <w:tc>
          <w:tcPr>
            <w:tcW w:w="3423" w:type="dxa"/>
            <w:shd w:val="clear" w:color="auto" w:fill="auto"/>
            <w:noWrap/>
            <w:hideMark/>
          </w:tcPr>
          <w:p w:rsidR="00F01CA6" w:rsidRPr="0074575E" w:rsidRDefault="00F01CA6" w:rsidP="00223558">
            <w:pPr>
              <w:spacing w:line="480" w:lineRule="auto"/>
            </w:pPr>
            <w:r w:rsidRPr="0074575E">
              <w:lastRenderedPageBreak/>
              <w:t>Complicate their work</w:t>
            </w:r>
          </w:p>
        </w:tc>
        <w:tc>
          <w:tcPr>
            <w:tcW w:w="703" w:type="dxa"/>
            <w:shd w:val="clear" w:color="auto" w:fill="auto"/>
            <w:noWrap/>
            <w:hideMark/>
          </w:tcPr>
          <w:p w:rsidR="00F01CA6" w:rsidRPr="0074575E" w:rsidRDefault="00C8340D" w:rsidP="00223558">
            <w:pPr>
              <w:spacing w:line="480" w:lineRule="auto"/>
            </w:pPr>
            <w:r w:rsidRPr="0074575E">
              <w:t>63</w:t>
            </w:r>
          </w:p>
        </w:tc>
        <w:tc>
          <w:tcPr>
            <w:tcW w:w="1373" w:type="dxa"/>
            <w:shd w:val="clear" w:color="auto" w:fill="auto"/>
            <w:noWrap/>
            <w:hideMark/>
          </w:tcPr>
          <w:p w:rsidR="00F01CA6" w:rsidRPr="0074575E" w:rsidRDefault="00C8340D" w:rsidP="00223558">
            <w:pPr>
              <w:spacing w:line="480" w:lineRule="auto"/>
            </w:pPr>
            <w:r w:rsidRPr="0074575E">
              <w:t>10</w:t>
            </w:r>
          </w:p>
        </w:tc>
        <w:tc>
          <w:tcPr>
            <w:tcW w:w="2799" w:type="dxa"/>
            <w:shd w:val="clear" w:color="auto" w:fill="auto"/>
            <w:noWrap/>
            <w:hideMark/>
          </w:tcPr>
          <w:p w:rsidR="00F01CA6" w:rsidRPr="0074575E" w:rsidRDefault="00C8340D" w:rsidP="00223558">
            <w:pPr>
              <w:spacing w:line="480" w:lineRule="auto"/>
            </w:pPr>
            <w:r w:rsidRPr="0074575E">
              <w:t>27</w:t>
            </w:r>
          </w:p>
        </w:tc>
      </w:tr>
    </w:tbl>
    <w:p w:rsidR="00D02E00" w:rsidRPr="0074575E" w:rsidRDefault="00D02E00" w:rsidP="00223558">
      <w:pPr>
        <w:spacing w:line="480" w:lineRule="auto"/>
      </w:pPr>
    </w:p>
    <w:p w:rsidR="00F76E66" w:rsidRPr="0074575E" w:rsidRDefault="00290FE0">
      <w:pPr>
        <w:pStyle w:val="Caption"/>
      </w:pPr>
      <w:r w:rsidRPr="0074575E">
        <w:t xml:space="preserve">Table </w:t>
      </w:r>
      <w:r w:rsidR="00F76E66" w:rsidRPr="0074575E">
        <w:fldChar w:fldCharType="begin"/>
      </w:r>
      <w:r w:rsidR="00A463E3" w:rsidRPr="0074575E">
        <w:instrText xml:space="preserve"> SEQ Table \* ARABIC </w:instrText>
      </w:r>
      <w:r w:rsidR="00F76E66" w:rsidRPr="0074575E">
        <w:fldChar w:fldCharType="separate"/>
      </w:r>
      <w:r w:rsidR="00A463E3" w:rsidRPr="0074575E">
        <w:rPr>
          <w:noProof/>
        </w:rPr>
        <w:t>2</w:t>
      </w:r>
      <w:r w:rsidR="00F76E66" w:rsidRPr="0074575E">
        <w:fldChar w:fldCharType="end"/>
      </w:r>
      <w:r w:rsidRPr="0074575E">
        <w:t>:</w:t>
      </w:r>
      <w:r w:rsidR="00674C5F" w:rsidRPr="0074575E">
        <w:t xml:space="preserve"> Facilities and staff suitability to handle the needs of patients with physical and sensory </w:t>
      </w:r>
      <w:r w:rsidR="009D54C3" w:rsidRPr="0074575E">
        <w:t>disabilities</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2053"/>
        <w:gridCol w:w="1908"/>
        <w:gridCol w:w="1171"/>
      </w:tblGrid>
      <w:tr w:rsidR="00D02E00" w:rsidRPr="0074575E" w:rsidTr="00460257">
        <w:trPr>
          <w:trHeight w:val="301"/>
        </w:trPr>
        <w:tc>
          <w:tcPr>
            <w:tcW w:w="9666" w:type="dxa"/>
            <w:gridSpan w:val="4"/>
            <w:shd w:val="clear" w:color="auto" w:fill="auto"/>
            <w:noWrap/>
            <w:hideMark/>
          </w:tcPr>
          <w:p w:rsidR="00D02E00" w:rsidRPr="0074575E" w:rsidRDefault="00D02E00" w:rsidP="00223558">
            <w:pPr>
              <w:spacing w:line="480" w:lineRule="auto"/>
              <w:jc w:val="center"/>
            </w:pPr>
            <w:r w:rsidRPr="0074575E">
              <w:t xml:space="preserve">Facilities </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p>
        </w:tc>
        <w:tc>
          <w:tcPr>
            <w:tcW w:w="2053" w:type="dxa"/>
            <w:shd w:val="clear" w:color="auto" w:fill="auto"/>
            <w:noWrap/>
            <w:hideMark/>
          </w:tcPr>
          <w:p w:rsidR="00D02E00" w:rsidRPr="0074575E" w:rsidRDefault="00D02E00" w:rsidP="00223558">
            <w:pPr>
              <w:spacing w:line="480" w:lineRule="auto"/>
              <w:jc w:val="center"/>
            </w:pPr>
            <w:r w:rsidRPr="0074575E">
              <w:t>Average number per hospital</w:t>
            </w:r>
          </w:p>
        </w:tc>
        <w:tc>
          <w:tcPr>
            <w:tcW w:w="1908" w:type="dxa"/>
            <w:shd w:val="clear" w:color="auto" w:fill="auto"/>
            <w:noWrap/>
            <w:hideMark/>
          </w:tcPr>
          <w:p w:rsidR="00D02E00" w:rsidRPr="0074575E" w:rsidRDefault="00D02E00" w:rsidP="00223558">
            <w:pPr>
              <w:spacing w:line="480" w:lineRule="auto"/>
              <w:jc w:val="center"/>
            </w:pPr>
            <w:r w:rsidRPr="0074575E">
              <w:t xml:space="preserve">Average number required </w:t>
            </w:r>
          </w:p>
        </w:tc>
        <w:tc>
          <w:tcPr>
            <w:tcW w:w="1171" w:type="dxa"/>
            <w:shd w:val="clear" w:color="auto" w:fill="auto"/>
            <w:noWrap/>
            <w:hideMark/>
          </w:tcPr>
          <w:p w:rsidR="00D02E00" w:rsidRPr="0074575E" w:rsidRDefault="00D02E00" w:rsidP="00223558">
            <w:pPr>
              <w:spacing w:line="480" w:lineRule="auto"/>
              <w:jc w:val="center"/>
            </w:pPr>
            <w:r w:rsidRPr="0074575E">
              <w:t>% Deficit</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r w:rsidRPr="0074575E">
              <w:t xml:space="preserve">Wheelchairs </w:t>
            </w:r>
          </w:p>
        </w:tc>
        <w:tc>
          <w:tcPr>
            <w:tcW w:w="2053" w:type="dxa"/>
            <w:shd w:val="clear" w:color="auto" w:fill="auto"/>
            <w:noWrap/>
            <w:hideMark/>
          </w:tcPr>
          <w:p w:rsidR="00D02E00" w:rsidRPr="0074575E" w:rsidRDefault="00D02E00" w:rsidP="00223558">
            <w:pPr>
              <w:spacing w:line="480" w:lineRule="auto"/>
              <w:jc w:val="center"/>
            </w:pPr>
            <w:r w:rsidRPr="0074575E">
              <w:t>25</w:t>
            </w:r>
          </w:p>
        </w:tc>
        <w:tc>
          <w:tcPr>
            <w:tcW w:w="1908" w:type="dxa"/>
            <w:shd w:val="clear" w:color="auto" w:fill="auto"/>
            <w:noWrap/>
            <w:hideMark/>
          </w:tcPr>
          <w:p w:rsidR="00D02E00" w:rsidRPr="0074575E" w:rsidRDefault="00D02E00" w:rsidP="00223558">
            <w:pPr>
              <w:spacing w:line="480" w:lineRule="auto"/>
              <w:jc w:val="center"/>
            </w:pPr>
            <w:r w:rsidRPr="0074575E">
              <w:t>75</w:t>
            </w:r>
          </w:p>
        </w:tc>
        <w:tc>
          <w:tcPr>
            <w:tcW w:w="1171" w:type="dxa"/>
            <w:shd w:val="clear" w:color="auto" w:fill="auto"/>
            <w:noWrap/>
            <w:hideMark/>
          </w:tcPr>
          <w:p w:rsidR="00D02E00" w:rsidRPr="0074575E" w:rsidRDefault="00D02E00" w:rsidP="00223558">
            <w:pPr>
              <w:spacing w:line="480" w:lineRule="auto"/>
              <w:jc w:val="center"/>
            </w:pPr>
            <w:r w:rsidRPr="0074575E">
              <w:t>66.67</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r w:rsidRPr="0074575E">
              <w:t>Accessible toilets</w:t>
            </w:r>
          </w:p>
        </w:tc>
        <w:tc>
          <w:tcPr>
            <w:tcW w:w="2053" w:type="dxa"/>
            <w:shd w:val="clear" w:color="auto" w:fill="auto"/>
            <w:noWrap/>
            <w:hideMark/>
          </w:tcPr>
          <w:p w:rsidR="00D02E00" w:rsidRPr="0074575E" w:rsidRDefault="00D02E00" w:rsidP="00223558">
            <w:pPr>
              <w:spacing w:line="480" w:lineRule="auto"/>
              <w:jc w:val="center"/>
            </w:pPr>
            <w:r w:rsidRPr="0074575E">
              <w:t>10</w:t>
            </w:r>
          </w:p>
        </w:tc>
        <w:tc>
          <w:tcPr>
            <w:tcW w:w="1908" w:type="dxa"/>
            <w:shd w:val="clear" w:color="auto" w:fill="auto"/>
            <w:noWrap/>
            <w:hideMark/>
          </w:tcPr>
          <w:p w:rsidR="00D02E00" w:rsidRPr="0074575E" w:rsidRDefault="00D02E00" w:rsidP="00223558">
            <w:pPr>
              <w:spacing w:line="480" w:lineRule="auto"/>
              <w:jc w:val="center"/>
            </w:pPr>
            <w:r w:rsidRPr="0074575E">
              <w:t>15</w:t>
            </w:r>
          </w:p>
        </w:tc>
        <w:tc>
          <w:tcPr>
            <w:tcW w:w="1171" w:type="dxa"/>
            <w:shd w:val="clear" w:color="auto" w:fill="auto"/>
            <w:noWrap/>
            <w:hideMark/>
          </w:tcPr>
          <w:p w:rsidR="00D02E00" w:rsidRPr="0074575E" w:rsidRDefault="00D02E00" w:rsidP="00223558">
            <w:pPr>
              <w:spacing w:line="480" w:lineRule="auto"/>
              <w:jc w:val="center"/>
            </w:pPr>
            <w:r w:rsidRPr="0074575E">
              <w:t>33.33</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r w:rsidRPr="0074575E">
              <w:t>Specialist beds</w:t>
            </w:r>
          </w:p>
        </w:tc>
        <w:tc>
          <w:tcPr>
            <w:tcW w:w="2053" w:type="dxa"/>
            <w:shd w:val="clear" w:color="auto" w:fill="auto"/>
            <w:noWrap/>
            <w:hideMark/>
          </w:tcPr>
          <w:p w:rsidR="00D02E00" w:rsidRPr="0074575E" w:rsidRDefault="00D02E00" w:rsidP="00223558">
            <w:pPr>
              <w:spacing w:line="480" w:lineRule="auto"/>
              <w:jc w:val="center"/>
            </w:pPr>
            <w:r w:rsidRPr="0074575E">
              <w:t>33</w:t>
            </w:r>
          </w:p>
        </w:tc>
        <w:tc>
          <w:tcPr>
            <w:tcW w:w="1908" w:type="dxa"/>
            <w:shd w:val="clear" w:color="auto" w:fill="auto"/>
            <w:noWrap/>
            <w:hideMark/>
          </w:tcPr>
          <w:p w:rsidR="00D02E00" w:rsidRPr="0074575E" w:rsidRDefault="00D02E00" w:rsidP="00223558">
            <w:pPr>
              <w:spacing w:line="480" w:lineRule="auto"/>
              <w:jc w:val="center"/>
            </w:pPr>
            <w:r w:rsidRPr="0074575E">
              <w:t>89</w:t>
            </w:r>
          </w:p>
        </w:tc>
        <w:tc>
          <w:tcPr>
            <w:tcW w:w="1171" w:type="dxa"/>
            <w:shd w:val="clear" w:color="auto" w:fill="auto"/>
            <w:noWrap/>
            <w:hideMark/>
          </w:tcPr>
          <w:p w:rsidR="00D02E00" w:rsidRPr="0074575E" w:rsidRDefault="00D02E00" w:rsidP="00223558">
            <w:pPr>
              <w:spacing w:line="480" w:lineRule="auto"/>
              <w:jc w:val="center"/>
            </w:pPr>
            <w:r w:rsidRPr="0074575E">
              <w:t>62.92</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r w:rsidRPr="0074575E">
              <w:t>Voice announcements tools</w:t>
            </w:r>
          </w:p>
        </w:tc>
        <w:tc>
          <w:tcPr>
            <w:tcW w:w="2053" w:type="dxa"/>
            <w:shd w:val="clear" w:color="auto" w:fill="auto"/>
            <w:noWrap/>
            <w:hideMark/>
          </w:tcPr>
          <w:p w:rsidR="00D02E00" w:rsidRPr="0074575E" w:rsidRDefault="00D02E00" w:rsidP="00223558">
            <w:pPr>
              <w:spacing w:line="480" w:lineRule="auto"/>
              <w:jc w:val="center"/>
            </w:pPr>
            <w:r w:rsidRPr="0074575E">
              <w:t>6</w:t>
            </w:r>
          </w:p>
        </w:tc>
        <w:tc>
          <w:tcPr>
            <w:tcW w:w="1908" w:type="dxa"/>
            <w:shd w:val="clear" w:color="auto" w:fill="auto"/>
            <w:noWrap/>
            <w:hideMark/>
          </w:tcPr>
          <w:p w:rsidR="00D02E00" w:rsidRPr="0074575E" w:rsidRDefault="00D02E00" w:rsidP="00223558">
            <w:pPr>
              <w:spacing w:line="480" w:lineRule="auto"/>
              <w:jc w:val="center"/>
            </w:pPr>
            <w:r w:rsidRPr="0074575E">
              <w:t>10</w:t>
            </w:r>
          </w:p>
        </w:tc>
        <w:tc>
          <w:tcPr>
            <w:tcW w:w="1171" w:type="dxa"/>
            <w:shd w:val="clear" w:color="auto" w:fill="auto"/>
            <w:noWrap/>
            <w:hideMark/>
          </w:tcPr>
          <w:p w:rsidR="00D02E00" w:rsidRPr="0074575E" w:rsidRDefault="00D02E00" w:rsidP="00223558">
            <w:pPr>
              <w:spacing w:line="480" w:lineRule="auto"/>
              <w:jc w:val="center"/>
            </w:pPr>
            <w:r w:rsidRPr="0074575E">
              <w:t>40.00</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r w:rsidRPr="0074575E">
              <w:t xml:space="preserve">Information sharing in </w:t>
            </w:r>
            <w:r w:rsidR="00101484" w:rsidRPr="0074575E">
              <w:t>Braille</w:t>
            </w:r>
          </w:p>
        </w:tc>
        <w:tc>
          <w:tcPr>
            <w:tcW w:w="2053" w:type="dxa"/>
            <w:shd w:val="clear" w:color="auto" w:fill="auto"/>
            <w:noWrap/>
            <w:hideMark/>
          </w:tcPr>
          <w:p w:rsidR="00D02E00" w:rsidRPr="0074575E" w:rsidRDefault="00D02E00" w:rsidP="00223558">
            <w:pPr>
              <w:spacing w:line="480" w:lineRule="auto"/>
              <w:jc w:val="center"/>
            </w:pPr>
            <w:r w:rsidRPr="0074575E">
              <w:t>2</w:t>
            </w:r>
          </w:p>
        </w:tc>
        <w:tc>
          <w:tcPr>
            <w:tcW w:w="1908" w:type="dxa"/>
            <w:shd w:val="clear" w:color="auto" w:fill="auto"/>
            <w:noWrap/>
            <w:hideMark/>
          </w:tcPr>
          <w:p w:rsidR="00D02E00" w:rsidRPr="0074575E" w:rsidRDefault="00D02E00" w:rsidP="00223558">
            <w:pPr>
              <w:spacing w:line="480" w:lineRule="auto"/>
              <w:jc w:val="center"/>
            </w:pPr>
            <w:r w:rsidRPr="0074575E">
              <w:t>7</w:t>
            </w:r>
          </w:p>
        </w:tc>
        <w:tc>
          <w:tcPr>
            <w:tcW w:w="1171" w:type="dxa"/>
            <w:shd w:val="clear" w:color="auto" w:fill="auto"/>
            <w:noWrap/>
            <w:hideMark/>
          </w:tcPr>
          <w:p w:rsidR="00D02E00" w:rsidRPr="0074575E" w:rsidRDefault="00D02E00" w:rsidP="00223558">
            <w:pPr>
              <w:spacing w:line="480" w:lineRule="auto"/>
              <w:jc w:val="center"/>
            </w:pPr>
            <w:r w:rsidRPr="0074575E">
              <w:t>71.43</w:t>
            </w:r>
          </w:p>
        </w:tc>
      </w:tr>
      <w:tr w:rsidR="00D02E00" w:rsidRPr="0074575E" w:rsidTr="00460257">
        <w:trPr>
          <w:trHeight w:val="301"/>
        </w:trPr>
        <w:tc>
          <w:tcPr>
            <w:tcW w:w="9666" w:type="dxa"/>
            <w:gridSpan w:val="4"/>
            <w:shd w:val="clear" w:color="auto" w:fill="auto"/>
            <w:noWrap/>
            <w:hideMark/>
          </w:tcPr>
          <w:p w:rsidR="00D02E00" w:rsidRPr="0074575E" w:rsidRDefault="00D02E00" w:rsidP="00223558">
            <w:pPr>
              <w:spacing w:line="480" w:lineRule="auto"/>
              <w:jc w:val="center"/>
            </w:pPr>
            <w:r w:rsidRPr="0074575E">
              <w:t>Staff</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p>
        </w:tc>
        <w:tc>
          <w:tcPr>
            <w:tcW w:w="2053" w:type="dxa"/>
            <w:shd w:val="clear" w:color="auto" w:fill="auto"/>
            <w:noWrap/>
            <w:hideMark/>
          </w:tcPr>
          <w:p w:rsidR="00D02E00" w:rsidRPr="0074575E" w:rsidRDefault="00D02E00" w:rsidP="00223558">
            <w:pPr>
              <w:spacing w:line="480" w:lineRule="auto"/>
              <w:jc w:val="center"/>
            </w:pPr>
            <w:r w:rsidRPr="0074575E">
              <w:t xml:space="preserve">Number </w:t>
            </w:r>
          </w:p>
        </w:tc>
        <w:tc>
          <w:tcPr>
            <w:tcW w:w="1908" w:type="dxa"/>
            <w:shd w:val="clear" w:color="auto" w:fill="auto"/>
            <w:noWrap/>
            <w:hideMark/>
          </w:tcPr>
          <w:p w:rsidR="00D02E00" w:rsidRPr="0074575E" w:rsidRDefault="00D02E00" w:rsidP="00223558">
            <w:pPr>
              <w:spacing w:line="480" w:lineRule="auto"/>
              <w:jc w:val="center"/>
            </w:pPr>
            <w:r w:rsidRPr="0074575E">
              <w:t>Ratio of the staff to patient</w:t>
            </w:r>
          </w:p>
        </w:tc>
        <w:tc>
          <w:tcPr>
            <w:tcW w:w="1171" w:type="dxa"/>
            <w:shd w:val="clear" w:color="auto" w:fill="auto"/>
            <w:noWrap/>
            <w:hideMark/>
          </w:tcPr>
          <w:p w:rsidR="00D02E00" w:rsidRPr="0074575E" w:rsidRDefault="00D02E00" w:rsidP="00223558">
            <w:pPr>
              <w:spacing w:line="480" w:lineRule="auto"/>
              <w:jc w:val="center"/>
            </w:pPr>
            <w:r w:rsidRPr="0074575E">
              <w:t>% Deficit</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r w:rsidRPr="0074575E">
              <w:t>Sign language interpreters</w:t>
            </w:r>
          </w:p>
        </w:tc>
        <w:tc>
          <w:tcPr>
            <w:tcW w:w="2053" w:type="dxa"/>
            <w:shd w:val="clear" w:color="auto" w:fill="auto"/>
            <w:noWrap/>
            <w:hideMark/>
          </w:tcPr>
          <w:p w:rsidR="00D02E00" w:rsidRPr="0074575E" w:rsidRDefault="00D02E00" w:rsidP="00223558">
            <w:pPr>
              <w:spacing w:line="480" w:lineRule="auto"/>
              <w:jc w:val="center"/>
            </w:pPr>
            <w:r w:rsidRPr="0074575E">
              <w:t>7</w:t>
            </w:r>
          </w:p>
        </w:tc>
        <w:tc>
          <w:tcPr>
            <w:tcW w:w="1908" w:type="dxa"/>
            <w:shd w:val="clear" w:color="auto" w:fill="auto"/>
            <w:noWrap/>
            <w:hideMark/>
          </w:tcPr>
          <w:p w:rsidR="00D02E00" w:rsidRPr="0074575E" w:rsidRDefault="00D02E00" w:rsidP="00223558">
            <w:pPr>
              <w:spacing w:line="480" w:lineRule="auto"/>
              <w:jc w:val="center"/>
            </w:pPr>
            <w:r w:rsidRPr="0074575E">
              <w:t>30</w:t>
            </w:r>
          </w:p>
        </w:tc>
        <w:tc>
          <w:tcPr>
            <w:tcW w:w="1171" w:type="dxa"/>
            <w:shd w:val="clear" w:color="auto" w:fill="auto"/>
            <w:noWrap/>
            <w:hideMark/>
          </w:tcPr>
          <w:p w:rsidR="00D02E00" w:rsidRPr="0074575E" w:rsidRDefault="00D02E00" w:rsidP="00223558">
            <w:pPr>
              <w:spacing w:line="480" w:lineRule="auto"/>
              <w:jc w:val="center"/>
            </w:pPr>
            <w:r w:rsidRPr="0074575E">
              <w:t>76.67</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r w:rsidRPr="0074575E">
              <w:t xml:space="preserve">Staff with knowledge of </w:t>
            </w:r>
            <w:r w:rsidR="00101484" w:rsidRPr="0074575E">
              <w:t>Braille</w:t>
            </w:r>
            <w:r w:rsidRPr="0074575E">
              <w:t xml:space="preserve"> information </w:t>
            </w:r>
          </w:p>
        </w:tc>
        <w:tc>
          <w:tcPr>
            <w:tcW w:w="2053" w:type="dxa"/>
            <w:shd w:val="clear" w:color="auto" w:fill="auto"/>
            <w:noWrap/>
            <w:hideMark/>
          </w:tcPr>
          <w:p w:rsidR="00D02E00" w:rsidRPr="0074575E" w:rsidRDefault="00D02E00" w:rsidP="00223558">
            <w:pPr>
              <w:spacing w:line="480" w:lineRule="auto"/>
              <w:jc w:val="center"/>
            </w:pPr>
            <w:r w:rsidRPr="0074575E">
              <w:t>4</w:t>
            </w:r>
          </w:p>
        </w:tc>
        <w:tc>
          <w:tcPr>
            <w:tcW w:w="1908" w:type="dxa"/>
            <w:shd w:val="clear" w:color="auto" w:fill="auto"/>
            <w:noWrap/>
            <w:hideMark/>
          </w:tcPr>
          <w:p w:rsidR="00D02E00" w:rsidRPr="0074575E" w:rsidRDefault="00D02E00" w:rsidP="00223558">
            <w:pPr>
              <w:spacing w:line="480" w:lineRule="auto"/>
              <w:jc w:val="center"/>
            </w:pPr>
            <w:r w:rsidRPr="0074575E">
              <w:t>25</w:t>
            </w:r>
          </w:p>
        </w:tc>
        <w:tc>
          <w:tcPr>
            <w:tcW w:w="1171" w:type="dxa"/>
            <w:shd w:val="clear" w:color="auto" w:fill="auto"/>
            <w:noWrap/>
            <w:hideMark/>
          </w:tcPr>
          <w:p w:rsidR="00D02E00" w:rsidRPr="0074575E" w:rsidRDefault="00D02E00" w:rsidP="00223558">
            <w:pPr>
              <w:spacing w:line="480" w:lineRule="auto"/>
              <w:jc w:val="center"/>
            </w:pPr>
            <w:r w:rsidRPr="0074575E">
              <w:t>84.00</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r w:rsidRPr="0074575E">
              <w:t>Hospital volunteer to escort patients with sensory impairment</w:t>
            </w:r>
          </w:p>
        </w:tc>
        <w:tc>
          <w:tcPr>
            <w:tcW w:w="2053" w:type="dxa"/>
            <w:shd w:val="clear" w:color="auto" w:fill="auto"/>
            <w:noWrap/>
            <w:hideMark/>
          </w:tcPr>
          <w:p w:rsidR="00D02E00" w:rsidRPr="0074575E" w:rsidRDefault="00D02E00" w:rsidP="00223558">
            <w:pPr>
              <w:spacing w:line="480" w:lineRule="auto"/>
              <w:jc w:val="center"/>
            </w:pPr>
            <w:r w:rsidRPr="0074575E">
              <w:t>28</w:t>
            </w:r>
          </w:p>
        </w:tc>
        <w:tc>
          <w:tcPr>
            <w:tcW w:w="1908" w:type="dxa"/>
            <w:shd w:val="clear" w:color="auto" w:fill="auto"/>
            <w:noWrap/>
            <w:hideMark/>
          </w:tcPr>
          <w:p w:rsidR="00D02E00" w:rsidRPr="0074575E" w:rsidRDefault="00D02E00" w:rsidP="00223558">
            <w:pPr>
              <w:spacing w:line="480" w:lineRule="auto"/>
              <w:jc w:val="center"/>
            </w:pPr>
            <w:r w:rsidRPr="0074575E">
              <w:t>49</w:t>
            </w:r>
          </w:p>
        </w:tc>
        <w:tc>
          <w:tcPr>
            <w:tcW w:w="1171" w:type="dxa"/>
            <w:shd w:val="clear" w:color="auto" w:fill="auto"/>
            <w:noWrap/>
            <w:hideMark/>
          </w:tcPr>
          <w:p w:rsidR="00D02E00" w:rsidRPr="0074575E" w:rsidRDefault="00D02E00" w:rsidP="00223558">
            <w:pPr>
              <w:spacing w:line="480" w:lineRule="auto"/>
              <w:jc w:val="center"/>
            </w:pPr>
            <w:r w:rsidRPr="0074575E">
              <w:t>42.86</w:t>
            </w:r>
          </w:p>
        </w:tc>
      </w:tr>
      <w:tr w:rsidR="00D02E00" w:rsidRPr="0074575E" w:rsidTr="00460257">
        <w:trPr>
          <w:trHeight w:val="301"/>
        </w:trPr>
        <w:tc>
          <w:tcPr>
            <w:tcW w:w="9666" w:type="dxa"/>
            <w:gridSpan w:val="4"/>
            <w:shd w:val="clear" w:color="auto" w:fill="auto"/>
            <w:noWrap/>
            <w:hideMark/>
          </w:tcPr>
          <w:p w:rsidR="00D02E00" w:rsidRPr="0074575E" w:rsidRDefault="00D02E00" w:rsidP="00223558">
            <w:pPr>
              <w:spacing w:line="480" w:lineRule="auto"/>
              <w:jc w:val="center"/>
            </w:pPr>
            <w:r w:rsidRPr="0074575E">
              <w:t xml:space="preserve">Budgetary Allocation </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p>
        </w:tc>
        <w:tc>
          <w:tcPr>
            <w:tcW w:w="2053" w:type="dxa"/>
            <w:shd w:val="clear" w:color="auto" w:fill="auto"/>
            <w:noWrap/>
            <w:hideMark/>
          </w:tcPr>
          <w:p w:rsidR="00D02E00" w:rsidRPr="0074575E" w:rsidRDefault="00D02E00" w:rsidP="00223558">
            <w:pPr>
              <w:spacing w:line="480" w:lineRule="auto"/>
              <w:jc w:val="center"/>
            </w:pPr>
            <w:r w:rsidRPr="0074575E">
              <w:t xml:space="preserve">Average required </w:t>
            </w:r>
            <w:r w:rsidRPr="0074575E">
              <w:lastRenderedPageBreak/>
              <w:t>amount</w:t>
            </w:r>
          </w:p>
        </w:tc>
        <w:tc>
          <w:tcPr>
            <w:tcW w:w="1908" w:type="dxa"/>
            <w:shd w:val="clear" w:color="auto" w:fill="auto"/>
            <w:noWrap/>
            <w:hideMark/>
          </w:tcPr>
          <w:p w:rsidR="00D02E00" w:rsidRPr="0074575E" w:rsidRDefault="00D02E00" w:rsidP="00223558">
            <w:pPr>
              <w:spacing w:line="480" w:lineRule="auto"/>
              <w:jc w:val="center"/>
            </w:pPr>
            <w:r w:rsidRPr="0074575E">
              <w:lastRenderedPageBreak/>
              <w:t xml:space="preserve">Average amount </w:t>
            </w:r>
            <w:r w:rsidRPr="0074575E">
              <w:lastRenderedPageBreak/>
              <w:t>allocated</w:t>
            </w:r>
          </w:p>
        </w:tc>
        <w:tc>
          <w:tcPr>
            <w:tcW w:w="1171" w:type="dxa"/>
            <w:shd w:val="clear" w:color="auto" w:fill="auto"/>
            <w:noWrap/>
            <w:hideMark/>
          </w:tcPr>
          <w:p w:rsidR="00D02E00" w:rsidRPr="0074575E" w:rsidRDefault="00D02E00" w:rsidP="00223558">
            <w:pPr>
              <w:spacing w:line="480" w:lineRule="auto"/>
              <w:jc w:val="center"/>
            </w:pPr>
            <w:r w:rsidRPr="0074575E">
              <w:lastRenderedPageBreak/>
              <w:t>% Deficit</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r w:rsidRPr="0074575E">
              <w:lastRenderedPageBreak/>
              <w:t xml:space="preserve">Purchase of facilities for patients with disabilities </w:t>
            </w:r>
          </w:p>
        </w:tc>
        <w:tc>
          <w:tcPr>
            <w:tcW w:w="2053" w:type="dxa"/>
            <w:shd w:val="clear" w:color="auto" w:fill="auto"/>
            <w:noWrap/>
            <w:hideMark/>
          </w:tcPr>
          <w:p w:rsidR="00D02E00" w:rsidRPr="0074575E" w:rsidRDefault="00D02E00" w:rsidP="00223558">
            <w:pPr>
              <w:spacing w:line="480" w:lineRule="auto"/>
              <w:jc w:val="center"/>
            </w:pPr>
            <w:r w:rsidRPr="0074575E">
              <w:t>$500,000</w:t>
            </w:r>
          </w:p>
        </w:tc>
        <w:tc>
          <w:tcPr>
            <w:tcW w:w="1908" w:type="dxa"/>
            <w:shd w:val="clear" w:color="auto" w:fill="auto"/>
            <w:noWrap/>
            <w:hideMark/>
          </w:tcPr>
          <w:p w:rsidR="00D02E00" w:rsidRPr="0074575E" w:rsidRDefault="00D02E00" w:rsidP="00223558">
            <w:pPr>
              <w:spacing w:line="480" w:lineRule="auto"/>
              <w:jc w:val="center"/>
            </w:pPr>
            <w:r w:rsidRPr="0074575E">
              <w:t>$150,000</w:t>
            </w:r>
          </w:p>
        </w:tc>
        <w:tc>
          <w:tcPr>
            <w:tcW w:w="1171" w:type="dxa"/>
            <w:shd w:val="clear" w:color="auto" w:fill="auto"/>
            <w:noWrap/>
            <w:hideMark/>
          </w:tcPr>
          <w:p w:rsidR="00D02E00" w:rsidRPr="0074575E" w:rsidRDefault="00D02E00" w:rsidP="00223558">
            <w:pPr>
              <w:spacing w:line="480" w:lineRule="auto"/>
              <w:jc w:val="center"/>
            </w:pPr>
            <w:r w:rsidRPr="0074575E">
              <w:t>70</w:t>
            </w:r>
          </w:p>
        </w:tc>
      </w:tr>
      <w:tr w:rsidR="00D02E00" w:rsidRPr="0074575E" w:rsidTr="00460257">
        <w:trPr>
          <w:trHeight w:val="301"/>
        </w:trPr>
        <w:tc>
          <w:tcPr>
            <w:tcW w:w="4534" w:type="dxa"/>
            <w:shd w:val="clear" w:color="auto" w:fill="auto"/>
            <w:noWrap/>
            <w:hideMark/>
          </w:tcPr>
          <w:p w:rsidR="00D02E00" w:rsidRPr="0074575E" w:rsidRDefault="00D02E00" w:rsidP="00223558">
            <w:pPr>
              <w:spacing w:line="480" w:lineRule="auto"/>
              <w:jc w:val="center"/>
            </w:pPr>
            <w:r w:rsidRPr="0074575E">
              <w:t>Hiring and training of staff on handling of patients with disabilities</w:t>
            </w:r>
          </w:p>
        </w:tc>
        <w:tc>
          <w:tcPr>
            <w:tcW w:w="2053" w:type="dxa"/>
            <w:shd w:val="clear" w:color="auto" w:fill="auto"/>
            <w:noWrap/>
            <w:hideMark/>
          </w:tcPr>
          <w:p w:rsidR="00D02E00" w:rsidRPr="0074575E" w:rsidRDefault="00D02E00" w:rsidP="00223558">
            <w:pPr>
              <w:spacing w:line="480" w:lineRule="auto"/>
              <w:jc w:val="center"/>
            </w:pPr>
            <w:r w:rsidRPr="0074575E">
              <w:t>$400,000</w:t>
            </w:r>
          </w:p>
        </w:tc>
        <w:tc>
          <w:tcPr>
            <w:tcW w:w="1908" w:type="dxa"/>
            <w:shd w:val="clear" w:color="auto" w:fill="auto"/>
            <w:noWrap/>
            <w:hideMark/>
          </w:tcPr>
          <w:p w:rsidR="00D02E00" w:rsidRPr="0074575E" w:rsidRDefault="00D02E00" w:rsidP="00223558">
            <w:pPr>
              <w:spacing w:line="480" w:lineRule="auto"/>
              <w:jc w:val="center"/>
            </w:pPr>
            <w:r w:rsidRPr="0074575E">
              <w:t>$200,000</w:t>
            </w:r>
          </w:p>
        </w:tc>
        <w:tc>
          <w:tcPr>
            <w:tcW w:w="1171" w:type="dxa"/>
            <w:shd w:val="clear" w:color="auto" w:fill="auto"/>
            <w:noWrap/>
            <w:hideMark/>
          </w:tcPr>
          <w:p w:rsidR="00D02E00" w:rsidRPr="0074575E" w:rsidRDefault="00D02E00" w:rsidP="00223558">
            <w:pPr>
              <w:spacing w:line="480" w:lineRule="auto"/>
              <w:jc w:val="center"/>
            </w:pPr>
            <w:r w:rsidRPr="0074575E">
              <w:t>50</w:t>
            </w:r>
          </w:p>
        </w:tc>
      </w:tr>
    </w:tbl>
    <w:p w:rsidR="002A7815" w:rsidRPr="0074575E" w:rsidRDefault="002A7815" w:rsidP="00223558">
      <w:pPr>
        <w:spacing w:line="480" w:lineRule="auto"/>
      </w:pPr>
    </w:p>
    <w:p w:rsidR="00F76E66" w:rsidRPr="0074575E" w:rsidRDefault="00083D2D">
      <w:pPr>
        <w:pStyle w:val="Caption"/>
      </w:pPr>
      <w:r w:rsidRPr="0074575E">
        <w:t xml:space="preserve">Table </w:t>
      </w:r>
      <w:r w:rsidR="00F76E66" w:rsidRPr="0074575E">
        <w:fldChar w:fldCharType="begin"/>
      </w:r>
      <w:r w:rsidR="00A463E3" w:rsidRPr="0074575E">
        <w:instrText xml:space="preserve"> SEQ Table \* ARABIC </w:instrText>
      </w:r>
      <w:r w:rsidR="00F76E66" w:rsidRPr="0074575E">
        <w:fldChar w:fldCharType="separate"/>
      </w:r>
      <w:r w:rsidR="00A463E3" w:rsidRPr="0074575E">
        <w:rPr>
          <w:noProof/>
        </w:rPr>
        <w:t>3</w:t>
      </w:r>
      <w:r w:rsidR="00F76E66" w:rsidRPr="0074575E">
        <w:fldChar w:fldCharType="end"/>
      </w:r>
      <w:r w:rsidRPr="0074575E">
        <w:t>: correlation between quality healthcare service and patient recovery rate</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2122"/>
        <w:gridCol w:w="2711"/>
        <w:gridCol w:w="2417"/>
      </w:tblGrid>
      <w:tr w:rsidR="002A7815" w:rsidRPr="0074575E" w:rsidTr="00460257">
        <w:tc>
          <w:tcPr>
            <w:tcW w:w="4538" w:type="dxa"/>
            <w:gridSpan w:val="2"/>
            <w:tcBorders>
              <w:bottom w:val="single" w:sz="4" w:space="0" w:color="auto"/>
            </w:tcBorders>
            <w:shd w:val="clear" w:color="auto" w:fill="auto"/>
          </w:tcPr>
          <w:p w:rsidR="002A7815" w:rsidRPr="0074575E" w:rsidRDefault="002A7815" w:rsidP="00223558">
            <w:pPr>
              <w:spacing w:line="480" w:lineRule="auto"/>
              <w:jc w:val="center"/>
            </w:pPr>
          </w:p>
        </w:tc>
        <w:tc>
          <w:tcPr>
            <w:tcW w:w="2711" w:type="dxa"/>
            <w:shd w:val="clear" w:color="auto" w:fill="auto"/>
          </w:tcPr>
          <w:p w:rsidR="002A7815" w:rsidRPr="0074575E" w:rsidRDefault="002A7815" w:rsidP="00223558">
            <w:pPr>
              <w:spacing w:line="480" w:lineRule="auto"/>
              <w:jc w:val="center"/>
            </w:pPr>
            <w:r w:rsidRPr="0074575E">
              <w:t>Quality of health service</w:t>
            </w:r>
          </w:p>
        </w:tc>
        <w:tc>
          <w:tcPr>
            <w:tcW w:w="2417" w:type="dxa"/>
            <w:shd w:val="clear" w:color="auto" w:fill="auto"/>
          </w:tcPr>
          <w:p w:rsidR="002A7815" w:rsidRPr="0074575E" w:rsidRDefault="002A7815" w:rsidP="00223558">
            <w:pPr>
              <w:spacing w:line="480" w:lineRule="auto"/>
              <w:jc w:val="center"/>
            </w:pPr>
            <w:r w:rsidRPr="0074575E">
              <w:t>Recovery rate</w:t>
            </w:r>
          </w:p>
        </w:tc>
      </w:tr>
      <w:tr w:rsidR="002A7815" w:rsidRPr="0074575E" w:rsidTr="00460257">
        <w:tc>
          <w:tcPr>
            <w:tcW w:w="2416" w:type="dxa"/>
            <w:tcBorders>
              <w:top w:val="single" w:sz="4" w:space="0" w:color="auto"/>
              <w:left w:val="single" w:sz="4" w:space="0" w:color="auto"/>
              <w:bottom w:val="nil"/>
              <w:right w:val="nil"/>
            </w:tcBorders>
            <w:shd w:val="clear" w:color="auto" w:fill="auto"/>
          </w:tcPr>
          <w:p w:rsidR="002A7815" w:rsidRPr="0074575E" w:rsidRDefault="002A7815" w:rsidP="00223558">
            <w:pPr>
              <w:spacing w:line="480" w:lineRule="auto"/>
              <w:jc w:val="center"/>
            </w:pPr>
            <w:r w:rsidRPr="0074575E">
              <w:t>Quality of health service</w:t>
            </w:r>
          </w:p>
        </w:tc>
        <w:tc>
          <w:tcPr>
            <w:tcW w:w="2122" w:type="dxa"/>
            <w:tcBorders>
              <w:top w:val="single" w:sz="4" w:space="0" w:color="auto"/>
              <w:left w:val="nil"/>
              <w:bottom w:val="nil"/>
              <w:right w:val="single" w:sz="4" w:space="0" w:color="auto"/>
            </w:tcBorders>
            <w:shd w:val="clear" w:color="auto" w:fill="auto"/>
          </w:tcPr>
          <w:p w:rsidR="002A7815" w:rsidRPr="0074575E" w:rsidRDefault="002A7815" w:rsidP="00223558">
            <w:pPr>
              <w:spacing w:line="480" w:lineRule="auto"/>
              <w:jc w:val="center"/>
            </w:pPr>
            <w:r w:rsidRPr="0074575E">
              <w:t>Pearson’s Correlation</w:t>
            </w:r>
          </w:p>
        </w:tc>
        <w:tc>
          <w:tcPr>
            <w:tcW w:w="2711" w:type="dxa"/>
            <w:tcBorders>
              <w:left w:val="single" w:sz="4" w:space="0" w:color="auto"/>
            </w:tcBorders>
            <w:shd w:val="clear" w:color="auto" w:fill="auto"/>
          </w:tcPr>
          <w:p w:rsidR="002A7815" w:rsidRPr="0074575E" w:rsidRDefault="002A7815" w:rsidP="00223558">
            <w:pPr>
              <w:spacing w:line="480" w:lineRule="auto"/>
              <w:jc w:val="center"/>
            </w:pPr>
            <w:r w:rsidRPr="0074575E">
              <w:t>1</w:t>
            </w:r>
          </w:p>
        </w:tc>
        <w:tc>
          <w:tcPr>
            <w:tcW w:w="2417" w:type="dxa"/>
            <w:shd w:val="clear" w:color="auto" w:fill="auto"/>
          </w:tcPr>
          <w:p w:rsidR="002A7815" w:rsidRPr="0074575E" w:rsidRDefault="002A7815" w:rsidP="00223558">
            <w:pPr>
              <w:spacing w:line="480" w:lineRule="auto"/>
              <w:jc w:val="center"/>
            </w:pPr>
            <w:r w:rsidRPr="0074575E">
              <w:t>0.481</w:t>
            </w:r>
          </w:p>
        </w:tc>
      </w:tr>
      <w:tr w:rsidR="002A7815" w:rsidRPr="0074575E" w:rsidTr="00460257">
        <w:tc>
          <w:tcPr>
            <w:tcW w:w="2416" w:type="dxa"/>
            <w:tcBorders>
              <w:top w:val="nil"/>
              <w:left w:val="single" w:sz="4" w:space="0" w:color="auto"/>
              <w:bottom w:val="nil"/>
              <w:right w:val="nil"/>
            </w:tcBorders>
            <w:shd w:val="clear" w:color="auto" w:fill="auto"/>
          </w:tcPr>
          <w:p w:rsidR="002A7815" w:rsidRPr="0074575E" w:rsidRDefault="002A7815" w:rsidP="00223558">
            <w:pPr>
              <w:spacing w:line="480" w:lineRule="auto"/>
              <w:jc w:val="center"/>
            </w:pPr>
          </w:p>
        </w:tc>
        <w:tc>
          <w:tcPr>
            <w:tcW w:w="2122" w:type="dxa"/>
            <w:tcBorders>
              <w:top w:val="nil"/>
              <w:left w:val="nil"/>
              <w:bottom w:val="nil"/>
              <w:right w:val="single" w:sz="4" w:space="0" w:color="auto"/>
            </w:tcBorders>
            <w:shd w:val="clear" w:color="auto" w:fill="auto"/>
          </w:tcPr>
          <w:p w:rsidR="002A7815" w:rsidRPr="0074575E" w:rsidRDefault="002A7815" w:rsidP="00223558">
            <w:pPr>
              <w:spacing w:line="480" w:lineRule="auto"/>
              <w:jc w:val="center"/>
            </w:pPr>
            <w:r w:rsidRPr="0074575E">
              <w:t>Sig. (2-tailed)</w:t>
            </w:r>
          </w:p>
        </w:tc>
        <w:tc>
          <w:tcPr>
            <w:tcW w:w="2711" w:type="dxa"/>
            <w:tcBorders>
              <w:left w:val="single" w:sz="4" w:space="0" w:color="auto"/>
            </w:tcBorders>
            <w:shd w:val="clear" w:color="auto" w:fill="auto"/>
          </w:tcPr>
          <w:p w:rsidR="002A7815" w:rsidRPr="0074575E" w:rsidRDefault="002A7815" w:rsidP="00223558">
            <w:pPr>
              <w:spacing w:line="480" w:lineRule="auto"/>
              <w:jc w:val="center"/>
            </w:pPr>
          </w:p>
        </w:tc>
        <w:tc>
          <w:tcPr>
            <w:tcW w:w="2417" w:type="dxa"/>
            <w:shd w:val="clear" w:color="auto" w:fill="auto"/>
          </w:tcPr>
          <w:p w:rsidR="002A7815" w:rsidRPr="0074575E" w:rsidRDefault="002A7815" w:rsidP="00223558">
            <w:pPr>
              <w:spacing w:line="480" w:lineRule="auto"/>
              <w:jc w:val="center"/>
            </w:pPr>
            <w:r w:rsidRPr="0074575E">
              <w:t>0.043</w:t>
            </w:r>
          </w:p>
        </w:tc>
      </w:tr>
      <w:tr w:rsidR="002A7815" w:rsidRPr="0074575E" w:rsidTr="00460257">
        <w:tc>
          <w:tcPr>
            <w:tcW w:w="2416" w:type="dxa"/>
            <w:tcBorders>
              <w:top w:val="nil"/>
              <w:left w:val="single" w:sz="4" w:space="0" w:color="auto"/>
              <w:bottom w:val="single" w:sz="4" w:space="0" w:color="auto"/>
              <w:right w:val="nil"/>
            </w:tcBorders>
            <w:shd w:val="clear" w:color="auto" w:fill="auto"/>
          </w:tcPr>
          <w:p w:rsidR="002A7815" w:rsidRPr="0074575E" w:rsidRDefault="002A7815" w:rsidP="00223558">
            <w:pPr>
              <w:spacing w:line="480" w:lineRule="auto"/>
              <w:jc w:val="center"/>
            </w:pPr>
          </w:p>
        </w:tc>
        <w:tc>
          <w:tcPr>
            <w:tcW w:w="2122" w:type="dxa"/>
            <w:tcBorders>
              <w:top w:val="nil"/>
              <w:left w:val="nil"/>
              <w:bottom w:val="single" w:sz="4" w:space="0" w:color="auto"/>
              <w:right w:val="single" w:sz="4" w:space="0" w:color="auto"/>
            </w:tcBorders>
            <w:shd w:val="clear" w:color="auto" w:fill="auto"/>
          </w:tcPr>
          <w:p w:rsidR="002A7815" w:rsidRPr="0074575E" w:rsidRDefault="002A7815" w:rsidP="00223558">
            <w:pPr>
              <w:spacing w:line="480" w:lineRule="auto"/>
              <w:jc w:val="center"/>
            </w:pPr>
            <w:r w:rsidRPr="0074575E">
              <w:t>N</w:t>
            </w:r>
          </w:p>
        </w:tc>
        <w:tc>
          <w:tcPr>
            <w:tcW w:w="2711" w:type="dxa"/>
            <w:tcBorders>
              <w:left w:val="single" w:sz="4" w:space="0" w:color="auto"/>
            </w:tcBorders>
            <w:shd w:val="clear" w:color="auto" w:fill="auto"/>
          </w:tcPr>
          <w:p w:rsidR="002A7815" w:rsidRPr="0074575E" w:rsidRDefault="002A7815" w:rsidP="00223558">
            <w:pPr>
              <w:spacing w:line="480" w:lineRule="auto"/>
              <w:jc w:val="center"/>
            </w:pPr>
            <w:r w:rsidRPr="0074575E">
              <w:t>45</w:t>
            </w:r>
          </w:p>
        </w:tc>
        <w:tc>
          <w:tcPr>
            <w:tcW w:w="2417" w:type="dxa"/>
            <w:shd w:val="clear" w:color="auto" w:fill="auto"/>
          </w:tcPr>
          <w:p w:rsidR="002A7815" w:rsidRPr="0074575E" w:rsidRDefault="002A7815" w:rsidP="00223558">
            <w:pPr>
              <w:spacing w:line="480" w:lineRule="auto"/>
              <w:jc w:val="center"/>
            </w:pPr>
            <w:r w:rsidRPr="0074575E">
              <w:t>45</w:t>
            </w:r>
          </w:p>
        </w:tc>
      </w:tr>
      <w:tr w:rsidR="002A7815" w:rsidRPr="0074575E" w:rsidTr="00460257">
        <w:tc>
          <w:tcPr>
            <w:tcW w:w="2416" w:type="dxa"/>
            <w:tcBorders>
              <w:top w:val="single" w:sz="4" w:space="0" w:color="auto"/>
              <w:left w:val="single" w:sz="4" w:space="0" w:color="auto"/>
              <w:bottom w:val="nil"/>
              <w:right w:val="nil"/>
            </w:tcBorders>
            <w:shd w:val="clear" w:color="auto" w:fill="auto"/>
          </w:tcPr>
          <w:p w:rsidR="002A7815" w:rsidRPr="0074575E" w:rsidRDefault="002A7815" w:rsidP="00223558">
            <w:pPr>
              <w:spacing w:line="480" w:lineRule="auto"/>
              <w:jc w:val="center"/>
            </w:pPr>
            <w:r w:rsidRPr="0074575E">
              <w:t>Recovery rate</w:t>
            </w:r>
          </w:p>
        </w:tc>
        <w:tc>
          <w:tcPr>
            <w:tcW w:w="2122" w:type="dxa"/>
            <w:tcBorders>
              <w:top w:val="single" w:sz="4" w:space="0" w:color="auto"/>
              <w:left w:val="nil"/>
              <w:bottom w:val="nil"/>
              <w:right w:val="single" w:sz="4" w:space="0" w:color="auto"/>
            </w:tcBorders>
            <w:shd w:val="clear" w:color="auto" w:fill="auto"/>
          </w:tcPr>
          <w:p w:rsidR="002A7815" w:rsidRPr="0074575E" w:rsidRDefault="002A7815" w:rsidP="00223558">
            <w:pPr>
              <w:spacing w:line="480" w:lineRule="auto"/>
              <w:jc w:val="center"/>
            </w:pPr>
            <w:r w:rsidRPr="0074575E">
              <w:t>Pearson’s Correlation</w:t>
            </w:r>
          </w:p>
        </w:tc>
        <w:tc>
          <w:tcPr>
            <w:tcW w:w="2711" w:type="dxa"/>
            <w:tcBorders>
              <w:left w:val="single" w:sz="4" w:space="0" w:color="auto"/>
            </w:tcBorders>
            <w:shd w:val="clear" w:color="auto" w:fill="auto"/>
          </w:tcPr>
          <w:p w:rsidR="002A7815" w:rsidRPr="0074575E" w:rsidRDefault="002A7815" w:rsidP="00223558">
            <w:pPr>
              <w:spacing w:line="480" w:lineRule="auto"/>
              <w:jc w:val="center"/>
            </w:pPr>
            <w:r w:rsidRPr="0074575E">
              <w:t>0.481</w:t>
            </w:r>
          </w:p>
        </w:tc>
        <w:tc>
          <w:tcPr>
            <w:tcW w:w="2417" w:type="dxa"/>
            <w:shd w:val="clear" w:color="auto" w:fill="auto"/>
          </w:tcPr>
          <w:p w:rsidR="002A7815" w:rsidRPr="0074575E" w:rsidRDefault="002A7815" w:rsidP="00223558">
            <w:pPr>
              <w:spacing w:line="480" w:lineRule="auto"/>
              <w:jc w:val="center"/>
            </w:pPr>
            <w:r w:rsidRPr="0074575E">
              <w:t>1</w:t>
            </w:r>
          </w:p>
        </w:tc>
      </w:tr>
      <w:tr w:rsidR="002A7815" w:rsidRPr="0074575E" w:rsidTr="00460257">
        <w:tc>
          <w:tcPr>
            <w:tcW w:w="2416" w:type="dxa"/>
            <w:tcBorders>
              <w:top w:val="nil"/>
              <w:left w:val="single" w:sz="4" w:space="0" w:color="auto"/>
              <w:bottom w:val="nil"/>
              <w:right w:val="nil"/>
            </w:tcBorders>
            <w:shd w:val="clear" w:color="auto" w:fill="auto"/>
          </w:tcPr>
          <w:p w:rsidR="002A7815" w:rsidRPr="0074575E" w:rsidRDefault="002A7815" w:rsidP="00223558">
            <w:pPr>
              <w:spacing w:line="480" w:lineRule="auto"/>
              <w:jc w:val="center"/>
            </w:pPr>
          </w:p>
        </w:tc>
        <w:tc>
          <w:tcPr>
            <w:tcW w:w="2122" w:type="dxa"/>
            <w:tcBorders>
              <w:top w:val="nil"/>
              <w:left w:val="nil"/>
              <w:bottom w:val="nil"/>
              <w:right w:val="single" w:sz="4" w:space="0" w:color="auto"/>
            </w:tcBorders>
            <w:shd w:val="clear" w:color="auto" w:fill="auto"/>
          </w:tcPr>
          <w:p w:rsidR="002A7815" w:rsidRPr="0074575E" w:rsidRDefault="002A7815" w:rsidP="00223558">
            <w:pPr>
              <w:spacing w:line="480" w:lineRule="auto"/>
              <w:jc w:val="center"/>
            </w:pPr>
            <w:r w:rsidRPr="0074575E">
              <w:t>Sig. (2-tailed)</w:t>
            </w:r>
          </w:p>
        </w:tc>
        <w:tc>
          <w:tcPr>
            <w:tcW w:w="2711" w:type="dxa"/>
            <w:tcBorders>
              <w:left w:val="single" w:sz="4" w:space="0" w:color="auto"/>
            </w:tcBorders>
            <w:shd w:val="clear" w:color="auto" w:fill="auto"/>
          </w:tcPr>
          <w:p w:rsidR="002A7815" w:rsidRPr="0074575E" w:rsidRDefault="002A7815" w:rsidP="00223558">
            <w:pPr>
              <w:spacing w:line="480" w:lineRule="auto"/>
              <w:jc w:val="center"/>
            </w:pPr>
            <w:r w:rsidRPr="0074575E">
              <w:t>0.043</w:t>
            </w:r>
          </w:p>
        </w:tc>
        <w:tc>
          <w:tcPr>
            <w:tcW w:w="2417" w:type="dxa"/>
            <w:shd w:val="clear" w:color="auto" w:fill="auto"/>
          </w:tcPr>
          <w:p w:rsidR="002A7815" w:rsidRPr="0074575E" w:rsidRDefault="002A7815" w:rsidP="00223558">
            <w:pPr>
              <w:spacing w:line="480" w:lineRule="auto"/>
              <w:jc w:val="center"/>
            </w:pPr>
          </w:p>
        </w:tc>
      </w:tr>
      <w:tr w:rsidR="002A7815" w:rsidRPr="0074575E" w:rsidTr="00460257">
        <w:tc>
          <w:tcPr>
            <w:tcW w:w="2416" w:type="dxa"/>
            <w:tcBorders>
              <w:top w:val="nil"/>
              <w:left w:val="single" w:sz="4" w:space="0" w:color="auto"/>
              <w:bottom w:val="single" w:sz="4" w:space="0" w:color="auto"/>
              <w:right w:val="nil"/>
            </w:tcBorders>
            <w:shd w:val="clear" w:color="auto" w:fill="auto"/>
          </w:tcPr>
          <w:p w:rsidR="002A7815" w:rsidRPr="0074575E" w:rsidRDefault="002A7815" w:rsidP="00223558">
            <w:pPr>
              <w:spacing w:line="480" w:lineRule="auto"/>
              <w:jc w:val="center"/>
            </w:pPr>
          </w:p>
        </w:tc>
        <w:tc>
          <w:tcPr>
            <w:tcW w:w="2122" w:type="dxa"/>
            <w:tcBorders>
              <w:top w:val="nil"/>
              <w:left w:val="nil"/>
              <w:bottom w:val="single" w:sz="4" w:space="0" w:color="auto"/>
              <w:right w:val="single" w:sz="4" w:space="0" w:color="auto"/>
            </w:tcBorders>
            <w:shd w:val="clear" w:color="auto" w:fill="auto"/>
          </w:tcPr>
          <w:p w:rsidR="002A7815" w:rsidRPr="0074575E" w:rsidRDefault="002A7815" w:rsidP="00223558">
            <w:pPr>
              <w:spacing w:line="480" w:lineRule="auto"/>
              <w:jc w:val="center"/>
            </w:pPr>
            <w:r w:rsidRPr="0074575E">
              <w:t>N</w:t>
            </w:r>
          </w:p>
        </w:tc>
        <w:tc>
          <w:tcPr>
            <w:tcW w:w="2711" w:type="dxa"/>
            <w:tcBorders>
              <w:left w:val="single" w:sz="4" w:space="0" w:color="auto"/>
            </w:tcBorders>
            <w:shd w:val="clear" w:color="auto" w:fill="auto"/>
          </w:tcPr>
          <w:p w:rsidR="002A7815" w:rsidRPr="0074575E" w:rsidRDefault="002A7815" w:rsidP="00223558">
            <w:pPr>
              <w:spacing w:line="480" w:lineRule="auto"/>
              <w:jc w:val="center"/>
            </w:pPr>
            <w:r w:rsidRPr="0074575E">
              <w:t>45</w:t>
            </w:r>
          </w:p>
        </w:tc>
        <w:tc>
          <w:tcPr>
            <w:tcW w:w="2417" w:type="dxa"/>
            <w:shd w:val="clear" w:color="auto" w:fill="auto"/>
          </w:tcPr>
          <w:p w:rsidR="002A7815" w:rsidRPr="0074575E" w:rsidRDefault="002A7815" w:rsidP="00223558">
            <w:pPr>
              <w:spacing w:line="480" w:lineRule="auto"/>
              <w:jc w:val="center"/>
            </w:pPr>
            <w:r w:rsidRPr="0074575E">
              <w:t>46</w:t>
            </w:r>
          </w:p>
        </w:tc>
      </w:tr>
    </w:tbl>
    <w:p w:rsidR="00786E53" w:rsidRPr="0074575E" w:rsidRDefault="00786E53" w:rsidP="00223558">
      <w:pPr>
        <w:spacing w:line="480" w:lineRule="auto"/>
      </w:pPr>
    </w:p>
    <w:p w:rsidR="002A7815" w:rsidRPr="0074575E" w:rsidRDefault="00786E53" w:rsidP="00786E53">
      <w:pPr>
        <w:spacing w:line="480" w:lineRule="auto"/>
        <w:jc w:val="center"/>
      </w:pPr>
      <w:r w:rsidRPr="0074575E">
        <w:br w:type="page"/>
      </w:r>
      <w:r w:rsidRPr="0074575E">
        <w:lastRenderedPageBreak/>
        <w:t xml:space="preserve">Appendix II: Selected Databases </w:t>
      </w:r>
    </w:p>
    <w:p w:rsidR="00F76E66" w:rsidRPr="0074575E" w:rsidRDefault="00411DC8">
      <w:pPr>
        <w:pStyle w:val="Caption"/>
      </w:pPr>
      <w:r w:rsidRPr="0074575E">
        <w:t>Appendix II: The number of sele</w:t>
      </w:r>
      <w:r w:rsidR="00695987" w:rsidRPr="0074575E">
        <w:t xml:space="preserve">cted studies in each database  </w:t>
      </w:r>
    </w:p>
    <w:tbl>
      <w:tblPr>
        <w:tblpPr w:leftFromText="180" w:rightFromText="180" w:vertAnchor="page" w:tblpY="3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9"/>
        <w:gridCol w:w="2798"/>
        <w:gridCol w:w="1509"/>
      </w:tblGrid>
      <w:tr w:rsidR="009D1E01" w:rsidRPr="0074575E" w:rsidTr="009D1E01">
        <w:tc>
          <w:tcPr>
            <w:tcW w:w="4094" w:type="dxa"/>
            <w:shd w:val="clear" w:color="auto" w:fill="auto"/>
          </w:tcPr>
          <w:p w:rsidR="00F76E66" w:rsidRPr="0074575E" w:rsidRDefault="009D1E01">
            <w:r w:rsidRPr="0074575E">
              <w:lastRenderedPageBreak/>
              <w:t xml:space="preserve">Database </w:t>
            </w:r>
          </w:p>
        </w:tc>
        <w:tc>
          <w:tcPr>
            <w:tcW w:w="3000" w:type="dxa"/>
            <w:shd w:val="clear" w:color="auto" w:fill="auto"/>
          </w:tcPr>
          <w:p w:rsidR="00F76E66" w:rsidRPr="0074575E" w:rsidRDefault="009D1E01">
            <w:r w:rsidRPr="0074575E">
              <w:t xml:space="preserve">Number of selected studies </w:t>
            </w:r>
          </w:p>
        </w:tc>
        <w:tc>
          <w:tcPr>
            <w:tcW w:w="1042" w:type="dxa"/>
            <w:shd w:val="clear" w:color="auto" w:fill="auto"/>
          </w:tcPr>
          <w:p w:rsidR="00F76E66" w:rsidRPr="0074575E" w:rsidRDefault="009D1E01">
            <w:r w:rsidRPr="0074575E">
              <w:t>Items</w:t>
            </w:r>
          </w:p>
        </w:tc>
      </w:tr>
      <w:tr w:rsidR="009D1E01" w:rsidRPr="0074575E" w:rsidTr="009D1E01">
        <w:tc>
          <w:tcPr>
            <w:tcW w:w="4094" w:type="dxa"/>
            <w:shd w:val="clear" w:color="auto" w:fill="auto"/>
          </w:tcPr>
          <w:p w:rsidR="00F76E66" w:rsidRPr="0074575E" w:rsidRDefault="009D1E01">
            <w:r w:rsidRPr="0074575E">
              <w:t>Health Management database (Proquest)</w:t>
            </w:r>
          </w:p>
        </w:tc>
        <w:tc>
          <w:tcPr>
            <w:tcW w:w="3000" w:type="dxa"/>
            <w:shd w:val="clear" w:color="auto" w:fill="auto"/>
          </w:tcPr>
          <w:p w:rsidR="00F76E66" w:rsidRPr="0074575E" w:rsidRDefault="009D1E01">
            <w:r w:rsidRPr="0074575E">
              <w:t>5</w:t>
            </w:r>
          </w:p>
        </w:tc>
        <w:tc>
          <w:tcPr>
            <w:tcW w:w="1042" w:type="dxa"/>
            <w:shd w:val="clear" w:color="auto" w:fill="auto"/>
          </w:tcPr>
          <w:p w:rsidR="00F76E66" w:rsidRPr="0074575E" w:rsidRDefault="00D86A4B">
            <w:r w:rsidRPr="0074575E">
              <w:t>The database contains information on challenges facing the healthcare organizations and the practical approaches towards solving the identified challenges.</w:t>
            </w:r>
          </w:p>
        </w:tc>
      </w:tr>
      <w:tr w:rsidR="009D1E01" w:rsidRPr="0074575E" w:rsidTr="009D1E01">
        <w:tc>
          <w:tcPr>
            <w:tcW w:w="4094" w:type="dxa"/>
            <w:shd w:val="clear" w:color="auto" w:fill="auto"/>
          </w:tcPr>
          <w:p w:rsidR="00F76E66" w:rsidRPr="0074575E" w:rsidRDefault="009D1E01">
            <w:r w:rsidRPr="0074575E">
              <w:t>National Information Center on Health Services Research and Health Care Technology</w:t>
            </w:r>
          </w:p>
        </w:tc>
        <w:tc>
          <w:tcPr>
            <w:tcW w:w="3000" w:type="dxa"/>
            <w:shd w:val="clear" w:color="auto" w:fill="auto"/>
          </w:tcPr>
          <w:p w:rsidR="00F76E66" w:rsidRPr="0074575E" w:rsidRDefault="009D1E01">
            <w:r w:rsidRPr="0074575E">
              <w:t>16</w:t>
            </w:r>
          </w:p>
        </w:tc>
        <w:tc>
          <w:tcPr>
            <w:tcW w:w="1042" w:type="dxa"/>
            <w:shd w:val="clear" w:color="auto" w:fill="auto"/>
          </w:tcPr>
          <w:p w:rsidR="00F76E66" w:rsidRPr="0074575E" w:rsidRDefault="000124CA">
            <w:r w:rsidRPr="0074575E">
              <w:t>The database contains quality items on the various healthcare management aspects. The database also provides links to the datasets collected and managed by the Federal Government.</w:t>
            </w:r>
          </w:p>
        </w:tc>
      </w:tr>
      <w:tr w:rsidR="009D1E01" w:rsidRPr="0074575E" w:rsidTr="009D1E01">
        <w:tc>
          <w:tcPr>
            <w:tcW w:w="4094" w:type="dxa"/>
            <w:shd w:val="clear" w:color="auto" w:fill="auto"/>
          </w:tcPr>
          <w:p w:rsidR="00F76E66" w:rsidRPr="0074575E" w:rsidRDefault="009D1E01">
            <w:r w:rsidRPr="0074575E">
              <w:t>Agency for Healthcare Research</w:t>
            </w:r>
          </w:p>
        </w:tc>
        <w:tc>
          <w:tcPr>
            <w:tcW w:w="3000" w:type="dxa"/>
            <w:shd w:val="clear" w:color="auto" w:fill="auto"/>
          </w:tcPr>
          <w:p w:rsidR="00F76E66" w:rsidRPr="0074575E" w:rsidRDefault="009D1E01">
            <w:r w:rsidRPr="0074575E">
              <w:t>9</w:t>
            </w:r>
          </w:p>
        </w:tc>
        <w:tc>
          <w:tcPr>
            <w:tcW w:w="1042" w:type="dxa"/>
            <w:shd w:val="clear" w:color="auto" w:fill="auto"/>
          </w:tcPr>
          <w:p w:rsidR="00F76E66" w:rsidRPr="0074575E" w:rsidRDefault="00D70083">
            <w:r w:rsidRPr="0074575E">
              <w:t xml:space="preserve">The database contains information on the trends in healthcare management. The data on the medical </w:t>
            </w:r>
            <w:r w:rsidRPr="0074575E">
              <w:lastRenderedPageBreak/>
              <w:t>expenditure is also presented in the database.</w:t>
            </w:r>
          </w:p>
        </w:tc>
      </w:tr>
      <w:tr w:rsidR="009D1E01" w:rsidRPr="0074575E" w:rsidTr="009D1E01">
        <w:tc>
          <w:tcPr>
            <w:tcW w:w="4094" w:type="dxa"/>
            <w:shd w:val="clear" w:color="auto" w:fill="auto"/>
          </w:tcPr>
          <w:p w:rsidR="00F76E66" w:rsidRPr="0074575E" w:rsidRDefault="009D1E01">
            <w:r w:rsidRPr="0074575E">
              <w:lastRenderedPageBreak/>
              <w:t>Quality database and Medicare Provider Analysis and Review</w:t>
            </w:r>
          </w:p>
        </w:tc>
        <w:tc>
          <w:tcPr>
            <w:tcW w:w="3000" w:type="dxa"/>
            <w:shd w:val="clear" w:color="auto" w:fill="auto"/>
          </w:tcPr>
          <w:p w:rsidR="00F76E66" w:rsidRPr="0074575E" w:rsidRDefault="009D1E01">
            <w:r w:rsidRPr="0074575E">
              <w:t>6</w:t>
            </w:r>
          </w:p>
        </w:tc>
        <w:tc>
          <w:tcPr>
            <w:tcW w:w="1042" w:type="dxa"/>
            <w:shd w:val="clear" w:color="auto" w:fill="auto"/>
          </w:tcPr>
          <w:p w:rsidR="00F76E66" w:rsidRPr="0074575E" w:rsidRDefault="00D70083">
            <w:r w:rsidRPr="0074575E">
              <w:t>The database contains information on patient data with specifics in the admission, diagnosis, length of stay and disposition.</w:t>
            </w:r>
          </w:p>
        </w:tc>
      </w:tr>
    </w:tbl>
    <w:p w:rsidR="00724C3F" w:rsidRPr="0074575E" w:rsidRDefault="00724C3F" w:rsidP="00786E53">
      <w:pPr>
        <w:spacing w:line="480" w:lineRule="auto"/>
      </w:pPr>
    </w:p>
    <w:p w:rsidR="00786E53" w:rsidRPr="0074575E" w:rsidRDefault="00724C3F" w:rsidP="00786E53">
      <w:pPr>
        <w:spacing w:line="480" w:lineRule="auto"/>
      </w:pPr>
      <w:r w:rsidRPr="0074575E">
        <w:t xml:space="preserve">Appendix III:  The negative indicators and related variables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2230"/>
        <w:gridCol w:w="1995"/>
        <w:gridCol w:w="1976"/>
      </w:tblGrid>
      <w:tr w:rsidR="00724C3F" w:rsidRPr="0074575E" w:rsidTr="006E587A">
        <w:tc>
          <w:tcPr>
            <w:tcW w:w="1935" w:type="dxa"/>
          </w:tcPr>
          <w:p w:rsidR="00F76E66" w:rsidRPr="0074575E" w:rsidRDefault="00724C3F">
            <w:r w:rsidRPr="0074575E">
              <w:t>Concepts</w:t>
            </w:r>
          </w:p>
        </w:tc>
        <w:tc>
          <w:tcPr>
            <w:tcW w:w="2230" w:type="dxa"/>
          </w:tcPr>
          <w:p w:rsidR="00F76E66" w:rsidRPr="0074575E" w:rsidRDefault="00724C3F">
            <w:r w:rsidRPr="0074575E">
              <w:t>Indicators</w:t>
            </w:r>
          </w:p>
        </w:tc>
        <w:tc>
          <w:tcPr>
            <w:tcW w:w="1995" w:type="dxa"/>
          </w:tcPr>
          <w:p w:rsidR="00F76E66" w:rsidRPr="0074575E" w:rsidRDefault="00724C3F">
            <w:r w:rsidRPr="0074575E">
              <w:t>Variables</w:t>
            </w:r>
          </w:p>
        </w:tc>
        <w:tc>
          <w:tcPr>
            <w:tcW w:w="1976" w:type="dxa"/>
          </w:tcPr>
          <w:p w:rsidR="00F76E66" w:rsidRPr="0074575E" w:rsidRDefault="00724C3F">
            <w:r w:rsidRPr="0074575E">
              <w:t>Decision Level (working definitions)</w:t>
            </w:r>
          </w:p>
        </w:tc>
      </w:tr>
      <w:tr w:rsidR="00724C3F" w:rsidRPr="0074575E" w:rsidTr="006E587A">
        <w:tc>
          <w:tcPr>
            <w:tcW w:w="1935" w:type="dxa"/>
          </w:tcPr>
          <w:p w:rsidR="00F76E66" w:rsidRPr="0074575E" w:rsidRDefault="00724C3F">
            <w:r w:rsidRPr="0074575E">
              <w:t>Negative/ positive Attitude</w:t>
            </w:r>
          </w:p>
        </w:tc>
        <w:tc>
          <w:tcPr>
            <w:tcW w:w="2230" w:type="dxa"/>
          </w:tcPr>
          <w:p w:rsidR="00F76E66" w:rsidRPr="0074575E" w:rsidRDefault="00724C3F">
            <w:pPr>
              <w:ind w:left="720"/>
            </w:pPr>
            <w:r w:rsidRPr="0074575E">
              <w:t>1.Behavior</w:t>
            </w:r>
          </w:p>
          <w:p w:rsidR="00F76E66" w:rsidRPr="0074575E" w:rsidRDefault="00724C3F">
            <w:pPr>
              <w:ind w:left="720"/>
            </w:pPr>
            <w:r w:rsidRPr="0074575E">
              <w:t>2. Opinion</w:t>
            </w:r>
          </w:p>
          <w:p w:rsidR="00F76E66" w:rsidRPr="0074575E" w:rsidRDefault="00F76E66"/>
          <w:p w:rsidR="00F76E66" w:rsidRPr="0074575E" w:rsidRDefault="00F76E66">
            <w:pPr>
              <w:ind w:left="360"/>
            </w:pPr>
          </w:p>
        </w:tc>
        <w:tc>
          <w:tcPr>
            <w:tcW w:w="1995" w:type="dxa"/>
          </w:tcPr>
          <w:p w:rsidR="00F76E66" w:rsidRPr="0074575E" w:rsidRDefault="00724C3F">
            <w:pPr>
              <w:numPr>
                <w:ilvl w:val="0"/>
                <w:numId w:val="9"/>
              </w:numPr>
            </w:pPr>
            <w:r w:rsidRPr="0074575E">
              <w:t>The conduct of staff when interacting with patients with disability</w:t>
            </w:r>
          </w:p>
          <w:p w:rsidR="00F76E66" w:rsidRPr="0074575E" w:rsidRDefault="00724C3F">
            <w:pPr>
              <w:numPr>
                <w:ilvl w:val="0"/>
                <w:numId w:val="9"/>
              </w:numPr>
            </w:pPr>
            <w:r w:rsidRPr="0074575E">
              <w:t xml:space="preserve">The opinion of the staff regarding caring for patients with disability </w:t>
            </w:r>
          </w:p>
        </w:tc>
        <w:tc>
          <w:tcPr>
            <w:tcW w:w="1976" w:type="dxa"/>
          </w:tcPr>
          <w:p w:rsidR="00F76E66" w:rsidRPr="0074575E" w:rsidRDefault="00724C3F">
            <w:r w:rsidRPr="0074575E">
              <w:t>Considered negative:</w:t>
            </w:r>
          </w:p>
          <w:p w:rsidR="00F76E66" w:rsidRPr="0074575E" w:rsidRDefault="00724C3F">
            <w:r w:rsidRPr="0074575E">
              <w:t>1. If the staff neglects to acknowledge and attend to the special needs of the patients</w:t>
            </w:r>
          </w:p>
          <w:p w:rsidR="00F76E66" w:rsidRPr="0074575E" w:rsidRDefault="00724C3F">
            <w:r w:rsidRPr="0074575E">
              <w:t>2. If the staff consider caring for the patients with disability to be burdensome and complicated</w:t>
            </w:r>
            <w:r w:rsidR="000E4700" w:rsidRPr="0074575E">
              <w:t>.</w:t>
            </w:r>
          </w:p>
        </w:tc>
      </w:tr>
    </w:tbl>
    <w:p w:rsidR="00724C3F" w:rsidRPr="00786E53" w:rsidRDefault="00724C3F" w:rsidP="00786E53">
      <w:pPr>
        <w:spacing w:line="480" w:lineRule="auto"/>
      </w:pPr>
    </w:p>
    <w:sectPr w:rsidR="00724C3F" w:rsidRPr="00786E53" w:rsidSect="0009632E">
      <w:headerReference w:type="default" r:id="rId15"/>
      <w:pgSz w:w="12240" w:h="15840"/>
      <w:pgMar w:top="2160" w:right="2160" w:bottom="2160" w:left="216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3FE0EE" w15:done="0"/>
  <w15:commentEx w15:paraId="58C81AE8" w15:done="0"/>
  <w15:commentEx w15:paraId="33689E8E" w15:done="0"/>
  <w15:commentEx w15:paraId="6DC89815" w15:done="0"/>
  <w15:commentEx w15:paraId="06975B29" w15:done="0"/>
  <w15:commentEx w15:paraId="6446E402" w15:done="0"/>
  <w15:commentEx w15:paraId="0EA607C2" w15:done="0"/>
  <w15:commentEx w15:paraId="61268C1E" w15:done="0"/>
  <w15:commentEx w15:paraId="2ACC254A" w15:done="0"/>
  <w15:commentEx w15:paraId="782862D2" w15:done="0"/>
  <w15:commentEx w15:paraId="2EC3F674" w15:done="0"/>
  <w15:commentEx w15:paraId="694614B0" w15:done="0"/>
  <w15:commentEx w15:paraId="25102124" w15:done="0"/>
  <w15:commentEx w15:paraId="76D42B35" w15:done="0"/>
  <w15:commentEx w15:paraId="0EB2D9D9" w15:done="0"/>
  <w15:commentEx w15:paraId="1B1BDC7E" w15:done="0"/>
  <w15:commentEx w15:paraId="2DCC7267" w15:done="0"/>
  <w15:commentEx w15:paraId="3933F932" w15:done="0"/>
  <w15:commentEx w15:paraId="71ED9EAD" w15:done="0"/>
  <w15:commentEx w15:paraId="5B2848D9" w15:done="0"/>
  <w15:commentEx w15:paraId="2DCA16BD" w15:done="0"/>
  <w15:commentEx w15:paraId="5E7D96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02" w:rsidRDefault="00DF2202" w:rsidP="00D05542">
      <w:r>
        <w:separator/>
      </w:r>
    </w:p>
  </w:endnote>
  <w:endnote w:type="continuationSeparator" w:id="0">
    <w:p w:rsidR="00DF2202" w:rsidRDefault="00DF2202" w:rsidP="00D05542">
      <w:r>
        <w:continuationSeparator/>
      </w:r>
    </w:p>
  </w:endnote>
  <w:endnote w:type="continuationNotice" w:id="1">
    <w:p w:rsidR="00DF2202" w:rsidRDefault="00DF22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TTe45e47d2">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merican Typewriter">
    <w:altName w:val="Arial"/>
    <w:charset w:val="00"/>
    <w:family w:val="auto"/>
    <w:pitch w:val="variable"/>
    <w:sig w:usb0="00000001" w:usb1="00000019" w:usb2="00000000" w:usb3="00000000" w:csb0="0000011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BE" w:rsidRDefault="00346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02" w:rsidRDefault="00DF2202" w:rsidP="00D05542">
      <w:r>
        <w:separator/>
      </w:r>
    </w:p>
  </w:footnote>
  <w:footnote w:type="continuationSeparator" w:id="0">
    <w:p w:rsidR="00DF2202" w:rsidRDefault="00DF2202" w:rsidP="00D05542">
      <w:r>
        <w:continuationSeparator/>
      </w:r>
    </w:p>
  </w:footnote>
  <w:footnote w:type="continuationNotice" w:id="1">
    <w:p w:rsidR="00DF2202" w:rsidRDefault="00DF22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BE" w:rsidRDefault="00F76E66" w:rsidP="00DC4397">
    <w:pPr>
      <w:pStyle w:val="Header"/>
      <w:framePr w:wrap="around" w:vAnchor="text" w:hAnchor="margin" w:xAlign="right" w:y="1"/>
      <w:rPr>
        <w:rStyle w:val="PageNumber"/>
      </w:rPr>
    </w:pPr>
    <w:r>
      <w:rPr>
        <w:rStyle w:val="PageNumber"/>
      </w:rPr>
      <w:fldChar w:fldCharType="begin"/>
    </w:r>
    <w:r w:rsidR="003462BE">
      <w:rPr>
        <w:rStyle w:val="PageNumber"/>
      </w:rPr>
      <w:instrText xml:space="preserve">PAGE  </w:instrText>
    </w:r>
    <w:r>
      <w:rPr>
        <w:rStyle w:val="PageNumber"/>
      </w:rPr>
      <w:fldChar w:fldCharType="end"/>
    </w:r>
  </w:p>
  <w:p w:rsidR="003462BE" w:rsidRDefault="003462BE" w:rsidP="00D0554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BE" w:rsidRDefault="003462BE" w:rsidP="000F5E35">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BE" w:rsidRDefault="00F76E66" w:rsidP="00DC4397">
    <w:pPr>
      <w:pStyle w:val="Header"/>
      <w:framePr w:wrap="around" w:vAnchor="text" w:hAnchor="margin" w:xAlign="right" w:y="1"/>
      <w:rPr>
        <w:rStyle w:val="PageNumber"/>
      </w:rPr>
    </w:pPr>
    <w:r>
      <w:rPr>
        <w:rStyle w:val="PageNumber"/>
      </w:rPr>
      <w:fldChar w:fldCharType="begin"/>
    </w:r>
    <w:r w:rsidR="003462BE">
      <w:rPr>
        <w:rStyle w:val="PageNumber"/>
      </w:rPr>
      <w:instrText xml:space="preserve">PAGE  </w:instrText>
    </w:r>
    <w:r>
      <w:rPr>
        <w:rStyle w:val="PageNumber"/>
      </w:rPr>
      <w:fldChar w:fldCharType="separate"/>
    </w:r>
    <w:r w:rsidR="0074575E">
      <w:rPr>
        <w:rStyle w:val="PageNumber"/>
        <w:noProof/>
      </w:rPr>
      <w:t>23</w:t>
    </w:r>
    <w:r>
      <w:rPr>
        <w:rStyle w:val="PageNumber"/>
      </w:rPr>
      <w:fldChar w:fldCharType="end"/>
    </w:r>
  </w:p>
  <w:p w:rsidR="003462BE" w:rsidRDefault="003462BE" w:rsidP="000F5E35">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AEE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96C9E"/>
    <w:multiLevelType w:val="hybridMultilevel"/>
    <w:tmpl w:val="1AC2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732C"/>
    <w:multiLevelType w:val="hybridMultilevel"/>
    <w:tmpl w:val="AD3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D4895"/>
    <w:multiLevelType w:val="hybridMultilevel"/>
    <w:tmpl w:val="D78EE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2424F"/>
    <w:multiLevelType w:val="hybridMultilevel"/>
    <w:tmpl w:val="E46A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80D02"/>
    <w:multiLevelType w:val="hybridMultilevel"/>
    <w:tmpl w:val="00C6F8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555DE8"/>
    <w:multiLevelType w:val="hybridMultilevel"/>
    <w:tmpl w:val="754A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F6D2C"/>
    <w:multiLevelType w:val="hybridMultilevel"/>
    <w:tmpl w:val="DC568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961F3"/>
    <w:multiLevelType w:val="hybridMultilevel"/>
    <w:tmpl w:val="C32AD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8B7B88"/>
    <w:multiLevelType w:val="hybridMultilevel"/>
    <w:tmpl w:val="E87A3D1A"/>
    <w:lvl w:ilvl="0" w:tplc="4F68D4CA">
      <w:start w:val="1"/>
      <w:numFmt w:val="decimal"/>
      <w:lvlText w:val="%1."/>
      <w:lvlJc w:val="left"/>
      <w:pPr>
        <w:ind w:left="1440" w:hanging="360"/>
      </w:pPr>
      <w:rPr>
        <w:rFonts w:ascii="Times New Roman" w:hAnsi="Times New Roman" w:cs="AdvTTe45e47d2"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7"/>
  </w:num>
  <w:num w:numId="4">
    <w:abstractNumId w:val="5"/>
  </w:num>
  <w:num w:numId="5">
    <w:abstractNumId w:val="8"/>
  </w:num>
  <w:num w:numId="6">
    <w:abstractNumId w:val="4"/>
  </w:num>
  <w:num w:numId="7">
    <w:abstractNumId w:val="6"/>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09A7"/>
    <w:rsid w:val="0000259C"/>
    <w:rsid w:val="0000618D"/>
    <w:rsid w:val="000124CA"/>
    <w:rsid w:val="00012BF1"/>
    <w:rsid w:val="00013673"/>
    <w:rsid w:val="000147A6"/>
    <w:rsid w:val="000151D6"/>
    <w:rsid w:val="00017D6F"/>
    <w:rsid w:val="00020AA7"/>
    <w:rsid w:val="0002116E"/>
    <w:rsid w:val="00022B53"/>
    <w:rsid w:val="0002361C"/>
    <w:rsid w:val="000264AA"/>
    <w:rsid w:val="000319FD"/>
    <w:rsid w:val="00032A8E"/>
    <w:rsid w:val="00032FF4"/>
    <w:rsid w:val="00036F94"/>
    <w:rsid w:val="0003733A"/>
    <w:rsid w:val="000425C6"/>
    <w:rsid w:val="00044B82"/>
    <w:rsid w:val="00044F37"/>
    <w:rsid w:val="00045B2A"/>
    <w:rsid w:val="000468D2"/>
    <w:rsid w:val="00047204"/>
    <w:rsid w:val="0005159A"/>
    <w:rsid w:val="00052A40"/>
    <w:rsid w:val="00052C15"/>
    <w:rsid w:val="00053C74"/>
    <w:rsid w:val="00054DDF"/>
    <w:rsid w:val="00057894"/>
    <w:rsid w:val="00061EFD"/>
    <w:rsid w:val="00063BE5"/>
    <w:rsid w:val="000648CA"/>
    <w:rsid w:val="00065359"/>
    <w:rsid w:val="000666D6"/>
    <w:rsid w:val="00066834"/>
    <w:rsid w:val="0006791B"/>
    <w:rsid w:val="00070CED"/>
    <w:rsid w:val="00072057"/>
    <w:rsid w:val="00082CFB"/>
    <w:rsid w:val="00083D2D"/>
    <w:rsid w:val="0008424B"/>
    <w:rsid w:val="0008476A"/>
    <w:rsid w:val="000864C7"/>
    <w:rsid w:val="0008683D"/>
    <w:rsid w:val="00086C6B"/>
    <w:rsid w:val="000910A8"/>
    <w:rsid w:val="0009186E"/>
    <w:rsid w:val="00096023"/>
    <w:rsid w:val="0009632E"/>
    <w:rsid w:val="000A0A5A"/>
    <w:rsid w:val="000A1EA3"/>
    <w:rsid w:val="000A2765"/>
    <w:rsid w:val="000B53B8"/>
    <w:rsid w:val="000B7460"/>
    <w:rsid w:val="000C0E03"/>
    <w:rsid w:val="000C202B"/>
    <w:rsid w:val="000C4120"/>
    <w:rsid w:val="000C4591"/>
    <w:rsid w:val="000C765D"/>
    <w:rsid w:val="000D2688"/>
    <w:rsid w:val="000D2766"/>
    <w:rsid w:val="000D2776"/>
    <w:rsid w:val="000D4411"/>
    <w:rsid w:val="000D6EC7"/>
    <w:rsid w:val="000D7736"/>
    <w:rsid w:val="000D7DCF"/>
    <w:rsid w:val="000E08B0"/>
    <w:rsid w:val="000E4700"/>
    <w:rsid w:val="000F058C"/>
    <w:rsid w:val="000F0617"/>
    <w:rsid w:val="000F3FDB"/>
    <w:rsid w:val="000F50B6"/>
    <w:rsid w:val="000F5E35"/>
    <w:rsid w:val="000F67C1"/>
    <w:rsid w:val="000F782D"/>
    <w:rsid w:val="00101484"/>
    <w:rsid w:val="00103F9B"/>
    <w:rsid w:val="00104DFD"/>
    <w:rsid w:val="00110E64"/>
    <w:rsid w:val="00111F4A"/>
    <w:rsid w:val="001139E4"/>
    <w:rsid w:val="00114838"/>
    <w:rsid w:val="00114D8B"/>
    <w:rsid w:val="00116F91"/>
    <w:rsid w:val="00117FD1"/>
    <w:rsid w:val="001200A8"/>
    <w:rsid w:val="00122149"/>
    <w:rsid w:val="00124BA2"/>
    <w:rsid w:val="00131B18"/>
    <w:rsid w:val="00133724"/>
    <w:rsid w:val="00134AF8"/>
    <w:rsid w:val="0013505D"/>
    <w:rsid w:val="0014529D"/>
    <w:rsid w:val="0015197A"/>
    <w:rsid w:val="00152E48"/>
    <w:rsid w:val="001546E8"/>
    <w:rsid w:val="001563B5"/>
    <w:rsid w:val="001565E9"/>
    <w:rsid w:val="00156EAF"/>
    <w:rsid w:val="0016556D"/>
    <w:rsid w:val="00171DF7"/>
    <w:rsid w:val="00172D56"/>
    <w:rsid w:val="0017351A"/>
    <w:rsid w:val="00180914"/>
    <w:rsid w:val="001837D8"/>
    <w:rsid w:val="00184EBA"/>
    <w:rsid w:val="00184FE1"/>
    <w:rsid w:val="00195E71"/>
    <w:rsid w:val="001A1CAF"/>
    <w:rsid w:val="001A4135"/>
    <w:rsid w:val="001A4DA2"/>
    <w:rsid w:val="001B13EB"/>
    <w:rsid w:val="001B1FFF"/>
    <w:rsid w:val="001B44B7"/>
    <w:rsid w:val="001B45B1"/>
    <w:rsid w:val="001B557E"/>
    <w:rsid w:val="001B658A"/>
    <w:rsid w:val="001B7F56"/>
    <w:rsid w:val="001C58DA"/>
    <w:rsid w:val="001D676C"/>
    <w:rsid w:val="001E14C6"/>
    <w:rsid w:val="001E6AC6"/>
    <w:rsid w:val="001E6E7E"/>
    <w:rsid w:val="001E70CA"/>
    <w:rsid w:val="001F006F"/>
    <w:rsid w:val="001F125B"/>
    <w:rsid w:val="001F1DDA"/>
    <w:rsid w:val="001F651E"/>
    <w:rsid w:val="001F68FB"/>
    <w:rsid w:val="00204585"/>
    <w:rsid w:val="00205147"/>
    <w:rsid w:val="00206340"/>
    <w:rsid w:val="0020692E"/>
    <w:rsid w:val="00210CAE"/>
    <w:rsid w:val="00211414"/>
    <w:rsid w:val="0021694F"/>
    <w:rsid w:val="00217E6E"/>
    <w:rsid w:val="00220A5E"/>
    <w:rsid w:val="00223558"/>
    <w:rsid w:val="00223F98"/>
    <w:rsid w:val="00225836"/>
    <w:rsid w:val="002314C6"/>
    <w:rsid w:val="002323DE"/>
    <w:rsid w:val="00236423"/>
    <w:rsid w:val="002372CC"/>
    <w:rsid w:val="002423EC"/>
    <w:rsid w:val="00242ADD"/>
    <w:rsid w:val="00243318"/>
    <w:rsid w:val="00244929"/>
    <w:rsid w:val="0024624D"/>
    <w:rsid w:val="0025265E"/>
    <w:rsid w:val="002530C3"/>
    <w:rsid w:val="0025543D"/>
    <w:rsid w:val="00257144"/>
    <w:rsid w:val="00261077"/>
    <w:rsid w:val="002630D3"/>
    <w:rsid w:val="00263365"/>
    <w:rsid w:val="00264BCB"/>
    <w:rsid w:val="00265C0D"/>
    <w:rsid w:val="00272CC7"/>
    <w:rsid w:val="00272F32"/>
    <w:rsid w:val="00273480"/>
    <w:rsid w:val="00276CC4"/>
    <w:rsid w:val="00277472"/>
    <w:rsid w:val="00281BC2"/>
    <w:rsid w:val="00282C8D"/>
    <w:rsid w:val="00285632"/>
    <w:rsid w:val="00286B96"/>
    <w:rsid w:val="00290FE0"/>
    <w:rsid w:val="00291AC6"/>
    <w:rsid w:val="00292356"/>
    <w:rsid w:val="002923FC"/>
    <w:rsid w:val="002939C3"/>
    <w:rsid w:val="00294A2A"/>
    <w:rsid w:val="00295426"/>
    <w:rsid w:val="00296B1D"/>
    <w:rsid w:val="002A04AE"/>
    <w:rsid w:val="002A52EB"/>
    <w:rsid w:val="002A64DC"/>
    <w:rsid w:val="002A7815"/>
    <w:rsid w:val="002B05D8"/>
    <w:rsid w:val="002B2A06"/>
    <w:rsid w:val="002B362F"/>
    <w:rsid w:val="002B4A95"/>
    <w:rsid w:val="002B5FB7"/>
    <w:rsid w:val="002C1A5F"/>
    <w:rsid w:val="002C30E6"/>
    <w:rsid w:val="002C36DC"/>
    <w:rsid w:val="002D3EAF"/>
    <w:rsid w:val="002D4E38"/>
    <w:rsid w:val="002D6910"/>
    <w:rsid w:val="002E3CA7"/>
    <w:rsid w:val="002E5A11"/>
    <w:rsid w:val="002F3757"/>
    <w:rsid w:val="002F3C70"/>
    <w:rsid w:val="002F4813"/>
    <w:rsid w:val="002F7056"/>
    <w:rsid w:val="003015C4"/>
    <w:rsid w:val="00303451"/>
    <w:rsid w:val="00306B31"/>
    <w:rsid w:val="00307FA5"/>
    <w:rsid w:val="003122C1"/>
    <w:rsid w:val="00312D6A"/>
    <w:rsid w:val="00312EBC"/>
    <w:rsid w:val="00313A63"/>
    <w:rsid w:val="00314558"/>
    <w:rsid w:val="00315965"/>
    <w:rsid w:val="00316B9D"/>
    <w:rsid w:val="003237EB"/>
    <w:rsid w:val="003247DC"/>
    <w:rsid w:val="00325696"/>
    <w:rsid w:val="003265EC"/>
    <w:rsid w:val="00333E3E"/>
    <w:rsid w:val="00333F2A"/>
    <w:rsid w:val="00340EAF"/>
    <w:rsid w:val="00340F63"/>
    <w:rsid w:val="003456AB"/>
    <w:rsid w:val="00345DB9"/>
    <w:rsid w:val="003462BE"/>
    <w:rsid w:val="0034693F"/>
    <w:rsid w:val="00346E4E"/>
    <w:rsid w:val="00354AB3"/>
    <w:rsid w:val="0036128C"/>
    <w:rsid w:val="00361A2E"/>
    <w:rsid w:val="00361E82"/>
    <w:rsid w:val="00364CE8"/>
    <w:rsid w:val="003657A2"/>
    <w:rsid w:val="00365FA7"/>
    <w:rsid w:val="00367DA9"/>
    <w:rsid w:val="00370359"/>
    <w:rsid w:val="0037058F"/>
    <w:rsid w:val="00370D28"/>
    <w:rsid w:val="00370F40"/>
    <w:rsid w:val="00371939"/>
    <w:rsid w:val="00373324"/>
    <w:rsid w:val="00373834"/>
    <w:rsid w:val="00374D70"/>
    <w:rsid w:val="003758A7"/>
    <w:rsid w:val="00383D5E"/>
    <w:rsid w:val="003843CC"/>
    <w:rsid w:val="003844E3"/>
    <w:rsid w:val="00385710"/>
    <w:rsid w:val="00387B6D"/>
    <w:rsid w:val="0039110B"/>
    <w:rsid w:val="003948FE"/>
    <w:rsid w:val="003A1C53"/>
    <w:rsid w:val="003B5A2D"/>
    <w:rsid w:val="003B761B"/>
    <w:rsid w:val="003B7CBE"/>
    <w:rsid w:val="003C0AE0"/>
    <w:rsid w:val="003C44D0"/>
    <w:rsid w:val="003C4AC6"/>
    <w:rsid w:val="003C4B76"/>
    <w:rsid w:val="003C5B9E"/>
    <w:rsid w:val="003C7755"/>
    <w:rsid w:val="003D47AB"/>
    <w:rsid w:val="003D491F"/>
    <w:rsid w:val="003D60B2"/>
    <w:rsid w:val="003D77A2"/>
    <w:rsid w:val="003E2197"/>
    <w:rsid w:val="003E34F9"/>
    <w:rsid w:val="003E43E2"/>
    <w:rsid w:val="003E6AAC"/>
    <w:rsid w:val="003F014D"/>
    <w:rsid w:val="003F13A4"/>
    <w:rsid w:val="003F2F79"/>
    <w:rsid w:val="003F5F53"/>
    <w:rsid w:val="003F762D"/>
    <w:rsid w:val="004008EC"/>
    <w:rsid w:val="004011CD"/>
    <w:rsid w:val="004025B1"/>
    <w:rsid w:val="00402A4A"/>
    <w:rsid w:val="004058D4"/>
    <w:rsid w:val="00406AAF"/>
    <w:rsid w:val="004104D7"/>
    <w:rsid w:val="004114E6"/>
    <w:rsid w:val="00411DC8"/>
    <w:rsid w:val="004132AB"/>
    <w:rsid w:val="00413B84"/>
    <w:rsid w:val="00414D14"/>
    <w:rsid w:val="00416B9E"/>
    <w:rsid w:val="00423D0C"/>
    <w:rsid w:val="00424ACE"/>
    <w:rsid w:val="00426AD8"/>
    <w:rsid w:val="00433332"/>
    <w:rsid w:val="004364DF"/>
    <w:rsid w:val="00436F57"/>
    <w:rsid w:val="00436F91"/>
    <w:rsid w:val="00437735"/>
    <w:rsid w:val="00437A15"/>
    <w:rsid w:val="00437BD3"/>
    <w:rsid w:val="004455D5"/>
    <w:rsid w:val="00446FE8"/>
    <w:rsid w:val="0045015B"/>
    <w:rsid w:val="00453DB6"/>
    <w:rsid w:val="00453E27"/>
    <w:rsid w:val="004567EA"/>
    <w:rsid w:val="00460257"/>
    <w:rsid w:val="0046506D"/>
    <w:rsid w:val="004677C5"/>
    <w:rsid w:val="00476909"/>
    <w:rsid w:val="0048714D"/>
    <w:rsid w:val="004924A6"/>
    <w:rsid w:val="00493CD4"/>
    <w:rsid w:val="00497548"/>
    <w:rsid w:val="004A0D32"/>
    <w:rsid w:val="004A33E5"/>
    <w:rsid w:val="004A3B8E"/>
    <w:rsid w:val="004A5C4E"/>
    <w:rsid w:val="004A5DC6"/>
    <w:rsid w:val="004A642C"/>
    <w:rsid w:val="004B148D"/>
    <w:rsid w:val="004B1C40"/>
    <w:rsid w:val="004B23AE"/>
    <w:rsid w:val="004B3346"/>
    <w:rsid w:val="004B3565"/>
    <w:rsid w:val="004B3696"/>
    <w:rsid w:val="004B5323"/>
    <w:rsid w:val="004B6FE6"/>
    <w:rsid w:val="004B79F7"/>
    <w:rsid w:val="004C0FEB"/>
    <w:rsid w:val="004C1B80"/>
    <w:rsid w:val="004C4C21"/>
    <w:rsid w:val="004D1B47"/>
    <w:rsid w:val="004D1EA3"/>
    <w:rsid w:val="004D46A5"/>
    <w:rsid w:val="004E08B3"/>
    <w:rsid w:val="004E3F6E"/>
    <w:rsid w:val="004E6BC2"/>
    <w:rsid w:val="004E75C0"/>
    <w:rsid w:val="004F23B4"/>
    <w:rsid w:val="004F42E8"/>
    <w:rsid w:val="004F57CC"/>
    <w:rsid w:val="004F7767"/>
    <w:rsid w:val="00503878"/>
    <w:rsid w:val="00506F4C"/>
    <w:rsid w:val="00507986"/>
    <w:rsid w:val="005133F2"/>
    <w:rsid w:val="005202A1"/>
    <w:rsid w:val="00520BB3"/>
    <w:rsid w:val="00525670"/>
    <w:rsid w:val="00527B4A"/>
    <w:rsid w:val="00527D34"/>
    <w:rsid w:val="00531155"/>
    <w:rsid w:val="00534BC2"/>
    <w:rsid w:val="00535BB2"/>
    <w:rsid w:val="0053684E"/>
    <w:rsid w:val="00536C00"/>
    <w:rsid w:val="00536E05"/>
    <w:rsid w:val="00545D26"/>
    <w:rsid w:val="00552D87"/>
    <w:rsid w:val="0055465A"/>
    <w:rsid w:val="00556646"/>
    <w:rsid w:val="005619CA"/>
    <w:rsid w:val="00561E39"/>
    <w:rsid w:val="00564C88"/>
    <w:rsid w:val="0056518E"/>
    <w:rsid w:val="00567FB6"/>
    <w:rsid w:val="00573DD1"/>
    <w:rsid w:val="005746C6"/>
    <w:rsid w:val="00577CC5"/>
    <w:rsid w:val="00582047"/>
    <w:rsid w:val="00582CFE"/>
    <w:rsid w:val="005851D2"/>
    <w:rsid w:val="0058716B"/>
    <w:rsid w:val="00594590"/>
    <w:rsid w:val="00594EC2"/>
    <w:rsid w:val="00594F22"/>
    <w:rsid w:val="005A3179"/>
    <w:rsid w:val="005A44FF"/>
    <w:rsid w:val="005A4EC9"/>
    <w:rsid w:val="005B0AED"/>
    <w:rsid w:val="005B2490"/>
    <w:rsid w:val="005B3A1B"/>
    <w:rsid w:val="005B78B8"/>
    <w:rsid w:val="005C1885"/>
    <w:rsid w:val="005C25BF"/>
    <w:rsid w:val="005C3493"/>
    <w:rsid w:val="005C4501"/>
    <w:rsid w:val="005C4968"/>
    <w:rsid w:val="005C6F5F"/>
    <w:rsid w:val="005C7F9D"/>
    <w:rsid w:val="005D5B58"/>
    <w:rsid w:val="005D6F6D"/>
    <w:rsid w:val="005E3797"/>
    <w:rsid w:val="005E4BB0"/>
    <w:rsid w:val="005E6A5B"/>
    <w:rsid w:val="005F3278"/>
    <w:rsid w:val="005F43F5"/>
    <w:rsid w:val="005F56A6"/>
    <w:rsid w:val="006025AE"/>
    <w:rsid w:val="006035C8"/>
    <w:rsid w:val="0060520F"/>
    <w:rsid w:val="00605935"/>
    <w:rsid w:val="00611306"/>
    <w:rsid w:val="00612519"/>
    <w:rsid w:val="00614F5D"/>
    <w:rsid w:val="0062128B"/>
    <w:rsid w:val="00623034"/>
    <w:rsid w:val="00626B38"/>
    <w:rsid w:val="00635956"/>
    <w:rsid w:val="006363EC"/>
    <w:rsid w:val="006373EC"/>
    <w:rsid w:val="006405E2"/>
    <w:rsid w:val="00645625"/>
    <w:rsid w:val="0065039D"/>
    <w:rsid w:val="0065106E"/>
    <w:rsid w:val="00653C4A"/>
    <w:rsid w:val="006547F4"/>
    <w:rsid w:val="00655610"/>
    <w:rsid w:val="00655EDD"/>
    <w:rsid w:val="00657619"/>
    <w:rsid w:val="00665D7C"/>
    <w:rsid w:val="00665EAF"/>
    <w:rsid w:val="00666F13"/>
    <w:rsid w:val="00671E72"/>
    <w:rsid w:val="00672F1C"/>
    <w:rsid w:val="00674C5F"/>
    <w:rsid w:val="00675A66"/>
    <w:rsid w:val="006771C9"/>
    <w:rsid w:val="00677A98"/>
    <w:rsid w:val="006844F6"/>
    <w:rsid w:val="00684FDB"/>
    <w:rsid w:val="00685B2B"/>
    <w:rsid w:val="00687135"/>
    <w:rsid w:val="00687A22"/>
    <w:rsid w:val="006931DC"/>
    <w:rsid w:val="00695987"/>
    <w:rsid w:val="00696D2A"/>
    <w:rsid w:val="006975D0"/>
    <w:rsid w:val="006A19A3"/>
    <w:rsid w:val="006A2C33"/>
    <w:rsid w:val="006A6197"/>
    <w:rsid w:val="006B050F"/>
    <w:rsid w:val="006B201D"/>
    <w:rsid w:val="006B31FA"/>
    <w:rsid w:val="006B3550"/>
    <w:rsid w:val="006B40F2"/>
    <w:rsid w:val="006B61A0"/>
    <w:rsid w:val="006C306E"/>
    <w:rsid w:val="006C536F"/>
    <w:rsid w:val="006C5DC0"/>
    <w:rsid w:val="006C703C"/>
    <w:rsid w:val="006C7332"/>
    <w:rsid w:val="006D1C83"/>
    <w:rsid w:val="006D4457"/>
    <w:rsid w:val="006D5325"/>
    <w:rsid w:val="006D78FF"/>
    <w:rsid w:val="006E30DF"/>
    <w:rsid w:val="006E587A"/>
    <w:rsid w:val="006E6FDA"/>
    <w:rsid w:val="006F3E92"/>
    <w:rsid w:val="006F5B41"/>
    <w:rsid w:val="006F5E95"/>
    <w:rsid w:val="00702E4E"/>
    <w:rsid w:val="00702F64"/>
    <w:rsid w:val="007101D9"/>
    <w:rsid w:val="00711C6E"/>
    <w:rsid w:val="007128A5"/>
    <w:rsid w:val="00716D9C"/>
    <w:rsid w:val="00724C3F"/>
    <w:rsid w:val="00726E71"/>
    <w:rsid w:val="00727A7C"/>
    <w:rsid w:val="00730821"/>
    <w:rsid w:val="007341DE"/>
    <w:rsid w:val="00734BCA"/>
    <w:rsid w:val="0073567F"/>
    <w:rsid w:val="00741C9F"/>
    <w:rsid w:val="0074575E"/>
    <w:rsid w:val="007461A9"/>
    <w:rsid w:val="0074636D"/>
    <w:rsid w:val="00746F13"/>
    <w:rsid w:val="007476B9"/>
    <w:rsid w:val="00747F2F"/>
    <w:rsid w:val="0075137E"/>
    <w:rsid w:val="00751631"/>
    <w:rsid w:val="007551A8"/>
    <w:rsid w:val="00755DDF"/>
    <w:rsid w:val="007607F2"/>
    <w:rsid w:val="0076430E"/>
    <w:rsid w:val="00766FB0"/>
    <w:rsid w:val="007675D0"/>
    <w:rsid w:val="00772049"/>
    <w:rsid w:val="0077282D"/>
    <w:rsid w:val="00772F88"/>
    <w:rsid w:val="00775D36"/>
    <w:rsid w:val="0077612D"/>
    <w:rsid w:val="00777291"/>
    <w:rsid w:val="00786386"/>
    <w:rsid w:val="00786E53"/>
    <w:rsid w:val="0079081F"/>
    <w:rsid w:val="007A18CD"/>
    <w:rsid w:val="007A28C4"/>
    <w:rsid w:val="007A5D70"/>
    <w:rsid w:val="007B3BFD"/>
    <w:rsid w:val="007B587B"/>
    <w:rsid w:val="007B5BFB"/>
    <w:rsid w:val="007B7CBD"/>
    <w:rsid w:val="007C52BF"/>
    <w:rsid w:val="007C5D5F"/>
    <w:rsid w:val="007C5EF2"/>
    <w:rsid w:val="007C7969"/>
    <w:rsid w:val="007D111B"/>
    <w:rsid w:val="007D1752"/>
    <w:rsid w:val="007D3E15"/>
    <w:rsid w:val="007D41A5"/>
    <w:rsid w:val="007D5F97"/>
    <w:rsid w:val="007E3657"/>
    <w:rsid w:val="007E6449"/>
    <w:rsid w:val="007F0F13"/>
    <w:rsid w:val="007F18BA"/>
    <w:rsid w:val="007F341C"/>
    <w:rsid w:val="007F38CF"/>
    <w:rsid w:val="008039F5"/>
    <w:rsid w:val="008052F3"/>
    <w:rsid w:val="00806113"/>
    <w:rsid w:val="00811AAA"/>
    <w:rsid w:val="00811B21"/>
    <w:rsid w:val="00816554"/>
    <w:rsid w:val="00816B7C"/>
    <w:rsid w:val="008204DD"/>
    <w:rsid w:val="008216A1"/>
    <w:rsid w:val="00821C85"/>
    <w:rsid w:val="0082297A"/>
    <w:rsid w:val="00824234"/>
    <w:rsid w:val="008242EF"/>
    <w:rsid w:val="00826D0D"/>
    <w:rsid w:val="008270EA"/>
    <w:rsid w:val="00830D2A"/>
    <w:rsid w:val="008323B5"/>
    <w:rsid w:val="00832487"/>
    <w:rsid w:val="00835A35"/>
    <w:rsid w:val="008379B2"/>
    <w:rsid w:val="00837A7C"/>
    <w:rsid w:val="00841BED"/>
    <w:rsid w:val="00842CE6"/>
    <w:rsid w:val="00845882"/>
    <w:rsid w:val="0084749C"/>
    <w:rsid w:val="00855D71"/>
    <w:rsid w:val="00856560"/>
    <w:rsid w:val="0086395D"/>
    <w:rsid w:val="00863C78"/>
    <w:rsid w:val="00865DD6"/>
    <w:rsid w:val="00866898"/>
    <w:rsid w:val="00867481"/>
    <w:rsid w:val="00867EF9"/>
    <w:rsid w:val="00871BE8"/>
    <w:rsid w:val="00874560"/>
    <w:rsid w:val="00874F90"/>
    <w:rsid w:val="0087547A"/>
    <w:rsid w:val="008772EA"/>
    <w:rsid w:val="00877A09"/>
    <w:rsid w:val="00883B31"/>
    <w:rsid w:val="00885CB2"/>
    <w:rsid w:val="008877D0"/>
    <w:rsid w:val="00895F5D"/>
    <w:rsid w:val="008973AD"/>
    <w:rsid w:val="008A0BA1"/>
    <w:rsid w:val="008A135C"/>
    <w:rsid w:val="008A17E5"/>
    <w:rsid w:val="008A2746"/>
    <w:rsid w:val="008A455E"/>
    <w:rsid w:val="008A6575"/>
    <w:rsid w:val="008B04AB"/>
    <w:rsid w:val="008B29C6"/>
    <w:rsid w:val="008B4050"/>
    <w:rsid w:val="008B73EA"/>
    <w:rsid w:val="008C1512"/>
    <w:rsid w:val="008C7EC1"/>
    <w:rsid w:val="008D3868"/>
    <w:rsid w:val="008D4017"/>
    <w:rsid w:val="008D51F6"/>
    <w:rsid w:val="008D54E2"/>
    <w:rsid w:val="008D623B"/>
    <w:rsid w:val="008D6FF4"/>
    <w:rsid w:val="008D7154"/>
    <w:rsid w:val="008E11C1"/>
    <w:rsid w:val="008E17E6"/>
    <w:rsid w:val="008E1CEF"/>
    <w:rsid w:val="008E2A1B"/>
    <w:rsid w:val="008E763D"/>
    <w:rsid w:val="008F1C4F"/>
    <w:rsid w:val="008F3280"/>
    <w:rsid w:val="008F5FDE"/>
    <w:rsid w:val="008F7FFB"/>
    <w:rsid w:val="009003AF"/>
    <w:rsid w:val="009037FB"/>
    <w:rsid w:val="00904341"/>
    <w:rsid w:val="00904EF3"/>
    <w:rsid w:val="00905670"/>
    <w:rsid w:val="00905EB9"/>
    <w:rsid w:val="00911079"/>
    <w:rsid w:val="00911EDF"/>
    <w:rsid w:val="00914100"/>
    <w:rsid w:val="00923E30"/>
    <w:rsid w:val="0092597F"/>
    <w:rsid w:val="00925E19"/>
    <w:rsid w:val="00930A87"/>
    <w:rsid w:val="00932684"/>
    <w:rsid w:val="00932685"/>
    <w:rsid w:val="009347C2"/>
    <w:rsid w:val="00936013"/>
    <w:rsid w:val="00937F7C"/>
    <w:rsid w:val="00940051"/>
    <w:rsid w:val="00943D48"/>
    <w:rsid w:val="0094430A"/>
    <w:rsid w:val="009444CC"/>
    <w:rsid w:val="00944B09"/>
    <w:rsid w:val="009474E7"/>
    <w:rsid w:val="00951D08"/>
    <w:rsid w:val="00952A32"/>
    <w:rsid w:val="00952B8B"/>
    <w:rsid w:val="00953517"/>
    <w:rsid w:val="009561F4"/>
    <w:rsid w:val="00960893"/>
    <w:rsid w:val="00961B40"/>
    <w:rsid w:val="00961F7D"/>
    <w:rsid w:val="00964EE4"/>
    <w:rsid w:val="00964F2A"/>
    <w:rsid w:val="00967FD2"/>
    <w:rsid w:val="0097116E"/>
    <w:rsid w:val="00974943"/>
    <w:rsid w:val="0098073D"/>
    <w:rsid w:val="00984A5D"/>
    <w:rsid w:val="00984E55"/>
    <w:rsid w:val="00985AF9"/>
    <w:rsid w:val="00993AD3"/>
    <w:rsid w:val="00993DAE"/>
    <w:rsid w:val="00995429"/>
    <w:rsid w:val="00996CAB"/>
    <w:rsid w:val="009A09A7"/>
    <w:rsid w:val="009A0BCB"/>
    <w:rsid w:val="009A102B"/>
    <w:rsid w:val="009A261D"/>
    <w:rsid w:val="009A4075"/>
    <w:rsid w:val="009A40E6"/>
    <w:rsid w:val="009A5712"/>
    <w:rsid w:val="009A5B72"/>
    <w:rsid w:val="009A5FA8"/>
    <w:rsid w:val="009A6308"/>
    <w:rsid w:val="009A67FD"/>
    <w:rsid w:val="009A70CC"/>
    <w:rsid w:val="009B529C"/>
    <w:rsid w:val="009B60CF"/>
    <w:rsid w:val="009B73E1"/>
    <w:rsid w:val="009B7A46"/>
    <w:rsid w:val="009C126D"/>
    <w:rsid w:val="009C1785"/>
    <w:rsid w:val="009C5DC4"/>
    <w:rsid w:val="009C7880"/>
    <w:rsid w:val="009C7F4C"/>
    <w:rsid w:val="009D1E01"/>
    <w:rsid w:val="009D2C47"/>
    <w:rsid w:val="009D54C3"/>
    <w:rsid w:val="009D6720"/>
    <w:rsid w:val="009E3AAB"/>
    <w:rsid w:val="009E474A"/>
    <w:rsid w:val="009E6453"/>
    <w:rsid w:val="009E6FC5"/>
    <w:rsid w:val="009E77FC"/>
    <w:rsid w:val="009F2946"/>
    <w:rsid w:val="009F3D42"/>
    <w:rsid w:val="009F63C6"/>
    <w:rsid w:val="00A008D8"/>
    <w:rsid w:val="00A00FB0"/>
    <w:rsid w:val="00A03894"/>
    <w:rsid w:val="00A03AF6"/>
    <w:rsid w:val="00A06840"/>
    <w:rsid w:val="00A06B77"/>
    <w:rsid w:val="00A073E3"/>
    <w:rsid w:val="00A07C89"/>
    <w:rsid w:val="00A1283A"/>
    <w:rsid w:val="00A138D9"/>
    <w:rsid w:val="00A221C7"/>
    <w:rsid w:val="00A22BCF"/>
    <w:rsid w:val="00A310BE"/>
    <w:rsid w:val="00A33059"/>
    <w:rsid w:val="00A351D1"/>
    <w:rsid w:val="00A37A44"/>
    <w:rsid w:val="00A411E4"/>
    <w:rsid w:val="00A41C1B"/>
    <w:rsid w:val="00A430D6"/>
    <w:rsid w:val="00A44AE0"/>
    <w:rsid w:val="00A45CF4"/>
    <w:rsid w:val="00A463E3"/>
    <w:rsid w:val="00A4672B"/>
    <w:rsid w:val="00A46DC9"/>
    <w:rsid w:val="00A51C37"/>
    <w:rsid w:val="00A53AD6"/>
    <w:rsid w:val="00A53B72"/>
    <w:rsid w:val="00A5533F"/>
    <w:rsid w:val="00A55FD2"/>
    <w:rsid w:val="00A57892"/>
    <w:rsid w:val="00A6270C"/>
    <w:rsid w:val="00A64D6A"/>
    <w:rsid w:val="00A65B59"/>
    <w:rsid w:val="00A65B5F"/>
    <w:rsid w:val="00A67527"/>
    <w:rsid w:val="00A676F5"/>
    <w:rsid w:val="00A70ADD"/>
    <w:rsid w:val="00A71EBE"/>
    <w:rsid w:val="00A7210E"/>
    <w:rsid w:val="00A7516C"/>
    <w:rsid w:val="00A81941"/>
    <w:rsid w:val="00A819A1"/>
    <w:rsid w:val="00A82956"/>
    <w:rsid w:val="00A82A56"/>
    <w:rsid w:val="00A82A96"/>
    <w:rsid w:val="00A83DBA"/>
    <w:rsid w:val="00A85984"/>
    <w:rsid w:val="00A85A6A"/>
    <w:rsid w:val="00A8768E"/>
    <w:rsid w:val="00A92623"/>
    <w:rsid w:val="00A94583"/>
    <w:rsid w:val="00A95EA4"/>
    <w:rsid w:val="00A970F6"/>
    <w:rsid w:val="00A97D33"/>
    <w:rsid w:val="00AA101D"/>
    <w:rsid w:val="00AA11F4"/>
    <w:rsid w:val="00AA2D8D"/>
    <w:rsid w:val="00AA441E"/>
    <w:rsid w:val="00AA4907"/>
    <w:rsid w:val="00AA71B2"/>
    <w:rsid w:val="00AB011B"/>
    <w:rsid w:val="00AB1427"/>
    <w:rsid w:val="00AB19E3"/>
    <w:rsid w:val="00AB1B64"/>
    <w:rsid w:val="00AB1C26"/>
    <w:rsid w:val="00AB542A"/>
    <w:rsid w:val="00AB6BF9"/>
    <w:rsid w:val="00AB6EAF"/>
    <w:rsid w:val="00AC5D55"/>
    <w:rsid w:val="00AC79D4"/>
    <w:rsid w:val="00AD0A20"/>
    <w:rsid w:val="00AD2172"/>
    <w:rsid w:val="00AD4142"/>
    <w:rsid w:val="00AD6EBF"/>
    <w:rsid w:val="00AD738E"/>
    <w:rsid w:val="00AE0CF6"/>
    <w:rsid w:val="00AE1CD1"/>
    <w:rsid w:val="00AE222B"/>
    <w:rsid w:val="00AE2ADA"/>
    <w:rsid w:val="00AE491F"/>
    <w:rsid w:val="00AE67A2"/>
    <w:rsid w:val="00AF02F5"/>
    <w:rsid w:val="00AF1A23"/>
    <w:rsid w:val="00AF2EC8"/>
    <w:rsid w:val="00AF7537"/>
    <w:rsid w:val="00B01B91"/>
    <w:rsid w:val="00B01FAA"/>
    <w:rsid w:val="00B06048"/>
    <w:rsid w:val="00B063F3"/>
    <w:rsid w:val="00B074C1"/>
    <w:rsid w:val="00B129C5"/>
    <w:rsid w:val="00B20AEA"/>
    <w:rsid w:val="00B20F32"/>
    <w:rsid w:val="00B21F6D"/>
    <w:rsid w:val="00B266A1"/>
    <w:rsid w:val="00B279F6"/>
    <w:rsid w:val="00B315C1"/>
    <w:rsid w:val="00B317F7"/>
    <w:rsid w:val="00B32E92"/>
    <w:rsid w:val="00B33C9B"/>
    <w:rsid w:val="00B33F87"/>
    <w:rsid w:val="00B3798C"/>
    <w:rsid w:val="00B43940"/>
    <w:rsid w:val="00B5475C"/>
    <w:rsid w:val="00B5771C"/>
    <w:rsid w:val="00B60BF5"/>
    <w:rsid w:val="00B639FA"/>
    <w:rsid w:val="00B659CC"/>
    <w:rsid w:val="00B673E9"/>
    <w:rsid w:val="00B70014"/>
    <w:rsid w:val="00B76C40"/>
    <w:rsid w:val="00B81927"/>
    <w:rsid w:val="00B8263C"/>
    <w:rsid w:val="00B82D33"/>
    <w:rsid w:val="00B834CD"/>
    <w:rsid w:val="00B853B4"/>
    <w:rsid w:val="00B92552"/>
    <w:rsid w:val="00B92A57"/>
    <w:rsid w:val="00B92AB4"/>
    <w:rsid w:val="00B9341E"/>
    <w:rsid w:val="00B94412"/>
    <w:rsid w:val="00B95ADF"/>
    <w:rsid w:val="00BA1EB8"/>
    <w:rsid w:val="00BA22BF"/>
    <w:rsid w:val="00BA507B"/>
    <w:rsid w:val="00BA571D"/>
    <w:rsid w:val="00BA638D"/>
    <w:rsid w:val="00BA7A9D"/>
    <w:rsid w:val="00BB05BB"/>
    <w:rsid w:val="00BB2376"/>
    <w:rsid w:val="00BB2FEA"/>
    <w:rsid w:val="00BB6240"/>
    <w:rsid w:val="00BC33E5"/>
    <w:rsid w:val="00BC3635"/>
    <w:rsid w:val="00BC365A"/>
    <w:rsid w:val="00BC3D17"/>
    <w:rsid w:val="00BC491C"/>
    <w:rsid w:val="00BC6E95"/>
    <w:rsid w:val="00BC706F"/>
    <w:rsid w:val="00BD252F"/>
    <w:rsid w:val="00BE012C"/>
    <w:rsid w:val="00BE2C8D"/>
    <w:rsid w:val="00BE4B13"/>
    <w:rsid w:val="00BE7A3E"/>
    <w:rsid w:val="00BF38A5"/>
    <w:rsid w:val="00BF38BD"/>
    <w:rsid w:val="00BF3C9A"/>
    <w:rsid w:val="00BF4953"/>
    <w:rsid w:val="00BF700A"/>
    <w:rsid w:val="00BF7217"/>
    <w:rsid w:val="00C01758"/>
    <w:rsid w:val="00C02397"/>
    <w:rsid w:val="00C02AF2"/>
    <w:rsid w:val="00C03470"/>
    <w:rsid w:val="00C05E04"/>
    <w:rsid w:val="00C10316"/>
    <w:rsid w:val="00C12A4D"/>
    <w:rsid w:val="00C17166"/>
    <w:rsid w:val="00C27D41"/>
    <w:rsid w:val="00C3016A"/>
    <w:rsid w:val="00C37757"/>
    <w:rsid w:val="00C4308F"/>
    <w:rsid w:val="00C53FF2"/>
    <w:rsid w:val="00C543D0"/>
    <w:rsid w:val="00C5709D"/>
    <w:rsid w:val="00C570D3"/>
    <w:rsid w:val="00C6119D"/>
    <w:rsid w:val="00C616D8"/>
    <w:rsid w:val="00C638DD"/>
    <w:rsid w:val="00C64DC2"/>
    <w:rsid w:val="00C728D0"/>
    <w:rsid w:val="00C74ACD"/>
    <w:rsid w:val="00C7593C"/>
    <w:rsid w:val="00C777E8"/>
    <w:rsid w:val="00C8090B"/>
    <w:rsid w:val="00C8340D"/>
    <w:rsid w:val="00C8425C"/>
    <w:rsid w:val="00C850B9"/>
    <w:rsid w:val="00C87EC8"/>
    <w:rsid w:val="00C91BA2"/>
    <w:rsid w:val="00C93D3A"/>
    <w:rsid w:val="00C95134"/>
    <w:rsid w:val="00C952D4"/>
    <w:rsid w:val="00C95678"/>
    <w:rsid w:val="00CA59AE"/>
    <w:rsid w:val="00CA73FA"/>
    <w:rsid w:val="00CB0C73"/>
    <w:rsid w:val="00CB10B7"/>
    <w:rsid w:val="00CB501A"/>
    <w:rsid w:val="00CB6CCC"/>
    <w:rsid w:val="00CB6D23"/>
    <w:rsid w:val="00CB6D75"/>
    <w:rsid w:val="00CC2D90"/>
    <w:rsid w:val="00CC340E"/>
    <w:rsid w:val="00CC7253"/>
    <w:rsid w:val="00CC7497"/>
    <w:rsid w:val="00CC754F"/>
    <w:rsid w:val="00CD1854"/>
    <w:rsid w:val="00CE1EAA"/>
    <w:rsid w:val="00CE4D94"/>
    <w:rsid w:val="00CE5B66"/>
    <w:rsid w:val="00CE65F5"/>
    <w:rsid w:val="00CF1EAF"/>
    <w:rsid w:val="00CF4459"/>
    <w:rsid w:val="00D01EBF"/>
    <w:rsid w:val="00D02E00"/>
    <w:rsid w:val="00D05542"/>
    <w:rsid w:val="00D06DF1"/>
    <w:rsid w:val="00D10634"/>
    <w:rsid w:val="00D11C0A"/>
    <w:rsid w:val="00D21589"/>
    <w:rsid w:val="00D237A1"/>
    <w:rsid w:val="00D23922"/>
    <w:rsid w:val="00D26AB4"/>
    <w:rsid w:val="00D30D22"/>
    <w:rsid w:val="00D40205"/>
    <w:rsid w:val="00D41AFD"/>
    <w:rsid w:val="00D44CB5"/>
    <w:rsid w:val="00D45656"/>
    <w:rsid w:val="00D4743A"/>
    <w:rsid w:val="00D55A25"/>
    <w:rsid w:val="00D576AE"/>
    <w:rsid w:val="00D63241"/>
    <w:rsid w:val="00D66277"/>
    <w:rsid w:val="00D67882"/>
    <w:rsid w:val="00D70083"/>
    <w:rsid w:val="00D718A6"/>
    <w:rsid w:val="00D746B7"/>
    <w:rsid w:val="00D7579C"/>
    <w:rsid w:val="00D75CC9"/>
    <w:rsid w:val="00D76D4C"/>
    <w:rsid w:val="00D822D7"/>
    <w:rsid w:val="00D82CFD"/>
    <w:rsid w:val="00D849DF"/>
    <w:rsid w:val="00D85279"/>
    <w:rsid w:val="00D86A4B"/>
    <w:rsid w:val="00D90933"/>
    <w:rsid w:val="00D922DC"/>
    <w:rsid w:val="00D97010"/>
    <w:rsid w:val="00DA0685"/>
    <w:rsid w:val="00DA20B9"/>
    <w:rsid w:val="00DA32C7"/>
    <w:rsid w:val="00DA5B43"/>
    <w:rsid w:val="00DB1416"/>
    <w:rsid w:val="00DB1C30"/>
    <w:rsid w:val="00DC3692"/>
    <w:rsid w:val="00DC388E"/>
    <w:rsid w:val="00DC4397"/>
    <w:rsid w:val="00DC5941"/>
    <w:rsid w:val="00DC5C5F"/>
    <w:rsid w:val="00DC60CE"/>
    <w:rsid w:val="00DC666C"/>
    <w:rsid w:val="00DC70AC"/>
    <w:rsid w:val="00DD480E"/>
    <w:rsid w:val="00DD4E0A"/>
    <w:rsid w:val="00DD6C0F"/>
    <w:rsid w:val="00DE112F"/>
    <w:rsid w:val="00DE13F8"/>
    <w:rsid w:val="00DE1FA5"/>
    <w:rsid w:val="00DE6052"/>
    <w:rsid w:val="00DE7F51"/>
    <w:rsid w:val="00DF19E3"/>
    <w:rsid w:val="00DF2202"/>
    <w:rsid w:val="00DF4266"/>
    <w:rsid w:val="00DF5115"/>
    <w:rsid w:val="00DF768D"/>
    <w:rsid w:val="00E0107B"/>
    <w:rsid w:val="00E026CE"/>
    <w:rsid w:val="00E02B52"/>
    <w:rsid w:val="00E02F6B"/>
    <w:rsid w:val="00E0421E"/>
    <w:rsid w:val="00E04DB6"/>
    <w:rsid w:val="00E06F95"/>
    <w:rsid w:val="00E07711"/>
    <w:rsid w:val="00E07BF4"/>
    <w:rsid w:val="00E100AD"/>
    <w:rsid w:val="00E10524"/>
    <w:rsid w:val="00E138D1"/>
    <w:rsid w:val="00E167D2"/>
    <w:rsid w:val="00E21DC0"/>
    <w:rsid w:val="00E23B3C"/>
    <w:rsid w:val="00E26C9C"/>
    <w:rsid w:val="00E345D5"/>
    <w:rsid w:val="00E346E6"/>
    <w:rsid w:val="00E361F1"/>
    <w:rsid w:val="00E40BC2"/>
    <w:rsid w:val="00E42A6D"/>
    <w:rsid w:val="00E521A9"/>
    <w:rsid w:val="00E57767"/>
    <w:rsid w:val="00E623E4"/>
    <w:rsid w:val="00E65DF2"/>
    <w:rsid w:val="00E66A15"/>
    <w:rsid w:val="00E74A28"/>
    <w:rsid w:val="00E74B70"/>
    <w:rsid w:val="00E76DF6"/>
    <w:rsid w:val="00E77021"/>
    <w:rsid w:val="00E817F1"/>
    <w:rsid w:val="00E82015"/>
    <w:rsid w:val="00E82B0E"/>
    <w:rsid w:val="00E83370"/>
    <w:rsid w:val="00E83D14"/>
    <w:rsid w:val="00E84684"/>
    <w:rsid w:val="00E8678F"/>
    <w:rsid w:val="00E9147E"/>
    <w:rsid w:val="00E9559E"/>
    <w:rsid w:val="00EA05C0"/>
    <w:rsid w:val="00EA22AB"/>
    <w:rsid w:val="00EA3708"/>
    <w:rsid w:val="00EA41FE"/>
    <w:rsid w:val="00EB14AF"/>
    <w:rsid w:val="00EB1F2D"/>
    <w:rsid w:val="00EB2C35"/>
    <w:rsid w:val="00EB6016"/>
    <w:rsid w:val="00EB7158"/>
    <w:rsid w:val="00EC64D3"/>
    <w:rsid w:val="00EC696B"/>
    <w:rsid w:val="00ED06B9"/>
    <w:rsid w:val="00ED0EB4"/>
    <w:rsid w:val="00ED34CE"/>
    <w:rsid w:val="00ED768D"/>
    <w:rsid w:val="00EE0825"/>
    <w:rsid w:val="00EE4AE6"/>
    <w:rsid w:val="00EE56E5"/>
    <w:rsid w:val="00EE5A99"/>
    <w:rsid w:val="00EF2F46"/>
    <w:rsid w:val="00EF472B"/>
    <w:rsid w:val="00EF7614"/>
    <w:rsid w:val="00EF7FBF"/>
    <w:rsid w:val="00F01CA6"/>
    <w:rsid w:val="00F05BBD"/>
    <w:rsid w:val="00F06413"/>
    <w:rsid w:val="00F06A92"/>
    <w:rsid w:val="00F103A7"/>
    <w:rsid w:val="00F10F55"/>
    <w:rsid w:val="00F1457E"/>
    <w:rsid w:val="00F14EF8"/>
    <w:rsid w:val="00F162CB"/>
    <w:rsid w:val="00F16381"/>
    <w:rsid w:val="00F1693F"/>
    <w:rsid w:val="00F17360"/>
    <w:rsid w:val="00F200D0"/>
    <w:rsid w:val="00F2056A"/>
    <w:rsid w:val="00F22DC0"/>
    <w:rsid w:val="00F23480"/>
    <w:rsid w:val="00F24A11"/>
    <w:rsid w:val="00F24FCE"/>
    <w:rsid w:val="00F26363"/>
    <w:rsid w:val="00F26E12"/>
    <w:rsid w:val="00F2751E"/>
    <w:rsid w:val="00F31A65"/>
    <w:rsid w:val="00F36767"/>
    <w:rsid w:val="00F36DFD"/>
    <w:rsid w:val="00F40FC0"/>
    <w:rsid w:val="00F41367"/>
    <w:rsid w:val="00F444FD"/>
    <w:rsid w:val="00F455FB"/>
    <w:rsid w:val="00F500A1"/>
    <w:rsid w:val="00F50777"/>
    <w:rsid w:val="00F51131"/>
    <w:rsid w:val="00F54CA6"/>
    <w:rsid w:val="00F60617"/>
    <w:rsid w:val="00F60A9E"/>
    <w:rsid w:val="00F62180"/>
    <w:rsid w:val="00F62C2C"/>
    <w:rsid w:val="00F62D25"/>
    <w:rsid w:val="00F63A63"/>
    <w:rsid w:val="00F651DC"/>
    <w:rsid w:val="00F679B2"/>
    <w:rsid w:val="00F706CF"/>
    <w:rsid w:val="00F70D5B"/>
    <w:rsid w:val="00F71036"/>
    <w:rsid w:val="00F71071"/>
    <w:rsid w:val="00F72A27"/>
    <w:rsid w:val="00F73E09"/>
    <w:rsid w:val="00F7478E"/>
    <w:rsid w:val="00F76E66"/>
    <w:rsid w:val="00F80514"/>
    <w:rsid w:val="00F80B07"/>
    <w:rsid w:val="00F821CB"/>
    <w:rsid w:val="00F85DB4"/>
    <w:rsid w:val="00F90623"/>
    <w:rsid w:val="00F91E0F"/>
    <w:rsid w:val="00F96A7F"/>
    <w:rsid w:val="00F97019"/>
    <w:rsid w:val="00F97618"/>
    <w:rsid w:val="00FA2673"/>
    <w:rsid w:val="00FA2E08"/>
    <w:rsid w:val="00FA4ECD"/>
    <w:rsid w:val="00FA522F"/>
    <w:rsid w:val="00FA6923"/>
    <w:rsid w:val="00FA7A37"/>
    <w:rsid w:val="00FB3338"/>
    <w:rsid w:val="00FB358F"/>
    <w:rsid w:val="00FB7F2D"/>
    <w:rsid w:val="00FC0D69"/>
    <w:rsid w:val="00FC728D"/>
    <w:rsid w:val="00FD3559"/>
    <w:rsid w:val="00FD715C"/>
    <w:rsid w:val="00FE0F0E"/>
    <w:rsid w:val="00FE331B"/>
    <w:rsid w:val="00FE526A"/>
    <w:rsid w:val="00FE65F7"/>
    <w:rsid w:val="00FE6DF1"/>
    <w:rsid w:val="00FF0215"/>
    <w:rsid w:val="00FF0486"/>
    <w:rsid w:val="00FF0C1F"/>
    <w:rsid w:val="00FF4EA7"/>
    <w:rsid w:val="00FF7846"/>
    <w:rsid w:val="00FF7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C536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3D14"/>
    <w:rPr>
      <w:color w:val="0000FF"/>
      <w:u w:val="single"/>
    </w:rPr>
  </w:style>
  <w:style w:type="paragraph" w:styleId="BalloonText">
    <w:name w:val="Balloon Text"/>
    <w:basedOn w:val="Normal"/>
    <w:link w:val="BalloonTextChar"/>
    <w:uiPriority w:val="99"/>
    <w:semiHidden/>
    <w:unhideWhenUsed/>
    <w:rsid w:val="00CC340E"/>
    <w:rPr>
      <w:rFonts w:ascii="Lucida Grande" w:hAnsi="Lucida Grande"/>
      <w:sz w:val="18"/>
      <w:szCs w:val="18"/>
    </w:rPr>
  </w:style>
  <w:style w:type="character" w:customStyle="1" w:styleId="BalloonTextChar">
    <w:name w:val="Balloon Text Char"/>
    <w:link w:val="BalloonText"/>
    <w:uiPriority w:val="99"/>
    <w:semiHidden/>
    <w:rsid w:val="00CC340E"/>
    <w:rPr>
      <w:rFonts w:ascii="Lucida Grande" w:hAnsi="Lucida Grande" w:cs="Lucida Grande"/>
      <w:sz w:val="18"/>
      <w:szCs w:val="18"/>
    </w:rPr>
  </w:style>
  <w:style w:type="table" w:styleId="TableGrid">
    <w:name w:val="Table Grid"/>
    <w:basedOn w:val="TableNormal"/>
    <w:uiPriority w:val="59"/>
    <w:rsid w:val="00937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uiPriority w:val="35"/>
    <w:qFormat/>
    <w:rsid w:val="00695987"/>
    <w:pPr>
      <w:keepNext/>
      <w:spacing w:after="200"/>
    </w:pPr>
    <w:rPr>
      <w:bCs/>
      <w:szCs w:val="18"/>
    </w:rPr>
  </w:style>
  <w:style w:type="paragraph" w:styleId="Footer">
    <w:name w:val="footer"/>
    <w:basedOn w:val="Normal"/>
    <w:link w:val="FooterChar"/>
    <w:uiPriority w:val="99"/>
    <w:unhideWhenUsed/>
    <w:rsid w:val="00D05542"/>
    <w:pPr>
      <w:tabs>
        <w:tab w:val="center" w:pos="4320"/>
        <w:tab w:val="right" w:pos="8640"/>
      </w:tabs>
    </w:pPr>
    <w:rPr>
      <w:sz w:val="20"/>
      <w:szCs w:val="20"/>
    </w:rPr>
  </w:style>
  <w:style w:type="character" w:customStyle="1" w:styleId="FooterChar">
    <w:name w:val="Footer Char"/>
    <w:link w:val="Footer"/>
    <w:uiPriority w:val="99"/>
    <w:rsid w:val="00D05542"/>
    <w:rPr>
      <w:rFonts w:ascii="Times New Roman" w:hAnsi="Times New Roman"/>
    </w:rPr>
  </w:style>
  <w:style w:type="character" w:styleId="PageNumber">
    <w:name w:val="page number"/>
    <w:basedOn w:val="DefaultParagraphFont"/>
    <w:uiPriority w:val="99"/>
    <w:semiHidden/>
    <w:unhideWhenUsed/>
    <w:rsid w:val="00D05542"/>
  </w:style>
  <w:style w:type="paragraph" w:styleId="Header">
    <w:name w:val="header"/>
    <w:basedOn w:val="Normal"/>
    <w:link w:val="HeaderChar"/>
    <w:uiPriority w:val="99"/>
    <w:unhideWhenUsed/>
    <w:rsid w:val="00D05542"/>
    <w:pPr>
      <w:tabs>
        <w:tab w:val="center" w:pos="4320"/>
        <w:tab w:val="right" w:pos="8640"/>
      </w:tabs>
    </w:pPr>
    <w:rPr>
      <w:sz w:val="20"/>
      <w:szCs w:val="20"/>
    </w:rPr>
  </w:style>
  <w:style w:type="character" w:customStyle="1" w:styleId="HeaderChar">
    <w:name w:val="Header Char"/>
    <w:link w:val="Header"/>
    <w:uiPriority w:val="99"/>
    <w:rsid w:val="00D05542"/>
    <w:rPr>
      <w:rFonts w:ascii="Times New Roman" w:hAnsi="Times New Roman"/>
    </w:rPr>
  </w:style>
  <w:style w:type="character" w:styleId="CommentReference">
    <w:name w:val="annotation reference"/>
    <w:uiPriority w:val="99"/>
    <w:semiHidden/>
    <w:unhideWhenUsed/>
    <w:rsid w:val="003843CC"/>
    <w:rPr>
      <w:sz w:val="16"/>
      <w:szCs w:val="16"/>
    </w:rPr>
  </w:style>
  <w:style w:type="paragraph" w:styleId="CommentText">
    <w:name w:val="annotation text"/>
    <w:basedOn w:val="Normal"/>
    <w:link w:val="CommentTextChar"/>
    <w:uiPriority w:val="99"/>
    <w:semiHidden/>
    <w:unhideWhenUsed/>
    <w:rsid w:val="003843CC"/>
    <w:rPr>
      <w:sz w:val="20"/>
      <w:szCs w:val="20"/>
    </w:rPr>
  </w:style>
  <w:style w:type="character" w:customStyle="1" w:styleId="CommentTextChar">
    <w:name w:val="Comment Text Char"/>
    <w:link w:val="CommentText"/>
    <w:uiPriority w:val="99"/>
    <w:semiHidden/>
    <w:rsid w:val="003843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43CC"/>
    <w:rPr>
      <w:b/>
      <w:bCs/>
    </w:rPr>
  </w:style>
  <w:style w:type="character" w:customStyle="1" w:styleId="CommentSubjectChar">
    <w:name w:val="Comment Subject Char"/>
    <w:link w:val="CommentSubject"/>
    <w:uiPriority w:val="99"/>
    <w:semiHidden/>
    <w:rsid w:val="003843CC"/>
    <w:rPr>
      <w:rFonts w:ascii="Times New Roman" w:hAnsi="Times New Roman"/>
      <w:b/>
      <w:bCs/>
      <w:sz w:val="20"/>
      <w:szCs w:val="20"/>
    </w:rPr>
  </w:style>
  <w:style w:type="paragraph" w:customStyle="1" w:styleId="DarkList-Accent51">
    <w:name w:val="Dark List - Accent 51"/>
    <w:basedOn w:val="Normal"/>
    <w:uiPriority w:val="34"/>
    <w:qFormat/>
    <w:rsid w:val="003948FE"/>
    <w:pPr>
      <w:ind w:left="720"/>
      <w:contextualSpacing/>
    </w:pPr>
  </w:style>
  <w:style w:type="paragraph" w:customStyle="1" w:styleId="DarkList-Accent31">
    <w:name w:val="Dark List - Accent 31"/>
    <w:hidden/>
    <w:uiPriority w:val="71"/>
    <w:rsid w:val="00520BB3"/>
    <w:rPr>
      <w:rFonts w:ascii="Times New Roman" w:hAnsi="Times New Roman"/>
      <w:sz w:val="24"/>
      <w:szCs w:val="24"/>
    </w:rPr>
  </w:style>
  <w:style w:type="paragraph" w:styleId="Revision">
    <w:name w:val="Revision"/>
    <w:hidden/>
    <w:uiPriority w:val="71"/>
    <w:rsid w:val="006C536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18280701">
      <w:bodyDiv w:val="1"/>
      <w:marLeft w:val="0"/>
      <w:marRight w:val="0"/>
      <w:marTop w:val="0"/>
      <w:marBottom w:val="0"/>
      <w:divBdr>
        <w:top w:val="none" w:sz="0" w:space="0" w:color="auto"/>
        <w:left w:val="none" w:sz="0" w:space="0" w:color="auto"/>
        <w:bottom w:val="none" w:sz="0" w:space="0" w:color="auto"/>
        <w:right w:val="none" w:sz="0" w:space="0" w:color="auto"/>
      </w:divBdr>
    </w:div>
    <w:div w:id="734625390">
      <w:bodyDiv w:val="1"/>
      <w:marLeft w:val="0"/>
      <w:marRight w:val="0"/>
      <w:marTop w:val="0"/>
      <w:marBottom w:val="0"/>
      <w:divBdr>
        <w:top w:val="none" w:sz="0" w:space="0" w:color="auto"/>
        <w:left w:val="none" w:sz="0" w:space="0" w:color="auto"/>
        <w:bottom w:val="none" w:sz="0" w:space="0" w:color="auto"/>
        <w:right w:val="none" w:sz="0" w:space="0" w:color="auto"/>
      </w:divBdr>
    </w:div>
    <w:div w:id="1021669109">
      <w:bodyDiv w:val="1"/>
      <w:marLeft w:val="0"/>
      <w:marRight w:val="0"/>
      <w:marTop w:val="0"/>
      <w:marBottom w:val="0"/>
      <w:divBdr>
        <w:top w:val="none" w:sz="0" w:space="0" w:color="auto"/>
        <w:left w:val="none" w:sz="0" w:space="0" w:color="auto"/>
        <w:bottom w:val="none" w:sz="0" w:space="0" w:color="auto"/>
        <w:right w:val="none" w:sz="0" w:space="0" w:color="auto"/>
      </w:divBdr>
    </w:div>
    <w:div w:id="1036077303">
      <w:bodyDiv w:val="1"/>
      <w:marLeft w:val="0"/>
      <w:marRight w:val="0"/>
      <w:marTop w:val="0"/>
      <w:marBottom w:val="0"/>
      <w:divBdr>
        <w:top w:val="none" w:sz="0" w:space="0" w:color="auto"/>
        <w:left w:val="none" w:sz="0" w:space="0" w:color="auto"/>
        <w:bottom w:val="none" w:sz="0" w:space="0" w:color="auto"/>
        <w:right w:val="none" w:sz="0" w:space="0" w:color="auto"/>
      </w:divBdr>
    </w:div>
    <w:div w:id="13050420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hrq.gov/workingforquality/reports/annual-reports/nqs2014annlrp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disabilities/documents/convention/conven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fworld.org/docid/50854a322.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4430-1AC9-47B8-94B0-DF61B02E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30136</CharactersWithSpaces>
  <SharedDoc>false</SharedDoc>
  <HLinks>
    <vt:vector size="18" baseType="variant">
      <vt:variant>
        <vt:i4>7208998</vt:i4>
      </vt:variant>
      <vt:variant>
        <vt:i4>6</vt:i4>
      </vt:variant>
      <vt:variant>
        <vt:i4>0</vt:i4>
      </vt:variant>
      <vt:variant>
        <vt:i4>5</vt:i4>
      </vt:variant>
      <vt:variant>
        <vt:lpwstr>http://www.ahrq.gov/workingforquality/reports/annual-reports/nqs2014annlrpt.pdf</vt:lpwstr>
      </vt:variant>
      <vt:variant>
        <vt:lpwstr/>
      </vt:variant>
      <vt:variant>
        <vt:i4>6553654</vt:i4>
      </vt:variant>
      <vt:variant>
        <vt:i4>3</vt:i4>
      </vt:variant>
      <vt:variant>
        <vt:i4>0</vt:i4>
      </vt:variant>
      <vt:variant>
        <vt:i4>5</vt:i4>
      </vt:variant>
      <vt:variant>
        <vt:lpwstr>http://www.un.org/disabilities/documents/convention/convention</vt:lpwstr>
      </vt:variant>
      <vt:variant>
        <vt:lpwstr/>
      </vt:variant>
      <vt:variant>
        <vt:i4>393218</vt:i4>
      </vt:variant>
      <vt:variant>
        <vt:i4>0</vt:i4>
      </vt:variant>
      <vt:variant>
        <vt:i4>0</vt:i4>
      </vt:variant>
      <vt:variant>
        <vt:i4>5</vt:i4>
      </vt:variant>
      <vt:variant>
        <vt:lpwstr>http://www.refworld.org/docid/50854a322.html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2017-03-03T03:43:00Z</dcterms:created>
  <dcterms:modified xsi:type="dcterms:W3CDTF">2017-03-03T03:43:00Z</dcterms:modified>
</cp:coreProperties>
</file>